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CD7172B">
      <w:pPr>
        <w:spacing w:before="120" w:beforeLines="50" w:line="360" w:lineRule="auto"/>
        <w:jc w:val="center"/>
        <w:rPr>
          <w:rFonts w:hint="eastAsia"/>
          <w:color w:val="000000" w:themeColor="text1"/>
          <w:sz w:val="52"/>
          <w:szCs w:val="52"/>
          <w:highlight w:val="none"/>
          <w14:textFill>
            <w14:solidFill>
              <w14:schemeClr w14:val="tx1"/>
            </w14:solidFill>
          </w14:textFill>
        </w:rPr>
      </w:pPr>
      <w:bookmarkStart w:id="1409" w:name="_GoBack"/>
    </w:p>
    <w:p w14:paraId="5A316238">
      <w:pPr>
        <w:spacing w:line="720" w:lineRule="exact"/>
        <w:jc w:val="center"/>
        <w:rPr>
          <w:rFonts w:hint="eastAsia" w:ascii="Times New Roman" w:hAnsi="Times New Roman" w:eastAsia="华文中宋" w:cs="华文中宋"/>
          <w:b w:val="0"/>
          <w:bCs/>
          <w:color w:val="000000" w:themeColor="text1"/>
          <w:sz w:val="52"/>
          <w:highlight w:val="none"/>
          <w14:shadow w14:blurRad="50800" w14:dist="38100" w14:dir="2700000" w14:sx="100000" w14:sy="100000" w14:kx="0" w14:ky="0" w14:algn="tl">
            <w14:srgbClr w14:val="000000">
              <w14:alpha w14:val="60000"/>
            </w14:srgbClr>
          </w14:shadow>
          <w14:textFill>
            <w14:solidFill>
              <w14:schemeClr w14:val="tx1"/>
            </w14:solidFill>
          </w14:textFill>
        </w:rPr>
      </w:pPr>
      <w:r>
        <w:rPr>
          <w:rFonts w:hint="eastAsia" w:ascii="Times New Roman" w:hAnsi="Times New Roman" w:eastAsia="华文中宋" w:cs="华文中宋"/>
          <w:b w:val="0"/>
          <w:bCs/>
          <w:color w:val="000000" w:themeColor="text1"/>
          <w:spacing w:val="45"/>
          <w:kern w:val="0"/>
          <w:sz w:val="52"/>
          <w:szCs w:val="52"/>
          <w:highlight w:val="none"/>
          <w:lang w:val="en-US" w:eastAsia="zh-CN" w:bidi="ar-SA"/>
          <w14:shadow w14:blurRad="50800" w14:dist="38100" w14:dir="2700000" w14:sx="100000" w14:sy="100000" w14:kx="0" w14:ky="0" w14:algn="tl">
            <w14:srgbClr w14:val="000000">
              <w14:alpha w14:val="60000"/>
            </w14:srgbClr>
          </w14:shadow>
          <w14:textFill>
            <w14:solidFill>
              <w14:schemeClr w14:val="tx1"/>
            </w14:solidFill>
          </w14:textFill>
        </w:rPr>
        <w:t>广西科联招标中心有限公司</w:t>
      </w:r>
      <w:r>
        <w:rPr>
          <w:rFonts w:hint="eastAsia" w:ascii="Times New Roman" w:hAnsi="Times New Roman" w:eastAsia="华文中宋" w:cs="华文中宋"/>
          <w:b w:val="0"/>
          <w:bCs/>
          <w:color w:val="000000" w:themeColor="text1"/>
          <w:kern w:val="0"/>
          <w:sz w:val="56"/>
          <w:szCs w:val="56"/>
          <w:highlight w:val="none"/>
          <w:lang w:val="en-US" w:eastAsia="zh-CN" w:bidi="ar-SA"/>
          <w14:shadow w14:blurRad="50800" w14:dist="38100" w14:dir="2700000" w14:sx="100000" w14:sy="100000" w14:kx="0" w14:ky="0" w14:algn="tl">
            <w14:srgbClr w14:val="000000">
              <w14:alpha w14:val="60000"/>
            </w14:srgbClr>
          </w14:shadow>
          <w14:textFill>
            <w14:solidFill>
              <w14:schemeClr w14:val="tx1"/>
            </w14:solidFill>
          </w14:textFill>
        </w:rPr>
        <w:cr/>
      </w:r>
    </w:p>
    <w:p w14:paraId="60FF2E92">
      <w:pPr>
        <w:snapToGrid w:val="0"/>
        <w:spacing w:before="120" w:beforeLines="50" w:line="360" w:lineRule="auto"/>
        <w:jc w:val="center"/>
        <w:outlineLvl w:val="0"/>
        <w:rPr>
          <w:rFonts w:hint="eastAsia" w:ascii="Times New Roman" w:hAnsi="Times New Roman" w:cs="宋体"/>
          <w:color w:val="000000" w:themeColor="text1"/>
          <w:sz w:val="44"/>
          <w:szCs w:val="44"/>
          <w:highlight w:val="none"/>
          <w14:textFill>
            <w14:solidFill>
              <w14:schemeClr w14:val="tx1"/>
            </w14:solidFill>
          </w14:textFill>
        </w:rPr>
      </w:pPr>
      <w:bookmarkStart w:id="0" w:name="_Toc13558"/>
      <w:bookmarkStart w:id="1" w:name="_Toc3095"/>
      <w:r>
        <w:rPr>
          <w:rFonts w:hint="eastAsia" w:ascii="Times New Roman" w:hAnsi="Times New Roman" w:eastAsia="华文中宋" w:cs="华文中宋"/>
          <w:b w:val="0"/>
          <w:bCs/>
          <w:color w:val="000000" w:themeColor="text1"/>
          <w:spacing w:val="20"/>
          <w:kern w:val="0"/>
          <w:sz w:val="56"/>
          <w:szCs w:val="56"/>
          <w:highlight w:val="none"/>
          <w14:shadow w14:blurRad="50800" w14:dist="38100" w14:dir="2700000" w14:sx="100000" w14:sy="100000" w14:kx="0" w14:ky="0" w14:algn="tl">
            <w14:srgbClr w14:val="000000">
              <w14:alpha w14:val="60000"/>
            </w14:srgbClr>
          </w14:shadow>
          <w14:textFill>
            <w14:solidFill>
              <w14:schemeClr w14:val="tx1"/>
            </w14:solidFill>
          </w14:textFill>
        </w:rPr>
        <w:t>竞争性磋商文件</w:t>
      </w:r>
      <w:bookmarkEnd w:id="0"/>
      <w:bookmarkEnd w:id="1"/>
    </w:p>
    <w:p w14:paraId="52740127">
      <w:pPr>
        <w:spacing w:before="240" w:beforeLines="100" w:after="120" w:afterLines="50" w:line="360" w:lineRule="auto"/>
        <w:jc w:val="center"/>
        <w:rPr>
          <w:rFonts w:hint="eastAsia" w:ascii="Times New Roman" w:hAnsi="Times New Roman" w:cs="宋体"/>
          <w:color w:val="000000" w:themeColor="text1"/>
          <w:sz w:val="22"/>
          <w:szCs w:val="22"/>
          <w:highlight w:val="none"/>
          <w14:textFill>
            <w14:solidFill>
              <w14:schemeClr w14:val="tx1"/>
            </w14:solidFill>
          </w14:textFill>
        </w:rPr>
      </w:pPr>
      <w:r>
        <w:rPr>
          <w:rFonts w:hint="eastAsia" w:ascii="Times New Roman" w:hAnsi="Times New Roman" w:cs="宋体"/>
          <w:color w:val="000000" w:themeColor="text1"/>
          <w:sz w:val="22"/>
          <w:szCs w:val="22"/>
          <w:highlight w:val="none"/>
          <w14:textFill>
            <w14:solidFill>
              <w14:schemeClr w14:val="tx1"/>
            </w14:solidFill>
          </w14:textFill>
        </w:rPr>
        <w:t>（全流程电子化评标）</w:t>
      </w:r>
    </w:p>
    <w:p w14:paraId="738637B9">
      <w:pPr>
        <w:spacing w:line="360" w:lineRule="auto"/>
        <w:rPr>
          <w:rFonts w:hint="eastAsia" w:ascii="Times New Roman" w:hAnsi="Times New Roman" w:cs="宋体"/>
          <w:b/>
          <w:color w:val="000000" w:themeColor="text1"/>
          <w:sz w:val="32"/>
          <w:szCs w:val="32"/>
          <w:highlight w:val="none"/>
          <w14:textFill>
            <w14:solidFill>
              <w14:schemeClr w14:val="tx1"/>
            </w14:solidFill>
          </w14:textFill>
        </w:rPr>
      </w:pPr>
    </w:p>
    <w:p w14:paraId="117123EF">
      <w:pPr>
        <w:snapToGrid w:val="0"/>
        <w:spacing w:before="50" w:after="120" w:line="360" w:lineRule="auto"/>
        <w:ind w:firstLine="1684" w:firstLineChars="559"/>
        <w:rPr>
          <w:rFonts w:hint="eastAsia" w:ascii="Times New Roman" w:hAnsi="Times New Roman" w:cs="宋体"/>
          <w:b/>
          <w:bCs/>
          <w:color w:val="000000" w:themeColor="text1"/>
          <w:kern w:val="0"/>
          <w:sz w:val="30"/>
          <w:szCs w:val="30"/>
          <w:highlight w:val="none"/>
          <w14:textFill>
            <w14:solidFill>
              <w14:schemeClr w14:val="tx1"/>
            </w14:solidFill>
          </w14:textFill>
        </w:rPr>
      </w:pPr>
    </w:p>
    <w:p w14:paraId="67CC3D65">
      <w:pPr>
        <w:ind w:left="3072" w:leftChars="723" w:hanging="1554" w:hangingChars="518"/>
        <w:jc w:val="both"/>
        <w:rPr>
          <w:rFonts w:hint="eastAsia" w:ascii="Times New Roman" w:hAnsi="Times New Roman" w:eastAsia="华文中宋" w:cs="华文中宋"/>
          <w:b w:val="0"/>
          <w:bCs w:val="0"/>
          <w:color w:val="000000" w:themeColor="text1"/>
          <w:spacing w:val="0"/>
          <w:sz w:val="30"/>
          <w:szCs w:val="30"/>
          <w:highlight w:val="none"/>
          <w:lang w:val="en-US" w:eastAsia="zh-CN"/>
          <w14:shadow w14:blurRad="50800" w14:dist="38100" w14:dir="2700000" w14:sx="100000" w14:sy="100000" w14:kx="0" w14:ky="0" w14:algn="tl">
            <w14:srgbClr w14:val="000000">
              <w14:alpha w14:val="60000"/>
            </w14:srgbClr>
          </w14:shadow>
          <w14:textFill>
            <w14:solidFill>
              <w14:schemeClr w14:val="tx1"/>
            </w14:solidFill>
          </w14:textFill>
        </w:rPr>
      </w:pPr>
      <w:r>
        <w:rPr>
          <w:rFonts w:hint="eastAsia" w:ascii="Times New Roman" w:hAnsi="Times New Roman" w:eastAsia="华文中宋" w:cs="华文中宋"/>
          <w:b w:val="0"/>
          <w:bCs w:val="0"/>
          <w:color w:val="000000" w:themeColor="text1"/>
          <w:spacing w:val="0"/>
          <w:sz w:val="30"/>
          <w:szCs w:val="30"/>
          <w:highlight w:val="none"/>
          <w14:shadow w14:blurRad="50800" w14:dist="38100" w14:dir="2700000" w14:sx="100000" w14:sy="100000" w14:kx="0" w14:ky="0" w14:algn="tl">
            <w14:srgbClr w14:val="000000">
              <w14:alpha w14:val="60000"/>
            </w14:srgbClr>
          </w14:shadow>
          <w14:textFill>
            <w14:solidFill>
              <w14:schemeClr w14:val="tx1"/>
            </w14:solidFill>
          </w14:textFill>
        </w:rPr>
        <w:t>项目名称：</w:t>
      </w:r>
      <w:r>
        <w:rPr>
          <w:rFonts w:hint="eastAsia" w:eastAsia="华文中宋" w:cs="华文中宋"/>
          <w:b w:val="0"/>
          <w:bCs w:val="0"/>
          <w:color w:val="000000" w:themeColor="text1"/>
          <w:spacing w:val="0"/>
          <w:sz w:val="30"/>
          <w:szCs w:val="30"/>
          <w:highlight w:val="none"/>
          <w:lang w:val="en-US" w:eastAsia="zh-CN"/>
          <w14:shadow w14:blurRad="50800" w14:dist="38100" w14:dir="2700000" w14:sx="100000" w14:sy="100000" w14:kx="0" w14:ky="0" w14:algn="tl">
            <w14:srgbClr w14:val="000000">
              <w14:alpha w14:val="60000"/>
            </w14:srgbClr>
          </w14:shadow>
          <w14:textFill>
            <w14:solidFill>
              <w14:schemeClr w14:val="tx1"/>
            </w14:solidFill>
          </w14:textFill>
        </w:rPr>
        <w:t>桂林市中西医结合医院消化内镜中心装修改造工程</w:t>
      </w:r>
    </w:p>
    <w:p w14:paraId="06821B5A">
      <w:pPr>
        <w:ind w:left="3072" w:leftChars="723" w:hanging="1554" w:hangingChars="518"/>
        <w:jc w:val="both"/>
        <w:rPr>
          <w:rFonts w:hint="default" w:ascii="Times New Roman" w:hAnsi="Times New Roman" w:eastAsia="宋体"/>
          <w:b/>
          <w:bCs/>
          <w:color w:val="000000" w:themeColor="text1"/>
          <w:kern w:val="0"/>
          <w:sz w:val="30"/>
          <w:szCs w:val="30"/>
          <w:highlight w:val="yellow"/>
          <w:lang w:val="en-US" w:eastAsia="zh-CN"/>
          <w14:textFill>
            <w14:solidFill>
              <w14:schemeClr w14:val="tx1"/>
            </w14:solidFill>
          </w14:textFill>
        </w:rPr>
      </w:pPr>
      <w:r>
        <w:rPr>
          <w:rFonts w:hint="eastAsia" w:ascii="Times New Roman" w:hAnsi="Times New Roman" w:eastAsia="华文中宋" w:cs="华文中宋"/>
          <w:b w:val="0"/>
          <w:bCs w:val="0"/>
          <w:color w:val="000000" w:themeColor="text1"/>
          <w:spacing w:val="0"/>
          <w:sz w:val="30"/>
          <w:szCs w:val="30"/>
          <w:highlight w:val="none"/>
          <w:lang w:eastAsia="zh-CN"/>
          <w14:shadow w14:blurRad="50800" w14:dist="38100" w14:dir="2700000" w14:sx="100000" w14:sy="100000" w14:kx="0" w14:ky="0" w14:algn="tl">
            <w14:srgbClr w14:val="000000">
              <w14:alpha w14:val="60000"/>
            </w14:srgbClr>
          </w14:shadow>
          <w14:textFill>
            <w14:solidFill>
              <w14:schemeClr w14:val="tx1"/>
            </w14:solidFill>
          </w14:textFill>
        </w:rPr>
        <w:t>项目编号：</w:t>
      </w:r>
      <w:r>
        <w:rPr>
          <w:rFonts w:hint="eastAsia" w:eastAsia="华文中宋" w:cs="华文中宋"/>
          <w:b w:val="0"/>
          <w:bCs w:val="0"/>
          <w:color w:val="000000" w:themeColor="text1"/>
          <w:spacing w:val="0"/>
          <w:sz w:val="30"/>
          <w:szCs w:val="30"/>
          <w:highlight w:val="none"/>
          <w:lang w:val="en-US" w:eastAsia="zh-CN"/>
          <w14:shadow w14:blurRad="50800" w14:dist="38100" w14:dir="2700000" w14:sx="100000" w14:sy="100000" w14:kx="0" w14:ky="0" w14:algn="tl">
            <w14:srgbClr w14:val="000000">
              <w14:alpha w14:val="60000"/>
            </w14:srgbClr>
          </w14:shadow>
          <w14:textFill>
            <w14:solidFill>
              <w14:schemeClr w14:val="tx1"/>
            </w14:solidFill>
          </w14:textFill>
        </w:rPr>
        <w:t>GLZC2026-C2-990014-GXKL</w:t>
      </w:r>
    </w:p>
    <w:p w14:paraId="5331022A">
      <w:pPr>
        <w:snapToGrid w:val="0"/>
        <w:spacing w:before="50" w:after="120" w:line="360" w:lineRule="auto"/>
        <w:ind w:firstLine="1684" w:firstLineChars="559"/>
        <w:rPr>
          <w:rFonts w:ascii="Times New Roman" w:hAnsi="Times New Roman"/>
          <w:b/>
          <w:bCs/>
          <w:color w:val="000000" w:themeColor="text1"/>
          <w:kern w:val="0"/>
          <w:sz w:val="30"/>
          <w:szCs w:val="30"/>
          <w:highlight w:val="none"/>
          <w14:textFill>
            <w14:solidFill>
              <w14:schemeClr w14:val="tx1"/>
            </w14:solidFill>
          </w14:textFill>
        </w:rPr>
      </w:pPr>
    </w:p>
    <w:p w14:paraId="3F7B53AD">
      <w:pPr>
        <w:pStyle w:val="22"/>
        <w:rPr>
          <w:rFonts w:ascii="Times New Roman" w:hAnsi="Times New Roman"/>
          <w:b/>
          <w:bCs/>
          <w:color w:val="000000" w:themeColor="text1"/>
          <w:sz w:val="30"/>
          <w:szCs w:val="30"/>
          <w:highlight w:val="none"/>
          <w14:textFill>
            <w14:solidFill>
              <w14:schemeClr w14:val="tx1"/>
            </w14:solidFill>
          </w14:textFill>
        </w:rPr>
      </w:pPr>
    </w:p>
    <w:p w14:paraId="7CEB763F">
      <w:pPr>
        <w:pStyle w:val="22"/>
        <w:rPr>
          <w:rFonts w:ascii="Times New Roman" w:hAnsi="Times New Roman"/>
          <w:b/>
          <w:bCs/>
          <w:color w:val="000000" w:themeColor="text1"/>
          <w:sz w:val="30"/>
          <w:szCs w:val="30"/>
          <w:highlight w:val="none"/>
          <w14:textFill>
            <w14:solidFill>
              <w14:schemeClr w14:val="tx1"/>
            </w14:solidFill>
          </w14:textFill>
        </w:rPr>
      </w:pPr>
    </w:p>
    <w:p w14:paraId="44BB65DB">
      <w:pPr>
        <w:pStyle w:val="22"/>
        <w:rPr>
          <w:rFonts w:ascii="Times New Roman" w:hAnsi="Times New Roman"/>
          <w:b/>
          <w:bCs/>
          <w:color w:val="000000" w:themeColor="text1"/>
          <w:sz w:val="30"/>
          <w:szCs w:val="30"/>
          <w:highlight w:val="none"/>
          <w14:textFill>
            <w14:solidFill>
              <w14:schemeClr w14:val="tx1"/>
            </w14:solidFill>
          </w14:textFill>
        </w:rPr>
      </w:pPr>
    </w:p>
    <w:p w14:paraId="5E285DE1">
      <w:pPr>
        <w:snapToGrid w:val="0"/>
        <w:spacing w:before="50" w:after="120" w:line="360" w:lineRule="auto"/>
        <w:ind w:firstLine="1807" w:firstLineChars="600"/>
        <w:jc w:val="left"/>
        <w:rPr>
          <w:rFonts w:ascii="Times New Roman" w:hAnsi="Times New Roman"/>
          <w:b/>
          <w:bCs/>
          <w:color w:val="000000" w:themeColor="text1"/>
          <w:kern w:val="0"/>
          <w:sz w:val="30"/>
          <w:szCs w:val="30"/>
          <w:highlight w:val="none"/>
          <w14:textFill>
            <w14:solidFill>
              <w14:schemeClr w14:val="tx1"/>
            </w14:solidFill>
          </w14:textFill>
        </w:rPr>
      </w:pPr>
    </w:p>
    <w:p w14:paraId="756AF042">
      <w:pPr>
        <w:keepNext w:val="0"/>
        <w:keepLines w:val="0"/>
        <w:pageBreakBefore w:val="0"/>
        <w:widowControl w:val="0"/>
        <w:kinsoku/>
        <w:wordWrap/>
        <w:overflowPunct/>
        <w:topLinePunct w:val="0"/>
        <w:autoSpaceDE/>
        <w:autoSpaceDN/>
        <w:bidi w:val="0"/>
        <w:adjustRightInd/>
        <w:snapToGrid/>
        <w:spacing w:line="360" w:lineRule="auto"/>
        <w:ind w:left="2832" w:leftChars="977" w:hanging="780" w:hangingChars="260"/>
        <w:jc w:val="both"/>
        <w:textAlignment w:val="auto"/>
        <w:rPr>
          <w:rFonts w:hint="eastAsia" w:ascii="Times New Roman" w:hAnsi="Times New Roman" w:eastAsia="华文中宋" w:cs="华文中宋"/>
          <w:b w:val="0"/>
          <w:bCs w:val="0"/>
          <w:color w:val="000000" w:themeColor="text1"/>
          <w:spacing w:val="0"/>
          <w:sz w:val="30"/>
          <w:szCs w:val="30"/>
          <w:highlight w:val="none"/>
          <w:lang w:val="en-US" w:eastAsia="zh-CN"/>
          <w14:shadow w14:blurRad="50800" w14:dist="38100" w14:dir="2700000" w14:sx="100000" w14:sy="100000" w14:kx="0" w14:ky="0" w14:algn="tl">
            <w14:srgbClr w14:val="000000">
              <w14:alpha w14:val="60000"/>
            </w14:srgbClr>
          </w14:shadow>
          <w14:textFill>
            <w14:solidFill>
              <w14:schemeClr w14:val="tx1"/>
            </w14:solidFill>
          </w14:textFill>
        </w:rPr>
      </w:pPr>
      <w:r>
        <w:rPr>
          <w:rFonts w:hint="eastAsia" w:ascii="Times New Roman" w:hAnsi="Times New Roman" w:eastAsia="华文中宋" w:cs="华文中宋"/>
          <w:b w:val="0"/>
          <w:bCs w:val="0"/>
          <w:color w:val="000000" w:themeColor="text1"/>
          <w:spacing w:val="0"/>
          <w:sz w:val="30"/>
          <w:szCs w:val="30"/>
          <w:highlight w:val="none"/>
          <w:lang w:val="en-US" w:eastAsia="zh-CN"/>
          <w14:shadow w14:blurRad="50800" w14:dist="38100" w14:dir="2700000" w14:sx="100000" w14:sy="100000" w14:kx="0" w14:ky="0" w14:algn="tl">
            <w14:srgbClr w14:val="000000">
              <w14:alpha w14:val="60000"/>
            </w14:srgbClr>
          </w14:shadow>
          <w14:textFill>
            <w14:solidFill>
              <w14:schemeClr w14:val="tx1"/>
            </w14:solidFill>
          </w14:textFill>
        </w:rPr>
        <w:t>采购人：</w:t>
      </w:r>
      <w:r>
        <w:rPr>
          <w:rFonts w:hint="eastAsia" w:eastAsia="华文中宋" w:cs="华文中宋"/>
          <w:b w:val="0"/>
          <w:bCs w:val="0"/>
          <w:color w:val="000000" w:themeColor="text1"/>
          <w:spacing w:val="0"/>
          <w:sz w:val="30"/>
          <w:szCs w:val="30"/>
          <w:highlight w:val="none"/>
          <w:lang w:val="en-US" w:eastAsia="zh-CN"/>
          <w14:shadow w14:blurRad="50800" w14:dist="38100" w14:dir="2700000" w14:sx="100000" w14:sy="100000" w14:kx="0" w14:ky="0" w14:algn="tl">
            <w14:srgbClr w14:val="000000">
              <w14:alpha w14:val="60000"/>
            </w14:srgbClr>
          </w14:shadow>
          <w14:textFill>
            <w14:solidFill>
              <w14:schemeClr w14:val="tx1"/>
            </w14:solidFill>
          </w14:textFill>
        </w:rPr>
        <w:t>桂林市中西医结合医院</w:t>
      </w:r>
    </w:p>
    <w:p w14:paraId="133C3C25">
      <w:pPr>
        <w:keepNext w:val="0"/>
        <w:keepLines w:val="0"/>
        <w:pageBreakBefore w:val="0"/>
        <w:widowControl w:val="0"/>
        <w:kinsoku/>
        <w:wordWrap/>
        <w:overflowPunct/>
        <w:topLinePunct w:val="0"/>
        <w:autoSpaceDE/>
        <w:autoSpaceDN/>
        <w:bidi w:val="0"/>
        <w:adjustRightInd/>
        <w:snapToGrid/>
        <w:spacing w:line="360" w:lineRule="auto"/>
        <w:ind w:left="2832" w:leftChars="977" w:hanging="780" w:hangingChars="260"/>
        <w:jc w:val="both"/>
        <w:textAlignment w:val="auto"/>
        <w:rPr>
          <w:rFonts w:hint="eastAsia" w:ascii="Times New Roman" w:hAnsi="Times New Roman" w:eastAsia="华文中宋" w:cs="华文中宋"/>
          <w:b w:val="0"/>
          <w:bCs w:val="0"/>
          <w:color w:val="000000" w:themeColor="text1"/>
          <w:spacing w:val="0"/>
          <w:sz w:val="30"/>
          <w:szCs w:val="30"/>
          <w:highlight w:val="none"/>
          <w:lang w:val="en-US"/>
          <w14:shadow w14:blurRad="50800" w14:dist="38100" w14:dir="2700000" w14:sx="100000" w14:sy="100000" w14:kx="0" w14:ky="0" w14:algn="tl">
            <w14:srgbClr w14:val="000000">
              <w14:alpha w14:val="60000"/>
            </w14:srgbClr>
          </w14:shadow>
          <w14:textFill>
            <w14:solidFill>
              <w14:schemeClr w14:val="tx1"/>
            </w14:solidFill>
          </w14:textFill>
        </w:rPr>
      </w:pPr>
      <w:r>
        <w:rPr>
          <w:rFonts w:hint="eastAsia" w:ascii="Times New Roman" w:hAnsi="Times New Roman" w:eastAsia="华文中宋" w:cs="华文中宋"/>
          <w:b w:val="0"/>
          <w:bCs w:val="0"/>
          <w:color w:val="000000" w:themeColor="text1"/>
          <w:spacing w:val="0"/>
          <w:sz w:val="30"/>
          <w:szCs w:val="30"/>
          <w:highlight w:val="none"/>
          <w:lang w:val="en-US" w:eastAsia="zh-CN"/>
          <w14:shadow w14:blurRad="50800" w14:dist="38100" w14:dir="2700000" w14:sx="100000" w14:sy="100000" w14:kx="0" w14:ky="0" w14:algn="tl">
            <w14:srgbClr w14:val="000000">
              <w14:alpha w14:val="60000"/>
            </w14:srgbClr>
          </w14:shadow>
          <w14:textFill>
            <w14:solidFill>
              <w14:schemeClr w14:val="tx1"/>
            </w14:solidFill>
          </w14:textFill>
        </w:rPr>
        <w:t>采购</w:t>
      </w:r>
      <w:r>
        <w:rPr>
          <w:rFonts w:hint="eastAsia" w:ascii="Times New Roman" w:hAnsi="Times New Roman" w:eastAsia="华文中宋" w:cs="华文中宋"/>
          <w:b w:val="0"/>
          <w:bCs w:val="0"/>
          <w:color w:val="000000" w:themeColor="text1"/>
          <w:spacing w:val="0"/>
          <w:sz w:val="30"/>
          <w:szCs w:val="30"/>
          <w:highlight w:val="none"/>
          <w14:shadow w14:blurRad="50800" w14:dist="38100" w14:dir="2700000" w14:sx="100000" w14:sy="100000" w14:kx="0" w14:ky="0" w14:algn="tl">
            <w14:srgbClr w14:val="000000">
              <w14:alpha w14:val="60000"/>
            </w14:srgbClr>
          </w14:shadow>
          <w14:textFill>
            <w14:solidFill>
              <w14:schemeClr w14:val="tx1"/>
            </w14:solidFill>
          </w14:textFill>
        </w:rPr>
        <w:t>代理机构：</w:t>
      </w:r>
      <w:r>
        <w:rPr>
          <w:rFonts w:hint="eastAsia" w:ascii="Times New Roman" w:hAnsi="Times New Roman" w:eastAsia="华文中宋" w:cs="华文中宋"/>
          <w:b w:val="0"/>
          <w:bCs w:val="0"/>
          <w:color w:val="000000" w:themeColor="text1"/>
          <w:spacing w:val="0"/>
          <w:sz w:val="30"/>
          <w:szCs w:val="30"/>
          <w:highlight w:val="none"/>
          <w:lang w:val="en-US" w:eastAsia="zh-CN"/>
          <w14:shadow w14:blurRad="50800" w14:dist="38100" w14:dir="2700000" w14:sx="100000" w14:sy="100000" w14:kx="0" w14:ky="0" w14:algn="tl">
            <w14:srgbClr w14:val="000000">
              <w14:alpha w14:val="60000"/>
            </w14:srgbClr>
          </w14:shadow>
          <w14:textFill>
            <w14:solidFill>
              <w14:schemeClr w14:val="tx1"/>
            </w14:solidFill>
          </w14:textFill>
        </w:rPr>
        <w:t>广西科联招标中心有限公司</w:t>
      </w:r>
    </w:p>
    <w:p w14:paraId="40910C0C">
      <w:pPr>
        <w:keepNext w:val="0"/>
        <w:keepLines w:val="0"/>
        <w:pageBreakBefore w:val="0"/>
        <w:widowControl w:val="0"/>
        <w:kinsoku/>
        <w:wordWrap/>
        <w:overflowPunct/>
        <w:topLinePunct w:val="0"/>
        <w:autoSpaceDE/>
        <w:autoSpaceDN/>
        <w:bidi w:val="0"/>
        <w:adjustRightInd/>
        <w:snapToGrid/>
        <w:spacing w:line="360" w:lineRule="auto"/>
        <w:ind w:left="2832" w:leftChars="977" w:hanging="780" w:hangingChars="260"/>
        <w:jc w:val="both"/>
        <w:textAlignment w:val="auto"/>
        <w:rPr>
          <w:b w:val="0"/>
          <w:bCs w:val="0"/>
          <w:color w:val="000000" w:themeColor="text1"/>
          <w:w w:val="95"/>
          <w:kern w:val="0"/>
          <w:sz w:val="30"/>
          <w:szCs w:val="30"/>
          <w:highlight w:val="none"/>
          <w14:textFill>
            <w14:solidFill>
              <w14:schemeClr w14:val="tx1"/>
            </w14:solidFill>
          </w14:textFill>
        </w:rPr>
      </w:pPr>
      <w:r>
        <w:rPr>
          <w:rFonts w:hint="eastAsia" w:ascii="Times New Roman" w:hAnsi="Times New Roman" w:eastAsia="华文中宋" w:cs="华文中宋"/>
          <w:b w:val="0"/>
          <w:bCs w:val="0"/>
          <w:color w:val="000000" w:themeColor="text1"/>
          <w:spacing w:val="0"/>
          <w:sz w:val="30"/>
          <w:szCs w:val="30"/>
          <w:highlight w:val="none"/>
          <w:lang w:val="en-US" w:eastAsia="zh-CN"/>
          <w14:shadow w14:blurRad="50800" w14:dist="38100" w14:dir="2700000" w14:sx="100000" w14:sy="100000" w14:kx="0" w14:ky="0" w14:algn="tl">
            <w14:srgbClr w14:val="000000">
              <w14:alpha w14:val="60000"/>
            </w14:srgbClr>
          </w14:shadow>
          <w14:textFill>
            <w14:solidFill>
              <w14:schemeClr w14:val="tx1"/>
            </w14:solidFill>
          </w14:textFill>
        </w:rPr>
        <w:t>日期：202</w:t>
      </w:r>
      <w:r>
        <w:rPr>
          <w:rFonts w:hint="eastAsia" w:eastAsia="华文中宋" w:cs="华文中宋"/>
          <w:b w:val="0"/>
          <w:bCs w:val="0"/>
          <w:color w:val="000000" w:themeColor="text1"/>
          <w:spacing w:val="0"/>
          <w:sz w:val="30"/>
          <w:szCs w:val="30"/>
          <w:highlight w:val="none"/>
          <w:lang w:val="en-US" w:eastAsia="zh-CN"/>
          <w14:shadow w14:blurRad="50800" w14:dist="38100" w14:dir="2700000" w14:sx="100000" w14:sy="100000" w14:kx="0" w14:ky="0" w14:algn="tl">
            <w14:srgbClr w14:val="000000">
              <w14:alpha w14:val="60000"/>
            </w14:srgbClr>
          </w14:shadow>
          <w14:textFill>
            <w14:solidFill>
              <w14:schemeClr w14:val="tx1"/>
            </w14:solidFill>
          </w14:textFill>
        </w:rPr>
        <w:t>6</w:t>
      </w:r>
      <w:r>
        <w:rPr>
          <w:rFonts w:hint="eastAsia" w:ascii="Times New Roman" w:hAnsi="Times New Roman" w:eastAsia="华文中宋" w:cs="华文中宋"/>
          <w:b w:val="0"/>
          <w:bCs w:val="0"/>
          <w:color w:val="000000" w:themeColor="text1"/>
          <w:spacing w:val="0"/>
          <w:sz w:val="30"/>
          <w:szCs w:val="30"/>
          <w:highlight w:val="none"/>
          <w:lang w:val="en-US" w:eastAsia="zh-CN"/>
          <w14:shadow w14:blurRad="50800" w14:dist="38100" w14:dir="2700000" w14:sx="100000" w14:sy="100000" w14:kx="0" w14:ky="0" w14:algn="tl">
            <w14:srgbClr w14:val="000000">
              <w14:alpha w14:val="60000"/>
            </w14:srgbClr>
          </w14:shadow>
          <w14:textFill>
            <w14:solidFill>
              <w14:schemeClr w14:val="tx1"/>
            </w14:solidFill>
          </w14:textFill>
        </w:rPr>
        <w:t>年</w:t>
      </w:r>
      <w:r>
        <w:rPr>
          <w:rFonts w:hint="eastAsia" w:eastAsia="华文中宋" w:cs="华文中宋"/>
          <w:b w:val="0"/>
          <w:bCs w:val="0"/>
          <w:color w:val="000000" w:themeColor="text1"/>
          <w:spacing w:val="0"/>
          <w:sz w:val="30"/>
          <w:szCs w:val="30"/>
          <w:highlight w:val="none"/>
          <w:lang w:val="en-US" w:eastAsia="zh-CN"/>
          <w14:shadow w14:blurRad="50800" w14:dist="38100" w14:dir="2700000" w14:sx="100000" w14:sy="100000" w14:kx="0" w14:ky="0" w14:algn="tl">
            <w14:srgbClr w14:val="000000">
              <w14:alpha w14:val="60000"/>
            </w14:srgbClr>
          </w14:shadow>
          <w14:textFill>
            <w14:solidFill>
              <w14:schemeClr w14:val="tx1"/>
            </w14:solidFill>
          </w14:textFill>
        </w:rPr>
        <w:t>1</w:t>
      </w:r>
      <w:r>
        <w:rPr>
          <w:rFonts w:hint="eastAsia" w:ascii="Times New Roman" w:hAnsi="Times New Roman" w:eastAsia="华文中宋" w:cs="华文中宋"/>
          <w:b w:val="0"/>
          <w:bCs w:val="0"/>
          <w:color w:val="000000" w:themeColor="text1"/>
          <w:spacing w:val="0"/>
          <w:sz w:val="30"/>
          <w:szCs w:val="30"/>
          <w:highlight w:val="none"/>
          <w:lang w:val="en-US" w:eastAsia="zh-CN"/>
          <w14:shadow w14:blurRad="50800" w14:dist="38100" w14:dir="2700000" w14:sx="100000" w14:sy="100000" w14:kx="0" w14:ky="0" w14:algn="tl">
            <w14:srgbClr w14:val="000000">
              <w14:alpha w14:val="60000"/>
            </w14:srgbClr>
          </w14:shadow>
          <w14:textFill>
            <w14:solidFill>
              <w14:schemeClr w14:val="tx1"/>
            </w14:solidFill>
          </w14:textFill>
        </w:rPr>
        <w:t>月</w:t>
      </w:r>
      <w:r>
        <w:rPr>
          <w:rFonts w:hint="eastAsia" w:eastAsia="华文中宋" w:cs="华文中宋"/>
          <w:b w:val="0"/>
          <w:bCs w:val="0"/>
          <w:color w:val="000000" w:themeColor="text1"/>
          <w:spacing w:val="0"/>
          <w:sz w:val="30"/>
          <w:szCs w:val="30"/>
          <w:highlight w:val="none"/>
          <w:lang w:val="en-US" w:eastAsia="zh-CN"/>
          <w14:shadow w14:blurRad="50800" w14:dist="38100" w14:dir="2700000" w14:sx="100000" w14:sy="100000" w14:kx="0" w14:ky="0" w14:algn="tl">
            <w14:srgbClr w14:val="000000">
              <w14:alpha w14:val="60000"/>
            </w14:srgbClr>
          </w14:shadow>
          <w14:textFill>
            <w14:solidFill>
              <w14:schemeClr w14:val="tx1"/>
            </w14:solidFill>
          </w14:textFill>
        </w:rPr>
        <w:t>12</w:t>
      </w:r>
      <w:r>
        <w:rPr>
          <w:rFonts w:hint="eastAsia" w:ascii="Times New Roman" w:hAnsi="Times New Roman" w:eastAsia="华文中宋" w:cs="华文中宋"/>
          <w:b w:val="0"/>
          <w:bCs w:val="0"/>
          <w:color w:val="000000" w:themeColor="text1"/>
          <w:spacing w:val="0"/>
          <w:sz w:val="30"/>
          <w:szCs w:val="30"/>
          <w:highlight w:val="none"/>
          <w:lang w:val="en-US" w:eastAsia="zh-CN"/>
          <w14:shadow w14:blurRad="50800" w14:dist="38100" w14:dir="2700000" w14:sx="100000" w14:sy="100000" w14:kx="0" w14:ky="0" w14:algn="tl">
            <w14:srgbClr w14:val="000000">
              <w14:alpha w14:val="60000"/>
            </w14:srgbClr>
          </w14:shadow>
          <w14:textFill>
            <w14:solidFill>
              <w14:schemeClr w14:val="tx1"/>
            </w14:solidFill>
          </w14:textFill>
        </w:rPr>
        <w:t>日</w:t>
      </w:r>
    </w:p>
    <w:p w14:paraId="5FFDECF2">
      <w:pPr>
        <w:pStyle w:val="12"/>
        <w:ind w:firstLine="803"/>
        <w:jc w:val="center"/>
        <w:rPr>
          <w:rFonts w:hint="eastAsia" w:ascii="宋体" w:hAnsi="宋体" w:cs="宋体"/>
          <w:b/>
          <w:bCs/>
          <w:color w:val="000000" w:themeColor="text1"/>
          <w:w w:val="95"/>
          <w:sz w:val="30"/>
          <w:szCs w:val="30"/>
          <w:highlight w:val="none"/>
          <w14:textFill>
            <w14:solidFill>
              <w14:schemeClr w14:val="tx1"/>
            </w14:solidFill>
          </w14:textFill>
        </w:rPr>
        <w:sectPr>
          <w:headerReference r:id="rId5" w:type="first"/>
          <w:headerReference r:id="rId3" w:type="default"/>
          <w:footerReference r:id="rId6" w:type="default"/>
          <w:headerReference r:id="rId4" w:type="even"/>
          <w:footerReference r:id="rId7" w:type="even"/>
          <w:pgSz w:w="11911" w:h="16838"/>
          <w:pgMar w:top="1440" w:right="1080" w:bottom="1440" w:left="1080" w:header="720" w:footer="720" w:gutter="0"/>
          <w:pgNumType w:start="1"/>
          <w:cols w:space="720" w:num="1"/>
          <w:titlePg/>
          <w:docGrid w:linePitch="331" w:charSpace="0"/>
        </w:sectPr>
      </w:pPr>
    </w:p>
    <w:p w14:paraId="2441A17F">
      <w:pPr>
        <w:pStyle w:val="23"/>
        <w:tabs>
          <w:tab w:val="right" w:leader="dot" w:pos="9751"/>
        </w:tabs>
        <w:rPr>
          <w:rFonts w:hint="eastAsia"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fldChar w:fldCharType="begin"/>
      </w:r>
      <w:r>
        <w:rPr>
          <w:rFonts w:hint="eastAsia" w:ascii="宋体" w:hAnsi="宋体" w:eastAsia="宋体" w:cs="宋体"/>
          <w:b/>
          <w:bCs/>
          <w:color w:val="000000" w:themeColor="text1"/>
          <w:sz w:val="24"/>
          <w:szCs w:val="24"/>
          <w:highlight w:val="none"/>
          <w14:textFill>
            <w14:solidFill>
              <w14:schemeClr w14:val="tx1"/>
            </w14:solidFill>
          </w14:textFill>
        </w:rPr>
        <w:instrText xml:space="preserve">TOC \o "1-1" \h \u </w:instrText>
      </w:r>
      <w:r>
        <w:rPr>
          <w:rFonts w:hint="eastAsia" w:ascii="宋体" w:hAnsi="宋体" w:eastAsia="宋体" w:cs="宋体"/>
          <w:b/>
          <w:bCs/>
          <w:color w:val="000000" w:themeColor="text1"/>
          <w:sz w:val="24"/>
          <w:szCs w:val="24"/>
          <w:highlight w:val="none"/>
          <w14:textFill>
            <w14:solidFill>
              <w14:schemeClr w14:val="tx1"/>
            </w14:solidFill>
          </w14:textFill>
        </w:rPr>
        <w:fldChar w:fldCharType="separate"/>
      </w:r>
    </w:p>
    <w:sdt>
      <w:sdtPr>
        <w:rPr>
          <w:rFonts w:ascii="宋体" w:hAnsi="宋体" w:eastAsia="宋体" w:cs="Times New Roman"/>
          <w:color w:val="000000" w:themeColor="text1"/>
          <w:kern w:val="2"/>
          <w:sz w:val="32"/>
          <w:szCs w:val="32"/>
          <w:lang w:val="en-US" w:eastAsia="zh-CN" w:bidi="ar-SA"/>
          <w14:textFill>
            <w14:solidFill>
              <w14:schemeClr w14:val="tx1"/>
            </w14:solidFill>
          </w14:textFill>
        </w:rPr>
        <w:id w:val="147481933"/>
        <w15:color w:val="DBDBDB"/>
        <w:docPartObj>
          <w:docPartGallery w:val="Table of Contents"/>
          <w:docPartUnique/>
        </w:docPartObj>
      </w:sdtPr>
      <w:sdtEndPr>
        <w:rPr>
          <w:rFonts w:ascii="Times New Roman" w:hAnsi="Times New Roman" w:eastAsia="宋体" w:cs="Times New Roman"/>
          <w:color w:val="000000" w:themeColor="text1"/>
          <w:kern w:val="2"/>
          <w:sz w:val="21"/>
          <w:szCs w:val="24"/>
          <w:lang w:val="en-US" w:eastAsia="zh-CN" w:bidi="ar-SA"/>
          <w14:textFill>
            <w14:solidFill>
              <w14:schemeClr w14:val="tx1"/>
            </w14:solidFill>
          </w14:textFill>
        </w:rPr>
      </w:sdtEndPr>
      <w:sdtContent>
        <w:p w14:paraId="07355FE4">
          <w:pPr>
            <w:keepNext w:val="0"/>
            <w:keepLines w:val="0"/>
            <w:pageBreakBefore w:val="0"/>
            <w:widowControl w:val="0"/>
            <w:kinsoku/>
            <w:wordWrap/>
            <w:overflowPunct/>
            <w:topLinePunct w:val="0"/>
            <w:autoSpaceDE/>
            <w:autoSpaceDN/>
            <w:bidi w:val="0"/>
            <w:adjustRightInd/>
            <w:snapToGrid/>
            <w:spacing w:before="0" w:after="0" w:line="380" w:lineRule="exact"/>
            <w:ind w:left="0" w:leftChars="0" w:right="0" w:rightChars="0" w:firstLine="0" w:firstLineChars="0"/>
            <w:jc w:val="center"/>
            <w:textAlignment w:val="auto"/>
            <w:rPr>
              <w:b/>
              <w:bCs/>
              <w:color w:val="000000" w:themeColor="text1"/>
              <w:sz w:val="32"/>
              <w:szCs w:val="32"/>
              <w14:textFill>
                <w14:solidFill>
                  <w14:schemeClr w14:val="tx1"/>
                </w14:solidFill>
              </w14:textFill>
            </w:rPr>
          </w:pPr>
          <w:r>
            <w:rPr>
              <w:rFonts w:ascii="宋体" w:hAnsi="宋体" w:eastAsia="宋体"/>
              <w:b/>
              <w:bCs/>
              <w:color w:val="000000" w:themeColor="text1"/>
              <w:sz w:val="32"/>
              <w:szCs w:val="32"/>
              <w14:textFill>
                <w14:solidFill>
                  <w14:schemeClr w14:val="tx1"/>
                </w14:solidFill>
              </w14:textFill>
            </w:rPr>
            <w:t>目</w:t>
          </w:r>
          <w:r>
            <w:rPr>
              <w:rFonts w:hint="eastAsia" w:ascii="宋体" w:hAnsi="宋体" w:eastAsia="宋体"/>
              <w:b/>
              <w:bCs/>
              <w:color w:val="000000" w:themeColor="text1"/>
              <w:sz w:val="32"/>
              <w:szCs w:val="32"/>
              <w:lang w:val="en-US" w:eastAsia="zh-CN"/>
              <w14:textFill>
                <w14:solidFill>
                  <w14:schemeClr w14:val="tx1"/>
                </w14:solidFill>
              </w14:textFill>
            </w:rPr>
            <w:t xml:space="preserve"> </w:t>
          </w:r>
          <w:r>
            <w:rPr>
              <w:rFonts w:ascii="宋体" w:hAnsi="宋体" w:eastAsia="宋体"/>
              <w:b/>
              <w:bCs/>
              <w:color w:val="000000" w:themeColor="text1"/>
              <w:sz w:val="32"/>
              <w:szCs w:val="32"/>
              <w14:textFill>
                <w14:solidFill>
                  <w14:schemeClr w14:val="tx1"/>
                </w14:solidFill>
              </w14:textFill>
            </w:rPr>
            <w:t>录</w:t>
          </w:r>
        </w:p>
        <w:p w14:paraId="4134002D">
          <w:pPr>
            <w:pStyle w:val="23"/>
            <w:keepNext w:val="0"/>
            <w:keepLines w:val="0"/>
            <w:pageBreakBefore w:val="0"/>
            <w:widowControl w:val="0"/>
            <w:tabs>
              <w:tab w:val="right" w:leader="dot" w:pos="9751"/>
            </w:tabs>
            <w:kinsoku/>
            <w:wordWrap/>
            <w:overflowPunct/>
            <w:topLinePunct w:val="0"/>
            <w:autoSpaceDE/>
            <w:autoSpaceDN/>
            <w:bidi w:val="0"/>
            <w:adjustRightInd/>
            <w:snapToGrid/>
            <w:spacing w:line="360" w:lineRule="auto"/>
            <w:textAlignment w:val="auto"/>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fldChar w:fldCharType="begin"/>
          </w:r>
          <w:r>
            <w:rPr>
              <w:color w:val="000000" w:themeColor="text1"/>
              <w:sz w:val="24"/>
              <w:szCs w:val="24"/>
              <w14:textFill>
                <w14:solidFill>
                  <w14:schemeClr w14:val="tx1"/>
                </w14:solidFill>
              </w14:textFill>
            </w:rPr>
            <w:instrText xml:space="preserve">TOC \o "1-3" \h \u </w:instrText>
          </w:r>
          <w:r>
            <w:rPr>
              <w:color w:val="000000" w:themeColor="text1"/>
              <w:sz w:val="24"/>
              <w:szCs w:val="24"/>
              <w14:textFill>
                <w14:solidFill>
                  <w14:schemeClr w14:val="tx1"/>
                </w14:solidFill>
              </w14:textFill>
            </w:rPr>
            <w:fldChar w:fldCharType="separate"/>
          </w:r>
          <w:r>
            <w:rPr>
              <w:color w:val="000000" w:themeColor="text1"/>
              <w:sz w:val="24"/>
              <w:szCs w:val="24"/>
              <w14:textFill>
                <w14:solidFill>
                  <w14:schemeClr w14:val="tx1"/>
                </w14:solidFill>
              </w14:textFill>
            </w:rPr>
            <w:fldChar w:fldCharType="begin"/>
          </w:r>
          <w:r>
            <w:rPr>
              <w:color w:val="000000" w:themeColor="text1"/>
              <w:sz w:val="24"/>
              <w:szCs w:val="24"/>
              <w14:textFill>
                <w14:solidFill>
                  <w14:schemeClr w14:val="tx1"/>
                </w14:solidFill>
              </w14:textFill>
            </w:rPr>
            <w:instrText xml:space="preserve"> HYPERLINK \l _Toc13116 </w:instrText>
          </w:r>
          <w:r>
            <w:rPr>
              <w:color w:val="000000" w:themeColor="text1"/>
              <w:sz w:val="24"/>
              <w:szCs w:val="24"/>
              <w14:textFill>
                <w14:solidFill>
                  <w14:schemeClr w14:val="tx1"/>
                </w14:solidFill>
              </w14:textFill>
            </w:rPr>
            <w:fldChar w:fldCharType="separate"/>
          </w:r>
          <w:r>
            <w:rPr>
              <w:rFonts w:hint="eastAsia" w:ascii="华文中宋" w:hAnsi="华文中宋" w:eastAsia="华文中宋" w:cs="华文中宋"/>
              <w:color w:val="000000" w:themeColor="text1"/>
              <w:sz w:val="24"/>
              <w:szCs w:val="24"/>
              <w14:textFill>
                <w14:solidFill>
                  <w14:schemeClr w14:val="tx1"/>
                </w14:solidFill>
              </w14:textFill>
            </w:rPr>
            <w:t xml:space="preserve">第一章 </w:t>
          </w:r>
          <w:r>
            <w:rPr>
              <w:rFonts w:hint="eastAsia" w:ascii="华文中宋" w:hAnsi="华文中宋" w:eastAsia="华文中宋" w:cs="华文中宋"/>
              <w:color w:val="000000" w:themeColor="text1"/>
              <w:sz w:val="24"/>
              <w:szCs w:val="24"/>
              <w:lang w:val="en-US" w:eastAsia="zh-CN"/>
              <w14:textFill>
                <w14:solidFill>
                  <w14:schemeClr w14:val="tx1"/>
                </w14:solidFill>
              </w14:textFill>
            </w:rPr>
            <w:t xml:space="preserve"> </w:t>
          </w:r>
          <w:r>
            <w:rPr>
              <w:rFonts w:hint="eastAsia" w:ascii="华文中宋" w:hAnsi="华文中宋" w:eastAsia="华文中宋" w:cs="华文中宋"/>
              <w:color w:val="000000" w:themeColor="text1"/>
              <w:sz w:val="24"/>
              <w:szCs w:val="24"/>
              <w14:textFill>
                <w14:solidFill>
                  <w14:schemeClr w14:val="tx1"/>
                </w14:solidFill>
              </w14:textFill>
            </w:rPr>
            <w:t>竞争性磋商公告</w:t>
          </w:r>
          <w:r>
            <w:rPr>
              <w:color w:val="000000" w:themeColor="text1"/>
              <w:sz w:val="24"/>
              <w:szCs w:val="24"/>
              <w14:textFill>
                <w14:solidFill>
                  <w14:schemeClr w14:val="tx1"/>
                </w14:solidFill>
              </w14:textFill>
            </w:rPr>
            <w:tab/>
          </w:r>
          <w:r>
            <w:rPr>
              <w:color w:val="000000" w:themeColor="text1"/>
              <w:sz w:val="24"/>
              <w:szCs w:val="24"/>
              <w14:textFill>
                <w14:solidFill>
                  <w14:schemeClr w14:val="tx1"/>
                </w14:solidFill>
              </w14:textFill>
            </w:rPr>
            <w:fldChar w:fldCharType="begin"/>
          </w:r>
          <w:r>
            <w:rPr>
              <w:color w:val="000000" w:themeColor="text1"/>
              <w:sz w:val="24"/>
              <w:szCs w:val="24"/>
              <w14:textFill>
                <w14:solidFill>
                  <w14:schemeClr w14:val="tx1"/>
                </w14:solidFill>
              </w14:textFill>
            </w:rPr>
            <w:instrText xml:space="preserve"> PAGEREF _Toc13116 \h </w:instrText>
          </w:r>
          <w:r>
            <w:rPr>
              <w:color w:val="000000" w:themeColor="text1"/>
              <w:sz w:val="24"/>
              <w:szCs w:val="24"/>
              <w14:textFill>
                <w14:solidFill>
                  <w14:schemeClr w14:val="tx1"/>
                </w14:solidFill>
              </w14:textFill>
            </w:rPr>
            <w:fldChar w:fldCharType="separate"/>
          </w:r>
          <w:r>
            <w:rPr>
              <w:color w:val="000000" w:themeColor="text1"/>
              <w:sz w:val="24"/>
              <w:szCs w:val="24"/>
              <w14:textFill>
                <w14:solidFill>
                  <w14:schemeClr w14:val="tx1"/>
                </w14:solidFill>
              </w14:textFill>
            </w:rPr>
            <w:t>1</w:t>
          </w:r>
          <w:r>
            <w:rPr>
              <w:color w:val="000000" w:themeColor="text1"/>
              <w:sz w:val="24"/>
              <w:szCs w:val="24"/>
              <w14:textFill>
                <w14:solidFill>
                  <w14:schemeClr w14:val="tx1"/>
                </w14:solidFill>
              </w14:textFill>
            </w:rPr>
            <w:fldChar w:fldCharType="end"/>
          </w:r>
          <w:r>
            <w:rPr>
              <w:color w:val="000000" w:themeColor="text1"/>
              <w:sz w:val="24"/>
              <w:szCs w:val="24"/>
              <w14:textFill>
                <w14:solidFill>
                  <w14:schemeClr w14:val="tx1"/>
                </w14:solidFill>
              </w14:textFill>
            </w:rPr>
            <w:fldChar w:fldCharType="end"/>
          </w:r>
        </w:p>
        <w:p w14:paraId="1D8D7123">
          <w:pPr>
            <w:pStyle w:val="23"/>
            <w:keepNext w:val="0"/>
            <w:keepLines w:val="0"/>
            <w:pageBreakBefore w:val="0"/>
            <w:widowControl w:val="0"/>
            <w:tabs>
              <w:tab w:val="right" w:leader="dot" w:pos="9751"/>
            </w:tabs>
            <w:kinsoku/>
            <w:wordWrap/>
            <w:overflowPunct/>
            <w:topLinePunct w:val="0"/>
            <w:autoSpaceDE/>
            <w:autoSpaceDN/>
            <w:bidi w:val="0"/>
            <w:adjustRightInd/>
            <w:snapToGrid/>
            <w:spacing w:line="360" w:lineRule="auto"/>
            <w:textAlignment w:val="auto"/>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fldChar w:fldCharType="begin"/>
          </w:r>
          <w:r>
            <w:rPr>
              <w:color w:val="000000" w:themeColor="text1"/>
              <w:sz w:val="24"/>
              <w:szCs w:val="24"/>
              <w14:textFill>
                <w14:solidFill>
                  <w14:schemeClr w14:val="tx1"/>
                </w14:solidFill>
              </w14:textFill>
            </w:rPr>
            <w:instrText xml:space="preserve"> HYPERLINK \l _Toc933 </w:instrText>
          </w:r>
          <w:r>
            <w:rPr>
              <w:color w:val="000000" w:themeColor="text1"/>
              <w:sz w:val="24"/>
              <w:szCs w:val="24"/>
              <w14:textFill>
                <w14:solidFill>
                  <w14:schemeClr w14:val="tx1"/>
                </w14:solidFill>
              </w14:textFill>
            </w:rPr>
            <w:fldChar w:fldCharType="separate"/>
          </w:r>
          <w:r>
            <w:rPr>
              <w:rFonts w:hint="eastAsia" w:ascii="华文中宋" w:hAnsi="华文中宋" w:eastAsia="华文中宋" w:cs="华文中宋"/>
              <w:color w:val="000000" w:themeColor="text1"/>
              <w:sz w:val="24"/>
              <w:szCs w:val="24"/>
              <w14:textFill>
                <w14:solidFill>
                  <w14:schemeClr w14:val="tx1"/>
                </w14:solidFill>
              </w14:textFill>
            </w:rPr>
            <w:t xml:space="preserve">第二章 </w:t>
          </w:r>
          <w:r>
            <w:rPr>
              <w:rFonts w:hint="eastAsia" w:ascii="华文中宋" w:hAnsi="华文中宋" w:eastAsia="华文中宋" w:cs="华文中宋"/>
              <w:color w:val="000000" w:themeColor="text1"/>
              <w:sz w:val="24"/>
              <w:szCs w:val="24"/>
              <w:lang w:val="en-US" w:eastAsia="zh-CN"/>
              <w14:textFill>
                <w14:solidFill>
                  <w14:schemeClr w14:val="tx1"/>
                </w14:solidFill>
              </w14:textFill>
            </w:rPr>
            <w:t xml:space="preserve"> </w:t>
          </w:r>
          <w:r>
            <w:rPr>
              <w:rFonts w:hint="eastAsia" w:ascii="华文中宋" w:hAnsi="华文中宋" w:eastAsia="华文中宋" w:cs="华文中宋"/>
              <w:color w:val="000000" w:themeColor="text1"/>
              <w:sz w:val="24"/>
              <w:szCs w:val="24"/>
              <w14:textFill>
                <w14:solidFill>
                  <w14:schemeClr w14:val="tx1"/>
                </w14:solidFill>
              </w14:textFill>
            </w:rPr>
            <w:t>采购需求</w:t>
          </w:r>
          <w:r>
            <w:rPr>
              <w:color w:val="000000" w:themeColor="text1"/>
              <w:sz w:val="24"/>
              <w:szCs w:val="24"/>
              <w14:textFill>
                <w14:solidFill>
                  <w14:schemeClr w14:val="tx1"/>
                </w14:solidFill>
              </w14:textFill>
            </w:rPr>
            <w:tab/>
          </w:r>
          <w:r>
            <w:rPr>
              <w:color w:val="000000" w:themeColor="text1"/>
              <w:sz w:val="24"/>
              <w:szCs w:val="24"/>
              <w14:textFill>
                <w14:solidFill>
                  <w14:schemeClr w14:val="tx1"/>
                </w14:solidFill>
              </w14:textFill>
            </w:rPr>
            <w:fldChar w:fldCharType="begin"/>
          </w:r>
          <w:r>
            <w:rPr>
              <w:color w:val="000000" w:themeColor="text1"/>
              <w:sz w:val="24"/>
              <w:szCs w:val="24"/>
              <w14:textFill>
                <w14:solidFill>
                  <w14:schemeClr w14:val="tx1"/>
                </w14:solidFill>
              </w14:textFill>
            </w:rPr>
            <w:instrText xml:space="preserve"> PAGEREF _Toc933 \h </w:instrText>
          </w:r>
          <w:r>
            <w:rPr>
              <w:color w:val="000000" w:themeColor="text1"/>
              <w:sz w:val="24"/>
              <w:szCs w:val="24"/>
              <w14:textFill>
                <w14:solidFill>
                  <w14:schemeClr w14:val="tx1"/>
                </w14:solidFill>
              </w14:textFill>
            </w:rPr>
            <w:fldChar w:fldCharType="separate"/>
          </w:r>
          <w:r>
            <w:rPr>
              <w:color w:val="000000" w:themeColor="text1"/>
              <w:sz w:val="24"/>
              <w:szCs w:val="24"/>
              <w14:textFill>
                <w14:solidFill>
                  <w14:schemeClr w14:val="tx1"/>
                </w14:solidFill>
              </w14:textFill>
            </w:rPr>
            <w:t>4</w:t>
          </w:r>
          <w:r>
            <w:rPr>
              <w:color w:val="000000" w:themeColor="text1"/>
              <w:sz w:val="24"/>
              <w:szCs w:val="24"/>
              <w14:textFill>
                <w14:solidFill>
                  <w14:schemeClr w14:val="tx1"/>
                </w14:solidFill>
              </w14:textFill>
            </w:rPr>
            <w:fldChar w:fldCharType="end"/>
          </w:r>
          <w:r>
            <w:rPr>
              <w:color w:val="000000" w:themeColor="text1"/>
              <w:sz w:val="24"/>
              <w:szCs w:val="24"/>
              <w14:textFill>
                <w14:solidFill>
                  <w14:schemeClr w14:val="tx1"/>
                </w14:solidFill>
              </w14:textFill>
            </w:rPr>
            <w:fldChar w:fldCharType="end"/>
          </w:r>
        </w:p>
        <w:p w14:paraId="7F2576B6">
          <w:pPr>
            <w:pStyle w:val="23"/>
            <w:keepNext w:val="0"/>
            <w:keepLines w:val="0"/>
            <w:pageBreakBefore w:val="0"/>
            <w:widowControl w:val="0"/>
            <w:tabs>
              <w:tab w:val="right" w:leader="dot" w:pos="9751"/>
            </w:tabs>
            <w:kinsoku/>
            <w:wordWrap/>
            <w:overflowPunct/>
            <w:topLinePunct w:val="0"/>
            <w:autoSpaceDE/>
            <w:autoSpaceDN/>
            <w:bidi w:val="0"/>
            <w:adjustRightInd/>
            <w:snapToGrid/>
            <w:spacing w:line="360" w:lineRule="auto"/>
            <w:textAlignment w:val="auto"/>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fldChar w:fldCharType="begin"/>
          </w:r>
          <w:r>
            <w:rPr>
              <w:color w:val="000000" w:themeColor="text1"/>
              <w:sz w:val="24"/>
              <w:szCs w:val="24"/>
              <w14:textFill>
                <w14:solidFill>
                  <w14:schemeClr w14:val="tx1"/>
                </w14:solidFill>
              </w14:textFill>
            </w:rPr>
            <w:instrText xml:space="preserve"> HYPERLINK \l _Toc28406 </w:instrText>
          </w:r>
          <w:r>
            <w:rPr>
              <w:color w:val="000000" w:themeColor="text1"/>
              <w:sz w:val="24"/>
              <w:szCs w:val="24"/>
              <w14:textFill>
                <w14:solidFill>
                  <w14:schemeClr w14:val="tx1"/>
                </w14:solidFill>
              </w14:textFill>
            </w:rPr>
            <w:fldChar w:fldCharType="separate"/>
          </w:r>
          <w:r>
            <w:rPr>
              <w:rFonts w:hint="eastAsia" w:ascii="华文中宋" w:hAnsi="华文中宋" w:eastAsia="华文中宋" w:cs="华文中宋"/>
              <w:color w:val="000000" w:themeColor="text1"/>
              <w:sz w:val="24"/>
              <w:szCs w:val="24"/>
              <w14:textFill>
                <w14:solidFill>
                  <w14:schemeClr w14:val="tx1"/>
                </w14:solidFill>
              </w14:textFill>
            </w:rPr>
            <w:t xml:space="preserve">第三章 </w:t>
          </w:r>
          <w:r>
            <w:rPr>
              <w:rFonts w:hint="eastAsia" w:ascii="华文中宋" w:hAnsi="华文中宋" w:eastAsia="华文中宋" w:cs="华文中宋"/>
              <w:color w:val="000000" w:themeColor="text1"/>
              <w:sz w:val="24"/>
              <w:szCs w:val="24"/>
              <w:lang w:val="en-US" w:eastAsia="zh-CN"/>
              <w14:textFill>
                <w14:solidFill>
                  <w14:schemeClr w14:val="tx1"/>
                </w14:solidFill>
              </w14:textFill>
            </w:rPr>
            <w:t xml:space="preserve"> </w:t>
          </w:r>
          <w:r>
            <w:rPr>
              <w:rFonts w:hint="eastAsia" w:ascii="华文中宋" w:hAnsi="华文中宋" w:eastAsia="华文中宋" w:cs="华文中宋"/>
              <w:color w:val="000000" w:themeColor="text1"/>
              <w:sz w:val="24"/>
              <w:szCs w:val="24"/>
              <w14:textFill>
                <w14:solidFill>
                  <w14:schemeClr w14:val="tx1"/>
                </w14:solidFill>
              </w14:textFill>
            </w:rPr>
            <w:t>供应商须知</w:t>
          </w:r>
          <w:r>
            <w:rPr>
              <w:color w:val="000000" w:themeColor="text1"/>
              <w:sz w:val="24"/>
              <w:szCs w:val="24"/>
              <w14:textFill>
                <w14:solidFill>
                  <w14:schemeClr w14:val="tx1"/>
                </w14:solidFill>
              </w14:textFill>
            </w:rPr>
            <w:tab/>
          </w:r>
          <w:r>
            <w:rPr>
              <w:color w:val="000000" w:themeColor="text1"/>
              <w:sz w:val="24"/>
              <w:szCs w:val="24"/>
              <w14:textFill>
                <w14:solidFill>
                  <w14:schemeClr w14:val="tx1"/>
                </w14:solidFill>
              </w14:textFill>
            </w:rPr>
            <w:fldChar w:fldCharType="begin"/>
          </w:r>
          <w:r>
            <w:rPr>
              <w:color w:val="000000" w:themeColor="text1"/>
              <w:sz w:val="24"/>
              <w:szCs w:val="24"/>
              <w14:textFill>
                <w14:solidFill>
                  <w14:schemeClr w14:val="tx1"/>
                </w14:solidFill>
              </w14:textFill>
            </w:rPr>
            <w:instrText xml:space="preserve"> PAGEREF _Toc28406 \h </w:instrText>
          </w:r>
          <w:r>
            <w:rPr>
              <w:color w:val="000000" w:themeColor="text1"/>
              <w:sz w:val="24"/>
              <w:szCs w:val="24"/>
              <w14:textFill>
                <w14:solidFill>
                  <w14:schemeClr w14:val="tx1"/>
                </w14:solidFill>
              </w14:textFill>
            </w:rPr>
            <w:fldChar w:fldCharType="separate"/>
          </w:r>
          <w:r>
            <w:rPr>
              <w:color w:val="000000" w:themeColor="text1"/>
              <w:sz w:val="24"/>
              <w:szCs w:val="24"/>
              <w14:textFill>
                <w14:solidFill>
                  <w14:schemeClr w14:val="tx1"/>
                </w14:solidFill>
              </w14:textFill>
            </w:rPr>
            <w:t>8</w:t>
          </w:r>
          <w:r>
            <w:rPr>
              <w:color w:val="000000" w:themeColor="text1"/>
              <w:sz w:val="24"/>
              <w:szCs w:val="24"/>
              <w14:textFill>
                <w14:solidFill>
                  <w14:schemeClr w14:val="tx1"/>
                </w14:solidFill>
              </w14:textFill>
            </w:rPr>
            <w:fldChar w:fldCharType="end"/>
          </w:r>
          <w:r>
            <w:rPr>
              <w:color w:val="000000" w:themeColor="text1"/>
              <w:sz w:val="24"/>
              <w:szCs w:val="24"/>
              <w14:textFill>
                <w14:solidFill>
                  <w14:schemeClr w14:val="tx1"/>
                </w14:solidFill>
              </w14:textFill>
            </w:rPr>
            <w:fldChar w:fldCharType="end"/>
          </w:r>
        </w:p>
        <w:p w14:paraId="4406010E">
          <w:pPr>
            <w:pStyle w:val="23"/>
            <w:keepNext w:val="0"/>
            <w:keepLines w:val="0"/>
            <w:pageBreakBefore w:val="0"/>
            <w:widowControl w:val="0"/>
            <w:tabs>
              <w:tab w:val="right" w:leader="dot" w:pos="9751"/>
            </w:tabs>
            <w:kinsoku/>
            <w:wordWrap/>
            <w:overflowPunct/>
            <w:topLinePunct w:val="0"/>
            <w:autoSpaceDE/>
            <w:autoSpaceDN/>
            <w:bidi w:val="0"/>
            <w:adjustRightInd/>
            <w:snapToGrid/>
            <w:spacing w:line="360" w:lineRule="auto"/>
            <w:textAlignment w:val="auto"/>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fldChar w:fldCharType="begin"/>
          </w:r>
          <w:r>
            <w:rPr>
              <w:color w:val="000000" w:themeColor="text1"/>
              <w:sz w:val="24"/>
              <w:szCs w:val="24"/>
              <w14:textFill>
                <w14:solidFill>
                  <w14:schemeClr w14:val="tx1"/>
                </w14:solidFill>
              </w14:textFill>
            </w:rPr>
            <w:instrText xml:space="preserve"> HYPERLINK \l _Toc22237 </w:instrText>
          </w:r>
          <w:r>
            <w:rPr>
              <w:color w:val="000000" w:themeColor="text1"/>
              <w:sz w:val="24"/>
              <w:szCs w:val="24"/>
              <w14:textFill>
                <w14:solidFill>
                  <w14:schemeClr w14:val="tx1"/>
                </w14:solidFill>
              </w14:textFill>
            </w:rPr>
            <w:fldChar w:fldCharType="separate"/>
          </w:r>
          <w:r>
            <w:rPr>
              <w:rFonts w:hint="eastAsia" w:ascii="华文中宋" w:hAnsi="华文中宋" w:eastAsia="华文中宋" w:cs="华文中宋"/>
              <w:color w:val="000000" w:themeColor="text1"/>
              <w:sz w:val="24"/>
              <w:szCs w:val="24"/>
              <w14:textFill>
                <w14:solidFill>
                  <w14:schemeClr w14:val="tx1"/>
                </w14:solidFill>
              </w14:textFill>
            </w:rPr>
            <w:t>第四章  评审程序、评审方法和评审标准</w:t>
          </w:r>
          <w:r>
            <w:rPr>
              <w:color w:val="000000" w:themeColor="text1"/>
              <w:sz w:val="24"/>
              <w:szCs w:val="24"/>
              <w14:textFill>
                <w14:solidFill>
                  <w14:schemeClr w14:val="tx1"/>
                </w14:solidFill>
              </w14:textFill>
            </w:rPr>
            <w:tab/>
          </w:r>
          <w:r>
            <w:rPr>
              <w:color w:val="000000" w:themeColor="text1"/>
              <w:sz w:val="24"/>
              <w:szCs w:val="24"/>
              <w14:textFill>
                <w14:solidFill>
                  <w14:schemeClr w14:val="tx1"/>
                </w14:solidFill>
              </w14:textFill>
            </w:rPr>
            <w:fldChar w:fldCharType="begin"/>
          </w:r>
          <w:r>
            <w:rPr>
              <w:color w:val="000000" w:themeColor="text1"/>
              <w:sz w:val="24"/>
              <w:szCs w:val="24"/>
              <w14:textFill>
                <w14:solidFill>
                  <w14:schemeClr w14:val="tx1"/>
                </w14:solidFill>
              </w14:textFill>
            </w:rPr>
            <w:instrText xml:space="preserve"> PAGEREF _Toc22237 \h </w:instrText>
          </w:r>
          <w:r>
            <w:rPr>
              <w:color w:val="000000" w:themeColor="text1"/>
              <w:sz w:val="24"/>
              <w:szCs w:val="24"/>
              <w14:textFill>
                <w14:solidFill>
                  <w14:schemeClr w14:val="tx1"/>
                </w14:solidFill>
              </w14:textFill>
            </w:rPr>
            <w:fldChar w:fldCharType="separate"/>
          </w:r>
          <w:r>
            <w:rPr>
              <w:color w:val="000000" w:themeColor="text1"/>
              <w:sz w:val="24"/>
              <w:szCs w:val="24"/>
              <w14:textFill>
                <w14:solidFill>
                  <w14:schemeClr w14:val="tx1"/>
                </w14:solidFill>
              </w14:textFill>
            </w:rPr>
            <w:t>29</w:t>
          </w:r>
          <w:r>
            <w:rPr>
              <w:color w:val="000000" w:themeColor="text1"/>
              <w:sz w:val="24"/>
              <w:szCs w:val="24"/>
              <w14:textFill>
                <w14:solidFill>
                  <w14:schemeClr w14:val="tx1"/>
                </w14:solidFill>
              </w14:textFill>
            </w:rPr>
            <w:fldChar w:fldCharType="end"/>
          </w:r>
          <w:r>
            <w:rPr>
              <w:color w:val="000000" w:themeColor="text1"/>
              <w:sz w:val="24"/>
              <w:szCs w:val="24"/>
              <w14:textFill>
                <w14:solidFill>
                  <w14:schemeClr w14:val="tx1"/>
                </w14:solidFill>
              </w14:textFill>
            </w:rPr>
            <w:fldChar w:fldCharType="end"/>
          </w:r>
        </w:p>
        <w:p w14:paraId="33037AAD">
          <w:pPr>
            <w:pStyle w:val="23"/>
            <w:keepNext w:val="0"/>
            <w:keepLines w:val="0"/>
            <w:pageBreakBefore w:val="0"/>
            <w:widowControl w:val="0"/>
            <w:tabs>
              <w:tab w:val="right" w:leader="dot" w:pos="9751"/>
            </w:tabs>
            <w:kinsoku/>
            <w:wordWrap/>
            <w:overflowPunct/>
            <w:topLinePunct w:val="0"/>
            <w:autoSpaceDE/>
            <w:autoSpaceDN/>
            <w:bidi w:val="0"/>
            <w:adjustRightInd/>
            <w:snapToGrid/>
            <w:spacing w:line="360" w:lineRule="auto"/>
            <w:textAlignment w:val="auto"/>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fldChar w:fldCharType="begin"/>
          </w:r>
          <w:r>
            <w:rPr>
              <w:color w:val="000000" w:themeColor="text1"/>
              <w:sz w:val="24"/>
              <w:szCs w:val="24"/>
              <w14:textFill>
                <w14:solidFill>
                  <w14:schemeClr w14:val="tx1"/>
                </w14:solidFill>
              </w14:textFill>
            </w:rPr>
            <w:instrText xml:space="preserve"> HYPERLINK \l _Toc1820 </w:instrText>
          </w:r>
          <w:r>
            <w:rPr>
              <w:color w:val="000000" w:themeColor="text1"/>
              <w:sz w:val="24"/>
              <w:szCs w:val="24"/>
              <w14:textFill>
                <w14:solidFill>
                  <w14:schemeClr w14:val="tx1"/>
                </w14:solidFill>
              </w14:textFill>
            </w:rPr>
            <w:fldChar w:fldCharType="separate"/>
          </w:r>
          <w:r>
            <w:rPr>
              <w:rFonts w:hint="eastAsia" w:ascii="华文中宋" w:hAnsi="华文中宋" w:eastAsia="华文中宋" w:cs="华文中宋"/>
              <w:color w:val="000000" w:themeColor="text1"/>
              <w:sz w:val="24"/>
              <w:szCs w:val="24"/>
              <w14:textFill>
                <w14:solidFill>
                  <w14:schemeClr w14:val="tx1"/>
                </w14:solidFill>
              </w14:textFill>
            </w:rPr>
            <w:t>第五章 响应文件格式</w:t>
          </w:r>
          <w:r>
            <w:rPr>
              <w:color w:val="000000" w:themeColor="text1"/>
              <w:sz w:val="24"/>
              <w:szCs w:val="24"/>
              <w14:textFill>
                <w14:solidFill>
                  <w14:schemeClr w14:val="tx1"/>
                </w14:solidFill>
              </w14:textFill>
            </w:rPr>
            <w:tab/>
          </w:r>
          <w:r>
            <w:rPr>
              <w:color w:val="000000" w:themeColor="text1"/>
              <w:sz w:val="24"/>
              <w:szCs w:val="24"/>
              <w14:textFill>
                <w14:solidFill>
                  <w14:schemeClr w14:val="tx1"/>
                </w14:solidFill>
              </w14:textFill>
            </w:rPr>
            <w:fldChar w:fldCharType="begin"/>
          </w:r>
          <w:r>
            <w:rPr>
              <w:color w:val="000000" w:themeColor="text1"/>
              <w:sz w:val="24"/>
              <w:szCs w:val="24"/>
              <w14:textFill>
                <w14:solidFill>
                  <w14:schemeClr w14:val="tx1"/>
                </w14:solidFill>
              </w14:textFill>
            </w:rPr>
            <w:instrText xml:space="preserve"> PAGEREF _Toc1820 \h </w:instrText>
          </w:r>
          <w:r>
            <w:rPr>
              <w:color w:val="000000" w:themeColor="text1"/>
              <w:sz w:val="24"/>
              <w:szCs w:val="24"/>
              <w14:textFill>
                <w14:solidFill>
                  <w14:schemeClr w14:val="tx1"/>
                </w14:solidFill>
              </w14:textFill>
            </w:rPr>
            <w:fldChar w:fldCharType="separate"/>
          </w:r>
          <w:r>
            <w:rPr>
              <w:color w:val="000000" w:themeColor="text1"/>
              <w:sz w:val="24"/>
              <w:szCs w:val="24"/>
              <w14:textFill>
                <w14:solidFill>
                  <w14:schemeClr w14:val="tx1"/>
                </w14:solidFill>
              </w14:textFill>
            </w:rPr>
            <w:t>40</w:t>
          </w:r>
          <w:r>
            <w:rPr>
              <w:color w:val="000000" w:themeColor="text1"/>
              <w:sz w:val="24"/>
              <w:szCs w:val="24"/>
              <w14:textFill>
                <w14:solidFill>
                  <w14:schemeClr w14:val="tx1"/>
                </w14:solidFill>
              </w14:textFill>
            </w:rPr>
            <w:fldChar w:fldCharType="end"/>
          </w:r>
          <w:r>
            <w:rPr>
              <w:color w:val="000000" w:themeColor="text1"/>
              <w:sz w:val="24"/>
              <w:szCs w:val="24"/>
              <w14:textFill>
                <w14:solidFill>
                  <w14:schemeClr w14:val="tx1"/>
                </w14:solidFill>
              </w14:textFill>
            </w:rPr>
            <w:fldChar w:fldCharType="end"/>
          </w:r>
        </w:p>
        <w:p w14:paraId="7382607D">
          <w:pPr>
            <w:pStyle w:val="23"/>
            <w:keepNext w:val="0"/>
            <w:keepLines w:val="0"/>
            <w:pageBreakBefore w:val="0"/>
            <w:widowControl w:val="0"/>
            <w:tabs>
              <w:tab w:val="right" w:leader="dot" w:pos="9751"/>
            </w:tabs>
            <w:kinsoku/>
            <w:wordWrap/>
            <w:overflowPunct/>
            <w:topLinePunct w:val="0"/>
            <w:autoSpaceDE/>
            <w:autoSpaceDN/>
            <w:bidi w:val="0"/>
            <w:adjustRightInd/>
            <w:snapToGrid/>
            <w:spacing w:line="360" w:lineRule="auto"/>
            <w:textAlignment w:val="auto"/>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fldChar w:fldCharType="begin"/>
          </w:r>
          <w:r>
            <w:rPr>
              <w:color w:val="000000" w:themeColor="text1"/>
              <w:sz w:val="24"/>
              <w:szCs w:val="24"/>
              <w14:textFill>
                <w14:solidFill>
                  <w14:schemeClr w14:val="tx1"/>
                </w14:solidFill>
              </w14:textFill>
            </w:rPr>
            <w:instrText xml:space="preserve"> HYPERLINK \l _Toc27888 </w:instrText>
          </w:r>
          <w:r>
            <w:rPr>
              <w:color w:val="000000" w:themeColor="text1"/>
              <w:sz w:val="24"/>
              <w:szCs w:val="24"/>
              <w14:textFill>
                <w14:solidFill>
                  <w14:schemeClr w14:val="tx1"/>
                </w14:solidFill>
              </w14:textFill>
            </w:rPr>
            <w:fldChar w:fldCharType="separate"/>
          </w:r>
          <w:r>
            <w:rPr>
              <w:rFonts w:hint="eastAsia" w:ascii="华文中宋" w:hAnsi="华文中宋" w:eastAsia="华文中宋" w:cs="华文中宋"/>
              <w:color w:val="000000" w:themeColor="text1"/>
              <w:sz w:val="24"/>
              <w:szCs w:val="24"/>
              <w14:textFill>
                <w14:solidFill>
                  <w14:schemeClr w14:val="tx1"/>
                </w14:solidFill>
              </w14:textFill>
            </w:rPr>
            <w:t>第六章  合同文本</w:t>
          </w:r>
          <w:r>
            <w:rPr>
              <w:color w:val="000000" w:themeColor="text1"/>
              <w:sz w:val="24"/>
              <w:szCs w:val="24"/>
              <w14:textFill>
                <w14:solidFill>
                  <w14:schemeClr w14:val="tx1"/>
                </w14:solidFill>
              </w14:textFill>
            </w:rPr>
            <w:tab/>
          </w:r>
          <w:r>
            <w:rPr>
              <w:color w:val="000000" w:themeColor="text1"/>
              <w:sz w:val="24"/>
              <w:szCs w:val="24"/>
              <w14:textFill>
                <w14:solidFill>
                  <w14:schemeClr w14:val="tx1"/>
                </w14:solidFill>
              </w14:textFill>
            </w:rPr>
            <w:fldChar w:fldCharType="begin"/>
          </w:r>
          <w:r>
            <w:rPr>
              <w:color w:val="000000" w:themeColor="text1"/>
              <w:sz w:val="24"/>
              <w:szCs w:val="24"/>
              <w14:textFill>
                <w14:solidFill>
                  <w14:schemeClr w14:val="tx1"/>
                </w14:solidFill>
              </w14:textFill>
            </w:rPr>
            <w:instrText xml:space="preserve"> PAGEREF _Toc27888 \h </w:instrText>
          </w:r>
          <w:r>
            <w:rPr>
              <w:color w:val="000000" w:themeColor="text1"/>
              <w:sz w:val="24"/>
              <w:szCs w:val="24"/>
              <w14:textFill>
                <w14:solidFill>
                  <w14:schemeClr w14:val="tx1"/>
                </w14:solidFill>
              </w14:textFill>
            </w:rPr>
            <w:fldChar w:fldCharType="separate"/>
          </w:r>
          <w:r>
            <w:rPr>
              <w:color w:val="000000" w:themeColor="text1"/>
              <w:sz w:val="24"/>
              <w:szCs w:val="24"/>
              <w14:textFill>
                <w14:solidFill>
                  <w14:schemeClr w14:val="tx1"/>
                </w14:solidFill>
              </w14:textFill>
            </w:rPr>
            <w:t>67</w:t>
          </w:r>
          <w:r>
            <w:rPr>
              <w:color w:val="000000" w:themeColor="text1"/>
              <w:sz w:val="24"/>
              <w:szCs w:val="24"/>
              <w14:textFill>
                <w14:solidFill>
                  <w14:schemeClr w14:val="tx1"/>
                </w14:solidFill>
              </w14:textFill>
            </w:rPr>
            <w:fldChar w:fldCharType="end"/>
          </w:r>
          <w:r>
            <w:rPr>
              <w:color w:val="000000" w:themeColor="text1"/>
              <w:sz w:val="24"/>
              <w:szCs w:val="24"/>
              <w14:textFill>
                <w14:solidFill>
                  <w14:schemeClr w14:val="tx1"/>
                </w14:solidFill>
              </w14:textFill>
            </w:rPr>
            <w:fldChar w:fldCharType="end"/>
          </w:r>
        </w:p>
        <w:p w14:paraId="3466D051">
          <w:pPr>
            <w:pStyle w:val="23"/>
            <w:keepNext w:val="0"/>
            <w:keepLines w:val="0"/>
            <w:pageBreakBefore w:val="0"/>
            <w:widowControl w:val="0"/>
            <w:tabs>
              <w:tab w:val="right" w:leader="dot" w:pos="9751"/>
            </w:tabs>
            <w:kinsoku/>
            <w:wordWrap/>
            <w:overflowPunct/>
            <w:topLinePunct w:val="0"/>
            <w:autoSpaceDE/>
            <w:autoSpaceDN/>
            <w:bidi w:val="0"/>
            <w:adjustRightInd/>
            <w:snapToGrid/>
            <w:spacing w:line="360" w:lineRule="auto"/>
            <w:textAlignment w:val="auto"/>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fldChar w:fldCharType="begin"/>
          </w:r>
          <w:r>
            <w:rPr>
              <w:color w:val="000000" w:themeColor="text1"/>
              <w:sz w:val="24"/>
              <w:szCs w:val="24"/>
              <w14:textFill>
                <w14:solidFill>
                  <w14:schemeClr w14:val="tx1"/>
                </w14:solidFill>
              </w14:textFill>
            </w:rPr>
            <w:instrText xml:space="preserve"> HYPERLINK \l _Toc12699 </w:instrText>
          </w:r>
          <w:r>
            <w:rPr>
              <w:color w:val="000000" w:themeColor="text1"/>
              <w:sz w:val="24"/>
              <w:szCs w:val="24"/>
              <w14:textFill>
                <w14:solidFill>
                  <w14:schemeClr w14:val="tx1"/>
                </w14:solidFill>
              </w14:textFill>
            </w:rPr>
            <w:fldChar w:fldCharType="separate"/>
          </w:r>
          <w:r>
            <w:rPr>
              <w:rFonts w:hint="eastAsia" w:ascii="华文中宋" w:hAnsi="华文中宋" w:eastAsia="华文中宋" w:cs="华文中宋"/>
              <w:color w:val="000000" w:themeColor="text1"/>
              <w:sz w:val="24"/>
              <w:szCs w:val="24"/>
              <w14:textFill>
                <w14:solidFill>
                  <w14:schemeClr w14:val="tx1"/>
                </w14:solidFill>
              </w14:textFill>
            </w:rPr>
            <w:t>第</w:t>
          </w:r>
          <w:r>
            <w:rPr>
              <w:rFonts w:hint="eastAsia" w:ascii="华文中宋" w:hAnsi="华文中宋" w:eastAsia="华文中宋" w:cs="华文中宋"/>
              <w:color w:val="000000" w:themeColor="text1"/>
              <w:sz w:val="24"/>
              <w:szCs w:val="24"/>
              <w:lang w:eastAsia="zh-CN"/>
              <w14:textFill>
                <w14:solidFill>
                  <w14:schemeClr w14:val="tx1"/>
                </w14:solidFill>
              </w14:textFill>
            </w:rPr>
            <w:t>七</w:t>
          </w:r>
          <w:r>
            <w:rPr>
              <w:rFonts w:hint="eastAsia" w:ascii="华文中宋" w:hAnsi="华文中宋" w:eastAsia="华文中宋" w:cs="华文中宋"/>
              <w:color w:val="000000" w:themeColor="text1"/>
              <w:sz w:val="24"/>
              <w:szCs w:val="24"/>
              <w14:textFill>
                <w14:solidFill>
                  <w14:schemeClr w14:val="tx1"/>
                </w14:solidFill>
              </w14:textFill>
            </w:rPr>
            <w:t xml:space="preserve">章 </w:t>
          </w:r>
          <w:r>
            <w:rPr>
              <w:rFonts w:hint="eastAsia" w:ascii="华文中宋" w:hAnsi="华文中宋" w:eastAsia="华文中宋" w:cs="华文中宋"/>
              <w:color w:val="000000" w:themeColor="text1"/>
              <w:sz w:val="24"/>
              <w:szCs w:val="24"/>
              <w:lang w:val="en-US" w:eastAsia="zh-CN"/>
              <w14:textFill>
                <w14:solidFill>
                  <w14:schemeClr w14:val="tx1"/>
                </w14:solidFill>
              </w14:textFill>
            </w:rPr>
            <w:t xml:space="preserve"> </w:t>
          </w:r>
          <w:r>
            <w:rPr>
              <w:rFonts w:hint="eastAsia" w:ascii="华文中宋" w:hAnsi="华文中宋" w:eastAsia="华文中宋" w:cs="华文中宋"/>
              <w:color w:val="000000" w:themeColor="text1"/>
              <w:sz w:val="24"/>
              <w:szCs w:val="24"/>
              <w14:textFill>
                <w14:solidFill>
                  <w14:schemeClr w14:val="tx1"/>
                </w14:solidFill>
              </w14:textFill>
            </w:rPr>
            <w:t>工程量清单</w:t>
          </w:r>
          <w:r>
            <w:rPr>
              <w:rFonts w:hint="eastAsia" w:ascii="华文中宋" w:hAnsi="华文中宋" w:eastAsia="华文中宋" w:cs="华文中宋"/>
              <w:color w:val="000000" w:themeColor="text1"/>
              <w:sz w:val="24"/>
              <w:szCs w:val="24"/>
              <w:lang w:eastAsia="zh-CN"/>
              <w14:textFill>
                <w14:solidFill>
                  <w14:schemeClr w14:val="tx1"/>
                </w14:solidFill>
              </w14:textFill>
            </w:rPr>
            <w:t>、图纸</w:t>
          </w:r>
          <w:r>
            <w:rPr>
              <w:color w:val="000000" w:themeColor="text1"/>
              <w:sz w:val="24"/>
              <w:szCs w:val="24"/>
              <w14:textFill>
                <w14:solidFill>
                  <w14:schemeClr w14:val="tx1"/>
                </w14:solidFill>
              </w14:textFill>
            </w:rPr>
            <w:tab/>
          </w:r>
          <w:r>
            <w:rPr>
              <w:color w:val="000000" w:themeColor="text1"/>
              <w:sz w:val="24"/>
              <w:szCs w:val="24"/>
              <w14:textFill>
                <w14:solidFill>
                  <w14:schemeClr w14:val="tx1"/>
                </w14:solidFill>
              </w14:textFill>
            </w:rPr>
            <w:fldChar w:fldCharType="begin"/>
          </w:r>
          <w:r>
            <w:rPr>
              <w:color w:val="000000" w:themeColor="text1"/>
              <w:sz w:val="24"/>
              <w:szCs w:val="24"/>
              <w14:textFill>
                <w14:solidFill>
                  <w14:schemeClr w14:val="tx1"/>
                </w14:solidFill>
              </w14:textFill>
            </w:rPr>
            <w:instrText xml:space="preserve"> PAGEREF _Toc12699 \h </w:instrText>
          </w:r>
          <w:r>
            <w:rPr>
              <w:color w:val="000000" w:themeColor="text1"/>
              <w:sz w:val="24"/>
              <w:szCs w:val="24"/>
              <w14:textFill>
                <w14:solidFill>
                  <w14:schemeClr w14:val="tx1"/>
                </w14:solidFill>
              </w14:textFill>
            </w:rPr>
            <w:fldChar w:fldCharType="separate"/>
          </w:r>
          <w:r>
            <w:rPr>
              <w:color w:val="000000" w:themeColor="text1"/>
              <w:sz w:val="24"/>
              <w:szCs w:val="24"/>
              <w14:textFill>
                <w14:solidFill>
                  <w14:schemeClr w14:val="tx1"/>
                </w14:solidFill>
              </w14:textFill>
            </w:rPr>
            <w:t>100</w:t>
          </w:r>
          <w:r>
            <w:rPr>
              <w:color w:val="000000" w:themeColor="text1"/>
              <w:sz w:val="24"/>
              <w:szCs w:val="24"/>
              <w14:textFill>
                <w14:solidFill>
                  <w14:schemeClr w14:val="tx1"/>
                </w14:solidFill>
              </w14:textFill>
            </w:rPr>
            <w:fldChar w:fldCharType="end"/>
          </w:r>
          <w:r>
            <w:rPr>
              <w:color w:val="000000" w:themeColor="text1"/>
              <w:sz w:val="24"/>
              <w:szCs w:val="24"/>
              <w14:textFill>
                <w14:solidFill>
                  <w14:schemeClr w14:val="tx1"/>
                </w14:solidFill>
              </w14:textFill>
            </w:rPr>
            <w:fldChar w:fldCharType="end"/>
          </w:r>
        </w:p>
        <w:p w14:paraId="5800F5DF">
          <w:pPr>
            <w:pStyle w:val="23"/>
            <w:keepNext w:val="0"/>
            <w:keepLines w:val="0"/>
            <w:pageBreakBefore w:val="0"/>
            <w:widowControl w:val="0"/>
            <w:tabs>
              <w:tab w:val="right" w:leader="dot" w:pos="9751"/>
            </w:tabs>
            <w:kinsoku/>
            <w:wordWrap/>
            <w:overflowPunct/>
            <w:topLinePunct w:val="0"/>
            <w:autoSpaceDE/>
            <w:autoSpaceDN/>
            <w:bidi w:val="0"/>
            <w:adjustRightInd/>
            <w:snapToGrid/>
            <w:spacing w:line="360" w:lineRule="auto"/>
            <w:textAlignment w:val="auto"/>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fldChar w:fldCharType="begin"/>
          </w:r>
          <w:r>
            <w:rPr>
              <w:color w:val="000000" w:themeColor="text1"/>
              <w:sz w:val="24"/>
              <w:szCs w:val="24"/>
              <w14:textFill>
                <w14:solidFill>
                  <w14:schemeClr w14:val="tx1"/>
                </w14:solidFill>
              </w14:textFill>
            </w:rPr>
            <w:instrText xml:space="preserve"> HYPERLINK \l _Toc10062 </w:instrText>
          </w:r>
          <w:r>
            <w:rPr>
              <w:color w:val="000000" w:themeColor="text1"/>
              <w:sz w:val="24"/>
              <w:szCs w:val="24"/>
              <w14:textFill>
                <w14:solidFill>
                  <w14:schemeClr w14:val="tx1"/>
                </w14:solidFill>
              </w14:textFill>
            </w:rPr>
            <w:fldChar w:fldCharType="separate"/>
          </w:r>
          <w:r>
            <w:rPr>
              <w:rFonts w:hint="eastAsia" w:ascii="华文中宋" w:hAnsi="华文中宋" w:eastAsia="华文中宋" w:cs="华文中宋"/>
              <w:color w:val="000000" w:themeColor="text1"/>
              <w:sz w:val="24"/>
              <w:szCs w:val="24"/>
              <w14:textFill>
                <w14:solidFill>
                  <w14:schemeClr w14:val="tx1"/>
                </w14:solidFill>
              </w14:textFill>
            </w:rPr>
            <w:t>第八章 质疑、投诉材料格式</w:t>
          </w:r>
          <w:r>
            <w:rPr>
              <w:color w:val="000000" w:themeColor="text1"/>
              <w:sz w:val="24"/>
              <w:szCs w:val="24"/>
              <w14:textFill>
                <w14:solidFill>
                  <w14:schemeClr w14:val="tx1"/>
                </w14:solidFill>
              </w14:textFill>
            </w:rPr>
            <w:tab/>
          </w:r>
          <w:r>
            <w:rPr>
              <w:color w:val="000000" w:themeColor="text1"/>
              <w:sz w:val="24"/>
              <w:szCs w:val="24"/>
              <w14:textFill>
                <w14:solidFill>
                  <w14:schemeClr w14:val="tx1"/>
                </w14:solidFill>
              </w14:textFill>
            </w:rPr>
            <w:fldChar w:fldCharType="begin"/>
          </w:r>
          <w:r>
            <w:rPr>
              <w:color w:val="000000" w:themeColor="text1"/>
              <w:sz w:val="24"/>
              <w:szCs w:val="24"/>
              <w14:textFill>
                <w14:solidFill>
                  <w14:schemeClr w14:val="tx1"/>
                </w14:solidFill>
              </w14:textFill>
            </w:rPr>
            <w:instrText xml:space="preserve"> PAGEREF _Toc10062 \h </w:instrText>
          </w:r>
          <w:r>
            <w:rPr>
              <w:color w:val="000000" w:themeColor="text1"/>
              <w:sz w:val="24"/>
              <w:szCs w:val="24"/>
              <w14:textFill>
                <w14:solidFill>
                  <w14:schemeClr w14:val="tx1"/>
                </w14:solidFill>
              </w14:textFill>
            </w:rPr>
            <w:fldChar w:fldCharType="separate"/>
          </w:r>
          <w:r>
            <w:rPr>
              <w:color w:val="000000" w:themeColor="text1"/>
              <w:sz w:val="24"/>
              <w:szCs w:val="24"/>
              <w14:textFill>
                <w14:solidFill>
                  <w14:schemeClr w14:val="tx1"/>
                </w14:solidFill>
              </w14:textFill>
            </w:rPr>
            <w:t>103</w:t>
          </w:r>
          <w:r>
            <w:rPr>
              <w:color w:val="000000" w:themeColor="text1"/>
              <w:sz w:val="24"/>
              <w:szCs w:val="24"/>
              <w14:textFill>
                <w14:solidFill>
                  <w14:schemeClr w14:val="tx1"/>
                </w14:solidFill>
              </w14:textFill>
            </w:rPr>
            <w:fldChar w:fldCharType="end"/>
          </w:r>
          <w:r>
            <w:rPr>
              <w:color w:val="000000" w:themeColor="text1"/>
              <w:sz w:val="24"/>
              <w:szCs w:val="24"/>
              <w14:textFill>
                <w14:solidFill>
                  <w14:schemeClr w14:val="tx1"/>
                </w14:solidFill>
              </w14:textFill>
            </w:rPr>
            <w:fldChar w:fldCharType="end"/>
          </w:r>
        </w:p>
        <w:p w14:paraId="33CE8B9B">
          <w:pPr>
            <w:keepNext w:val="0"/>
            <w:keepLines w:val="0"/>
            <w:pageBreakBefore w:val="0"/>
            <w:widowControl w:val="0"/>
            <w:kinsoku/>
            <w:wordWrap/>
            <w:overflowPunct/>
            <w:topLinePunct w:val="0"/>
            <w:autoSpaceDE/>
            <w:autoSpaceDN/>
            <w:bidi w:val="0"/>
            <w:adjustRightInd/>
            <w:snapToGrid/>
            <w:spacing w:line="360" w:lineRule="auto"/>
            <w:textAlignment w:val="auto"/>
            <w:rPr>
              <w:rFonts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color w:val="000000" w:themeColor="text1"/>
              <w:sz w:val="24"/>
              <w:szCs w:val="24"/>
              <w14:textFill>
                <w14:solidFill>
                  <w14:schemeClr w14:val="tx1"/>
                </w14:solidFill>
              </w14:textFill>
            </w:rPr>
            <w:fldChar w:fldCharType="end"/>
          </w:r>
        </w:p>
      </w:sdtContent>
    </w:sdt>
    <w:p w14:paraId="5252B45F">
      <w:pPr>
        <w:pStyle w:val="25"/>
        <w:spacing w:line="360" w:lineRule="auto"/>
        <w:rPr>
          <w:rFonts w:hint="eastAsia"/>
          <w:b/>
          <w:color w:val="000000" w:themeColor="text1"/>
          <w:sz w:val="32"/>
          <w:szCs w:val="32"/>
          <w:highlight w:val="none"/>
          <w14:textFill>
            <w14:solidFill>
              <w14:schemeClr w14:val="tx1"/>
            </w14:solidFill>
          </w14:textFill>
        </w:rPr>
      </w:pPr>
      <w:r>
        <w:rPr>
          <w:rFonts w:hint="eastAsia" w:ascii="宋体" w:hAnsi="宋体" w:eastAsia="宋体" w:cs="宋体"/>
          <w:bCs/>
          <w:color w:val="000000" w:themeColor="text1"/>
          <w:szCs w:val="24"/>
          <w:highlight w:val="none"/>
          <w14:textFill>
            <w14:solidFill>
              <w14:schemeClr w14:val="tx1"/>
            </w14:solidFill>
          </w14:textFill>
        </w:rPr>
        <w:fldChar w:fldCharType="end"/>
      </w:r>
    </w:p>
    <w:p w14:paraId="07142873">
      <w:pPr>
        <w:pageBreakBefore w:val="0"/>
        <w:kinsoku/>
        <w:wordWrap/>
        <w:overflowPunct/>
        <w:topLinePunct w:val="0"/>
        <w:autoSpaceDE/>
        <w:autoSpaceDN/>
        <w:bidi w:val="0"/>
        <w:adjustRightInd/>
        <w:spacing w:line="360" w:lineRule="auto"/>
        <w:textAlignment w:val="auto"/>
        <w:rPr>
          <w:rFonts w:hint="eastAsia"/>
          <w:b/>
          <w:color w:val="000000" w:themeColor="text1"/>
          <w:sz w:val="32"/>
          <w:szCs w:val="32"/>
          <w:highlight w:val="none"/>
          <w14:textFill>
            <w14:solidFill>
              <w14:schemeClr w14:val="tx1"/>
            </w14:solidFill>
          </w14:textFill>
        </w:rPr>
        <w:sectPr>
          <w:headerReference r:id="rId9" w:type="first"/>
          <w:footerReference r:id="rId11" w:type="first"/>
          <w:headerReference r:id="rId8" w:type="default"/>
          <w:footerReference r:id="rId10" w:type="default"/>
          <w:pgSz w:w="11911" w:h="16838"/>
          <w:pgMar w:top="1440" w:right="1080" w:bottom="1440" w:left="1080" w:header="720" w:footer="720" w:gutter="0"/>
          <w:pgNumType w:fmt="upperRoman" w:start="1"/>
          <w:cols w:space="720" w:num="1"/>
          <w:docGrid w:linePitch="312" w:charSpace="0"/>
        </w:sectPr>
      </w:pPr>
    </w:p>
    <w:p w14:paraId="53353909">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华文中宋" w:hAnsi="华文中宋" w:eastAsia="华文中宋" w:cs="华文中宋"/>
          <w:color w:val="000000" w:themeColor="text1"/>
          <w:sz w:val="32"/>
          <w:szCs w:val="32"/>
          <w14:textFill>
            <w14:solidFill>
              <w14:schemeClr w14:val="tx1"/>
            </w14:solidFill>
          </w14:textFill>
        </w:rPr>
      </w:pPr>
      <w:bookmarkStart w:id="2" w:name="_Toc15624"/>
      <w:bookmarkStart w:id="3" w:name="_Toc22943"/>
      <w:bookmarkStart w:id="4" w:name="_Toc29804"/>
      <w:bookmarkStart w:id="5" w:name="_Toc1062"/>
      <w:bookmarkStart w:id="6" w:name="_Toc12242"/>
      <w:bookmarkStart w:id="7" w:name="_Toc80886925"/>
      <w:bookmarkStart w:id="8" w:name="_Toc11382"/>
      <w:bookmarkStart w:id="9" w:name="_Toc11989"/>
      <w:bookmarkStart w:id="10" w:name="_Toc13116"/>
      <w:bookmarkStart w:id="11" w:name="_Toc27000"/>
      <w:r>
        <w:rPr>
          <w:rFonts w:hint="eastAsia" w:ascii="华文中宋" w:hAnsi="华文中宋" w:eastAsia="华文中宋" w:cs="华文中宋"/>
          <w:color w:val="000000" w:themeColor="text1"/>
          <w:sz w:val="32"/>
          <w:szCs w:val="32"/>
          <w14:textFill>
            <w14:solidFill>
              <w14:schemeClr w14:val="tx1"/>
            </w14:solidFill>
          </w14:textFill>
        </w:rPr>
        <w:t xml:space="preserve">第一章 </w:t>
      </w:r>
      <w:r>
        <w:rPr>
          <w:rFonts w:hint="eastAsia" w:ascii="华文中宋" w:hAnsi="华文中宋" w:eastAsia="华文中宋" w:cs="华文中宋"/>
          <w:color w:val="000000" w:themeColor="text1"/>
          <w:sz w:val="32"/>
          <w:szCs w:val="32"/>
          <w:lang w:val="en-US" w:eastAsia="zh-CN"/>
          <w14:textFill>
            <w14:solidFill>
              <w14:schemeClr w14:val="tx1"/>
            </w14:solidFill>
          </w14:textFill>
        </w:rPr>
        <w:t xml:space="preserve"> </w:t>
      </w:r>
      <w:r>
        <w:rPr>
          <w:rFonts w:hint="eastAsia" w:ascii="华文中宋" w:hAnsi="华文中宋" w:eastAsia="华文中宋" w:cs="华文中宋"/>
          <w:color w:val="000000" w:themeColor="text1"/>
          <w:sz w:val="32"/>
          <w:szCs w:val="32"/>
          <w14:textFill>
            <w14:solidFill>
              <w14:schemeClr w14:val="tx1"/>
            </w14:solidFill>
          </w14:textFill>
        </w:rPr>
        <w:t>竞争性磋商公告</w:t>
      </w:r>
      <w:bookmarkEnd w:id="2"/>
      <w:bookmarkEnd w:id="3"/>
      <w:bookmarkEnd w:id="4"/>
      <w:bookmarkEnd w:id="5"/>
      <w:bookmarkEnd w:id="6"/>
      <w:bookmarkEnd w:id="7"/>
      <w:bookmarkEnd w:id="8"/>
      <w:bookmarkEnd w:id="9"/>
      <w:bookmarkEnd w:id="10"/>
      <w:bookmarkEnd w:id="11"/>
      <w:bookmarkStart w:id="12" w:name="_Toc44229878"/>
      <w:bookmarkStart w:id="13" w:name="_Toc35393629"/>
      <w:bookmarkStart w:id="14" w:name="_Toc28359012"/>
      <w:bookmarkStart w:id="15" w:name="_Toc35393798"/>
      <w:bookmarkStart w:id="16" w:name="_Toc28359089"/>
      <w:bookmarkStart w:id="17" w:name="_Toc28359081"/>
      <w:bookmarkStart w:id="18" w:name="_Toc28359004"/>
      <w:bookmarkStart w:id="19" w:name="_Toc35393792"/>
      <w:bookmarkStart w:id="20" w:name="_Toc35393623"/>
    </w:p>
    <w:tbl>
      <w:tblPr>
        <w:tblStyle w:val="29"/>
        <w:tblW w:w="985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59"/>
      </w:tblGrid>
      <w:tr w14:paraId="32E40A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59" w:type="dxa"/>
            <w:noWrap w:val="0"/>
            <w:vAlign w:val="top"/>
          </w:tcPr>
          <w:p w14:paraId="2BA49F28">
            <w:pPr>
              <w:pageBreakBefore w:val="0"/>
              <w:kinsoku/>
              <w:wordWrap/>
              <w:overflowPunct/>
              <w:topLinePunct w:val="0"/>
              <w:autoSpaceDE/>
              <w:autoSpaceDN/>
              <w:bidi w:val="0"/>
              <w:adjustRightInd/>
              <w:spacing w:line="360" w:lineRule="auto"/>
              <w:ind w:firstLine="420" w:firstLineChars="200"/>
              <w:textAlignment w:val="auto"/>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项目概况</w:t>
            </w:r>
          </w:p>
          <w:p w14:paraId="7777A0FB">
            <w:pPr>
              <w:pageBreakBefore w:val="0"/>
              <w:kinsoku/>
              <w:wordWrap/>
              <w:overflowPunct/>
              <w:topLinePunct w:val="0"/>
              <w:autoSpaceDE/>
              <w:autoSpaceDN/>
              <w:bidi w:val="0"/>
              <w:adjustRightInd/>
              <w:spacing w:line="360" w:lineRule="auto"/>
              <w:ind w:firstLine="420" w:firstLineChars="200"/>
              <w:textAlignment w:val="auto"/>
              <w:rPr>
                <w:rFonts w:hint="eastAsia" w:ascii="宋体" w:hAnsi="宋体" w:eastAsia="宋体" w:cs="宋体"/>
                <w:bCs/>
                <w:color w:val="000000" w:themeColor="text1"/>
                <w:sz w:val="24"/>
                <w:highlight w:val="none"/>
                <w14:textFill>
                  <w14:solidFill>
                    <w14:schemeClr w14:val="tx1"/>
                  </w14:solidFill>
                </w14:textFill>
              </w:rPr>
            </w:pPr>
            <w:r>
              <w:rPr>
                <w:rFonts w:hint="eastAsia" w:ascii="宋体" w:hAnsi="宋体" w:cs="宋体"/>
                <w:color w:val="000000" w:themeColor="text1"/>
                <w:szCs w:val="21"/>
                <w:highlight w:val="none"/>
                <w:u w:val="single"/>
                <w:lang w:val="en-US" w:eastAsia="zh-CN"/>
                <w14:textFill>
                  <w14:solidFill>
                    <w14:schemeClr w14:val="tx1"/>
                  </w14:solidFill>
                </w14:textFill>
              </w:rPr>
              <w:t>桂林市中西医结合医院消化内镜中心装修改造工程</w:t>
            </w:r>
            <w:r>
              <w:rPr>
                <w:rFonts w:hint="eastAsia" w:ascii="宋体" w:hAnsi="宋体" w:eastAsia="宋体" w:cs="宋体"/>
                <w:color w:val="000000" w:themeColor="text1"/>
                <w:szCs w:val="21"/>
                <w:highlight w:val="none"/>
                <w:u w:val="single"/>
                <w:lang w:val="en-US" w:eastAsia="zh-CN"/>
                <w14:textFill>
                  <w14:solidFill>
                    <w14:schemeClr w14:val="tx1"/>
                  </w14:solidFill>
                </w14:textFill>
              </w:rPr>
              <w:t xml:space="preserve"> </w:t>
            </w:r>
            <w:r>
              <w:rPr>
                <w:rFonts w:hint="eastAsia" w:ascii="宋体" w:hAnsi="宋体" w:eastAsia="宋体" w:cs="宋体"/>
                <w:color w:val="000000" w:themeColor="text1"/>
                <w:szCs w:val="21"/>
                <w:highlight w:val="none"/>
                <w14:textFill>
                  <w14:solidFill>
                    <w14:schemeClr w14:val="tx1"/>
                  </w14:solidFill>
                </w14:textFill>
              </w:rPr>
              <w:t>采购项目的潜在供应商应在</w:t>
            </w:r>
            <w:r>
              <w:rPr>
                <w:rFonts w:hint="eastAsia" w:ascii="宋体" w:hAnsi="宋体" w:eastAsia="宋体" w:cs="宋体"/>
                <w:color w:val="000000" w:themeColor="text1"/>
                <w:szCs w:val="21"/>
                <w:highlight w:val="none"/>
                <w:lang w:val="en-US" w:eastAsia="zh-CN"/>
                <w14:textFill>
                  <w14:solidFill>
                    <w14:schemeClr w14:val="tx1"/>
                  </w14:solidFill>
                </w14:textFill>
              </w:rPr>
              <w:t xml:space="preserve"> </w:t>
            </w:r>
            <w:r>
              <w:rPr>
                <w:rFonts w:hint="eastAsia" w:ascii="宋体" w:hAnsi="宋体" w:eastAsia="宋体" w:cs="宋体"/>
                <w:color w:val="000000" w:themeColor="text1"/>
                <w:szCs w:val="21"/>
                <w:highlight w:val="none"/>
                <w:u w:val="single"/>
                <w14:textFill>
                  <w14:solidFill>
                    <w14:schemeClr w14:val="tx1"/>
                  </w14:solidFill>
                </w14:textFill>
              </w:rPr>
              <w:t>广西政府采购云平台（https://www.gcy.zfcg.gxzf.gov.cn/）</w:t>
            </w:r>
            <w:r>
              <w:rPr>
                <w:rFonts w:hint="eastAsia" w:ascii="宋体" w:hAnsi="宋体" w:eastAsia="宋体" w:cs="宋体"/>
                <w:color w:val="000000" w:themeColor="text1"/>
                <w:szCs w:val="21"/>
                <w:highlight w:val="none"/>
                <w:u w:val="single"/>
                <w:lang w:val="en-US" w:eastAsia="zh-CN"/>
                <w14:textFill>
                  <w14:solidFill>
                    <w14:schemeClr w14:val="tx1"/>
                  </w14:solidFill>
                </w14:textFill>
              </w:rPr>
              <w:t xml:space="preserve"> </w:t>
            </w:r>
            <w:r>
              <w:rPr>
                <w:rStyle w:val="36"/>
                <w:rFonts w:hint="eastAsia" w:ascii="宋体" w:hAnsi="宋体" w:eastAsia="宋体" w:cs="宋体"/>
                <w:color w:val="000000" w:themeColor="text1"/>
                <w:szCs w:val="21"/>
                <w:highlight w:val="none"/>
                <w:u w:val="none"/>
                <w14:textFill>
                  <w14:solidFill>
                    <w14:schemeClr w14:val="tx1"/>
                  </w14:solidFill>
                </w14:textFill>
              </w:rPr>
              <w:t>获取</w:t>
            </w:r>
            <w:r>
              <w:rPr>
                <w:rStyle w:val="36"/>
                <w:rFonts w:hint="eastAsia" w:ascii="宋体" w:hAnsi="宋体" w:eastAsia="宋体" w:cs="宋体"/>
                <w:color w:val="000000" w:themeColor="text1"/>
                <w:szCs w:val="21"/>
                <w:highlight w:val="none"/>
                <w:u w:val="none"/>
                <w:lang w:eastAsia="zh-CN"/>
                <w14:textFill>
                  <w14:solidFill>
                    <w14:schemeClr w14:val="tx1"/>
                  </w14:solidFill>
                </w14:textFill>
              </w:rPr>
              <w:t>采购</w:t>
            </w:r>
            <w:r>
              <w:rPr>
                <w:rStyle w:val="36"/>
                <w:rFonts w:hint="eastAsia" w:ascii="宋体" w:hAnsi="宋体" w:eastAsia="宋体" w:cs="宋体"/>
                <w:color w:val="000000" w:themeColor="text1"/>
                <w:szCs w:val="21"/>
                <w:highlight w:val="none"/>
                <w:u w:val="none"/>
                <w14:textFill>
                  <w14:solidFill>
                    <w14:schemeClr w14:val="tx1"/>
                  </w14:solidFill>
                </w14:textFill>
              </w:rPr>
              <w:t>文件</w:t>
            </w:r>
            <w:r>
              <w:rPr>
                <w:rFonts w:hint="eastAsia" w:ascii="宋体" w:hAnsi="宋体" w:eastAsia="宋体" w:cs="宋体"/>
                <w:color w:val="000000" w:themeColor="text1"/>
                <w:szCs w:val="21"/>
                <w:highlight w:val="none"/>
                <w14:textFill>
                  <w14:solidFill>
                    <w14:schemeClr w14:val="tx1"/>
                  </w14:solidFill>
                </w14:textFill>
              </w:rPr>
              <w:t>，并于</w:t>
            </w:r>
            <w:r>
              <w:rPr>
                <w:rFonts w:hint="eastAsia" w:cs="宋体"/>
                <w:bCs/>
                <w:color w:val="000000" w:themeColor="text1"/>
                <w:kern w:val="0"/>
                <w:sz w:val="21"/>
                <w:szCs w:val="21"/>
                <w:highlight w:val="none"/>
                <w:u w:val="single"/>
                <w:lang w:eastAsia="zh-CN"/>
                <w14:textFill>
                  <w14:solidFill>
                    <w14:schemeClr w14:val="tx1"/>
                  </w14:solidFill>
                </w14:textFill>
              </w:rPr>
              <w:t>202</w:t>
            </w:r>
            <w:r>
              <w:rPr>
                <w:rFonts w:hint="eastAsia" w:cs="宋体"/>
                <w:bCs/>
                <w:color w:val="000000" w:themeColor="text1"/>
                <w:kern w:val="0"/>
                <w:sz w:val="21"/>
                <w:szCs w:val="21"/>
                <w:highlight w:val="none"/>
                <w:u w:val="single"/>
                <w:lang w:val="en-US" w:eastAsia="zh-CN"/>
                <w14:textFill>
                  <w14:solidFill>
                    <w14:schemeClr w14:val="tx1"/>
                  </w14:solidFill>
                </w14:textFill>
              </w:rPr>
              <w:t>6</w:t>
            </w:r>
            <w:r>
              <w:rPr>
                <w:rFonts w:hint="eastAsia" w:cs="宋体"/>
                <w:bCs/>
                <w:color w:val="000000" w:themeColor="text1"/>
                <w:kern w:val="0"/>
                <w:sz w:val="21"/>
                <w:szCs w:val="21"/>
                <w:highlight w:val="none"/>
                <w:u w:val="single"/>
                <w:lang w:eastAsia="zh-CN"/>
                <w14:textFill>
                  <w14:solidFill>
                    <w14:schemeClr w14:val="tx1"/>
                  </w14:solidFill>
                </w14:textFill>
              </w:rPr>
              <w:t>年</w:t>
            </w:r>
            <w:r>
              <w:rPr>
                <w:rFonts w:hint="eastAsia" w:cs="宋体"/>
                <w:bCs/>
                <w:color w:val="000000" w:themeColor="text1"/>
                <w:kern w:val="0"/>
                <w:sz w:val="21"/>
                <w:szCs w:val="21"/>
                <w:highlight w:val="none"/>
                <w:u w:val="single"/>
                <w:lang w:val="en-US" w:eastAsia="zh-CN"/>
                <w14:textFill>
                  <w14:solidFill>
                    <w14:schemeClr w14:val="tx1"/>
                  </w14:solidFill>
                </w14:textFill>
              </w:rPr>
              <w:t>1</w:t>
            </w:r>
            <w:r>
              <w:rPr>
                <w:rFonts w:hint="eastAsia" w:cs="宋体"/>
                <w:bCs/>
                <w:color w:val="000000" w:themeColor="text1"/>
                <w:kern w:val="0"/>
                <w:sz w:val="21"/>
                <w:szCs w:val="21"/>
                <w:highlight w:val="none"/>
                <w:u w:val="single"/>
                <w:lang w:eastAsia="zh-CN"/>
                <w14:textFill>
                  <w14:solidFill>
                    <w14:schemeClr w14:val="tx1"/>
                  </w14:solidFill>
                </w14:textFill>
              </w:rPr>
              <w:t>月</w:t>
            </w:r>
            <w:r>
              <w:rPr>
                <w:rFonts w:hint="eastAsia" w:cs="宋体"/>
                <w:bCs/>
                <w:color w:val="000000" w:themeColor="text1"/>
                <w:kern w:val="0"/>
                <w:sz w:val="21"/>
                <w:szCs w:val="21"/>
                <w:highlight w:val="none"/>
                <w:u w:val="single"/>
                <w:lang w:val="en-US" w:eastAsia="zh-CN"/>
                <w14:textFill>
                  <w14:solidFill>
                    <w14:schemeClr w14:val="tx1"/>
                  </w14:solidFill>
                </w14:textFill>
              </w:rPr>
              <w:t>27</w:t>
            </w:r>
            <w:r>
              <w:rPr>
                <w:rFonts w:hint="eastAsia" w:cs="宋体"/>
                <w:bCs/>
                <w:color w:val="000000" w:themeColor="text1"/>
                <w:kern w:val="0"/>
                <w:sz w:val="21"/>
                <w:szCs w:val="21"/>
                <w:highlight w:val="none"/>
                <w:u w:val="single"/>
                <w:lang w:eastAsia="zh-CN"/>
                <w14:textFill>
                  <w14:solidFill>
                    <w14:schemeClr w14:val="tx1"/>
                  </w14:solidFill>
                </w14:textFill>
              </w:rPr>
              <w:t>日</w:t>
            </w:r>
            <w:r>
              <w:rPr>
                <w:rFonts w:hint="eastAsia" w:ascii="宋体" w:hAnsi="宋体" w:eastAsia="宋体" w:cs="宋体"/>
                <w:color w:val="000000" w:themeColor="text1"/>
                <w:szCs w:val="21"/>
                <w:highlight w:val="none"/>
                <w:lang w:val="en-US" w:eastAsia="zh-CN"/>
                <w14:textFill>
                  <w14:solidFill>
                    <w14:schemeClr w14:val="tx1"/>
                  </w14:solidFill>
                </w14:textFill>
              </w:rPr>
              <w:t>09</w:t>
            </w:r>
            <w:r>
              <w:rPr>
                <w:rFonts w:hint="eastAsia" w:ascii="宋体" w:hAnsi="宋体" w:eastAsia="宋体" w:cs="宋体"/>
                <w:color w:val="000000" w:themeColor="text1"/>
                <w:szCs w:val="21"/>
                <w:highlight w:val="none"/>
                <w14:textFill>
                  <w14:solidFill>
                    <w14:schemeClr w14:val="tx1"/>
                  </w14:solidFill>
                </w14:textFill>
              </w:rPr>
              <w:t>点</w:t>
            </w:r>
            <w:r>
              <w:rPr>
                <w:rFonts w:hint="eastAsia" w:ascii="宋体" w:hAnsi="宋体" w:eastAsia="宋体" w:cs="宋体"/>
                <w:color w:val="000000" w:themeColor="text1"/>
                <w:szCs w:val="21"/>
                <w:highlight w:val="none"/>
                <w:lang w:val="en-US" w:eastAsia="zh-CN"/>
                <w14:textFill>
                  <w14:solidFill>
                    <w14:schemeClr w14:val="tx1"/>
                  </w14:solidFill>
                </w14:textFill>
              </w:rPr>
              <w:t>3</w:t>
            </w:r>
            <w:r>
              <w:rPr>
                <w:rFonts w:hint="eastAsia" w:ascii="宋体" w:hAnsi="宋体" w:eastAsia="宋体" w:cs="宋体"/>
                <w:color w:val="000000" w:themeColor="text1"/>
                <w:szCs w:val="21"/>
                <w:highlight w:val="none"/>
                <w14:textFill>
                  <w14:solidFill>
                    <w14:schemeClr w14:val="tx1"/>
                  </w14:solidFill>
                </w14:textFill>
              </w:rPr>
              <w:t>0分（北京时间）前提交响应文件。</w:t>
            </w:r>
          </w:p>
        </w:tc>
      </w:tr>
    </w:tbl>
    <w:p w14:paraId="11A4B0F7">
      <w:pPr>
        <w:keepNext w:val="0"/>
        <w:keepLines w:val="0"/>
        <w:pageBreakBefore w:val="0"/>
        <w:kinsoku/>
        <w:wordWrap/>
        <w:overflowPunct/>
        <w:topLinePunct w:val="0"/>
        <w:autoSpaceDE/>
        <w:autoSpaceDN/>
        <w:bidi w:val="0"/>
        <w:adjustRightInd/>
        <w:spacing w:line="360" w:lineRule="auto"/>
        <w:ind w:firstLine="420" w:firstLineChars="200"/>
        <w:textAlignment w:val="auto"/>
        <w:rPr>
          <w:rFonts w:hint="eastAsia" w:ascii="Times New Roman" w:hAnsi="Times New Roman" w:eastAsia="宋体" w:cs="宋体"/>
          <w:color w:val="000000" w:themeColor="text1"/>
          <w:sz w:val="21"/>
          <w:szCs w:val="21"/>
          <w:highlight w:val="none"/>
          <w14:textFill>
            <w14:solidFill>
              <w14:schemeClr w14:val="tx1"/>
            </w14:solidFill>
          </w14:textFill>
        </w:rPr>
      </w:pPr>
      <w:r>
        <w:rPr>
          <w:rFonts w:hint="eastAsia" w:ascii="Times New Roman" w:hAnsi="Times New Roman" w:eastAsia="宋体" w:cs="宋体"/>
          <w:bCs/>
          <w:color w:val="000000" w:themeColor="text1"/>
          <w:sz w:val="21"/>
          <w:szCs w:val="21"/>
          <w:highlight w:val="none"/>
          <w14:textFill>
            <w14:solidFill>
              <w14:schemeClr w14:val="tx1"/>
            </w14:solidFill>
          </w14:textFill>
        </w:rPr>
        <w:t>一、项目基本情况</w:t>
      </w:r>
      <w:bookmarkEnd w:id="12"/>
      <w:bookmarkEnd w:id="13"/>
      <w:bookmarkEnd w:id="14"/>
      <w:bookmarkEnd w:id="15"/>
      <w:bookmarkEnd w:id="16"/>
    </w:p>
    <w:p w14:paraId="282523D3">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宋体"/>
          <w:color w:val="000000" w:themeColor="text1"/>
          <w:sz w:val="21"/>
          <w:szCs w:val="21"/>
          <w:highlight w:val="none"/>
          <w:u w:val="none"/>
          <w:lang w:val="en-US" w:eastAsia="zh-CN"/>
          <w14:textFill>
            <w14:solidFill>
              <w14:schemeClr w14:val="tx1"/>
            </w14:solidFill>
          </w14:textFill>
        </w:rPr>
      </w:pPr>
      <w:bookmarkStart w:id="21" w:name="OLE_LINK23"/>
      <w:bookmarkStart w:id="22" w:name="_Toc44229879"/>
      <w:bookmarkStart w:id="23" w:name="_Toc28359090"/>
      <w:bookmarkStart w:id="24" w:name="_Toc28359013"/>
      <w:bookmarkStart w:id="25" w:name="_Toc35393799"/>
      <w:bookmarkStart w:id="26" w:name="_Toc35393630"/>
      <w:r>
        <w:rPr>
          <w:rFonts w:hint="eastAsia" w:ascii="Times New Roman" w:hAnsi="Times New Roman" w:cs="宋体"/>
          <w:color w:val="000000" w:themeColor="text1"/>
          <w:sz w:val="21"/>
          <w:szCs w:val="21"/>
          <w:highlight w:val="none"/>
          <w:lang w:eastAsia="zh-CN"/>
          <w14:textFill>
            <w14:solidFill>
              <w14:schemeClr w14:val="tx1"/>
            </w14:solidFill>
          </w14:textFill>
        </w:rPr>
        <w:t>采购计划编号：GLZC2026-C2-00011</w:t>
      </w:r>
      <w:r>
        <w:rPr>
          <w:rFonts w:hint="eastAsia" w:cs="宋体"/>
          <w:color w:val="000000" w:themeColor="text1"/>
          <w:sz w:val="21"/>
          <w:szCs w:val="21"/>
          <w:highlight w:val="none"/>
          <w:lang w:val="en-US" w:eastAsia="zh-CN"/>
          <w14:textFill>
            <w14:solidFill>
              <w14:schemeClr w14:val="tx1"/>
            </w14:solidFill>
          </w14:textFill>
        </w:rPr>
        <w:t xml:space="preserve"> </w:t>
      </w:r>
    </w:p>
    <w:p w14:paraId="137A855E">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imes New Roman" w:hAnsi="Times New Roman" w:eastAsia="宋体" w:cs="宋体"/>
          <w:color w:val="000000" w:themeColor="text1"/>
          <w:sz w:val="21"/>
          <w:szCs w:val="21"/>
          <w:highlight w:val="none"/>
          <w:lang w:eastAsia="zh-CN"/>
          <w14:textFill>
            <w14:solidFill>
              <w14:schemeClr w14:val="tx1"/>
            </w14:solidFill>
          </w14:textFill>
        </w:rPr>
      </w:pPr>
      <w:r>
        <w:rPr>
          <w:rFonts w:hint="eastAsia" w:ascii="Times New Roman" w:hAnsi="Times New Roman" w:eastAsia="宋体" w:cs="宋体"/>
          <w:color w:val="000000" w:themeColor="text1"/>
          <w:sz w:val="21"/>
          <w:szCs w:val="21"/>
          <w:highlight w:val="none"/>
          <w14:textFill>
            <w14:solidFill>
              <w14:schemeClr w14:val="tx1"/>
            </w14:solidFill>
          </w14:textFill>
        </w:rPr>
        <w:t>项目编号：</w:t>
      </w:r>
      <w:bookmarkEnd w:id="21"/>
      <w:r>
        <w:rPr>
          <w:rFonts w:hint="eastAsia" w:cs="宋体"/>
          <w:color w:val="000000" w:themeColor="text1"/>
          <w:sz w:val="21"/>
          <w:szCs w:val="21"/>
          <w:highlight w:val="none"/>
          <w:lang w:val="en-US" w:eastAsia="zh-CN"/>
          <w14:textFill>
            <w14:solidFill>
              <w14:schemeClr w14:val="tx1"/>
            </w14:solidFill>
          </w14:textFill>
        </w:rPr>
        <w:t>GLZC2026-C2-990014-GXKL</w:t>
      </w:r>
    </w:p>
    <w:p w14:paraId="3CB3B47C">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imes New Roman" w:hAnsi="Times New Roman" w:eastAsia="宋体" w:cs="宋体"/>
          <w:color w:val="000000" w:themeColor="text1"/>
          <w:sz w:val="21"/>
          <w:szCs w:val="21"/>
          <w:highlight w:val="none"/>
          <w:u w:val="single"/>
          <w:lang w:val="en-US" w:eastAsia="zh-CN"/>
          <w14:textFill>
            <w14:solidFill>
              <w14:schemeClr w14:val="tx1"/>
            </w14:solidFill>
          </w14:textFill>
        </w:rPr>
      </w:pPr>
      <w:r>
        <w:rPr>
          <w:rFonts w:hint="eastAsia" w:ascii="Times New Roman" w:hAnsi="Times New Roman" w:eastAsia="宋体" w:cs="宋体"/>
          <w:color w:val="000000" w:themeColor="text1"/>
          <w:sz w:val="21"/>
          <w:szCs w:val="21"/>
          <w:highlight w:val="none"/>
          <w14:textFill>
            <w14:solidFill>
              <w14:schemeClr w14:val="tx1"/>
            </w14:solidFill>
          </w14:textFill>
        </w:rPr>
        <w:t>项目名称：</w:t>
      </w:r>
      <w:r>
        <w:rPr>
          <w:rFonts w:hint="eastAsia" w:cs="宋体"/>
          <w:color w:val="000000" w:themeColor="text1"/>
          <w:sz w:val="21"/>
          <w:szCs w:val="21"/>
          <w:highlight w:val="none"/>
          <w:lang w:val="en-US" w:eastAsia="zh-CN"/>
          <w14:textFill>
            <w14:solidFill>
              <w14:schemeClr w14:val="tx1"/>
            </w14:solidFill>
          </w14:textFill>
        </w:rPr>
        <w:t>桂林市中西医结合医院消化内镜中心装修改造工程</w:t>
      </w:r>
    </w:p>
    <w:p w14:paraId="756DA114">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imes New Roman" w:hAnsi="Times New Roman" w:eastAsia="宋体" w:cs="宋体"/>
          <w:color w:val="000000" w:themeColor="text1"/>
          <w:sz w:val="21"/>
          <w:szCs w:val="21"/>
          <w:highlight w:val="none"/>
          <w14:textFill>
            <w14:solidFill>
              <w14:schemeClr w14:val="tx1"/>
            </w14:solidFill>
          </w14:textFill>
        </w:rPr>
      </w:pPr>
      <w:r>
        <w:rPr>
          <w:rFonts w:hint="eastAsia" w:ascii="Times New Roman" w:hAnsi="Times New Roman" w:eastAsia="宋体" w:cs="宋体"/>
          <w:color w:val="000000" w:themeColor="text1"/>
          <w:sz w:val="21"/>
          <w:szCs w:val="21"/>
          <w:highlight w:val="none"/>
          <w14:textFill>
            <w14:solidFill>
              <w14:schemeClr w14:val="tx1"/>
            </w14:solidFill>
          </w14:textFill>
        </w:rPr>
        <w:t>采购方式：竞争性磋商</w:t>
      </w:r>
    </w:p>
    <w:p w14:paraId="224D8576">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宋体"/>
          <w:color w:val="000000" w:themeColor="text1"/>
          <w:sz w:val="21"/>
          <w:szCs w:val="21"/>
          <w:highlight w:val="none"/>
          <w14:textFill>
            <w14:solidFill>
              <w14:schemeClr w14:val="tx1"/>
            </w14:solidFill>
          </w14:textFill>
        </w:rPr>
        <w:t>预算总金额：</w:t>
      </w:r>
      <w:r>
        <w:rPr>
          <w:rFonts w:hint="default" w:ascii="Times New Roman" w:hAnsi="Times New Roman" w:cs="宋体"/>
          <w:color w:val="000000" w:themeColor="text1"/>
          <w:sz w:val="21"/>
          <w:szCs w:val="21"/>
          <w:highlight w:val="none"/>
          <w:lang w:val="en-US"/>
          <w14:textFill>
            <w14:solidFill>
              <w14:schemeClr w14:val="tx1"/>
            </w14:solidFill>
          </w14:textFill>
        </w:rPr>
        <w:t>（大写）</w:t>
      </w:r>
      <w:r>
        <w:rPr>
          <w:rFonts w:hint="default" w:ascii="Times New Roman" w:hAnsi="Times New Roman" w:cs="宋体"/>
          <w:color w:val="000000" w:themeColor="text1"/>
          <w:sz w:val="21"/>
          <w:szCs w:val="21"/>
          <w:highlight w:val="none"/>
          <w:u w:val="single"/>
          <w:lang w:val="en-US"/>
          <w14:textFill>
            <w14:solidFill>
              <w14:schemeClr w14:val="tx1"/>
            </w14:solidFill>
          </w14:textFill>
        </w:rPr>
        <w:t>人民币</w:t>
      </w:r>
      <w:r>
        <w:rPr>
          <w:rFonts w:hint="eastAsia" w:cs="宋体"/>
          <w:color w:val="000000" w:themeColor="text1"/>
          <w:sz w:val="21"/>
          <w:szCs w:val="21"/>
          <w:highlight w:val="none"/>
          <w:u w:val="single"/>
          <w:lang w:val="en-US" w:eastAsia="zh-CN"/>
          <w14:textFill>
            <w14:solidFill>
              <w14:schemeClr w14:val="tx1"/>
            </w14:solidFill>
          </w14:textFill>
        </w:rPr>
        <w:t>柒拾柒万玖仟叁佰柒拾伍元肆角捌分</w:t>
      </w:r>
      <w:r>
        <w:rPr>
          <w:rFonts w:hint="default" w:ascii="Times New Roman" w:hAnsi="Times New Roman" w:cs="宋体"/>
          <w:color w:val="000000" w:themeColor="text1"/>
          <w:sz w:val="21"/>
          <w:szCs w:val="21"/>
          <w:highlight w:val="none"/>
          <w:lang w:val="en-US"/>
          <w14:textFill>
            <w14:solidFill>
              <w14:schemeClr w14:val="tx1"/>
            </w14:solidFill>
          </w14:textFill>
        </w:rPr>
        <w:t>（小写）¥</w:t>
      </w:r>
      <w:r>
        <w:rPr>
          <w:rFonts w:hint="eastAsia" w:cs="宋体"/>
          <w:color w:val="000000" w:themeColor="text1"/>
          <w:sz w:val="21"/>
          <w:szCs w:val="21"/>
          <w:highlight w:val="none"/>
          <w:u w:val="single"/>
          <w:lang w:val="en-US" w:eastAsia="zh-CN"/>
          <w14:textFill>
            <w14:solidFill>
              <w14:schemeClr w14:val="tx1"/>
            </w14:solidFill>
          </w14:textFill>
        </w:rPr>
        <w:t>779375.48</w:t>
      </w:r>
      <w:r>
        <w:rPr>
          <w:rFonts w:hint="eastAsia" w:ascii="Times New Roman" w:hAnsi="Times New Roman" w:cs="宋体"/>
          <w:color w:val="000000" w:themeColor="text1"/>
          <w:sz w:val="21"/>
          <w:szCs w:val="21"/>
          <w:highlight w:val="none"/>
          <w:u w:val="none"/>
          <w:lang w:val="en-US" w:eastAsia="zh-CN"/>
          <w14:textFill>
            <w14:solidFill>
              <w14:schemeClr w14:val="tx1"/>
            </w14:solidFill>
          </w14:textFill>
        </w:rPr>
        <w:t>。</w:t>
      </w:r>
    </w:p>
    <w:p w14:paraId="206A34B3">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imes New Roman" w:hAnsi="Times New Roman" w:eastAsia="宋体" w:cs="宋体"/>
          <w:color w:val="000000" w:themeColor="text1"/>
          <w:sz w:val="21"/>
          <w:szCs w:val="21"/>
          <w:highlight w:val="none"/>
          <w14:textFill>
            <w14:solidFill>
              <w14:schemeClr w14:val="tx1"/>
            </w14:solidFill>
          </w14:textFill>
        </w:rPr>
      </w:pPr>
      <w:r>
        <w:rPr>
          <w:rFonts w:hint="eastAsia" w:ascii="Times New Roman" w:hAnsi="Times New Roman" w:eastAsia="宋体" w:cs="宋体"/>
          <w:color w:val="000000" w:themeColor="text1"/>
          <w:sz w:val="21"/>
          <w:szCs w:val="21"/>
          <w:highlight w:val="none"/>
          <w14:textFill>
            <w14:solidFill>
              <w14:schemeClr w14:val="tx1"/>
            </w14:solidFill>
          </w14:textFill>
        </w:rPr>
        <w:t>采购需求：</w:t>
      </w:r>
    </w:p>
    <w:p w14:paraId="6B885034">
      <w:pPr>
        <w:keepNext w:val="0"/>
        <w:keepLines w:val="0"/>
        <w:pageBreakBefore w:val="0"/>
        <w:widowControl w:val="0"/>
        <w:kinsoku/>
        <w:wordWrap/>
        <w:overflowPunct/>
        <w:topLinePunct w:val="0"/>
        <w:autoSpaceDE/>
        <w:autoSpaceDN/>
        <w:bidi w:val="0"/>
        <w:adjustRightInd/>
        <w:snapToGrid/>
        <w:spacing w:line="360" w:lineRule="auto"/>
        <w:ind w:firstLine="630" w:firstLineChars="300"/>
        <w:textAlignment w:val="auto"/>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宋体"/>
          <w:color w:val="000000" w:themeColor="text1"/>
          <w:sz w:val="21"/>
          <w:szCs w:val="21"/>
          <w:highlight w:val="none"/>
          <w14:textFill>
            <w14:solidFill>
              <w14:schemeClr w14:val="tx1"/>
            </w14:solidFill>
          </w14:textFill>
        </w:rPr>
        <w:t>标</w:t>
      </w:r>
      <w:r>
        <w:rPr>
          <w:rFonts w:hint="eastAsia" w:ascii="Times New Roman" w:hAnsi="Times New Roman" w:cs="宋体"/>
          <w:color w:val="000000" w:themeColor="text1"/>
          <w:sz w:val="21"/>
          <w:szCs w:val="21"/>
          <w:highlight w:val="none"/>
          <w:lang w:eastAsia="zh-CN"/>
          <w14:textFill>
            <w14:solidFill>
              <w14:schemeClr w14:val="tx1"/>
            </w14:solidFill>
          </w14:textFill>
        </w:rPr>
        <w:t>的</w:t>
      </w:r>
      <w:r>
        <w:rPr>
          <w:rFonts w:hint="eastAsia" w:ascii="Times New Roman" w:hAnsi="Times New Roman" w:eastAsia="宋体" w:cs="宋体"/>
          <w:color w:val="000000" w:themeColor="text1"/>
          <w:sz w:val="21"/>
          <w:szCs w:val="21"/>
          <w:highlight w:val="none"/>
          <w14:textFill>
            <w14:solidFill>
              <w14:schemeClr w14:val="tx1"/>
            </w14:solidFill>
          </w14:textFill>
        </w:rPr>
        <w:t>名称：</w:t>
      </w:r>
      <w:r>
        <w:rPr>
          <w:rFonts w:hint="eastAsia" w:cs="宋体"/>
          <w:color w:val="000000" w:themeColor="text1"/>
          <w:sz w:val="21"/>
          <w:szCs w:val="21"/>
          <w:highlight w:val="none"/>
          <w:lang w:val="en-US" w:eastAsia="zh-CN"/>
          <w14:textFill>
            <w14:solidFill>
              <w14:schemeClr w14:val="tx1"/>
            </w14:solidFill>
          </w14:textFill>
        </w:rPr>
        <w:t>桂林市中西医结合医院消化内镜中心装修改造工程</w:t>
      </w:r>
    </w:p>
    <w:p w14:paraId="2BA08DE6">
      <w:pPr>
        <w:keepNext w:val="0"/>
        <w:keepLines w:val="0"/>
        <w:pageBreakBefore w:val="0"/>
        <w:widowControl w:val="0"/>
        <w:kinsoku/>
        <w:wordWrap/>
        <w:overflowPunct/>
        <w:topLinePunct w:val="0"/>
        <w:autoSpaceDE/>
        <w:autoSpaceDN/>
        <w:bidi w:val="0"/>
        <w:adjustRightInd/>
        <w:snapToGrid/>
        <w:spacing w:line="360" w:lineRule="auto"/>
        <w:ind w:firstLine="630" w:firstLineChars="300"/>
        <w:textAlignment w:val="auto"/>
        <w:rPr>
          <w:rFonts w:hint="eastAsia" w:ascii="Times New Roman" w:hAnsi="Times New Roman" w:eastAsia="宋体" w:cs="宋体"/>
          <w:color w:val="000000" w:themeColor="text1"/>
          <w:sz w:val="21"/>
          <w:szCs w:val="21"/>
          <w:highlight w:val="none"/>
          <w:lang w:eastAsia="zh-CN"/>
          <w14:textFill>
            <w14:solidFill>
              <w14:schemeClr w14:val="tx1"/>
            </w14:solidFill>
          </w14:textFill>
        </w:rPr>
      </w:pPr>
      <w:r>
        <w:rPr>
          <w:rFonts w:hint="eastAsia" w:ascii="Times New Roman" w:hAnsi="Times New Roman" w:eastAsia="宋体" w:cs="宋体"/>
          <w:color w:val="000000" w:themeColor="text1"/>
          <w:sz w:val="21"/>
          <w:szCs w:val="21"/>
          <w:highlight w:val="none"/>
          <w14:textFill>
            <w14:solidFill>
              <w14:schemeClr w14:val="tx1"/>
            </w14:solidFill>
          </w14:textFill>
        </w:rPr>
        <w:t>数量：1</w:t>
      </w:r>
    </w:p>
    <w:p w14:paraId="3F900788">
      <w:pPr>
        <w:keepNext w:val="0"/>
        <w:keepLines w:val="0"/>
        <w:pageBreakBefore w:val="0"/>
        <w:widowControl w:val="0"/>
        <w:kinsoku/>
        <w:wordWrap/>
        <w:overflowPunct/>
        <w:topLinePunct w:val="0"/>
        <w:autoSpaceDE/>
        <w:autoSpaceDN/>
        <w:bidi w:val="0"/>
        <w:adjustRightInd/>
        <w:snapToGrid/>
        <w:spacing w:line="360" w:lineRule="auto"/>
        <w:ind w:firstLine="630" w:firstLineChars="300"/>
        <w:textAlignment w:val="auto"/>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宋体"/>
          <w:color w:val="000000" w:themeColor="text1"/>
          <w:sz w:val="21"/>
          <w:szCs w:val="21"/>
          <w:highlight w:val="none"/>
          <w14:textFill>
            <w14:solidFill>
              <w14:schemeClr w14:val="tx1"/>
            </w14:solidFill>
          </w14:textFill>
        </w:rPr>
        <w:t>预算金额（元）：</w:t>
      </w:r>
      <w:r>
        <w:rPr>
          <w:rFonts w:hint="default" w:ascii="Times New Roman" w:hAnsi="Times New Roman" w:cs="宋体"/>
          <w:color w:val="000000" w:themeColor="text1"/>
          <w:sz w:val="21"/>
          <w:szCs w:val="21"/>
          <w:highlight w:val="none"/>
          <w:lang w:val="en-US"/>
          <w14:textFill>
            <w14:solidFill>
              <w14:schemeClr w14:val="tx1"/>
            </w14:solidFill>
          </w14:textFill>
        </w:rPr>
        <w:t>¥</w:t>
      </w:r>
      <w:r>
        <w:rPr>
          <w:rFonts w:hint="eastAsia" w:cs="宋体"/>
          <w:color w:val="000000" w:themeColor="text1"/>
          <w:sz w:val="21"/>
          <w:szCs w:val="21"/>
          <w:highlight w:val="none"/>
          <w:u w:val="single"/>
          <w:lang w:val="en-US" w:eastAsia="zh-CN"/>
          <w14:textFill>
            <w14:solidFill>
              <w14:schemeClr w14:val="tx1"/>
            </w14:solidFill>
          </w14:textFill>
        </w:rPr>
        <w:t>779375.48</w:t>
      </w:r>
      <w:r>
        <w:rPr>
          <w:rFonts w:hint="eastAsia" w:ascii="Times New Roman" w:hAnsi="Times New Roman" w:cs="宋体"/>
          <w:color w:val="000000" w:themeColor="text1"/>
          <w:sz w:val="21"/>
          <w:szCs w:val="21"/>
          <w:highlight w:val="none"/>
          <w:u w:val="none"/>
          <w:lang w:val="en-US" w:eastAsia="zh-CN"/>
          <w14:textFill>
            <w14:solidFill>
              <w14:schemeClr w14:val="tx1"/>
            </w14:solidFill>
          </w14:textFill>
        </w:rPr>
        <w:t>；</w:t>
      </w:r>
    </w:p>
    <w:p w14:paraId="292532CE">
      <w:pPr>
        <w:pStyle w:val="14"/>
        <w:keepNext w:val="0"/>
        <w:keepLines w:val="0"/>
        <w:pageBreakBefore w:val="0"/>
        <w:widowControl w:val="0"/>
        <w:kinsoku/>
        <w:wordWrap/>
        <w:overflowPunct/>
        <w:topLinePunct w:val="0"/>
        <w:autoSpaceDE/>
        <w:autoSpaceDN/>
        <w:bidi w:val="0"/>
        <w:adjustRightInd/>
        <w:snapToGrid/>
        <w:spacing w:after="0" w:line="360" w:lineRule="auto"/>
        <w:ind w:firstLine="630" w:firstLineChars="300"/>
        <w:textAlignment w:val="auto"/>
        <w:rPr>
          <w:rFonts w:hint="eastAsia" w:ascii="Times New Roman" w:hAnsi="Times New Roman" w:eastAsia="宋体" w:cs="宋体"/>
          <w:color w:val="000000" w:themeColor="text1"/>
          <w:sz w:val="21"/>
          <w:szCs w:val="21"/>
          <w:highlight w:val="none"/>
          <w14:textFill>
            <w14:solidFill>
              <w14:schemeClr w14:val="tx1"/>
            </w14:solidFill>
          </w14:textFill>
        </w:rPr>
      </w:pPr>
      <w:r>
        <w:rPr>
          <w:rFonts w:hint="eastAsia" w:ascii="Times New Roman" w:hAnsi="Times New Roman" w:eastAsia="宋体" w:cs="宋体"/>
          <w:color w:val="000000" w:themeColor="text1"/>
          <w:sz w:val="21"/>
          <w:szCs w:val="21"/>
          <w:highlight w:val="none"/>
          <w14:textFill>
            <w14:solidFill>
              <w14:schemeClr w14:val="tx1"/>
            </w14:solidFill>
          </w14:textFill>
        </w:rPr>
        <w:t>简要规格描述或项目基本概况介绍、用途：</w:t>
      </w:r>
      <w:r>
        <w:rPr>
          <w:rFonts w:hint="eastAsia" w:cs="宋体"/>
          <w:color w:val="000000" w:themeColor="text1"/>
          <w:sz w:val="21"/>
          <w:szCs w:val="21"/>
          <w:highlight w:val="none"/>
          <w:lang w:val="en-US" w:eastAsia="zh-CN"/>
          <w14:textFill>
            <w14:solidFill>
              <w14:schemeClr w14:val="tx1"/>
            </w14:solidFill>
          </w14:textFill>
        </w:rPr>
        <w:t>桂林市中西医结合医院消化内镜中心装修改造工程，主要包含室内墙体改造，原胃肠镜诊疗室吊塔安装区域修缮，门安装，楼地面、墙面、天棚吊顶装饰，给排水工程，智能化工程，电气工程等</w:t>
      </w:r>
      <w:r>
        <w:rPr>
          <w:rFonts w:hint="eastAsia" w:ascii="Times New Roman" w:hAnsi="Times New Roman" w:eastAsia="宋体" w:cs="宋体"/>
          <w:color w:val="000000" w:themeColor="text1"/>
          <w:sz w:val="21"/>
          <w:szCs w:val="21"/>
          <w:highlight w:val="none"/>
          <w14:textFill>
            <w14:solidFill>
              <w14:schemeClr w14:val="tx1"/>
            </w14:solidFill>
          </w14:textFill>
        </w:rPr>
        <w:t>。（具体以施工图纸和工程量清单内容为准）</w:t>
      </w:r>
    </w:p>
    <w:p w14:paraId="1901219F">
      <w:pPr>
        <w:keepNext w:val="0"/>
        <w:keepLines w:val="0"/>
        <w:pageBreakBefore w:val="0"/>
        <w:kinsoku/>
        <w:wordWrap/>
        <w:overflowPunct/>
        <w:topLinePunct w:val="0"/>
        <w:autoSpaceDE/>
        <w:autoSpaceDN/>
        <w:bidi w:val="0"/>
        <w:adjustRightInd/>
        <w:spacing w:line="360" w:lineRule="auto"/>
        <w:ind w:firstLine="420" w:firstLineChars="200"/>
        <w:textAlignment w:val="auto"/>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宋体"/>
          <w:color w:val="000000" w:themeColor="text1"/>
          <w:sz w:val="21"/>
          <w:szCs w:val="21"/>
          <w:highlight w:val="none"/>
          <w14:textFill>
            <w14:solidFill>
              <w14:schemeClr w14:val="tx1"/>
            </w14:solidFill>
          </w14:textFill>
        </w:rPr>
        <w:t>最高限价：</w:t>
      </w:r>
      <w:r>
        <w:rPr>
          <w:rFonts w:hint="default" w:ascii="Times New Roman" w:hAnsi="Times New Roman" w:cs="宋体"/>
          <w:color w:val="000000" w:themeColor="text1"/>
          <w:sz w:val="21"/>
          <w:szCs w:val="21"/>
          <w:highlight w:val="none"/>
          <w:lang w:val="en-US"/>
          <w14:textFill>
            <w14:solidFill>
              <w14:schemeClr w14:val="tx1"/>
            </w14:solidFill>
          </w14:textFill>
        </w:rPr>
        <w:t>（大写）</w:t>
      </w:r>
      <w:r>
        <w:rPr>
          <w:rFonts w:hint="default" w:ascii="Times New Roman" w:hAnsi="Times New Roman" w:cs="宋体"/>
          <w:color w:val="000000" w:themeColor="text1"/>
          <w:sz w:val="21"/>
          <w:szCs w:val="21"/>
          <w:highlight w:val="none"/>
          <w:u w:val="single"/>
          <w:lang w:val="en-US"/>
          <w14:textFill>
            <w14:solidFill>
              <w14:schemeClr w14:val="tx1"/>
            </w14:solidFill>
          </w14:textFill>
        </w:rPr>
        <w:t>人民币</w:t>
      </w:r>
      <w:r>
        <w:rPr>
          <w:rFonts w:hint="eastAsia" w:cs="宋体"/>
          <w:color w:val="000000" w:themeColor="text1"/>
          <w:sz w:val="21"/>
          <w:szCs w:val="21"/>
          <w:highlight w:val="none"/>
          <w:u w:val="single"/>
          <w:lang w:val="en-US" w:eastAsia="zh-CN"/>
          <w14:textFill>
            <w14:solidFill>
              <w14:schemeClr w14:val="tx1"/>
            </w14:solidFill>
          </w14:textFill>
        </w:rPr>
        <w:t>柒拾柒万玖仟叁佰柒拾伍元肆角捌分</w:t>
      </w:r>
      <w:r>
        <w:rPr>
          <w:rFonts w:hint="default" w:ascii="Times New Roman" w:hAnsi="Times New Roman" w:cs="宋体"/>
          <w:color w:val="000000" w:themeColor="text1"/>
          <w:sz w:val="21"/>
          <w:szCs w:val="21"/>
          <w:highlight w:val="none"/>
          <w:lang w:val="en-US"/>
          <w14:textFill>
            <w14:solidFill>
              <w14:schemeClr w14:val="tx1"/>
            </w14:solidFill>
          </w14:textFill>
        </w:rPr>
        <w:t>（小写）¥</w:t>
      </w:r>
      <w:r>
        <w:rPr>
          <w:rFonts w:hint="eastAsia" w:cs="宋体"/>
          <w:color w:val="000000" w:themeColor="text1"/>
          <w:sz w:val="21"/>
          <w:szCs w:val="21"/>
          <w:highlight w:val="none"/>
          <w:u w:val="single"/>
          <w:lang w:val="en-US" w:eastAsia="zh-CN"/>
          <w14:textFill>
            <w14:solidFill>
              <w14:schemeClr w14:val="tx1"/>
            </w14:solidFill>
          </w14:textFill>
        </w:rPr>
        <w:t>779375.48</w:t>
      </w:r>
      <w:r>
        <w:rPr>
          <w:rFonts w:hint="eastAsia" w:ascii="Times New Roman" w:hAnsi="Times New Roman" w:cs="宋体"/>
          <w:color w:val="000000" w:themeColor="text1"/>
          <w:sz w:val="21"/>
          <w:szCs w:val="21"/>
          <w:highlight w:val="none"/>
          <w:lang w:val="en-US" w:eastAsia="zh-CN"/>
          <w14:textFill>
            <w14:solidFill>
              <w14:schemeClr w14:val="tx1"/>
            </w14:solidFill>
          </w14:textFill>
        </w:rPr>
        <w:t>。</w:t>
      </w:r>
    </w:p>
    <w:p w14:paraId="2114DC88">
      <w:pPr>
        <w:keepNext w:val="0"/>
        <w:keepLines w:val="0"/>
        <w:pageBreakBefore w:val="0"/>
        <w:kinsoku/>
        <w:wordWrap/>
        <w:overflowPunct/>
        <w:topLinePunct w:val="0"/>
        <w:autoSpaceDE/>
        <w:autoSpaceDN/>
        <w:bidi w:val="0"/>
        <w:adjustRightInd/>
        <w:spacing w:line="360" w:lineRule="auto"/>
        <w:ind w:firstLine="420" w:firstLineChars="200"/>
        <w:textAlignment w:val="auto"/>
        <w:rPr>
          <w:rFonts w:hint="eastAsia" w:ascii="Times New Roman" w:hAnsi="Times New Roman" w:eastAsia="宋体" w:cs="宋体"/>
          <w:color w:val="000000" w:themeColor="text1"/>
          <w:sz w:val="21"/>
          <w:szCs w:val="21"/>
          <w:highlight w:val="none"/>
          <w:u w:val="single"/>
          <w14:textFill>
            <w14:solidFill>
              <w14:schemeClr w14:val="tx1"/>
            </w14:solidFill>
          </w14:textFill>
        </w:rPr>
      </w:pPr>
      <w:r>
        <w:rPr>
          <w:rFonts w:hint="eastAsia" w:ascii="Times New Roman" w:hAnsi="Times New Roman" w:eastAsia="宋体" w:cs="宋体"/>
          <w:color w:val="000000" w:themeColor="text1"/>
          <w:sz w:val="21"/>
          <w:szCs w:val="21"/>
          <w:highlight w:val="none"/>
          <w14:textFill>
            <w14:solidFill>
              <w14:schemeClr w14:val="tx1"/>
            </w14:solidFill>
          </w14:textFill>
        </w:rPr>
        <w:t>合同履行期限：</w:t>
      </w:r>
      <w:r>
        <w:rPr>
          <w:rFonts w:hint="eastAsia" w:cs="宋体"/>
          <w:color w:val="000000" w:themeColor="text1"/>
          <w:sz w:val="21"/>
          <w:szCs w:val="21"/>
          <w:highlight w:val="none"/>
          <w:u w:val="single"/>
          <w:lang w:val="en-US" w:eastAsia="zh-CN"/>
          <w14:textFill>
            <w14:solidFill>
              <w14:schemeClr w14:val="tx1"/>
            </w14:solidFill>
          </w14:textFill>
        </w:rPr>
        <w:t>要求工期</w:t>
      </w:r>
      <w:r>
        <w:rPr>
          <w:rFonts w:hint="eastAsia" w:ascii="Times New Roman" w:hAnsi="Times New Roman" w:cs="宋体"/>
          <w:color w:val="000000" w:themeColor="text1"/>
          <w:sz w:val="21"/>
          <w:szCs w:val="21"/>
          <w:highlight w:val="none"/>
          <w:u w:val="single"/>
          <w:lang w:val="en-US" w:eastAsia="zh-CN"/>
          <w14:textFill>
            <w14:solidFill>
              <w14:schemeClr w14:val="tx1"/>
            </w14:solidFill>
          </w14:textFill>
        </w:rPr>
        <w:t>：</w:t>
      </w:r>
      <w:r>
        <w:rPr>
          <w:rFonts w:hint="eastAsia" w:cs="宋体"/>
          <w:color w:val="000000" w:themeColor="text1"/>
          <w:sz w:val="21"/>
          <w:szCs w:val="21"/>
          <w:highlight w:val="none"/>
          <w:u w:val="single"/>
          <w:lang w:val="en-US" w:eastAsia="zh-CN"/>
          <w14:textFill>
            <w14:solidFill>
              <w14:schemeClr w14:val="tx1"/>
            </w14:solidFill>
          </w14:textFill>
        </w:rPr>
        <w:t>100日历天</w:t>
      </w:r>
      <w:r>
        <w:rPr>
          <w:rFonts w:hint="eastAsia" w:ascii="Times New Roman" w:hAnsi="Times New Roman" w:cs="宋体"/>
          <w:color w:val="000000" w:themeColor="text1"/>
          <w:sz w:val="21"/>
          <w:szCs w:val="21"/>
          <w:highlight w:val="none"/>
          <w:u w:val="single"/>
          <w:lang w:val="en-US" w:eastAsia="zh-CN"/>
          <w14:textFill>
            <w14:solidFill>
              <w14:schemeClr w14:val="tx1"/>
            </w14:solidFill>
          </w14:textFill>
        </w:rPr>
        <w:t>。</w:t>
      </w:r>
    </w:p>
    <w:p w14:paraId="57D3624B">
      <w:pPr>
        <w:keepNext w:val="0"/>
        <w:keepLines w:val="0"/>
        <w:pageBreakBefore w:val="0"/>
        <w:kinsoku/>
        <w:wordWrap/>
        <w:overflowPunct/>
        <w:topLinePunct w:val="0"/>
        <w:autoSpaceDE/>
        <w:autoSpaceDN/>
        <w:bidi w:val="0"/>
        <w:adjustRightInd/>
        <w:spacing w:line="360" w:lineRule="auto"/>
        <w:ind w:firstLine="420" w:firstLineChars="200"/>
        <w:textAlignment w:val="auto"/>
        <w:rPr>
          <w:rFonts w:hint="eastAsia" w:ascii="Times New Roman" w:hAnsi="Times New Roman" w:eastAsia="宋体" w:cs="宋体"/>
          <w:color w:val="000000" w:themeColor="text1"/>
          <w:sz w:val="21"/>
          <w:szCs w:val="21"/>
          <w:highlight w:val="none"/>
          <w14:textFill>
            <w14:solidFill>
              <w14:schemeClr w14:val="tx1"/>
            </w14:solidFill>
          </w14:textFill>
        </w:rPr>
      </w:pPr>
      <w:r>
        <w:rPr>
          <w:rFonts w:hint="eastAsia" w:ascii="Times New Roman" w:hAnsi="Times New Roman" w:eastAsia="宋体" w:cs="宋体"/>
          <w:color w:val="000000" w:themeColor="text1"/>
          <w:sz w:val="21"/>
          <w:szCs w:val="21"/>
          <w:highlight w:val="none"/>
          <w14:textFill>
            <w14:solidFill>
              <w14:schemeClr w14:val="tx1"/>
            </w14:solidFill>
          </w14:textFill>
        </w:rPr>
        <w:t>本项目</w:t>
      </w:r>
      <w:r>
        <w:rPr>
          <w:rFonts w:hint="eastAsia" w:ascii="Times New Roman" w:hAnsi="Times New Roman" w:eastAsia="宋体" w:cs="宋体"/>
          <w:color w:val="000000" w:themeColor="text1"/>
          <w:sz w:val="21"/>
          <w:szCs w:val="21"/>
          <w:highlight w:val="none"/>
          <w:lang w:eastAsia="zh-CN"/>
          <w14:textFill>
            <w14:solidFill>
              <w14:schemeClr w14:val="tx1"/>
            </w14:solidFill>
          </w14:textFill>
        </w:rPr>
        <w:t>（</w:t>
      </w:r>
      <w:r>
        <w:rPr>
          <w:rFonts w:hint="eastAsia" w:ascii="Times New Roman" w:hAnsi="Times New Roman" w:eastAsia="宋体" w:cs="宋体"/>
          <w:color w:val="000000" w:themeColor="text1"/>
          <w:sz w:val="21"/>
          <w:szCs w:val="21"/>
          <w:highlight w:val="none"/>
          <w14:textFill>
            <w14:solidFill>
              <w14:schemeClr w14:val="tx1"/>
            </w14:solidFill>
          </w14:textFill>
        </w:rPr>
        <w:t>是/否）接受联合体：否。</w:t>
      </w:r>
    </w:p>
    <w:p w14:paraId="4F1FA0C3">
      <w:pPr>
        <w:keepNext w:val="0"/>
        <w:keepLines w:val="0"/>
        <w:pageBreakBefore w:val="0"/>
        <w:kinsoku/>
        <w:wordWrap/>
        <w:overflowPunct/>
        <w:topLinePunct w:val="0"/>
        <w:autoSpaceDE/>
        <w:autoSpaceDN/>
        <w:bidi w:val="0"/>
        <w:adjustRightInd/>
        <w:spacing w:line="360" w:lineRule="auto"/>
        <w:ind w:firstLine="422" w:firstLineChars="200"/>
        <w:textAlignment w:val="auto"/>
        <w:rPr>
          <w:rFonts w:hint="eastAsia" w:ascii="Times New Roman" w:hAnsi="Times New Roman" w:eastAsia="宋体" w:cs="宋体"/>
          <w:bCs/>
          <w:color w:val="000000" w:themeColor="text1"/>
          <w:sz w:val="21"/>
          <w:szCs w:val="21"/>
          <w:highlight w:val="none"/>
          <w:lang w:eastAsia="zh-CN"/>
          <w14:textFill>
            <w14:solidFill>
              <w14:schemeClr w14:val="tx1"/>
            </w14:solidFill>
          </w14:textFill>
        </w:rPr>
      </w:pPr>
      <w:r>
        <w:rPr>
          <w:rFonts w:hint="eastAsia" w:ascii="Times New Roman" w:hAnsi="Times New Roman" w:eastAsia="宋体" w:cs="宋体"/>
          <w:b/>
          <w:color w:val="000000" w:themeColor="text1"/>
          <w:kern w:val="44"/>
          <w:sz w:val="21"/>
          <w:szCs w:val="21"/>
          <w:highlight w:val="none"/>
          <w14:textFill>
            <w14:solidFill>
              <w14:schemeClr w14:val="tx1"/>
            </w14:solidFill>
          </w14:textFill>
        </w:rPr>
        <w:t>二、申请人的资格</w:t>
      </w:r>
      <w:bookmarkEnd w:id="22"/>
      <w:bookmarkEnd w:id="23"/>
      <w:bookmarkEnd w:id="24"/>
      <w:bookmarkEnd w:id="25"/>
      <w:bookmarkEnd w:id="26"/>
      <w:r>
        <w:rPr>
          <w:rFonts w:hint="eastAsia" w:ascii="Times New Roman" w:hAnsi="Times New Roman" w:eastAsia="宋体" w:cs="宋体"/>
          <w:b/>
          <w:color w:val="000000" w:themeColor="text1"/>
          <w:kern w:val="44"/>
          <w:sz w:val="21"/>
          <w:szCs w:val="21"/>
          <w:highlight w:val="none"/>
          <w:lang w:eastAsia="zh-CN"/>
          <w14:textFill>
            <w14:solidFill>
              <w14:schemeClr w14:val="tx1"/>
            </w14:solidFill>
          </w14:textFill>
        </w:rPr>
        <w:t>要求</w:t>
      </w:r>
    </w:p>
    <w:p w14:paraId="42411944">
      <w:pPr>
        <w:keepNext w:val="0"/>
        <w:keepLines w:val="0"/>
        <w:pageBreakBefore w:val="0"/>
        <w:kinsoku/>
        <w:wordWrap/>
        <w:overflowPunct/>
        <w:topLinePunct w:val="0"/>
        <w:autoSpaceDE/>
        <w:autoSpaceDN/>
        <w:bidi w:val="0"/>
        <w:adjustRightInd/>
        <w:spacing w:line="360" w:lineRule="auto"/>
        <w:ind w:firstLine="420" w:firstLineChars="200"/>
        <w:textAlignment w:val="auto"/>
        <w:rPr>
          <w:rFonts w:hint="eastAsia" w:ascii="Times New Roman" w:hAnsi="Times New Roman" w:eastAsia="宋体" w:cs="宋体"/>
          <w:color w:val="000000" w:themeColor="text1"/>
          <w:sz w:val="21"/>
          <w:szCs w:val="21"/>
          <w:highlight w:val="none"/>
          <w14:textFill>
            <w14:solidFill>
              <w14:schemeClr w14:val="tx1"/>
            </w14:solidFill>
          </w14:textFill>
        </w:rPr>
      </w:pPr>
      <w:r>
        <w:rPr>
          <w:rFonts w:hint="eastAsia" w:ascii="Times New Roman" w:hAnsi="Times New Roman" w:eastAsia="宋体" w:cs="宋体"/>
          <w:color w:val="000000" w:themeColor="text1"/>
          <w:sz w:val="21"/>
          <w:szCs w:val="21"/>
          <w:highlight w:val="none"/>
          <w14:textFill>
            <w14:solidFill>
              <w14:schemeClr w14:val="tx1"/>
            </w14:solidFill>
          </w14:textFill>
        </w:rPr>
        <w:t>1.满足《中华人民共和国政府采购法》第二十二条规定；</w:t>
      </w:r>
    </w:p>
    <w:p w14:paraId="6CF46F69">
      <w:pPr>
        <w:keepNext w:val="0"/>
        <w:keepLines w:val="0"/>
        <w:pageBreakBefore w:val="0"/>
        <w:kinsoku/>
        <w:wordWrap/>
        <w:overflowPunct/>
        <w:topLinePunct w:val="0"/>
        <w:autoSpaceDE/>
        <w:autoSpaceDN/>
        <w:bidi w:val="0"/>
        <w:adjustRightInd/>
        <w:spacing w:line="360" w:lineRule="auto"/>
        <w:ind w:firstLine="420" w:firstLineChars="200"/>
        <w:textAlignment w:val="auto"/>
        <w:rPr>
          <w:rFonts w:hint="eastAsia" w:ascii="Times New Roman" w:hAnsi="Times New Roman" w:eastAsia="宋体" w:cs="宋体"/>
          <w:color w:val="000000" w:themeColor="text1"/>
          <w:sz w:val="21"/>
          <w:szCs w:val="21"/>
          <w:highlight w:val="none"/>
          <w14:textFill>
            <w14:solidFill>
              <w14:schemeClr w14:val="tx1"/>
            </w14:solidFill>
          </w14:textFill>
        </w:rPr>
      </w:pPr>
      <w:r>
        <w:rPr>
          <w:rFonts w:hint="eastAsia" w:ascii="Times New Roman" w:hAnsi="Times New Roman" w:eastAsia="宋体" w:cs="宋体"/>
          <w:color w:val="000000" w:themeColor="text1"/>
          <w:sz w:val="21"/>
          <w:szCs w:val="21"/>
          <w:highlight w:val="none"/>
          <w14:textFill>
            <w14:solidFill>
              <w14:schemeClr w14:val="tx1"/>
            </w14:solidFill>
          </w14:textFill>
        </w:rPr>
        <w:t>2.落实政府采购政策需满足的资格要求：</w:t>
      </w:r>
      <w:r>
        <w:rPr>
          <w:rFonts w:hint="eastAsia" w:cs="宋体"/>
          <w:b/>
          <w:bCs/>
          <w:color w:val="000000" w:themeColor="text1"/>
          <w:szCs w:val="21"/>
          <w:highlight w:val="none"/>
          <w:u w:val="single"/>
          <w:lang w:eastAsia="zh-CN"/>
          <w14:textFill>
            <w14:solidFill>
              <w14:schemeClr w14:val="tx1"/>
            </w14:solidFill>
          </w14:textFill>
        </w:rPr>
        <w:t>本项目为专门面向中小企业采购的项目。供应商必须提供中小企业声明函或者残疾人福利性单位声明函（格式后附）或者供应商属于监狱企业的需提供由省级以上监狱管理局、戒毒管理局（含新疆生产建设兵团）出具的属于监狱企业的证明文件。</w:t>
      </w:r>
    </w:p>
    <w:p w14:paraId="6FAF5ABB">
      <w:pPr>
        <w:keepNext w:val="0"/>
        <w:keepLines w:val="0"/>
        <w:pageBreakBefore w:val="0"/>
        <w:kinsoku/>
        <w:wordWrap/>
        <w:overflowPunct/>
        <w:topLinePunct w:val="0"/>
        <w:autoSpaceDE/>
        <w:autoSpaceDN/>
        <w:bidi w:val="0"/>
        <w:adjustRightInd/>
        <w:spacing w:line="360" w:lineRule="auto"/>
        <w:ind w:firstLine="420" w:firstLineChars="200"/>
        <w:textAlignment w:val="auto"/>
        <w:rPr>
          <w:rFonts w:hint="eastAsia" w:ascii="Times New Roman" w:hAnsi="Times New Roman" w:eastAsia="宋体" w:cs="宋体"/>
          <w:color w:val="000000" w:themeColor="text1"/>
          <w:sz w:val="21"/>
          <w:szCs w:val="21"/>
          <w:highlight w:val="none"/>
          <w14:textFill>
            <w14:solidFill>
              <w14:schemeClr w14:val="tx1"/>
            </w14:solidFill>
          </w14:textFill>
        </w:rPr>
      </w:pPr>
      <w:r>
        <w:rPr>
          <w:rFonts w:hint="eastAsia" w:ascii="Times New Roman" w:hAnsi="Times New Roman" w:eastAsia="宋体" w:cs="宋体"/>
          <w:color w:val="000000" w:themeColor="text1"/>
          <w:sz w:val="21"/>
          <w:szCs w:val="21"/>
          <w:highlight w:val="none"/>
          <w14:textFill>
            <w14:solidFill>
              <w14:schemeClr w14:val="tx1"/>
            </w14:solidFill>
          </w14:textFill>
        </w:rPr>
        <w:t>3.本项目的特定资格要求：</w:t>
      </w:r>
      <w:bookmarkStart w:id="27" w:name="OLE_LINK2"/>
      <w:r>
        <w:rPr>
          <w:rFonts w:hint="eastAsia" w:ascii="Times New Roman" w:hAnsi="Times New Roman" w:eastAsia="宋体" w:cs="宋体"/>
          <w:b/>
          <w:bCs/>
          <w:color w:val="000000" w:themeColor="text1"/>
          <w:sz w:val="21"/>
          <w:szCs w:val="21"/>
          <w:highlight w:val="none"/>
          <w:lang w:val="en-US" w:eastAsia="zh-CN"/>
          <w14:textFill>
            <w14:solidFill>
              <w14:schemeClr w14:val="tx1"/>
            </w14:solidFill>
          </w14:textFill>
        </w:rPr>
        <w:t>具备</w:t>
      </w:r>
      <w:r>
        <w:rPr>
          <w:rFonts w:hint="eastAsia" w:cs="宋体"/>
          <w:b/>
          <w:bCs/>
          <w:color w:val="000000" w:themeColor="text1"/>
          <w:sz w:val="21"/>
          <w:szCs w:val="21"/>
          <w:highlight w:val="none"/>
          <w:u w:val="single"/>
          <w:lang w:val="en-US" w:eastAsia="zh-CN"/>
          <w14:textFill>
            <w14:solidFill>
              <w14:schemeClr w14:val="tx1"/>
            </w14:solidFill>
          </w14:textFill>
        </w:rPr>
        <w:t>建筑装修装饰工程专业承包二级（含二级）以上</w:t>
      </w:r>
      <w:r>
        <w:rPr>
          <w:rFonts w:hint="eastAsia" w:ascii="Times New Roman" w:hAnsi="Times New Roman" w:eastAsia="宋体" w:cs="宋体"/>
          <w:b/>
          <w:bCs/>
          <w:color w:val="000000" w:themeColor="text1"/>
          <w:sz w:val="21"/>
          <w:szCs w:val="21"/>
          <w:highlight w:val="none"/>
          <w:lang w:val="en-US" w:eastAsia="zh-CN"/>
          <w14:textFill>
            <w14:solidFill>
              <w14:schemeClr w14:val="tx1"/>
            </w14:solidFill>
          </w14:textFill>
        </w:rPr>
        <w:t>资质，同时具备有效的安全生产许可证，在人员、设备、资金等方面具备相应的施工能力。其中，供应商拟派项目经理须具备</w:t>
      </w:r>
      <w:r>
        <w:rPr>
          <w:rFonts w:hint="eastAsia" w:ascii="Times New Roman" w:hAnsi="Times New Roman" w:eastAsia="宋体" w:cs="宋体"/>
          <w:b/>
          <w:bCs/>
          <w:color w:val="000000" w:themeColor="text1"/>
          <w:sz w:val="21"/>
          <w:szCs w:val="21"/>
          <w:highlight w:val="none"/>
          <w:u w:val="single"/>
          <w:lang w:val="en-US" w:eastAsia="zh-CN"/>
          <w14:textFill>
            <w14:solidFill>
              <w14:schemeClr w14:val="tx1"/>
            </w14:solidFill>
          </w14:textFill>
        </w:rPr>
        <w:t xml:space="preserve"> 建筑工程 </w:t>
      </w:r>
      <w:r>
        <w:rPr>
          <w:rFonts w:hint="eastAsia" w:ascii="Times New Roman" w:hAnsi="Times New Roman" w:eastAsia="宋体" w:cs="宋体"/>
          <w:b/>
          <w:bCs/>
          <w:color w:val="000000" w:themeColor="text1"/>
          <w:sz w:val="21"/>
          <w:szCs w:val="21"/>
          <w:highlight w:val="none"/>
          <w:lang w:val="en-US" w:eastAsia="zh-CN"/>
          <w14:textFill>
            <w14:solidFill>
              <w14:schemeClr w14:val="tx1"/>
            </w14:solidFill>
          </w14:textFill>
        </w:rPr>
        <w:t>专业</w:t>
      </w:r>
      <w:r>
        <w:rPr>
          <w:rFonts w:hint="eastAsia" w:ascii="Times New Roman" w:hAnsi="Times New Roman" w:eastAsia="宋体" w:cs="宋体"/>
          <w:b/>
          <w:bCs/>
          <w:color w:val="000000" w:themeColor="text1"/>
          <w:sz w:val="21"/>
          <w:szCs w:val="21"/>
          <w:highlight w:val="none"/>
          <w:u w:val="single"/>
          <w:lang w:val="en-US" w:eastAsia="zh-CN"/>
          <w14:textFill>
            <w14:solidFill>
              <w14:schemeClr w14:val="tx1"/>
            </w14:solidFill>
          </w14:textFill>
        </w:rPr>
        <w:t xml:space="preserve"> 二级（含）以上 </w:t>
      </w:r>
      <w:r>
        <w:rPr>
          <w:rFonts w:hint="eastAsia" w:ascii="Times New Roman" w:hAnsi="Times New Roman" w:eastAsia="宋体" w:cs="宋体"/>
          <w:b/>
          <w:bCs/>
          <w:color w:val="000000" w:themeColor="text1"/>
          <w:sz w:val="21"/>
          <w:szCs w:val="21"/>
          <w:highlight w:val="none"/>
          <w:lang w:val="en-US" w:eastAsia="zh-CN"/>
          <w14:textFill>
            <w14:solidFill>
              <w14:schemeClr w14:val="tx1"/>
            </w14:solidFill>
          </w14:textFill>
        </w:rPr>
        <w:t>注册建造师执业资格，具备有效的安全生产考核合格证书（B类）</w:t>
      </w:r>
      <w:bookmarkEnd w:id="27"/>
      <w:r>
        <w:rPr>
          <w:rFonts w:hint="eastAsia" w:ascii="Times New Roman" w:hAnsi="Times New Roman" w:eastAsia="宋体" w:cs="宋体"/>
          <w:b/>
          <w:bCs/>
          <w:color w:val="000000" w:themeColor="text1"/>
          <w:sz w:val="21"/>
          <w:szCs w:val="21"/>
          <w:highlight w:val="none"/>
          <w14:textFill>
            <w14:solidFill>
              <w14:schemeClr w14:val="tx1"/>
            </w14:solidFill>
          </w14:textFill>
        </w:rPr>
        <w:t>。</w:t>
      </w:r>
    </w:p>
    <w:p w14:paraId="40E4113A">
      <w:pPr>
        <w:keepNext w:val="0"/>
        <w:keepLines w:val="0"/>
        <w:pageBreakBefore w:val="0"/>
        <w:kinsoku/>
        <w:wordWrap/>
        <w:overflowPunct/>
        <w:topLinePunct w:val="0"/>
        <w:autoSpaceDE/>
        <w:autoSpaceDN/>
        <w:bidi w:val="0"/>
        <w:adjustRightInd/>
        <w:spacing w:line="360" w:lineRule="auto"/>
        <w:ind w:firstLine="422" w:firstLineChars="200"/>
        <w:textAlignment w:val="auto"/>
        <w:rPr>
          <w:rFonts w:hint="eastAsia" w:ascii="Times New Roman" w:hAnsi="Times New Roman" w:eastAsia="宋体" w:cs="宋体"/>
          <w:b/>
          <w:bCs/>
          <w:color w:val="000000" w:themeColor="text1"/>
          <w:sz w:val="21"/>
          <w:szCs w:val="21"/>
          <w:highlight w:val="none"/>
          <w14:textFill>
            <w14:solidFill>
              <w14:schemeClr w14:val="tx1"/>
            </w14:solidFill>
          </w14:textFill>
        </w:rPr>
      </w:pPr>
      <w:r>
        <w:rPr>
          <w:rFonts w:hint="eastAsia" w:ascii="Times New Roman" w:hAnsi="Times New Roman" w:eastAsia="宋体" w:cs="宋体"/>
          <w:b/>
          <w:bCs/>
          <w:color w:val="000000" w:themeColor="text1"/>
          <w:sz w:val="21"/>
          <w:szCs w:val="21"/>
          <w:highlight w:val="none"/>
          <w14:textFill>
            <w14:solidFill>
              <w14:schemeClr w14:val="tx1"/>
            </w14:solidFill>
          </w14:textFill>
        </w:rPr>
        <w:t>三、获取采购文件</w:t>
      </w:r>
      <w:bookmarkEnd w:id="17"/>
      <w:bookmarkEnd w:id="18"/>
      <w:bookmarkEnd w:id="19"/>
      <w:bookmarkEnd w:id="20"/>
    </w:p>
    <w:p w14:paraId="133D30F8">
      <w:pPr>
        <w:keepNext w:val="0"/>
        <w:keepLines w:val="0"/>
        <w:pageBreakBefore w:val="0"/>
        <w:kinsoku/>
        <w:wordWrap/>
        <w:overflowPunct/>
        <w:topLinePunct w:val="0"/>
        <w:autoSpaceDE/>
        <w:autoSpaceDN/>
        <w:bidi w:val="0"/>
        <w:adjustRightInd/>
        <w:spacing w:line="360" w:lineRule="auto"/>
        <w:ind w:firstLine="420" w:firstLineChars="200"/>
        <w:textAlignment w:val="auto"/>
        <w:rPr>
          <w:rFonts w:hint="eastAsia" w:ascii="Times New Roman" w:hAnsi="Times New Roman" w:eastAsia="宋体" w:cs="宋体"/>
          <w:color w:val="000000" w:themeColor="text1"/>
          <w:sz w:val="21"/>
          <w:szCs w:val="21"/>
          <w:highlight w:val="none"/>
          <w14:textFill>
            <w14:solidFill>
              <w14:schemeClr w14:val="tx1"/>
            </w14:solidFill>
          </w14:textFill>
        </w:rPr>
      </w:pPr>
      <w:bookmarkStart w:id="28" w:name="_Toc35393793"/>
      <w:bookmarkStart w:id="29" w:name="_Toc35393624"/>
      <w:bookmarkStart w:id="30" w:name="_Toc28359082"/>
      <w:bookmarkStart w:id="31" w:name="_Toc28359005"/>
      <w:r>
        <w:rPr>
          <w:rFonts w:hint="eastAsia" w:ascii="Times New Roman" w:hAnsi="Times New Roman" w:eastAsia="宋体" w:cs="宋体"/>
          <w:color w:val="000000" w:themeColor="text1"/>
          <w:sz w:val="21"/>
          <w:szCs w:val="21"/>
          <w:highlight w:val="none"/>
          <w14:textFill>
            <w14:solidFill>
              <w14:schemeClr w14:val="tx1"/>
            </w14:solidFill>
          </w14:textFill>
        </w:rPr>
        <w:t>时间：</w:t>
      </w:r>
      <w:r>
        <w:rPr>
          <w:rFonts w:hint="eastAsia" w:ascii="Times New Roman" w:hAnsi="Times New Roman" w:cs="宋体"/>
          <w:bCs/>
          <w:color w:val="000000" w:themeColor="text1"/>
          <w:kern w:val="0"/>
          <w:sz w:val="21"/>
          <w:szCs w:val="21"/>
          <w:highlight w:val="none"/>
          <w:u w:val="single"/>
          <w:lang w:eastAsia="zh-CN"/>
          <w14:textFill>
            <w14:solidFill>
              <w14:schemeClr w14:val="tx1"/>
            </w14:solidFill>
          </w14:textFill>
        </w:rPr>
        <w:t>202</w:t>
      </w:r>
      <w:r>
        <w:rPr>
          <w:rFonts w:hint="eastAsia" w:cs="宋体"/>
          <w:bCs/>
          <w:color w:val="000000" w:themeColor="text1"/>
          <w:kern w:val="0"/>
          <w:sz w:val="21"/>
          <w:szCs w:val="21"/>
          <w:highlight w:val="none"/>
          <w:u w:val="single"/>
          <w:lang w:val="en-US" w:eastAsia="zh-CN"/>
          <w14:textFill>
            <w14:solidFill>
              <w14:schemeClr w14:val="tx1"/>
            </w14:solidFill>
          </w14:textFill>
        </w:rPr>
        <w:t>6</w:t>
      </w:r>
      <w:r>
        <w:rPr>
          <w:rFonts w:hint="eastAsia" w:ascii="Times New Roman" w:hAnsi="Times New Roman" w:cs="宋体"/>
          <w:bCs/>
          <w:color w:val="000000" w:themeColor="text1"/>
          <w:kern w:val="0"/>
          <w:sz w:val="21"/>
          <w:szCs w:val="21"/>
          <w:highlight w:val="none"/>
          <w:u w:val="single"/>
          <w:lang w:eastAsia="zh-CN"/>
          <w14:textFill>
            <w14:solidFill>
              <w14:schemeClr w14:val="tx1"/>
            </w14:solidFill>
          </w14:textFill>
        </w:rPr>
        <w:t>年</w:t>
      </w:r>
      <w:r>
        <w:rPr>
          <w:rFonts w:hint="eastAsia" w:cs="宋体"/>
          <w:bCs/>
          <w:color w:val="000000" w:themeColor="text1"/>
          <w:kern w:val="0"/>
          <w:sz w:val="21"/>
          <w:szCs w:val="21"/>
          <w:highlight w:val="none"/>
          <w:u w:val="single"/>
          <w:lang w:val="en-US" w:eastAsia="zh-CN"/>
          <w14:textFill>
            <w14:solidFill>
              <w14:schemeClr w14:val="tx1"/>
            </w14:solidFill>
          </w14:textFill>
        </w:rPr>
        <w:t>1月12日</w:t>
      </w:r>
      <w:r>
        <w:rPr>
          <w:rFonts w:hint="eastAsia" w:ascii="Times New Roman" w:hAnsi="Times New Roman" w:eastAsia="宋体" w:cs="宋体"/>
          <w:bCs/>
          <w:color w:val="000000" w:themeColor="text1"/>
          <w:kern w:val="0"/>
          <w:sz w:val="21"/>
          <w:szCs w:val="21"/>
          <w:highlight w:val="none"/>
          <w14:textFill>
            <w14:solidFill>
              <w14:schemeClr w14:val="tx1"/>
            </w14:solidFill>
          </w14:textFill>
        </w:rPr>
        <w:t>至</w:t>
      </w:r>
      <w:r>
        <w:rPr>
          <w:rFonts w:hint="eastAsia" w:ascii="Times New Roman" w:hAnsi="Times New Roman" w:cs="宋体"/>
          <w:bCs/>
          <w:color w:val="000000" w:themeColor="text1"/>
          <w:kern w:val="0"/>
          <w:sz w:val="21"/>
          <w:szCs w:val="21"/>
          <w:highlight w:val="none"/>
          <w:u w:val="single"/>
          <w:lang w:eastAsia="zh-CN"/>
          <w14:textFill>
            <w14:solidFill>
              <w14:schemeClr w14:val="tx1"/>
            </w14:solidFill>
          </w14:textFill>
        </w:rPr>
        <w:t>202</w:t>
      </w:r>
      <w:r>
        <w:rPr>
          <w:rFonts w:hint="eastAsia" w:cs="宋体"/>
          <w:bCs/>
          <w:color w:val="000000" w:themeColor="text1"/>
          <w:kern w:val="0"/>
          <w:sz w:val="21"/>
          <w:szCs w:val="21"/>
          <w:highlight w:val="none"/>
          <w:u w:val="single"/>
          <w:lang w:val="en-US" w:eastAsia="zh-CN"/>
          <w14:textFill>
            <w14:solidFill>
              <w14:schemeClr w14:val="tx1"/>
            </w14:solidFill>
          </w14:textFill>
        </w:rPr>
        <w:t>6</w:t>
      </w:r>
      <w:r>
        <w:rPr>
          <w:rFonts w:hint="eastAsia" w:ascii="Times New Roman" w:hAnsi="Times New Roman" w:cs="宋体"/>
          <w:bCs/>
          <w:color w:val="000000" w:themeColor="text1"/>
          <w:kern w:val="0"/>
          <w:sz w:val="21"/>
          <w:szCs w:val="21"/>
          <w:highlight w:val="none"/>
          <w:u w:val="single"/>
          <w:lang w:eastAsia="zh-CN"/>
          <w14:textFill>
            <w14:solidFill>
              <w14:schemeClr w14:val="tx1"/>
            </w14:solidFill>
          </w14:textFill>
        </w:rPr>
        <w:t>年</w:t>
      </w:r>
      <w:r>
        <w:rPr>
          <w:rFonts w:hint="eastAsia" w:cs="宋体"/>
          <w:bCs/>
          <w:color w:val="000000" w:themeColor="text1"/>
          <w:kern w:val="0"/>
          <w:sz w:val="21"/>
          <w:szCs w:val="21"/>
          <w:highlight w:val="none"/>
          <w:u w:val="single"/>
          <w:lang w:val="en-US" w:eastAsia="zh-CN"/>
          <w14:textFill>
            <w14:solidFill>
              <w14:schemeClr w14:val="tx1"/>
            </w14:solidFill>
          </w14:textFill>
        </w:rPr>
        <w:t>1月27日</w:t>
      </w:r>
      <w:r>
        <w:rPr>
          <w:rFonts w:hint="eastAsia" w:ascii="Times New Roman" w:hAnsi="Times New Roman" w:eastAsia="宋体" w:cs="宋体"/>
          <w:bCs/>
          <w:color w:val="000000" w:themeColor="text1"/>
          <w:kern w:val="0"/>
          <w:sz w:val="21"/>
          <w:szCs w:val="21"/>
          <w:highlight w:val="none"/>
          <w14:textFill>
            <w14:solidFill>
              <w14:schemeClr w14:val="tx1"/>
            </w14:solidFill>
          </w14:textFill>
        </w:rPr>
        <w:t>，</w:t>
      </w:r>
      <w:r>
        <w:rPr>
          <w:rFonts w:hint="eastAsia" w:ascii="Times New Roman" w:hAnsi="Times New Roman" w:eastAsia="宋体" w:cs="宋体"/>
          <w:color w:val="000000" w:themeColor="text1"/>
          <w:sz w:val="21"/>
          <w:szCs w:val="21"/>
          <w:highlight w:val="none"/>
          <w14:textFill>
            <w14:solidFill>
              <w14:schemeClr w14:val="tx1"/>
            </w14:solidFill>
          </w14:textFill>
        </w:rPr>
        <w:t>每天上午00:00至11:59，下午12:00至23:59</w:t>
      </w:r>
      <w:r>
        <w:rPr>
          <w:rFonts w:hint="eastAsia" w:ascii="Times New Roman" w:hAnsi="Times New Roman" w:eastAsia="宋体" w:cs="宋体"/>
          <w:bCs/>
          <w:color w:val="000000" w:themeColor="text1"/>
          <w:kern w:val="0"/>
          <w:sz w:val="21"/>
          <w:szCs w:val="21"/>
          <w:highlight w:val="none"/>
          <w14:textFill>
            <w14:solidFill>
              <w14:schemeClr w14:val="tx1"/>
            </w14:solidFill>
          </w14:textFill>
        </w:rPr>
        <w:t>（北京时间，法定节假日除外）</w:t>
      </w:r>
      <w:r>
        <w:rPr>
          <w:rFonts w:hint="eastAsia" w:ascii="Times New Roman" w:hAnsi="Times New Roman" w:eastAsia="宋体" w:cs="宋体"/>
          <w:color w:val="000000" w:themeColor="text1"/>
          <w:sz w:val="21"/>
          <w:szCs w:val="21"/>
          <w:highlight w:val="none"/>
          <w14:textFill>
            <w14:solidFill>
              <w14:schemeClr w14:val="tx1"/>
            </w14:solidFill>
          </w14:textFill>
        </w:rPr>
        <w:t>。</w:t>
      </w:r>
    </w:p>
    <w:p w14:paraId="1F4ECAB0">
      <w:pPr>
        <w:keepNext w:val="0"/>
        <w:keepLines w:val="0"/>
        <w:pageBreakBefore w:val="0"/>
        <w:kinsoku/>
        <w:wordWrap/>
        <w:overflowPunct/>
        <w:topLinePunct w:val="0"/>
        <w:autoSpaceDE/>
        <w:autoSpaceDN/>
        <w:bidi w:val="0"/>
        <w:adjustRightInd/>
        <w:spacing w:line="360" w:lineRule="auto"/>
        <w:ind w:firstLine="420" w:firstLineChars="200"/>
        <w:textAlignment w:val="auto"/>
        <w:rPr>
          <w:rFonts w:hint="eastAsia" w:ascii="Times New Roman" w:hAnsi="Times New Roman" w:eastAsia="宋体" w:cs="宋体"/>
          <w:color w:val="000000" w:themeColor="text1"/>
          <w:sz w:val="21"/>
          <w:szCs w:val="21"/>
          <w:highlight w:val="none"/>
          <w14:textFill>
            <w14:solidFill>
              <w14:schemeClr w14:val="tx1"/>
            </w14:solidFill>
          </w14:textFill>
        </w:rPr>
      </w:pPr>
      <w:r>
        <w:rPr>
          <w:rFonts w:hint="eastAsia" w:ascii="Times New Roman" w:hAnsi="Times New Roman" w:eastAsia="宋体" w:cs="宋体"/>
          <w:bCs/>
          <w:color w:val="000000" w:themeColor="text1"/>
          <w:kern w:val="0"/>
          <w:sz w:val="21"/>
          <w:szCs w:val="21"/>
          <w:highlight w:val="none"/>
          <w14:textFill>
            <w14:solidFill>
              <w14:schemeClr w14:val="tx1"/>
            </w14:solidFill>
          </w14:textFill>
        </w:rPr>
        <w:t>地点</w:t>
      </w:r>
      <w:r>
        <w:rPr>
          <w:rFonts w:hint="eastAsia" w:ascii="Times New Roman" w:hAnsi="Times New Roman" w:eastAsia="宋体" w:cs="宋体"/>
          <w:color w:val="000000" w:themeColor="text1"/>
          <w:sz w:val="21"/>
          <w:szCs w:val="21"/>
          <w:highlight w:val="none"/>
          <w14:textFill>
            <w14:solidFill>
              <w14:schemeClr w14:val="tx1"/>
            </w14:solidFill>
          </w14:textFill>
        </w:rPr>
        <w:t>（网址）</w:t>
      </w:r>
      <w:r>
        <w:rPr>
          <w:rFonts w:hint="eastAsia" w:ascii="Times New Roman" w:hAnsi="Times New Roman" w:eastAsia="宋体" w:cs="宋体"/>
          <w:bCs/>
          <w:color w:val="000000" w:themeColor="text1"/>
          <w:kern w:val="0"/>
          <w:sz w:val="21"/>
          <w:szCs w:val="21"/>
          <w:highlight w:val="none"/>
          <w14:textFill>
            <w14:solidFill>
              <w14:schemeClr w14:val="tx1"/>
            </w14:solidFill>
          </w14:textFill>
        </w:rPr>
        <w:t>：</w:t>
      </w:r>
      <w:r>
        <w:rPr>
          <w:rFonts w:hint="eastAsia" w:ascii="Times New Roman" w:hAnsi="Times New Roman" w:eastAsia="宋体" w:cs="宋体"/>
          <w:color w:val="000000" w:themeColor="text1"/>
          <w:sz w:val="21"/>
          <w:szCs w:val="21"/>
          <w:highlight w:val="none"/>
          <w:lang w:eastAsia="zh-CN"/>
          <w14:textFill>
            <w14:solidFill>
              <w14:schemeClr w14:val="tx1"/>
            </w14:solidFill>
          </w14:textFill>
        </w:rPr>
        <w:t>广西政府采购云平台（https://www.gcy.zfcg.gxzf.gov.cn/）</w:t>
      </w:r>
      <w:r>
        <w:rPr>
          <w:rFonts w:hint="eastAsia" w:ascii="Times New Roman" w:hAnsi="Times New Roman" w:cs="宋体"/>
          <w:color w:val="000000" w:themeColor="text1"/>
          <w:sz w:val="21"/>
          <w:szCs w:val="21"/>
          <w:highlight w:val="none"/>
          <w:lang w:eastAsia="zh-CN"/>
          <w14:textFill>
            <w14:solidFill>
              <w14:schemeClr w14:val="tx1"/>
            </w14:solidFill>
          </w14:textFill>
        </w:rPr>
        <w:t>。</w:t>
      </w:r>
      <w:r>
        <w:rPr>
          <w:rFonts w:hint="eastAsia" w:ascii="Times New Roman" w:hAnsi="Times New Roman" w:eastAsia="宋体" w:cs="宋体"/>
          <w:color w:val="000000" w:themeColor="text1"/>
          <w:sz w:val="21"/>
          <w:szCs w:val="21"/>
          <w:highlight w:val="none"/>
          <w14:textFill>
            <w14:solidFill>
              <w14:schemeClr w14:val="tx1"/>
            </w14:solidFill>
          </w14:textFill>
        </w:rPr>
        <w:t xml:space="preserve"> </w:t>
      </w:r>
    </w:p>
    <w:p w14:paraId="0ECD5608">
      <w:pPr>
        <w:pStyle w:val="12"/>
        <w:keepNext w:val="0"/>
        <w:keepLines w:val="0"/>
        <w:pageBreakBefore w:val="0"/>
        <w:kinsoku/>
        <w:wordWrap/>
        <w:overflowPunct/>
        <w:topLinePunct w:val="0"/>
        <w:autoSpaceDE/>
        <w:autoSpaceDN/>
        <w:bidi w:val="0"/>
        <w:adjustRightInd/>
        <w:spacing w:line="360" w:lineRule="auto"/>
        <w:ind w:firstLine="420" w:firstLineChars="200"/>
        <w:textAlignment w:val="auto"/>
        <w:rPr>
          <w:rFonts w:hint="eastAsia" w:ascii="Times New Roman" w:hAnsi="Times New Roman" w:eastAsia="宋体" w:cs="宋体"/>
          <w:b/>
          <w:bCs/>
          <w:color w:val="000000" w:themeColor="text1"/>
          <w:sz w:val="21"/>
          <w:szCs w:val="21"/>
          <w:highlight w:val="none"/>
          <w:lang w:eastAsia="zh-CN"/>
          <w14:textFill>
            <w14:solidFill>
              <w14:schemeClr w14:val="tx1"/>
            </w14:solidFill>
          </w14:textFill>
        </w:rPr>
      </w:pPr>
      <w:r>
        <w:rPr>
          <w:rFonts w:hint="eastAsia" w:ascii="Times New Roman" w:hAnsi="Times New Roman" w:eastAsia="宋体" w:cs="宋体"/>
          <w:color w:val="000000" w:themeColor="text1"/>
          <w:sz w:val="21"/>
          <w:szCs w:val="21"/>
          <w:highlight w:val="none"/>
          <w14:textFill>
            <w14:solidFill>
              <w14:schemeClr w14:val="tx1"/>
            </w14:solidFill>
          </w14:textFill>
        </w:rPr>
        <w:t>方式</w:t>
      </w:r>
      <w:r>
        <w:rPr>
          <w:rFonts w:hint="eastAsia" w:ascii="Times New Roman" w:hAnsi="Times New Roman" w:eastAsia="宋体" w:cs="宋体"/>
          <w:color w:val="000000" w:themeColor="text1"/>
          <w:sz w:val="21"/>
          <w:szCs w:val="21"/>
          <w:highlight w:val="none"/>
          <w:lang w:eastAsia="zh-CN"/>
          <w14:textFill>
            <w14:solidFill>
              <w14:schemeClr w14:val="tx1"/>
            </w14:solidFill>
          </w14:textFill>
        </w:rPr>
        <w:t>：</w:t>
      </w:r>
      <w:r>
        <w:rPr>
          <w:rFonts w:hint="eastAsia" w:ascii="Times New Roman" w:hAnsi="Times New Roman" w:eastAsia="宋体" w:cs="宋体"/>
          <w:color w:val="000000" w:themeColor="text1"/>
          <w:sz w:val="21"/>
          <w:szCs w:val="21"/>
          <w:highlight w:val="none"/>
          <w14:textFill>
            <w14:solidFill>
              <w14:schemeClr w14:val="tx1"/>
            </w14:solidFill>
          </w14:textFill>
        </w:rPr>
        <w:t>网上下载。本项目不发放纸质采购文件</w:t>
      </w:r>
      <w:r>
        <w:rPr>
          <w:rFonts w:hint="eastAsia" w:ascii="Times New Roman" w:hAnsi="Times New Roman" w:eastAsia="宋体" w:cs="宋体"/>
          <w:color w:val="000000" w:themeColor="text1"/>
          <w:sz w:val="21"/>
          <w:szCs w:val="21"/>
          <w:highlight w:val="none"/>
          <w:lang w:eastAsia="zh-CN"/>
          <w14:textFill>
            <w14:solidFill>
              <w14:schemeClr w14:val="tx1"/>
            </w14:solidFill>
          </w14:textFill>
        </w:rPr>
        <w:t>、工程量清单、图纸。潜在</w:t>
      </w:r>
      <w:r>
        <w:rPr>
          <w:rFonts w:hint="eastAsia" w:ascii="Times New Roman" w:hAnsi="Times New Roman" w:eastAsia="宋体" w:cs="宋体"/>
          <w:color w:val="000000" w:themeColor="text1"/>
          <w:sz w:val="21"/>
          <w:szCs w:val="21"/>
          <w:highlight w:val="none"/>
          <w14:textFill>
            <w14:solidFill>
              <w14:schemeClr w14:val="tx1"/>
            </w14:solidFill>
          </w14:textFill>
        </w:rPr>
        <w:t>供应商可自行在</w:t>
      </w:r>
      <w:r>
        <w:rPr>
          <w:rFonts w:hint="eastAsia" w:ascii="Times New Roman" w:hAnsi="Times New Roman" w:eastAsia="宋体" w:cs="宋体"/>
          <w:b w:val="0"/>
          <w:bCs w:val="0"/>
          <w:color w:val="000000" w:themeColor="text1"/>
          <w:sz w:val="21"/>
          <w:szCs w:val="21"/>
          <w:highlight w:val="none"/>
          <w:lang w:val="en-US" w:eastAsia="zh-CN"/>
          <w14:textFill>
            <w14:solidFill>
              <w14:schemeClr w14:val="tx1"/>
            </w14:solidFill>
          </w14:textFill>
        </w:rPr>
        <w:t>广西政府采购云平台（https://www.gcy.zfcg.gxzf.gov.cn/）</w:t>
      </w:r>
      <w:r>
        <w:rPr>
          <w:rFonts w:hint="eastAsia" w:ascii="Times New Roman" w:hAnsi="Times New Roman" w:eastAsia="宋体" w:cs="宋体"/>
          <w:color w:val="000000" w:themeColor="text1"/>
          <w:sz w:val="21"/>
          <w:szCs w:val="21"/>
          <w:highlight w:val="none"/>
          <w14:textFill>
            <w14:solidFill>
              <w14:schemeClr w14:val="tx1"/>
            </w14:solidFill>
          </w14:textFill>
        </w:rPr>
        <w:t>下载采购文件</w:t>
      </w:r>
      <w:r>
        <w:rPr>
          <w:rFonts w:hint="eastAsia" w:ascii="Times New Roman" w:hAnsi="Times New Roman" w:eastAsia="宋体" w:cs="宋体"/>
          <w:color w:val="000000" w:themeColor="text1"/>
          <w:sz w:val="21"/>
          <w:szCs w:val="21"/>
          <w:highlight w:val="none"/>
          <w:lang w:eastAsia="zh-CN"/>
          <w14:textFill>
            <w14:solidFill>
              <w14:schemeClr w14:val="tx1"/>
            </w14:solidFill>
          </w14:textFill>
        </w:rPr>
        <w:t>、工程量清单、图纸</w:t>
      </w:r>
      <w:r>
        <w:rPr>
          <w:rFonts w:hint="eastAsia" w:ascii="Times New Roman" w:hAnsi="Times New Roman" w:eastAsia="宋体" w:cs="宋体"/>
          <w:color w:val="000000" w:themeColor="text1"/>
          <w:sz w:val="21"/>
          <w:szCs w:val="21"/>
          <w:highlight w:val="none"/>
          <w14:textFill>
            <w14:solidFill>
              <w14:schemeClr w14:val="tx1"/>
            </w14:solidFill>
          </w14:textFill>
        </w:rPr>
        <w:t>（操作路径：登录</w:t>
      </w:r>
      <w:r>
        <w:rPr>
          <w:rFonts w:hint="eastAsia" w:ascii="Times New Roman" w:hAnsi="Times New Roman" w:eastAsia="宋体" w:cs="宋体"/>
          <w:b w:val="0"/>
          <w:bCs w:val="0"/>
          <w:color w:val="000000" w:themeColor="text1"/>
          <w:sz w:val="21"/>
          <w:szCs w:val="21"/>
          <w:highlight w:val="none"/>
          <w:lang w:val="en-US" w:eastAsia="zh-CN"/>
          <w14:textFill>
            <w14:solidFill>
              <w14:schemeClr w14:val="tx1"/>
            </w14:solidFill>
          </w14:textFill>
        </w:rPr>
        <w:t>广西政府采购云平台</w:t>
      </w:r>
      <w:r>
        <w:rPr>
          <w:rFonts w:hint="eastAsia" w:ascii="Times New Roman" w:hAnsi="Times New Roman" w:eastAsia="宋体" w:cs="宋体"/>
          <w:color w:val="000000" w:themeColor="text1"/>
          <w:sz w:val="21"/>
          <w:szCs w:val="21"/>
          <w:highlight w:val="none"/>
          <w14:textFill>
            <w14:solidFill>
              <w14:schemeClr w14:val="tx1"/>
            </w14:solidFill>
          </w14:textFill>
        </w:rPr>
        <w:t>-项目采购-获取采购文件-找到本项目-点击“申请获取采购文件”），电子响应文件制作需要基于</w:t>
      </w:r>
      <w:r>
        <w:rPr>
          <w:rFonts w:hint="eastAsia" w:ascii="Times New Roman" w:hAnsi="Times New Roman" w:eastAsia="宋体" w:cs="宋体"/>
          <w:b w:val="0"/>
          <w:bCs w:val="0"/>
          <w:color w:val="000000" w:themeColor="text1"/>
          <w:sz w:val="21"/>
          <w:szCs w:val="21"/>
          <w:highlight w:val="none"/>
          <w:lang w:val="en-US" w:eastAsia="zh-CN"/>
          <w14:textFill>
            <w14:solidFill>
              <w14:schemeClr w14:val="tx1"/>
            </w14:solidFill>
          </w14:textFill>
        </w:rPr>
        <w:t>广西政府采购云平台</w:t>
      </w:r>
      <w:r>
        <w:rPr>
          <w:rFonts w:hint="eastAsia" w:ascii="Times New Roman" w:hAnsi="Times New Roman" w:eastAsia="宋体" w:cs="宋体"/>
          <w:color w:val="000000" w:themeColor="text1"/>
          <w:sz w:val="21"/>
          <w:szCs w:val="21"/>
          <w:highlight w:val="none"/>
          <w14:textFill>
            <w14:solidFill>
              <w14:schemeClr w14:val="tx1"/>
            </w14:solidFill>
          </w14:textFill>
        </w:rPr>
        <w:t>获取的采购文件编制。</w:t>
      </w:r>
    </w:p>
    <w:p w14:paraId="1E8DD5CB">
      <w:pPr>
        <w:keepNext w:val="0"/>
        <w:keepLines w:val="0"/>
        <w:pageBreakBefore w:val="0"/>
        <w:kinsoku/>
        <w:wordWrap/>
        <w:overflowPunct/>
        <w:topLinePunct w:val="0"/>
        <w:autoSpaceDE/>
        <w:autoSpaceDN/>
        <w:bidi w:val="0"/>
        <w:adjustRightInd/>
        <w:snapToGrid w:val="0"/>
        <w:spacing w:line="360" w:lineRule="auto"/>
        <w:ind w:firstLine="420" w:firstLineChars="200"/>
        <w:textAlignment w:val="auto"/>
        <w:rPr>
          <w:rFonts w:hint="eastAsia" w:ascii="Times New Roman" w:hAnsi="Times New Roman" w:eastAsia="宋体" w:cs="宋体"/>
          <w:color w:val="000000" w:themeColor="text1"/>
          <w:sz w:val="21"/>
          <w:szCs w:val="21"/>
          <w:highlight w:val="none"/>
          <w14:textFill>
            <w14:solidFill>
              <w14:schemeClr w14:val="tx1"/>
            </w14:solidFill>
          </w14:textFill>
        </w:rPr>
      </w:pPr>
      <w:r>
        <w:rPr>
          <w:rFonts w:hint="eastAsia" w:ascii="Times New Roman" w:hAnsi="Times New Roman" w:eastAsia="宋体" w:cs="宋体"/>
          <w:color w:val="000000" w:themeColor="text1"/>
          <w:sz w:val="21"/>
          <w:szCs w:val="21"/>
          <w:highlight w:val="none"/>
          <w14:textFill>
            <w14:solidFill>
              <w14:schemeClr w14:val="tx1"/>
            </w14:solidFill>
          </w14:textFill>
        </w:rPr>
        <w:t>售价：人民币0元。</w:t>
      </w:r>
    </w:p>
    <w:p w14:paraId="3E803190">
      <w:pPr>
        <w:keepNext w:val="0"/>
        <w:keepLines w:val="0"/>
        <w:pageBreakBefore w:val="0"/>
        <w:kinsoku/>
        <w:wordWrap/>
        <w:overflowPunct/>
        <w:topLinePunct w:val="0"/>
        <w:autoSpaceDE/>
        <w:autoSpaceDN/>
        <w:bidi w:val="0"/>
        <w:adjustRightInd/>
        <w:spacing w:line="360" w:lineRule="auto"/>
        <w:ind w:firstLine="422" w:firstLineChars="200"/>
        <w:textAlignment w:val="auto"/>
        <w:rPr>
          <w:rFonts w:hint="eastAsia" w:ascii="Times New Roman" w:hAnsi="Times New Roman" w:eastAsia="宋体" w:cs="宋体"/>
          <w:b/>
          <w:bCs/>
          <w:color w:val="000000" w:themeColor="text1"/>
          <w:sz w:val="21"/>
          <w:szCs w:val="21"/>
          <w:highlight w:val="none"/>
          <w14:textFill>
            <w14:solidFill>
              <w14:schemeClr w14:val="tx1"/>
            </w14:solidFill>
          </w14:textFill>
        </w:rPr>
      </w:pPr>
      <w:r>
        <w:rPr>
          <w:rFonts w:hint="eastAsia" w:ascii="Times New Roman" w:hAnsi="Times New Roman" w:eastAsia="宋体" w:cs="宋体"/>
          <w:b/>
          <w:bCs/>
          <w:color w:val="000000" w:themeColor="text1"/>
          <w:sz w:val="21"/>
          <w:szCs w:val="21"/>
          <w:highlight w:val="none"/>
          <w14:textFill>
            <w14:solidFill>
              <w14:schemeClr w14:val="tx1"/>
            </w14:solidFill>
          </w14:textFill>
        </w:rPr>
        <w:t>四、</w:t>
      </w:r>
      <w:bookmarkEnd w:id="28"/>
      <w:bookmarkEnd w:id="29"/>
      <w:bookmarkEnd w:id="30"/>
      <w:bookmarkEnd w:id="31"/>
      <w:r>
        <w:rPr>
          <w:rFonts w:hint="eastAsia" w:ascii="Times New Roman" w:hAnsi="Times New Roman" w:eastAsia="宋体" w:cs="宋体"/>
          <w:b/>
          <w:bCs/>
          <w:color w:val="000000" w:themeColor="text1"/>
          <w:sz w:val="21"/>
          <w:szCs w:val="21"/>
          <w:highlight w:val="none"/>
          <w14:textFill>
            <w14:solidFill>
              <w14:schemeClr w14:val="tx1"/>
            </w14:solidFill>
          </w14:textFill>
        </w:rPr>
        <w:t>响应文件提交</w:t>
      </w:r>
    </w:p>
    <w:p w14:paraId="1E00B74C">
      <w:pPr>
        <w:keepNext w:val="0"/>
        <w:keepLines w:val="0"/>
        <w:pageBreakBefore w:val="0"/>
        <w:kinsoku/>
        <w:wordWrap/>
        <w:overflowPunct/>
        <w:topLinePunct w:val="0"/>
        <w:autoSpaceDE/>
        <w:autoSpaceDN/>
        <w:bidi w:val="0"/>
        <w:adjustRightInd/>
        <w:spacing w:line="360" w:lineRule="auto"/>
        <w:ind w:firstLine="420" w:firstLineChars="200"/>
        <w:textAlignment w:val="auto"/>
        <w:rPr>
          <w:rFonts w:hint="eastAsia" w:ascii="Times New Roman" w:hAnsi="Times New Roman" w:eastAsia="宋体" w:cs="宋体"/>
          <w:i/>
          <w:iCs/>
          <w:color w:val="000000" w:themeColor="text1"/>
          <w:sz w:val="21"/>
          <w:szCs w:val="21"/>
          <w:highlight w:val="none"/>
          <w:u w:val="single"/>
          <w:lang w:eastAsia="zh-CN"/>
          <w14:textFill>
            <w14:solidFill>
              <w14:schemeClr w14:val="tx1"/>
            </w14:solidFill>
          </w14:textFill>
        </w:rPr>
      </w:pPr>
      <w:r>
        <w:rPr>
          <w:rFonts w:hint="eastAsia" w:ascii="Times New Roman" w:hAnsi="Times New Roman" w:eastAsia="宋体" w:cs="宋体"/>
          <w:color w:val="000000" w:themeColor="text1"/>
          <w:sz w:val="21"/>
          <w:szCs w:val="21"/>
          <w:highlight w:val="none"/>
          <w14:textFill>
            <w14:solidFill>
              <w14:schemeClr w14:val="tx1"/>
            </w14:solidFill>
          </w14:textFill>
        </w:rPr>
        <w:t>1、</w:t>
      </w:r>
      <w:r>
        <w:rPr>
          <w:rFonts w:hint="eastAsia" w:ascii="Times New Roman" w:hAnsi="Times New Roman" w:eastAsia="宋体" w:cs="宋体"/>
          <w:color w:val="000000" w:themeColor="text1"/>
          <w:sz w:val="21"/>
          <w:szCs w:val="21"/>
          <w:highlight w:val="none"/>
          <w:u w:val="none"/>
          <w14:textFill>
            <w14:solidFill>
              <w14:schemeClr w14:val="tx1"/>
            </w14:solidFill>
          </w14:textFill>
        </w:rPr>
        <w:t>截止时间</w:t>
      </w:r>
      <w:bookmarkStart w:id="32" w:name="PO_3000001868_PM015"/>
      <w:r>
        <w:rPr>
          <w:rFonts w:hint="eastAsia" w:ascii="Times New Roman" w:hAnsi="Times New Roman" w:eastAsia="宋体" w:cs="宋体"/>
          <w:color w:val="000000" w:themeColor="text1"/>
          <w:sz w:val="21"/>
          <w:szCs w:val="21"/>
          <w:highlight w:val="none"/>
          <w:u w:val="none"/>
          <w:lang w:eastAsia="zh-CN"/>
          <w14:textFill>
            <w14:solidFill>
              <w14:schemeClr w14:val="tx1"/>
            </w14:solidFill>
          </w14:textFill>
        </w:rPr>
        <w:t>：</w:t>
      </w:r>
      <w:bookmarkEnd w:id="32"/>
      <w:r>
        <w:rPr>
          <w:rFonts w:hint="eastAsia" w:cs="宋体"/>
          <w:bCs/>
          <w:color w:val="000000" w:themeColor="text1"/>
          <w:kern w:val="0"/>
          <w:sz w:val="21"/>
          <w:szCs w:val="21"/>
          <w:highlight w:val="none"/>
          <w:u w:val="single"/>
          <w:lang w:eastAsia="zh-CN"/>
          <w14:textFill>
            <w14:solidFill>
              <w14:schemeClr w14:val="tx1"/>
            </w14:solidFill>
          </w14:textFill>
        </w:rPr>
        <w:t>202</w:t>
      </w:r>
      <w:r>
        <w:rPr>
          <w:rFonts w:hint="eastAsia" w:cs="宋体"/>
          <w:bCs/>
          <w:color w:val="000000" w:themeColor="text1"/>
          <w:kern w:val="0"/>
          <w:sz w:val="21"/>
          <w:szCs w:val="21"/>
          <w:highlight w:val="none"/>
          <w:u w:val="single"/>
          <w:lang w:val="en-US" w:eastAsia="zh-CN"/>
          <w14:textFill>
            <w14:solidFill>
              <w14:schemeClr w14:val="tx1"/>
            </w14:solidFill>
          </w14:textFill>
        </w:rPr>
        <w:t>6</w:t>
      </w:r>
      <w:r>
        <w:rPr>
          <w:rFonts w:hint="eastAsia" w:cs="宋体"/>
          <w:bCs/>
          <w:color w:val="000000" w:themeColor="text1"/>
          <w:kern w:val="0"/>
          <w:sz w:val="21"/>
          <w:szCs w:val="21"/>
          <w:highlight w:val="none"/>
          <w:u w:val="single"/>
          <w:lang w:eastAsia="zh-CN"/>
          <w14:textFill>
            <w14:solidFill>
              <w14:schemeClr w14:val="tx1"/>
            </w14:solidFill>
          </w14:textFill>
        </w:rPr>
        <w:t>年</w:t>
      </w:r>
      <w:r>
        <w:rPr>
          <w:rFonts w:hint="eastAsia" w:cs="宋体"/>
          <w:bCs/>
          <w:color w:val="000000" w:themeColor="text1"/>
          <w:kern w:val="0"/>
          <w:sz w:val="21"/>
          <w:szCs w:val="21"/>
          <w:highlight w:val="none"/>
          <w:u w:val="single"/>
          <w:lang w:val="en-US" w:eastAsia="zh-CN"/>
          <w14:textFill>
            <w14:solidFill>
              <w14:schemeClr w14:val="tx1"/>
            </w14:solidFill>
          </w14:textFill>
        </w:rPr>
        <w:t>1</w:t>
      </w:r>
      <w:r>
        <w:rPr>
          <w:rFonts w:hint="eastAsia" w:cs="宋体"/>
          <w:bCs/>
          <w:color w:val="000000" w:themeColor="text1"/>
          <w:kern w:val="0"/>
          <w:sz w:val="21"/>
          <w:szCs w:val="21"/>
          <w:highlight w:val="none"/>
          <w:u w:val="single"/>
          <w:lang w:eastAsia="zh-CN"/>
          <w14:textFill>
            <w14:solidFill>
              <w14:schemeClr w14:val="tx1"/>
            </w14:solidFill>
          </w14:textFill>
        </w:rPr>
        <w:t>月</w:t>
      </w:r>
      <w:r>
        <w:rPr>
          <w:rFonts w:hint="eastAsia" w:cs="宋体"/>
          <w:bCs/>
          <w:color w:val="000000" w:themeColor="text1"/>
          <w:kern w:val="0"/>
          <w:sz w:val="21"/>
          <w:szCs w:val="21"/>
          <w:highlight w:val="none"/>
          <w:u w:val="single"/>
          <w:lang w:val="en-US" w:eastAsia="zh-CN"/>
          <w14:textFill>
            <w14:solidFill>
              <w14:schemeClr w14:val="tx1"/>
            </w14:solidFill>
          </w14:textFill>
        </w:rPr>
        <w:t>27</w:t>
      </w:r>
      <w:r>
        <w:rPr>
          <w:rFonts w:hint="eastAsia" w:cs="宋体"/>
          <w:bCs/>
          <w:color w:val="000000" w:themeColor="text1"/>
          <w:kern w:val="0"/>
          <w:sz w:val="21"/>
          <w:szCs w:val="21"/>
          <w:highlight w:val="none"/>
          <w:u w:val="single"/>
          <w:lang w:eastAsia="zh-CN"/>
          <w14:textFill>
            <w14:solidFill>
              <w14:schemeClr w14:val="tx1"/>
            </w14:solidFill>
          </w14:textFill>
        </w:rPr>
        <w:t>日</w:t>
      </w:r>
      <w:r>
        <w:rPr>
          <w:rFonts w:hint="eastAsia" w:ascii="Times New Roman" w:hAnsi="Times New Roman" w:eastAsia="宋体" w:cs="宋体"/>
          <w:bCs/>
          <w:color w:val="000000" w:themeColor="text1"/>
          <w:kern w:val="0"/>
          <w:sz w:val="21"/>
          <w:szCs w:val="21"/>
          <w:highlight w:val="none"/>
          <w:u w:val="none"/>
          <w:lang w:val="en-US" w:eastAsia="zh-CN"/>
          <w14:textFill>
            <w14:solidFill>
              <w14:schemeClr w14:val="tx1"/>
            </w14:solidFill>
          </w14:textFill>
        </w:rPr>
        <w:t>09</w:t>
      </w:r>
      <w:r>
        <w:rPr>
          <w:rFonts w:hint="eastAsia" w:ascii="Times New Roman" w:hAnsi="Times New Roman" w:eastAsia="宋体" w:cs="宋体"/>
          <w:bCs/>
          <w:color w:val="000000" w:themeColor="text1"/>
          <w:sz w:val="21"/>
          <w:szCs w:val="21"/>
          <w:highlight w:val="none"/>
          <w:u w:val="none"/>
          <w:lang w:eastAsia="zh-CN"/>
          <w14:textFill>
            <w14:solidFill>
              <w14:schemeClr w14:val="tx1"/>
            </w14:solidFill>
          </w14:textFill>
        </w:rPr>
        <w:t>时</w:t>
      </w:r>
      <w:r>
        <w:rPr>
          <w:rFonts w:hint="eastAsia" w:ascii="Times New Roman" w:hAnsi="Times New Roman" w:eastAsia="宋体" w:cs="宋体"/>
          <w:bCs/>
          <w:color w:val="000000" w:themeColor="text1"/>
          <w:sz w:val="21"/>
          <w:szCs w:val="21"/>
          <w:highlight w:val="none"/>
          <w:u w:val="none"/>
          <w:lang w:val="en-US" w:eastAsia="zh-CN"/>
          <w14:textFill>
            <w14:solidFill>
              <w14:schemeClr w14:val="tx1"/>
            </w14:solidFill>
          </w14:textFill>
        </w:rPr>
        <w:t>30分</w:t>
      </w:r>
      <w:r>
        <w:rPr>
          <w:rFonts w:hint="eastAsia" w:ascii="Times New Roman" w:hAnsi="Times New Roman" w:eastAsia="宋体" w:cs="宋体"/>
          <w:bCs/>
          <w:color w:val="000000" w:themeColor="text1"/>
          <w:sz w:val="21"/>
          <w:szCs w:val="21"/>
          <w:highlight w:val="none"/>
          <w14:textFill>
            <w14:solidFill>
              <w14:schemeClr w14:val="tx1"/>
            </w14:solidFill>
          </w14:textFill>
        </w:rPr>
        <w:t>（北京时间）</w:t>
      </w:r>
      <w:r>
        <w:rPr>
          <w:rFonts w:hint="eastAsia" w:ascii="Times New Roman" w:hAnsi="Times New Roman" w:cs="宋体"/>
          <w:bCs/>
          <w:color w:val="000000" w:themeColor="text1"/>
          <w:sz w:val="21"/>
          <w:szCs w:val="21"/>
          <w:highlight w:val="none"/>
          <w:lang w:eastAsia="zh-CN"/>
          <w14:textFill>
            <w14:solidFill>
              <w14:schemeClr w14:val="tx1"/>
            </w14:solidFill>
          </w14:textFill>
        </w:rPr>
        <w:t>。</w:t>
      </w:r>
    </w:p>
    <w:p w14:paraId="4E2CE4DF">
      <w:pPr>
        <w:keepNext w:val="0"/>
        <w:keepLines w:val="0"/>
        <w:pageBreakBefore w:val="0"/>
        <w:kinsoku/>
        <w:wordWrap/>
        <w:overflowPunct/>
        <w:topLinePunct w:val="0"/>
        <w:autoSpaceDE/>
        <w:autoSpaceDN/>
        <w:bidi w:val="0"/>
        <w:adjustRightInd/>
        <w:spacing w:line="360" w:lineRule="auto"/>
        <w:ind w:firstLine="420" w:firstLineChars="200"/>
        <w:textAlignment w:val="auto"/>
        <w:rPr>
          <w:rFonts w:hint="eastAsia" w:ascii="Times New Roman" w:hAnsi="Times New Roman" w:eastAsia="宋体" w:cs="宋体"/>
          <w:color w:val="000000" w:themeColor="text1"/>
          <w:sz w:val="21"/>
          <w:szCs w:val="21"/>
          <w:highlight w:val="none"/>
          <w:lang w:eastAsia="zh-CN"/>
          <w14:textFill>
            <w14:solidFill>
              <w14:schemeClr w14:val="tx1"/>
            </w14:solidFill>
          </w14:textFill>
        </w:rPr>
      </w:pPr>
      <w:r>
        <w:rPr>
          <w:rFonts w:hint="eastAsia" w:ascii="Times New Roman" w:hAnsi="Times New Roman" w:eastAsia="宋体" w:cs="宋体"/>
          <w:color w:val="000000" w:themeColor="text1"/>
          <w:sz w:val="21"/>
          <w:szCs w:val="21"/>
          <w:highlight w:val="none"/>
          <w14:textFill>
            <w14:solidFill>
              <w14:schemeClr w14:val="tx1"/>
            </w14:solidFill>
          </w14:textFill>
        </w:rPr>
        <w:t>2、地点（网址）：</w:t>
      </w:r>
      <w:r>
        <w:rPr>
          <w:rFonts w:hint="eastAsia" w:ascii="Times New Roman" w:hAnsi="Times New Roman" w:eastAsia="宋体" w:cs="宋体"/>
          <w:color w:val="000000" w:themeColor="text1"/>
          <w:sz w:val="21"/>
          <w:szCs w:val="21"/>
          <w:highlight w:val="none"/>
          <w:lang w:eastAsia="zh-CN"/>
          <w14:textFill>
            <w14:solidFill>
              <w14:schemeClr w14:val="tx1"/>
            </w14:solidFill>
          </w14:textFill>
        </w:rPr>
        <w:t>广西政府采购云平台（https://www.gcy.zfcg.gxzf.gov.cn/）</w:t>
      </w:r>
      <w:r>
        <w:rPr>
          <w:rFonts w:hint="eastAsia" w:ascii="Times New Roman" w:hAnsi="Times New Roman" w:cs="宋体"/>
          <w:color w:val="000000" w:themeColor="text1"/>
          <w:sz w:val="21"/>
          <w:szCs w:val="21"/>
          <w:highlight w:val="none"/>
          <w:lang w:eastAsia="zh-CN"/>
          <w14:textFill>
            <w14:solidFill>
              <w14:schemeClr w14:val="tx1"/>
            </w14:solidFill>
          </w14:textFill>
        </w:rPr>
        <w:t>。</w:t>
      </w:r>
    </w:p>
    <w:p w14:paraId="2D38C6B1">
      <w:pPr>
        <w:keepNext w:val="0"/>
        <w:keepLines w:val="0"/>
        <w:pageBreakBefore w:val="0"/>
        <w:kinsoku/>
        <w:wordWrap/>
        <w:overflowPunct/>
        <w:topLinePunct w:val="0"/>
        <w:autoSpaceDE/>
        <w:autoSpaceDN/>
        <w:bidi w:val="0"/>
        <w:adjustRightInd/>
        <w:spacing w:line="360" w:lineRule="auto"/>
        <w:ind w:firstLine="422" w:firstLineChars="200"/>
        <w:textAlignment w:val="auto"/>
        <w:rPr>
          <w:rFonts w:hint="eastAsia" w:ascii="Times New Roman" w:hAnsi="Times New Roman" w:eastAsia="宋体" w:cs="宋体"/>
          <w:b/>
          <w:bCs/>
          <w:color w:val="000000" w:themeColor="text1"/>
          <w:sz w:val="21"/>
          <w:szCs w:val="21"/>
          <w:highlight w:val="none"/>
          <w14:textFill>
            <w14:solidFill>
              <w14:schemeClr w14:val="tx1"/>
            </w14:solidFill>
          </w14:textFill>
        </w:rPr>
      </w:pPr>
      <w:r>
        <w:rPr>
          <w:rFonts w:hint="eastAsia" w:ascii="Times New Roman" w:hAnsi="Times New Roman" w:eastAsia="宋体" w:cs="宋体"/>
          <w:b/>
          <w:bCs/>
          <w:color w:val="000000" w:themeColor="text1"/>
          <w:sz w:val="21"/>
          <w:szCs w:val="21"/>
          <w:highlight w:val="none"/>
          <w14:textFill>
            <w14:solidFill>
              <w14:schemeClr w14:val="tx1"/>
            </w14:solidFill>
          </w14:textFill>
        </w:rPr>
        <w:t>五、开启（首次响应文件开启时间）</w:t>
      </w:r>
    </w:p>
    <w:p w14:paraId="78399A2E">
      <w:pPr>
        <w:keepNext w:val="0"/>
        <w:keepLines w:val="0"/>
        <w:pageBreakBefore w:val="0"/>
        <w:kinsoku/>
        <w:wordWrap/>
        <w:overflowPunct/>
        <w:topLinePunct w:val="0"/>
        <w:autoSpaceDE/>
        <w:autoSpaceDN/>
        <w:bidi w:val="0"/>
        <w:adjustRightInd/>
        <w:spacing w:line="360" w:lineRule="auto"/>
        <w:ind w:firstLine="420" w:firstLineChars="200"/>
        <w:textAlignment w:val="auto"/>
        <w:rPr>
          <w:rFonts w:hint="eastAsia" w:ascii="Times New Roman" w:hAnsi="Times New Roman" w:eastAsia="宋体" w:cs="宋体"/>
          <w:bCs/>
          <w:color w:val="000000" w:themeColor="text1"/>
          <w:sz w:val="21"/>
          <w:szCs w:val="21"/>
          <w:highlight w:val="none"/>
          <w:u w:val="single"/>
          <w:lang w:eastAsia="zh-CN"/>
          <w14:textFill>
            <w14:solidFill>
              <w14:schemeClr w14:val="tx1"/>
            </w14:solidFill>
          </w14:textFill>
        </w:rPr>
      </w:pPr>
      <w:r>
        <w:rPr>
          <w:rFonts w:hint="eastAsia" w:ascii="Times New Roman" w:hAnsi="Times New Roman" w:eastAsia="宋体" w:cs="宋体"/>
          <w:color w:val="000000" w:themeColor="text1"/>
          <w:sz w:val="21"/>
          <w:szCs w:val="21"/>
          <w:highlight w:val="none"/>
          <w14:textFill>
            <w14:solidFill>
              <w14:schemeClr w14:val="tx1"/>
            </w14:solidFill>
          </w14:textFill>
        </w:rPr>
        <w:t>开启时间：</w:t>
      </w:r>
      <w:r>
        <w:rPr>
          <w:rFonts w:hint="eastAsia" w:cs="宋体"/>
          <w:bCs/>
          <w:color w:val="000000" w:themeColor="text1"/>
          <w:kern w:val="0"/>
          <w:sz w:val="21"/>
          <w:szCs w:val="21"/>
          <w:highlight w:val="none"/>
          <w:u w:val="single"/>
          <w:lang w:eastAsia="zh-CN"/>
          <w14:textFill>
            <w14:solidFill>
              <w14:schemeClr w14:val="tx1"/>
            </w14:solidFill>
          </w14:textFill>
        </w:rPr>
        <w:t>202</w:t>
      </w:r>
      <w:r>
        <w:rPr>
          <w:rFonts w:hint="eastAsia" w:cs="宋体"/>
          <w:bCs/>
          <w:color w:val="000000" w:themeColor="text1"/>
          <w:kern w:val="0"/>
          <w:sz w:val="21"/>
          <w:szCs w:val="21"/>
          <w:highlight w:val="none"/>
          <w:u w:val="single"/>
          <w:lang w:val="en-US" w:eastAsia="zh-CN"/>
          <w14:textFill>
            <w14:solidFill>
              <w14:schemeClr w14:val="tx1"/>
            </w14:solidFill>
          </w14:textFill>
        </w:rPr>
        <w:t>6</w:t>
      </w:r>
      <w:r>
        <w:rPr>
          <w:rFonts w:hint="eastAsia" w:cs="宋体"/>
          <w:bCs/>
          <w:color w:val="000000" w:themeColor="text1"/>
          <w:kern w:val="0"/>
          <w:sz w:val="21"/>
          <w:szCs w:val="21"/>
          <w:highlight w:val="none"/>
          <w:u w:val="single"/>
          <w:lang w:eastAsia="zh-CN"/>
          <w14:textFill>
            <w14:solidFill>
              <w14:schemeClr w14:val="tx1"/>
            </w14:solidFill>
          </w14:textFill>
        </w:rPr>
        <w:t>年</w:t>
      </w:r>
      <w:r>
        <w:rPr>
          <w:rFonts w:hint="eastAsia" w:cs="宋体"/>
          <w:bCs/>
          <w:color w:val="000000" w:themeColor="text1"/>
          <w:kern w:val="0"/>
          <w:sz w:val="21"/>
          <w:szCs w:val="21"/>
          <w:highlight w:val="none"/>
          <w:u w:val="single"/>
          <w:lang w:val="en-US" w:eastAsia="zh-CN"/>
          <w14:textFill>
            <w14:solidFill>
              <w14:schemeClr w14:val="tx1"/>
            </w14:solidFill>
          </w14:textFill>
        </w:rPr>
        <w:t>1</w:t>
      </w:r>
      <w:r>
        <w:rPr>
          <w:rFonts w:hint="eastAsia" w:cs="宋体"/>
          <w:bCs/>
          <w:color w:val="000000" w:themeColor="text1"/>
          <w:kern w:val="0"/>
          <w:sz w:val="21"/>
          <w:szCs w:val="21"/>
          <w:highlight w:val="none"/>
          <w:u w:val="single"/>
          <w:lang w:eastAsia="zh-CN"/>
          <w14:textFill>
            <w14:solidFill>
              <w14:schemeClr w14:val="tx1"/>
            </w14:solidFill>
          </w14:textFill>
        </w:rPr>
        <w:t>月</w:t>
      </w:r>
      <w:r>
        <w:rPr>
          <w:rFonts w:hint="eastAsia" w:cs="宋体"/>
          <w:bCs/>
          <w:color w:val="000000" w:themeColor="text1"/>
          <w:kern w:val="0"/>
          <w:sz w:val="21"/>
          <w:szCs w:val="21"/>
          <w:highlight w:val="none"/>
          <w:u w:val="single"/>
          <w:lang w:val="en-US" w:eastAsia="zh-CN"/>
          <w14:textFill>
            <w14:solidFill>
              <w14:schemeClr w14:val="tx1"/>
            </w14:solidFill>
          </w14:textFill>
        </w:rPr>
        <w:t>27</w:t>
      </w:r>
      <w:r>
        <w:rPr>
          <w:rFonts w:hint="eastAsia" w:cs="宋体"/>
          <w:bCs/>
          <w:color w:val="000000" w:themeColor="text1"/>
          <w:kern w:val="0"/>
          <w:sz w:val="21"/>
          <w:szCs w:val="21"/>
          <w:highlight w:val="none"/>
          <w:u w:val="single"/>
          <w:lang w:eastAsia="zh-CN"/>
          <w14:textFill>
            <w14:solidFill>
              <w14:schemeClr w14:val="tx1"/>
            </w14:solidFill>
          </w14:textFill>
        </w:rPr>
        <w:t>日</w:t>
      </w:r>
      <w:r>
        <w:rPr>
          <w:rFonts w:hint="eastAsia" w:ascii="Times New Roman" w:hAnsi="Times New Roman" w:eastAsia="宋体" w:cs="宋体"/>
          <w:bCs/>
          <w:color w:val="000000" w:themeColor="text1"/>
          <w:kern w:val="0"/>
          <w:sz w:val="21"/>
          <w:szCs w:val="21"/>
          <w:highlight w:val="none"/>
          <w:u w:val="none"/>
          <w:lang w:val="en-US" w:eastAsia="zh-CN"/>
          <w14:textFill>
            <w14:solidFill>
              <w14:schemeClr w14:val="tx1"/>
            </w14:solidFill>
          </w14:textFill>
        </w:rPr>
        <w:t>09</w:t>
      </w:r>
      <w:r>
        <w:rPr>
          <w:rFonts w:hint="eastAsia" w:ascii="Times New Roman" w:hAnsi="Times New Roman" w:eastAsia="宋体" w:cs="宋体"/>
          <w:bCs/>
          <w:color w:val="000000" w:themeColor="text1"/>
          <w:sz w:val="21"/>
          <w:szCs w:val="21"/>
          <w:highlight w:val="none"/>
          <w:u w:val="none"/>
          <w:lang w:eastAsia="zh-CN"/>
          <w14:textFill>
            <w14:solidFill>
              <w14:schemeClr w14:val="tx1"/>
            </w14:solidFill>
          </w14:textFill>
        </w:rPr>
        <w:t>时</w:t>
      </w:r>
      <w:r>
        <w:rPr>
          <w:rFonts w:hint="eastAsia" w:ascii="Times New Roman" w:hAnsi="Times New Roman" w:eastAsia="宋体" w:cs="宋体"/>
          <w:bCs/>
          <w:color w:val="000000" w:themeColor="text1"/>
          <w:sz w:val="21"/>
          <w:szCs w:val="21"/>
          <w:highlight w:val="none"/>
          <w:u w:val="none"/>
          <w:lang w:val="en-US" w:eastAsia="zh-CN"/>
          <w14:textFill>
            <w14:solidFill>
              <w14:schemeClr w14:val="tx1"/>
            </w14:solidFill>
          </w14:textFill>
        </w:rPr>
        <w:t>30分</w:t>
      </w:r>
      <w:r>
        <w:rPr>
          <w:rFonts w:hint="eastAsia" w:ascii="Times New Roman" w:hAnsi="Times New Roman" w:eastAsia="宋体" w:cs="宋体"/>
          <w:bCs/>
          <w:color w:val="000000" w:themeColor="text1"/>
          <w:sz w:val="21"/>
          <w:szCs w:val="21"/>
          <w:highlight w:val="none"/>
          <w14:textFill>
            <w14:solidFill>
              <w14:schemeClr w14:val="tx1"/>
            </w14:solidFill>
          </w14:textFill>
        </w:rPr>
        <w:t>（北京时间）</w:t>
      </w:r>
      <w:r>
        <w:rPr>
          <w:rFonts w:hint="eastAsia" w:ascii="Times New Roman" w:hAnsi="Times New Roman" w:cs="宋体"/>
          <w:bCs/>
          <w:color w:val="000000" w:themeColor="text1"/>
          <w:sz w:val="21"/>
          <w:szCs w:val="21"/>
          <w:highlight w:val="none"/>
          <w:lang w:eastAsia="zh-CN"/>
          <w14:textFill>
            <w14:solidFill>
              <w14:schemeClr w14:val="tx1"/>
            </w14:solidFill>
          </w14:textFill>
        </w:rPr>
        <w:t>。</w:t>
      </w:r>
    </w:p>
    <w:p w14:paraId="61CA55F9">
      <w:pPr>
        <w:keepNext w:val="0"/>
        <w:keepLines w:val="0"/>
        <w:pageBreakBefore w:val="0"/>
        <w:kinsoku/>
        <w:wordWrap/>
        <w:overflowPunct/>
        <w:topLinePunct w:val="0"/>
        <w:autoSpaceDE/>
        <w:autoSpaceDN/>
        <w:bidi w:val="0"/>
        <w:adjustRightInd/>
        <w:spacing w:line="360" w:lineRule="auto"/>
        <w:ind w:firstLine="420" w:firstLineChars="200"/>
        <w:textAlignment w:val="auto"/>
        <w:rPr>
          <w:rFonts w:hint="eastAsia" w:ascii="Times New Roman" w:hAnsi="Times New Roman" w:eastAsia="宋体" w:cs="宋体"/>
          <w:bCs/>
          <w:color w:val="000000" w:themeColor="text1"/>
          <w:sz w:val="21"/>
          <w:szCs w:val="21"/>
          <w:highlight w:val="none"/>
          <w:u w:val="single"/>
          <w:lang w:eastAsia="zh-CN"/>
          <w14:textFill>
            <w14:solidFill>
              <w14:schemeClr w14:val="tx1"/>
            </w14:solidFill>
          </w14:textFill>
        </w:rPr>
      </w:pPr>
      <w:r>
        <w:rPr>
          <w:rFonts w:hint="eastAsia" w:ascii="Times New Roman" w:hAnsi="Times New Roman" w:eastAsia="宋体" w:cs="宋体"/>
          <w:color w:val="000000" w:themeColor="text1"/>
          <w:sz w:val="21"/>
          <w:szCs w:val="21"/>
          <w:highlight w:val="none"/>
          <w14:textFill>
            <w14:solidFill>
              <w14:schemeClr w14:val="tx1"/>
            </w14:solidFill>
          </w14:textFill>
        </w:rPr>
        <w:t>地点：</w:t>
      </w:r>
      <w:r>
        <w:rPr>
          <w:rFonts w:hint="eastAsia" w:ascii="Times New Roman" w:hAnsi="Times New Roman" w:eastAsia="宋体" w:cs="宋体"/>
          <w:color w:val="000000" w:themeColor="text1"/>
          <w:sz w:val="21"/>
          <w:szCs w:val="21"/>
          <w:highlight w:val="none"/>
          <w:lang w:eastAsia="zh-CN"/>
          <w14:textFill>
            <w14:solidFill>
              <w14:schemeClr w14:val="tx1"/>
            </w14:solidFill>
          </w14:textFill>
        </w:rPr>
        <w:t>广西政府采购云平台（https://www.gcy.zfcg.gxzf.gov.cn/）</w:t>
      </w:r>
      <w:r>
        <w:rPr>
          <w:rFonts w:hint="eastAsia" w:ascii="Times New Roman" w:hAnsi="Times New Roman" w:cs="宋体"/>
          <w:color w:val="000000" w:themeColor="text1"/>
          <w:sz w:val="21"/>
          <w:szCs w:val="21"/>
          <w:highlight w:val="none"/>
          <w:lang w:eastAsia="zh-CN"/>
          <w14:textFill>
            <w14:solidFill>
              <w14:schemeClr w14:val="tx1"/>
            </w14:solidFill>
          </w14:textFill>
        </w:rPr>
        <w:t>。</w:t>
      </w:r>
    </w:p>
    <w:p w14:paraId="2F6DBAE5">
      <w:pPr>
        <w:keepNext w:val="0"/>
        <w:keepLines w:val="0"/>
        <w:pageBreakBefore w:val="0"/>
        <w:kinsoku/>
        <w:wordWrap/>
        <w:overflowPunct/>
        <w:topLinePunct w:val="0"/>
        <w:autoSpaceDE/>
        <w:autoSpaceDN/>
        <w:bidi w:val="0"/>
        <w:adjustRightInd/>
        <w:spacing w:line="360" w:lineRule="auto"/>
        <w:ind w:firstLine="422" w:firstLineChars="200"/>
        <w:textAlignment w:val="auto"/>
        <w:rPr>
          <w:rFonts w:hint="eastAsia" w:ascii="Times New Roman" w:hAnsi="Times New Roman" w:eastAsia="宋体" w:cs="宋体"/>
          <w:b/>
          <w:bCs/>
          <w:color w:val="000000" w:themeColor="text1"/>
          <w:sz w:val="21"/>
          <w:szCs w:val="21"/>
          <w:highlight w:val="none"/>
          <w14:textFill>
            <w14:solidFill>
              <w14:schemeClr w14:val="tx1"/>
            </w14:solidFill>
          </w14:textFill>
        </w:rPr>
      </w:pPr>
      <w:bookmarkStart w:id="33" w:name="_Toc28359007"/>
      <w:bookmarkStart w:id="34" w:name="_Toc35393794"/>
      <w:bookmarkStart w:id="35" w:name="_Toc35393625"/>
      <w:bookmarkStart w:id="36" w:name="_Toc28359084"/>
      <w:r>
        <w:rPr>
          <w:rFonts w:hint="eastAsia" w:ascii="Times New Roman" w:hAnsi="Times New Roman" w:eastAsia="宋体" w:cs="宋体"/>
          <w:b/>
          <w:bCs/>
          <w:color w:val="000000" w:themeColor="text1"/>
          <w:sz w:val="21"/>
          <w:szCs w:val="21"/>
          <w:highlight w:val="none"/>
          <w14:textFill>
            <w14:solidFill>
              <w14:schemeClr w14:val="tx1"/>
            </w14:solidFill>
          </w14:textFill>
        </w:rPr>
        <w:t>六、公告期限</w:t>
      </w:r>
      <w:bookmarkEnd w:id="33"/>
      <w:bookmarkEnd w:id="34"/>
      <w:bookmarkEnd w:id="35"/>
      <w:bookmarkEnd w:id="36"/>
    </w:p>
    <w:p w14:paraId="32441E69">
      <w:pPr>
        <w:keepNext w:val="0"/>
        <w:keepLines w:val="0"/>
        <w:pageBreakBefore w:val="0"/>
        <w:kinsoku/>
        <w:wordWrap/>
        <w:overflowPunct/>
        <w:topLinePunct w:val="0"/>
        <w:autoSpaceDE/>
        <w:autoSpaceDN/>
        <w:bidi w:val="0"/>
        <w:adjustRightInd/>
        <w:spacing w:line="360" w:lineRule="auto"/>
        <w:ind w:firstLine="420" w:firstLineChars="200"/>
        <w:textAlignment w:val="auto"/>
        <w:rPr>
          <w:rFonts w:hint="eastAsia" w:ascii="Times New Roman" w:hAnsi="Times New Roman" w:eastAsia="宋体" w:cs="宋体"/>
          <w:color w:val="000000" w:themeColor="text1"/>
          <w:kern w:val="0"/>
          <w:sz w:val="21"/>
          <w:szCs w:val="21"/>
          <w:highlight w:val="none"/>
          <w14:textFill>
            <w14:solidFill>
              <w14:schemeClr w14:val="tx1"/>
            </w14:solidFill>
          </w14:textFill>
        </w:rPr>
      </w:pPr>
      <w:r>
        <w:rPr>
          <w:rFonts w:hint="eastAsia" w:ascii="Times New Roman" w:hAnsi="Times New Roman" w:eastAsia="宋体" w:cs="宋体"/>
          <w:color w:val="000000" w:themeColor="text1"/>
          <w:kern w:val="0"/>
          <w:sz w:val="21"/>
          <w:szCs w:val="21"/>
          <w:highlight w:val="none"/>
          <w14:textFill>
            <w14:solidFill>
              <w14:schemeClr w14:val="tx1"/>
            </w14:solidFill>
          </w14:textFill>
        </w:rPr>
        <w:t>自本公告发布之日起</w:t>
      </w:r>
      <w:r>
        <w:rPr>
          <w:rFonts w:hint="eastAsia" w:ascii="Times New Roman" w:hAnsi="Times New Roman" w:eastAsia="宋体" w:cs="宋体"/>
          <w:color w:val="000000" w:themeColor="text1"/>
          <w:kern w:val="0"/>
          <w:sz w:val="21"/>
          <w:szCs w:val="21"/>
          <w:highlight w:val="none"/>
          <w:lang w:val="en-US" w:eastAsia="zh-CN"/>
          <w14:textFill>
            <w14:solidFill>
              <w14:schemeClr w14:val="tx1"/>
            </w14:solidFill>
          </w14:textFill>
        </w:rPr>
        <w:t>5</w:t>
      </w:r>
      <w:r>
        <w:rPr>
          <w:rFonts w:hint="eastAsia" w:ascii="Times New Roman" w:hAnsi="Times New Roman" w:eastAsia="宋体" w:cs="宋体"/>
          <w:color w:val="000000" w:themeColor="text1"/>
          <w:kern w:val="0"/>
          <w:sz w:val="21"/>
          <w:szCs w:val="21"/>
          <w:highlight w:val="none"/>
          <w14:textFill>
            <w14:solidFill>
              <w14:schemeClr w14:val="tx1"/>
            </w14:solidFill>
          </w14:textFill>
        </w:rPr>
        <w:t>个工作日。</w:t>
      </w:r>
    </w:p>
    <w:p w14:paraId="3297F40B">
      <w:pPr>
        <w:keepNext w:val="0"/>
        <w:keepLines w:val="0"/>
        <w:pageBreakBefore w:val="0"/>
        <w:kinsoku/>
        <w:wordWrap/>
        <w:overflowPunct/>
        <w:topLinePunct w:val="0"/>
        <w:autoSpaceDE/>
        <w:autoSpaceDN/>
        <w:bidi w:val="0"/>
        <w:adjustRightInd/>
        <w:spacing w:line="360" w:lineRule="auto"/>
        <w:ind w:firstLine="422" w:firstLineChars="200"/>
        <w:textAlignment w:val="auto"/>
        <w:rPr>
          <w:rFonts w:hint="eastAsia" w:ascii="Times New Roman" w:hAnsi="Times New Roman" w:eastAsia="宋体" w:cs="宋体"/>
          <w:b/>
          <w:bCs/>
          <w:color w:val="000000" w:themeColor="text1"/>
          <w:sz w:val="21"/>
          <w:szCs w:val="21"/>
          <w:highlight w:val="none"/>
          <w14:textFill>
            <w14:solidFill>
              <w14:schemeClr w14:val="tx1"/>
            </w14:solidFill>
          </w14:textFill>
        </w:rPr>
      </w:pPr>
      <w:bookmarkStart w:id="37" w:name="_Toc35393795"/>
      <w:bookmarkStart w:id="38" w:name="_Toc35393626"/>
      <w:r>
        <w:rPr>
          <w:rFonts w:hint="eastAsia" w:ascii="Times New Roman" w:hAnsi="Times New Roman" w:eastAsia="宋体" w:cs="宋体"/>
          <w:b/>
          <w:bCs/>
          <w:color w:val="000000" w:themeColor="text1"/>
          <w:sz w:val="21"/>
          <w:szCs w:val="21"/>
          <w:highlight w:val="none"/>
          <w14:textFill>
            <w14:solidFill>
              <w14:schemeClr w14:val="tx1"/>
            </w14:solidFill>
          </w14:textFill>
        </w:rPr>
        <w:t>七、其他补充事宜</w:t>
      </w:r>
      <w:bookmarkEnd w:id="37"/>
      <w:bookmarkEnd w:id="38"/>
    </w:p>
    <w:p w14:paraId="041C2442">
      <w:pPr>
        <w:keepNext w:val="0"/>
        <w:keepLines w:val="0"/>
        <w:pageBreakBefore w:val="0"/>
        <w:kinsoku/>
        <w:wordWrap/>
        <w:overflowPunct/>
        <w:topLinePunct w:val="0"/>
        <w:autoSpaceDE/>
        <w:autoSpaceDN/>
        <w:bidi w:val="0"/>
        <w:adjustRightInd/>
        <w:spacing w:line="360" w:lineRule="auto"/>
        <w:ind w:firstLine="420" w:firstLineChars="200"/>
        <w:textAlignment w:val="auto"/>
        <w:rPr>
          <w:rFonts w:hint="eastAsia" w:ascii="Times New Roman" w:hAnsi="Times New Roman" w:eastAsia="宋体" w:cs="宋体"/>
          <w:color w:val="000000" w:themeColor="text1"/>
          <w:kern w:val="0"/>
          <w:sz w:val="21"/>
          <w:szCs w:val="21"/>
          <w:highlight w:val="none"/>
          <w14:textFill>
            <w14:solidFill>
              <w14:schemeClr w14:val="tx1"/>
            </w14:solidFill>
          </w14:textFill>
        </w:rPr>
      </w:pPr>
      <w:bookmarkStart w:id="39" w:name="_Hlk37429585"/>
      <w:r>
        <w:rPr>
          <w:rFonts w:hint="eastAsia" w:ascii="Times New Roman" w:hAnsi="Times New Roman" w:eastAsia="宋体" w:cs="宋体"/>
          <w:color w:val="000000" w:themeColor="text1"/>
          <w:kern w:val="0"/>
          <w:sz w:val="21"/>
          <w:szCs w:val="21"/>
          <w:highlight w:val="none"/>
          <w14:textFill>
            <w14:solidFill>
              <w14:schemeClr w14:val="tx1"/>
            </w14:solidFill>
          </w14:textFill>
        </w:rPr>
        <w:t>1.磋商保证金：</w:t>
      </w:r>
      <w:r>
        <w:rPr>
          <w:rFonts w:hint="eastAsia" w:ascii="Times New Roman" w:hAnsi="Times New Roman" w:cs="宋体"/>
          <w:b/>
          <w:bCs/>
          <w:color w:val="000000" w:themeColor="text1"/>
          <w:kern w:val="0"/>
          <w:sz w:val="21"/>
          <w:szCs w:val="21"/>
          <w:highlight w:val="none"/>
          <w:lang w:val="en-US" w:eastAsia="zh-CN"/>
          <w14:textFill>
            <w14:solidFill>
              <w14:schemeClr w14:val="tx1"/>
            </w14:solidFill>
          </w14:textFill>
        </w:rPr>
        <w:t>本项目无须缴纳</w:t>
      </w:r>
      <w:r>
        <w:rPr>
          <w:rFonts w:hint="eastAsia"/>
          <w:b/>
          <w:bCs/>
          <w:color w:val="000000" w:themeColor="text1"/>
          <w:lang w:eastAsia="zh-CN"/>
          <w14:textFill>
            <w14:solidFill>
              <w14:schemeClr w14:val="tx1"/>
            </w14:solidFill>
          </w14:textFill>
        </w:rPr>
        <w:t>磋商</w:t>
      </w:r>
      <w:r>
        <w:rPr>
          <w:rFonts w:hint="eastAsia" w:ascii="Times New Roman" w:hAnsi="Times New Roman" w:cs="宋体"/>
          <w:b/>
          <w:bCs/>
          <w:color w:val="000000" w:themeColor="text1"/>
          <w:kern w:val="0"/>
          <w:sz w:val="21"/>
          <w:szCs w:val="21"/>
          <w:highlight w:val="none"/>
          <w:lang w:val="en-US" w:eastAsia="zh-CN"/>
          <w14:textFill>
            <w14:solidFill>
              <w14:schemeClr w14:val="tx1"/>
            </w14:solidFill>
          </w14:textFill>
        </w:rPr>
        <w:t>保证金。</w:t>
      </w:r>
    </w:p>
    <w:p w14:paraId="468522D4">
      <w:pPr>
        <w:keepNext w:val="0"/>
        <w:keepLines w:val="0"/>
        <w:pageBreakBefore w:val="0"/>
        <w:kinsoku/>
        <w:wordWrap/>
        <w:overflowPunct/>
        <w:topLinePunct w:val="0"/>
        <w:autoSpaceDE/>
        <w:autoSpaceDN/>
        <w:bidi w:val="0"/>
        <w:adjustRightInd/>
        <w:spacing w:line="360" w:lineRule="auto"/>
        <w:ind w:firstLine="420" w:firstLineChars="200"/>
        <w:textAlignment w:val="auto"/>
        <w:rPr>
          <w:rFonts w:hint="eastAsia" w:ascii="Times New Roman" w:hAnsi="Times New Roman" w:eastAsia="宋体" w:cs="宋体"/>
          <w:color w:val="000000" w:themeColor="text1"/>
          <w:kern w:val="0"/>
          <w:sz w:val="21"/>
          <w:szCs w:val="21"/>
          <w:highlight w:val="none"/>
          <w14:textFill>
            <w14:solidFill>
              <w14:schemeClr w14:val="tx1"/>
            </w14:solidFill>
          </w14:textFill>
        </w:rPr>
      </w:pPr>
      <w:r>
        <w:rPr>
          <w:rFonts w:hint="eastAsia" w:ascii="Times New Roman" w:hAnsi="Times New Roman" w:eastAsia="宋体" w:cs="宋体"/>
          <w:color w:val="000000" w:themeColor="text1"/>
          <w:kern w:val="0"/>
          <w:sz w:val="21"/>
          <w:szCs w:val="21"/>
          <w:highlight w:val="none"/>
          <w14:textFill>
            <w14:solidFill>
              <w14:schemeClr w14:val="tx1"/>
            </w14:solidFill>
          </w14:textFill>
        </w:rPr>
        <w:t>2.</w:t>
      </w:r>
      <w:bookmarkStart w:id="40" w:name="_Hlk37429595"/>
      <w:r>
        <w:rPr>
          <w:rFonts w:hint="eastAsia" w:ascii="Times New Roman" w:hAnsi="Times New Roman" w:eastAsia="宋体" w:cs="宋体"/>
          <w:color w:val="000000" w:themeColor="text1"/>
          <w:kern w:val="0"/>
          <w:sz w:val="21"/>
          <w:szCs w:val="21"/>
          <w:highlight w:val="none"/>
          <w14:textFill>
            <w14:solidFill>
              <w14:schemeClr w14:val="tx1"/>
            </w14:solidFill>
          </w14:textFill>
        </w:rPr>
        <w:t>网上查询地址</w:t>
      </w:r>
    </w:p>
    <w:bookmarkEnd w:id="39"/>
    <w:bookmarkEnd w:id="40"/>
    <w:p w14:paraId="6706CFEB">
      <w:pPr>
        <w:keepNext w:val="0"/>
        <w:keepLines w:val="0"/>
        <w:pageBreakBefore w:val="0"/>
        <w:kinsoku/>
        <w:wordWrap/>
        <w:overflowPunct/>
        <w:topLinePunct w:val="0"/>
        <w:autoSpaceDE/>
        <w:autoSpaceDN/>
        <w:bidi w:val="0"/>
        <w:adjustRightInd/>
        <w:spacing w:line="360" w:lineRule="auto"/>
        <w:ind w:firstLine="420" w:firstLineChars="200"/>
        <w:textAlignment w:val="auto"/>
        <w:rPr>
          <w:rFonts w:hint="eastAsia" w:ascii="Times New Roman" w:hAnsi="Times New Roman" w:eastAsia="宋体" w:cs="宋体"/>
          <w:color w:val="000000" w:themeColor="text1"/>
          <w:kern w:val="0"/>
          <w:sz w:val="21"/>
          <w:szCs w:val="21"/>
          <w:highlight w:val="none"/>
          <w14:textFill>
            <w14:solidFill>
              <w14:schemeClr w14:val="tx1"/>
            </w14:solidFill>
          </w14:textFill>
        </w:rPr>
      </w:pPr>
      <w:bookmarkStart w:id="41" w:name="_Hlk37429674"/>
      <w:r>
        <w:rPr>
          <w:rFonts w:hint="eastAsia" w:ascii="Times New Roman" w:hAnsi="Times New Roman" w:cs="宋体"/>
          <w:color w:val="000000" w:themeColor="text1"/>
          <w:szCs w:val="21"/>
          <w:highlight w:val="none"/>
          <w14:textFill>
            <w14:solidFill>
              <w14:schemeClr w14:val="tx1"/>
            </w14:solidFill>
          </w14:textFill>
        </w:rPr>
        <w:t>中国政府采购网</w:t>
      </w:r>
      <w:r>
        <w:rPr>
          <w:rFonts w:hint="eastAsia" w:cs="宋体"/>
          <w:color w:val="000000" w:themeColor="text1"/>
          <w:szCs w:val="21"/>
          <w:highlight w:val="none"/>
          <w:lang w:eastAsia="zh-CN"/>
          <w14:textFill>
            <w14:solidFill>
              <w14:schemeClr w14:val="tx1"/>
            </w14:solidFill>
          </w14:textFill>
        </w:rPr>
        <w:t>（</w:t>
      </w:r>
      <w:r>
        <w:rPr>
          <w:rFonts w:hint="eastAsia" w:ascii="Times New Roman" w:hAnsi="Times New Roman" w:cs="宋体"/>
          <w:color w:val="000000" w:themeColor="text1"/>
          <w:kern w:val="0"/>
          <w:szCs w:val="21"/>
          <w:highlight w:val="none"/>
          <w14:textFill>
            <w14:solidFill>
              <w14:schemeClr w14:val="tx1"/>
            </w14:solidFill>
          </w14:textFill>
        </w:rPr>
        <w:t>http://www.ccgp.gov.cn/</w:t>
      </w:r>
      <w:r>
        <w:rPr>
          <w:rFonts w:hint="eastAsia" w:cs="宋体"/>
          <w:color w:val="000000" w:themeColor="text1"/>
          <w:szCs w:val="21"/>
          <w:highlight w:val="none"/>
          <w:lang w:eastAsia="zh-CN"/>
          <w14:textFill>
            <w14:solidFill>
              <w14:schemeClr w14:val="tx1"/>
            </w14:solidFill>
          </w14:textFill>
        </w:rPr>
        <w:t>）</w:t>
      </w:r>
      <w:r>
        <w:rPr>
          <w:rFonts w:hint="eastAsia" w:ascii="Times New Roman" w:hAnsi="Times New Roman" w:cs="宋体"/>
          <w:color w:val="000000" w:themeColor="text1"/>
          <w:kern w:val="0"/>
          <w:szCs w:val="21"/>
          <w:highlight w:val="none"/>
          <w14:textFill>
            <w14:solidFill>
              <w14:schemeClr w14:val="tx1"/>
            </w14:solidFill>
          </w14:textFill>
        </w:rPr>
        <w:t>、广西政府采购网（</w:t>
      </w:r>
      <w:r>
        <w:rPr>
          <w:rFonts w:hint="eastAsia" w:ascii="Times New Roman" w:hAnsi="Times New Roman" w:cs="宋体"/>
          <w:color w:val="000000" w:themeColor="text1"/>
          <w:szCs w:val="21"/>
          <w:highlight w:val="none"/>
          <w14:textFill>
            <w14:solidFill>
              <w14:schemeClr w14:val="tx1"/>
            </w14:solidFill>
          </w14:textFill>
        </w:rPr>
        <w:t>http://zfcg.gxzf.gov.cn/</w:t>
      </w:r>
      <w:r>
        <w:rPr>
          <w:rFonts w:hint="eastAsia" w:ascii="Times New Roman" w:hAnsi="Times New Roman" w:cs="宋体"/>
          <w:color w:val="000000" w:themeColor="text1"/>
          <w:kern w:val="0"/>
          <w:szCs w:val="21"/>
          <w:highlight w:val="none"/>
          <w14:textFill>
            <w14:solidFill>
              <w14:schemeClr w14:val="tx1"/>
            </w14:solidFill>
          </w14:textFill>
        </w:rPr>
        <w:t>）</w:t>
      </w:r>
      <w:r>
        <w:rPr>
          <w:rFonts w:hint="eastAsia" w:cs="宋体"/>
          <w:color w:val="000000" w:themeColor="text1"/>
          <w:kern w:val="0"/>
          <w:szCs w:val="21"/>
          <w:highlight w:val="none"/>
          <w:lang w:eastAsia="zh-CN"/>
          <w14:textFill>
            <w14:solidFill>
              <w14:schemeClr w14:val="tx1"/>
            </w14:solidFill>
          </w14:textFill>
        </w:rPr>
        <w:t>、</w:t>
      </w:r>
      <w:r>
        <w:rPr>
          <w:rFonts w:hint="eastAsia" w:cs="宋体"/>
          <w:color w:val="000000" w:themeColor="text1"/>
          <w:kern w:val="0"/>
          <w:szCs w:val="21"/>
          <w14:textFill>
            <w14:solidFill>
              <w14:schemeClr w14:val="tx1"/>
            </w14:solidFill>
          </w14:textFill>
        </w:rPr>
        <w:t>桂林市政府采购网（</w:t>
      </w:r>
      <w:r>
        <w:rPr>
          <w:rFonts w:hint="eastAsia"/>
          <w:color w:val="000000" w:themeColor="text1"/>
          <w:szCs w:val="21"/>
          <w14:textFill>
            <w14:solidFill>
              <w14:schemeClr w14:val="tx1"/>
            </w14:solidFill>
          </w14:textFill>
        </w:rPr>
        <w:t>http://zfcg.czj.guilin.gov.cn/</w:t>
      </w:r>
      <w:r>
        <w:rPr>
          <w:rFonts w:hint="eastAsia" w:cs="宋体"/>
          <w:color w:val="000000" w:themeColor="text1"/>
          <w:kern w:val="0"/>
          <w:szCs w:val="21"/>
          <w14:textFill>
            <w14:solidFill>
              <w14:schemeClr w14:val="tx1"/>
            </w14:solidFill>
          </w14:textFill>
        </w:rPr>
        <w:t>）</w:t>
      </w:r>
      <w:r>
        <w:rPr>
          <w:rFonts w:hint="eastAsia" w:ascii="Times New Roman" w:hAnsi="Times New Roman" w:eastAsia="宋体" w:cs="宋体"/>
          <w:color w:val="000000" w:themeColor="text1"/>
          <w:kern w:val="0"/>
          <w:sz w:val="21"/>
          <w:szCs w:val="21"/>
          <w:highlight w:val="none"/>
          <w14:textFill>
            <w14:solidFill>
              <w14:schemeClr w14:val="tx1"/>
            </w14:solidFill>
          </w14:textFill>
        </w:rPr>
        <w:t>。</w:t>
      </w:r>
    </w:p>
    <w:p w14:paraId="48B6D3DF">
      <w:pPr>
        <w:keepNext w:val="0"/>
        <w:keepLines w:val="0"/>
        <w:pageBreakBefore w:val="0"/>
        <w:kinsoku/>
        <w:wordWrap/>
        <w:overflowPunct/>
        <w:topLinePunct w:val="0"/>
        <w:autoSpaceDE/>
        <w:autoSpaceDN/>
        <w:bidi w:val="0"/>
        <w:adjustRightInd/>
        <w:spacing w:line="360" w:lineRule="auto"/>
        <w:ind w:firstLine="420" w:firstLineChars="200"/>
        <w:textAlignment w:val="auto"/>
        <w:rPr>
          <w:rFonts w:hint="eastAsia" w:ascii="Times New Roman" w:hAnsi="Times New Roman" w:eastAsia="宋体" w:cs="宋体"/>
          <w:color w:val="000000" w:themeColor="text1"/>
          <w:kern w:val="0"/>
          <w:sz w:val="21"/>
          <w:szCs w:val="21"/>
          <w:highlight w:val="none"/>
          <w14:textFill>
            <w14:solidFill>
              <w14:schemeClr w14:val="tx1"/>
            </w14:solidFill>
          </w14:textFill>
        </w:rPr>
      </w:pPr>
      <w:r>
        <w:rPr>
          <w:rFonts w:hint="eastAsia" w:ascii="Times New Roman" w:hAnsi="Times New Roman" w:eastAsia="宋体" w:cs="宋体"/>
          <w:color w:val="000000" w:themeColor="text1"/>
          <w:kern w:val="0"/>
          <w:sz w:val="21"/>
          <w:szCs w:val="21"/>
          <w:highlight w:val="none"/>
          <w14:textFill>
            <w14:solidFill>
              <w14:schemeClr w14:val="tx1"/>
            </w14:solidFill>
          </w14:textFill>
        </w:rPr>
        <w:t>3</w:t>
      </w:r>
      <w:r>
        <w:rPr>
          <w:rFonts w:hint="eastAsia" w:ascii="Times New Roman" w:hAnsi="Times New Roman" w:eastAsia="宋体" w:cs="宋体"/>
          <w:color w:val="000000" w:themeColor="text1"/>
          <w:sz w:val="21"/>
          <w:szCs w:val="21"/>
          <w:highlight w:val="none"/>
          <w14:textFill>
            <w14:solidFill>
              <w14:schemeClr w14:val="tx1"/>
            </w14:solidFill>
          </w14:textFill>
        </w:rPr>
        <w:t>.</w:t>
      </w:r>
      <w:r>
        <w:rPr>
          <w:rFonts w:hint="eastAsia" w:ascii="Times New Roman" w:hAnsi="Times New Roman" w:eastAsia="宋体" w:cs="宋体"/>
          <w:color w:val="000000" w:themeColor="text1"/>
          <w:kern w:val="0"/>
          <w:sz w:val="21"/>
          <w:szCs w:val="21"/>
          <w:highlight w:val="none"/>
          <w14:textFill>
            <w14:solidFill>
              <w14:schemeClr w14:val="tx1"/>
            </w14:solidFill>
          </w14:textFill>
        </w:rPr>
        <w:t>本项目需要落实的政府采购政策</w:t>
      </w:r>
    </w:p>
    <w:p w14:paraId="0961DB9F">
      <w:pPr>
        <w:keepNext w:val="0"/>
        <w:keepLines w:val="0"/>
        <w:pageBreakBefore w:val="0"/>
        <w:kinsoku/>
        <w:wordWrap/>
        <w:overflowPunct/>
        <w:topLinePunct w:val="0"/>
        <w:autoSpaceDE/>
        <w:autoSpaceDN/>
        <w:bidi w:val="0"/>
        <w:adjustRightInd/>
        <w:spacing w:line="360" w:lineRule="auto"/>
        <w:ind w:firstLine="420" w:firstLineChars="200"/>
        <w:textAlignment w:val="auto"/>
        <w:rPr>
          <w:rFonts w:hint="eastAsia" w:ascii="Times New Roman" w:hAnsi="Times New Roman" w:eastAsia="宋体" w:cs="宋体"/>
          <w:color w:val="000000" w:themeColor="text1"/>
          <w:kern w:val="0"/>
          <w:sz w:val="21"/>
          <w:szCs w:val="21"/>
          <w:highlight w:val="none"/>
          <w14:textFill>
            <w14:solidFill>
              <w14:schemeClr w14:val="tx1"/>
            </w14:solidFill>
          </w14:textFill>
        </w:rPr>
      </w:pPr>
      <w:r>
        <w:rPr>
          <w:rFonts w:hint="eastAsia" w:ascii="Times New Roman" w:hAnsi="Times New Roman" w:eastAsia="宋体" w:cs="宋体"/>
          <w:color w:val="000000" w:themeColor="text1"/>
          <w:kern w:val="0"/>
          <w:sz w:val="21"/>
          <w:szCs w:val="21"/>
          <w:highlight w:val="none"/>
          <w14:textFill>
            <w14:solidFill>
              <w14:schemeClr w14:val="tx1"/>
            </w14:solidFill>
          </w14:textFill>
        </w:rPr>
        <w:t>（1）政府采购促进中小企业发展。</w:t>
      </w:r>
    </w:p>
    <w:p w14:paraId="74B2E964">
      <w:pPr>
        <w:keepNext w:val="0"/>
        <w:keepLines w:val="0"/>
        <w:pageBreakBefore w:val="0"/>
        <w:kinsoku/>
        <w:wordWrap/>
        <w:overflowPunct/>
        <w:topLinePunct w:val="0"/>
        <w:autoSpaceDE/>
        <w:autoSpaceDN/>
        <w:bidi w:val="0"/>
        <w:adjustRightInd/>
        <w:spacing w:line="360" w:lineRule="auto"/>
        <w:ind w:firstLine="420" w:firstLineChars="200"/>
        <w:textAlignment w:val="auto"/>
        <w:rPr>
          <w:rFonts w:hint="eastAsia" w:ascii="Times New Roman" w:hAnsi="Times New Roman" w:eastAsia="宋体" w:cs="宋体"/>
          <w:color w:val="000000" w:themeColor="text1"/>
          <w:kern w:val="0"/>
          <w:sz w:val="21"/>
          <w:szCs w:val="21"/>
          <w:highlight w:val="none"/>
          <w14:textFill>
            <w14:solidFill>
              <w14:schemeClr w14:val="tx1"/>
            </w14:solidFill>
          </w14:textFill>
        </w:rPr>
      </w:pPr>
      <w:r>
        <w:rPr>
          <w:rFonts w:hint="eastAsia" w:ascii="Times New Roman" w:hAnsi="Times New Roman" w:eastAsia="宋体" w:cs="宋体"/>
          <w:color w:val="000000" w:themeColor="text1"/>
          <w:kern w:val="0"/>
          <w:sz w:val="21"/>
          <w:szCs w:val="21"/>
          <w:highlight w:val="none"/>
          <w14:textFill>
            <w14:solidFill>
              <w14:schemeClr w14:val="tx1"/>
            </w14:solidFill>
          </w14:textFill>
        </w:rPr>
        <w:t>（2）政府采购支持采用本国产品的政策。</w:t>
      </w:r>
    </w:p>
    <w:p w14:paraId="3CCF449F">
      <w:pPr>
        <w:keepNext w:val="0"/>
        <w:keepLines w:val="0"/>
        <w:pageBreakBefore w:val="0"/>
        <w:kinsoku/>
        <w:wordWrap/>
        <w:overflowPunct/>
        <w:topLinePunct w:val="0"/>
        <w:autoSpaceDE/>
        <w:autoSpaceDN/>
        <w:bidi w:val="0"/>
        <w:adjustRightInd/>
        <w:spacing w:line="360" w:lineRule="auto"/>
        <w:ind w:firstLine="420" w:firstLineChars="200"/>
        <w:textAlignment w:val="auto"/>
        <w:rPr>
          <w:rFonts w:hint="eastAsia" w:ascii="Times New Roman" w:hAnsi="Times New Roman" w:eastAsia="宋体" w:cs="宋体"/>
          <w:color w:val="000000" w:themeColor="text1"/>
          <w:kern w:val="0"/>
          <w:sz w:val="21"/>
          <w:szCs w:val="21"/>
          <w:highlight w:val="none"/>
          <w14:textFill>
            <w14:solidFill>
              <w14:schemeClr w14:val="tx1"/>
            </w14:solidFill>
          </w14:textFill>
        </w:rPr>
      </w:pPr>
      <w:r>
        <w:rPr>
          <w:rFonts w:hint="eastAsia" w:ascii="Times New Roman" w:hAnsi="Times New Roman" w:eastAsia="宋体" w:cs="宋体"/>
          <w:color w:val="000000" w:themeColor="text1"/>
          <w:kern w:val="0"/>
          <w:sz w:val="21"/>
          <w:szCs w:val="21"/>
          <w:highlight w:val="none"/>
          <w14:textFill>
            <w14:solidFill>
              <w14:schemeClr w14:val="tx1"/>
            </w14:solidFill>
          </w14:textFill>
        </w:rPr>
        <w:t>（3）强制采购节能产品；优先采购节能产品、环境标志产品。</w:t>
      </w:r>
    </w:p>
    <w:p w14:paraId="4D170096">
      <w:pPr>
        <w:keepNext w:val="0"/>
        <w:keepLines w:val="0"/>
        <w:pageBreakBefore w:val="0"/>
        <w:kinsoku/>
        <w:wordWrap/>
        <w:overflowPunct/>
        <w:topLinePunct w:val="0"/>
        <w:autoSpaceDE/>
        <w:autoSpaceDN/>
        <w:bidi w:val="0"/>
        <w:adjustRightInd/>
        <w:spacing w:line="360" w:lineRule="auto"/>
        <w:ind w:firstLine="420" w:firstLineChars="200"/>
        <w:textAlignment w:val="auto"/>
        <w:rPr>
          <w:rFonts w:hint="eastAsia" w:ascii="Times New Roman" w:hAnsi="Times New Roman" w:eastAsia="宋体" w:cs="宋体"/>
          <w:color w:val="000000" w:themeColor="text1"/>
          <w:kern w:val="0"/>
          <w:sz w:val="21"/>
          <w:szCs w:val="21"/>
          <w:highlight w:val="none"/>
          <w14:textFill>
            <w14:solidFill>
              <w14:schemeClr w14:val="tx1"/>
            </w14:solidFill>
          </w14:textFill>
        </w:rPr>
      </w:pPr>
      <w:r>
        <w:rPr>
          <w:rFonts w:hint="eastAsia" w:ascii="Times New Roman" w:hAnsi="Times New Roman" w:eastAsia="宋体" w:cs="宋体"/>
          <w:color w:val="000000" w:themeColor="text1"/>
          <w:kern w:val="0"/>
          <w:sz w:val="21"/>
          <w:szCs w:val="21"/>
          <w:highlight w:val="none"/>
          <w14:textFill>
            <w14:solidFill>
              <w14:schemeClr w14:val="tx1"/>
            </w14:solidFill>
          </w14:textFill>
        </w:rPr>
        <w:t>（4）政府采购促进残疾人就业政策。</w:t>
      </w:r>
    </w:p>
    <w:p w14:paraId="63B6385C">
      <w:pPr>
        <w:keepNext w:val="0"/>
        <w:keepLines w:val="0"/>
        <w:pageBreakBefore w:val="0"/>
        <w:kinsoku/>
        <w:wordWrap/>
        <w:overflowPunct/>
        <w:topLinePunct w:val="0"/>
        <w:autoSpaceDE/>
        <w:autoSpaceDN/>
        <w:bidi w:val="0"/>
        <w:adjustRightInd/>
        <w:spacing w:line="360" w:lineRule="auto"/>
        <w:ind w:firstLine="420" w:firstLineChars="200"/>
        <w:textAlignment w:val="auto"/>
        <w:rPr>
          <w:rFonts w:hint="eastAsia" w:ascii="Times New Roman" w:hAnsi="Times New Roman" w:eastAsia="宋体" w:cs="宋体"/>
          <w:color w:val="000000" w:themeColor="text1"/>
          <w:kern w:val="0"/>
          <w:sz w:val="21"/>
          <w:szCs w:val="21"/>
          <w:highlight w:val="none"/>
          <w14:textFill>
            <w14:solidFill>
              <w14:schemeClr w14:val="tx1"/>
            </w14:solidFill>
          </w14:textFill>
        </w:rPr>
      </w:pPr>
      <w:r>
        <w:rPr>
          <w:rFonts w:hint="eastAsia" w:ascii="Times New Roman" w:hAnsi="Times New Roman" w:eastAsia="宋体" w:cs="宋体"/>
          <w:color w:val="000000" w:themeColor="text1"/>
          <w:kern w:val="0"/>
          <w:sz w:val="21"/>
          <w:szCs w:val="21"/>
          <w:highlight w:val="none"/>
          <w14:textFill>
            <w14:solidFill>
              <w14:schemeClr w14:val="tx1"/>
            </w14:solidFill>
          </w14:textFill>
        </w:rPr>
        <w:t>（5）政府采购支持监狱企业发展。</w:t>
      </w:r>
      <w:bookmarkEnd w:id="41"/>
    </w:p>
    <w:p w14:paraId="4191FDE6">
      <w:pPr>
        <w:keepNext w:val="0"/>
        <w:keepLines w:val="0"/>
        <w:pageBreakBefore w:val="0"/>
        <w:kinsoku/>
        <w:wordWrap/>
        <w:overflowPunct/>
        <w:topLinePunct w:val="0"/>
        <w:autoSpaceDE/>
        <w:autoSpaceDN/>
        <w:bidi w:val="0"/>
        <w:adjustRightInd/>
        <w:snapToGrid w:val="0"/>
        <w:spacing w:line="360" w:lineRule="auto"/>
        <w:ind w:firstLine="420" w:firstLineChars="200"/>
        <w:jc w:val="left"/>
        <w:textAlignment w:val="auto"/>
        <w:rPr>
          <w:rFonts w:hint="eastAsia" w:ascii="Times New Roman" w:hAnsi="Times New Roman" w:eastAsia="宋体" w:cs="宋体"/>
          <w:color w:val="000000" w:themeColor="text1"/>
          <w:sz w:val="21"/>
          <w:szCs w:val="21"/>
          <w:highlight w:val="none"/>
          <w14:textFill>
            <w14:solidFill>
              <w14:schemeClr w14:val="tx1"/>
            </w14:solidFill>
          </w14:textFill>
        </w:rPr>
      </w:pPr>
      <w:r>
        <w:rPr>
          <w:rFonts w:hint="eastAsia" w:ascii="Times New Roman" w:hAnsi="Times New Roman" w:eastAsia="宋体" w:cs="宋体"/>
          <w:color w:val="000000" w:themeColor="text1"/>
          <w:kern w:val="0"/>
          <w:sz w:val="21"/>
          <w:szCs w:val="21"/>
          <w:highlight w:val="none"/>
          <w14:textFill>
            <w14:solidFill>
              <w14:schemeClr w14:val="tx1"/>
            </w14:solidFill>
          </w14:textFill>
        </w:rPr>
        <w:t>4.</w:t>
      </w:r>
      <w:r>
        <w:rPr>
          <w:rFonts w:hint="eastAsia" w:ascii="Times New Roman" w:hAnsi="Times New Roman" w:eastAsia="宋体" w:cs="宋体"/>
          <w:color w:val="000000" w:themeColor="text1"/>
          <w:sz w:val="21"/>
          <w:szCs w:val="21"/>
          <w:highlight w:val="none"/>
          <w14:textFill>
            <w14:solidFill>
              <w14:schemeClr w14:val="tx1"/>
            </w14:solidFill>
          </w14:textFill>
        </w:rPr>
        <w:t>单位负责人为同一人或者存在直接控股、管理关系的不同供应商，不得参加同一合同项下的政府采购活动。为本项目提供过整体设计、规范编制或者项目管理、监理、检测等服务的供应商，不得再参加本项目上述服务以外的其他采购活动。</w:t>
      </w:r>
    </w:p>
    <w:p w14:paraId="4AA9F1BF">
      <w:pPr>
        <w:keepNext w:val="0"/>
        <w:keepLines w:val="0"/>
        <w:pageBreakBefore w:val="0"/>
        <w:kinsoku/>
        <w:wordWrap/>
        <w:overflowPunct/>
        <w:topLinePunct w:val="0"/>
        <w:autoSpaceDE/>
        <w:autoSpaceDN/>
        <w:bidi w:val="0"/>
        <w:adjustRightInd/>
        <w:snapToGrid w:val="0"/>
        <w:spacing w:line="360" w:lineRule="auto"/>
        <w:ind w:firstLine="420" w:firstLineChars="200"/>
        <w:jc w:val="left"/>
        <w:textAlignment w:val="auto"/>
        <w:rPr>
          <w:rFonts w:hint="eastAsia" w:ascii="Times New Roman" w:hAnsi="Times New Roman" w:eastAsia="宋体" w:cs="宋体"/>
          <w:color w:val="000000" w:themeColor="text1"/>
          <w:kern w:val="0"/>
          <w:sz w:val="21"/>
          <w:szCs w:val="21"/>
          <w:highlight w:val="none"/>
          <w14:textFill>
            <w14:solidFill>
              <w14:schemeClr w14:val="tx1"/>
            </w14:solidFill>
          </w14:textFill>
        </w:rPr>
      </w:pPr>
      <w:r>
        <w:rPr>
          <w:rFonts w:hint="eastAsia" w:ascii="Times New Roman" w:hAnsi="Times New Roman" w:eastAsia="宋体" w:cs="宋体"/>
          <w:color w:val="000000" w:themeColor="text1"/>
          <w:kern w:val="0"/>
          <w:sz w:val="21"/>
          <w:szCs w:val="21"/>
          <w:highlight w:val="none"/>
          <w14:textFill>
            <w14:solidFill>
              <w14:schemeClr w14:val="tx1"/>
            </w14:solidFill>
          </w14:textFill>
        </w:rPr>
        <w:t>5.对在</w:t>
      </w:r>
      <w:r>
        <w:rPr>
          <w:rFonts w:hint="eastAsia" w:ascii="Times New Roman" w:hAnsi="Times New Roman" w:eastAsia="宋体" w:cs="宋体"/>
          <w:color w:val="000000" w:themeColor="text1"/>
          <w:kern w:val="0"/>
          <w:sz w:val="21"/>
          <w:szCs w:val="21"/>
          <w:highlight w:val="none"/>
          <w:lang w:eastAsia="zh-CN"/>
          <w14:textFill>
            <w14:solidFill>
              <w14:schemeClr w14:val="tx1"/>
            </w14:solidFill>
          </w14:textFill>
        </w:rPr>
        <w:t>“</w:t>
      </w:r>
      <w:r>
        <w:rPr>
          <w:rFonts w:hint="eastAsia" w:ascii="Times New Roman" w:hAnsi="Times New Roman" w:eastAsia="宋体" w:cs="宋体"/>
          <w:color w:val="000000" w:themeColor="text1"/>
          <w:kern w:val="0"/>
          <w:sz w:val="21"/>
          <w:szCs w:val="21"/>
          <w:highlight w:val="none"/>
          <w14:textFill>
            <w14:solidFill>
              <w14:schemeClr w14:val="tx1"/>
            </w14:solidFill>
          </w14:textFill>
        </w:rPr>
        <w:t>信用中国</w:t>
      </w:r>
      <w:r>
        <w:rPr>
          <w:rFonts w:hint="eastAsia" w:ascii="Times New Roman" w:hAnsi="Times New Roman" w:eastAsia="宋体" w:cs="宋体"/>
          <w:color w:val="000000" w:themeColor="text1"/>
          <w:kern w:val="0"/>
          <w:sz w:val="21"/>
          <w:szCs w:val="21"/>
          <w:highlight w:val="none"/>
          <w:lang w:eastAsia="zh-CN"/>
          <w14:textFill>
            <w14:solidFill>
              <w14:schemeClr w14:val="tx1"/>
            </w14:solidFill>
          </w14:textFill>
        </w:rPr>
        <w:t>”</w:t>
      </w:r>
      <w:r>
        <w:rPr>
          <w:rFonts w:hint="eastAsia" w:ascii="Times New Roman" w:hAnsi="Times New Roman" w:eastAsia="宋体" w:cs="宋体"/>
          <w:color w:val="000000" w:themeColor="text1"/>
          <w:kern w:val="0"/>
          <w:sz w:val="21"/>
          <w:szCs w:val="21"/>
          <w:highlight w:val="none"/>
          <w14:textFill>
            <w14:solidFill>
              <w14:schemeClr w14:val="tx1"/>
            </w14:solidFill>
          </w14:textFill>
        </w:rPr>
        <w:t>网站（www.creditchina.gov.cn）、中国政府采购网（www.ccgp.gov.cn）被列入失信被执行人、重大税收违法失信主体、政府采购严重违法失信行为记录名单及其他不符合《中华人民共和国政府采购法》第二十二条规定条件的供应商，不得参与政府采购活动。</w:t>
      </w:r>
    </w:p>
    <w:p w14:paraId="462FF49B">
      <w:pPr>
        <w:keepNext w:val="0"/>
        <w:keepLines w:val="0"/>
        <w:pageBreakBefore w:val="0"/>
        <w:kinsoku/>
        <w:wordWrap/>
        <w:overflowPunct/>
        <w:topLinePunct w:val="0"/>
        <w:autoSpaceDE/>
        <w:autoSpaceDN/>
        <w:bidi w:val="0"/>
        <w:adjustRightInd/>
        <w:spacing w:line="360" w:lineRule="auto"/>
        <w:ind w:firstLine="422" w:firstLineChars="200"/>
        <w:textAlignment w:val="auto"/>
        <w:rPr>
          <w:rFonts w:hint="eastAsia" w:ascii="Times New Roman" w:hAnsi="Times New Roman" w:eastAsia="宋体" w:cs="宋体"/>
          <w:color w:val="000000" w:themeColor="text1"/>
          <w:kern w:val="0"/>
          <w:sz w:val="21"/>
          <w:szCs w:val="21"/>
          <w:highlight w:val="none"/>
          <w14:textFill>
            <w14:solidFill>
              <w14:schemeClr w14:val="tx1"/>
            </w14:solidFill>
          </w14:textFill>
        </w:rPr>
      </w:pPr>
      <w:r>
        <w:rPr>
          <w:rFonts w:hint="eastAsia" w:ascii="Times New Roman" w:hAnsi="Times New Roman" w:eastAsia="宋体" w:cs="宋体"/>
          <w:b/>
          <w:bCs/>
          <w:color w:val="000000" w:themeColor="text1"/>
          <w:kern w:val="0"/>
          <w:sz w:val="21"/>
          <w:szCs w:val="21"/>
          <w:highlight w:val="none"/>
          <w14:textFill>
            <w14:solidFill>
              <w14:schemeClr w14:val="tx1"/>
            </w14:solidFill>
          </w14:textFill>
        </w:rPr>
        <w:t>6.</w:t>
      </w:r>
      <w:r>
        <w:rPr>
          <w:rFonts w:hint="eastAsia" w:ascii="Times New Roman" w:hAnsi="Times New Roman" w:eastAsia="宋体" w:cs="宋体"/>
          <w:b/>
          <w:bCs/>
          <w:color w:val="000000" w:themeColor="text1"/>
          <w:sz w:val="21"/>
          <w:szCs w:val="21"/>
          <w:highlight w:val="none"/>
          <w14:textFill>
            <w14:solidFill>
              <w14:schemeClr w14:val="tx1"/>
            </w14:solidFill>
          </w14:textFill>
        </w:rPr>
        <w:t>在线竞标的有关说明</w:t>
      </w:r>
      <w:r>
        <w:rPr>
          <w:rFonts w:hint="eastAsia" w:ascii="Times New Roman" w:hAnsi="Times New Roman" w:eastAsia="宋体" w:cs="宋体"/>
          <w:b/>
          <w:bCs/>
          <w:color w:val="000000" w:themeColor="text1"/>
          <w:kern w:val="0"/>
          <w:sz w:val="21"/>
          <w:szCs w:val="21"/>
          <w:highlight w:val="none"/>
          <w14:textFill>
            <w14:solidFill>
              <w14:schemeClr w14:val="tx1"/>
            </w14:solidFill>
          </w14:textFill>
        </w:rPr>
        <w:t>：</w:t>
      </w:r>
    </w:p>
    <w:p w14:paraId="59D9A7DB">
      <w:pPr>
        <w:keepNext w:val="0"/>
        <w:keepLines w:val="0"/>
        <w:pageBreakBefore w:val="0"/>
        <w:widowControl/>
        <w:kinsoku/>
        <w:wordWrap/>
        <w:overflowPunct/>
        <w:topLinePunct w:val="0"/>
        <w:autoSpaceDE/>
        <w:autoSpaceDN/>
        <w:bidi w:val="0"/>
        <w:adjustRightInd/>
        <w:spacing w:line="360" w:lineRule="auto"/>
        <w:ind w:firstLine="420" w:firstLineChars="200"/>
        <w:jc w:val="both"/>
        <w:textAlignment w:val="auto"/>
        <w:rPr>
          <w:rFonts w:hint="eastAsia" w:ascii="Times New Roman" w:hAnsi="Times New Roman" w:eastAsia="宋体" w:cs="宋体"/>
          <w:color w:val="000000" w:themeColor="text1"/>
          <w:sz w:val="21"/>
          <w:szCs w:val="21"/>
          <w:highlight w:val="none"/>
          <w14:textFill>
            <w14:solidFill>
              <w14:schemeClr w14:val="tx1"/>
            </w14:solidFill>
          </w14:textFill>
        </w:rPr>
      </w:pPr>
      <w:r>
        <w:rPr>
          <w:rFonts w:hint="eastAsia" w:ascii="Times New Roman" w:hAnsi="Times New Roman" w:eastAsia="宋体" w:cs="宋体"/>
          <w:color w:val="000000" w:themeColor="text1"/>
          <w:sz w:val="21"/>
          <w:szCs w:val="21"/>
          <w:highlight w:val="none"/>
          <w14:textFill>
            <w14:solidFill>
              <w14:schemeClr w14:val="tx1"/>
            </w14:solidFill>
          </w14:textFill>
        </w:rPr>
        <w:t>（1）响应文件提交方式：本项目为全流程电子化项目，通过</w:t>
      </w:r>
      <w:r>
        <w:rPr>
          <w:rFonts w:hint="eastAsia" w:ascii="Times New Roman" w:hAnsi="Times New Roman" w:eastAsia="宋体" w:cs="宋体"/>
          <w:b w:val="0"/>
          <w:bCs w:val="0"/>
          <w:color w:val="000000" w:themeColor="text1"/>
          <w:sz w:val="21"/>
          <w:szCs w:val="21"/>
          <w:highlight w:val="none"/>
          <w:lang w:val="en-US" w:eastAsia="zh-CN"/>
          <w14:textFill>
            <w14:solidFill>
              <w14:schemeClr w14:val="tx1"/>
            </w14:solidFill>
          </w14:textFill>
        </w:rPr>
        <w:t>广西政府采购云平台（https://www.gcy.zfcg.gxzf.gov.cn/）</w:t>
      </w:r>
      <w:r>
        <w:rPr>
          <w:rFonts w:hint="eastAsia" w:ascii="Times New Roman" w:hAnsi="Times New Roman" w:eastAsia="宋体" w:cs="宋体"/>
          <w:color w:val="000000" w:themeColor="text1"/>
          <w:sz w:val="21"/>
          <w:szCs w:val="21"/>
          <w:highlight w:val="none"/>
          <w14:textFill>
            <w14:solidFill>
              <w14:schemeClr w14:val="tx1"/>
            </w14:solidFill>
          </w14:textFill>
        </w:rPr>
        <w:t>实行在线电子响应，供应商应先安装</w:t>
      </w:r>
      <w:r>
        <w:rPr>
          <w:rFonts w:hint="eastAsia" w:ascii="Times New Roman" w:hAnsi="Times New Roman" w:eastAsia="宋体" w:cs="宋体"/>
          <w:b w:val="0"/>
          <w:bCs w:val="0"/>
          <w:color w:val="000000" w:themeColor="text1"/>
          <w:sz w:val="21"/>
          <w:szCs w:val="21"/>
          <w:highlight w:val="none"/>
          <w:lang w:val="en-US" w:eastAsia="zh-CN"/>
          <w14:textFill>
            <w14:solidFill>
              <w14:schemeClr w14:val="tx1"/>
            </w14:solidFill>
          </w14:textFill>
        </w:rPr>
        <w:t>广西政府采购云平台新版客户端</w:t>
      </w:r>
      <w:r>
        <w:rPr>
          <w:rFonts w:hint="eastAsia" w:ascii="Times New Roman" w:hAnsi="Times New Roman" w:eastAsia="宋体" w:cs="宋体"/>
          <w:color w:val="000000" w:themeColor="text1"/>
          <w:sz w:val="21"/>
          <w:szCs w:val="21"/>
          <w:highlight w:val="none"/>
          <w14:textFill>
            <w14:solidFill>
              <w14:schemeClr w14:val="tx1"/>
            </w14:solidFill>
          </w14:textFill>
        </w:rPr>
        <w:t>（新版</w:t>
      </w:r>
      <w:r>
        <w:rPr>
          <w:rFonts w:hint="eastAsia" w:ascii="Times New Roman" w:hAnsi="Times New Roman" w:eastAsia="宋体" w:cs="宋体"/>
          <w:i w:val="0"/>
          <w:caps w:val="0"/>
          <w:color w:val="000000" w:themeColor="text1"/>
          <w:spacing w:val="0"/>
          <w:sz w:val="21"/>
          <w:szCs w:val="21"/>
          <w:highlight w:val="none"/>
          <w14:textFill>
            <w14:solidFill>
              <w14:schemeClr w14:val="tx1"/>
            </w14:solidFill>
          </w14:textFill>
        </w:rPr>
        <w:t>客户端下载路径：广西政府采购网（访问地址http://zfcg.gxzf.gov.cn/）—办事服务—下载专区</w:t>
      </w:r>
      <w:r>
        <w:rPr>
          <w:rFonts w:hint="eastAsia" w:ascii="Times New Roman" w:hAnsi="Times New Roman" w:eastAsia="宋体" w:cs="宋体"/>
          <w:color w:val="000000" w:themeColor="text1"/>
          <w:sz w:val="21"/>
          <w:szCs w:val="21"/>
          <w:highlight w:val="none"/>
          <w14:textFill>
            <w14:solidFill>
              <w14:schemeClr w14:val="tx1"/>
            </w14:solidFill>
          </w14:textFill>
        </w:rPr>
        <w:t>），并按照本项目采购文件和</w:t>
      </w:r>
      <w:r>
        <w:rPr>
          <w:rFonts w:hint="eastAsia" w:ascii="Times New Roman" w:hAnsi="Times New Roman" w:eastAsia="宋体" w:cs="宋体"/>
          <w:b w:val="0"/>
          <w:bCs w:val="0"/>
          <w:color w:val="000000" w:themeColor="text1"/>
          <w:sz w:val="21"/>
          <w:szCs w:val="21"/>
          <w:highlight w:val="none"/>
          <w:lang w:val="en-US" w:eastAsia="zh-CN"/>
          <w14:textFill>
            <w14:solidFill>
              <w14:schemeClr w14:val="tx1"/>
            </w14:solidFill>
          </w14:textFill>
        </w:rPr>
        <w:t>广西政府采购云平台</w:t>
      </w:r>
      <w:r>
        <w:rPr>
          <w:rFonts w:hint="eastAsia" w:ascii="Times New Roman" w:hAnsi="Times New Roman" w:eastAsia="宋体" w:cs="宋体"/>
          <w:color w:val="000000" w:themeColor="text1"/>
          <w:sz w:val="21"/>
          <w:szCs w:val="21"/>
          <w:highlight w:val="none"/>
          <w14:textFill>
            <w14:solidFill>
              <w14:schemeClr w14:val="tx1"/>
            </w14:solidFill>
          </w14:textFill>
        </w:rPr>
        <w:t>的要求编制、加密后在</w:t>
      </w:r>
      <w:r>
        <w:rPr>
          <w:rFonts w:hint="eastAsia" w:ascii="Times New Roman" w:hAnsi="Times New Roman" w:eastAsia="宋体" w:cs="宋体"/>
          <w:color w:val="000000" w:themeColor="text1"/>
          <w:sz w:val="21"/>
          <w:szCs w:val="21"/>
          <w:highlight w:val="none"/>
          <w:lang w:eastAsia="zh-CN"/>
          <w14:textFill>
            <w14:solidFill>
              <w14:schemeClr w14:val="tx1"/>
            </w14:solidFill>
          </w14:textFill>
        </w:rPr>
        <w:t>响应文件提交</w:t>
      </w:r>
      <w:r>
        <w:rPr>
          <w:rFonts w:hint="eastAsia" w:ascii="Times New Roman" w:hAnsi="Times New Roman" w:eastAsia="宋体" w:cs="宋体"/>
          <w:color w:val="000000" w:themeColor="text1"/>
          <w:sz w:val="21"/>
          <w:szCs w:val="21"/>
          <w:highlight w:val="none"/>
          <w14:textFill>
            <w14:solidFill>
              <w14:schemeClr w14:val="tx1"/>
            </w14:solidFill>
          </w14:textFill>
        </w:rPr>
        <w:t>截止时间前通过网络上传至</w:t>
      </w:r>
      <w:r>
        <w:rPr>
          <w:rFonts w:hint="eastAsia" w:ascii="Times New Roman" w:hAnsi="Times New Roman" w:eastAsia="宋体" w:cs="宋体"/>
          <w:b w:val="0"/>
          <w:bCs w:val="0"/>
          <w:color w:val="000000" w:themeColor="text1"/>
          <w:sz w:val="21"/>
          <w:szCs w:val="21"/>
          <w:highlight w:val="none"/>
          <w:lang w:val="en-US" w:eastAsia="zh-CN"/>
          <w14:textFill>
            <w14:solidFill>
              <w14:schemeClr w14:val="tx1"/>
            </w14:solidFill>
          </w14:textFill>
        </w:rPr>
        <w:t>广西政府采购云平台</w:t>
      </w:r>
      <w:r>
        <w:rPr>
          <w:rFonts w:hint="eastAsia" w:ascii="Times New Roman" w:hAnsi="Times New Roman" w:eastAsia="宋体" w:cs="宋体"/>
          <w:color w:val="000000" w:themeColor="text1"/>
          <w:sz w:val="21"/>
          <w:szCs w:val="21"/>
          <w:highlight w:val="none"/>
          <w14:textFill>
            <w14:solidFill>
              <w14:schemeClr w14:val="tx1"/>
            </w14:solidFill>
          </w14:textFill>
        </w:rPr>
        <w:t>，</w:t>
      </w:r>
      <w:r>
        <w:rPr>
          <w:rFonts w:hint="eastAsia" w:ascii="Times New Roman" w:hAnsi="Times New Roman" w:eastAsia="宋体" w:cs="宋体"/>
          <w:b/>
          <w:color w:val="000000" w:themeColor="text1"/>
          <w:sz w:val="21"/>
          <w:szCs w:val="21"/>
          <w:highlight w:val="none"/>
          <w14:textFill>
            <w14:solidFill>
              <w14:schemeClr w14:val="tx1"/>
            </w14:solidFill>
          </w14:textFill>
        </w:rPr>
        <w:t>供应商在</w:t>
      </w:r>
      <w:r>
        <w:rPr>
          <w:rFonts w:hint="eastAsia" w:ascii="Times New Roman" w:hAnsi="Times New Roman" w:eastAsia="宋体" w:cs="宋体"/>
          <w:b/>
          <w:bCs w:val="0"/>
          <w:color w:val="000000" w:themeColor="text1"/>
          <w:sz w:val="21"/>
          <w:szCs w:val="21"/>
          <w:highlight w:val="none"/>
          <w:lang w:val="en-US" w:eastAsia="zh-CN"/>
          <w14:textFill>
            <w14:solidFill>
              <w14:schemeClr w14:val="tx1"/>
            </w14:solidFill>
          </w14:textFill>
        </w:rPr>
        <w:t>广西政府采购云平台</w:t>
      </w:r>
      <w:r>
        <w:rPr>
          <w:rFonts w:hint="eastAsia" w:ascii="Times New Roman" w:hAnsi="Times New Roman" w:eastAsia="宋体" w:cs="宋体"/>
          <w:b/>
          <w:color w:val="000000" w:themeColor="text1"/>
          <w:sz w:val="21"/>
          <w:szCs w:val="21"/>
          <w:highlight w:val="none"/>
          <w14:textFill>
            <w14:solidFill>
              <w14:schemeClr w14:val="tx1"/>
            </w14:solidFill>
          </w14:textFill>
        </w:rPr>
        <w:t>提交电子版响应文件时，请填写参加远程开标活动经办人联系方式</w:t>
      </w:r>
      <w:r>
        <w:rPr>
          <w:rFonts w:hint="eastAsia" w:ascii="Times New Roman" w:hAnsi="Times New Roman" w:eastAsia="宋体" w:cs="宋体"/>
          <w:color w:val="000000" w:themeColor="text1"/>
          <w:sz w:val="21"/>
          <w:szCs w:val="21"/>
          <w:highlight w:val="none"/>
          <w14:textFill>
            <w14:solidFill>
              <w14:schemeClr w14:val="tx1"/>
            </w14:solidFill>
          </w14:textFill>
        </w:rPr>
        <w:t>。</w:t>
      </w:r>
    </w:p>
    <w:p w14:paraId="26666EBF">
      <w:pPr>
        <w:keepNext w:val="0"/>
        <w:keepLines w:val="0"/>
        <w:pageBreakBefore w:val="0"/>
        <w:widowControl/>
        <w:kinsoku/>
        <w:wordWrap/>
        <w:overflowPunct/>
        <w:topLinePunct w:val="0"/>
        <w:autoSpaceDE/>
        <w:autoSpaceDN/>
        <w:bidi w:val="0"/>
        <w:adjustRightInd/>
        <w:spacing w:line="360" w:lineRule="auto"/>
        <w:ind w:firstLine="420" w:firstLineChars="200"/>
        <w:jc w:val="left"/>
        <w:textAlignment w:val="auto"/>
        <w:rPr>
          <w:rFonts w:hint="eastAsia" w:ascii="Times New Roman" w:hAnsi="Times New Roman" w:eastAsia="宋体" w:cs="宋体"/>
          <w:color w:val="000000" w:themeColor="text1"/>
          <w:sz w:val="21"/>
          <w:szCs w:val="21"/>
          <w:highlight w:val="none"/>
          <w:lang w:eastAsia="zh-CN"/>
          <w14:textFill>
            <w14:solidFill>
              <w14:schemeClr w14:val="tx1"/>
            </w14:solidFill>
          </w14:textFill>
        </w:rPr>
      </w:pPr>
      <w:r>
        <w:rPr>
          <w:rFonts w:hint="eastAsia" w:ascii="Times New Roman" w:hAnsi="Times New Roman" w:eastAsia="宋体" w:cs="宋体"/>
          <w:color w:val="000000" w:themeColor="text1"/>
          <w:sz w:val="21"/>
          <w:szCs w:val="21"/>
          <w:highlight w:val="none"/>
          <w14:textFill>
            <w14:solidFill>
              <w14:schemeClr w14:val="tx1"/>
            </w14:solidFill>
          </w14:textFill>
        </w:rPr>
        <w:t>（2）未进行网上注册并办理数字证书（CA认证）的供应商将无法参与本项目政府采购活动，潜在供应商应当在</w:t>
      </w:r>
      <w:r>
        <w:rPr>
          <w:rFonts w:hint="eastAsia" w:ascii="Times New Roman" w:hAnsi="Times New Roman" w:eastAsia="宋体" w:cs="宋体"/>
          <w:color w:val="000000" w:themeColor="text1"/>
          <w:sz w:val="21"/>
          <w:szCs w:val="21"/>
          <w:highlight w:val="none"/>
          <w:lang w:eastAsia="zh-CN"/>
          <w14:textFill>
            <w14:solidFill>
              <w14:schemeClr w14:val="tx1"/>
            </w14:solidFill>
          </w14:textFill>
        </w:rPr>
        <w:t>首次响应文件提交</w:t>
      </w:r>
      <w:r>
        <w:rPr>
          <w:rFonts w:hint="eastAsia" w:ascii="Times New Roman" w:hAnsi="Times New Roman" w:eastAsia="宋体" w:cs="宋体"/>
          <w:color w:val="000000" w:themeColor="text1"/>
          <w:sz w:val="21"/>
          <w:szCs w:val="21"/>
          <w:highlight w:val="none"/>
          <w14:textFill>
            <w14:solidFill>
              <w14:schemeClr w14:val="tx1"/>
            </w14:solidFill>
          </w14:textFill>
        </w:rPr>
        <w:t>截止时间前，完成电子交易平台上的CA数字证书办理及响应文件的提交</w:t>
      </w:r>
      <w:r>
        <w:rPr>
          <w:rFonts w:hint="eastAsia" w:ascii="Times New Roman" w:hAnsi="Times New Roman" w:eastAsia="宋体" w:cs="宋体"/>
          <w:color w:val="000000" w:themeColor="text1"/>
          <w:sz w:val="21"/>
          <w:szCs w:val="21"/>
          <w:highlight w:val="none"/>
          <w:lang w:eastAsia="zh-CN"/>
          <w14:textFill>
            <w14:solidFill>
              <w14:schemeClr w14:val="tx1"/>
            </w14:solidFill>
          </w14:textFill>
        </w:rPr>
        <w:t>。</w:t>
      </w:r>
    </w:p>
    <w:p w14:paraId="07791D80">
      <w:pPr>
        <w:keepNext w:val="0"/>
        <w:keepLines w:val="0"/>
        <w:pageBreakBefore w:val="0"/>
        <w:widowControl/>
        <w:kinsoku/>
        <w:wordWrap/>
        <w:overflowPunct/>
        <w:topLinePunct w:val="0"/>
        <w:autoSpaceDE/>
        <w:autoSpaceDN/>
        <w:bidi w:val="0"/>
        <w:adjustRightInd/>
        <w:spacing w:line="360" w:lineRule="auto"/>
        <w:ind w:firstLine="420" w:firstLineChars="200"/>
        <w:jc w:val="left"/>
        <w:textAlignment w:val="auto"/>
        <w:rPr>
          <w:rFonts w:hint="eastAsia" w:ascii="Times New Roman" w:hAnsi="Times New Roman" w:eastAsia="宋体" w:cs="宋体"/>
          <w:color w:val="000000" w:themeColor="text1"/>
          <w:sz w:val="21"/>
          <w:szCs w:val="21"/>
          <w:highlight w:val="none"/>
          <w14:textFill>
            <w14:solidFill>
              <w14:schemeClr w14:val="tx1"/>
            </w14:solidFill>
          </w14:textFill>
        </w:rPr>
      </w:pPr>
      <w:r>
        <w:rPr>
          <w:rFonts w:hint="eastAsia" w:ascii="Times New Roman" w:hAnsi="Times New Roman" w:eastAsia="宋体" w:cs="宋体"/>
          <w:color w:val="000000" w:themeColor="text1"/>
          <w:sz w:val="21"/>
          <w:szCs w:val="21"/>
          <w:highlight w:val="none"/>
          <w14:textFill>
            <w14:solidFill>
              <w14:schemeClr w14:val="tx1"/>
            </w14:solidFill>
          </w14:textFill>
        </w:rPr>
        <w:t>（3）为确保网上操作合法、有效和安全，请供应商确保在电子响应过程中能够对相关数据电文进行加密和使用电子签章，妥善保管CA数字证书并使用有效的CA数字证书参与整个采购活动。</w:t>
      </w:r>
    </w:p>
    <w:p w14:paraId="16F470C4">
      <w:pPr>
        <w:keepNext w:val="0"/>
        <w:keepLines w:val="0"/>
        <w:pageBreakBefore w:val="0"/>
        <w:kinsoku/>
        <w:wordWrap/>
        <w:overflowPunct/>
        <w:topLinePunct w:val="0"/>
        <w:autoSpaceDE/>
        <w:autoSpaceDN/>
        <w:bidi w:val="0"/>
        <w:adjustRightInd/>
        <w:spacing w:line="360" w:lineRule="auto"/>
        <w:ind w:firstLine="422" w:firstLineChars="200"/>
        <w:textAlignment w:val="auto"/>
        <w:rPr>
          <w:rFonts w:hint="eastAsia" w:ascii="Times New Roman" w:hAnsi="Times New Roman" w:eastAsia="宋体" w:cs="宋体"/>
          <w:b/>
          <w:bCs w:val="0"/>
          <w:color w:val="000000" w:themeColor="text1"/>
          <w:sz w:val="21"/>
          <w:szCs w:val="21"/>
          <w:highlight w:val="none"/>
          <w:u w:val="single"/>
          <w14:textFill>
            <w14:solidFill>
              <w14:schemeClr w14:val="tx1"/>
            </w14:solidFill>
          </w14:textFill>
        </w:rPr>
      </w:pPr>
      <w:r>
        <w:rPr>
          <w:rFonts w:hint="eastAsia" w:ascii="Times New Roman" w:hAnsi="Times New Roman" w:eastAsia="宋体" w:cs="宋体"/>
          <w:b/>
          <w:bCs w:val="0"/>
          <w:color w:val="000000" w:themeColor="text1"/>
          <w:sz w:val="21"/>
          <w:szCs w:val="21"/>
          <w:highlight w:val="none"/>
          <w:u w:val="single"/>
          <w14:textFill>
            <w14:solidFill>
              <w14:schemeClr w14:val="tx1"/>
            </w14:solidFill>
          </w14:textFill>
        </w:rPr>
        <w:t>注：供应商应当在首次响应文件提交截止时间前完成电子响应文件的上传、递交，响应文件提交截止时间前可以补充、修改或者撤回响应文件。补充或者修改响应文件的，应当先行撤回原文件，补充、修改后重新上传、递交。</w:t>
      </w:r>
      <w:r>
        <w:rPr>
          <w:rFonts w:hint="eastAsia" w:ascii="Times New Roman" w:hAnsi="Times New Roman" w:eastAsia="宋体" w:cs="宋体"/>
          <w:b/>
          <w:color w:val="000000" w:themeColor="text1"/>
          <w:sz w:val="21"/>
          <w:szCs w:val="21"/>
          <w:highlight w:val="none"/>
          <w:u w:val="single"/>
          <w:lang w:eastAsia="zh-CN"/>
          <w14:textFill>
            <w14:solidFill>
              <w14:schemeClr w14:val="tx1"/>
            </w14:solidFill>
          </w14:textFill>
        </w:rPr>
        <w:t>响应文件提交</w:t>
      </w:r>
      <w:r>
        <w:rPr>
          <w:rFonts w:hint="eastAsia" w:ascii="Times New Roman" w:hAnsi="Times New Roman" w:eastAsia="宋体" w:cs="宋体"/>
          <w:b/>
          <w:bCs w:val="0"/>
          <w:color w:val="000000" w:themeColor="text1"/>
          <w:sz w:val="21"/>
          <w:szCs w:val="21"/>
          <w:highlight w:val="none"/>
          <w:u w:val="single"/>
          <w14:textFill>
            <w14:solidFill>
              <w14:schemeClr w14:val="tx1"/>
            </w14:solidFill>
          </w14:textFill>
        </w:rPr>
        <w:t>截止时间前未完成上传、递交的，视为撤回响应文件。响应文件提交截止时间以后上传递交的响应文件的，</w:t>
      </w:r>
      <w:r>
        <w:rPr>
          <w:rFonts w:hint="eastAsia" w:ascii="Times New Roman" w:hAnsi="Times New Roman" w:eastAsia="宋体" w:cs="宋体"/>
          <w:b/>
          <w:bCs w:val="0"/>
          <w:color w:val="000000" w:themeColor="text1"/>
          <w:sz w:val="21"/>
          <w:szCs w:val="21"/>
          <w:highlight w:val="none"/>
          <w:u w:val="single"/>
          <w:lang w:val="en-US" w:eastAsia="zh-CN"/>
          <w14:textFill>
            <w14:solidFill>
              <w14:schemeClr w14:val="tx1"/>
            </w14:solidFill>
          </w14:textFill>
        </w:rPr>
        <w:t>广西政府采购云平台</w:t>
      </w:r>
      <w:r>
        <w:rPr>
          <w:rFonts w:hint="eastAsia" w:ascii="Times New Roman" w:hAnsi="Times New Roman" w:eastAsia="宋体" w:cs="宋体"/>
          <w:b/>
          <w:bCs w:val="0"/>
          <w:color w:val="000000" w:themeColor="text1"/>
          <w:sz w:val="21"/>
          <w:szCs w:val="21"/>
          <w:highlight w:val="none"/>
          <w:u w:val="single"/>
          <w14:textFill>
            <w14:solidFill>
              <w14:schemeClr w14:val="tx1"/>
            </w14:solidFill>
          </w14:textFill>
        </w:rPr>
        <w:t>将予以拒收。</w:t>
      </w:r>
    </w:p>
    <w:p w14:paraId="1725E22B">
      <w:pPr>
        <w:keepNext w:val="0"/>
        <w:keepLines w:val="0"/>
        <w:pageBreakBefore w:val="0"/>
        <w:kinsoku/>
        <w:wordWrap/>
        <w:overflowPunct/>
        <w:topLinePunct w:val="0"/>
        <w:autoSpaceDE/>
        <w:autoSpaceDN/>
        <w:bidi w:val="0"/>
        <w:adjustRightInd/>
        <w:snapToGrid w:val="0"/>
        <w:spacing w:line="360" w:lineRule="auto"/>
        <w:ind w:firstLine="420" w:firstLineChars="200"/>
        <w:textAlignment w:val="auto"/>
        <w:rPr>
          <w:rFonts w:hint="eastAsia" w:ascii="Times New Roman" w:hAnsi="Times New Roman" w:eastAsia="宋体" w:cs="宋体"/>
          <w:color w:val="000000" w:themeColor="text1"/>
          <w:kern w:val="0"/>
          <w:sz w:val="21"/>
          <w:szCs w:val="21"/>
          <w:highlight w:val="none"/>
          <w14:textFill>
            <w14:solidFill>
              <w14:schemeClr w14:val="tx1"/>
            </w14:solidFill>
          </w14:textFill>
        </w:rPr>
      </w:pPr>
      <w:r>
        <w:rPr>
          <w:rFonts w:hint="eastAsia" w:ascii="Times New Roman" w:hAnsi="Times New Roman" w:eastAsia="宋体" w:cs="宋体"/>
          <w:color w:val="000000" w:themeColor="text1"/>
          <w:kern w:val="0"/>
          <w:sz w:val="21"/>
          <w:szCs w:val="21"/>
          <w:highlight w:val="none"/>
          <w:lang w:eastAsia="zh-CN"/>
          <w14:textFill>
            <w14:solidFill>
              <w14:schemeClr w14:val="tx1"/>
            </w14:solidFill>
          </w14:textFill>
        </w:rPr>
        <w:t>（</w:t>
      </w:r>
      <w:r>
        <w:rPr>
          <w:rFonts w:hint="eastAsia" w:ascii="Times New Roman" w:hAnsi="Times New Roman" w:eastAsia="宋体" w:cs="宋体"/>
          <w:color w:val="000000" w:themeColor="text1"/>
          <w:kern w:val="0"/>
          <w:sz w:val="21"/>
          <w:szCs w:val="21"/>
          <w:highlight w:val="none"/>
          <w:lang w:val="en-US" w:eastAsia="zh-CN"/>
          <w14:textFill>
            <w14:solidFill>
              <w14:schemeClr w14:val="tx1"/>
            </w14:solidFill>
          </w14:textFill>
        </w:rPr>
        <w:t>4</w:t>
      </w:r>
      <w:r>
        <w:rPr>
          <w:rFonts w:hint="eastAsia" w:ascii="Times New Roman" w:hAnsi="Times New Roman" w:eastAsia="宋体" w:cs="宋体"/>
          <w:color w:val="000000" w:themeColor="text1"/>
          <w:kern w:val="0"/>
          <w:sz w:val="21"/>
          <w:szCs w:val="21"/>
          <w:highlight w:val="none"/>
          <w:lang w:eastAsia="zh-CN"/>
          <w14:textFill>
            <w14:solidFill>
              <w14:schemeClr w14:val="tx1"/>
            </w14:solidFill>
          </w14:textFill>
        </w:rPr>
        <w:t>）</w:t>
      </w:r>
      <w:r>
        <w:rPr>
          <w:rFonts w:hint="eastAsia" w:ascii="Times New Roman" w:hAnsi="Times New Roman" w:eastAsia="宋体" w:cs="宋体"/>
          <w:color w:val="000000" w:themeColor="text1"/>
          <w:kern w:val="0"/>
          <w:sz w:val="21"/>
          <w:szCs w:val="21"/>
          <w:highlight w:val="none"/>
          <w14:textFill>
            <w14:solidFill>
              <w14:schemeClr w14:val="tx1"/>
            </w14:solidFill>
          </w14:textFill>
        </w:rPr>
        <w:t>CA证书在线解密：首次响应文件开启时，需要供应商携带制作响应文件时用来加密的有效数字证书（CA认证）登录</w:t>
      </w:r>
      <w:r>
        <w:rPr>
          <w:rFonts w:hint="eastAsia" w:ascii="Times New Roman" w:hAnsi="Times New Roman" w:eastAsia="宋体" w:cs="宋体"/>
          <w:b w:val="0"/>
          <w:bCs w:val="0"/>
          <w:color w:val="000000" w:themeColor="text1"/>
          <w:sz w:val="21"/>
          <w:szCs w:val="21"/>
          <w:highlight w:val="none"/>
          <w:lang w:val="en-US" w:eastAsia="zh-CN"/>
          <w14:textFill>
            <w14:solidFill>
              <w14:schemeClr w14:val="tx1"/>
            </w14:solidFill>
          </w14:textFill>
        </w:rPr>
        <w:t>广西政府采购云平台</w:t>
      </w:r>
      <w:r>
        <w:rPr>
          <w:rFonts w:hint="eastAsia" w:ascii="Times New Roman" w:hAnsi="Times New Roman" w:eastAsia="宋体" w:cs="宋体"/>
          <w:color w:val="000000" w:themeColor="text1"/>
          <w:kern w:val="0"/>
          <w:sz w:val="21"/>
          <w:szCs w:val="21"/>
          <w:highlight w:val="none"/>
          <w14:textFill>
            <w14:solidFill>
              <w14:schemeClr w14:val="tx1"/>
            </w14:solidFill>
          </w14:textFill>
        </w:rPr>
        <w:t>电子开标大厅现场按规定时间对加密的响应文件进行解密。</w:t>
      </w:r>
    </w:p>
    <w:p w14:paraId="0E234986">
      <w:pPr>
        <w:keepNext w:val="0"/>
        <w:keepLines w:val="0"/>
        <w:pageBreakBefore w:val="0"/>
        <w:kinsoku/>
        <w:wordWrap/>
        <w:overflowPunct/>
        <w:topLinePunct w:val="0"/>
        <w:autoSpaceDE/>
        <w:autoSpaceDN/>
        <w:bidi w:val="0"/>
        <w:adjustRightInd/>
        <w:spacing w:line="360" w:lineRule="auto"/>
        <w:ind w:firstLine="420" w:firstLineChars="200"/>
        <w:textAlignment w:val="auto"/>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宋体"/>
          <w:color w:val="000000" w:themeColor="text1"/>
          <w:kern w:val="0"/>
          <w:sz w:val="21"/>
          <w:szCs w:val="21"/>
          <w:highlight w:val="none"/>
          <w:lang w:eastAsia="zh-CN"/>
          <w14:textFill>
            <w14:solidFill>
              <w14:schemeClr w14:val="tx1"/>
            </w14:solidFill>
          </w14:textFill>
        </w:rPr>
        <w:t>（</w:t>
      </w:r>
      <w:r>
        <w:rPr>
          <w:rFonts w:hint="eastAsia" w:ascii="Times New Roman" w:hAnsi="Times New Roman" w:eastAsia="宋体" w:cs="宋体"/>
          <w:color w:val="000000" w:themeColor="text1"/>
          <w:kern w:val="0"/>
          <w:sz w:val="21"/>
          <w:szCs w:val="21"/>
          <w:highlight w:val="none"/>
          <w:lang w:val="en-US" w:eastAsia="zh-CN"/>
          <w14:textFill>
            <w14:solidFill>
              <w14:schemeClr w14:val="tx1"/>
            </w14:solidFill>
          </w14:textFill>
        </w:rPr>
        <w:t>5</w:t>
      </w:r>
      <w:r>
        <w:rPr>
          <w:rFonts w:hint="eastAsia" w:ascii="Times New Roman" w:hAnsi="Times New Roman" w:eastAsia="宋体" w:cs="宋体"/>
          <w:color w:val="000000" w:themeColor="text1"/>
          <w:kern w:val="0"/>
          <w:sz w:val="21"/>
          <w:szCs w:val="21"/>
          <w:highlight w:val="none"/>
          <w:lang w:eastAsia="zh-CN"/>
          <w14:textFill>
            <w14:solidFill>
              <w14:schemeClr w14:val="tx1"/>
            </w14:solidFill>
          </w14:textFill>
        </w:rPr>
        <w:t>）</w:t>
      </w:r>
      <w:r>
        <w:rPr>
          <w:rFonts w:hint="eastAsia" w:ascii="Times New Roman" w:hAnsi="Times New Roman" w:eastAsia="宋体" w:cs="宋体"/>
          <w:color w:val="000000" w:themeColor="text1"/>
          <w:kern w:val="0"/>
          <w:sz w:val="21"/>
          <w:szCs w:val="21"/>
          <w:highlight w:val="none"/>
          <w14:textFill>
            <w14:solidFill>
              <w14:schemeClr w14:val="tx1"/>
            </w14:solidFill>
          </w14:textFill>
        </w:rPr>
        <w:t>供应商需要在具备有摄像头及语音功能且互联网网络状况良好的电脑登录</w:t>
      </w:r>
      <w:r>
        <w:rPr>
          <w:rFonts w:hint="eastAsia" w:ascii="Times New Roman" w:hAnsi="Times New Roman" w:eastAsia="宋体" w:cs="宋体"/>
          <w:b w:val="0"/>
          <w:bCs w:val="0"/>
          <w:color w:val="000000" w:themeColor="text1"/>
          <w:sz w:val="21"/>
          <w:szCs w:val="21"/>
          <w:highlight w:val="none"/>
          <w:lang w:val="en-US" w:eastAsia="zh-CN"/>
          <w14:textFill>
            <w14:solidFill>
              <w14:schemeClr w14:val="tx1"/>
            </w14:solidFill>
          </w14:textFill>
        </w:rPr>
        <w:t>广西政府采购云平台</w:t>
      </w:r>
      <w:r>
        <w:rPr>
          <w:rFonts w:hint="eastAsia" w:ascii="Times New Roman" w:hAnsi="Times New Roman" w:eastAsia="宋体" w:cs="宋体"/>
          <w:color w:val="000000" w:themeColor="text1"/>
          <w:kern w:val="0"/>
          <w:sz w:val="21"/>
          <w:szCs w:val="21"/>
          <w:highlight w:val="none"/>
          <w14:textFill>
            <w14:solidFill>
              <w14:schemeClr w14:val="tx1"/>
            </w14:solidFill>
          </w14:textFill>
        </w:rPr>
        <w:t>远程开标大厅参与本次磋商，否则后果自负。</w:t>
      </w:r>
    </w:p>
    <w:p w14:paraId="361DF980">
      <w:pPr>
        <w:keepNext w:val="0"/>
        <w:keepLines w:val="0"/>
        <w:pageBreakBefore w:val="0"/>
        <w:kinsoku/>
        <w:wordWrap/>
        <w:overflowPunct/>
        <w:topLinePunct w:val="0"/>
        <w:autoSpaceDE/>
        <w:autoSpaceDN/>
        <w:bidi w:val="0"/>
        <w:adjustRightInd/>
        <w:spacing w:line="360" w:lineRule="auto"/>
        <w:ind w:firstLine="420" w:firstLineChars="200"/>
        <w:textAlignment w:val="auto"/>
        <w:rPr>
          <w:rFonts w:hint="eastAsia" w:ascii="Times New Roman" w:hAnsi="Times New Roman" w:eastAsia="宋体" w:cs="宋体"/>
          <w:color w:val="000000" w:themeColor="text1"/>
          <w:kern w:val="0"/>
          <w:sz w:val="21"/>
          <w:szCs w:val="21"/>
          <w:highlight w:val="none"/>
          <w14:textFill>
            <w14:solidFill>
              <w14:schemeClr w14:val="tx1"/>
            </w14:solidFill>
          </w14:textFill>
        </w:rPr>
      </w:pPr>
      <w:r>
        <w:rPr>
          <w:rFonts w:hint="eastAsia" w:ascii="Times New Roman" w:hAnsi="Times New Roman" w:eastAsia="宋体" w:cs="宋体"/>
          <w:color w:val="000000" w:themeColor="text1"/>
          <w:kern w:val="0"/>
          <w:sz w:val="21"/>
          <w:szCs w:val="21"/>
          <w:highlight w:val="none"/>
          <w:lang w:val="en-US" w:eastAsia="zh-CN"/>
          <w14:textFill>
            <w14:solidFill>
              <w14:schemeClr w14:val="tx1"/>
            </w14:solidFill>
          </w14:textFill>
        </w:rPr>
        <w:t>7</w:t>
      </w:r>
      <w:r>
        <w:rPr>
          <w:rFonts w:hint="eastAsia" w:ascii="Times New Roman" w:hAnsi="Times New Roman" w:eastAsia="宋体" w:cs="宋体"/>
          <w:color w:val="000000" w:themeColor="text1"/>
          <w:kern w:val="0"/>
          <w:sz w:val="21"/>
          <w:szCs w:val="21"/>
          <w:highlight w:val="none"/>
          <w14:textFill>
            <w14:solidFill>
              <w14:schemeClr w14:val="tx1"/>
            </w14:solidFill>
          </w14:textFill>
        </w:rPr>
        <w:t>.若对项目采购电子交易系统操作有疑问，可登录</w:t>
      </w:r>
      <w:r>
        <w:rPr>
          <w:rFonts w:hint="eastAsia" w:ascii="Times New Roman" w:hAnsi="Times New Roman" w:eastAsia="宋体" w:cs="宋体"/>
          <w:b w:val="0"/>
          <w:bCs w:val="0"/>
          <w:color w:val="000000" w:themeColor="text1"/>
          <w:sz w:val="21"/>
          <w:szCs w:val="21"/>
          <w:highlight w:val="none"/>
          <w:lang w:val="en-US" w:eastAsia="zh-CN"/>
          <w14:textFill>
            <w14:solidFill>
              <w14:schemeClr w14:val="tx1"/>
            </w14:solidFill>
          </w14:textFill>
        </w:rPr>
        <w:t>广西政府采购云平台（https://www.gcy.zfcg.gxzf.gov.cn/）</w:t>
      </w:r>
      <w:r>
        <w:rPr>
          <w:rFonts w:hint="eastAsia" w:ascii="Times New Roman" w:hAnsi="Times New Roman" w:eastAsia="宋体" w:cs="宋体"/>
          <w:color w:val="000000" w:themeColor="text1"/>
          <w:kern w:val="0"/>
          <w:sz w:val="21"/>
          <w:szCs w:val="21"/>
          <w:highlight w:val="none"/>
          <w14:textFill>
            <w14:solidFill>
              <w14:schemeClr w14:val="tx1"/>
            </w14:solidFill>
          </w14:textFill>
        </w:rPr>
        <w:t>，点击右侧咨询小采，获取采小蜜智能服务管家帮助，或拨打</w:t>
      </w:r>
      <w:r>
        <w:rPr>
          <w:rFonts w:hint="eastAsia" w:ascii="Times New Roman" w:hAnsi="Times New Roman" w:eastAsia="宋体" w:cs="宋体"/>
          <w:b w:val="0"/>
          <w:bCs w:val="0"/>
          <w:color w:val="000000" w:themeColor="text1"/>
          <w:sz w:val="21"/>
          <w:szCs w:val="21"/>
          <w:highlight w:val="none"/>
          <w:lang w:val="en-US" w:eastAsia="zh-CN"/>
          <w14:textFill>
            <w14:solidFill>
              <w14:schemeClr w14:val="tx1"/>
            </w14:solidFill>
          </w14:textFill>
        </w:rPr>
        <w:t>广西政府采购云平台</w:t>
      </w:r>
      <w:r>
        <w:rPr>
          <w:rFonts w:hint="eastAsia" w:ascii="Times New Roman" w:hAnsi="Times New Roman" w:eastAsia="宋体" w:cs="宋体"/>
          <w:color w:val="000000" w:themeColor="text1"/>
          <w:kern w:val="0"/>
          <w:sz w:val="21"/>
          <w:szCs w:val="21"/>
          <w:highlight w:val="none"/>
          <w14:textFill>
            <w14:solidFill>
              <w14:schemeClr w14:val="tx1"/>
            </w14:solidFill>
          </w14:textFill>
        </w:rPr>
        <w:t>服务热线</w:t>
      </w:r>
      <w:r>
        <w:rPr>
          <w:rFonts w:hint="eastAsia" w:ascii="Times New Roman" w:hAnsi="Times New Roman" w:eastAsia="宋体" w:cs="宋体"/>
          <w:color w:val="000000" w:themeColor="text1"/>
          <w:kern w:val="0"/>
          <w:sz w:val="21"/>
          <w:szCs w:val="21"/>
          <w:highlight w:val="none"/>
          <w:lang w:val="en-US" w:eastAsia="zh-CN"/>
          <w14:textFill>
            <w14:solidFill>
              <w14:schemeClr w14:val="tx1"/>
            </w14:solidFill>
          </w14:textFill>
        </w:rPr>
        <w:t>95763</w:t>
      </w:r>
      <w:r>
        <w:rPr>
          <w:rFonts w:hint="eastAsia" w:ascii="Times New Roman" w:hAnsi="Times New Roman" w:eastAsia="宋体" w:cs="宋体"/>
          <w:color w:val="000000" w:themeColor="text1"/>
          <w:kern w:val="0"/>
          <w:sz w:val="21"/>
          <w:szCs w:val="21"/>
          <w:highlight w:val="none"/>
          <w14:textFill>
            <w14:solidFill>
              <w14:schemeClr w14:val="tx1"/>
            </w14:solidFill>
          </w14:textFill>
        </w:rPr>
        <w:t>获取热线服务帮助。</w:t>
      </w:r>
    </w:p>
    <w:p w14:paraId="2E6BCCAA">
      <w:pPr>
        <w:keepNext w:val="0"/>
        <w:keepLines w:val="0"/>
        <w:pageBreakBefore w:val="0"/>
        <w:kinsoku/>
        <w:wordWrap/>
        <w:overflowPunct/>
        <w:topLinePunct w:val="0"/>
        <w:autoSpaceDE/>
        <w:autoSpaceDN/>
        <w:bidi w:val="0"/>
        <w:adjustRightInd/>
        <w:spacing w:line="360" w:lineRule="auto"/>
        <w:ind w:firstLine="422" w:firstLineChars="200"/>
        <w:textAlignment w:val="auto"/>
        <w:rPr>
          <w:rFonts w:hint="eastAsia" w:ascii="Times New Roman" w:hAnsi="Times New Roman" w:eastAsia="宋体" w:cs="宋体"/>
          <w:bCs/>
          <w:color w:val="000000" w:themeColor="text1"/>
          <w:sz w:val="21"/>
          <w:szCs w:val="21"/>
          <w:highlight w:val="none"/>
          <w14:textFill>
            <w14:solidFill>
              <w14:schemeClr w14:val="tx1"/>
            </w14:solidFill>
          </w14:textFill>
        </w:rPr>
      </w:pPr>
      <w:r>
        <w:rPr>
          <w:rFonts w:hint="eastAsia" w:ascii="Times New Roman" w:hAnsi="Times New Roman" w:eastAsia="宋体" w:cs="宋体"/>
          <w:b/>
          <w:color w:val="000000" w:themeColor="text1"/>
          <w:kern w:val="44"/>
          <w:sz w:val="21"/>
          <w:szCs w:val="21"/>
          <w:highlight w:val="none"/>
          <w14:textFill>
            <w14:solidFill>
              <w14:schemeClr w14:val="tx1"/>
            </w14:solidFill>
          </w14:textFill>
        </w:rPr>
        <w:t>八、凡对本次采购提出询问，请按以下方式联系。</w:t>
      </w:r>
    </w:p>
    <w:p w14:paraId="65DD612E">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left"/>
        <w:textAlignment w:val="auto"/>
        <w:rPr>
          <w:rFonts w:hint="eastAsia" w:ascii="Times New Roman" w:hAnsi="Times New Roman" w:eastAsia="宋体" w:cs="宋体"/>
          <w:b/>
          <w:bCs/>
          <w:color w:val="000000" w:themeColor="text1"/>
          <w:sz w:val="21"/>
          <w:szCs w:val="21"/>
          <w:highlight w:val="none"/>
          <w14:textFill>
            <w14:solidFill>
              <w14:schemeClr w14:val="tx1"/>
            </w14:solidFill>
          </w14:textFill>
        </w:rPr>
      </w:pPr>
      <w:bookmarkStart w:id="42" w:name="OLE_LINK22"/>
      <w:r>
        <w:rPr>
          <w:rFonts w:hint="eastAsia" w:ascii="Times New Roman" w:hAnsi="Times New Roman" w:eastAsia="宋体" w:cs="宋体"/>
          <w:b/>
          <w:bCs/>
          <w:color w:val="000000" w:themeColor="text1"/>
          <w:sz w:val="21"/>
          <w:szCs w:val="21"/>
          <w:highlight w:val="none"/>
          <w14:textFill>
            <w14:solidFill>
              <w14:schemeClr w14:val="tx1"/>
            </w14:solidFill>
          </w14:textFill>
        </w:rPr>
        <w:t>1.采购人信息</w:t>
      </w:r>
    </w:p>
    <w:p w14:paraId="3FC38F75">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eastAsia" w:ascii="Times New Roman" w:hAnsi="Times New Roman" w:eastAsia="宋体" w:cs="宋体"/>
          <w:color w:val="000000" w:themeColor="text1"/>
          <w:sz w:val="21"/>
          <w:szCs w:val="21"/>
          <w:highlight w:val="none"/>
          <w:lang w:eastAsia="zh-CN"/>
          <w14:textFill>
            <w14:solidFill>
              <w14:schemeClr w14:val="tx1"/>
            </w14:solidFill>
          </w14:textFill>
        </w:rPr>
      </w:pPr>
      <w:r>
        <w:rPr>
          <w:rFonts w:hint="eastAsia" w:ascii="Times New Roman" w:hAnsi="Times New Roman" w:eastAsia="宋体" w:cs="宋体"/>
          <w:color w:val="000000" w:themeColor="text1"/>
          <w:sz w:val="21"/>
          <w:szCs w:val="21"/>
          <w:highlight w:val="none"/>
          <w14:textFill>
            <w14:solidFill>
              <w14:schemeClr w14:val="tx1"/>
            </w14:solidFill>
          </w14:textFill>
        </w:rPr>
        <w:t>名   称：</w:t>
      </w:r>
      <w:r>
        <w:rPr>
          <w:rFonts w:hint="eastAsia" w:cs="宋体"/>
          <w:color w:val="000000" w:themeColor="text1"/>
          <w:sz w:val="21"/>
          <w:szCs w:val="21"/>
          <w:highlight w:val="none"/>
          <w:lang w:eastAsia="zh-CN"/>
          <w14:textFill>
            <w14:solidFill>
              <w14:schemeClr w14:val="tx1"/>
            </w14:solidFill>
          </w14:textFill>
        </w:rPr>
        <w:t>桂林市中西医结合医院</w:t>
      </w:r>
    </w:p>
    <w:p w14:paraId="2332E23E">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宋体"/>
          <w:color w:val="000000" w:themeColor="text1"/>
          <w:sz w:val="21"/>
          <w:szCs w:val="21"/>
          <w:highlight w:val="none"/>
          <w14:textFill>
            <w14:solidFill>
              <w14:schemeClr w14:val="tx1"/>
            </w14:solidFill>
          </w14:textFill>
        </w:rPr>
        <w:t>地</w:t>
      </w: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 xml:space="preserve">   </w:t>
      </w:r>
      <w:r>
        <w:rPr>
          <w:rFonts w:hint="eastAsia" w:ascii="Times New Roman" w:hAnsi="Times New Roman" w:eastAsia="宋体" w:cs="宋体"/>
          <w:color w:val="000000" w:themeColor="text1"/>
          <w:sz w:val="21"/>
          <w:szCs w:val="21"/>
          <w:highlight w:val="none"/>
          <w14:textFill>
            <w14:solidFill>
              <w14:schemeClr w14:val="tx1"/>
            </w14:solidFill>
          </w14:textFill>
        </w:rPr>
        <w:t>址：</w:t>
      </w:r>
      <w:r>
        <w:rPr>
          <w:rFonts w:hint="eastAsia" w:cs="宋体"/>
          <w:color w:val="000000" w:themeColor="text1"/>
          <w:sz w:val="21"/>
          <w:szCs w:val="21"/>
          <w:highlight w:val="none"/>
          <w:lang w:eastAsia="zh-CN"/>
          <w14:textFill>
            <w14:solidFill>
              <w14:schemeClr w14:val="tx1"/>
            </w14:solidFill>
          </w14:textFill>
        </w:rPr>
        <w:t>桂林市七星区半塘路6号</w:t>
      </w:r>
    </w:p>
    <w:p w14:paraId="384704C4">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宋体"/>
          <w:color w:val="000000" w:themeColor="text1"/>
          <w:sz w:val="21"/>
          <w:szCs w:val="21"/>
          <w:highlight w:val="none"/>
          <w14:textFill>
            <w14:solidFill>
              <w14:schemeClr w14:val="tx1"/>
            </w14:solidFill>
          </w14:textFill>
        </w:rPr>
        <w:t>项目联系人：</w:t>
      </w:r>
      <w:r>
        <w:rPr>
          <w:rFonts w:hint="eastAsia" w:cs="宋体"/>
          <w:color w:val="000000" w:themeColor="text1"/>
          <w:sz w:val="21"/>
          <w:szCs w:val="21"/>
          <w:highlight w:val="none"/>
          <w:lang w:eastAsia="zh-CN"/>
          <w14:textFill>
            <w14:solidFill>
              <w14:schemeClr w14:val="tx1"/>
            </w14:solidFill>
          </w14:textFill>
        </w:rPr>
        <w:t>赵工</w:t>
      </w:r>
    </w:p>
    <w:p w14:paraId="13BC7C0A">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宋体"/>
          <w:color w:val="000000" w:themeColor="text1"/>
          <w:sz w:val="21"/>
          <w:szCs w:val="21"/>
          <w:highlight w:val="none"/>
          <w14:textFill>
            <w14:solidFill>
              <w14:schemeClr w14:val="tx1"/>
            </w14:solidFill>
          </w14:textFill>
        </w:rPr>
        <w:t>项目联系方式：</w:t>
      </w:r>
      <w:r>
        <w:rPr>
          <w:rFonts w:hint="eastAsia" w:ascii="Times New Roman" w:hAnsi="Times New Roman" w:eastAsia="宋体" w:cs="宋体"/>
          <w:color w:val="000000" w:themeColor="text1"/>
          <w:sz w:val="21"/>
          <w:szCs w:val="21"/>
          <w:highlight w:val="none"/>
          <w:lang w:eastAsia="zh-CN"/>
          <w14:textFill>
            <w14:solidFill>
              <w14:schemeClr w14:val="tx1"/>
            </w14:solidFill>
          </w14:textFill>
        </w:rPr>
        <w:t>0773-</w:t>
      </w:r>
      <w:r>
        <w:rPr>
          <w:rFonts w:hint="eastAsia" w:cs="宋体"/>
          <w:color w:val="000000" w:themeColor="text1"/>
          <w:sz w:val="21"/>
          <w:szCs w:val="21"/>
          <w:highlight w:val="none"/>
          <w:lang w:eastAsia="zh-CN"/>
          <w14:textFill>
            <w14:solidFill>
              <w14:schemeClr w14:val="tx1"/>
            </w14:solidFill>
          </w14:textFill>
        </w:rPr>
        <w:t>6790376</w:t>
      </w:r>
    </w:p>
    <w:p w14:paraId="56A7DFEE">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left"/>
        <w:textAlignment w:val="auto"/>
        <w:rPr>
          <w:rFonts w:hint="eastAsia" w:ascii="Times New Roman" w:hAnsi="Times New Roman" w:eastAsia="宋体" w:cs="宋体"/>
          <w:b/>
          <w:bCs/>
          <w:color w:val="000000" w:themeColor="text1"/>
          <w:sz w:val="21"/>
          <w:szCs w:val="21"/>
          <w:highlight w:val="none"/>
          <w14:textFill>
            <w14:solidFill>
              <w14:schemeClr w14:val="tx1"/>
            </w14:solidFill>
          </w14:textFill>
        </w:rPr>
      </w:pPr>
      <w:r>
        <w:rPr>
          <w:rFonts w:hint="eastAsia" w:ascii="Times New Roman" w:hAnsi="Times New Roman" w:eastAsia="宋体" w:cs="宋体"/>
          <w:b/>
          <w:bCs/>
          <w:color w:val="000000" w:themeColor="text1"/>
          <w:sz w:val="21"/>
          <w:szCs w:val="21"/>
          <w:highlight w:val="none"/>
          <w14:textFill>
            <w14:solidFill>
              <w14:schemeClr w14:val="tx1"/>
            </w14:solidFill>
          </w14:textFill>
        </w:rPr>
        <w:t>2.采购代理机构信息</w:t>
      </w:r>
    </w:p>
    <w:p w14:paraId="0B1CD793">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eastAsia" w:ascii="Times New Roman" w:hAnsi="Times New Roman" w:eastAsia="宋体" w:cs="宋体"/>
          <w:color w:val="000000" w:themeColor="text1"/>
          <w:sz w:val="21"/>
          <w:szCs w:val="21"/>
          <w:highlight w:val="none"/>
          <w14:textFill>
            <w14:solidFill>
              <w14:schemeClr w14:val="tx1"/>
            </w14:solidFill>
          </w14:textFill>
        </w:rPr>
      </w:pPr>
      <w:r>
        <w:rPr>
          <w:rFonts w:hint="eastAsia" w:ascii="Times New Roman" w:hAnsi="Times New Roman" w:eastAsia="宋体" w:cs="宋体"/>
          <w:color w:val="000000" w:themeColor="text1"/>
          <w:sz w:val="21"/>
          <w:szCs w:val="21"/>
          <w:highlight w:val="none"/>
          <w14:textFill>
            <w14:solidFill>
              <w14:schemeClr w14:val="tx1"/>
            </w14:solidFill>
          </w14:textFill>
        </w:rPr>
        <w:t>名</w:t>
      </w: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 xml:space="preserve">   </w:t>
      </w:r>
      <w:r>
        <w:rPr>
          <w:rFonts w:hint="eastAsia" w:ascii="Times New Roman" w:hAnsi="Times New Roman" w:eastAsia="宋体" w:cs="宋体"/>
          <w:color w:val="000000" w:themeColor="text1"/>
          <w:sz w:val="21"/>
          <w:szCs w:val="21"/>
          <w:highlight w:val="none"/>
          <w14:textFill>
            <w14:solidFill>
              <w14:schemeClr w14:val="tx1"/>
            </w14:solidFill>
          </w14:textFill>
        </w:rPr>
        <w:t>称：广西科联招标中心有限公司</w:t>
      </w:r>
    </w:p>
    <w:p w14:paraId="3377D930">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eastAsia" w:ascii="Times New Roman" w:hAnsi="Times New Roman" w:eastAsia="宋体" w:cs="宋体"/>
          <w:color w:val="000000" w:themeColor="text1"/>
          <w:sz w:val="21"/>
          <w:szCs w:val="21"/>
          <w:highlight w:val="none"/>
          <w:lang w:eastAsia="zh-CN"/>
          <w14:textFill>
            <w14:solidFill>
              <w14:schemeClr w14:val="tx1"/>
            </w14:solidFill>
          </w14:textFill>
        </w:rPr>
      </w:pPr>
      <w:r>
        <w:rPr>
          <w:rFonts w:hint="eastAsia" w:ascii="Times New Roman" w:hAnsi="Times New Roman" w:eastAsia="宋体" w:cs="宋体"/>
          <w:color w:val="000000" w:themeColor="text1"/>
          <w:sz w:val="21"/>
          <w:szCs w:val="21"/>
          <w:highlight w:val="none"/>
          <w14:textFill>
            <w14:solidFill>
              <w14:schemeClr w14:val="tx1"/>
            </w14:solidFill>
          </w14:textFill>
        </w:rPr>
        <w:t>地</w:t>
      </w: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 xml:space="preserve">   </w:t>
      </w:r>
      <w:r>
        <w:rPr>
          <w:rFonts w:hint="eastAsia" w:ascii="Times New Roman" w:hAnsi="Times New Roman" w:eastAsia="宋体" w:cs="宋体"/>
          <w:color w:val="000000" w:themeColor="text1"/>
          <w:sz w:val="21"/>
          <w:szCs w:val="21"/>
          <w:highlight w:val="none"/>
          <w14:textFill>
            <w14:solidFill>
              <w14:schemeClr w14:val="tx1"/>
            </w14:solidFill>
          </w14:textFill>
        </w:rPr>
        <w:t>址：</w:t>
      </w:r>
      <w:r>
        <w:rPr>
          <w:rFonts w:hint="eastAsia" w:ascii="Times New Roman" w:hAnsi="Times New Roman" w:eastAsia="宋体" w:cs="宋体"/>
          <w:color w:val="000000" w:themeColor="text1"/>
          <w:sz w:val="21"/>
          <w:szCs w:val="21"/>
          <w:highlight w:val="none"/>
          <w:lang w:eastAsia="zh-CN"/>
          <w14:textFill>
            <w14:solidFill>
              <w14:schemeClr w14:val="tx1"/>
            </w14:solidFill>
          </w14:textFill>
        </w:rPr>
        <w:t>桂林市七星区东江路28号28-8栋</w:t>
      </w:r>
    </w:p>
    <w:p w14:paraId="7CCB3275">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eastAsia="宋体" w:cs="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宋体"/>
          <w:color w:val="000000" w:themeColor="text1"/>
          <w:sz w:val="21"/>
          <w:szCs w:val="21"/>
          <w:highlight w:val="none"/>
          <w14:textFill>
            <w14:solidFill>
              <w14:schemeClr w14:val="tx1"/>
            </w14:solidFill>
          </w14:textFill>
        </w:rPr>
        <w:t>联系方式：</w:t>
      </w:r>
      <w:r>
        <w:rPr>
          <w:rFonts w:hint="eastAsia" w:ascii="Times New Roman" w:hAnsi="Times New Roman" w:eastAsia="宋体" w:cs="宋体"/>
          <w:color w:val="000000" w:themeColor="text1"/>
          <w:sz w:val="21"/>
          <w:szCs w:val="21"/>
          <w:highlight w:val="none"/>
          <w:lang w:eastAsia="zh-CN"/>
          <w14:textFill>
            <w14:solidFill>
              <w14:schemeClr w14:val="tx1"/>
            </w14:solidFill>
          </w14:textFill>
        </w:rPr>
        <w:t>0773-</w:t>
      </w:r>
      <w:r>
        <w:rPr>
          <w:rFonts w:hint="eastAsia" w:cs="宋体"/>
          <w:color w:val="000000" w:themeColor="text1"/>
          <w:sz w:val="21"/>
          <w:szCs w:val="21"/>
          <w:highlight w:val="none"/>
          <w:lang w:val="en-US" w:eastAsia="zh-CN"/>
          <w14:textFill>
            <w14:solidFill>
              <w14:schemeClr w14:val="tx1"/>
            </w14:solidFill>
          </w14:textFill>
        </w:rPr>
        <w:t>5442932</w:t>
      </w:r>
    </w:p>
    <w:p w14:paraId="68AD5466">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left"/>
        <w:textAlignment w:val="auto"/>
        <w:rPr>
          <w:rFonts w:hint="eastAsia" w:ascii="Times New Roman" w:hAnsi="Times New Roman" w:eastAsia="宋体" w:cs="宋体"/>
          <w:b/>
          <w:bCs/>
          <w:color w:val="000000" w:themeColor="text1"/>
          <w:sz w:val="21"/>
          <w:szCs w:val="21"/>
          <w:highlight w:val="none"/>
          <w14:textFill>
            <w14:solidFill>
              <w14:schemeClr w14:val="tx1"/>
            </w14:solidFill>
          </w14:textFill>
        </w:rPr>
      </w:pPr>
      <w:r>
        <w:rPr>
          <w:rFonts w:hint="eastAsia" w:ascii="Times New Roman" w:hAnsi="Times New Roman" w:eastAsia="宋体" w:cs="宋体"/>
          <w:b/>
          <w:bCs/>
          <w:color w:val="000000" w:themeColor="text1"/>
          <w:sz w:val="21"/>
          <w:szCs w:val="21"/>
          <w:highlight w:val="none"/>
          <w14:textFill>
            <w14:solidFill>
              <w14:schemeClr w14:val="tx1"/>
            </w14:solidFill>
          </w14:textFill>
        </w:rPr>
        <w:t>3.项目联系方式</w:t>
      </w:r>
    </w:p>
    <w:p w14:paraId="775C398C">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宋体"/>
          <w:color w:val="000000" w:themeColor="text1"/>
          <w:sz w:val="21"/>
          <w:szCs w:val="21"/>
          <w:highlight w:val="none"/>
          <w14:textFill>
            <w14:solidFill>
              <w14:schemeClr w14:val="tx1"/>
            </w14:solidFill>
          </w14:textFill>
        </w:rPr>
        <w:t>项目联系人：</w:t>
      </w:r>
      <w:r>
        <w:rPr>
          <w:rFonts w:hint="eastAsia" w:cs="宋体"/>
          <w:color w:val="000000" w:themeColor="text1"/>
          <w:sz w:val="21"/>
          <w:szCs w:val="21"/>
          <w:highlight w:val="none"/>
          <w:lang w:val="en-US" w:eastAsia="zh-CN"/>
          <w14:textFill>
            <w14:solidFill>
              <w14:schemeClr w14:val="tx1"/>
            </w14:solidFill>
          </w14:textFill>
        </w:rPr>
        <w:t>蒋建英、唐庆荣</w:t>
      </w: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 xml:space="preserve"> </w:t>
      </w:r>
    </w:p>
    <w:p w14:paraId="53988F28">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eastAsia" w:ascii="Times New Roman" w:hAnsi="Times New Roman" w:eastAsia="宋体" w:cs="宋体"/>
          <w:color w:val="000000" w:themeColor="text1"/>
          <w:sz w:val="21"/>
          <w:szCs w:val="21"/>
          <w:highlight w:val="none"/>
          <w:lang w:eastAsia="zh-CN"/>
          <w14:textFill>
            <w14:solidFill>
              <w14:schemeClr w14:val="tx1"/>
            </w14:solidFill>
          </w14:textFill>
        </w:rPr>
      </w:pPr>
      <w:r>
        <w:rPr>
          <w:rFonts w:hint="eastAsia" w:cs="宋体"/>
          <w:color w:val="000000" w:themeColor="text1"/>
          <w:sz w:val="21"/>
          <w:szCs w:val="21"/>
          <w:highlight w:val="none"/>
          <w:lang w:val="en-US" w:eastAsia="zh-CN"/>
          <w14:textFill>
            <w14:solidFill>
              <w14:schemeClr w14:val="tx1"/>
            </w14:solidFill>
          </w14:textFill>
        </w:rPr>
        <w:t>电      话：</w:t>
      </w: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 xml:space="preserve"> </w:t>
      </w:r>
      <w:r>
        <w:rPr>
          <w:rFonts w:hint="eastAsia" w:ascii="Times New Roman" w:hAnsi="Times New Roman" w:eastAsia="宋体" w:cs="宋体"/>
          <w:color w:val="000000" w:themeColor="text1"/>
          <w:sz w:val="21"/>
          <w:szCs w:val="21"/>
          <w:highlight w:val="none"/>
          <w:lang w:eastAsia="zh-CN"/>
          <w14:textFill>
            <w14:solidFill>
              <w14:schemeClr w14:val="tx1"/>
            </w14:solidFill>
          </w14:textFill>
        </w:rPr>
        <w:t>0773-</w:t>
      </w:r>
      <w:r>
        <w:rPr>
          <w:rFonts w:hint="eastAsia" w:cs="宋体"/>
          <w:color w:val="000000" w:themeColor="text1"/>
          <w:sz w:val="21"/>
          <w:szCs w:val="21"/>
          <w:highlight w:val="none"/>
          <w:lang w:eastAsia="zh-CN"/>
          <w14:textFill>
            <w14:solidFill>
              <w14:schemeClr w14:val="tx1"/>
            </w14:solidFill>
          </w14:textFill>
        </w:rPr>
        <w:t>5442932</w:t>
      </w:r>
    </w:p>
    <w:bookmarkEnd w:id="42"/>
    <w:p w14:paraId="29985180">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华文中宋" w:hAnsi="华文中宋" w:eastAsia="华文中宋" w:cs="华文中宋"/>
          <w:color w:val="000000" w:themeColor="text1"/>
          <w:sz w:val="32"/>
          <w:szCs w:val="32"/>
          <w14:textFill>
            <w14:solidFill>
              <w14:schemeClr w14:val="tx1"/>
            </w14:solidFill>
          </w14:textFill>
        </w:rPr>
      </w:pPr>
      <w:bookmarkStart w:id="43" w:name="_Toc25520"/>
      <w:bookmarkStart w:id="44" w:name="_Toc11093"/>
      <w:bookmarkStart w:id="45" w:name="_Toc80886926"/>
      <w:bookmarkStart w:id="46" w:name="_Toc7184"/>
      <w:bookmarkStart w:id="47" w:name="_Toc29321"/>
      <w:bookmarkStart w:id="48" w:name="_Toc9127"/>
      <w:bookmarkStart w:id="49" w:name="_Toc22760"/>
      <w:r>
        <w:rPr>
          <w:rFonts w:hint="eastAsia" w:ascii="Cambria" w:hAnsi="Cambria"/>
          <w:bCs w:val="0"/>
          <w:color w:val="000000" w:themeColor="text1"/>
          <w:sz w:val="32"/>
          <w:szCs w:val="32"/>
          <w:highlight w:val="none"/>
          <w14:textFill>
            <w14:solidFill>
              <w14:schemeClr w14:val="tx1"/>
            </w14:solidFill>
          </w14:textFill>
        </w:rPr>
        <w:br w:type="page"/>
      </w:r>
      <w:bookmarkStart w:id="50" w:name="_Toc933"/>
      <w:bookmarkStart w:id="51" w:name="_Toc7342"/>
      <w:bookmarkStart w:id="52" w:name="_Toc9190"/>
      <w:r>
        <w:rPr>
          <w:rFonts w:hint="eastAsia" w:ascii="华文中宋" w:hAnsi="华文中宋" w:eastAsia="华文中宋" w:cs="华文中宋"/>
          <w:color w:val="000000" w:themeColor="text1"/>
          <w:sz w:val="32"/>
          <w:szCs w:val="32"/>
          <w14:textFill>
            <w14:solidFill>
              <w14:schemeClr w14:val="tx1"/>
            </w14:solidFill>
          </w14:textFill>
        </w:rPr>
        <w:t xml:space="preserve">第二章 </w:t>
      </w:r>
      <w:r>
        <w:rPr>
          <w:rFonts w:hint="eastAsia" w:ascii="华文中宋" w:hAnsi="华文中宋" w:eastAsia="华文中宋" w:cs="华文中宋"/>
          <w:color w:val="000000" w:themeColor="text1"/>
          <w:sz w:val="32"/>
          <w:szCs w:val="32"/>
          <w:lang w:val="en-US" w:eastAsia="zh-CN"/>
          <w14:textFill>
            <w14:solidFill>
              <w14:schemeClr w14:val="tx1"/>
            </w14:solidFill>
          </w14:textFill>
        </w:rPr>
        <w:t xml:space="preserve"> </w:t>
      </w:r>
      <w:r>
        <w:rPr>
          <w:rFonts w:hint="eastAsia" w:ascii="华文中宋" w:hAnsi="华文中宋" w:eastAsia="华文中宋" w:cs="华文中宋"/>
          <w:color w:val="000000" w:themeColor="text1"/>
          <w:sz w:val="32"/>
          <w:szCs w:val="32"/>
          <w14:textFill>
            <w14:solidFill>
              <w14:schemeClr w14:val="tx1"/>
            </w14:solidFill>
          </w14:textFill>
        </w:rPr>
        <w:t>采购需求</w:t>
      </w:r>
      <w:bookmarkEnd w:id="43"/>
      <w:bookmarkEnd w:id="44"/>
      <w:bookmarkEnd w:id="45"/>
      <w:bookmarkEnd w:id="46"/>
      <w:bookmarkEnd w:id="47"/>
      <w:bookmarkEnd w:id="48"/>
      <w:bookmarkEnd w:id="50"/>
      <w:bookmarkEnd w:id="51"/>
      <w:bookmarkEnd w:id="52"/>
    </w:p>
    <w:bookmarkEnd w:id="49"/>
    <w:p w14:paraId="4C6A743B">
      <w:pPr>
        <w:keepNext w:val="0"/>
        <w:keepLines w:val="0"/>
        <w:pageBreakBefore w:val="0"/>
        <w:widowControl w:val="0"/>
        <w:kinsoku/>
        <w:wordWrap/>
        <w:overflowPunct/>
        <w:topLinePunct w:val="0"/>
        <w:autoSpaceDE/>
        <w:autoSpaceDN/>
        <w:bidi w:val="0"/>
        <w:adjustRightInd/>
        <w:snapToGrid/>
        <w:spacing w:line="360" w:lineRule="auto"/>
        <w:jc w:val="left"/>
        <w:textAlignment w:val="auto"/>
        <w:outlineLvl w:val="1"/>
        <w:rPr>
          <w:rFonts w:hint="eastAsia" w:ascii="宋体" w:hAnsi="宋体" w:eastAsia="宋体" w:cs="宋体"/>
          <w:b/>
          <w:bCs/>
          <w:color w:val="000000" w:themeColor="text1"/>
          <w:szCs w:val="21"/>
          <w:highlight w:val="none"/>
          <w14:textFill>
            <w14:solidFill>
              <w14:schemeClr w14:val="tx1"/>
            </w14:solidFill>
          </w14:textFill>
        </w:rPr>
      </w:pPr>
      <w:bookmarkStart w:id="53" w:name="_Toc22479"/>
      <w:r>
        <w:rPr>
          <w:rFonts w:hint="eastAsia" w:ascii="宋体" w:hAnsi="宋体" w:eastAsia="宋体" w:cs="宋体"/>
          <w:b/>
          <w:bCs/>
          <w:color w:val="000000" w:themeColor="text1"/>
          <w:szCs w:val="21"/>
          <w:highlight w:val="none"/>
          <w14:textFill>
            <w14:solidFill>
              <w14:schemeClr w14:val="tx1"/>
            </w14:solidFill>
          </w14:textFill>
        </w:rPr>
        <w:t>说明：</w:t>
      </w:r>
      <w:bookmarkEnd w:id="53"/>
    </w:p>
    <w:p w14:paraId="25130C5A">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1</w:t>
      </w:r>
      <w:r>
        <w:rPr>
          <w:rFonts w:hint="eastAsia" w:ascii="宋体" w:hAnsi="宋体" w:eastAsia="宋体" w:cs="宋体"/>
          <w:color w:val="000000" w:themeColor="text1"/>
          <w:highlight w:val="none"/>
          <w:lang w:val="en-US" w:eastAsia="zh-CN"/>
          <w14:textFill>
            <w14:solidFill>
              <w14:schemeClr w14:val="tx1"/>
            </w14:solidFill>
          </w14:textFill>
        </w:rPr>
        <w:t>.</w:t>
      </w:r>
      <w:r>
        <w:rPr>
          <w:rFonts w:hint="eastAsia" w:ascii="宋体" w:hAnsi="宋体" w:eastAsia="宋体" w:cs="宋体"/>
          <w:color w:val="000000" w:themeColor="text1"/>
          <w:highlight w:val="none"/>
          <w14:textFill>
            <w14:solidFill>
              <w14:schemeClr w14:val="tx1"/>
            </w14:solidFill>
          </w14:textFill>
        </w:rPr>
        <w:t>为落实政府采购政策需满足的要求：</w:t>
      </w:r>
    </w:p>
    <w:p w14:paraId="66CF39DD">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（1）本竞争性磋商文件所称中小企业必须符合《政府采购促进中小企业发展管理办法》（财库〔2020〕46号）的规定。</w:t>
      </w:r>
    </w:p>
    <w:p w14:paraId="3DF0E424">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（2）项目中包含货物的，根据《财政部 发展改革委生态环境部 市场监管总局关于调整优化节能产品、环境标志产品政府采购执行机制的通知》（财库〔2019〕9号）和《关于印发节能产品政府采购品目清单的通知》（财库〔2019〕19号）的规定，采购需求中的产品属于节能产品政府采购品目清单</w:t>
      </w:r>
      <w:r>
        <w:rPr>
          <w:rFonts w:hint="eastAsia" w:ascii="宋体" w:hAnsi="宋体" w:cs="宋体"/>
          <w:color w:val="000000" w:themeColor="text1"/>
          <w:szCs w:val="21"/>
          <w:highlight w:val="none"/>
          <w:lang w:eastAsia="zh-CN"/>
          <w14:textFill>
            <w14:solidFill>
              <w14:schemeClr w14:val="tx1"/>
            </w14:solidFill>
          </w14:textFill>
        </w:rPr>
        <w:t>（详见附件</w:t>
      </w:r>
      <w:r>
        <w:rPr>
          <w:rFonts w:hint="eastAsia" w:ascii="宋体" w:hAnsi="宋体" w:cs="宋体"/>
          <w:color w:val="000000" w:themeColor="text1"/>
          <w:szCs w:val="21"/>
          <w:highlight w:val="none"/>
          <w:lang w:val="en-US" w:eastAsia="zh-CN"/>
          <w14:textFill>
            <w14:solidFill>
              <w14:schemeClr w14:val="tx1"/>
            </w14:solidFill>
          </w14:textFill>
        </w:rPr>
        <w:t>1</w:t>
      </w:r>
      <w:r>
        <w:rPr>
          <w:rFonts w:hint="eastAsia" w:ascii="宋体" w:hAnsi="宋体" w:cs="宋体"/>
          <w:color w:val="000000" w:themeColor="text1"/>
          <w:szCs w:val="21"/>
          <w:highlight w:val="none"/>
          <w:lang w:eastAsia="zh-CN"/>
          <w14:textFill>
            <w14:solidFill>
              <w14:schemeClr w14:val="tx1"/>
            </w14:solidFill>
          </w14:textFill>
        </w:rPr>
        <w:t>）</w:t>
      </w:r>
      <w:r>
        <w:rPr>
          <w:rFonts w:hint="eastAsia" w:ascii="宋体" w:hAnsi="宋体" w:eastAsia="宋体" w:cs="宋体"/>
          <w:color w:val="000000" w:themeColor="text1"/>
          <w:szCs w:val="21"/>
          <w:highlight w:val="none"/>
          <w14:textFill>
            <w14:solidFill>
              <w14:schemeClr w14:val="tx1"/>
            </w14:solidFill>
          </w14:textFill>
        </w:rPr>
        <w:t>内标注</w:t>
      </w:r>
      <w:r>
        <w:rPr>
          <w:rFonts w:hint="eastAsia" w:ascii="宋体" w:hAnsi="宋体" w:eastAsia="宋体" w:cs="宋体"/>
          <w:color w:val="000000" w:themeColor="text1"/>
          <w:szCs w:val="21"/>
          <w:highlight w:val="none"/>
          <w:lang w:eastAsia="zh-CN"/>
          <w14:textFill>
            <w14:solidFill>
              <w14:schemeClr w14:val="tx1"/>
            </w14:solidFill>
          </w14:textFill>
        </w:rPr>
        <w:t>“</w:t>
      </w:r>
      <w:r>
        <w:rPr>
          <w:rFonts w:hint="eastAsia" w:ascii="宋体" w:hAnsi="宋体" w:eastAsia="宋体" w:cs="宋体"/>
          <w:color w:val="000000" w:themeColor="text1"/>
          <w:szCs w:val="21"/>
          <w:highlight w:val="none"/>
          <w14:textFill>
            <w14:solidFill>
              <w14:schemeClr w14:val="tx1"/>
            </w14:solidFill>
          </w14:textFill>
        </w:rPr>
        <w:t>★</w:t>
      </w:r>
      <w:r>
        <w:rPr>
          <w:rFonts w:hint="eastAsia" w:ascii="宋体" w:hAnsi="宋体" w:eastAsia="宋体" w:cs="宋体"/>
          <w:color w:val="000000" w:themeColor="text1"/>
          <w:szCs w:val="21"/>
          <w:highlight w:val="none"/>
          <w:lang w:eastAsia="zh-CN"/>
          <w14:textFill>
            <w14:solidFill>
              <w14:schemeClr w14:val="tx1"/>
            </w14:solidFill>
          </w14:textFill>
        </w:rPr>
        <w:t>”</w:t>
      </w:r>
      <w:r>
        <w:rPr>
          <w:rFonts w:hint="eastAsia" w:ascii="宋体" w:hAnsi="宋体" w:eastAsia="宋体" w:cs="宋体"/>
          <w:color w:val="000000" w:themeColor="text1"/>
          <w:szCs w:val="21"/>
          <w:highlight w:val="none"/>
          <w14:textFill>
            <w14:solidFill>
              <w14:schemeClr w14:val="tx1"/>
            </w14:solidFill>
          </w14:textFill>
        </w:rPr>
        <w:t>的，供应商必须在响应文件中提供所竞标产品有效期内的节能产品认证证书复印件（加盖供应商公章），</w:t>
      </w:r>
      <w:r>
        <w:rPr>
          <w:rFonts w:hint="eastAsia" w:ascii="宋体" w:hAnsi="宋体" w:eastAsia="宋体" w:cs="宋体"/>
          <w:b/>
          <w:bCs/>
          <w:color w:val="000000" w:themeColor="text1"/>
          <w:szCs w:val="21"/>
          <w:highlight w:val="none"/>
          <w14:textFill>
            <w14:solidFill>
              <w14:schemeClr w14:val="tx1"/>
            </w14:solidFill>
          </w14:textFill>
        </w:rPr>
        <w:t>否则响应文件按无效处理</w:t>
      </w:r>
      <w:r>
        <w:rPr>
          <w:rFonts w:hint="eastAsia" w:ascii="宋体" w:hAnsi="宋体" w:eastAsia="宋体" w:cs="宋体"/>
          <w:color w:val="000000" w:themeColor="text1"/>
          <w:szCs w:val="21"/>
          <w:highlight w:val="none"/>
          <w14:textFill>
            <w14:solidFill>
              <w14:schemeClr w14:val="tx1"/>
            </w14:solidFill>
          </w14:textFill>
        </w:rPr>
        <w:t>。如本项目包含的配套货物属于品目清单内非标注</w:t>
      </w:r>
      <w:r>
        <w:rPr>
          <w:rFonts w:hint="eastAsia" w:ascii="宋体" w:hAnsi="宋体" w:eastAsia="宋体" w:cs="宋体"/>
          <w:color w:val="000000" w:themeColor="text1"/>
          <w:szCs w:val="21"/>
          <w:highlight w:val="none"/>
          <w:lang w:eastAsia="zh-CN"/>
          <w14:textFill>
            <w14:solidFill>
              <w14:schemeClr w14:val="tx1"/>
            </w14:solidFill>
          </w14:textFill>
        </w:rPr>
        <w:t>“</w:t>
      </w:r>
      <w:r>
        <w:rPr>
          <w:rFonts w:hint="eastAsia" w:ascii="宋体" w:hAnsi="宋体" w:eastAsia="宋体" w:cs="宋体"/>
          <w:color w:val="000000" w:themeColor="text1"/>
          <w:szCs w:val="21"/>
          <w:highlight w:val="none"/>
          <w14:textFill>
            <w14:solidFill>
              <w14:schemeClr w14:val="tx1"/>
            </w14:solidFill>
          </w14:textFill>
        </w:rPr>
        <w:t>★</w:t>
      </w:r>
      <w:r>
        <w:rPr>
          <w:rFonts w:hint="eastAsia" w:ascii="宋体" w:hAnsi="宋体" w:eastAsia="宋体" w:cs="宋体"/>
          <w:color w:val="000000" w:themeColor="text1"/>
          <w:szCs w:val="21"/>
          <w:highlight w:val="none"/>
          <w:lang w:eastAsia="zh-CN"/>
          <w14:textFill>
            <w14:solidFill>
              <w14:schemeClr w14:val="tx1"/>
            </w14:solidFill>
          </w14:textFill>
        </w:rPr>
        <w:t>”</w:t>
      </w:r>
      <w:r>
        <w:rPr>
          <w:rFonts w:hint="eastAsia" w:ascii="宋体" w:hAnsi="宋体" w:eastAsia="宋体" w:cs="宋体"/>
          <w:color w:val="000000" w:themeColor="text1"/>
          <w:szCs w:val="21"/>
          <w:highlight w:val="none"/>
          <w14:textFill>
            <w14:solidFill>
              <w14:schemeClr w14:val="tx1"/>
            </w14:solidFill>
          </w14:textFill>
        </w:rPr>
        <w:t>的产品时，应优先采购，具体详见</w:t>
      </w:r>
      <w:r>
        <w:rPr>
          <w:rFonts w:hint="eastAsia" w:ascii="宋体" w:hAnsi="宋体" w:eastAsia="宋体" w:cs="宋体"/>
          <w:color w:val="000000" w:themeColor="text1"/>
          <w:szCs w:val="21"/>
          <w:highlight w:val="none"/>
          <w:lang w:eastAsia="zh-CN"/>
          <w14:textFill>
            <w14:solidFill>
              <w14:schemeClr w14:val="tx1"/>
            </w14:solidFill>
          </w14:textFill>
        </w:rPr>
        <w:t>“</w:t>
      </w:r>
      <w:r>
        <w:rPr>
          <w:rFonts w:hint="eastAsia" w:ascii="宋体" w:hAnsi="宋体" w:eastAsia="宋体" w:cs="宋体"/>
          <w:color w:val="000000" w:themeColor="text1"/>
          <w:szCs w:val="21"/>
          <w:highlight w:val="none"/>
          <w14:textFill>
            <w14:solidFill>
              <w14:schemeClr w14:val="tx1"/>
            </w14:solidFill>
          </w14:textFill>
        </w:rPr>
        <w:t>第四章</w:t>
      </w:r>
      <w:r>
        <w:rPr>
          <w:rFonts w:hint="eastAsia" w:ascii="宋体" w:hAnsi="宋体" w:cs="宋体"/>
          <w:color w:val="000000" w:themeColor="text1"/>
          <w:szCs w:val="21"/>
          <w:highlight w:val="none"/>
          <w:lang w:val="en-US" w:eastAsia="zh-CN"/>
          <w14:textFill>
            <w14:solidFill>
              <w14:schemeClr w14:val="tx1"/>
            </w14:solidFill>
          </w14:textFill>
        </w:rPr>
        <w:t xml:space="preserve"> </w:t>
      </w:r>
      <w:r>
        <w:rPr>
          <w:rStyle w:val="36"/>
          <w:rFonts w:hint="eastAsia" w:ascii="宋体" w:hAnsi="宋体" w:eastAsia="宋体" w:cs="宋体"/>
          <w:color w:val="000000" w:themeColor="text1"/>
          <w:highlight w:val="none"/>
          <w14:textFill>
            <w14:solidFill>
              <w14:schemeClr w14:val="tx1"/>
            </w14:solidFill>
          </w14:textFill>
        </w:rPr>
        <w:t>评审程序、评审方法和评审标准</w:t>
      </w:r>
      <w:r>
        <w:rPr>
          <w:rFonts w:hint="eastAsia" w:ascii="宋体" w:hAnsi="宋体" w:eastAsia="宋体" w:cs="宋体"/>
          <w:color w:val="000000" w:themeColor="text1"/>
          <w:szCs w:val="21"/>
          <w:highlight w:val="none"/>
          <w:lang w:eastAsia="zh-CN"/>
          <w14:textFill>
            <w14:solidFill>
              <w14:schemeClr w14:val="tx1"/>
            </w14:solidFill>
          </w14:textFill>
        </w:rPr>
        <w:t>”</w:t>
      </w:r>
      <w:r>
        <w:rPr>
          <w:rFonts w:hint="eastAsia" w:ascii="宋体" w:hAnsi="宋体" w:eastAsia="宋体" w:cs="宋体"/>
          <w:color w:val="000000" w:themeColor="text1"/>
          <w:szCs w:val="21"/>
          <w:highlight w:val="none"/>
          <w14:textFill>
            <w14:solidFill>
              <w14:schemeClr w14:val="tx1"/>
            </w14:solidFill>
          </w14:textFill>
        </w:rPr>
        <w:t>。</w:t>
      </w:r>
    </w:p>
    <w:p w14:paraId="66B1F7EE">
      <w:pPr>
        <w:keepNext w:val="0"/>
        <w:keepLines w:val="0"/>
        <w:pageBreakBefore w:val="0"/>
        <w:widowControl w:val="0"/>
        <w:kinsoku/>
        <w:wordWrap/>
        <w:overflowPunct/>
        <w:topLinePunct w:val="0"/>
        <w:autoSpaceDE/>
        <w:autoSpaceDN/>
        <w:bidi w:val="0"/>
        <w:adjustRightInd/>
        <w:snapToGrid/>
        <w:spacing w:line="360" w:lineRule="auto"/>
        <w:ind w:firstLine="413" w:firstLineChars="196"/>
        <w:textAlignment w:val="auto"/>
        <w:rPr>
          <w:rFonts w:hint="eastAsia" w:ascii="宋体" w:hAnsi="宋体" w:eastAsia="宋体" w:cs="宋体"/>
          <w:b/>
          <w:bCs/>
          <w:color w:val="000000" w:themeColor="text1"/>
          <w:szCs w:val="21"/>
          <w:highlight w:val="none"/>
          <w14:textFill>
            <w14:solidFill>
              <w14:schemeClr w14:val="tx1"/>
            </w14:solidFill>
          </w14:textFill>
        </w:rPr>
      </w:pPr>
      <w:r>
        <w:rPr>
          <w:rFonts w:hint="eastAsia" w:ascii="宋体" w:hAnsi="宋体" w:eastAsia="宋体" w:cs="宋体"/>
          <w:b/>
          <w:bCs/>
          <w:color w:val="000000" w:themeColor="text1"/>
          <w:szCs w:val="21"/>
          <w:highlight w:val="none"/>
          <w14:textFill>
            <w14:solidFill>
              <w14:schemeClr w14:val="tx1"/>
            </w14:solidFill>
          </w14:textFill>
        </w:rPr>
        <w:t>2.</w:t>
      </w:r>
      <w:r>
        <w:rPr>
          <w:rFonts w:hint="eastAsia" w:ascii="宋体" w:hAnsi="宋体" w:eastAsia="宋体" w:cs="宋体"/>
          <w:b/>
          <w:bCs/>
          <w:color w:val="000000" w:themeColor="text1"/>
          <w:szCs w:val="21"/>
          <w:highlight w:val="none"/>
          <w:lang w:eastAsia="zh-CN"/>
          <w14:textFill>
            <w14:solidFill>
              <w14:schemeClr w14:val="tx1"/>
            </w14:solidFill>
          </w14:textFill>
        </w:rPr>
        <w:t>“</w:t>
      </w:r>
      <w:r>
        <w:rPr>
          <w:rFonts w:hint="eastAsia" w:ascii="宋体" w:hAnsi="宋体" w:eastAsia="宋体" w:cs="宋体"/>
          <w:b/>
          <w:bCs/>
          <w:color w:val="000000" w:themeColor="text1"/>
          <w:szCs w:val="21"/>
          <w:highlight w:val="none"/>
          <w14:textFill>
            <w14:solidFill>
              <w14:schemeClr w14:val="tx1"/>
            </w14:solidFill>
          </w14:textFill>
        </w:rPr>
        <w:t>实质性要求</w:t>
      </w:r>
      <w:r>
        <w:rPr>
          <w:rFonts w:hint="eastAsia" w:ascii="宋体" w:hAnsi="宋体" w:eastAsia="宋体" w:cs="宋体"/>
          <w:b/>
          <w:bCs/>
          <w:color w:val="000000" w:themeColor="text1"/>
          <w:szCs w:val="21"/>
          <w:highlight w:val="none"/>
          <w:lang w:eastAsia="zh-CN"/>
          <w14:textFill>
            <w14:solidFill>
              <w14:schemeClr w14:val="tx1"/>
            </w14:solidFill>
          </w14:textFill>
        </w:rPr>
        <w:t>”</w:t>
      </w:r>
      <w:r>
        <w:rPr>
          <w:rFonts w:hint="eastAsia" w:ascii="宋体" w:hAnsi="宋体" w:eastAsia="宋体" w:cs="宋体"/>
          <w:b/>
          <w:bCs/>
          <w:color w:val="000000" w:themeColor="text1"/>
          <w:szCs w:val="21"/>
          <w:highlight w:val="none"/>
          <w14:textFill>
            <w14:solidFill>
              <w14:schemeClr w14:val="tx1"/>
            </w14:solidFill>
          </w14:textFill>
        </w:rPr>
        <w:t>是指磋商文件中已经指明不满足则响应文件按无效响应处理的条款，或者不能负偏离的条款，或者采购需求中带</w:t>
      </w:r>
      <w:r>
        <w:rPr>
          <w:rFonts w:hint="eastAsia" w:ascii="宋体" w:hAnsi="宋体" w:eastAsia="宋体" w:cs="宋体"/>
          <w:b/>
          <w:bCs/>
          <w:color w:val="000000" w:themeColor="text1"/>
          <w:szCs w:val="21"/>
          <w:highlight w:val="none"/>
          <w:lang w:eastAsia="zh-CN"/>
          <w14:textFill>
            <w14:solidFill>
              <w14:schemeClr w14:val="tx1"/>
            </w14:solidFill>
          </w14:textFill>
        </w:rPr>
        <w:t>“</w:t>
      </w:r>
      <w:r>
        <w:rPr>
          <w:rFonts w:hint="eastAsia" w:ascii="宋体" w:hAnsi="宋体" w:eastAsia="宋体" w:cs="宋体"/>
          <w:b/>
          <w:bCs/>
          <w:color w:val="000000" w:themeColor="text1"/>
          <w:szCs w:val="21"/>
          <w:highlight w:val="none"/>
          <w14:textFill>
            <w14:solidFill>
              <w14:schemeClr w14:val="tx1"/>
            </w14:solidFill>
          </w14:textFill>
        </w:rPr>
        <w:t>▲</w:t>
      </w:r>
      <w:r>
        <w:rPr>
          <w:rFonts w:hint="eastAsia" w:ascii="宋体" w:hAnsi="宋体" w:eastAsia="宋体" w:cs="宋体"/>
          <w:b/>
          <w:bCs/>
          <w:color w:val="000000" w:themeColor="text1"/>
          <w:szCs w:val="21"/>
          <w:highlight w:val="none"/>
          <w:lang w:eastAsia="zh-CN"/>
          <w14:textFill>
            <w14:solidFill>
              <w14:schemeClr w14:val="tx1"/>
            </w14:solidFill>
          </w14:textFill>
        </w:rPr>
        <w:t>”</w:t>
      </w:r>
      <w:r>
        <w:rPr>
          <w:rFonts w:hint="eastAsia" w:ascii="宋体" w:hAnsi="宋体" w:eastAsia="宋体" w:cs="宋体"/>
          <w:b/>
          <w:bCs/>
          <w:color w:val="000000" w:themeColor="text1"/>
          <w:szCs w:val="21"/>
          <w:highlight w:val="none"/>
          <w14:textFill>
            <w14:solidFill>
              <w14:schemeClr w14:val="tx1"/>
            </w14:solidFill>
          </w14:textFill>
        </w:rPr>
        <w:t>的条款。</w:t>
      </w:r>
    </w:p>
    <w:p w14:paraId="1D18F89E">
      <w:pPr>
        <w:pStyle w:val="12"/>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3.</w:t>
      </w:r>
      <w:r>
        <w:rPr>
          <w:rFonts w:hint="eastAsia" w:ascii="宋体" w:hAnsi="宋体" w:eastAsia="宋体" w:cs="宋体"/>
          <w:color w:val="000000" w:themeColor="text1"/>
          <w:highlight w:val="none"/>
          <w14:textFill>
            <w14:solidFill>
              <w14:schemeClr w14:val="tx1"/>
            </w14:solidFill>
          </w14:textFill>
        </w:rPr>
        <w:t>如</w:t>
      </w:r>
      <w:r>
        <w:rPr>
          <w:rFonts w:hint="eastAsia" w:ascii="宋体" w:hAnsi="宋体" w:eastAsia="宋体" w:cs="宋体"/>
          <w:color w:val="000000" w:themeColor="text1"/>
          <w:highlight w:val="none"/>
          <w:lang w:eastAsia="zh-CN"/>
          <w14:textFill>
            <w14:solidFill>
              <w14:schemeClr w14:val="tx1"/>
            </w14:solidFill>
          </w14:textFill>
        </w:rPr>
        <w:t>竞</w:t>
      </w:r>
      <w:r>
        <w:rPr>
          <w:rFonts w:hint="eastAsia" w:ascii="宋体" w:hAnsi="宋体" w:eastAsia="宋体" w:cs="宋体"/>
          <w:color w:val="000000" w:themeColor="text1"/>
          <w:highlight w:val="none"/>
          <w14:textFill>
            <w14:solidFill>
              <w14:schemeClr w14:val="tx1"/>
            </w14:solidFill>
          </w14:textFill>
        </w:rPr>
        <w:t>标产品存在侵犯他人的知识产权或者专利成果行为的，应承担相应法律责任。</w:t>
      </w:r>
    </w:p>
    <w:p w14:paraId="3903C776">
      <w:pPr>
        <w:tabs>
          <w:tab w:val="left" w:pos="180"/>
          <w:tab w:val="left" w:pos="1620"/>
        </w:tabs>
        <w:spacing w:line="360" w:lineRule="auto"/>
        <w:ind w:firstLine="420" w:firstLineChars="200"/>
        <w:rPr>
          <w:rFonts w:hint="eastAsia" w:ascii="宋体" w:hAnsi="宋体" w:eastAsia="宋体" w:cs="宋体"/>
          <w:i/>
          <w:iCs/>
          <w:color w:val="000000" w:themeColor="text1"/>
          <w:highlight w:val="none"/>
          <w:u w:val="singl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4.</w:t>
      </w:r>
      <w:r>
        <w:rPr>
          <w:rFonts w:hint="eastAsia" w:ascii="Times New Roman" w:hAnsi="Times New Roman" w:cs="宋体"/>
          <w:color w:val="000000" w:themeColor="text1"/>
          <w14:textFill>
            <w14:solidFill>
              <w14:schemeClr w14:val="tx1"/>
            </w14:solidFill>
          </w14:textFill>
        </w:rPr>
        <w:t>采购标的对应的中小企业划分标准所属行业名称：</w:t>
      </w:r>
      <w:r>
        <w:rPr>
          <w:rFonts w:hint="eastAsia" w:ascii="宋体" w:hAnsi="宋体" w:eastAsia="宋体" w:cs="宋体"/>
          <w:color w:val="000000" w:themeColor="text1"/>
          <w:sz w:val="21"/>
          <w:szCs w:val="21"/>
          <w:highlight w:val="none"/>
          <w:u w:val="none"/>
          <w14:textFill>
            <w14:solidFill>
              <w14:schemeClr w14:val="tx1"/>
            </w14:solidFill>
          </w14:textFill>
        </w:rPr>
        <w:t>建筑业</w:t>
      </w:r>
    </w:p>
    <w:p w14:paraId="2B872767">
      <w:pPr>
        <w:pStyle w:val="11"/>
        <w:pageBreakBefore w:val="0"/>
        <w:widowControl w:val="0"/>
        <w:kinsoku/>
        <w:wordWrap/>
        <w:overflowPunct/>
        <w:topLinePunct w:val="0"/>
        <w:autoSpaceDE/>
        <w:autoSpaceDN/>
        <w:bidi w:val="0"/>
        <w:adjustRightInd/>
        <w:snapToGrid/>
        <w:spacing w:line="360" w:lineRule="auto"/>
        <w:ind w:left="0" w:leftChars="0" w:firstLine="0" w:firstLineChars="0"/>
        <w:textAlignment w:val="auto"/>
        <w:outlineLvl w:val="1"/>
        <w:rPr>
          <w:rFonts w:hint="eastAsia"/>
          <w:b/>
          <w:bCs/>
          <w:color w:val="000000" w:themeColor="text1"/>
          <w:highlight w:val="none"/>
          <w:lang w:eastAsia="zh-CN"/>
          <w14:textFill>
            <w14:solidFill>
              <w14:schemeClr w14:val="tx1"/>
            </w14:solidFill>
          </w14:textFill>
        </w:rPr>
      </w:pPr>
    </w:p>
    <w:tbl>
      <w:tblPr>
        <w:tblStyle w:val="29"/>
        <w:tblW w:w="97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7"/>
        <w:gridCol w:w="333"/>
        <w:gridCol w:w="1094"/>
        <w:gridCol w:w="928"/>
        <w:gridCol w:w="23"/>
        <w:gridCol w:w="5864"/>
        <w:gridCol w:w="920"/>
      </w:tblGrid>
      <w:tr w14:paraId="590492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jc w:val="center"/>
        </w:trPr>
        <w:tc>
          <w:tcPr>
            <w:tcW w:w="9729" w:type="dxa"/>
            <w:gridSpan w:val="7"/>
            <w:tcBorders>
              <w:top w:val="single" w:color="auto" w:sz="4" w:space="0"/>
            </w:tcBorders>
            <w:shd w:val="clear" w:color="auto" w:fill="auto"/>
            <w:noWrap w:val="0"/>
            <w:vAlign w:val="center"/>
          </w:tcPr>
          <w:p w14:paraId="6366B294">
            <w:pPr>
              <w:keepNext w:val="0"/>
              <w:keepLines w:val="0"/>
              <w:pageBreakBefore w:val="0"/>
              <w:widowControl w:val="0"/>
              <w:kinsoku/>
              <w:wordWrap/>
              <w:overflowPunct/>
              <w:topLinePunct w:val="0"/>
              <w:autoSpaceDE/>
              <w:autoSpaceDN/>
              <w:bidi w:val="0"/>
              <w:adjustRightInd/>
              <w:snapToGrid/>
              <w:spacing w:line="240" w:lineRule="auto"/>
              <w:jc w:val="left"/>
              <w:textAlignment w:val="auto"/>
              <w:rPr>
                <w:color w:val="000000" w:themeColor="text1"/>
                <w:szCs w:val="21"/>
                <w:highlight w:val="none"/>
                <w14:textFill>
                  <w14:solidFill>
                    <w14:schemeClr w14:val="tx1"/>
                  </w14:solidFill>
                </w14:textFill>
              </w:rPr>
            </w:pPr>
            <w:bookmarkStart w:id="54" w:name="_Toc1618"/>
            <w:r>
              <w:rPr>
                <w:rFonts w:hint="eastAsia"/>
                <w:b/>
                <w:bCs/>
                <w:color w:val="000000" w:themeColor="text1"/>
                <w:highlight w:val="none"/>
                <w:lang w:eastAsia="zh-CN"/>
                <w14:textFill>
                  <w14:solidFill>
                    <w14:schemeClr w14:val="tx1"/>
                  </w14:solidFill>
                </w14:textFill>
              </w:rPr>
              <w:t>一、需求一览表</w:t>
            </w:r>
            <w:bookmarkEnd w:id="54"/>
          </w:p>
        </w:tc>
      </w:tr>
      <w:tr w14:paraId="4FA050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67" w:type="dxa"/>
            <w:tcBorders>
              <w:top w:val="single" w:color="auto" w:sz="4" w:space="0"/>
            </w:tcBorders>
            <w:shd w:val="clear" w:color="auto" w:fill="auto"/>
            <w:noWrap w:val="0"/>
            <w:vAlign w:val="center"/>
          </w:tcPr>
          <w:p w14:paraId="1E37546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bCs/>
                <w:color w:val="000000" w:themeColor="text1"/>
                <w:sz w:val="21"/>
                <w:szCs w:val="21"/>
                <w:highlight w:val="none"/>
                <w14:textFill>
                  <w14:solidFill>
                    <w14:schemeClr w14:val="tx1"/>
                  </w14:solidFill>
                </w14:textFill>
              </w:rPr>
            </w:pPr>
            <w:r>
              <w:rPr>
                <w:rFonts w:hint="eastAsia" w:ascii="宋体" w:hAnsi="宋体" w:eastAsia="宋体" w:cs="宋体"/>
                <w:b/>
                <w:bCs/>
                <w:color w:val="000000" w:themeColor="text1"/>
                <w:sz w:val="21"/>
                <w:szCs w:val="21"/>
                <w:highlight w:val="none"/>
                <w14:textFill>
                  <w14:solidFill>
                    <w14:schemeClr w14:val="tx1"/>
                  </w14:solidFill>
                </w14:textFill>
              </w:rPr>
              <w:t>序号</w:t>
            </w:r>
          </w:p>
        </w:tc>
        <w:tc>
          <w:tcPr>
            <w:tcW w:w="1427" w:type="dxa"/>
            <w:gridSpan w:val="2"/>
            <w:tcBorders>
              <w:top w:val="single" w:color="auto" w:sz="4" w:space="0"/>
            </w:tcBorders>
            <w:shd w:val="clear" w:color="auto" w:fill="auto"/>
            <w:noWrap w:val="0"/>
            <w:vAlign w:val="center"/>
          </w:tcPr>
          <w:p w14:paraId="263CB1D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bCs/>
                <w:color w:val="000000" w:themeColor="text1"/>
                <w:sz w:val="21"/>
                <w:szCs w:val="21"/>
                <w:highlight w:val="none"/>
                <w14:textFill>
                  <w14:solidFill>
                    <w14:schemeClr w14:val="tx1"/>
                  </w14:solidFill>
                </w14:textFill>
              </w:rPr>
            </w:pPr>
            <w:r>
              <w:rPr>
                <w:rFonts w:hint="eastAsia" w:ascii="宋体" w:hAnsi="宋体" w:eastAsia="宋体" w:cs="宋体"/>
                <w:b/>
                <w:bCs/>
                <w:color w:val="000000" w:themeColor="text1"/>
                <w:sz w:val="21"/>
                <w:szCs w:val="21"/>
                <w:highlight w:val="none"/>
                <w14:textFill>
                  <w14:solidFill>
                    <w14:schemeClr w14:val="tx1"/>
                  </w14:solidFill>
                </w14:textFill>
              </w:rPr>
              <w:t>标的名称</w:t>
            </w:r>
          </w:p>
        </w:tc>
        <w:tc>
          <w:tcPr>
            <w:tcW w:w="951" w:type="dxa"/>
            <w:gridSpan w:val="2"/>
            <w:tcBorders>
              <w:top w:val="single" w:color="auto" w:sz="4" w:space="0"/>
            </w:tcBorders>
            <w:shd w:val="clear" w:color="auto" w:fill="auto"/>
            <w:noWrap w:val="0"/>
            <w:vAlign w:val="center"/>
          </w:tcPr>
          <w:p w14:paraId="2D422DD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bCs/>
                <w:color w:val="000000" w:themeColor="text1"/>
                <w:sz w:val="21"/>
                <w:szCs w:val="21"/>
                <w:highlight w:val="none"/>
                <w14:textFill>
                  <w14:solidFill>
                    <w14:schemeClr w14:val="tx1"/>
                  </w14:solidFill>
                </w14:textFill>
              </w:rPr>
            </w:pPr>
            <w:r>
              <w:rPr>
                <w:rFonts w:hint="eastAsia" w:ascii="宋体" w:hAnsi="宋体" w:eastAsia="宋体" w:cs="宋体"/>
                <w:b/>
                <w:bCs/>
                <w:color w:val="000000" w:themeColor="text1"/>
                <w:sz w:val="21"/>
                <w:szCs w:val="21"/>
                <w:highlight w:val="none"/>
                <w14:textFill>
                  <w14:solidFill>
                    <w14:schemeClr w14:val="tx1"/>
                  </w14:solidFill>
                </w14:textFill>
              </w:rPr>
              <w:t>数量及单位</w:t>
            </w:r>
          </w:p>
        </w:tc>
        <w:tc>
          <w:tcPr>
            <w:tcW w:w="5864" w:type="dxa"/>
            <w:tcBorders>
              <w:top w:val="single" w:color="auto" w:sz="4" w:space="0"/>
            </w:tcBorders>
            <w:shd w:val="clear" w:color="auto" w:fill="auto"/>
            <w:noWrap w:val="0"/>
            <w:vAlign w:val="center"/>
          </w:tcPr>
          <w:p w14:paraId="59C852C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bCs/>
                <w:color w:val="000000" w:themeColor="text1"/>
                <w:sz w:val="21"/>
                <w:szCs w:val="21"/>
                <w:highlight w:val="none"/>
                <w14:textFill>
                  <w14:solidFill>
                    <w14:schemeClr w14:val="tx1"/>
                  </w14:solidFill>
                </w14:textFill>
              </w:rPr>
            </w:pPr>
            <w:r>
              <w:rPr>
                <w:rFonts w:hint="eastAsia" w:ascii="宋体" w:hAnsi="宋体" w:eastAsia="宋体" w:cs="宋体"/>
                <w:b/>
                <w:bCs/>
                <w:color w:val="000000" w:themeColor="text1"/>
                <w:sz w:val="21"/>
                <w:szCs w:val="21"/>
                <w:highlight w:val="none"/>
                <w14:textFill>
                  <w14:solidFill>
                    <w14:schemeClr w14:val="tx1"/>
                  </w14:solidFill>
                </w14:textFill>
              </w:rPr>
              <w:t>技术要求</w:t>
            </w:r>
          </w:p>
        </w:tc>
        <w:tc>
          <w:tcPr>
            <w:tcW w:w="920" w:type="dxa"/>
            <w:tcBorders>
              <w:top w:val="single" w:color="auto" w:sz="4" w:space="0"/>
            </w:tcBorders>
            <w:shd w:val="clear" w:color="auto" w:fill="auto"/>
            <w:noWrap w:val="0"/>
            <w:vAlign w:val="center"/>
          </w:tcPr>
          <w:p w14:paraId="0FFF604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bCs/>
                <w:color w:val="000000" w:themeColor="text1"/>
                <w:sz w:val="21"/>
                <w:szCs w:val="21"/>
                <w:highlight w:val="none"/>
                <w:lang w:eastAsia="zh-CN"/>
                <w14:textFill>
                  <w14:solidFill>
                    <w14:schemeClr w14:val="tx1"/>
                  </w14:solidFill>
                </w14:textFill>
              </w:rPr>
            </w:pPr>
            <w:r>
              <w:rPr>
                <w:color w:val="000000" w:themeColor="text1"/>
                <w:szCs w:val="21"/>
                <w:highlight w:val="none"/>
                <w14:textFill>
                  <w14:solidFill>
                    <w14:schemeClr w14:val="tx1"/>
                  </w14:solidFill>
                </w14:textFill>
              </w:rPr>
              <w:t>中小企业划分标准所属行业名称（行业名称及划分见本章附件</w:t>
            </w:r>
            <w:r>
              <w:rPr>
                <w:rFonts w:hint="eastAsia"/>
                <w:color w:val="000000" w:themeColor="text1"/>
                <w:szCs w:val="21"/>
                <w:highlight w:val="none"/>
                <w14:textFill>
                  <w14:solidFill>
                    <w14:schemeClr w14:val="tx1"/>
                  </w14:solidFill>
                </w14:textFill>
              </w:rPr>
              <w:t>1</w:t>
            </w:r>
            <w:r>
              <w:rPr>
                <w:color w:val="000000" w:themeColor="text1"/>
                <w:szCs w:val="21"/>
                <w:highlight w:val="none"/>
                <w14:textFill>
                  <w14:solidFill>
                    <w14:schemeClr w14:val="tx1"/>
                  </w14:solidFill>
                </w14:textFill>
              </w:rPr>
              <w:t>）</w:t>
            </w:r>
          </w:p>
        </w:tc>
      </w:tr>
      <w:tr w14:paraId="798F27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jc w:val="center"/>
        </w:trPr>
        <w:tc>
          <w:tcPr>
            <w:tcW w:w="567" w:type="dxa"/>
            <w:noWrap w:val="0"/>
            <w:vAlign w:val="center"/>
          </w:tcPr>
          <w:p w14:paraId="187E1B7A">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1</w:t>
            </w:r>
          </w:p>
        </w:tc>
        <w:tc>
          <w:tcPr>
            <w:tcW w:w="1427" w:type="dxa"/>
            <w:gridSpan w:val="2"/>
            <w:noWrap w:val="0"/>
            <w:vAlign w:val="center"/>
          </w:tcPr>
          <w:p w14:paraId="12D220F2">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 w:val="21"/>
                <w:szCs w:val="21"/>
                <w:highlight w:val="none"/>
                <w:lang w:eastAsia="zh-CN"/>
                <w14:textFill>
                  <w14:solidFill>
                    <w14:schemeClr w14:val="tx1"/>
                  </w14:solidFill>
                </w14:textFill>
              </w:rPr>
              <w:t>桂林市中西医结合医院消化内镜中心装修改造工程</w:t>
            </w:r>
          </w:p>
        </w:tc>
        <w:tc>
          <w:tcPr>
            <w:tcW w:w="951" w:type="dxa"/>
            <w:gridSpan w:val="2"/>
            <w:noWrap w:val="0"/>
            <w:vAlign w:val="center"/>
          </w:tcPr>
          <w:p w14:paraId="1C873713">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1项</w:t>
            </w:r>
          </w:p>
        </w:tc>
        <w:tc>
          <w:tcPr>
            <w:tcW w:w="5864" w:type="dxa"/>
            <w:noWrap w:val="0"/>
            <w:vAlign w:val="center"/>
          </w:tcPr>
          <w:p w14:paraId="3BF07B60">
            <w:pPr>
              <w:pStyle w:val="14"/>
              <w:keepNext w:val="0"/>
              <w:keepLines w:val="0"/>
              <w:pageBreakBefore w:val="0"/>
              <w:widowControl w:val="0"/>
              <w:kinsoku/>
              <w:wordWrap/>
              <w:overflowPunct/>
              <w:topLinePunct w:val="0"/>
              <w:autoSpaceDE/>
              <w:autoSpaceDN/>
              <w:bidi w:val="0"/>
              <w:adjustRightInd/>
              <w:snapToGrid/>
              <w:spacing w:after="0" w:line="440" w:lineRule="exact"/>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 w:val="21"/>
                <w:szCs w:val="21"/>
                <w:highlight w:val="none"/>
                <w:lang w:val="en-US" w:eastAsia="zh-CN"/>
                <w14:textFill>
                  <w14:solidFill>
                    <w14:schemeClr w14:val="tx1"/>
                  </w14:solidFill>
                </w14:textFill>
              </w:rPr>
              <w:t>1、项目概况</w:t>
            </w:r>
            <w:r>
              <w:rPr>
                <w:rFonts w:hint="eastAsia" w:ascii="宋体" w:hAnsi="宋体" w:eastAsia="宋体" w:cs="宋体"/>
                <w:color w:val="000000" w:themeColor="text1"/>
                <w:sz w:val="21"/>
                <w:szCs w:val="21"/>
                <w:highlight w:val="none"/>
                <w14:textFill>
                  <w14:solidFill>
                    <w14:schemeClr w14:val="tx1"/>
                  </w14:solidFill>
                </w14:textFill>
              </w:rPr>
              <w:t>：</w:t>
            </w:r>
            <w:r>
              <w:rPr>
                <w:rFonts w:hint="eastAsia" w:cs="宋体"/>
                <w:color w:val="000000" w:themeColor="text1"/>
                <w:sz w:val="21"/>
                <w:szCs w:val="21"/>
                <w:highlight w:val="none"/>
                <w:lang w:val="en-US" w:eastAsia="zh-CN"/>
                <w14:textFill>
                  <w14:solidFill>
                    <w14:schemeClr w14:val="tx1"/>
                  </w14:solidFill>
                </w14:textFill>
              </w:rPr>
              <w:t>桂林市中西医结合医院消化内镜中心装修改造工程，主要包含室内墙体改造，原胃肠镜诊疗室吊塔安装区域修缮，门安装，楼地面、墙面、天棚吊顶装饰，给排水工程，智能化工程，电气工程等</w:t>
            </w:r>
            <w:r>
              <w:rPr>
                <w:rFonts w:hint="eastAsia" w:ascii="Times New Roman" w:hAnsi="Times New Roman" w:eastAsia="宋体" w:cs="宋体"/>
                <w:color w:val="000000" w:themeColor="text1"/>
                <w:sz w:val="21"/>
                <w:szCs w:val="21"/>
                <w:highlight w:val="none"/>
                <w14:textFill>
                  <w14:solidFill>
                    <w14:schemeClr w14:val="tx1"/>
                  </w14:solidFill>
                </w14:textFill>
              </w:rPr>
              <w:t>。（具体以施工图纸和工程量清单内容为准）</w:t>
            </w:r>
            <w:r>
              <w:rPr>
                <w:rFonts w:hint="eastAsia" w:ascii="宋体" w:hAnsi="宋体" w:eastAsia="宋体" w:cs="宋体"/>
                <w:color w:val="000000" w:themeColor="text1"/>
                <w:sz w:val="21"/>
                <w:szCs w:val="21"/>
                <w:highlight w:val="none"/>
                <w14:textFill>
                  <w14:solidFill>
                    <w14:schemeClr w14:val="tx1"/>
                  </w14:solidFill>
                </w14:textFill>
              </w:rPr>
              <w:t>。</w:t>
            </w:r>
          </w:p>
          <w:p w14:paraId="1BCDECBE">
            <w:pPr>
              <w:keepNext w:val="0"/>
              <w:keepLines w:val="0"/>
              <w:pageBreakBefore w:val="0"/>
              <w:widowControl w:val="0"/>
              <w:numPr>
                <w:ilvl w:val="0"/>
                <w:numId w:val="0"/>
              </w:numPr>
              <w:kinsoku/>
              <w:wordWrap/>
              <w:overflowPunct/>
              <w:topLinePunct w:val="0"/>
              <w:autoSpaceDE/>
              <w:autoSpaceDN/>
              <w:bidi w:val="0"/>
              <w:adjustRightInd/>
              <w:snapToGrid/>
              <w:spacing w:line="440" w:lineRule="exact"/>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w:t>
            </w:r>
            <w:r>
              <w:rPr>
                <w:rFonts w:hint="eastAsia" w:ascii="宋体" w:hAnsi="宋体" w:cs="宋体"/>
                <w:color w:val="000000" w:themeColor="text1"/>
                <w:sz w:val="21"/>
                <w:szCs w:val="21"/>
                <w:highlight w:val="none"/>
                <w:lang w:val="en-US" w:eastAsia="zh-CN"/>
                <w14:textFill>
                  <w14:solidFill>
                    <w14:schemeClr w14:val="tx1"/>
                  </w14:solidFill>
                </w14:textFill>
              </w:rPr>
              <w:t>2、</w:t>
            </w:r>
            <w:r>
              <w:rPr>
                <w:rFonts w:hint="eastAsia" w:ascii="宋体" w:hAnsi="宋体" w:eastAsia="宋体" w:cs="宋体"/>
                <w:color w:val="000000" w:themeColor="text1"/>
                <w:sz w:val="21"/>
                <w:szCs w:val="21"/>
                <w:highlight w:val="none"/>
                <w:lang w:val="en-US" w:eastAsia="zh-CN"/>
                <w14:textFill>
                  <w14:solidFill>
                    <w14:schemeClr w14:val="tx1"/>
                  </w14:solidFill>
                </w14:textFill>
              </w:rPr>
              <w:t>建设地点：桂林市中西医结合医院内</w:t>
            </w:r>
            <w:r>
              <w:rPr>
                <w:rFonts w:hint="eastAsia" w:ascii="宋体" w:hAnsi="宋体" w:cs="宋体"/>
                <w:color w:val="000000" w:themeColor="text1"/>
                <w:sz w:val="21"/>
                <w:szCs w:val="21"/>
                <w:highlight w:val="none"/>
                <w:lang w:val="en-US" w:eastAsia="zh-CN"/>
                <w14:textFill>
                  <w14:solidFill>
                    <w14:schemeClr w14:val="tx1"/>
                  </w14:solidFill>
                </w14:textFill>
              </w:rPr>
              <w:t>。</w:t>
            </w:r>
          </w:p>
          <w:p w14:paraId="7E786C76">
            <w:pPr>
              <w:keepNext w:val="0"/>
              <w:keepLines w:val="0"/>
              <w:pageBreakBefore w:val="0"/>
              <w:widowControl w:val="0"/>
              <w:numPr>
                <w:ilvl w:val="0"/>
                <w:numId w:val="0"/>
              </w:numPr>
              <w:kinsoku/>
              <w:wordWrap/>
              <w:overflowPunct/>
              <w:topLinePunct w:val="0"/>
              <w:autoSpaceDE/>
              <w:autoSpaceDN/>
              <w:bidi w:val="0"/>
              <w:adjustRightInd/>
              <w:snapToGrid/>
              <w:spacing w:line="440" w:lineRule="exact"/>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w:t>
            </w:r>
            <w:r>
              <w:rPr>
                <w:rFonts w:hint="eastAsia" w:ascii="宋体" w:hAnsi="宋体" w:cs="宋体"/>
                <w:color w:val="000000" w:themeColor="text1"/>
                <w:sz w:val="21"/>
                <w:szCs w:val="21"/>
                <w:highlight w:val="none"/>
                <w:lang w:val="en-US" w:eastAsia="zh-CN"/>
                <w14:textFill>
                  <w14:solidFill>
                    <w14:schemeClr w14:val="tx1"/>
                  </w14:solidFill>
                </w14:textFill>
              </w:rPr>
              <w:t>3、</w:t>
            </w:r>
            <w:r>
              <w:rPr>
                <w:rFonts w:hint="eastAsia" w:ascii="宋体" w:hAnsi="宋体" w:eastAsia="宋体" w:cs="宋体"/>
                <w:color w:val="000000" w:themeColor="text1"/>
                <w:sz w:val="21"/>
                <w:szCs w:val="21"/>
                <w:highlight w:val="none"/>
                <w14:textFill>
                  <w14:solidFill>
                    <w14:schemeClr w14:val="tx1"/>
                  </w14:solidFill>
                </w14:textFill>
              </w:rPr>
              <w:t>质量要求：工程质量符合符合国家验收规范合格标准，满足施工图及其变更要求。</w:t>
            </w:r>
          </w:p>
          <w:p w14:paraId="714F26DC">
            <w:pPr>
              <w:keepNext w:val="0"/>
              <w:keepLines w:val="0"/>
              <w:pageBreakBefore w:val="0"/>
              <w:widowControl w:val="0"/>
              <w:numPr>
                <w:ilvl w:val="0"/>
                <w:numId w:val="0"/>
              </w:numPr>
              <w:kinsoku/>
              <w:wordWrap/>
              <w:overflowPunct/>
              <w:topLinePunct w:val="0"/>
              <w:autoSpaceDE/>
              <w:autoSpaceDN/>
              <w:bidi w:val="0"/>
              <w:adjustRightInd/>
              <w:snapToGrid/>
              <w:spacing w:line="440" w:lineRule="exact"/>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 w:val="21"/>
                <w:szCs w:val="21"/>
                <w:highlight w:val="none"/>
                <w:lang w:val="en-US" w:eastAsia="zh-CN"/>
                <w14:textFill>
                  <w14:solidFill>
                    <w14:schemeClr w14:val="tx1"/>
                  </w14:solidFill>
                </w14:textFill>
              </w:rPr>
              <w:t>4、</w:t>
            </w:r>
            <w:r>
              <w:rPr>
                <w:rFonts w:hint="eastAsia" w:ascii="宋体" w:hAnsi="宋体" w:eastAsia="宋体" w:cs="宋体"/>
                <w:color w:val="000000" w:themeColor="text1"/>
                <w:sz w:val="21"/>
                <w:szCs w:val="21"/>
                <w:highlight w:val="none"/>
                <w14:textFill>
                  <w14:solidFill>
                    <w14:schemeClr w14:val="tx1"/>
                  </w14:solidFill>
                </w14:textFill>
              </w:rPr>
              <w:t>施工组织设计：供应商应根据设计施工图纸、工程量清单进行</w:t>
            </w:r>
            <w:r>
              <w:rPr>
                <w:rFonts w:hint="eastAsia" w:ascii="宋体" w:hAnsi="宋体" w:eastAsia="宋体" w:cs="宋体"/>
                <w:color w:val="000000" w:themeColor="text1"/>
                <w:sz w:val="21"/>
                <w:szCs w:val="21"/>
                <w:highlight w:val="none"/>
                <w:lang w:eastAsia="zh-CN"/>
                <w14:textFill>
                  <w14:solidFill>
                    <w14:schemeClr w14:val="tx1"/>
                  </w14:solidFill>
                </w14:textFill>
              </w:rPr>
              <w:t>编制</w:t>
            </w:r>
            <w:r>
              <w:rPr>
                <w:rFonts w:hint="eastAsia" w:ascii="宋体" w:hAnsi="宋体" w:eastAsia="宋体" w:cs="宋体"/>
                <w:color w:val="000000" w:themeColor="text1"/>
                <w:sz w:val="21"/>
                <w:szCs w:val="21"/>
                <w:highlight w:val="none"/>
                <w14:textFill>
                  <w14:solidFill>
                    <w14:schemeClr w14:val="tx1"/>
                  </w14:solidFill>
                </w14:textFill>
              </w:rPr>
              <w:t>施工组织设计，包含</w:t>
            </w:r>
            <w:r>
              <w:rPr>
                <w:rFonts w:hint="eastAsia" w:ascii="宋体" w:hAnsi="宋体" w:eastAsia="宋体" w:cs="宋体"/>
                <w:color w:val="000000" w:themeColor="text1"/>
                <w:sz w:val="21"/>
                <w:szCs w:val="21"/>
                <w:highlight w:val="none"/>
                <w:lang w:eastAsia="zh-CN"/>
                <w14:textFill>
                  <w14:solidFill>
                    <w14:schemeClr w14:val="tx1"/>
                  </w14:solidFill>
                </w14:textFill>
              </w:rPr>
              <w:t>总体概述，主要施工方法，施工进度计划和各阶段进度的保证措施，劳动力和材料投入计划及其保证措施，施工平面布置和临时设施布置，关键施工技术、工艺及工程实施的重点、难点和解决方案，安全文明施工措施，质量保证与承诺，新技术应用与承诺</w:t>
            </w:r>
            <w:r>
              <w:rPr>
                <w:rFonts w:hint="eastAsia" w:ascii="宋体" w:hAnsi="宋体" w:eastAsia="宋体" w:cs="宋体"/>
                <w:color w:val="000000" w:themeColor="text1"/>
                <w:sz w:val="21"/>
                <w:szCs w:val="21"/>
                <w:highlight w:val="none"/>
                <w14:textFill>
                  <w14:solidFill>
                    <w14:schemeClr w14:val="tx1"/>
                  </w14:solidFill>
                </w14:textFill>
              </w:rPr>
              <w:t>等内容。</w:t>
            </w:r>
          </w:p>
          <w:p w14:paraId="2B4F150F">
            <w:pPr>
              <w:keepNext w:val="0"/>
              <w:keepLines w:val="0"/>
              <w:pageBreakBefore w:val="0"/>
              <w:widowControl w:val="0"/>
              <w:numPr>
                <w:ilvl w:val="0"/>
                <w:numId w:val="0"/>
              </w:numPr>
              <w:kinsoku/>
              <w:wordWrap/>
              <w:overflowPunct/>
              <w:topLinePunct w:val="0"/>
              <w:autoSpaceDE/>
              <w:autoSpaceDN/>
              <w:bidi w:val="0"/>
              <w:adjustRightInd/>
              <w:snapToGrid/>
              <w:spacing w:line="440" w:lineRule="exact"/>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w:t>
            </w:r>
            <w:r>
              <w:rPr>
                <w:rFonts w:hint="eastAsia" w:ascii="宋体" w:hAnsi="宋体" w:cs="宋体"/>
                <w:color w:val="000000" w:themeColor="text1"/>
                <w:sz w:val="21"/>
                <w:szCs w:val="21"/>
                <w:highlight w:val="none"/>
                <w:lang w:val="en-US" w:eastAsia="zh-CN"/>
                <w14:textFill>
                  <w14:solidFill>
                    <w14:schemeClr w14:val="tx1"/>
                  </w14:solidFill>
                </w14:textFill>
              </w:rPr>
              <w:t>5、</w:t>
            </w:r>
            <w:r>
              <w:rPr>
                <w:rFonts w:hint="eastAsia" w:ascii="宋体" w:hAnsi="宋体" w:cs="宋体"/>
                <w:color w:val="000000" w:themeColor="text1"/>
                <w:sz w:val="21"/>
                <w:szCs w:val="21"/>
                <w:highlight w:val="none"/>
                <w:lang w:eastAsia="zh-CN"/>
                <w14:textFill>
                  <w14:solidFill>
                    <w14:schemeClr w14:val="tx1"/>
                  </w14:solidFill>
                </w14:textFill>
              </w:rPr>
              <w:t>拟投入项目管理</w:t>
            </w:r>
            <w:r>
              <w:rPr>
                <w:rFonts w:hint="eastAsia" w:ascii="宋体" w:hAnsi="宋体" w:eastAsia="宋体" w:cs="宋体"/>
                <w:color w:val="000000" w:themeColor="text1"/>
                <w:sz w:val="21"/>
                <w:szCs w:val="21"/>
                <w:highlight w:val="none"/>
                <w14:textFill>
                  <w14:solidFill>
                    <w14:schemeClr w14:val="tx1"/>
                  </w14:solidFill>
                </w14:textFill>
              </w:rPr>
              <w:t>人员要求：</w:t>
            </w:r>
          </w:p>
          <w:p w14:paraId="12F036DD">
            <w:pPr>
              <w:keepNext w:val="0"/>
              <w:keepLines w:val="0"/>
              <w:pageBreakBefore w:val="0"/>
              <w:widowControl w:val="0"/>
              <w:numPr>
                <w:ilvl w:val="0"/>
                <w:numId w:val="1"/>
              </w:numPr>
              <w:kinsoku/>
              <w:wordWrap/>
              <w:overflowPunct/>
              <w:topLinePunct w:val="0"/>
              <w:autoSpaceDE/>
              <w:autoSpaceDN/>
              <w:bidi w:val="0"/>
              <w:adjustRightInd/>
              <w:snapToGrid/>
              <w:spacing w:line="440" w:lineRule="exact"/>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项目经理：</w:t>
            </w:r>
            <w:r>
              <w:rPr>
                <w:rFonts w:hint="eastAsia" w:ascii="宋体" w:hAnsi="宋体" w:cs="宋体"/>
                <w:color w:val="000000" w:themeColor="text1"/>
                <w:sz w:val="21"/>
                <w:szCs w:val="21"/>
                <w:highlight w:val="none"/>
                <w:lang w:val="en-US" w:eastAsia="zh-CN"/>
                <w14:textFill>
                  <w14:solidFill>
                    <w14:schemeClr w14:val="tx1"/>
                  </w14:solidFill>
                </w14:textFill>
              </w:rPr>
              <w:t>1名，</w:t>
            </w:r>
            <w:r>
              <w:rPr>
                <w:rFonts w:hint="eastAsia" w:ascii="宋体" w:hAnsi="宋体" w:eastAsia="宋体" w:cs="宋体"/>
                <w:color w:val="000000" w:themeColor="text1"/>
                <w:sz w:val="21"/>
                <w:szCs w:val="21"/>
                <w:highlight w:val="none"/>
                <w14:textFill>
                  <w14:solidFill>
                    <w14:schemeClr w14:val="tx1"/>
                  </w14:solidFill>
                </w14:textFill>
              </w:rPr>
              <w:t>具备</w:t>
            </w:r>
            <w:r>
              <w:rPr>
                <w:rFonts w:hint="eastAsia" w:ascii="宋体" w:hAnsi="宋体" w:eastAsia="宋体" w:cs="宋体"/>
                <w:color w:val="000000" w:themeColor="text1"/>
                <w:sz w:val="21"/>
                <w:szCs w:val="21"/>
                <w:highlight w:val="none"/>
                <w:u w:val="single"/>
                <w:lang w:val="en-US" w:eastAsia="zh-CN"/>
                <w14:textFill>
                  <w14:solidFill>
                    <w14:schemeClr w14:val="tx1"/>
                  </w14:solidFill>
                </w14:textFill>
              </w:rPr>
              <w:t xml:space="preserve"> </w:t>
            </w:r>
            <w:r>
              <w:rPr>
                <w:rFonts w:hint="eastAsia" w:ascii="宋体" w:hAnsi="宋体" w:cs="宋体"/>
                <w:color w:val="000000" w:themeColor="text1"/>
                <w:sz w:val="21"/>
                <w:szCs w:val="21"/>
                <w:highlight w:val="none"/>
                <w:u w:val="single"/>
                <w:lang w:val="en-US" w:eastAsia="zh-CN"/>
                <w14:textFill>
                  <w14:solidFill>
                    <w14:schemeClr w14:val="tx1"/>
                  </w14:solidFill>
                </w14:textFill>
              </w:rPr>
              <w:t>建筑</w:t>
            </w:r>
            <w:r>
              <w:rPr>
                <w:rFonts w:hint="eastAsia" w:ascii="宋体" w:hAnsi="宋体" w:eastAsia="宋体" w:cs="宋体"/>
                <w:color w:val="000000" w:themeColor="text1"/>
                <w:sz w:val="21"/>
                <w:szCs w:val="21"/>
                <w:highlight w:val="none"/>
                <w:u w:val="single"/>
                <w14:textFill>
                  <w14:solidFill>
                    <w14:schemeClr w14:val="tx1"/>
                  </w14:solidFill>
                </w14:textFill>
              </w:rPr>
              <w:t>工程</w:t>
            </w:r>
            <w:r>
              <w:rPr>
                <w:rFonts w:hint="eastAsia" w:ascii="宋体" w:hAnsi="宋体" w:eastAsia="宋体" w:cs="宋体"/>
                <w:color w:val="000000" w:themeColor="text1"/>
                <w:sz w:val="21"/>
                <w:szCs w:val="21"/>
                <w:highlight w:val="none"/>
                <w:u w:val="single"/>
                <w:lang w:val="en-US" w:eastAsia="zh-CN"/>
                <w14:textFill>
                  <w14:solidFill>
                    <w14:schemeClr w14:val="tx1"/>
                  </w14:solidFill>
                </w14:textFill>
              </w:rPr>
              <w:t xml:space="preserve"> </w:t>
            </w:r>
            <w:r>
              <w:rPr>
                <w:rFonts w:hint="eastAsia" w:ascii="宋体" w:hAnsi="宋体" w:eastAsia="宋体" w:cs="宋体"/>
                <w:color w:val="000000" w:themeColor="text1"/>
                <w:sz w:val="21"/>
                <w:szCs w:val="21"/>
                <w:highlight w:val="none"/>
                <w14:textFill>
                  <w14:solidFill>
                    <w14:schemeClr w14:val="tx1"/>
                  </w14:solidFill>
                </w14:textFill>
              </w:rPr>
              <w:t>专业二级（含）以上注册建造师执业资格，具备有效的安全生产考核合格证书（B类）</w:t>
            </w:r>
            <w:r>
              <w:rPr>
                <w:rFonts w:hint="eastAsia" w:ascii="宋体" w:hAnsi="宋体" w:cs="宋体"/>
                <w:color w:val="000000" w:themeColor="text1"/>
                <w:sz w:val="21"/>
                <w:szCs w:val="21"/>
                <w:highlight w:val="none"/>
                <w:lang w:eastAsia="zh-CN"/>
                <w14:textFill>
                  <w14:solidFill>
                    <w14:schemeClr w14:val="tx1"/>
                  </w14:solidFill>
                </w14:textFill>
              </w:rPr>
              <w:t>，于首次响应文件中</w:t>
            </w:r>
            <w:r>
              <w:rPr>
                <w:rFonts w:hint="eastAsia"/>
                <w:color w:val="000000" w:themeColor="text1"/>
                <w:sz w:val="21"/>
                <w:szCs w:val="21"/>
                <w:highlight w:val="none"/>
                <w14:textFill>
                  <w14:solidFill>
                    <w14:schemeClr w14:val="tx1"/>
                  </w14:solidFill>
                </w14:textFill>
              </w:rPr>
              <w:t>提供供应商为其依法缴纳社会保险（202</w:t>
            </w:r>
            <w:r>
              <w:rPr>
                <w:rFonts w:hint="eastAsia"/>
                <w:color w:val="000000" w:themeColor="text1"/>
                <w:sz w:val="21"/>
                <w:szCs w:val="21"/>
                <w:highlight w:val="none"/>
                <w:lang w:val="en-US" w:eastAsia="zh-CN"/>
                <w14:textFill>
                  <w14:solidFill>
                    <w14:schemeClr w14:val="tx1"/>
                  </w14:solidFill>
                </w14:textFill>
              </w:rPr>
              <w:t>5</w:t>
            </w:r>
            <w:r>
              <w:rPr>
                <w:rFonts w:hint="eastAsia"/>
                <w:color w:val="000000" w:themeColor="text1"/>
                <w:sz w:val="21"/>
                <w:szCs w:val="21"/>
                <w:highlight w:val="none"/>
                <w14:textFill>
                  <w14:solidFill>
                    <w14:schemeClr w14:val="tx1"/>
                  </w14:solidFill>
                </w14:textFill>
              </w:rPr>
              <w:t>年</w:t>
            </w:r>
            <w:r>
              <w:rPr>
                <w:rFonts w:hint="eastAsia"/>
                <w:color w:val="000000" w:themeColor="text1"/>
                <w:sz w:val="21"/>
                <w:szCs w:val="21"/>
                <w:highlight w:val="none"/>
                <w:lang w:val="en-US" w:eastAsia="zh-CN"/>
                <w14:textFill>
                  <w14:solidFill>
                    <w14:schemeClr w14:val="tx1"/>
                  </w14:solidFill>
                </w14:textFill>
              </w:rPr>
              <w:t>8</w:t>
            </w:r>
            <w:r>
              <w:rPr>
                <w:rFonts w:hint="eastAsia"/>
                <w:color w:val="000000" w:themeColor="text1"/>
                <w:sz w:val="21"/>
                <w:szCs w:val="21"/>
                <w:highlight w:val="none"/>
                <w14:textFill>
                  <w14:solidFill>
                    <w14:schemeClr w14:val="tx1"/>
                  </w14:solidFill>
                </w14:textFill>
              </w:rPr>
              <w:t>月至响应文件</w:t>
            </w:r>
            <w:r>
              <w:rPr>
                <w:color w:val="000000" w:themeColor="text1"/>
                <w:sz w:val="21"/>
                <w:szCs w:val="21"/>
                <w:highlight w:val="none"/>
                <w14:textFill>
                  <w14:solidFill>
                    <w14:schemeClr w14:val="tx1"/>
                  </w14:solidFill>
                </w14:textFill>
              </w:rPr>
              <w:t>提交截止时间止</w:t>
            </w:r>
            <w:r>
              <w:rPr>
                <w:rFonts w:hint="eastAsia"/>
                <w:color w:val="000000" w:themeColor="text1"/>
                <w:sz w:val="21"/>
                <w:szCs w:val="21"/>
                <w:highlight w:val="none"/>
                <w14:textFill>
                  <w14:solidFill>
                    <w14:schemeClr w14:val="tx1"/>
                  </w14:solidFill>
                </w14:textFill>
              </w:rPr>
              <w:t>任意</w:t>
            </w:r>
            <w:r>
              <w:rPr>
                <w:rFonts w:hint="eastAsia"/>
                <w:color w:val="000000" w:themeColor="text1"/>
                <w:sz w:val="21"/>
                <w:szCs w:val="21"/>
                <w:highlight w:val="none"/>
                <w:lang w:val="en-US" w:eastAsia="zh-CN"/>
                <w14:textFill>
                  <w14:solidFill>
                    <w14:schemeClr w14:val="tx1"/>
                  </w14:solidFill>
                </w14:textFill>
              </w:rPr>
              <w:t>1</w:t>
            </w:r>
            <w:r>
              <w:rPr>
                <w:rFonts w:hint="eastAsia"/>
                <w:color w:val="000000" w:themeColor="text1"/>
                <w:sz w:val="21"/>
                <w:szCs w:val="21"/>
                <w:highlight w:val="none"/>
                <w14:textFill>
                  <w14:solidFill>
                    <w14:schemeClr w14:val="tx1"/>
                  </w14:solidFill>
                </w14:textFill>
              </w:rPr>
              <w:t>个月的证明材料）</w:t>
            </w:r>
            <w:r>
              <w:rPr>
                <w:rFonts w:hint="eastAsia" w:ascii="宋体" w:hAnsi="宋体" w:eastAsia="宋体" w:cs="宋体"/>
                <w:color w:val="000000" w:themeColor="text1"/>
                <w:sz w:val="21"/>
                <w:szCs w:val="21"/>
                <w:highlight w:val="none"/>
                <w14:textFill>
                  <w14:solidFill>
                    <w14:schemeClr w14:val="tx1"/>
                  </w14:solidFill>
                </w14:textFill>
              </w:rPr>
              <w:t>。</w:t>
            </w:r>
          </w:p>
          <w:p w14:paraId="73FAB273">
            <w:pPr>
              <w:keepNext w:val="0"/>
              <w:keepLines w:val="0"/>
              <w:pageBreakBefore w:val="0"/>
              <w:widowControl w:val="0"/>
              <w:numPr>
                <w:ilvl w:val="0"/>
                <w:numId w:val="1"/>
              </w:numPr>
              <w:kinsoku/>
              <w:wordWrap/>
              <w:overflowPunct/>
              <w:topLinePunct w:val="0"/>
              <w:autoSpaceDE/>
              <w:autoSpaceDN/>
              <w:bidi w:val="0"/>
              <w:adjustRightInd/>
              <w:snapToGrid/>
              <w:spacing w:line="440" w:lineRule="exact"/>
              <w:textAlignment w:val="auto"/>
              <w:rPr>
                <w:rFonts w:hint="eastAsia"/>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eastAsia="zh-CN"/>
                <w14:textFill>
                  <w14:solidFill>
                    <w14:schemeClr w14:val="tx1"/>
                  </w14:solidFill>
                </w14:textFill>
              </w:rPr>
              <w:t>专职</w:t>
            </w:r>
            <w:r>
              <w:rPr>
                <w:rFonts w:hint="eastAsia" w:ascii="宋体" w:hAnsi="宋体" w:eastAsia="宋体" w:cs="宋体"/>
                <w:color w:val="000000" w:themeColor="text1"/>
                <w:sz w:val="21"/>
                <w:szCs w:val="21"/>
                <w:highlight w:val="none"/>
                <w14:textFill>
                  <w14:solidFill>
                    <w14:schemeClr w14:val="tx1"/>
                  </w14:solidFill>
                </w14:textFill>
              </w:rPr>
              <w:t>安全员：</w:t>
            </w:r>
            <w:r>
              <w:rPr>
                <w:rFonts w:hint="eastAsia" w:ascii="宋体" w:hAnsi="宋体" w:cs="宋体"/>
                <w:color w:val="000000" w:themeColor="text1"/>
                <w:sz w:val="21"/>
                <w:szCs w:val="21"/>
                <w:highlight w:val="none"/>
                <w:lang w:val="en-US" w:eastAsia="zh-CN"/>
                <w14:textFill>
                  <w14:solidFill>
                    <w14:schemeClr w14:val="tx1"/>
                  </w14:solidFill>
                </w14:textFill>
              </w:rPr>
              <w:t>1名，</w:t>
            </w:r>
            <w:r>
              <w:rPr>
                <w:rFonts w:hint="eastAsia" w:ascii="宋体" w:hAnsi="宋体" w:eastAsia="宋体" w:cs="宋体"/>
                <w:color w:val="000000" w:themeColor="text1"/>
                <w:sz w:val="21"/>
                <w:szCs w:val="21"/>
                <w:highlight w:val="none"/>
                <w14:textFill>
                  <w14:solidFill>
                    <w14:schemeClr w14:val="tx1"/>
                  </w14:solidFill>
                </w14:textFill>
              </w:rPr>
              <w:t>具备有效的安全生产考核合格证书（C类）</w:t>
            </w:r>
            <w:r>
              <w:rPr>
                <w:rFonts w:hint="eastAsia" w:ascii="宋体" w:hAnsi="宋体" w:cs="宋体"/>
                <w:color w:val="000000" w:themeColor="text1"/>
                <w:sz w:val="21"/>
                <w:szCs w:val="21"/>
                <w:highlight w:val="none"/>
                <w:lang w:eastAsia="zh-CN"/>
                <w14:textFill>
                  <w14:solidFill>
                    <w14:schemeClr w14:val="tx1"/>
                  </w14:solidFill>
                </w14:textFill>
              </w:rPr>
              <w:t>，于首次响应文件中</w:t>
            </w:r>
            <w:r>
              <w:rPr>
                <w:rFonts w:hint="eastAsia"/>
                <w:color w:val="000000" w:themeColor="text1"/>
                <w:sz w:val="21"/>
                <w:szCs w:val="21"/>
                <w:highlight w:val="none"/>
                <w14:textFill>
                  <w14:solidFill>
                    <w14:schemeClr w14:val="tx1"/>
                  </w14:solidFill>
                </w14:textFill>
              </w:rPr>
              <w:t>提供供应商为其依法缴纳社会保险（202</w:t>
            </w:r>
            <w:r>
              <w:rPr>
                <w:rFonts w:hint="eastAsia"/>
                <w:color w:val="000000" w:themeColor="text1"/>
                <w:sz w:val="21"/>
                <w:szCs w:val="21"/>
                <w:highlight w:val="none"/>
                <w:lang w:val="en-US" w:eastAsia="zh-CN"/>
                <w14:textFill>
                  <w14:solidFill>
                    <w14:schemeClr w14:val="tx1"/>
                  </w14:solidFill>
                </w14:textFill>
              </w:rPr>
              <w:t>5</w:t>
            </w:r>
            <w:r>
              <w:rPr>
                <w:rFonts w:hint="eastAsia"/>
                <w:color w:val="000000" w:themeColor="text1"/>
                <w:sz w:val="21"/>
                <w:szCs w:val="21"/>
                <w:highlight w:val="none"/>
                <w14:textFill>
                  <w14:solidFill>
                    <w14:schemeClr w14:val="tx1"/>
                  </w14:solidFill>
                </w14:textFill>
              </w:rPr>
              <w:t>年</w:t>
            </w:r>
            <w:r>
              <w:rPr>
                <w:rFonts w:hint="eastAsia"/>
                <w:color w:val="000000" w:themeColor="text1"/>
                <w:sz w:val="21"/>
                <w:szCs w:val="21"/>
                <w:highlight w:val="none"/>
                <w:lang w:val="en-US" w:eastAsia="zh-CN"/>
                <w14:textFill>
                  <w14:solidFill>
                    <w14:schemeClr w14:val="tx1"/>
                  </w14:solidFill>
                </w14:textFill>
              </w:rPr>
              <w:t>8</w:t>
            </w:r>
            <w:r>
              <w:rPr>
                <w:rFonts w:hint="eastAsia"/>
                <w:color w:val="000000" w:themeColor="text1"/>
                <w:sz w:val="21"/>
                <w:szCs w:val="21"/>
                <w:highlight w:val="none"/>
                <w14:textFill>
                  <w14:solidFill>
                    <w14:schemeClr w14:val="tx1"/>
                  </w14:solidFill>
                </w14:textFill>
              </w:rPr>
              <w:t>月至响应文件</w:t>
            </w:r>
            <w:r>
              <w:rPr>
                <w:color w:val="000000" w:themeColor="text1"/>
                <w:sz w:val="21"/>
                <w:szCs w:val="21"/>
                <w:highlight w:val="none"/>
                <w14:textFill>
                  <w14:solidFill>
                    <w14:schemeClr w14:val="tx1"/>
                  </w14:solidFill>
                </w14:textFill>
              </w:rPr>
              <w:t>提交截止时间止</w:t>
            </w:r>
            <w:r>
              <w:rPr>
                <w:rFonts w:hint="eastAsia"/>
                <w:color w:val="000000" w:themeColor="text1"/>
                <w:sz w:val="21"/>
                <w:szCs w:val="21"/>
                <w:highlight w:val="none"/>
                <w14:textFill>
                  <w14:solidFill>
                    <w14:schemeClr w14:val="tx1"/>
                  </w14:solidFill>
                </w14:textFill>
              </w:rPr>
              <w:t>任意</w:t>
            </w:r>
            <w:r>
              <w:rPr>
                <w:rFonts w:hint="eastAsia"/>
                <w:color w:val="000000" w:themeColor="text1"/>
                <w:sz w:val="21"/>
                <w:szCs w:val="21"/>
                <w:highlight w:val="none"/>
                <w:lang w:val="en-US" w:eastAsia="zh-CN"/>
                <w14:textFill>
                  <w14:solidFill>
                    <w14:schemeClr w14:val="tx1"/>
                  </w14:solidFill>
                </w14:textFill>
              </w:rPr>
              <w:t>1</w:t>
            </w:r>
            <w:r>
              <w:rPr>
                <w:rFonts w:hint="eastAsia"/>
                <w:color w:val="000000" w:themeColor="text1"/>
                <w:sz w:val="21"/>
                <w:szCs w:val="21"/>
                <w:highlight w:val="none"/>
                <w14:textFill>
                  <w14:solidFill>
                    <w14:schemeClr w14:val="tx1"/>
                  </w14:solidFill>
                </w14:textFill>
              </w:rPr>
              <w:t>个月的证明材料）</w:t>
            </w:r>
            <w:r>
              <w:rPr>
                <w:rFonts w:hint="eastAsia" w:ascii="宋体" w:hAnsi="宋体" w:eastAsia="宋体" w:cs="宋体"/>
                <w:color w:val="000000" w:themeColor="text1"/>
                <w:sz w:val="21"/>
                <w:szCs w:val="21"/>
                <w:highlight w:val="none"/>
                <w14:textFill>
                  <w14:solidFill>
                    <w14:schemeClr w14:val="tx1"/>
                  </w14:solidFill>
                </w14:textFill>
              </w:rPr>
              <w:t>。</w:t>
            </w:r>
          </w:p>
          <w:p w14:paraId="2267074E">
            <w:pPr>
              <w:keepNext w:val="0"/>
              <w:keepLines w:val="0"/>
              <w:pageBreakBefore w:val="0"/>
              <w:widowControl w:val="0"/>
              <w:numPr>
                <w:ilvl w:val="0"/>
                <w:numId w:val="1"/>
              </w:numPr>
              <w:kinsoku/>
              <w:wordWrap/>
              <w:overflowPunct/>
              <w:topLinePunct w:val="0"/>
              <w:autoSpaceDE/>
              <w:autoSpaceDN/>
              <w:bidi w:val="0"/>
              <w:adjustRightInd/>
              <w:snapToGrid/>
              <w:spacing w:line="440" w:lineRule="exact"/>
              <w:textAlignment w:val="auto"/>
              <w:rPr>
                <w:rFonts w:hint="eastAsia"/>
                <w:color w:val="000000" w:themeColor="text1"/>
                <w:sz w:val="21"/>
                <w:szCs w:val="21"/>
                <w:highlight w:val="none"/>
                <w:lang w:val="en-US" w:eastAsia="zh-CN"/>
                <w14:textFill>
                  <w14:solidFill>
                    <w14:schemeClr w14:val="tx1"/>
                  </w14:solidFill>
                </w14:textFill>
              </w:rPr>
            </w:pPr>
            <w:bookmarkStart w:id="55" w:name="EB8b0fed5d468f4803a03ce89208a0b216"/>
            <w:r>
              <w:rPr>
                <w:rFonts w:hint="eastAsia"/>
                <w:b/>
                <w:bCs/>
                <w:color w:val="000000" w:themeColor="text1"/>
                <w:sz w:val="21"/>
                <w:szCs w:val="21"/>
                <w:highlight w:val="none"/>
                <w:lang w:val="en-US" w:eastAsia="zh-CN"/>
                <w14:textFill>
                  <w14:solidFill>
                    <w14:schemeClr w14:val="tx1"/>
                  </w14:solidFill>
                </w14:textFill>
              </w:rPr>
              <w:t>符合市建规(2006)270 号文现场人员规定最低要求。</w:t>
            </w:r>
            <w:bookmarkEnd w:id="55"/>
          </w:p>
        </w:tc>
        <w:tc>
          <w:tcPr>
            <w:tcW w:w="920" w:type="dxa"/>
            <w:noWrap w:val="0"/>
            <w:vAlign w:val="center"/>
          </w:tcPr>
          <w:p w14:paraId="36C9EF8E">
            <w:pPr>
              <w:keepNext w:val="0"/>
              <w:keepLines w:val="0"/>
              <w:pageBreakBefore w:val="0"/>
              <w:widowControl w:val="0"/>
              <w:kinsoku/>
              <w:wordWrap/>
              <w:overflowPunct/>
              <w:topLinePunct w:val="0"/>
              <w:autoSpaceDE/>
              <w:autoSpaceDN/>
              <w:bidi w:val="0"/>
              <w:adjustRightInd/>
              <w:snapToGrid/>
              <w:spacing w:line="440" w:lineRule="exact"/>
              <w:jc w:val="left"/>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u w:val="none"/>
                <w14:textFill>
                  <w14:solidFill>
                    <w14:schemeClr w14:val="tx1"/>
                  </w14:solidFill>
                </w14:textFill>
              </w:rPr>
              <w:t>建筑业</w:t>
            </w:r>
          </w:p>
        </w:tc>
      </w:tr>
      <w:tr w14:paraId="576180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jc w:val="center"/>
        </w:trPr>
        <w:tc>
          <w:tcPr>
            <w:tcW w:w="9729" w:type="dxa"/>
            <w:gridSpan w:val="7"/>
            <w:noWrap w:val="0"/>
            <w:vAlign w:val="center"/>
          </w:tcPr>
          <w:p w14:paraId="6A3B8796">
            <w:pPr>
              <w:keepNext w:val="0"/>
              <w:keepLines w:val="0"/>
              <w:pageBreakBefore w:val="0"/>
              <w:widowControl w:val="0"/>
              <w:kinsoku/>
              <w:wordWrap/>
              <w:overflowPunct/>
              <w:topLinePunct w:val="0"/>
              <w:autoSpaceDE/>
              <w:autoSpaceDN/>
              <w:bidi w:val="0"/>
              <w:adjustRightInd/>
              <w:snapToGrid/>
              <w:spacing w:line="440" w:lineRule="exact"/>
              <w:jc w:val="left"/>
              <w:textAlignment w:val="auto"/>
              <w:rPr>
                <w:rFonts w:hint="eastAsia" w:ascii="宋体" w:hAnsi="宋体" w:eastAsia="宋体" w:cs="宋体"/>
                <w:color w:val="000000" w:themeColor="text1"/>
                <w:sz w:val="21"/>
                <w:szCs w:val="21"/>
                <w:highlight w:val="none"/>
                <w:u w:val="none"/>
                <w14:textFill>
                  <w14:solidFill>
                    <w14:schemeClr w14:val="tx1"/>
                  </w14:solidFill>
                </w14:textFill>
              </w:rPr>
            </w:pPr>
            <w:bookmarkStart w:id="56" w:name="_Toc24757"/>
            <w:bookmarkStart w:id="57" w:name="_Toc18485"/>
            <w:r>
              <w:rPr>
                <w:rFonts w:hint="eastAsia" w:ascii="宋体" w:hAnsi="宋体" w:eastAsia="宋体" w:cs="宋体"/>
                <w:color w:val="000000" w:themeColor="text1"/>
                <w:sz w:val="21"/>
                <w:szCs w:val="21"/>
                <w:highlight w:val="none"/>
                <w14:textFill>
                  <w14:solidFill>
                    <w14:schemeClr w14:val="tx1"/>
                  </w14:solidFill>
                </w14:textFill>
              </w:rPr>
              <w:t>▲</w:t>
            </w:r>
            <w:r>
              <w:rPr>
                <w:rFonts w:hint="eastAsia"/>
                <w:b/>
                <w:bCs/>
                <w:color w:val="000000" w:themeColor="text1"/>
                <w:sz w:val="24"/>
                <w:highlight w:val="none"/>
                <w14:textFill>
                  <w14:solidFill>
                    <w14:schemeClr w14:val="tx1"/>
                  </w14:solidFill>
                </w14:textFill>
              </w:rPr>
              <w:t>二、商务条款</w:t>
            </w:r>
          </w:p>
        </w:tc>
      </w:tr>
      <w:bookmarkEnd w:id="56"/>
      <w:bookmarkEnd w:id="57"/>
      <w:tr w14:paraId="675267F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blHeader/>
          <w:jc w:val="center"/>
        </w:trPr>
        <w:tc>
          <w:tcPr>
            <w:tcW w:w="900" w:type="dxa"/>
            <w:gridSpan w:val="2"/>
            <w:tcBorders>
              <w:top w:val="single" w:color="auto" w:sz="4" w:space="0"/>
              <w:left w:val="single" w:color="auto" w:sz="4" w:space="0"/>
              <w:bottom w:val="single" w:color="auto" w:sz="4" w:space="0"/>
              <w:right w:val="single" w:color="auto" w:sz="4" w:space="0"/>
            </w:tcBorders>
            <w:shd w:val="clear" w:color="auto" w:fill="auto"/>
            <w:noWrap w:val="0"/>
            <w:vAlign w:val="center"/>
          </w:tcPr>
          <w:p w14:paraId="0A7FFA2B">
            <w:pPr>
              <w:keepNext w:val="0"/>
              <w:keepLines w:val="0"/>
              <w:pageBreakBefore w:val="0"/>
              <w:kinsoku/>
              <w:wordWrap/>
              <w:overflowPunct/>
              <w:topLinePunct w:val="0"/>
              <w:autoSpaceDE/>
              <w:autoSpaceDN/>
              <w:bidi w:val="0"/>
              <w:adjustRightInd/>
              <w:spacing w:line="440" w:lineRule="exact"/>
              <w:jc w:val="center"/>
              <w:textAlignment w:val="auto"/>
              <w:rPr>
                <w:rFonts w:hint="eastAsia" w:cs="宋体"/>
                <w:b/>
                <w:bCs/>
                <w:color w:val="000000" w:themeColor="text1"/>
                <w:szCs w:val="21"/>
                <w:highlight w:val="none"/>
                <w14:textFill>
                  <w14:solidFill>
                    <w14:schemeClr w14:val="tx1"/>
                  </w14:solidFill>
                </w14:textFill>
              </w:rPr>
            </w:pPr>
            <w:r>
              <w:rPr>
                <w:rFonts w:hint="eastAsia" w:cs="宋体"/>
                <w:b/>
                <w:bCs/>
                <w:color w:val="000000" w:themeColor="text1"/>
                <w:szCs w:val="21"/>
                <w:highlight w:val="none"/>
                <w14:textFill>
                  <w14:solidFill>
                    <w14:schemeClr w14:val="tx1"/>
                  </w14:solidFill>
                </w14:textFill>
              </w:rPr>
              <w:t>项号</w:t>
            </w:r>
          </w:p>
        </w:tc>
        <w:tc>
          <w:tcPr>
            <w:tcW w:w="2022" w:type="dxa"/>
            <w:gridSpan w:val="2"/>
            <w:tcBorders>
              <w:top w:val="single" w:color="auto" w:sz="4" w:space="0"/>
              <w:left w:val="single" w:color="auto" w:sz="4" w:space="0"/>
              <w:bottom w:val="single" w:color="auto" w:sz="4" w:space="0"/>
              <w:right w:val="single" w:color="auto" w:sz="4" w:space="0"/>
            </w:tcBorders>
            <w:shd w:val="clear" w:color="auto" w:fill="auto"/>
            <w:noWrap w:val="0"/>
            <w:vAlign w:val="center"/>
          </w:tcPr>
          <w:p w14:paraId="680CE991">
            <w:pPr>
              <w:keepNext w:val="0"/>
              <w:keepLines w:val="0"/>
              <w:pageBreakBefore w:val="0"/>
              <w:widowControl/>
              <w:kinsoku/>
              <w:wordWrap/>
              <w:overflowPunct/>
              <w:topLinePunct w:val="0"/>
              <w:autoSpaceDE/>
              <w:autoSpaceDN/>
              <w:bidi w:val="0"/>
              <w:adjustRightInd/>
              <w:spacing w:line="440" w:lineRule="exact"/>
              <w:jc w:val="center"/>
              <w:textAlignment w:val="auto"/>
              <w:rPr>
                <w:rFonts w:cs="宋体"/>
                <w:b/>
                <w:bCs/>
                <w:color w:val="000000" w:themeColor="text1"/>
                <w:szCs w:val="21"/>
                <w:highlight w:val="none"/>
                <w14:textFill>
                  <w14:solidFill>
                    <w14:schemeClr w14:val="tx1"/>
                  </w14:solidFill>
                </w14:textFill>
              </w:rPr>
            </w:pPr>
            <w:r>
              <w:rPr>
                <w:rFonts w:hint="eastAsia" w:cs="宋体"/>
                <w:b/>
                <w:bCs/>
                <w:color w:val="000000" w:themeColor="text1"/>
                <w:szCs w:val="21"/>
                <w:highlight w:val="none"/>
                <w14:textFill>
                  <w14:solidFill>
                    <w14:schemeClr w14:val="tx1"/>
                  </w14:solidFill>
                </w14:textFill>
              </w:rPr>
              <w:t>商务条款名称</w:t>
            </w:r>
          </w:p>
        </w:tc>
        <w:tc>
          <w:tcPr>
            <w:tcW w:w="6807" w:type="dxa"/>
            <w:gridSpan w:val="3"/>
            <w:tcBorders>
              <w:top w:val="single" w:color="auto" w:sz="4" w:space="0"/>
              <w:left w:val="single" w:color="auto" w:sz="4" w:space="0"/>
              <w:bottom w:val="single" w:color="auto" w:sz="4" w:space="0"/>
              <w:right w:val="single" w:color="auto" w:sz="4" w:space="0"/>
            </w:tcBorders>
            <w:shd w:val="clear" w:color="auto" w:fill="auto"/>
            <w:noWrap w:val="0"/>
            <w:vAlign w:val="center"/>
          </w:tcPr>
          <w:p w14:paraId="7C6BF2EE">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cs="宋体"/>
                <w:b/>
                <w:bCs/>
                <w:color w:val="000000" w:themeColor="text1"/>
                <w:kern w:val="0"/>
                <w:szCs w:val="21"/>
                <w:highlight w:val="none"/>
                <w14:textFill>
                  <w14:solidFill>
                    <w14:schemeClr w14:val="tx1"/>
                  </w14:solidFill>
                </w14:textFill>
              </w:rPr>
            </w:pPr>
            <w:r>
              <w:rPr>
                <w:rFonts w:hint="eastAsia" w:cs="宋体"/>
                <w:b/>
                <w:bCs/>
                <w:color w:val="000000" w:themeColor="text1"/>
                <w:szCs w:val="21"/>
                <w:highlight w:val="none"/>
                <w14:textFill>
                  <w14:solidFill>
                    <w14:schemeClr w14:val="tx1"/>
                  </w14:solidFill>
                </w14:textFill>
              </w:rPr>
              <w:t>商务条款内容要求</w:t>
            </w:r>
          </w:p>
        </w:tc>
      </w:tr>
      <w:tr w14:paraId="511D5EC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900" w:type="dxa"/>
            <w:gridSpan w:val="2"/>
            <w:tcBorders>
              <w:top w:val="single" w:color="auto" w:sz="4" w:space="0"/>
              <w:left w:val="single" w:color="auto" w:sz="4" w:space="0"/>
              <w:bottom w:val="single" w:color="auto" w:sz="4" w:space="0"/>
              <w:right w:val="single" w:color="auto" w:sz="4" w:space="0"/>
            </w:tcBorders>
            <w:noWrap w:val="0"/>
            <w:vAlign w:val="center"/>
          </w:tcPr>
          <w:p w14:paraId="15AF6739">
            <w:pPr>
              <w:keepNext w:val="0"/>
              <w:keepLines w:val="0"/>
              <w:pageBreakBefore w:val="0"/>
              <w:kinsoku/>
              <w:wordWrap/>
              <w:overflowPunct/>
              <w:topLinePunct w:val="0"/>
              <w:autoSpaceDE/>
              <w:autoSpaceDN/>
              <w:bidi w:val="0"/>
              <w:adjustRightInd/>
              <w:snapToGrid w:val="0"/>
              <w:spacing w:line="440" w:lineRule="exact"/>
              <w:jc w:val="center"/>
              <w:textAlignment w:val="auto"/>
              <w:rPr>
                <w:rFonts w:cs="宋体"/>
                <w:color w:val="000000" w:themeColor="text1"/>
                <w:szCs w:val="21"/>
                <w:highlight w:val="none"/>
                <w14:textFill>
                  <w14:solidFill>
                    <w14:schemeClr w14:val="tx1"/>
                  </w14:solidFill>
                </w14:textFill>
              </w:rPr>
            </w:pPr>
            <w:r>
              <w:rPr>
                <w:rFonts w:hint="eastAsia" w:cs="宋体"/>
                <w:color w:val="000000" w:themeColor="text1"/>
                <w:szCs w:val="21"/>
                <w:highlight w:val="none"/>
                <w14:textFill>
                  <w14:solidFill>
                    <w14:schemeClr w14:val="tx1"/>
                  </w14:solidFill>
                </w14:textFill>
              </w:rPr>
              <w:t>1</w:t>
            </w:r>
          </w:p>
        </w:tc>
        <w:tc>
          <w:tcPr>
            <w:tcW w:w="2022" w:type="dxa"/>
            <w:gridSpan w:val="2"/>
            <w:tcBorders>
              <w:top w:val="single" w:color="auto" w:sz="4" w:space="0"/>
              <w:left w:val="single" w:color="auto" w:sz="4" w:space="0"/>
              <w:bottom w:val="single" w:color="auto" w:sz="4" w:space="0"/>
              <w:right w:val="single" w:color="auto" w:sz="4" w:space="0"/>
            </w:tcBorders>
            <w:noWrap w:val="0"/>
            <w:vAlign w:val="center"/>
          </w:tcPr>
          <w:p w14:paraId="6833EEE3">
            <w:pPr>
              <w:keepNext w:val="0"/>
              <w:keepLines w:val="0"/>
              <w:pageBreakBefore w:val="0"/>
              <w:kinsoku/>
              <w:wordWrap/>
              <w:overflowPunct/>
              <w:topLinePunct w:val="0"/>
              <w:autoSpaceDE/>
              <w:autoSpaceDN/>
              <w:bidi w:val="0"/>
              <w:adjustRightInd/>
              <w:snapToGrid w:val="0"/>
              <w:spacing w:line="440" w:lineRule="exact"/>
              <w:jc w:val="center"/>
              <w:textAlignment w:val="auto"/>
              <w:rPr>
                <w:rFonts w:hint="eastAsia" w:cs="宋体"/>
                <w:bCs/>
                <w:color w:val="000000" w:themeColor="text1"/>
                <w:szCs w:val="21"/>
                <w:highlight w:val="none"/>
                <w14:textFill>
                  <w14:solidFill>
                    <w14:schemeClr w14:val="tx1"/>
                  </w14:solidFill>
                </w14:textFill>
              </w:rPr>
            </w:pPr>
            <w:r>
              <w:rPr>
                <w:rFonts w:hint="eastAsia" w:ascii="Times New Roman" w:hAnsi="Times New Roman" w:cs="宋体"/>
                <w:color w:val="000000" w:themeColor="text1"/>
                <w:szCs w:val="21"/>
                <w:highlight w:val="none"/>
                <w14:textFill>
                  <w14:solidFill>
                    <w14:schemeClr w14:val="tx1"/>
                  </w14:solidFill>
                </w14:textFill>
              </w:rPr>
              <w:t>合同签订时间</w:t>
            </w:r>
          </w:p>
        </w:tc>
        <w:tc>
          <w:tcPr>
            <w:tcW w:w="6807" w:type="dxa"/>
            <w:gridSpan w:val="3"/>
            <w:tcBorders>
              <w:top w:val="single" w:color="auto" w:sz="4" w:space="0"/>
              <w:left w:val="single" w:color="auto" w:sz="4" w:space="0"/>
              <w:bottom w:val="single" w:color="auto" w:sz="4" w:space="0"/>
              <w:right w:val="single" w:color="auto" w:sz="4" w:space="0"/>
            </w:tcBorders>
            <w:noWrap w:val="0"/>
            <w:vAlign w:val="center"/>
          </w:tcPr>
          <w:p w14:paraId="1148EE5B">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Arial" w:hAnsi="Arial" w:eastAsia="宋体" w:cs="Arial"/>
                <w:color w:val="000000" w:themeColor="text1"/>
                <w:szCs w:val="21"/>
                <w:highlight w:val="none"/>
                <w:lang w:val="en-US" w:eastAsia="zh-CN"/>
                <w14:textFill>
                  <w14:solidFill>
                    <w14:schemeClr w14:val="tx1"/>
                  </w14:solidFill>
                </w14:textFill>
              </w:rPr>
            </w:pPr>
            <w:r>
              <w:rPr>
                <w:rFonts w:hint="eastAsia" w:ascii="Times New Roman" w:hAnsi="Times New Roman" w:cs="宋体"/>
                <w:bCs/>
                <w:color w:val="000000" w:themeColor="text1"/>
                <w:szCs w:val="21"/>
                <w:highlight w:val="none"/>
                <w14:textFill>
                  <w14:solidFill>
                    <w14:schemeClr w14:val="tx1"/>
                  </w14:solidFill>
                </w14:textFill>
              </w:rPr>
              <w:t>自成交通知书发出之日起</w:t>
            </w:r>
            <w:r>
              <w:rPr>
                <w:rFonts w:hint="eastAsia" w:cs="宋体"/>
                <w:bCs/>
                <w:color w:val="000000" w:themeColor="text1"/>
                <w:szCs w:val="21"/>
                <w:highlight w:val="none"/>
                <w:lang w:val="en-US" w:eastAsia="zh-CN"/>
                <w14:textFill>
                  <w14:solidFill>
                    <w14:schemeClr w14:val="tx1"/>
                  </w14:solidFill>
                </w14:textFill>
              </w:rPr>
              <w:t>8</w:t>
            </w:r>
            <w:r>
              <w:rPr>
                <w:rFonts w:hint="eastAsia" w:ascii="Times New Roman" w:hAnsi="Times New Roman" w:cs="宋体"/>
                <w:bCs/>
                <w:color w:val="000000" w:themeColor="text1"/>
                <w:szCs w:val="21"/>
                <w:highlight w:val="none"/>
                <w14:textFill>
                  <w14:solidFill>
                    <w14:schemeClr w14:val="tx1"/>
                  </w14:solidFill>
                </w14:textFill>
              </w:rPr>
              <w:t>日内签订政府采购合同</w:t>
            </w:r>
            <w:r>
              <w:rPr>
                <w:rFonts w:hint="eastAsia" w:cs="宋体"/>
                <w:bCs/>
                <w:color w:val="000000" w:themeColor="text1"/>
                <w:szCs w:val="21"/>
                <w:highlight w:val="none"/>
                <w:lang w:eastAsia="zh-CN"/>
                <w14:textFill>
                  <w14:solidFill>
                    <w14:schemeClr w14:val="tx1"/>
                  </w14:solidFill>
                </w14:textFill>
              </w:rPr>
              <w:t>。</w:t>
            </w:r>
          </w:p>
        </w:tc>
      </w:tr>
      <w:tr w14:paraId="1795C7C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900" w:type="dxa"/>
            <w:gridSpan w:val="2"/>
            <w:tcBorders>
              <w:top w:val="single" w:color="auto" w:sz="4" w:space="0"/>
              <w:left w:val="single" w:color="auto" w:sz="4" w:space="0"/>
              <w:bottom w:val="single" w:color="auto" w:sz="4" w:space="0"/>
              <w:right w:val="single" w:color="auto" w:sz="4" w:space="0"/>
            </w:tcBorders>
            <w:noWrap w:val="0"/>
            <w:vAlign w:val="center"/>
          </w:tcPr>
          <w:p w14:paraId="2922C0A1">
            <w:pPr>
              <w:keepNext w:val="0"/>
              <w:keepLines w:val="0"/>
              <w:pageBreakBefore w:val="0"/>
              <w:kinsoku/>
              <w:wordWrap/>
              <w:overflowPunct/>
              <w:topLinePunct w:val="0"/>
              <w:autoSpaceDE/>
              <w:autoSpaceDN/>
              <w:bidi w:val="0"/>
              <w:adjustRightInd/>
              <w:snapToGrid w:val="0"/>
              <w:spacing w:line="440" w:lineRule="exact"/>
              <w:jc w:val="center"/>
              <w:textAlignment w:val="auto"/>
              <w:rPr>
                <w:rFonts w:hint="eastAsia" w:eastAsia="宋体" w:cs="宋体"/>
                <w:color w:val="000000" w:themeColor="text1"/>
                <w:szCs w:val="21"/>
                <w:highlight w:val="none"/>
                <w:lang w:val="en-US" w:eastAsia="zh-CN"/>
                <w14:textFill>
                  <w14:solidFill>
                    <w14:schemeClr w14:val="tx1"/>
                  </w14:solidFill>
                </w14:textFill>
              </w:rPr>
            </w:pPr>
            <w:r>
              <w:rPr>
                <w:rFonts w:hint="eastAsia" w:cs="宋体"/>
                <w:color w:val="000000" w:themeColor="text1"/>
                <w:szCs w:val="21"/>
                <w:highlight w:val="none"/>
                <w:lang w:val="en-US" w:eastAsia="zh-CN"/>
                <w14:textFill>
                  <w14:solidFill>
                    <w14:schemeClr w14:val="tx1"/>
                  </w14:solidFill>
                </w14:textFill>
              </w:rPr>
              <w:t>2</w:t>
            </w:r>
          </w:p>
        </w:tc>
        <w:tc>
          <w:tcPr>
            <w:tcW w:w="2022" w:type="dxa"/>
            <w:gridSpan w:val="2"/>
            <w:tcBorders>
              <w:top w:val="single" w:color="auto" w:sz="4" w:space="0"/>
              <w:left w:val="single" w:color="auto" w:sz="4" w:space="0"/>
              <w:bottom w:val="single" w:color="auto" w:sz="4" w:space="0"/>
              <w:right w:val="single" w:color="auto" w:sz="4" w:space="0"/>
            </w:tcBorders>
            <w:noWrap w:val="0"/>
            <w:vAlign w:val="center"/>
          </w:tcPr>
          <w:p w14:paraId="48AA4B8B">
            <w:pPr>
              <w:keepNext w:val="0"/>
              <w:keepLines w:val="0"/>
              <w:pageBreakBefore w:val="0"/>
              <w:kinsoku/>
              <w:wordWrap/>
              <w:overflowPunct/>
              <w:topLinePunct w:val="0"/>
              <w:autoSpaceDE/>
              <w:autoSpaceDN/>
              <w:bidi w:val="0"/>
              <w:adjustRightInd/>
              <w:snapToGrid w:val="0"/>
              <w:spacing w:line="440" w:lineRule="exact"/>
              <w:jc w:val="center"/>
              <w:textAlignment w:val="auto"/>
              <w:rPr>
                <w:rFonts w:hint="eastAsia" w:cs="宋体"/>
                <w:bCs/>
                <w:color w:val="000000" w:themeColor="text1"/>
                <w:szCs w:val="21"/>
                <w:highlight w:val="none"/>
                <w14:textFill>
                  <w14:solidFill>
                    <w14:schemeClr w14:val="tx1"/>
                  </w14:solidFill>
                </w14:textFill>
              </w:rPr>
            </w:pPr>
            <w:r>
              <w:rPr>
                <w:rFonts w:hint="eastAsia" w:cs="宋体"/>
                <w:bCs/>
                <w:color w:val="000000" w:themeColor="text1"/>
                <w:szCs w:val="21"/>
                <w:highlight w:val="none"/>
                <w:lang w:eastAsia="zh-CN"/>
                <w14:textFill>
                  <w14:solidFill>
                    <w14:schemeClr w14:val="tx1"/>
                  </w14:solidFill>
                </w14:textFill>
              </w:rPr>
              <w:t>质量缺陷责任期</w:t>
            </w:r>
          </w:p>
        </w:tc>
        <w:tc>
          <w:tcPr>
            <w:tcW w:w="6807" w:type="dxa"/>
            <w:gridSpan w:val="3"/>
            <w:tcBorders>
              <w:top w:val="single" w:color="auto" w:sz="4" w:space="0"/>
              <w:left w:val="single" w:color="auto" w:sz="4" w:space="0"/>
              <w:bottom w:val="single" w:color="auto" w:sz="4" w:space="0"/>
              <w:right w:val="single" w:color="auto" w:sz="4" w:space="0"/>
            </w:tcBorders>
            <w:noWrap w:val="0"/>
            <w:vAlign w:val="center"/>
          </w:tcPr>
          <w:p w14:paraId="5B8D5C72">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Arial" w:hAnsi="Arial" w:eastAsia="宋体" w:cs="Arial"/>
                <w:color w:val="000000" w:themeColor="text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eastAsia="zh-CN"/>
                <w14:textFill>
                  <w14:solidFill>
                    <w14:schemeClr w14:val="tx1"/>
                  </w14:solidFill>
                </w14:textFill>
              </w:rPr>
              <w:t>自工程通过竣工验收之日起计算</w:t>
            </w:r>
            <w:r>
              <w:rPr>
                <w:rFonts w:hint="eastAsia" w:ascii="宋体" w:hAnsi="宋体" w:eastAsia="宋体" w:cs="宋体"/>
                <w:color w:val="000000" w:themeColor="text1"/>
                <w:sz w:val="21"/>
                <w:szCs w:val="21"/>
                <w:highlight w:val="none"/>
                <w:lang w:val="en-US" w:eastAsia="zh-CN"/>
                <w14:textFill>
                  <w14:solidFill>
                    <w14:schemeClr w14:val="tx1"/>
                  </w14:solidFill>
                </w14:textFill>
              </w:rPr>
              <w:t>24个月。</w:t>
            </w:r>
          </w:p>
        </w:tc>
      </w:tr>
      <w:tr w14:paraId="6153028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900" w:type="dxa"/>
            <w:gridSpan w:val="2"/>
            <w:tcBorders>
              <w:top w:val="single" w:color="auto" w:sz="4" w:space="0"/>
              <w:left w:val="single" w:color="auto" w:sz="4" w:space="0"/>
              <w:bottom w:val="single" w:color="auto" w:sz="4" w:space="0"/>
              <w:right w:val="single" w:color="auto" w:sz="4" w:space="0"/>
            </w:tcBorders>
            <w:noWrap w:val="0"/>
            <w:vAlign w:val="center"/>
          </w:tcPr>
          <w:p w14:paraId="7DDEE914">
            <w:pPr>
              <w:keepNext w:val="0"/>
              <w:keepLines w:val="0"/>
              <w:pageBreakBefore w:val="0"/>
              <w:kinsoku/>
              <w:wordWrap/>
              <w:overflowPunct/>
              <w:topLinePunct w:val="0"/>
              <w:autoSpaceDE/>
              <w:autoSpaceDN/>
              <w:bidi w:val="0"/>
              <w:adjustRightInd/>
              <w:snapToGrid w:val="0"/>
              <w:spacing w:line="440" w:lineRule="exact"/>
              <w:jc w:val="center"/>
              <w:textAlignment w:val="auto"/>
              <w:rPr>
                <w:rFonts w:hint="eastAsia" w:eastAsia="宋体" w:cs="宋体"/>
                <w:color w:val="000000" w:themeColor="text1"/>
                <w:szCs w:val="21"/>
                <w:highlight w:val="none"/>
                <w:lang w:val="en-US" w:eastAsia="zh-CN"/>
                <w14:textFill>
                  <w14:solidFill>
                    <w14:schemeClr w14:val="tx1"/>
                  </w14:solidFill>
                </w14:textFill>
              </w:rPr>
            </w:pPr>
            <w:r>
              <w:rPr>
                <w:rFonts w:hint="eastAsia" w:cs="宋体"/>
                <w:color w:val="000000" w:themeColor="text1"/>
                <w:szCs w:val="21"/>
                <w:highlight w:val="none"/>
                <w:lang w:val="en-US" w:eastAsia="zh-CN"/>
                <w14:textFill>
                  <w14:solidFill>
                    <w14:schemeClr w14:val="tx1"/>
                  </w14:solidFill>
                </w14:textFill>
              </w:rPr>
              <w:t>3</w:t>
            </w:r>
          </w:p>
        </w:tc>
        <w:tc>
          <w:tcPr>
            <w:tcW w:w="2022" w:type="dxa"/>
            <w:gridSpan w:val="2"/>
            <w:tcBorders>
              <w:top w:val="single" w:color="auto" w:sz="4" w:space="0"/>
              <w:left w:val="single" w:color="auto" w:sz="4" w:space="0"/>
              <w:bottom w:val="single" w:color="auto" w:sz="4" w:space="0"/>
              <w:right w:val="single" w:color="auto" w:sz="4" w:space="0"/>
            </w:tcBorders>
            <w:noWrap w:val="0"/>
            <w:vAlign w:val="center"/>
          </w:tcPr>
          <w:p w14:paraId="7E745646">
            <w:pPr>
              <w:keepNext w:val="0"/>
              <w:keepLines w:val="0"/>
              <w:pageBreakBefore w:val="0"/>
              <w:kinsoku/>
              <w:wordWrap/>
              <w:overflowPunct/>
              <w:topLinePunct w:val="0"/>
              <w:autoSpaceDE/>
              <w:autoSpaceDN/>
              <w:bidi w:val="0"/>
              <w:adjustRightInd/>
              <w:snapToGrid w:val="0"/>
              <w:spacing w:line="440" w:lineRule="exact"/>
              <w:jc w:val="center"/>
              <w:textAlignment w:val="auto"/>
              <w:rPr>
                <w:rFonts w:hint="eastAsia" w:cs="宋体"/>
                <w:bCs/>
                <w:color w:val="000000" w:themeColor="text1"/>
                <w:szCs w:val="21"/>
                <w:highlight w:val="none"/>
                <w14:textFill>
                  <w14:solidFill>
                    <w14:schemeClr w14:val="tx1"/>
                  </w14:solidFill>
                </w14:textFill>
              </w:rPr>
            </w:pPr>
            <w:r>
              <w:rPr>
                <w:rFonts w:hint="default" w:ascii="宋体" w:hAnsi="宋体" w:eastAsia="宋体" w:cs="宋体"/>
                <w:color w:val="000000" w:themeColor="text1"/>
                <w:sz w:val="21"/>
                <w:szCs w:val="21"/>
                <w:highlight w:val="none"/>
                <w:lang w:val="en-US" w:eastAsia="zh-CN"/>
                <w14:textFill>
                  <w14:solidFill>
                    <w14:schemeClr w14:val="tx1"/>
                  </w14:solidFill>
                </w14:textFill>
              </w:rPr>
              <w:t>合同履行期限</w:t>
            </w:r>
          </w:p>
        </w:tc>
        <w:tc>
          <w:tcPr>
            <w:tcW w:w="6807" w:type="dxa"/>
            <w:gridSpan w:val="3"/>
            <w:tcBorders>
              <w:top w:val="single" w:color="auto" w:sz="4" w:space="0"/>
              <w:left w:val="single" w:color="auto" w:sz="4" w:space="0"/>
              <w:bottom w:val="single" w:color="auto" w:sz="4" w:space="0"/>
              <w:right w:val="single" w:color="auto" w:sz="4" w:space="0"/>
            </w:tcBorders>
            <w:noWrap w:val="0"/>
            <w:vAlign w:val="center"/>
          </w:tcPr>
          <w:p w14:paraId="0E450F76">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Arial" w:hAnsi="Arial" w:eastAsia="宋体" w:cs="Arial"/>
                <w:color w:val="000000" w:themeColor="text1"/>
                <w:szCs w:val="21"/>
                <w:highlight w:val="none"/>
                <w:lang w:val="en-US" w:eastAsia="zh-CN"/>
                <w14:textFill>
                  <w14:solidFill>
                    <w14:schemeClr w14:val="tx1"/>
                  </w14:solidFill>
                </w14:textFill>
              </w:rPr>
            </w:pPr>
            <w:r>
              <w:rPr>
                <w:rFonts w:hint="eastAsia" w:ascii="宋体" w:hAnsi="宋体" w:cs="宋体"/>
                <w:color w:val="000000" w:themeColor="text1"/>
                <w:sz w:val="21"/>
                <w:szCs w:val="21"/>
                <w:highlight w:val="none"/>
                <w:u w:val="none"/>
                <w:lang w:val="en-US" w:eastAsia="zh-CN"/>
                <w14:textFill>
                  <w14:solidFill>
                    <w14:schemeClr w14:val="tx1"/>
                  </w14:solidFill>
                </w14:textFill>
              </w:rPr>
              <w:t>要求工期：100日历天。</w:t>
            </w:r>
          </w:p>
        </w:tc>
      </w:tr>
      <w:tr w14:paraId="491368A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900" w:type="dxa"/>
            <w:gridSpan w:val="2"/>
            <w:tcBorders>
              <w:top w:val="single" w:color="auto" w:sz="4" w:space="0"/>
              <w:left w:val="single" w:color="auto" w:sz="4" w:space="0"/>
              <w:bottom w:val="single" w:color="auto" w:sz="4" w:space="0"/>
              <w:right w:val="single" w:color="auto" w:sz="4" w:space="0"/>
            </w:tcBorders>
            <w:noWrap w:val="0"/>
            <w:vAlign w:val="center"/>
          </w:tcPr>
          <w:p w14:paraId="3593E089">
            <w:pPr>
              <w:keepNext w:val="0"/>
              <w:keepLines w:val="0"/>
              <w:pageBreakBefore w:val="0"/>
              <w:kinsoku/>
              <w:wordWrap/>
              <w:overflowPunct/>
              <w:topLinePunct w:val="0"/>
              <w:autoSpaceDE/>
              <w:autoSpaceDN/>
              <w:bidi w:val="0"/>
              <w:adjustRightInd/>
              <w:snapToGrid w:val="0"/>
              <w:spacing w:line="440" w:lineRule="exact"/>
              <w:jc w:val="center"/>
              <w:textAlignment w:val="auto"/>
              <w:rPr>
                <w:rFonts w:hint="default" w:cs="宋体"/>
                <w:color w:val="000000" w:themeColor="text1"/>
                <w:szCs w:val="21"/>
                <w:highlight w:val="none"/>
                <w:lang w:val="en-US" w:eastAsia="zh-CN"/>
                <w14:textFill>
                  <w14:solidFill>
                    <w14:schemeClr w14:val="tx1"/>
                  </w14:solidFill>
                </w14:textFill>
              </w:rPr>
            </w:pPr>
            <w:r>
              <w:rPr>
                <w:rFonts w:hint="eastAsia" w:cs="宋体"/>
                <w:color w:val="000000" w:themeColor="text1"/>
                <w:szCs w:val="21"/>
                <w:highlight w:val="none"/>
                <w:lang w:val="en-US" w:eastAsia="zh-CN"/>
                <w14:textFill>
                  <w14:solidFill>
                    <w14:schemeClr w14:val="tx1"/>
                  </w14:solidFill>
                </w14:textFill>
              </w:rPr>
              <w:t>4</w:t>
            </w:r>
          </w:p>
        </w:tc>
        <w:tc>
          <w:tcPr>
            <w:tcW w:w="2022" w:type="dxa"/>
            <w:gridSpan w:val="2"/>
            <w:tcBorders>
              <w:top w:val="single" w:color="auto" w:sz="4" w:space="0"/>
              <w:left w:val="single" w:color="auto" w:sz="4" w:space="0"/>
              <w:bottom w:val="single" w:color="auto" w:sz="4" w:space="0"/>
              <w:right w:val="single" w:color="auto" w:sz="4" w:space="0"/>
            </w:tcBorders>
            <w:noWrap w:val="0"/>
            <w:vAlign w:val="center"/>
          </w:tcPr>
          <w:p w14:paraId="416544B0">
            <w:pPr>
              <w:keepNext w:val="0"/>
              <w:keepLines w:val="0"/>
              <w:pageBreakBefore w:val="0"/>
              <w:kinsoku/>
              <w:wordWrap/>
              <w:overflowPunct/>
              <w:topLinePunct w:val="0"/>
              <w:autoSpaceDE/>
              <w:autoSpaceDN/>
              <w:bidi w:val="0"/>
              <w:adjustRightInd/>
              <w:snapToGrid w:val="0"/>
              <w:spacing w:line="440" w:lineRule="exact"/>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eastAsia="zh-CN"/>
                <w14:textFill>
                  <w14:solidFill>
                    <w14:schemeClr w14:val="tx1"/>
                  </w14:solidFill>
                </w14:textFill>
              </w:rPr>
              <w:t>磋商报价要求</w:t>
            </w:r>
          </w:p>
        </w:tc>
        <w:tc>
          <w:tcPr>
            <w:tcW w:w="6807" w:type="dxa"/>
            <w:gridSpan w:val="3"/>
            <w:tcBorders>
              <w:top w:val="single" w:color="auto" w:sz="4" w:space="0"/>
              <w:left w:val="single" w:color="auto" w:sz="4" w:space="0"/>
              <w:bottom w:val="single" w:color="auto" w:sz="4" w:space="0"/>
              <w:right w:val="single" w:color="auto" w:sz="4" w:space="0"/>
            </w:tcBorders>
            <w:noWrap w:val="0"/>
            <w:vAlign w:val="center"/>
          </w:tcPr>
          <w:p w14:paraId="306CC552">
            <w:pPr>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lang w:eastAsia="zh-CN"/>
                <w14:textFill>
                  <w14:solidFill>
                    <w14:schemeClr w14:val="tx1"/>
                  </w14:solidFill>
                </w14:textFill>
              </w:rPr>
              <w:t>（</w:t>
            </w:r>
            <w:r>
              <w:rPr>
                <w:rFonts w:hint="eastAsia" w:ascii="宋体" w:hAnsi="宋体" w:cs="宋体"/>
                <w:color w:val="000000" w:themeColor="text1"/>
                <w:szCs w:val="21"/>
                <w:lang w:val="en-US" w:eastAsia="zh-CN"/>
                <w14:textFill>
                  <w14:solidFill>
                    <w14:schemeClr w14:val="tx1"/>
                  </w14:solidFill>
                </w14:textFill>
              </w:rPr>
              <w:t>1</w:t>
            </w:r>
            <w:r>
              <w:rPr>
                <w:rFonts w:hint="eastAsia" w:ascii="宋体" w:hAnsi="宋体" w:cs="宋体"/>
                <w:color w:val="000000" w:themeColor="text1"/>
                <w:szCs w:val="21"/>
                <w:lang w:eastAsia="zh-CN"/>
                <w14:textFill>
                  <w14:solidFill>
                    <w14:schemeClr w14:val="tx1"/>
                  </w14:solidFill>
                </w14:textFill>
              </w:rPr>
              <w:t>）</w:t>
            </w:r>
            <w:r>
              <w:rPr>
                <w:rFonts w:hint="eastAsia" w:ascii="宋体" w:hAnsi="宋体" w:cs="宋体"/>
                <w:color w:val="000000" w:themeColor="text1"/>
                <w:szCs w:val="21"/>
                <w14:textFill>
                  <w14:solidFill>
                    <w14:schemeClr w14:val="tx1"/>
                  </w14:solidFill>
                </w14:textFill>
              </w:rPr>
              <w:t>本项目合同价款为</w:t>
            </w:r>
            <w:r>
              <w:rPr>
                <w:rFonts w:hint="eastAsia" w:ascii="宋体" w:hAnsi="宋体" w:cs="宋体"/>
                <w:color w:val="000000" w:themeColor="text1"/>
                <w:szCs w:val="21"/>
                <w:u w:val="single"/>
                <w14:textFill>
                  <w14:solidFill>
                    <w14:schemeClr w14:val="tx1"/>
                  </w14:solidFill>
                </w14:textFill>
              </w:rPr>
              <w:t xml:space="preserve"> </w:t>
            </w:r>
            <w:r>
              <w:rPr>
                <w:rFonts w:hint="eastAsia" w:ascii="新宋体" w:hAnsi="新宋体" w:eastAsia="新宋体" w:cs="新宋体"/>
                <w:b/>
                <w:bCs/>
                <w:color w:val="000000" w:themeColor="text1"/>
                <w:spacing w:val="7"/>
                <w:szCs w:val="21"/>
                <w:highlight w:val="none"/>
                <w:u w:val="single"/>
                <w14:textFill>
                  <w14:solidFill>
                    <w14:schemeClr w14:val="tx1"/>
                  </w14:solidFill>
                </w14:textFill>
              </w:rPr>
              <w:t>固定综合单价</w:t>
            </w:r>
            <w:r>
              <w:rPr>
                <w:rFonts w:hint="eastAsia" w:ascii="宋体" w:hAnsi="宋体" w:cs="宋体"/>
                <w:color w:val="000000" w:themeColor="text1"/>
                <w:szCs w:val="21"/>
                <w:u w:val="single"/>
                <w14:textFill>
                  <w14:solidFill>
                    <w14:schemeClr w14:val="tx1"/>
                  </w14:solidFill>
                </w14:textFill>
              </w:rPr>
              <w:t xml:space="preserve"> </w:t>
            </w:r>
            <w:r>
              <w:rPr>
                <w:rFonts w:hint="eastAsia" w:ascii="宋体" w:hAnsi="宋体" w:cs="宋体"/>
                <w:color w:val="000000" w:themeColor="text1"/>
                <w:szCs w:val="21"/>
                <w14:textFill>
                  <w14:solidFill>
                    <w14:schemeClr w14:val="tx1"/>
                  </w14:solidFill>
                </w14:textFill>
              </w:rPr>
              <w:t>形式，采用</w:t>
            </w:r>
            <w:r>
              <w:rPr>
                <w:rFonts w:hint="eastAsia" w:ascii="宋体" w:hAnsi="宋体" w:cs="宋体"/>
                <w:color w:val="000000" w:themeColor="text1"/>
                <w:szCs w:val="21"/>
                <w:u w:val="single"/>
                <w14:textFill>
                  <w14:solidFill>
                    <w14:schemeClr w14:val="tx1"/>
                  </w14:solidFill>
                </w14:textFill>
              </w:rPr>
              <w:t xml:space="preserve"> </w:t>
            </w:r>
            <w:r>
              <w:rPr>
                <w:rFonts w:hint="eastAsia" w:ascii="宋体" w:hAnsi="宋体" w:cs="宋体"/>
                <w:b/>
                <w:bCs/>
                <w:color w:val="000000" w:themeColor="text1"/>
                <w:szCs w:val="21"/>
                <w:u w:val="single"/>
                <w14:textFill>
                  <w14:solidFill>
                    <w14:schemeClr w14:val="tx1"/>
                  </w14:solidFill>
                </w14:textFill>
              </w:rPr>
              <w:t>工程量清单</w:t>
            </w:r>
            <w:r>
              <w:rPr>
                <w:rFonts w:hint="eastAsia" w:ascii="宋体" w:hAnsi="宋体" w:cs="宋体"/>
                <w:color w:val="000000" w:themeColor="text1"/>
                <w:szCs w:val="21"/>
                <w:u w:val="single"/>
                <w14:textFill>
                  <w14:solidFill>
                    <w14:schemeClr w14:val="tx1"/>
                  </w14:solidFill>
                </w14:textFill>
              </w:rPr>
              <w:t xml:space="preserve"> </w:t>
            </w:r>
            <w:r>
              <w:rPr>
                <w:rFonts w:hint="eastAsia" w:ascii="宋体" w:hAnsi="宋体" w:cs="宋体"/>
                <w:color w:val="000000" w:themeColor="text1"/>
                <w:szCs w:val="21"/>
                <w14:textFill>
                  <w14:solidFill>
                    <w14:schemeClr w14:val="tx1"/>
                  </w14:solidFill>
                </w14:textFill>
              </w:rPr>
              <w:t>报价。</w:t>
            </w:r>
          </w:p>
          <w:p w14:paraId="47F18223">
            <w:pPr>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rPr>
                <w:rFonts w:hint="eastAsia" w:ascii="Arial" w:hAnsi="Arial" w:eastAsia="宋体" w:cs="Arial"/>
                <w:color w:val="000000" w:themeColor="text1"/>
                <w:szCs w:val="21"/>
                <w:highlight w:val="none"/>
                <w:lang w:val="en-US" w:eastAsia="zh-CN"/>
                <w14:textFill>
                  <w14:solidFill>
                    <w14:schemeClr w14:val="tx1"/>
                  </w14:solidFill>
                </w14:textFill>
              </w:rPr>
            </w:pPr>
            <w:r>
              <w:rPr>
                <w:rFonts w:hint="eastAsia" w:ascii="宋体" w:hAnsi="宋体" w:cs="宋体"/>
                <w:color w:val="000000" w:themeColor="text1"/>
                <w:szCs w:val="21"/>
                <w:lang w:eastAsia="zh-CN"/>
                <w14:textFill>
                  <w14:solidFill>
                    <w14:schemeClr w14:val="tx1"/>
                  </w14:solidFill>
                </w14:textFill>
              </w:rPr>
              <w:t>（</w:t>
            </w:r>
            <w:r>
              <w:rPr>
                <w:rFonts w:hint="eastAsia" w:ascii="宋体" w:hAnsi="宋体" w:cs="宋体"/>
                <w:color w:val="000000" w:themeColor="text1"/>
                <w:szCs w:val="21"/>
                <w:lang w:val="en-US" w:eastAsia="zh-CN"/>
                <w14:textFill>
                  <w14:solidFill>
                    <w14:schemeClr w14:val="tx1"/>
                  </w14:solidFill>
                </w14:textFill>
              </w:rPr>
              <w:t>2</w:t>
            </w:r>
            <w:r>
              <w:rPr>
                <w:rFonts w:hint="eastAsia" w:ascii="宋体" w:hAnsi="宋体" w:cs="宋体"/>
                <w:color w:val="000000" w:themeColor="text1"/>
                <w:szCs w:val="21"/>
                <w:lang w:eastAsia="zh-CN"/>
                <w14:textFill>
                  <w14:solidFill>
                    <w14:schemeClr w14:val="tx1"/>
                  </w14:solidFill>
                </w14:textFill>
              </w:rPr>
              <w:t>）</w:t>
            </w:r>
            <w:r>
              <w:rPr>
                <w:rFonts w:hint="eastAsia" w:ascii="宋体" w:hAnsi="宋体" w:cs="宋体"/>
                <w:b/>
                <w:color w:val="000000" w:themeColor="text1"/>
                <w:szCs w:val="21"/>
                <w:lang w:eastAsia="zh-CN"/>
                <w14:textFill>
                  <w14:solidFill>
                    <w14:schemeClr w14:val="tx1"/>
                  </w14:solidFill>
                </w14:textFill>
              </w:rPr>
              <w:t>磋商报价</w:t>
            </w:r>
            <w:r>
              <w:rPr>
                <w:rFonts w:hint="eastAsia" w:ascii="Times New Roman" w:hAnsi="Times New Roman" w:eastAsia="宋体" w:cs="宋体"/>
                <w:bCs/>
                <w:color w:val="000000" w:themeColor="text1"/>
                <w:sz w:val="21"/>
                <w:szCs w:val="21"/>
                <w:highlight w:val="none"/>
                <w:lang w:eastAsia="zh-CN"/>
                <w14:textFill>
                  <w14:solidFill>
                    <w14:schemeClr w14:val="tx1"/>
                  </w14:solidFill>
                </w14:textFill>
              </w:rPr>
              <w:t>包括本次采购范围内提供的服务、技术费、</w:t>
            </w:r>
            <w:r>
              <w:rPr>
                <w:rFonts w:hint="eastAsia" w:ascii="Times New Roman" w:hAnsi="Times New Roman" w:cs="宋体"/>
                <w:bCs/>
                <w:color w:val="000000" w:themeColor="text1"/>
                <w:sz w:val="21"/>
                <w:szCs w:val="21"/>
                <w:highlight w:val="none"/>
                <w:lang w:eastAsia="zh-CN"/>
                <w14:textFill>
                  <w14:solidFill>
                    <w14:schemeClr w14:val="tx1"/>
                  </w14:solidFill>
                </w14:textFill>
              </w:rPr>
              <w:t>材料、</w:t>
            </w:r>
            <w:r>
              <w:rPr>
                <w:rFonts w:hint="eastAsia" w:ascii="Times New Roman" w:hAnsi="Times New Roman" w:eastAsia="宋体" w:cs="宋体"/>
                <w:bCs/>
                <w:color w:val="000000" w:themeColor="text1"/>
                <w:sz w:val="21"/>
                <w:szCs w:val="21"/>
                <w:highlight w:val="none"/>
                <w:lang w:eastAsia="zh-CN"/>
                <w14:textFill>
                  <w14:solidFill>
                    <w14:schemeClr w14:val="tx1"/>
                  </w14:solidFill>
                </w14:textFill>
              </w:rPr>
              <w:t>人工费、</w:t>
            </w:r>
            <w:r>
              <w:rPr>
                <w:rFonts w:hint="eastAsia" w:ascii="Times New Roman" w:hAnsi="Times New Roman" w:cs="宋体"/>
                <w:bCs/>
                <w:color w:val="000000" w:themeColor="text1"/>
                <w:sz w:val="21"/>
                <w:szCs w:val="21"/>
                <w:highlight w:val="none"/>
                <w:lang w:eastAsia="zh-CN"/>
                <w14:textFill>
                  <w14:solidFill>
                    <w14:schemeClr w14:val="tx1"/>
                  </w14:solidFill>
                </w14:textFill>
              </w:rPr>
              <w:t>管理费、</w:t>
            </w:r>
            <w:r>
              <w:rPr>
                <w:rFonts w:hint="eastAsia" w:ascii="Times New Roman" w:hAnsi="Times New Roman" w:eastAsia="宋体" w:cs="宋体"/>
                <w:bCs/>
                <w:color w:val="000000" w:themeColor="text1"/>
                <w:sz w:val="21"/>
                <w:szCs w:val="21"/>
                <w:highlight w:val="none"/>
                <w:lang w:eastAsia="zh-CN"/>
                <w14:textFill>
                  <w14:solidFill>
                    <w14:schemeClr w14:val="tx1"/>
                  </w14:solidFill>
                </w14:textFill>
              </w:rPr>
              <w:t>保险、税金、培训、版权费等全部费用，</w:t>
            </w:r>
            <w:r>
              <w:rPr>
                <w:rFonts w:hint="eastAsia" w:ascii="宋体" w:hAnsi="宋体" w:cs="宋体"/>
                <w:color w:val="000000" w:themeColor="text1"/>
                <w:szCs w:val="21"/>
                <w14:textFill>
                  <w14:solidFill>
                    <w14:schemeClr w14:val="tx1"/>
                  </w14:solidFill>
                </w14:textFill>
              </w:rPr>
              <w:t>供应商在报价时应考虑各种风险因素和自己的承受能力。</w:t>
            </w:r>
          </w:p>
        </w:tc>
      </w:tr>
      <w:tr w14:paraId="33376DB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900" w:type="dxa"/>
            <w:gridSpan w:val="2"/>
            <w:tcBorders>
              <w:top w:val="single" w:color="auto" w:sz="4" w:space="0"/>
              <w:left w:val="single" w:color="auto" w:sz="4" w:space="0"/>
              <w:bottom w:val="single" w:color="auto" w:sz="4" w:space="0"/>
              <w:right w:val="single" w:color="auto" w:sz="4" w:space="0"/>
            </w:tcBorders>
            <w:noWrap w:val="0"/>
            <w:vAlign w:val="center"/>
          </w:tcPr>
          <w:p w14:paraId="3E0A5A0D">
            <w:pPr>
              <w:keepNext w:val="0"/>
              <w:keepLines w:val="0"/>
              <w:pageBreakBefore w:val="0"/>
              <w:kinsoku/>
              <w:wordWrap/>
              <w:overflowPunct/>
              <w:topLinePunct w:val="0"/>
              <w:autoSpaceDE/>
              <w:autoSpaceDN/>
              <w:bidi w:val="0"/>
              <w:adjustRightInd/>
              <w:snapToGrid w:val="0"/>
              <w:spacing w:line="440" w:lineRule="exact"/>
              <w:jc w:val="center"/>
              <w:textAlignment w:val="auto"/>
              <w:rPr>
                <w:rFonts w:hint="default" w:cs="宋体"/>
                <w:color w:val="000000" w:themeColor="text1"/>
                <w:szCs w:val="21"/>
                <w:highlight w:val="none"/>
                <w:lang w:val="en-US" w:eastAsia="zh-CN"/>
                <w14:textFill>
                  <w14:solidFill>
                    <w14:schemeClr w14:val="tx1"/>
                  </w14:solidFill>
                </w14:textFill>
              </w:rPr>
            </w:pPr>
            <w:r>
              <w:rPr>
                <w:rFonts w:hint="eastAsia" w:cs="宋体"/>
                <w:color w:val="000000" w:themeColor="text1"/>
                <w:szCs w:val="21"/>
                <w:highlight w:val="none"/>
                <w:lang w:val="en-US" w:eastAsia="zh-CN"/>
                <w14:textFill>
                  <w14:solidFill>
                    <w14:schemeClr w14:val="tx1"/>
                  </w14:solidFill>
                </w14:textFill>
              </w:rPr>
              <w:t>5</w:t>
            </w:r>
          </w:p>
        </w:tc>
        <w:tc>
          <w:tcPr>
            <w:tcW w:w="2022" w:type="dxa"/>
            <w:gridSpan w:val="2"/>
            <w:tcBorders>
              <w:top w:val="single" w:color="auto" w:sz="4" w:space="0"/>
              <w:left w:val="single" w:color="auto" w:sz="4" w:space="0"/>
              <w:bottom w:val="single" w:color="auto" w:sz="4" w:space="0"/>
              <w:right w:val="single" w:color="auto" w:sz="4" w:space="0"/>
            </w:tcBorders>
            <w:noWrap w:val="0"/>
            <w:vAlign w:val="center"/>
          </w:tcPr>
          <w:p w14:paraId="2396264F">
            <w:pPr>
              <w:keepNext w:val="0"/>
              <w:keepLines w:val="0"/>
              <w:pageBreakBefore w:val="0"/>
              <w:kinsoku/>
              <w:wordWrap/>
              <w:overflowPunct/>
              <w:topLinePunct w:val="0"/>
              <w:autoSpaceDE/>
              <w:autoSpaceDN/>
              <w:bidi w:val="0"/>
              <w:adjustRightInd/>
              <w:snapToGrid w:val="0"/>
              <w:spacing w:line="440" w:lineRule="exact"/>
              <w:jc w:val="center"/>
              <w:textAlignment w:val="auto"/>
              <w:rPr>
                <w:rFonts w:hint="eastAsia" w:ascii="宋体" w:hAnsi="宋体" w:eastAsia="宋体" w:cs="宋体"/>
                <w:color w:val="000000" w:themeColor="text1"/>
                <w:sz w:val="21"/>
                <w:szCs w:val="21"/>
                <w:highlight w:val="none"/>
                <w:lang w:eastAsia="zh-CN"/>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计价依据</w:t>
            </w:r>
          </w:p>
        </w:tc>
        <w:tc>
          <w:tcPr>
            <w:tcW w:w="6807" w:type="dxa"/>
            <w:gridSpan w:val="3"/>
            <w:tcBorders>
              <w:top w:val="single" w:color="auto" w:sz="4" w:space="0"/>
              <w:left w:val="single" w:color="auto" w:sz="4" w:space="0"/>
              <w:bottom w:val="single" w:color="auto" w:sz="4" w:space="0"/>
              <w:right w:val="single" w:color="auto" w:sz="4" w:space="0"/>
            </w:tcBorders>
            <w:noWrap w:val="0"/>
            <w:vAlign w:val="center"/>
          </w:tcPr>
          <w:p w14:paraId="2FA64BF5">
            <w:pPr>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rPr>
                <w:rFonts w:hint="eastAsia" w:ascii="宋体" w:hAnsi="宋体" w:cs="宋体"/>
                <w:color w:val="000000" w:themeColor="text1"/>
                <w:szCs w:val="21"/>
                <w:lang w:eastAsia="zh-CN"/>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详见第七章工程量清单</w:t>
            </w:r>
            <w:r>
              <w:rPr>
                <w:rFonts w:hint="eastAsia" w:ascii="宋体" w:hAnsi="宋体" w:cs="宋体"/>
                <w:color w:val="000000" w:themeColor="text1"/>
                <w:sz w:val="21"/>
                <w:szCs w:val="21"/>
                <w:highlight w:val="none"/>
                <w:lang w:eastAsia="zh-CN"/>
                <w14:textFill>
                  <w14:solidFill>
                    <w14:schemeClr w14:val="tx1"/>
                  </w14:solidFill>
                </w14:textFill>
              </w:rPr>
              <w:t>。</w:t>
            </w:r>
          </w:p>
        </w:tc>
      </w:tr>
      <w:tr w14:paraId="5259AA7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900" w:type="dxa"/>
            <w:gridSpan w:val="2"/>
            <w:tcBorders>
              <w:top w:val="single" w:color="auto" w:sz="4" w:space="0"/>
              <w:left w:val="single" w:color="auto" w:sz="4" w:space="0"/>
              <w:bottom w:val="single" w:color="auto" w:sz="4" w:space="0"/>
              <w:right w:val="single" w:color="auto" w:sz="4" w:space="0"/>
            </w:tcBorders>
            <w:noWrap w:val="0"/>
            <w:vAlign w:val="center"/>
          </w:tcPr>
          <w:p w14:paraId="476A7E2A">
            <w:pPr>
              <w:keepNext w:val="0"/>
              <w:keepLines w:val="0"/>
              <w:pageBreakBefore w:val="0"/>
              <w:kinsoku/>
              <w:wordWrap/>
              <w:overflowPunct/>
              <w:topLinePunct w:val="0"/>
              <w:autoSpaceDE/>
              <w:autoSpaceDN/>
              <w:bidi w:val="0"/>
              <w:adjustRightInd/>
              <w:snapToGrid w:val="0"/>
              <w:spacing w:line="440" w:lineRule="exact"/>
              <w:jc w:val="center"/>
              <w:textAlignment w:val="auto"/>
              <w:rPr>
                <w:rFonts w:hint="default" w:cs="宋体"/>
                <w:color w:val="000000" w:themeColor="text1"/>
                <w:szCs w:val="21"/>
                <w:highlight w:val="none"/>
                <w:lang w:val="en-US" w:eastAsia="zh-CN"/>
                <w14:textFill>
                  <w14:solidFill>
                    <w14:schemeClr w14:val="tx1"/>
                  </w14:solidFill>
                </w14:textFill>
              </w:rPr>
            </w:pPr>
            <w:r>
              <w:rPr>
                <w:rFonts w:hint="eastAsia" w:cs="宋体"/>
                <w:color w:val="000000" w:themeColor="text1"/>
                <w:szCs w:val="21"/>
                <w:highlight w:val="none"/>
                <w:lang w:val="en-US" w:eastAsia="zh-CN"/>
                <w14:textFill>
                  <w14:solidFill>
                    <w14:schemeClr w14:val="tx1"/>
                  </w14:solidFill>
                </w14:textFill>
              </w:rPr>
              <w:t>6</w:t>
            </w:r>
          </w:p>
        </w:tc>
        <w:tc>
          <w:tcPr>
            <w:tcW w:w="2022" w:type="dxa"/>
            <w:gridSpan w:val="2"/>
            <w:tcBorders>
              <w:top w:val="single" w:color="auto" w:sz="4" w:space="0"/>
              <w:left w:val="single" w:color="auto" w:sz="4" w:space="0"/>
              <w:bottom w:val="single" w:color="auto" w:sz="4" w:space="0"/>
              <w:right w:val="single" w:color="auto" w:sz="4" w:space="0"/>
            </w:tcBorders>
            <w:noWrap w:val="0"/>
            <w:vAlign w:val="center"/>
          </w:tcPr>
          <w:p w14:paraId="33D8E9F7">
            <w:pPr>
              <w:keepNext w:val="0"/>
              <w:keepLines w:val="0"/>
              <w:pageBreakBefore w:val="0"/>
              <w:kinsoku/>
              <w:wordWrap/>
              <w:overflowPunct/>
              <w:topLinePunct w:val="0"/>
              <w:autoSpaceDE/>
              <w:autoSpaceDN/>
              <w:bidi w:val="0"/>
              <w:adjustRightInd/>
              <w:snapToGrid w:val="0"/>
              <w:spacing w:line="440" w:lineRule="exact"/>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cs="宋体"/>
                <w:color w:val="000000" w:themeColor="text1"/>
                <w:szCs w:val="21"/>
                <w14:textFill>
                  <w14:solidFill>
                    <w14:schemeClr w14:val="tx1"/>
                  </w14:solidFill>
                </w14:textFill>
              </w:rPr>
              <w:t>验收要求</w:t>
            </w:r>
          </w:p>
        </w:tc>
        <w:tc>
          <w:tcPr>
            <w:tcW w:w="6807" w:type="dxa"/>
            <w:gridSpan w:val="3"/>
            <w:tcBorders>
              <w:top w:val="single" w:color="auto" w:sz="4" w:space="0"/>
              <w:left w:val="single" w:color="auto" w:sz="4" w:space="0"/>
              <w:bottom w:val="single" w:color="auto" w:sz="4" w:space="0"/>
              <w:right w:val="single" w:color="auto" w:sz="4" w:space="0"/>
            </w:tcBorders>
            <w:noWrap w:val="0"/>
            <w:vAlign w:val="center"/>
          </w:tcPr>
          <w:p w14:paraId="6F18B7FB">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Arial" w:hAnsi="Arial" w:eastAsia="宋体" w:cs="Arial"/>
                <w:color w:val="000000" w:themeColor="text1"/>
                <w:szCs w:val="21"/>
                <w:highlight w:val="none"/>
                <w:lang w:val="en-US" w:eastAsia="zh-CN"/>
                <w14:textFill>
                  <w14:solidFill>
                    <w14:schemeClr w14:val="tx1"/>
                  </w14:solidFill>
                </w14:textFill>
              </w:rPr>
            </w:pPr>
            <w:r>
              <w:rPr>
                <w:rFonts w:hint="eastAsia" w:ascii="宋体" w:hAnsi="宋体" w:cs="宋体"/>
                <w:color w:val="000000" w:themeColor="text1"/>
                <w:szCs w:val="21"/>
                <w14:textFill>
                  <w14:solidFill>
                    <w14:schemeClr w14:val="tx1"/>
                  </w14:solidFill>
                </w14:textFill>
              </w:rPr>
              <w:t>符合国家施工质量验收规范合格标准，</w:t>
            </w:r>
            <w:r>
              <w:rPr>
                <w:rFonts w:hint="eastAsia"/>
                <w:color w:val="000000" w:themeColor="text1"/>
                <w:highlight w:val="none"/>
                <w14:textFill>
                  <w14:solidFill>
                    <w14:schemeClr w14:val="tx1"/>
                  </w14:solidFill>
                </w14:textFill>
              </w:rPr>
              <w:t>达到施工图及变更要求的验收标准</w:t>
            </w:r>
            <w:r>
              <w:rPr>
                <w:rFonts w:hint="eastAsia"/>
                <w:color w:val="000000" w:themeColor="text1"/>
                <w:highlight w:val="none"/>
                <w:lang w:eastAsia="zh-CN"/>
                <w14:textFill>
                  <w14:solidFill>
                    <w14:schemeClr w14:val="tx1"/>
                  </w14:solidFill>
                </w14:textFill>
              </w:rPr>
              <w:t>。</w:t>
            </w:r>
          </w:p>
        </w:tc>
      </w:tr>
      <w:tr w14:paraId="5B09523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900" w:type="dxa"/>
            <w:gridSpan w:val="2"/>
            <w:tcBorders>
              <w:top w:val="single" w:color="auto" w:sz="4" w:space="0"/>
              <w:left w:val="single" w:color="auto" w:sz="4" w:space="0"/>
              <w:bottom w:val="single" w:color="auto" w:sz="4" w:space="0"/>
              <w:right w:val="single" w:color="auto" w:sz="4" w:space="0"/>
            </w:tcBorders>
            <w:noWrap w:val="0"/>
            <w:vAlign w:val="center"/>
          </w:tcPr>
          <w:p w14:paraId="1B2A1933">
            <w:pPr>
              <w:keepNext w:val="0"/>
              <w:keepLines w:val="0"/>
              <w:pageBreakBefore w:val="0"/>
              <w:kinsoku/>
              <w:wordWrap/>
              <w:overflowPunct/>
              <w:topLinePunct w:val="0"/>
              <w:autoSpaceDE/>
              <w:autoSpaceDN/>
              <w:bidi w:val="0"/>
              <w:adjustRightInd/>
              <w:snapToGrid w:val="0"/>
              <w:spacing w:line="440" w:lineRule="exact"/>
              <w:jc w:val="center"/>
              <w:textAlignment w:val="auto"/>
              <w:rPr>
                <w:rFonts w:hint="eastAsia" w:eastAsia="宋体" w:cs="宋体"/>
                <w:color w:val="000000" w:themeColor="text1"/>
                <w:szCs w:val="21"/>
                <w:highlight w:val="none"/>
                <w:lang w:val="en-US" w:eastAsia="zh-CN"/>
                <w14:textFill>
                  <w14:solidFill>
                    <w14:schemeClr w14:val="tx1"/>
                  </w14:solidFill>
                </w14:textFill>
              </w:rPr>
            </w:pPr>
            <w:r>
              <w:rPr>
                <w:rFonts w:hint="eastAsia" w:cs="宋体"/>
                <w:color w:val="000000" w:themeColor="text1"/>
                <w:szCs w:val="21"/>
                <w:highlight w:val="none"/>
                <w:lang w:val="en-US" w:eastAsia="zh-CN"/>
                <w14:textFill>
                  <w14:solidFill>
                    <w14:schemeClr w14:val="tx1"/>
                  </w14:solidFill>
                </w14:textFill>
              </w:rPr>
              <w:t>7</w:t>
            </w:r>
          </w:p>
        </w:tc>
        <w:tc>
          <w:tcPr>
            <w:tcW w:w="2022" w:type="dxa"/>
            <w:gridSpan w:val="2"/>
            <w:tcBorders>
              <w:top w:val="single" w:color="auto" w:sz="4" w:space="0"/>
              <w:left w:val="single" w:color="auto" w:sz="4" w:space="0"/>
              <w:bottom w:val="single" w:color="auto" w:sz="4" w:space="0"/>
              <w:right w:val="single" w:color="auto" w:sz="4" w:space="0"/>
            </w:tcBorders>
            <w:noWrap w:val="0"/>
            <w:vAlign w:val="center"/>
          </w:tcPr>
          <w:p w14:paraId="65C542E6">
            <w:pPr>
              <w:keepNext w:val="0"/>
              <w:keepLines w:val="0"/>
              <w:pageBreakBefore w:val="0"/>
              <w:kinsoku/>
              <w:wordWrap/>
              <w:overflowPunct/>
              <w:topLinePunct w:val="0"/>
              <w:autoSpaceDE/>
              <w:autoSpaceDN/>
              <w:bidi w:val="0"/>
              <w:adjustRightInd/>
              <w:snapToGrid w:val="0"/>
              <w:spacing w:line="440" w:lineRule="exact"/>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其他要求</w:t>
            </w:r>
          </w:p>
        </w:tc>
        <w:tc>
          <w:tcPr>
            <w:tcW w:w="6807" w:type="dxa"/>
            <w:gridSpan w:val="3"/>
            <w:tcBorders>
              <w:top w:val="single" w:color="auto" w:sz="4" w:space="0"/>
              <w:left w:val="single" w:color="auto" w:sz="4" w:space="0"/>
              <w:bottom w:val="single" w:color="auto" w:sz="4" w:space="0"/>
              <w:right w:val="single" w:color="auto" w:sz="4" w:space="0"/>
            </w:tcBorders>
            <w:noWrap w:val="0"/>
            <w:vAlign w:val="center"/>
          </w:tcPr>
          <w:p w14:paraId="45DA546C">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Arial" w:hAnsi="Arial" w:eastAsia="宋体" w:cs="Arial"/>
                <w:color w:val="000000" w:themeColor="text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white"/>
                <w:lang w:val="en-US" w:eastAsia="zh-CN"/>
                <w14:textFill>
                  <w14:solidFill>
                    <w14:schemeClr w14:val="tx1"/>
                  </w14:solidFill>
                </w14:textFill>
              </w:rPr>
              <w:t>本项目采购预算金额：</w:t>
            </w:r>
            <w:r>
              <w:rPr>
                <w:rFonts w:hint="default" w:ascii="宋体" w:hAnsi="宋体" w:cs="宋体"/>
                <w:b/>
                <w:bCs/>
                <w:color w:val="000000" w:themeColor="text1"/>
                <w:sz w:val="21"/>
                <w:szCs w:val="21"/>
                <w:highlight w:val="white"/>
                <w:u w:val="single"/>
                <w:lang w:val="en-US" w:eastAsia="zh-CN"/>
                <w14:textFill>
                  <w14:solidFill>
                    <w14:schemeClr w14:val="tx1"/>
                  </w14:solidFill>
                </w14:textFill>
              </w:rPr>
              <w:t>（大写）人民币柒拾柒万玖仟叁佰柒拾伍元肆角捌分（小写）¥</w:t>
            </w:r>
            <w:r>
              <w:rPr>
                <w:rFonts w:hint="eastAsia" w:ascii="宋体" w:hAnsi="宋体" w:cs="宋体"/>
                <w:b/>
                <w:bCs/>
                <w:color w:val="000000" w:themeColor="text1"/>
                <w:sz w:val="21"/>
                <w:szCs w:val="21"/>
                <w:highlight w:val="white"/>
                <w:u w:val="single"/>
                <w:lang w:val="en-US" w:eastAsia="zh-CN"/>
                <w14:textFill>
                  <w14:solidFill>
                    <w14:schemeClr w14:val="tx1"/>
                  </w14:solidFill>
                </w14:textFill>
              </w:rPr>
              <w:t>779375.48</w:t>
            </w:r>
            <w:r>
              <w:rPr>
                <w:rFonts w:hint="eastAsia" w:ascii="宋体" w:hAnsi="宋体" w:cs="宋体"/>
                <w:b w:val="0"/>
                <w:bCs w:val="0"/>
                <w:color w:val="000000" w:themeColor="text1"/>
                <w:highlight w:val="none"/>
                <w:lang w:val="en-US" w:eastAsia="zh-CN"/>
                <w14:textFill>
                  <w14:solidFill>
                    <w14:schemeClr w14:val="tx1"/>
                  </w14:solidFill>
                </w14:textFill>
              </w:rPr>
              <w:t>，磋商报价超出此报价范围</w:t>
            </w:r>
            <w:r>
              <w:rPr>
                <w:rFonts w:hint="eastAsia" w:ascii="宋体" w:hAnsi="宋体" w:cs="宋体"/>
                <w:color w:val="000000" w:themeColor="text1"/>
                <w:szCs w:val="21"/>
                <w:highlight w:val="none"/>
                <w14:textFill>
                  <w14:solidFill>
                    <w14:schemeClr w14:val="tx1"/>
                  </w14:solidFill>
                </w14:textFill>
              </w:rPr>
              <w:t>（包含首次报价、最后报价）的</w:t>
            </w:r>
            <w:r>
              <w:rPr>
                <w:rFonts w:hint="eastAsia" w:ascii="宋体" w:hAnsi="宋体" w:cs="宋体"/>
                <w:color w:val="000000" w:themeColor="text1"/>
                <w:szCs w:val="21"/>
                <w:highlight w:val="none"/>
                <w:lang w:val="en-US" w:eastAsia="zh-CN"/>
                <w14:textFill>
                  <w14:solidFill>
                    <w14:schemeClr w14:val="tx1"/>
                  </w14:solidFill>
                </w14:textFill>
              </w:rPr>
              <w:t>按无效响应文件处理。</w:t>
            </w:r>
          </w:p>
        </w:tc>
      </w:tr>
    </w:tbl>
    <w:p w14:paraId="12BDB4CB">
      <w:pPr>
        <w:rPr>
          <w:rFonts w:eastAsia="Arial Unicode MS"/>
          <w:color w:val="000000" w:themeColor="text1"/>
          <w:sz w:val="32"/>
          <w:szCs w:val="32"/>
          <w:highlight w:val="none"/>
          <w14:textFill>
            <w14:solidFill>
              <w14:schemeClr w14:val="tx1"/>
            </w14:solidFill>
          </w14:textFill>
        </w:rPr>
      </w:pPr>
      <w:r>
        <w:rPr>
          <w:rFonts w:eastAsia="Arial Unicode MS"/>
          <w:color w:val="000000" w:themeColor="text1"/>
          <w:sz w:val="32"/>
          <w:szCs w:val="32"/>
          <w:highlight w:val="none"/>
          <w14:textFill>
            <w14:solidFill>
              <w14:schemeClr w14:val="tx1"/>
            </w14:solidFill>
          </w14:textFill>
        </w:rPr>
        <w:br w:type="page"/>
      </w:r>
    </w:p>
    <w:p w14:paraId="5EC3C0C7">
      <w:pPr>
        <w:pStyle w:val="11"/>
        <w:ind w:left="0" w:leftChars="0" w:firstLine="0" w:firstLineChars="0"/>
        <w:rPr>
          <w:rFonts w:eastAsia="Arial Unicode MS"/>
          <w:color w:val="000000" w:themeColor="text1"/>
          <w:kern w:val="0"/>
          <w:sz w:val="32"/>
          <w:szCs w:val="32"/>
          <w:highlight w:val="none"/>
          <w14:textFill>
            <w14:solidFill>
              <w14:schemeClr w14:val="tx1"/>
            </w14:solidFill>
          </w14:textFill>
        </w:rPr>
      </w:pPr>
      <w:r>
        <w:rPr>
          <w:rFonts w:eastAsia="Arial Unicode MS"/>
          <w:color w:val="000000" w:themeColor="text1"/>
          <w:sz w:val="32"/>
          <w:szCs w:val="32"/>
          <w:highlight w:val="none"/>
          <w14:textFill>
            <w14:solidFill>
              <w14:schemeClr w14:val="tx1"/>
            </w14:solidFill>
          </w14:textFill>
        </w:rPr>
        <w:t>附件</w:t>
      </w:r>
      <w:r>
        <w:rPr>
          <w:color w:val="000000" w:themeColor="text1"/>
          <w:sz w:val="32"/>
          <w:szCs w:val="32"/>
          <w:highlight w:val="none"/>
          <w14:textFill>
            <w14:solidFill>
              <w14:schemeClr w14:val="tx1"/>
            </w14:solidFill>
          </w14:textFill>
        </w:rPr>
        <w:t>1</w:t>
      </w:r>
      <w:r>
        <w:rPr>
          <w:rFonts w:eastAsia="Arial Unicode MS"/>
          <w:color w:val="000000" w:themeColor="text1"/>
          <w:sz w:val="32"/>
          <w:szCs w:val="32"/>
          <w:highlight w:val="none"/>
          <w14:textFill>
            <w14:solidFill>
              <w14:schemeClr w14:val="tx1"/>
            </w14:solidFill>
          </w14:textFill>
        </w:rPr>
        <w:t>：</w:t>
      </w:r>
    </w:p>
    <w:p w14:paraId="623BC129">
      <w:pPr>
        <w:widowControl/>
        <w:spacing w:before="120" w:beforeLines="50" w:after="120" w:afterLines="50" w:line="280" w:lineRule="exact"/>
        <w:jc w:val="center"/>
        <w:rPr>
          <w:b/>
          <w:bCs/>
          <w:color w:val="000000" w:themeColor="text1"/>
          <w:kern w:val="0"/>
          <w:sz w:val="30"/>
          <w:szCs w:val="30"/>
          <w:highlight w:val="none"/>
          <w14:textFill>
            <w14:solidFill>
              <w14:schemeClr w14:val="tx1"/>
            </w14:solidFill>
          </w14:textFill>
        </w:rPr>
      </w:pPr>
      <w:bookmarkStart w:id="58" w:name="_Toc28361_WPSOffice_Level2"/>
      <w:r>
        <w:rPr>
          <w:b/>
          <w:bCs/>
          <w:color w:val="000000" w:themeColor="text1"/>
          <w:kern w:val="0"/>
          <w:sz w:val="30"/>
          <w:szCs w:val="30"/>
          <w:highlight w:val="none"/>
          <w14:textFill>
            <w14:solidFill>
              <w14:schemeClr w14:val="tx1"/>
            </w14:solidFill>
          </w14:textFill>
        </w:rPr>
        <w:t>统计上大中小微型企业划分标准</w:t>
      </w:r>
      <w:bookmarkEnd w:id="58"/>
    </w:p>
    <w:tbl>
      <w:tblPr>
        <w:tblStyle w:val="29"/>
        <w:tblW w:w="943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13"/>
        <w:gridCol w:w="1369"/>
        <w:gridCol w:w="709"/>
        <w:gridCol w:w="1125"/>
        <w:gridCol w:w="1701"/>
        <w:gridCol w:w="1426"/>
        <w:gridCol w:w="992"/>
      </w:tblGrid>
      <w:tr w14:paraId="39D528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tblHeader/>
          <w:jc w:val="center"/>
        </w:trPr>
        <w:tc>
          <w:tcPr>
            <w:tcW w:w="2113" w:type="dxa"/>
            <w:shd w:val="clear" w:color="auto" w:fill="8DB3E2"/>
            <w:noWrap w:val="0"/>
            <w:vAlign w:val="center"/>
          </w:tcPr>
          <w:p w14:paraId="3F4A83C1">
            <w:pPr>
              <w:widowControl/>
              <w:spacing w:line="280" w:lineRule="exact"/>
              <w:jc w:val="center"/>
              <w:rPr>
                <w:b/>
                <w:bCs/>
                <w:color w:val="000000" w:themeColor="text1"/>
                <w:kern w:val="0"/>
                <w:sz w:val="18"/>
                <w:szCs w:val="21"/>
                <w:highlight w:val="none"/>
                <w14:textFill>
                  <w14:solidFill>
                    <w14:schemeClr w14:val="tx1"/>
                  </w14:solidFill>
                </w14:textFill>
              </w:rPr>
            </w:pPr>
            <w:r>
              <w:rPr>
                <w:b/>
                <w:bCs/>
                <w:color w:val="000000" w:themeColor="text1"/>
                <w:kern w:val="0"/>
                <w:sz w:val="18"/>
                <w:szCs w:val="21"/>
                <w:highlight w:val="none"/>
                <w14:textFill>
                  <w14:solidFill>
                    <w14:schemeClr w14:val="tx1"/>
                  </w14:solidFill>
                </w14:textFill>
              </w:rPr>
              <w:t>行业名称</w:t>
            </w:r>
          </w:p>
        </w:tc>
        <w:tc>
          <w:tcPr>
            <w:tcW w:w="1369" w:type="dxa"/>
            <w:shd w:val="clear" w:color="auto" w:fill="8DB3E2"/>
            <w:noWrap w:val="0"/>
            <w:vAlign w:val="center"/>
          </w:tcPr>
          <w:p w14:paraId="2B806D03">
            <w:pPr>
              <w:widowControl/>
              <w:spacing w:line="280" w:lineRule="exact"/>
              <w:jc w:val="center"/>
              <w:rPr>
                <w:b/>
                <w:bCs/>
                <w:color w:val="000000" w:themeColor="text1"/>
                <w:kern w:val="0"/>
                <w:sz w:val="18"/>
                <w:szCs w:val="18"/>
                <w:highlight w:val="none"/>
                <w14:textFill>
                  <w14:solidFill>
                    <w14:schemeClr w14:val="tx1"/>
                  </w14:solidFill>
                </w14:textFill>
              </w:rPr>
            </w:pPr>
            <w:r>
              <w:rPr>
                <w:b/>
                <w:bCs/>
                <w:color w:val="000000" w:themeColor="text1"/>
                <w:kern w:val="0"/>
                <w:sz w:val="18"/>
                <w:szCs w:val="18"/>
                <w:highlight w:val="none"/>
                <w14:textFill>
                  <w14:solidFill>
                    <w14:schemeClr w14:val="tx1"/>
                  </w14:solidFill>
                </w14:textFill>
              </w:rPr>
              <w:t>指标名称</w:t>
            </w:r>
          </w:p>
        </w:tc>
        <w:tc>
          <w:tcPr>
            <w:tcW w:w="709" w:type="dxa"/>
            <w:shd w:val="clear" w:color="auto" w:fill="8DB3E2"/>
            <w:noWrap w:val="0"/>
            <w:vAlign w:val="center"/>
          </w:tcPr>
          <w:p w14:paraId="42851ABA">
            <w:pPr>
              <w:widowControl/>
              <w:spacing w:line="280" w:lineRule="exact"/>
              <w:jc w:val="center"/>
              <w:rPr>
                <w:b/>
                <w:bCs/>
                <w:color w:val="000000" w:themeColor="text1"/>
                <w:kern w:val="0"/>
                <w:sz w:val="18"/>
                <w:szCs w:val="18"/>
                <w:highlight w:val="none"/>
                <w14:textFill>
                  <w14:solidFill>
                    <w14:schemeClr w14:val="tx1"/>
                  </w14:solidFill>
                </w14:textFill>
              </w:rPr>
            </w:pPr>
            <w:r>
              <w:rPr>
                <w:b/>
                <w:bCs/>
                <w:color w:val="000000" w:themeColor="text1"/>
                <w:kern w:val="0"/>
                <w:sz w:val="18"/>
                <w:szCs w:val="18"/>
                <w:highlight w:val="none"/>
                <w14:textFill>
                  <w14:solidFill>
                    <w14:schemeClr w14:val="tx1"/>
                  </w14:solidFill>
                </w14:textFill>
              </w:rPr>
              <w:t>计量</w:t>
            </w:r>
          </w:p>
          <w:p w14:paraId="1E1ECEE0">
            <w:pPr>
              <w:widowControl/>
              <w:spacing w:line="280" w:lineRule="exact"/>
              <w:jc w:val="center"/>
              <w:rPr>
                <w:b/>
                <w:bCs/>
                <w:color w:val="000000" w:themeColor="text1"/>
                <w:kern w:val="0"/>
                <w:sz w:val="18"/>
                <w:szCs w:val="18"/>
                <w:highlight w:val="none"/>
                <w14:textFill>
                  <w14:solidFill>
                    <w14:schemeClr w14:val="tx1"/>
                  </w14:solidFill>
                </w14:textFill>
              </w:rPr>
            </w:pPr>
            <w:r>
              <w:rPr>
                <w:b/>
                <w:bCs/>
                <w:color w:val="000000" w:themeColor="text1"/>
                <w:kern w:val="0"/>
                <w:sz w:val="18"/>
                <w:szCs w:val="18"/>
                <w:highlight w:val="none"/>
                <w14:textFill>
                  <w14:solidFill>
                    <w14:schemeClr w14:val="tx1"/>
                  </w14:solidFill>
                </w14:textFill>
              </w:rPr>
              <w:t>单位</w:t>
            </w:r>
          </w:p>
        </w:tc>
        <w:tc>
          <w:tcPr>
            <w:tcW w:w="1125" w:type="dxa"/>
            <w:shd w:val="clear" w:color="auto" w:fill="8DB3E2"/>
            <w:noWrap w:val="0"/>
            <w:vAlign w:val="center"/>
          </w:tcPr>
          <w:p w14:paraId="70665BC7">
            <w:pPr>
              <w:widowControl/>
              <w:spacing w:line="280" w:lineRule="exact"/>
              <w:jc w:val="center"/>
              <w:rPr>
                <w:b/>
                <w:bCs/>
                <w:color w:val="000000" w:themeColor="text1"/>
                <w:kern w:val="0"/>
                <w:sz w:val="18"/>
                <w:szCs w:val="18"/>
                <w:highlight w:val="none"/>
                <w14:textFill>
                  <w14:solidFill>
                    <w14:schemeClr w14:val="tx1"/>
                  </w14:solidFill>
                </w14:textFill>
              </w:rPr>
            </w:pPr>
            <w:r>
              <w:rPr>
                <w:b/>
                <w:bCs/>
                <w:color w:val="000000" w:themeColor="text1"/>
                <w:kern w:val="0"/>
                <w:sz w:val="18"/>
                <w:szCs w:val="18"/>
                <w:highlight w:val="none"/>
                <w14:textFill>
                  <w14:solidFill>
                    <w14:schemeClr w14:val="tx1"/>
                  </w14:solidFill>
                </w14:textFill>
              </w:rPr>
              <w:t>大型</w:t>
            </w:r>
          </w:p>
        </w:tc>
        <w:tc>
          <w:tcPr>
            <w:tcW w:w="1701" w:type="dxa"/>
            <w:shd w:val="clear" w:color="auto" w:fill="8DB3E2"/>
            <w:noWrap w:val="0"/>
            <w:vAlign w:val="center"/>
          </w:tcPr>
          <w:p w14:paraId="3B32A17C">
            <w:pPr>
              <w:widowControl/>
              <w:spacing w:line="280" w:lineRule="exact"/>
              <w:jc w:val="center"/>
              <w:rPr>
                <w:b/>
                <w:bCs/>
                <w:color w:val="000000" w:themeColor="text1"/>
                <w:kern w:val="0"/>
                <w:sz w:val="18"/>
                <w:szCs w:val="18"/>
                <w:highlight w:val="none"/>
                <w14:textFill>
                  <w14:solidFill>
                    <w14:schemeClr w14:val="tx1"/>
                  </w14:solidFill>
                </w14:textFill>
              </w:rPr>
            </w:pPr>
            <w:r>
              <w:rPr>
                <w:b/>
                <w:bCs/>
                <w:color w:val="000000" w:themeColor="text1"/>
                <w:kern w:val="0"/>
                <w:sz w:val="18"/>
                <w:szCs w:val="18"/>
                <w:highlight w:val="none"/>
                <w14:textFill>
                  <w14:solidFill>
                    <w14:schemeClr w14:val="tx1"/>
                  </w14:solidFill>
                </w14:textFill>
              </w:rPr>
              <w:t>中型</w:t>
            </w:r>
          </w:p>
        </w:tc>
        <w:tc>
          <w:tcPr>
            <w:tcW w:w="1426" w:type="dxa"/>
            <w:shd w:val="clear" w:color="auto" w:fill="8DB3E2"/>
            <w:noWrap w:val="0"/>
            <w:vAlign w:val="center"/>
          </w:tcPr>
          <w:p w14:paraId="78493DA4">
            <w:pPr>
              <w:widowControl/>
              <w:spacing w:line="280" w:lineRule="exact"/>
              <w:jc w:val="center"/>
              <w:rPr>
                <w:b/>
                <w:bCs/>
                <w:color w:val="000000" w:themeColor="text1"/>
                <w:kern w:val="0"/>
                <w:sz w:val="18"/>
                <w:szCs w:val="18"/>
                <w:highlight w:val="none"/>
                <w14:textFill>
                  <w14:solidFill>
                    <w14:schemeClr w14:val="tx1"/>
                  </w14:solidFill>
                </w14:textFill>
              </w:rPr>
            </w:pPr>
            <w:r>
              <w:rPr>
                <w:b/>
                <w:bCs/>
                <w:color w:val="000000" w:themeColor="text1"/>
                <w:kern w:val="0"/>
                <w:sz w:val="18"/>
                <w:szCs w:val="18"/>
                <w:highlight w:val="none"/>
                <w14:textFill>
                  <w14:solidFill>
                    <w14:schemeClr w14:val="tx1"/>
                  </w14:solidFill>
                </w14:textFill>
              </w:rPr>
              <w:t>小型</w:t>
            </w:r>
          </w:p>
        </w:tc>
        <w:tc>
          <w:tcPr>
            <w:tcW w:w="992" w:type="dxa"/>
            <w:shd w:val="clear" w:color="auto" w:fill="8DB3E2"/>
            <w:noWrap w:val="0"/>
            <w:vAlign w:val="center"/>
          </w:tcPr>
          <w:p w14:paraId="1AF3702E">
            <w:pPr>
              <w:widowControl/>
              <w:spacing w:line="280" w:lineRule="exact"/>
              <w:jc w:val="center"/>
              <w:rPr>
                <w:b/>
                <w:bCs/>
                <w:color w:val="000000" w:themeColor="text1"/>
                <w:kern w:val="0"/>
                <w:sz w:val="18"/>
                <w:szCs w:val="18"/>
                <w:highlight w:val="none"/>
                <w14:textFill>
                  <w14:solidFill>
                    <w14:schemeClr w14:val="tx1"/>
                  </w14:solidFill>
                </w14:textFill>
              </w:rPr>
            </w:pPr>
            <w:r>
              <w:rPr>
                <w:b/>
                <w:bCs/>
                <w:color w:val="000000" w:themeColor="text1"/>
                <w:kern w:val="0"/>
                <w:sz w:val="18"/>
                <w:szCs w:val="18"/>
                <w:highlight w:val="none"/>
                <w14:textFill>
                  <w14:solidFill>
                    <w14:schemeClr w14:val="tx1"/>
                  </w14:solidFill>
                </w14:textFill>
              </w:rPr>
              <w:t>微型</w:t>
            </w:r>
          </w:p>
        </w:tc>
      </w:tr>
      <w:tr w14:paraId="4CAD84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noWrap w:val="0"/>
            <w:vAlign w:val="center"/>
          </w:tcPr>
          <w:p w14:paraId="338C3338">
            <w:pPr>
              <w:widowControl/>
              <w:spacing w:line="280" w:lineRule="exact"/>
              <w:jc w:val="left"/>
              <w:rPr>
                <w:color w:val="000000" w:themeColor="text1"/>
                <w:kern w:val="0"/>
                <w:sz w:val="18"/>
                <w:szCs w:val="18"/>
                <w:highlight w:val="none"/>
                <w14:textFill>
                  <w14:solidFill>
                    <w14:schemeClr w14:val="tx1"/>
                  </w14:solidFill>
                </w14:textFill>
              </w:rPr>
            </w:pPr>
            <w:r>
              <w:rPr>
                <w:color w:val="000000" w:themeColor="text1"/>
                <w:kern w:val="0"/>
                <w:sz w:val="18"/>
                <w:szCs w:val="18"/>
                <w:highlight w:val="none"/>
                <w14:textFill>
                  <w14:solidFill>
                    <w14:schemeClr w14:val="tx1"/>
                  </w14:solidFill>
                </w14:textFill>
              </w:rPr>
              <w:t>农、林、牧、渔业</w:t>
            </w:r>
          </w:p>
        </w:tc>
        <w:tc>
          <w:tcPr>
            <w:tcW w:w="1369" w:type="dxa"/>
            <w:noWrap w:val="0"/>
            <w:vAlign w:val="center"/>
          </w:tcPr>
          <w:p w14:paraId="0E63E3C0">
            <w:pPr>
              <w:widowControl/>
              <w:spacing w:line="280" w:lineRule="exact"/>
              <w:jc w:val="center"/>
              <w:rPr>
                <w:color w:val="000000" w:themeColor="text1"/>
                <w:kern w:val="0"/>
                <w:sz w:val="18"/>
                <w:szCs w:val="18"/>
                <w:highlight w:val="none"/>
                <w14:textFill>
                  <w14:solidFill>
                    <w14:schemeClr w14:val="tx1"/>
                  </w14:solidFill>
                </w14:textFill>
              </w:rPr>
            </w:pPr>
            <w:r>
              <w:rPr>
                <w:color w:val="000000" w:themeColor="text1"/>
                <w:kern w:val="0"/>
                <w:sz w:val="18"/>
                <w:szCs w:val="18"/>
                <w:highlight w:val="none"/>
                <w14:textFill>
                  <w14:solidFill>
                    <w14:schemeClr w14:val="tx1"/>
                  </w14:solidFill>
                </w14:textFill>
              </w:rPr>
              <w:t>营业收入(Y)</w:t>
            </w:r>
          </w:p>
        </w:tc>
        <w:tc>
          <w:tcPr>
            <w:tcW w:w="709" w:type="dxa"/>
            <w:noWrap w:val="0"/>
            <w:vAlign w:val="center"/>
          </w:tcPr>
          <w:p w14:paraId="737C7872">
            <w:pPr>
              <w:widowControl/>
              <w:spacing w:line="280" w:lineRule="exact"/>
              <w:jc w:val="center"/>
              <w:rPr>
                <w:color w:val="000000" w:themeColor="text1"/>
                <w:kern w:val="0"/>
                <w:sz w:val="18"/>
                <w:szCs w:val="18"/>
                <w:highlight w:val="none"/>
                <w14:textFill>
                  <w14:solidFill>
                    <w14:schemeClr w14:val="tx1"/>
                  </w14:solidFill>
                </w14:textFill>
              </w:rPr>
            </w:pPr>
            <w:r>
              <w:rPr>
                <w:color w:val="000000" w:themeColor="text1"/>
                <w:kern w:val="0"/>
                <w:sz w:val="18"/>
                <w:szCs w:val="18"/>
                <w:highlight w:val="none"/>
                <w14:textFill>
                  <w14:solidFill>
                    <w14:schemeClr w14:val="tx1"/>
                  </w14:solidFill>
                </w14:textFill>
              </w:rPr>
              <w:t>万元</w:t>
            </w:r>
          </w:p>
        </w:tc>
        <w:tc>
          <w:tcPr>
            <w:tcW w:w="1125" w:type="dxa"/>
            <w:noWrap w:val="0"/>
            <w:vAlign w:val="center"/>
          </w:tcPr>
          <w:p w14:paraId="1CB1D569">
            <w:pPr>
              <w:widowControl/>
              <w:spacing w:line="280" w:lineRule="exact"/>
              <w:jc w:val="center"/>
              <w:rPr>
                <w:color w:val="000000" w:themeColor="text1"/>
                <w:kern w:val="0"/>
                <w:sz w:val="18"/>
                <w:szCs w:val="18"/>
                <w:highlight w:val="none"/>
                <w14:textFill>
                  <w14:solidFill>
                    <w14:schemeClr w14:val="tx1"/>
                  </w14:solidFill>
                </w14:textFill>
              </w:rPr>
            </w:pPr>
            <w:r>
              <w:rPr>
                <w:color w:val="000000" w:themeColor="text1"/>
                <w:kern w:val="0"/>
                <w:sz w:val="18"/>
                <w:szCs w:val="18"/>
                <w:highlight w:val="none"/>
                <w14:textFill>
                  <w14:solidFill>
                    <w14:schemeClr w14:val="tx1"/>
                  </w14:solidFill>
                </w14:textFill>
              </w:rPr>
              <w:t>Y≥20000</w:t>
            </w:r>
          </w:p>
        </w:tc>
        <w:tc>
          <w:tcPr>
            <w:tcW w:w="1701" w:type="dxa"/>
            <w:noWrap w:val="0"/>
            <w:vAlign w:val="center"/>
          </w:tcPr>
          <w:p w14:paraId="3D34D8FF">
            <w:pPr>
              <w:widowControl/>
              <w:spacing w:line="280" w:lineRule="exact"/>
              <w:jc w:val="center"/>
              <w:rPr>
                <w:color w:val="000000" w:themeColor="text1"/>
                <w:kern w:val="0"/>
                <w:sz w:val="18"/>
                <w:szCs w:val="18"/>
                <w:highlight w:val="none"/>
                <w14:textFill>
                  <w14:solidFill>
                    <w14:schemeClr w14:val="tx1"/>
                  </w14:solidFill>
                </w14:textFill>
              </w:rPr>
            </w:pPr>
            <w:r>
              <w:rPr>
                <w:color w:val="000000" w:themeColor="text1"/>
                <w:kern w:val="0"/>
                <w:sz w:val="18"/>
                <w:szCs w:val="18"/>
                <w:highlight w:val="none"/>
                <w14:textFill>
                  <w14:solidFill>
                    <w14:schemeClr w14:val="tx1"/>
                  </w14:solidFill>
                </w14:textFill>
              </w:rPr>
              <w:t>500≤Y＜20000</w:t>
            </w:r>
          </w:p>
        </w:tc>
        <w:tc>
          <w:tcPr>
            <w:tcW w:w="1426" w:type="dxa"/>
            <w:noWrap w:val="0"/>
            <w:vAlign w:val="center"/>
          </w:tcPr>
          <w:p w14:paraId="7FDF6115">
            <w:pPr>
              <w:widowControl/>
              <w:spacing w:line="280" w:lineRule="exact"/>
              <w:jc w:val="center"/>
              <w:rPr>
                <w:color w:val="000000" w:themeColor="text1"/>
                <w:kern w:val="0"/>
                <w:sz w:val="18"/>
                <w:szCs w:val="18"/>
                <w:highlight w:val="none"/>
                <w14:textFill>
                  <w14:solidFill>
                    <w14:schemeClr w14:val="tx1"/>
                  </w14:solidFill>
                </w14:textFill>
              </w:rPr>
            </w:pPr>
            <w:r>
              <w:rPr>
                <w:color w:val="000000" w:themeColor="text1"/>
                <w:kern w:val="0"/>
                <w:sz w:val="18"/>
                <w:szCs w:val="18"/>
                <w:highlight w:val="none"/>
                <w14:textFill>
                  <w14:solidFill>
                    <w14:schemeClr w14:val="tx1"/>
                  </w14:solidFill>
                </w14:textFill>
              </w:rPr>
              <w:t>50≤Y＜500</w:t>
            </w:r>
          </w:p>
        </w:tc>
        <w:tc>
          <w:tcPr>
            <w:tcW w:w="992" w:type="dxa"/>
            <w:noWrap w:val="0"/>
            <w:vAlign w:val="center"/>
          </w:tcPr>
          <w:p w14:paraId="780D2CFB">
            <w:pPr>
              <w:widowControl/>
              <w:spacing w:line="280" w:lineRule="exact"/>
              <w:jc w:val="center"/>
              <w:rPr>
                <w:color w:val="000000" w:themeColor="text1"/>
                <w:kern w:val="0"/>
                <w:sz w:val="18"/>
                <w:szCs w:val="18"/>
                <w:highlight w:val="none"/>
                <w14:textFill>
                  <w14:solidFill>
                    <w14:schemeClr w14:val="tx1"/>
                  </w14:solidFill>
                </w14:textFill>
              </w:rPr>
            </w:pPr>
            <w:r>
              <w:rPr>
                <w:color w:val="000000" w:themeColor="text1"/>
                <w:kern w:val="0"/>
                <w:sz w:val="18"/>
                <w:szCs w:val="18"/>
                <w:highlight w:val="none"/>
                <w14:textFill>
                  <w14:solidFill>
                    <w14:schemeClr w14:val="tx1"/>
                  </w14:solidFill>
                </w14:textFill>
              </w:rPr>
              <w:t>Y＜50</w:t>
            </w:r>
          </w:p>
        </w:tc>
      </w:tr>
      <w:tr w14:paraId="6DE2BC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restart"/>
            <w:noWrap w:val="0"/>
            <w:vAlign w:val="center"/>
          </w:tcPr>
          <w:p w14:paraId="5E9547F8">
            <w:pPr>
              <w:widowControl/>
              <w:spacing w:line="280" w:lineRule="exact"/>
              <w:jc w:val="left"/>
              <w:rPr>
                <w:color w:val="000000" w:themeColor="text1"/>
                <w:kern w:val="0"/>
                <w:sz w:val="18"/>
                <w:szCs w:val="18"/>
                <w:highlight w:val="none"/>
                <w14:textFill>
                  <w14:solidFill>
                    <w14:schemeClr w14:val="tx1"/>
                  </w14:solidFill>
                </w14:textFill>
              </w:rPr>
            </w:pPr>
            <w:r>
              <w:rPr>
                <w:color w:val="000000" w:themeColor="text1"/>
                <w:kern w:val="0"/>
                <w:sz w:val="18"/>
                <w:szCs w:val="18"/>
                <w:highlight w:val="none"/>
                <w14:textFill>
                  <w14:solidFill>
                    <w14:schemeClr w14:val="tx1"/>
                  </w14:solidFill>
                </w14:textFill>
              </w:rPr>
              <w:t>工业 *</w:t>
            </w:r>
          </w:p>
        </w:tc>
        <w:tc>
          <w:tcPr>
            <w:tcW w:w="1369" w:type="dxa"/>
            <w:noWrap w:val="0"/>
            <w:vAlign w:val="center"/>
          </w:tcPr>
          <w:p w14:paraId="0EB3662F">
            <w:pPr>
              <w:widowControl/>
              <w:spacing w:line="280" w:lineRule="exact"/>
              <w:jc w:val="center"/>
              <w:rPr>
                <w:color w:val="000000" w:themeColor="text1"/>
                <w:kern w:val="0"/>
                <w:sz w:val="18"/>
                <w:szCs w:val="18"/>
                <w:highlight w:val="none"/>
                <w14:textFill>
                  <w14:solidFill>
                    <w14:schemeClr w14:val="tx1"/>
                  </w14:solidFill>
                </w14:textFill>
              </w:rPr>
            </w:pPr>
            <w:r>
              <w:rPr>
                <w:color w:val="000000" w:themeColor="text1"/>
                <w:kern w:val="0"/>
                <w:sz w:val="18"/>
                <w:szCs w:val="18"/>
                <w:highlight w:val="none"/>
                <w14:textFill>
                  <w14:solidFill>
                    <w14:schemeClr w14:val="tx1"/>
                  </w14:solidFill>
                </w14:textFill>
              </w:rPr>
              <w:t>从业人员(X)</w:t>
            </w:r>
          </w:p>
        </w:tc>
        <w:tc>
          <w:tcPr>
            <w:tcW w:w="709" w:type="dxa"/>
            <w:noWrap w:val="0"/>
            <w:vAlign w:val="center"/>
          </w:tcPr>
          <w:p w14:paraId="4CC7CF50">
            <w:pPr>
              <w:widowControl/>
              <w:spacing w:line="280" w:lineRule="exact"/>
              <w:jc w:val="center"/>
              <w:rPr>
                <w:color w:val="000000" w:themeColor="text1"/>
                <w:kern w:val="0"/>
                <w:sz w:val="18"/>
                <w:szCs w:val="18"/>
                <w:highlight w:val="none"/>
                <w14:textFill>
                  <w14:solidFill>
                    <w14:schemeClr w14:val="tx1"/>
                  </w14:solidFill>
                </w14:textFill>
              </w:rPr>
            </w:pPr>
            <w:r>
              <w:rPr>
                <w:color w:val="000000" w:themeColor="text1"/>
                <w:kern w:val="0"/>
                <w:sz w:val="18"/>
                <w:szCs w:val="18"/>
                <w:highlight w:val="none"/>
                <w14:textFill>
                  <w14:solidFill>
                    <w14:schemeClr w14:val="tx1"/>
                  </w14:solidFill>
                </w14:textFill>
              </w:rPr>
              <w:t>人</w:t>
            </w:r>
          </w:p>
        </w:tc>
        <w:tc>
          <w:tcPr>
            <w:tcW w:w="1125" w:type="dxa"/>
            <w:noWrap w:val="0"/>
            <w:vAlign w:val="center"/>
          </w:tcPr>
          <w:p w14:paraId="0D8D9F79">
            <w:pPr>
              <w:widowControl/>
              <w:spacing w:line="280" w:lineRule="exact"/>
              <w:jc w:val="center"/>
              <w:rPr>
                <w:color w:val="000000" w:themeColor="text1"/>
                <w:kern w:val="0"/>
                <w:sz w:val="18"/>
                <w:szCs w:val="18"/>
                <w:highlight w:val="none"/>
                <w14:textFill>
                  <w14:solidFill>
                    <w14:schemeClr w14:val="tx1"/>
                  </w14:solidFill>
                </w14:textFill>
              </w:rPr>
            </w:pPr>
            <w:r>
              <w:rPr>
                <w:color w:val="000000" w:themeColor="text1"/>
                <w:kern w:val="0"/>
                <w:sz w:val="18"/>
                <w:szCs w:val="18"/>
                <w:highlight w:val="none"/>
                <w14:textFill>
                  <w14:solidFill>
                    <w14:schemeClr w14:val="tx1"/>
                  </w14:solidFill>
                </w14:textFill>
              </w:rPr>
              <w:t>X≥1000</w:t>
            </w:r>
          </w:p>
        </w:tc>
        <w:tc>
          <w:tcPr>
            <w:tcW w:w="1701" w:type="dxa"/>
            <w:noWrap w:val="0"/>
            <w:vAlign w:val="center"/>
          </w:tcPr>
          <w:p w14:paraId="1C706C51">
            <w:pPr>
              <w:widowControl/>
              <w:spacing w:line="280" w:lineRule="exact"/>
              <w:jc w:val="center"/>
              <w:rPr>
                <w:color w:val="000000" w:themeColor="text1"/>
                <w:kern w:val="0"/>
                <w:sz w:val="18"/>
                <w:szCs w:val="18"/>
                <w:highlight w:val="none"/>
                <w14:textFill>
                  <w14:solidFill>
                    <w14:schemeClr w14:val="tx1"/>
                  </w14:solidFill>
                </w14:textFill>
              </w:rPr>
            </w:pPr>
            <w:r>
              <w:rPr>
                <w:color w:val="000000" w:themeColor="text1"/>
                <w:kern w:val="0"/>
                <w:sz w:val="18"/>
                <w:szCs w:val="18"/>
                <w:highlight w:val="none"/>
                <w14:textFill>
                  <w14:solidFill>
                    <w14:schemeClr w14:val="tx1"/>
                  </w14:solidFill>
                </w14:textFill>
              </w:rPr>
              <w:t>300≤X＜1000</w:t>
            </w:r>
          </w:p>
        </w:tc>
        <w:tc>
          <w:tcPr>
            <w:tcW w:w="1426" w:type="dxa"/>
            <w:noWrap w:val="0"/>
            <w:vAlign w:val="center"/>
          </w:tcPr>
          <w:p w14:paraId="1DDA97D6">
            <w:pPr>
              <w:widowControl/>
              <w:spacing w:line="280" w:lineRule="exact"/>
              <w:jc w:val="center"/>
              <w:rPr>
                <w:color w:val="000000" w:themeColor="text1"/>
                <w:kern w:val="0"/>
                <w:sz w:val="18"/>
                <w:szCs w:val="18"/>
                <w:highlight w:val="none"/>
                <w14:textFill>
                  <w14:solidFill>
                    <w14:schemeClr w14:val="tx1"/>
                  </w14:solidFill>
                </w14:textFill>
              </w:rPr>
            </w:pPr>
            <w:r>
              <w:rPr>
                <w:color w:val="000000" w:themeColor="text1"/>
                <w:kern w:val="0"/>
                <w:sz w:val="18"/>
                <w:szCs w:val="18"/>
                <w:highlight w:val="none"/>
                <w14:textFill>
                  <w14:solidFill>
                    <w14:schemeClr w14:val="tx1"/>
                  </w14:solidFill>
                </w14:textFill>
              </w:rPr>
              <w:t>20≤X＜300</w:t>
            </w:r>
          </w:p>
        </w:tc>
        <w:tc>
          <w:tcPr>
            <w:tcW w:w="992" w:type="dxa"/>
            <w:noWrap w:val="0"/>
            <w:vAlign w:val="center"/>
          </w:tcPr>
          <w:p w14:paraId="5F33F182">
            <w:pPr>
              <w:widowControl/>
              <w:spacing w:line="280" w:lineRule="exact"/>
              <w:jc w:val="center"/>
              <w:rPr>
                <w:color w:val="000000" w:themeColor="text1"/>
                <w:kern w:val="0"/>
                <w:sz w:val="18"/>
                <w:szCs w:val="18"/>
                <w:highlight w:val="none"/>
                <w14:textFill>
                  <w14:solidFill>
                    <w14:schemeClr w14:val="tx1"/>
                  </w14:solidFill>
                </w14:textFill>
              </w:rPr>
            </w:pPr>
            <w:r>
              <w:rPr>
                <w:color w:val="000000" w:themeColor="text1"/>
                <w:kern w:val="0"/>
                <w:sz w:val="18"/>
                <w:szCs w:val="18"/>
                <w:highlight w:val="none"/>
                <w14:textFill>
                  <w14:solidFill>
                    <w14:schemeClr w14:val="tx1"/>
                  </w14:solidFill>
                </w14:textFill>
              </w:rPr>
              <w:t>X＜20</w:t>
            </w:r>
          </w:p>
        </w:tc>
      </w:tr>
      <w:tr w14:paraId="485B2A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continue"/>
            <w:noWrap w:val="0"/>
            <w:vAlign w:val="center"/>
          </w:tcPr>
          <w:p w14:paraId="5623A288">
            <w:pPr>
              <w:widowControl/>
              <w:spacing w:line="280" w:lineRule="exact"/>
              <w:jc w:val="left"/>
              <w:rPr>
                <w:color w:val="000000" w:themeColor="text1"/>
                <w:kern w:val="0"/>
                <w:sz w:val="18"/>
                <w:szCs w:val="18"/>
                <w:highlight w:val="none"/>
                <w14:textFill>
                  <w14:solidFill>
                    <w14:schemeClr w14:val="tx1"/>
                  </w14:solidFill>
                </w14:textFill>
              </w:rPr>
            </w:pPr>
          </w:p>
        </w:tc>
        <w:tc>
          <w:tcPr>
            <w:tcW w:w="1369" w:type="dxa"/>
            <w:noWrap w:val="0"/>
            <w:vAlign w:val="center"/>
          </w:tcPr>
          <w:p w14:paraId="7C52D83D">
            <w:pPr>
              <w:widowControl/>
              <w:spacing w:line="280" w:lineRule="exact"/>
              <w:jc w:val="center"/>
              <w:rPr>
                <w:color w:val="000000" w:themeColor="text1"/>
                <w:kern w:val="0"/>
                <w:sz w:val="18"/>
                <w:szCs w:val="18"/>
                <w:highlight w:val="none"/>
                <w14:textFill>
                  <w14:solidFill>
                    <w14:schemeClr w14:val="tx1"/>
                  </w14:solidFill>
                </w14:textFill>
              </w:rPr>
            </w:pPr>
            <w:r>
              <w:rPr>
                <w:color w:val="000000" w:themeColor="text1"/>
                <w:kern w:val="0"/>
                <w:sz w:val="18"/>
                <w:szCs w:val="18"/>
                <w:highlight w:val="none"/>
                <w14:textFill>
                  <w14:solidFill>
                    <w14:schemeClr w14:val="tx1"/>
                  </w14:solidFill>
                </w14:textFill>
              </w:rPr>
              <w:t>营业收入(Y)</w:t>
            </w:r>
          </w:p>
        </w:tc>
        <w:tc>
          <w:tcPr>
            <w:tcW w:w="709" w:type="dxa"/>
            <w:noWrap w:val="0"/>
            <w:vAlign w:val="center"/>
          </w:tcPr>
          <w:p w14:paraId="5247E67E">
            <w:pPr>
              <w:widowControl/>
              <w:spacing w:line="280" w:lineRule="exact"/>
              <w:jc w:val="center"/>
              <w:rPr>
                <w:color w:val="000000" w:themeColor="text1"/>
                <w:kern w:val="0"/>
                <w:sz w:val="18"/>
                <w:szCs w:val="18"/>
                <w:highlight w:val="none"/>
                <w14:textFill>
                  <w14:solidFill>
                    <w14:schemeClr w14:val="tx1"/>
                  </w14:solidFill>
                </w14:textFill>
              </w:rPr>
            </w:pPr>
            <w:r>
              <w:rPr>
                <w:color w:val="000000" w:themeColor="text1"/>
                <w:kern w:val="0"/>
                <w:sz w:val="18"/>
                <w:szCs w:val="18"/>
                <w:highlight w:val="none"/>
                <w14:textFill>
                  <w14:solidFill>
                    <w14:schemeClr w14:val="tx1"/>
                  </w14:solidFill>
                </w14:textFill>
              </w:rPr>
              <w:t>万元</w:t>
            </w:r>
          </w:p>
        </w:tc>
        <w:tc>
          <w:tcPr>
            <w:tcW w:w="1125" w:type="dxa"/>
            <w:noWrap w:val="0"/>
            <w:vAlign w:val="center"/>
          </w:tcPr>
          <w:p w14:paraId="2B7C0359">
            <w:pPr>
              <w:widowControl/>
              <w:spacing w:line="280" w:lineRule="exact"/>
              <w:jc w:val="center"/>
              <w:rPr>
                <w:color w:val="000000" w:themeColor="text1"/>
                <w:kern w:val="0"/>
                <w:sz w:val="18"/>
                <w:szCs w:val="18"/>
                <w:highlight w:val="none"/>
                <w14:textFill>
                  <w14:solidFill>
                    <w14:schemeClr w14:val="tx1"/>
                  </w14:solidFill>
                </w14:textFill>
              </w:rPr>
            </w:pPr>
            <w:r>
              <w:rPr>
                <w:color w:val="000000" w:themeColor="text1"/>
                <w:kern w:val="0"/>
                <w:sz w:val="18"/>
                <w:szCs w:val="18"/>
                <w:highlight w:val="none"/>
                <w14:textFill>
                  <w14:solidFill>
                    <w14:schemeClr w14:val="tx1"/>
                  </w14:solidFill>
                </w14:textFill>
              </w:rPr>
              <w:t>Y≥40000</w:t>
            </w:r>
          </w:p>
        </w:tc>
        <w:tc>
          <w:tcPr>
            <w:tcW w:w="1701" w:type="dxa"/>
            <w:noWrap w:val="0"/>
            <w:vAlign w:val="center"/>
          </w:tcPr>
          <w:p w14:paraId="5B6A70DE">
            <w:pPr>
              <w:widowControl/>
              <w:spacing w:line="280" w:lineRule="exact"/>
              <w:jc w:val="center"/>
              <w:rPr>
                <w:color w:val="000000" w:themeColor="text1"/>
                <w:kern w:val="0"/>
                <w:sz w:val="18"/>
                <w:szCs w:val="18"/>
                <w:highlight w:val="none"/>
                <w14:textFill>
                  <w14:solidFill>
                    <w14:schemeClr w14:val="tx1"/>
                  </w14:solidFill>
                </w14:textFill>
              </w:rPr>
            </w:pPr>
            <w:r>
              <w:rPr>
                <w:color w:val="000000" w:themeColor="text1"/>
                <w:kern w:val="0"/>
                <w:sz w:val="18"/>
                <w:szCs w:val="18"/>
                <w:highlight w:val="none"/>
                <w14:textFill>
                  <w14:solidFill>
                    <w14:schemeClr w14:val="tx1"/>
                  </w14:solidFill>
                </w14:textFill>
              </w:rPr>
              <w:t>2000≤Y＜40000</w:t>
            </w:r>
          </w:p>
        </w:tc>
        <w:tc>
          <w:tcPr>
            <w:tcW w:w="1426" w:type="dxa"/>
            <w:noWrap w:val="0"/>
            <w:vAlign w:val="center"/>
          </w:tcPr>
          <w:p w14:paraId="67AADB34">
            <w:pPr>
              <w:widowControl/>
              <w:spacing w:line="280" w:lineRule="exact"/>
              <w:jc w:val="center"/>
              <w:rPr>
                <w:color w:val="000000" w:themeColor="text1"/>
                <w:kern w:val="0"/>
                <w:sz w:val="18"/>
                <w:szCs w:val="18"/>
                <w:highlight w:val="none"/>
                <w14:textFill>
                  <w14:solidFill>
                    <w14:schemeClr w14:val="tx1"/>
                  </w14:solidFill>
                </w14:textFill>
              </w:rPr>
            </w:pPr>
            <w:r>
              <w:rPr>
                <w:color w:val="000000" w:themeColor="text1"/>
                <w:kern w:val="0"/>
                <w:sz w:val="18"/>
                <w:szCs w:val="18"/>
                <w:highlight w:val="none"/>
                <w14:textFill>
                  <w14:solidFill>
                    <w14:schemeClr w14:val="tx1"/>
                  </w14:solidFill>
                </w14:textFill>
              </w:rPr>
              <w:t>300≤Y＜2000</w:t>
            </w:r>
          </w:p>
        </w:tc>
        <w:tc>
          <w:tcPr>
            <w:tcW w:w="992" w:type="dxa"/>
            <w:noWrap w:val="0"/>
            <w:vAlign w:val="center"/>
          </w:tcPr>
          <w:p w14:paraId="58363679">
            <w:pPr>
              <w:widowControl/>
              <w:spacing w:line="280" w:lineRule="exact"/>
              <w:jc w:val="center"/>
              <w:rPr>
                <w:color w:val="000000" w:themeColor="text1"/>
                <w:kern w:val="0"/>
                <w:sz w:val="18"/>
                <w:szCs w:val="18"/>
                <w:highlight w:val="none"/>
                <w14:textFill>
                  <w14:solidFill>
                    <w14:schemeClr w14:val="tx1"/>
                  </w14:solidFill>
                </w14:textFill>
              </w:rPr>
            </w:pPr>
            <w:r>
              <w:rPr>
                <w:color w:val="000000" w:themeColor="text1"/>
                <w:kern w:val="0"/>
                <w:sz w:val="18"/>
                <w:szCs w:val="18"/>
                <w:highlight w:val="none"/>
                <w14:textFill>
                  <w14:solidFill>
                    <w14:schemeClr w14:val="tx1"/>
                  </w14:solidFill>
                </w14:textFill>
              </w:rPr>
              <w:t>Y＜300</w:t>
            </w:r>
          </w:p>
        </w:tc>
      </w:tr>
      <w:tr w14:paraId="5956ED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restart"/>
            <w:noWrap w:val="0"/>
            <w:vAlign w:val="center"/>
          </w:tcPr>
          <w:p w14:paraId="51ED3C69">
            <w:pPr>
              <w:widowControl/>
              <w:spacing w:line="280" w:lineRule="exact"/>
              <w:jc w:val="left"/>
              <w:rPr>
                <w:color w:val="000000" w:themeColor="text1"/>
                <w:kern w:val="0"/>
                <w:sz w:val="18"/>
                <w:szCs w:val="18"/>
                <w:highlight w:val="none"/>
                <w14:textFill>
                  <w14:solidFill>
                    <w14:schemeClr w14:val="tx1"/>
                  </w14:solidFill>
                </w14:textFill>
              </w:rPr>
            </w:pPr>
            <w:r>
              <w:rPr>
                <w:color w:val="000000" w:themeColor="text1"/>
                <w:kern w:val="0"/>
                <w:sz w:val="18"/>
                <w:szCs w:val="18"/>
                <w:highlight w:val="none"/>
                <w14:textFill>
                  <w14:solidFill>
                    <w14:schemeClr w14:val="tx1"/>
                  </w14:solidFill>
                </w14:textFill>
              </w:rPr>
              <w:t>建筑业</w:t>
            </w:r>
          </w:p>
        </w:tc>
        <w:tc>
          <w:tcPr>
            <w:tcW w:w="1369" w:type="dxa"/>
            <w:noWrap w:val="0"/>
            <w:vAlign w:val="center"/>
          </w:tcPr>
          <w:p w14:paraId="0C17FE70">
            <w:pPr>
              <w:widowControl/>
              <w:spacing w:line="280" w:lineRule="exact"/>
              <w:jc w:val="center"/>
              <w:rPr>
                <w:color w:val="000000" w:themeColor="text1"/>
                <w:kern w:val="0"/>
                <w:sz w:val="18"/>
                <w:szCs w:val="18"/>
                <w:highlight w:val="none"/>
                <w14:textFill>
                  <w14:solidFill>
                    <w14:schemeClr w14:val="tx1"/>
                  </w14:solidFill>
                </w14:textFill>
              </w:rPr>
            </w:pPr>
            <w:r>
              <w:rPr>
                <w:color w:val="000000" w:themeColor="text1"/>
                <w:kern w:val="0"/>
                <w:sz w:val="18"/>
                <w:szCs w:val="18"/>
                <w:highlight w:val="none"/>
                <w14:textFill>
                  <w14:solidFill>
                    <w14:schemeClr w14:val="tx1"/>
                  </w14:solidFill>
                </w14:textFill>
              </w:rPr>
              <w:t>营业收入(Y)</w:t>
            </w:r>
          </w:p>
        </w:tc>
        <w:tc>
          <w:tcPr>
            <w:tcW w:w="709" w:type="dxa"/>
            <w:noWrap w:val="0"/>
            <w:vAlign w:val="center"/>
          </w:tcPr>
          <w:p w14:paraId="492483CC">
            <w:pPr>
              <w:widowControl/>
              <w:spacing w:line="280" w:lineRule="exact"/>
              <w:jc w:val="center"/>
              <w:rPr>
                <w:color w:val="000000" w:themeColor="text1"/>
                <w:kern w:val="0"/>
                <w:sz w:val="18"/>
                <w:szCs w:val="18"/>
                <w:highlight w:val="none"/>
                <w14:textFill>
                  <w14:solidFill>
                    <w14:schemeClr w14:val="tx1"/>
                  </w14:solidFill>
                </w14:textFill>
              </w:rPr>
            </w:pPr>
            <w:r>
              <w:rPr>
                <w:color w:val="000000" w:themeColor="text1"/>
                <w:kern w:val="0"/>
                <w:sz w:val="18"/>
                <w:szCs w:val="18"/>
                <w:highlight w:val="none"/>
                <w14:textFill>
                  <w14:solidFill>
                    <w14:schemeClr w14:val="tx1"/>
                  </w14:solidFill>
                </w14:textFill>
              </w:rPr>
              <w:t>万元</w:t>
            </w:r>
          </w:p>
        </w:tc>
        <w:tc>
          <w:tcPr>
            <w:tcW w:w="1125" w:type="dxa"/>
            <w:noWrap w:val="0"/>
            <w:vAlign w:val="center"/>
          </w:tcPr>
          <w:p w14:paraId="3505AA40">
            <w:pPr>
              <w:widowControl/>
              <w:spacing w:line="280" w:lineRule="exact"/>
              <w:jc w:val="center"/>
              <w:rPr>
                <w:color w:val="000000" w:themeColor="text1"/>
                <w:kern w:val="0"/>
                <w:sz w:val="18"/>
                <w:szCs w:val="18"/>
                <w:highlight w:val="none"/>
                <w14:textFill>
                  <w14:solidFill>
                    <w14:schemeClr w14:val="tx1"/>
                  </w14:solidFill>
                </w14:textFill>
              </w:rPr>
            </w:pPr>
            <w:r>
              <w:rPr>
                <w:color w:val="000000" w:themeColor="text1"/>
                <w:kern w:val="0"/>
                <w:sz w:val="18"/>
                <w:szCs w:val="18"/>
                <w:highlight w:val="none"/>
                <w14:textFill>
                  <w14:solidFill>
                    <w14:schemeClr w14:val="tx1"/>
                  </w14:solidFill>
                </w14:textFill>
              </w:rPr>
              <w:t>Y≥80000</w:t>
            </w:r>
          </w:p>
        </w:tc>
        <w:tc>
          <w:tcPr>
            <w:tcW w:w="1701" w:type="dxa"/>
            <w:noWrap w:val="0"/>
            <w:vAlign w:val="center"/>
          </w:tcPr>
          <w:p w14:paraId="19EE9EFC">
            <w:pPr>
              <w:widowControl/>
              <w:spacing w:line="280" w:lineRule="exact"/>
              <w:jc w:val="center"/>
              <w:rPr>
                <w:color w:val="000000" w:themeColor="text1"/>
                <w:kern w:val="0"/>
                <w:sz w:val="18"/>
                <w:szCs w:val="18"/>
                <w:highlight w:val="none"/>
                <w14:textFill>
                  <w14:solidFill>
                    <w14:schemeClr w14:val="tx1"/>
                  </w14:solidFill>
                </w14:textFill>
              </w:rPr>
            </w:pPr>
            <w:r>
              <w:rPr>
                <w:color w:val="000000" w:themeColor="text1"/>
                <w:kern w:val="0"/>
                <w:sz w:val="18"/>
                <w:szCs w:val="18"/>
                <w:highlight w:val="none"/>
                <w14:textFill>
                  <w14:solidFill>
                    <w14:schemeClr w14:val="tx1"/>
                  </w14:solidFill>
                </w14:textFill>
              </w:rPr>
              <w:t>6000≤Y＜80000</w:t>
            </w:r>
          </w:p>
        </w:tc>
        <w:tc>
          <w:tcPr>
            <w:tcW w:w="1426" w:type="dxa"/>
            <w:noWrap w:val="0"/>
            <w:vAlign w:val="center"/>
          </w:tcPr>
          <w:p w14:paraId="56033E9D">
            <w:pPr>
              <w:widowControl/>
              <w:spacing w:line="280" w:lineRule="exact"/>
              <w:jc w:val="center"/>
              <w:rPr>
                <w:color w:val="000000" w:themeColor="text1"/>
                <w:kern w:val="0"/>
                <w:sz w:val="18"/>
                <w:szCs w:val="18"/>
                <w:highlight w:val="none"/>
                <w14:textFill>
                  <w14:solidFill>
                    <w14:schemeClr w14:val="tx1"/>
                  </w14:solidFill>
                </w14:textFill>
              </w:rPr>
            </w:pPr>
            <w:r>
              <w:rPr>
                <w:color w:val="000000" w:themeColor="text1"/>
                <w:kern w:val="0"/>
                <w:sz w:val="18"/>
                <w:szCs w:val="18"/>
                <w:highlight w:val="none"/>
                <w14:textFill>
                  <w14:solidFill>
                    <w14:schemeClr w14:val="tx1"/>
                  </w14:solidFill>
                </w14:textFill>
              </w:rPr>
              <w:t>300≤Y＜6000</w:t>
            </w:r>
          </w:p>
        </w:tc>
        <w:tc>
          <w:tcPr>
            <w:tcW w:w="992" w:type="dxa"/>
            <w:noWrap w:val="0"/>
            <w:vAlign w:val="center"/>
          </w:tcPr>
          <w:p w14:paraId="51CE83F9">
            <w:pPr>
              <w:widowControl/>
              <w:spacing w:line="280" w:lineRule="exact"/>
              <w:jc w:val="center"/>
              <w:rPr>
                <w:color w:val="000000" w:themeColor="text1"/>
                <w:kern w:val="0"/>
                <w:sz w:val="18"/>
                <w:szCs w:val="18"/>
                <w:highlight w:val="none"/>
                <w14:textFill>
                  <w14:solidFill>
                    <w14:schemeClr w14:val="tx1"/>
                  </w14:solidFill>
                </w14:textFill>
              </w:rPr>
            </w:pPr>
            <w:r>
              <w:rPr>
                <w:color w:val="000000" w:themeColor="text1"/>
                <w:kern w:val="0"/>
                <w:sz w:val="18"/>
                <w:szCs w:val="18"/>
                <w:highlight w:val="none"/>
                <w14:textFill>
                  <w14:solidFill>
                    <w14:schemeClr w14:val="tx1"/>
                  </w14:solidFill>
                </w14:textFill>
              </w:rPr>
              <w:t>Y＜300</w:t>
            </w:r>
          </w:p>
        </w:tc>
      </w:tr>
      <w:tr w14:paraId="1494B8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continue"/>
            <w:noWrap w:val="0"/>
            <w:vAlign w:val="center"/>
          </w:tcPr>
          <w:p w14:paraId="579AEC5B">
            <w:pPr>
              <w:widowControl/>
              <w:spacing w:line="280" w:lineRule="exact"/>
              <w:jc w:val="left"/>
              <w:rPr>
                <w:color w:val="000000" w:themeColor="text1"/>
                <w:kern w:val="0"/>
                <w:sz w:val="18"/>
                <w:szCs w:val="18"/>
                <w:highlight w:val="none"/>
                <w14:textFill>
                  <w14:solidFill>
                    <w14:schemeClr w14:val="tx1"/>
                  </w14:solidFill>
                </w14:textFill>
              </w:rPr>
            </w:pPr>
          </w:p>
        </w:tc>
        <w:tc>
          <w:tcPr>
            <w:tcW w:w="1369" w:type="dxa"/>
            <w:noWrap w:val="0"/>
            <w:vAlign w:val="center"/>
          </w:tcPr>
          <w:p w14:paraId="47CE722D">
            <w:pPr>
              <w:widowControl/>
              <w:spacing w:line="280" w:lineRule="exact"/>
              <w:jc w:val="center"/>
              <w:rPr>
                <w:color w:val="000000" w:themeColor="text1"/>
                <w:kern w:val="0"/>
                <w:sz w:val="18"/>
                <w:szCs w:val="18"/>
                <w:highlight w:val="none"/>
                <w14:textFill>
                  <w14:solidFill>
                    <w14:schemeClr w14:val="tx1"/>
                  </w14:solidFill>
                </w14:textFill>
              </w:rPr>
            </w:pPr>
            <w:r>
              <w:rPr>
                <w:color w:val="000000" w:themeColor="text1"/>
                <w:kern w:val="0"/>
                <w:sz w:val="18"/>
                <w:szCs w:val="18"/>
                <w:highlight w:val="none"/>
                <w14:textFill>
                  <w14:solidFill>
                    <w14:schemeClr w14:val="tx1"/>
                  </w14:solidFill>
                </w14:textFill>
              </w:rPr>
              <w:t>资产总额(Z)</w:t>
            </w:r>
          </w:p>
        </w:tc>
        <w:tc>
          <w:tcPr>
            <w:tcW w:w="709" w:type="dxa"/>
            <w:noWrap w:val="0"/>
            <w:vAlign w:val="center"/>
          </w:tcPr>
          <w:p w14:paraId="00FBDDB7">
            <w:pPr>
              <w:widowControl/>
              <w:spacing w:line="280" w:lineRule="exact"/>
              <w:jc w:val="center"/>
              <w:rPr>
                <w:color w:val="000000" w:themeColor="text1"/>
                <w:kern w:val="0"/>
                <w:sz w:val="18"/>
                <w:szCs w:val="18"/>
                <w:highlight w:val="none"/>
                <w14:textFill>
                  <w14:solidFill>
                    <w14:schemeClr w14:val="tx1"/>
                  </w14:solidFill>
                </w14:textFill>
              </w:rPr>
            </w:pPr>
            <w:r>
              <w:rPr>
                <w:color w:val="000000" w:themeColor="text1"/>
                <w:kern w:val="0"/>
                <w:sz w:val="18"/>
                <w:szCs w:val="18"/>
                <w:highlight w:val="none"/>
                <w14:textFill>
                  <w14:solidFill>
                    <w14:schemeClr w14:val="tx1"/>
                  </w14:solidFill>
                </w14:textFill>
              </w:rPr>
              <w:t>万元</w:t>
            </w:r>
          </w:p>
        </w:tc>
        <w:tc>
          <w:tcPr>
            <w:tcW w:w="1125" w:type="dxa"/>
            <w:noWrap w:val="0"/>
            <w:vAlign w:val="center"/>
          </w:tcPr>
          <w:p w14:paraId="7C63D403">
            <w:pPr>
              <w:widowControl/>
              <w:spacing w:line="280" w:lineRule="exact"/>
              <w:jc w:val="center"/>
              <w:rPr>
                <w:color w:val="000000" w:themeColor="text1"/>
                <w:kern w:val="0"/>
                <w:sz w:val="18"/>
                <w:szCs w:val="18"/>
                <w:highlight w:val="none"/>
                <w14:textFill>
                  <w14:solidFill>
                    <w14:schemeClr w14:val="tx1"/>
                  </w14:solidFill>
                </w14:textFill>
              </w:rPr>
            </w:pPr>
            <w:r>
              <w:rPr>
                <w:color w:val="000000" w:themeColor="text1"/>
                <w:kern w:val="0"/>
                <w:sz w:val="18"/>
                <w:szCs w:val="18"/>
                <w:highlight w:val="none"/>
                <w14:textFill>
                  <w14:solidFill>
                    <w14:schemeClr w14:val="tx1"/>
                  </w14:solidFill>
                </w14:textFill>
              </w:rPr>
              <w:t>Z≥80000</w:t>
            </w:r>
          </w:p>
        </w:tc>
        <w:tc>
          <w:tcPr>
            <w:tcW w:w="1701" w:type="dxa"/>
            <w:noWrap w:val="0"/>
            <w:vAlign w:val="center"/>
          </w:tcPr>
          <w:p w14:paraId="2CEB4F33">
            <w:pPr>
              <w:widowControl/>
              <w:spacing w:line="280" w:lineRule="exact"/>
              <w:jc w:val="center"/>
              <w:rPr>
                <w:color w:val="000000" w:themeColor="text1"/>
                <w:kern w:val="0"/>
                <w:sz w:val="18"/>
                <w:szCs w:val="18"/>
                <w:highlight w:val="none"/>
                <w14:textFill>
                  <w14:solidFill>
                    <w14:schemeClr w14:val="tx1"/>
                  </w14:solidFill>
                </w14:textFill>
              </w:rPr>
            </w:pPr>
            <w:r>
              <w:rPr>
                <w:color w:val="000000" w:themeColor="text1"/>
                <w:kern w:val="0"/>
                <w:sz w:val="18"/>
                <w:szCs w:val="18"/>
                <w:highlight w:val="none"/>
                <w14:textFill>
                  <w14:solidFill>
                    <w14:schemeClr w14:val="tx1"/>
                  </w14:solidFill>
                </w14:textFill>
              </w:rPr>
              <w:t>5000≤Z＜80000</w:t>
            </w:r>
          </w:p>
        </w:tc>
        <w:tc>
          <w:tcPr>
            <w:tcW w:w="1426" w:type="dxa"/>
            <w:noWrap w:val="0"/>
            <w:vAlign w:val="center"/>
          </w:tcPr>
          <w:p w14:paraId="1CBEFAEA">
            <w:pPr>
              <w:widowControl/>
              <w:spacing w:line="280" w:lineRule="exact"/>
              <w:jc w:val="center"/>
              <w:rPr>
                <w:color w:val="000000" w:themeColor="text1"/>
                <w:kern w:val="0"/>
                <w:sz w:val="18"/>
                <w:szCs w:val="18"/>
                <w:highlight w:val="none"/>
                <w14:textFill>
                  <w14:solidFill>
                    <w14:schemeClr w14:val="tx1"/>
                  </w14:solidFill>
                </w14:textFill>
              </w:rPr>
            </w:pPr>
            <w:r>
              <w:rPr>
                <w:color w:val="000000" w:themeColor="text1"/>
                <w:kern w:val="0"/>
                <w:sz w:val="18"/>
                <w:szCs w:val="18"/>
                <w:highlight w:val="none"/>
                <w14:textFill>
                  <w14:solidFill>
                    <w14:schemeClr w14:val="tx1"/>
                  </w14:solidFill>
                </w14:textFill>
              </w:rPr>
              <w:t>300≤Z＜5000</w:t>
            </w:r>
          </w:p>
        </w:tc>
        <w:tc>
          <w:tcPr>
            <w:tcW w:w="992" w:type="dxa"/>
            <w:noWrap w:val="0"/>
            <w:vAlign w:val="center"/>
          </w:tcPr>
          <w:p w14:paraId="6D6D1A70">
            <w:pPr>
              <w:widowControl/>
              <w:spacing w:line="280" w:lineRule="exact"/>
              <w:jc w:val="center"/>
              <w:rPr>
                <w:color w:val="000000" w:themeColor="text1"/>
                <w:kern w:val="0"/>
                <w:sz w:val="18"/>
                <w:szCs w:val="18"/>
                <w:highlight w:val="none"/>
                <w14:textFill>
                  <w14:solidFill>
                    <w14:schemeClr w14:val="tx1"/>
                  </w14:solidFill>
                </w14:textFill>
              </w:rPr>
            </w:pPr>
            <w:r>
              <w:rPr>
                <w:color w:val="000000" w:themeColor="text1"/>
                <w:kern w:val="0"/>
                <w:sz w:val="18"/>
                <w:szCs w:val="18"/>
                <w:highlight w:val="none"/>
                <w14:textFill>
                  <w14:solidFill>
                    <w14:schemeClr w14:val="tx1"/>
                  </w14:solidFill>
                </w14:textFill>
              </w:rPr>
              <w:t>Z＜300</w:t>
            </w:r>
          </w:p>
        </w:tc>
      </w:tr>
      <w:tr w14:paraId="47430C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restart"/>
            <w:noWrap w:val="0"/>
            <w:vAlign w:val="center"/>
          </w:tcPr>
          <w:p w14:paraId="45A7F5DC">
            <w:pPr>
              <w:widowControl/>
              <w:spacing w:line="280" w:lineRule="exact"/>
              <w:jc w:val="left"/>
              <w:rPr>
                <w:color w:val="000000" w:themeColor="text1"/>
                <w:kern w:val="0"/>
                <w:sz w:val="18"/>
                <w:szCs w:val="18"/>
                <w:highlight w:val="none"/>
                <w14:textFill>
                  <w14:solidFill>
                    <w14:schemeClr w14:val="tx1"/>
                  </w14:solidFill>
                </w14:textFill>
              </w:rPr>
            </w:pPr>
            <w:r>
              <w:rPr>
                <w:color w:val="000000" w:themeColor="text1"/>
                <w:kern w:val="0"/>
                <w:sz w:val="18"/>
                <w:szCs w:val="18"/>
                <w:highlight w:val="none"/>
                <w14:textFill>
                  <w14:solidFill>
                    <w14:schemeClr w14:val="tx1"/>
                  </w14:solidFill>
                </w14:textFill>
              </w:rPr>
              <w:t>批发业</w:t>
            </w:r>
          </w:p>
        </w:tc>
        <w:tc>
          <w:tcPr>
            <w:tcW w:w="1369" w:type="dxa"/>
            <w:noWrap w:val="0"/>
            <w:vAlign w:val="center"/>
          </w:tcPr>
          <w:p w14:paraId="309123DC">
            <w:pPr>
              <w:widowControl/>
              <w:spacing w:line="280" w:lineRule="exact"/>
              <w:jc w:val="center"/>
              <w:rPr>
                <w:color w:val="000000" w:themeColor="text1"/>
                <w:kern w:val="0"/>
                <w:sz w:val="18"/>
                <w:szCs w:val="18"/>
                <w:highlight w:val="none"/>
                <w14:textFill>
                  <w14:solidFill>
                    <w14:schemeClr w14:val="tx1"/>
                  </w14:solidFill>
                </w14:textFill>
              </w:rPr>
            </w:pPr>
            <w:r>
              <w:rPr>
                <w:color w:val="000000" w:themeColor="text1"/>
                <w:kern w:val="0"/>
                <w:sz w:val="18"/>
                <w:szCs w:val="18"/>
                <w:highlight w:val="none"/>
                <w14:textFill>
                  <w14:solidFill>
                    <w14:schemeClr w14:val="tx1"/>
                  </w14:solidFill>
                </w14:textFill>
              </w:rPr>
              <w:t>从业人员(X)</w:t>
            </w:r>
          </w:p>
        </w:tc>
        <w:tc>
          <w:tcPr>
            <w:tcW w:w="709" w:type="dxa"/>
            <w:noWrap w:val="0"/>
            <w:vAlign w:val="center"/>
          </w:tcPr>
          <w:p w14:paraId="4ED3879C">
            <w:pPr>
              <w:widowControl/>
              <w:spacing w:line="280" w:lineRule="exact"/>
              <w:jc w:val="center"/>
              <w:rPr>
                <w:color w:val="000000" w:themeColor="text1"/>
                <w:kern w:val="0"/>
                <w:sz w:val="18"/>
                <w:szCs w:val="18"/>
                <w:highlight w:val="none"/>
                <w14:textFill>
                  <w14:solidFill>
                    <w14:schemeClr w14:val="tx1"/>
                  </w14:solidFill>
                </w14:textFill>
              </w:rPr>
            </w:pPr>
            <w:r>
              <w:rPr>
                <w:color w:val="000000" w:themeColor="text1"/>
                <w:kern w:val="0"/>
                <w:sz w:val="18"/>
                <w:szCs w:val="18"/>
                <w:highlight w:val="none"/>
                <w14:textFill>
                  <w14:solidFill>
                    <w14:schemeClr w14:val="tx1"/>
                  </w14:solidFill>
                </w14:textFill>
              </w:rPr>
              <w:t>人</w:t>
            </w:r>
          </w:p>
        </w:tc>
        <w:tc>
          <w:tcPr>
            <w:tcW w:w="1125" w:type="dxa"/>
            <w:noWrap w:val="0"/>
            <w:vAlign w:val="center"/>
          </w:tcPr>
          <w:p w14:paraId="31C964C8">
            <w:pPr>
              <w:widowControl/>
              <w:spacing w:line="280" w:lineRule="exact"/>
              <w:jc w:val="center"/>
              <w:rPr>
                <w:color w:val="000000" w:themeColor="text1"/>
                <w:kern w:val="0"/>
                <w:sz w:val="18"/>
                <w:szCs w:val="18"/>
                <w:highlight w:val="none"/>
                <w14:textFill>
                  <w14:solidFill>
                    <w14:schemeClr w14:val="tx1"/>
                  </w14:solidFill>
                </w14:textFill>
              </w:rPr>
            </w:pPr>
            <w:r>
              <w:rPr>
                <w:color w:val="000000" w:themeColor="text1"/>
                <w:kern w:val="0"/>
                <w:sz w:val="18"/>
                <w:szCs w:val="18"/>
                <w:highlight w:val="none"/>
                <w14:textFill>
                  <w14:solidFill>
                    <w14:schemeClr w14:val="tx1"/>
                  </w14:solidFill>
                </w14:textFill>
              </w:rPr>
              <w:t>X≥200</w:t>
            </w:r>
          </w:p>
        </w:tc>
        <w:tc>
          <w:tcPr>
            <w:tcW w:w="1701" w:type="dxa"/>
            <w:noWrap w:val="0"/>
            <w:vAlign w:val="center"/>
          </w:tcPr>
          <w:p w14:paraId="4214C09A">
            <w:pPr>
              <w:widowControl/>
              <w:spacing w:line="280" w:lineRule="exact"/>
              <w:jc w:val="center"/>
              <w:rPr>
                <w:color w:val="000000" w:themeColor="text1"/>
                <w:kern w:val="0"/>
                <w:sz w:val="18"/>
                <w:szCs w:val="18"/>
                <w:highlight w:val="none"/>
                <w14:textFill>
                  <w14:solidFill>
                    <w14:schemeClr w14:val="tx1"/>
                  </w14:solidFill>
                </w14:textFill>
              </w:rPr>
            </w:pPr>
            <w:r>
              <w:rPr>
                <w:color w:val="000000" w:themeColor="text1"/>
                <w:kern w:val="0"/>
                <w:sz w:val="18"/>
                <w:szCs w:val="18"/>
                <w:highlight w:val="none"/>
                <w14:textFill>
                  <w14:solidFill>
                    <w14:schemeClr w14:val="tx1"/>
                  </w14:solidFill>
                </w14:textFill>
              </w:rPr>
              <w:t>20≤X＜200</w:t>
            </w:r>
          </w:p>
        </w:tc>
        <w:tc>
          <w:tcPr>
            <w:tcW w:w="1426" w:type="dxa"/>
            <w:noWrap w:val="0"/>
            <w:vAlign w:val="center"/>
          </w:tcPr>
          <w:p w14:paraId="0716F1E5">
            <w:pPr>
              <w:widowControl/>
              <w:spacing w:line="280" w:lineRule="exact"/>
              <w:jc w:val="center"/>
              <w:rPr>
                <w:color w:val="000000" w:themeColor="text1"/>
                <w:kern w:val="0"/>
                <w:sz w:val="18"/>
                <w:szCs w:val="18"/>
                <w:highlight w:val="none"/>
                <w14:textFill>
                  <w14:solidFill>
                    <w14:schemeClr w14:val="tx1"/>
                  </w14:solidFill>
                </w14:textFill>
              </w:rPr>
            </w:pPr>
            <w:r>
              <w:rPr>
                <w:color w:val="000000" w:themeColor="text1"/>
                <w:kern w:val="0"/>
                <w:sz w:val="18"/>
                <w:szCs w:val="18"/>
                <w:highlight w:val="none"/>
                <w14:textFill>
                  <w14:solidFill>
                    <w14:schemeClr w14:val="tx1"/>
                  </w14:solidFill>
                </w14:textFill>
              </w:rPr>
              <w:t>5≤X＜20</w:t>
            </w:r>
          </w:p>
        </w:tc>
        <w:tc>
          <w:tcPr>
            <w:tcW w:w="992" w:type="dxa"/>
            <w:noWrap w:val="0"/>
            <w:vAlign w:val="center"/>
          </w:tcPr>
          <w:p w14:paraId="664741BE">
            <w:pPr>
              <w:widowControl/>
              <w:spacing w:line="280" w:lineRule="exact"/>
              <w:jc w:val="center"/>
              <w:rPr>
                <w:color w:val="000000" w:themeColor="text1"/>
                <w:kern w:val="0"/>
                <w:sz w:val="18"/>
                <w:szCs w:val="18"/>
                <w:highlight w:val="none"/>
                <w14:textFill>
                  <w14:solidFill>
                    <w14:schemeClr w14:val="tx1"/>
                  </w14:solidFill>
                </w14:textFill>
              </w:rPr>
            </w:pPr>
            <w:r>
              <w:rPr>
                <w:color w:val="000000" w:themeColor="text1"/>
                <w:kern w:val="0"/>
                <w:sz w:val="18"/>
                <w:szCs w:val="18"/>
                <w:highlight w:val="none"/>
                <w14:textFill>
                  <w14:solidFill>
                    <w14:schemeClr w14:val="tx1"/>
                  </w14:solidFill>
                </w14:textFill>
              </w:rPr>
              <w:t>X＜5</w:t>
            </w:r>
          </w:p>
        </w:tc>
      </w:tr>
      <w:tr w14:paraId="141508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continue"/>
            <w:noWrap w:val="0"/>
            <w:vAlign w:val="center"/>
          </w:tcPr>
          <w:p w14:paraId="59A27304">
            <w:pPr>
              <w:widowControl/>
              <w:spacing w:line="280" w:lineRule="exact"/>
              <w:jc w:val="left"/>
              <w:rPr>
                <w:color w:val="000000" w:themeColor="text1"/>
                <w:kern w:val="0"/>
                <w:sz w:val="18"/>
                <w:szCs w:val="18"/>
                <w:highlight w:val="none"/>
                <w14:textFill>
                  <w14:solidFill>
                    <w14:schemeClr w14:val="tx1"/>
                  </w14:solidFill>
                </w14:textFill>
              </w:rPr>
            </w:pPr>
          </w:p>
        </w:tc>
        <w:tc>
          <w:tcPr>
            <w:tcW w:w="1369" w:type="dxa"/>
            <w:noWrap w:val="0"/>
            <w:vAlign w:val="center"/>
          </w:tcPr>
          <w:p w14:paraId="4FF194A3">
            <w:pPr>
              <w:widowControl/>
              <w:spacing w:line="280" w:lineRule="exact"/>
              <w:jc w:val="center"/>
              <w:rPr>
                <w:color w:val="000000" w:themeColor="text1"/>
                <w:kern w:val="0"/>
                <w:sz w:val="18"/>
                <w:szCs w:val="18"/>
                <w:highlight w:val="none"/>
                <w14:textFill>
                  <w14:solidFill>
                    <w14:schemeClr w14:val="tx1"/>
                  </w14:solidFill>
                </w14:textFill>
              </w:rPr>
            </w:pPr>
            <w:r>
              <w:rPr>
                <w:color w:val="000000" w:themeColor="text1"/>
                <w:kern w:val="0"/>
                <w:sz w:val="18"/>
                <w:szCs w:val="18"/>
                <w:highlight w:val="none"/>
                <w14:textFill>
                  <w14:solidFill>
                    <w14:schemeClr w14:val="tx1"/>
                  </w14:solidFill>
                </w14:textFill>
              </w:rPr>
              <w:t>营业收入(Y)</w:t>
            </w:r>
          </w:p>
        </w:tc>
        <w:tc>
          <w:tcPr>
            <w:tcW w:w="709" w:type="dxa"/>
            <w:noWrap w:val="0"/>
            <w:vAlign w:val="center"/>
          </w:tcPr>
          <w:p w14:paraId="36161665">
            <w:pPr>
              <w:widowControl/>
              <w:spacing w:line="280" w:lineRule="exact"/>
              <w:jc w:val="center"/>
              <w:rPr>
                <w:color w:val="000000" w:themeColor="text1"/>
                <w:kern w:val="0"/>
                <w:sz w:val="18"/>
                <w:szCs w:val="18"/>
                <w:highlight w:val="none"/>
                <w14:textFill>
                  <w14:solidFill>
                    <w14:schemeClr w14:val="tx1"/>
                  </w14:solidFill>
                </w14:textFill>
              </w:rPr>
            </w:pPr>
            <w:r>
              <w:rPr>
                <w:color w:val="000000" w:themeColor="text1"/>
                <w:kern w:val="0"/>
                <w:sz w:val="18"/>
                <w:szCs w:val="18"/>
                <w:highlight w:val="none"/>
                <w14:textFill>
                  <w14:solidFill>
                    <w14:schemeClr w14:val="tx1"/>
                  </w14:solidFill>
                </w14:textFill>
              </w:rPr>
              <w:t>万元</w:t>
            </w:r>
          </w:p>
        </w:tc>
        <w:tc>
          <w:tcPr>
            <w:tcW w:w="1125" w:type="dxa"/>
            <w:noWrap w:val="0"/>
            <w:vAlign w:val="center"/>
          </w:tcPr>
          <w:p w14:paraId="2084241F">
            <w:pPr>
              <w:widowControl/>
              <w:spacing w:line="280" w:lineRule="exact"/>
              <w:jc w:val="center"/>
              <w:rPr>
                <w:color w:val="000000" w:themeColor="text1"/>
                <w:kern w:val="0"/>
                <w:sz w:val="18"/>
                <w:szCs w:val="18"/>
                <w:highlight w:val="none"/>
                <w14:textFill>
                  <w14:solidFill>
                    <w14:schemeClr w14:val="tx1"/>
                  </w14:solidFill>
                </w14:textFill>
              </w:rPr>
            </w:pPr>
            <w:r>
              <w:rPr>
                <w:color w:val="000000" w:themeColor="text1"/>
                <w:kern w:val="0"/>
                <w:sz w:val="18"/>
                <w:szCs w:val="18"/>
                <w:highlight w:val="none"/>
                <w14:textFill>
                  <w14:solidFill>
                    <w14:schemeClr w14:val="tx1"/>
                  </w14:solidFill>
                </w14:textFill>
              </w:rPr>
              <w:t>Y≥40000</w:t>
            </w:r>
          </w:p>
        </w:tc>
        <w:tc>
          <w:tcPr>
            <w:tcW w:w="1701" w:type="dxa"/>
            <w:noWrap w:val="0"/>
            <w:vAlign w:val="center"/>
          </w:tcPr>
          <w:p w14:paraId="6CB1068D">
            <w:pPr>
              <w:widowControl/>
              <w:spacing w:line="280" w:lineRule="exact"/>
              <w:jc w:val="center"/>
              <w:rPr>
                <w:color w:val="000000" w:themeColor="text1"/>
                <w:kern w:val="0"/>
                <w:sz w:val="18"/>
                <w:szCs w:val="18"/>
                <w:highlight w:val="none"/>
                <w14:textFill>
                  <w14:solidFill>
                    <w14:schemeClr w14:val="tx1"/>
                  </w14:solidFill>
                </w14:textFill>
              </w:rPr>
            </w:pPr>
            <w:r>
              <w:rPr>
                <w:color w:val="000000" w:themeColor="text1"/>
                <w:kern w:val="0"/>
                <w:sz w:val="18"/>
                <w:szCs w:val="18"/>
                <w:highlight w:val="none"/>
                <w14:textFill>
                  <w14:solidFill>
                    <w14:schemeClr w14:val="tx1"/>
                  </w14:solidFill>
                </w14:textFill>
              </w:rPr>
              <w:t>5000≤Y＜40000</w:t>
            </w:r>
          </w:p>
        </w:tc>
        <w:tc>
          <w:tcPr>
            <w:tcW w:w="1426" w:type="dxa"/>
            <w:noWrap w:val="0"/>
            <w:vAlign w:val="center"/>
          </w:tcPr>
          <w:p w14:paraId="46722D77">
            <w:pPr>
              <w:widowControl/>
              <w:spacing w:line="280" w:lineRule="exact"/>
              <w:ind w:left="-1" w:leftChars="-1" w:hanging="1"/>
              <w:jc w:val="center"/>
              <w:rPr>
                <w:color w:val="000000" w:themeColor="text1"/>
                <w:kern w:val="0"/>
                <w:sz w:val="18"/>
                <w:szCs w:val="18"/>
                <w:highlight w:val="none"/>
                <w14:textFill>
                  <w14:solidFill>
                    <w14:schemeClr w14:val="tx1"/>
                  </w14:solidFill>
                </w14:textFill>
              </w:rPr>
            </w:pPr>
            <w:r>
              <w:rPr>
                <w:color w:val="000000" w:themeColor="text1"/>
                <w:kern w:val="0"/>
                <w:sz w:val="18"/>
                <w:szCs w:val="18"/>
                <w:highlight w:val="none"/>
                <w14:textFill>
                  <w14:solidFill>
                    <w14:schemeClr w14:val="tx1"/>
                  </w14:solidFill>
                </w14:textFill>
              </w:rPr>
              <w:t>1000≤Y＜5000</w:t>
            </w:r>
          </w:p>
        </w:tc>
        <w:tc>
          <w:tcPr>
            <w:tcW w:w="992" w:type="dxa"/>
            <w:noWrap w:val="0"/>
            <w:vAlign w:val="center"/>
          </w:tcPr>
          <w:p w14:paraId="76085129">
            <w:pPr>
              <w:widowControl/>
              <w:spacing w:line="280" w:lineRule="exact"/>
              <w:jc w:val="center"/>
              <w:rPr>
                <w:color w:val="000000" w:themeColor="text1"/>
                <w:kern w:val="0"/>
                <w:sz w:val="18"/>
                <w:szCs w:val="18"/>
                <w:highlight w:val="none"/>
                <w14:textFill>
                  <w14:solidFill>
                    <w14:schemeClr w14:val="tx1"/>
                  </w14:solidFill>
                </w14:textFill>
              </w:rPr>
            </w:pPr>
            <w:r>
              <w:rPr>
                <w:color w:val="000000" w:themeColor="text1"/>
                <w:kern w:val="0"/>
                <w:sz w:val="18"/>
                <w:szCs w:val="18"/>
                <w:highlight w:val="none"/>
                <w14:textFill>
                  <w14:solidFill>
                    <w14:schemeClr w14:val="tx1"/>
                  </w14:solidFill>
                </w14:textFill>
              </w:rPr>
              <w:t>Y＜1000</w:t>
            </w:r>
          </w:p>
        </w:tc>
      </w:tr>
      <w:tr w14:paraId="017B44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restart"/>
            <w:noWrap w:val="0"/>
            <w:vAlign w:val="center"/>
          </w:tcPr>
          <w:p w14:paraId="350E4C55">
            <w:pPr>
              <w:widowControl/>
              <w:spacing w:line="280" w:lineRule="exact"/>
              <w:jc w:val="left"/>
              <w:rPr>
                <w:color w:val="000000" w:themeColor="text1"/>
                <w:kern w:val="0"/>
                <w:sz w:val="18"/>
                <w:szCs w:val="18"/>
                <w:highlight w:val="none"/>
                <w14:textFill>
                  <w14:solidFill>
                    <w14:schemeClr w14:val="tx1"/>
                  </w14:solidFill>
                </w14:textFill>
              </w:rPr>
            </w:pPr>
            <w:r>
              <w:rPr>
                <w:color w:val="000000" w:themeColor="text1"/>
                <w:kern w:val="0"/>
                <w:sz w:val="18"/>
                <w:szCs w:val="18"/>
                <w:highlight w:val="none"/>
                <w14:textFill>
                  <w14:solidFill>
                    <w14:schemeClr w14:val="tx1"/>
                  </w14:solidFill>
                </w14:textFill>
              </w:rPr>
              <w:t>零售业</w:t>
            </w:r>
          </w:p>
        </w:tc>
        <w:tc>
          <w:tcPr>
            <w:tcW w:w="1369" w:type="dxa"/>
            <w:noWrap w:val="0"/>
            <w:vAlign w:val="center"/>
          </w:tcPr>
          <w:p w14:paraId="22E64B31">
            <w:pPr>
              <w:widowControl/>
              <w:spacing w:line="280" w:lineRule="exact"/>
              <w:jc w:val="center"/>
              <w:rPr>
                <w:color w:val="000000" w:themeColor="text1"/>
                <w:kern w:val="0"/>
                <w:sz w:val="18"/>
                <w:szCs w:val="18"/>
                <w:highlight w:val="none"/>
                <w14:textFill>
                  <w14:solidFill>
                    <w14:schemeClr w14:val="tx1"/>
                  </w14:solidFill>
                </w14:textFill>
              </w:rPr>
            </w:pPr>
            <w:r>
              <w:rPr>
                <w:color w:val="000000" w:themeColor="text1"/>
                <w:kern w:val="0"/>
                <w:sz w:val="18"/>
                <w:szCs w:val="18"/>
                <w:highlight w:val="none"/>
                <w14:textFill>
                  <w14:solidFill>
                    <w14:schemeClr w14:val="tx1"/>
                  </w14:solidFill>
                </w14:textFill>
              </w:rPr>
              <w:t>从业人员(X)</w:t>
            </w:r>
          </w:p>
        </w:tc>
        <w:tc>
          <w:tcPr>
            <w:tcW w:w="709" w:type="dxa"/>
            <w:noWrap w:val="0"/>
            <w:vAlign w:val="center"/>
          </w:tcPr>
          <w:p w14:paraId="1B42567F">
            <w:pPr>
              <w:widowControl/>
              <w:spacing w:line="280" w:lineRule="exact"/>
              <w:jc w:val="center"/>
              <w:rPr>
                <w:color w:val="000000" w:themeColor="text1"/>
                <w:kern w:val="0"/>
                <w:sz w:val="18"/>
                <w:szCs w:val="18"/>
                <w:highlight w:val="none"/>
                <w14:textFill>
                  <w14:solidFill>
                    <w14:schemeClr w14:val="tx1"/>
                  </w14:solidFill>
                </w14:textFill>
              </w:rPr>
            </w:pPr>
            <w:r>
              <w:rPr>
                <w:color w:val="000000" w:themeColor="text1"/>
                <w:kern w:val="0"/>
                <w:sz w:val="18"/>
                <w:szCs w:val="18"/>
                <w:highlight w:val="none"/>
                <w14:textFill>
                  <w14:solidFill>
                    <w14:schemeClr w14:val="tx1"/>
                  </w14:solidFill>
                </w14:textFill>
              </w:rPr>
              <w:t>人</w:t>
            </w:r>
          </w:p>
        </w:tc>
        <w:tc>
          <w:tcPr>
            <w:tcW w:w="1125" w:type="dxa"/>
            <w:noWrap w:val="0"/>
            <w:vAlign w:val="center"/>
          </w:tcPr>
          <w:p w14:paraId="3CC8B7E0">
            <w:pPr>
              <w:widowControl/>
              <w:spacing w:line="280" w:lineRule="exact"/>
              <w:jc w:val="center"/>
              <w:rPr>
                <w:color w:val="000000" w:themeColor="text1"/>
                <w:kern w:val="0"/>
                <w:sz w:val="18"/>
                <w:szCs w:val="18"/>
                <w:highlight w:val="none"/>
                <w14:textFill>
                  <w14:solidFill>
                    <w14:schemeClr w14:val="tx1"/>
                  </w14:solidFill>
                </w14:textFill>
              </w:rPr>
            </w:pPr>
            <w:r>
              <w:rPr>
                <w:color w:val="000000" w:themeColor="text1"/>
                <w:kern w:val="0"/>
                <w:sz w:val="18"/>
                <w:szCs w:val="18"/>
                <w:highlight w:val="none"/>
                <w14:textFill>
                  <w14:solidFill>
                    <w14:schemeClr w14:val="tx1"/>
                  </w14:solidFill>
                </w14:textFill>
              </w:rPr>
              <w:t>X≥300</w:t>
            </w:r>
          </w:p>
        </w:tc>
        <w:tc>
          <w:tcPr>
            <w:tcW w:w="1701" w:type="dxa"/>
            <w:noWrap w:val="0"/>
            <w:vAlign w:val="center"/>
          </w:tcPr>
          <w:p w14:paraId="232852AB">
            <w:pPr>
              <w:widowControl/>
              <w:spacing w:line="280" w:lineRule="exact"/>
              <w:jc w:val="center"/>
              <w:rPr>
                <w:color w:val="000000" w:themeColor="text1"/>
                <w:kern w:val="0"/>
                <w:sz w:val="18"/>
                <w:szCs w:val="18"/>
                <w:highlight w:val="none"/>
                <w14:textFill>
                  <w14:solidFill>
                    <w14:schemeClr w14:val="tx1"/>
                  </w14:solidFill>
                </w14:textFill>
              </w:rPr>
            </w:pPr>
            <w:r>
              <w:rPr>
                <w:color w:val="000000" w:themeColor="text1"/>
                <w:kern w:val="0"/>
                <w:sz w:val="18"/>
                <w:szCs w:val="18"/>
                <w:highlight w:val="none"/>
                <w14:textFill>
                  <w14:solidFill>
                    <w14:schemeClr w14:val="tx1"/>
                  </w14:solidFill>
                </w14:textFill>
              </w:rPr>
              <w:t>50≤X＜300</w:t>
            </w:r>
          </w:p>
        </w:tc>
        <w:tc>
          <w:tcPr>
            <w:tcW w:w="1426" w:type="dxa"/>
            <w:noWrap w:val="0"/>
            <w:vAlign w:val="center"/>
          </w:tcPr>
          <w:p w14:paraId="5A8C5155">
            <w:pPr>
              <w:widowControl/>
              <w:spacing w:line="280" w:lineRule="exact"/>
              <w:ind w:left="-1" w:leftChars="-1" w:hanging="1"/>
              <w:jc w:val="center"/>
              <w:rPr>
                <w:color w:val="000000" w:themeColor="text1"/>
                <w:kern w:val="0"/>
                <w:sz w:val="18"/>
                <w:szCs w:val="18"/>
                <w:highlight w:val="none"/>
                <w14:textFill>
                  <w14:solidFill>
                    <w14:schemeClr w14:val="tx1"/>
                  </w14:solidFill>
                </w14:textFill>
              </w:rPr>
            </w:pPr>
            <w:r>
              <w:rPr>
                <w:color w:val="000000" w:themeColor="text1"/>
                <w:kern w:val="0"/>
                <w:sz w:val="18"/>
                <w:szCs w:val="18"/>
                <w:highlight w:val="none"/>
                <w14:textFill>
                  <w14:solidFill>
                    <w14:schemeClr w14:val="tx1"/>
                  </w14:solidFill>
                </w14:textFill>
              </w:rPr>
              <w:t xml:space="preserve">10≤X＜50 </w:t>
            </w:r>
          </w:p>
        </w:tc>
        <w:tc>
          <w:tcPr>
            <w:tcW w:w="992" w:type="dxa"/>
            <w:noWrap w:val="0"/>
            <w:vAlign w:val="center"/>
          </w:tcPr>
          <w:p w14:paraId="51F0B40A">
            <w:pPr>
              <w:widowControl/>
              <w:spacing w:line="280" w:lineRule="exact"/>
              <w:jc w:val="center"/>
              <w:rPr>
                <w:color w:val="000000" w:themeColor="text1"/>
                <w:kern w:val="0"/>
                <w:sz w:val="18"/>
                <w:szCs w:val="18"/>
                <w:highlight w:val="none"/>
                <w14:textFill>
                  <w14:solidFill>
                    <w14:schemeClr w14:val="tx1"/>
                  </w14:solidFill>
                </w14:textFill>
              </w:rPr>
            </w:pPr>
            <w:r>
              <w:rPr>
                <w:color w:val="000000" w:themeColor="text1"/>
                <w:kern w:val="0"/>
                <w:sz w:val="18"/>
                <w:szCs w:val="18"/>
                <w:highlight w:val="none"/>
                <w14:textFill>
                  <w14:solidFill>
                    <w14:schemeClr w14:val="tx1"/>
                  </w14:solidFill>
                </w14:textFill>
              </w:rPr>
              <w:t>X＜10</w:t>
            </w:r>
          </w:p>
        </w:tc>
      </w:tr>
      <w:tr w14:paraId="13B567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continue"/>
            <w:noWrap w:val="0"/>
            <w:vAlign w:val="center"/>
          </w:tcPr>
          <w:p w14:paraId="7BCE4491">
            <w:pPr>
              <w:widowControl/>
              <w:spacing w:line="280" w:lineRule="exact"/>
              <w:jc w:val="left"/>
              <w:rPr>
                <w:color w:val="000000" w:themeColor="text1"/>
                <w:kern w:val="0"/>
                <w:sz w:val="18"/>
                <w:szCs w:val="18"/>
                <w:highlight w:val="none"/>
                <w14:textFill>
                  <w14:solidFill>
                    <w14:schemeClr w14:val="tx1"/>
                  </w14:solidFill>
                </w14:textFill>
              </w:rPr>
            </w:pPr>
          </w:p>
        </w:tc>
        <w:tc>
          <w:tcPr>
            <w:tcW w:w="1369" w:type="dxa"/>
            <w:noWrap w:val="0"/>
            <w:vAlign w:val="center"/>
          </w:tcPr>
          <w:p w14:paraId="5159E3A0">
            <w:pPr>
              <w:widowControl/>
              <w:spacing w:line="280" w:lineRule="exact"/>
              <w:jc w:val="center"/>
              <w:rPr>
                <w:color w:val="000000" w:themeColor="text1"/>
                <w:kern w:val="0"/>
                <w:sz w:val="18"/>
                <w:szCs w:val="18"/>
                <w:highlight w:val="none"/>
                <w14:textFill>
                  <w14:solidFill>
                    <w14:schemeClr w14:val="tx1"/>
                  </w14:solidFill>
                </w14:textFill>
              </w:rPr>
            </w:pPr>
            <w:r>
              <w:rPr>
                <w:color w:val="000000" w:themeColor="text1"/>
                <w:kern w:val="0"/>
                <w:sz w:val="18"/>
                <w:szCs w:val="18"/>
                <w:highlight w:val="none"/>
                <w14:textFill>
                  <w14:solidFill>
                    <w14:schemeClr w14:val="tx1"/>
                  </w14:solidFill>
                </w14:textFill>
              </w:rPr>
              <w:t>营业收入(Y)</w:t>
            </w:r>
          </w:p>
        </w:tc>
        <w:tc>
          <w:tcPr>
            <w:tcW w:w="709" w:type="dxa"/>
            <w:noWrap w:val="0"/>
            <w:vAlign w:val="center"/>
          </w:tcPr>
          <w:p w14:paraId="30489275">
            <w:pPr>
              <w:widowControl/>
              <w:spacing w:line="280" w:lineRule="exact"/>
              <w:jc w:val="center"/>
              <w:rPr>
                <w:color w:val="000000" w:themeColor="text1"/>
                <w:kern w:val="0"/>
                <w:sz w:val="18"/>
                <w:szCs w:val="18"/>
                <w:highlight w:val="none"/>
                <w14:textFill>
                  <w14:solidFill>
                    <w14:schemeClr w14:val="tx1"/>
                  </w14:solidFill>
                </w14:textFill>
              </w:rPr>
            </w:pPr>
            <w:r>
              <w:rPr>
                <w:color w:val="000000" w:themeColor="text1"/>
                <w:kern w:val="0"/>
                <w:sz w:val="18"/>
                <w:szCs w:val="18"/>
                <w:highlight w:val="none"/>
                <w14:textFill>
                  <w14:solidFill>
                    <w14:schemeClr w14:val="tx1"/>
                  </w14:solidFill>
                </w14:textFill>
              </w:rPr>
              <w:t>万元</w:t>
            </w:r>
          </w:p>
        </w:tc>
        <w:tc>
          <w:tcPr>
            <w:tcW w:w="1125" w:type="dxa"/>
            <w:noWrap w:val="0"/>
            <w:vAlign w:val="center"/>
          </w:tcPr>
          <w:p w14:paraId="2E2EBE59">
            <w:pPr>
              <w:widowControl/>
              <w:spacing w:line="280" w:lineRule="exact"/>
              <w:jc w:val="center"/>
              <w:rPr>
                <w:color w:val="000000" w:themeColor="text1"/>
                <w:kern w:val="0"/>
                <w:sz w:val="18"/>
                <w:szCs w:val="18"/>
                <w:highlight w:val="none"/>
                <w14:textFill>
                  <w14:solidFill>
                    <w14:schemeClr w14:val="tx1"/>
                  </w14:solidFill>
                </w14:textFill>
              </w:rPr>
            </w:pPr>
            <w:r>
              <w:rPr>
                <w:color w:val="000000" w:themeColor="text1"/>
                <w:kern w:val="0"/>
                <w:sz w:val="18"/>
                <w:szCs w:val="18"/>
                <w:highlight w:val="none"/>
                <w14:textFill>
                  <w14:solidFill>
                    <w14:schemeClr w14:val="tx1"/>
                  </w14:solidFill>
                </w14:textFill>
              </w:rPr>
              <w:t>Y≥20000</w:t>
            </w:r>
          </w:p>
        </w:tc>
        <w:tc>
          <w:tcPr>
            <w:tcW w:w="1701" w:type="dxa"/>
            <w:noWrap w:val="0"/>
            <w:vAlign w:val="center"/>
          </w:tcPr>
          <w:p w14:paraId="210F0556">
            <w:pPr>
              <w:widowControl/>
              <w:spacing w:line="280" w:lineRule="exact"/>
              <w:jc w:val="center"/>
              <w:rPr>
                <w:color w:val="000000" w:themeColor="text1"/>
                <w:kern w:val="0"/>
                <w:sz w:val="18"/>
                <w:szCs w:val="18"/>
                <w:highlight w:val="none"/>
                <w14:textFill>
                  <w14:solidFill>
                    <w14:schemeClr w14:val="tx1"/>
                  </w14:solidFill>
                </w14:textFill>
              </w:rPr>
            </w:pPr>
            <w:r>
              <w:rPr>
                <w:color w:val="000000" w:themeColor="text1"/>
                <w:kern w:val="0"/>
                <w:sz w:val="18"/>
                <w:szCs w:val="18"/>
                <w:highlight w:val="none"/>
                <w14:textFill>
                  <w14:solidFill>
                    <w14:schemeClr w14:val="tx1"/>
                  </w14:solidFill>
                </w14:textFill>
              </w:rPr>
              <w:t>500≤Y＜20000</w:t>
            </w:r>
          </w:p>
        </w:tc>
        <w:tc>
          <w:tcPr>
            <w:tcW w:w="1426" w:type="dxa"/>
            <w:noWrap w:val="0"/>
            <w:vAlign w:val="center"/>
          </w:tcPr>
          <w:p w14:paraId="278433AE">
            <w:pPr>
              <w:widowControl/>
              <w:spacing w:line="280" w:lineRule="exact"/>
              <w:ind w:left="-1" w:leftChars="-1" w:hanging="1"/>
              <w:jc w:val="center"/>
              <w:rPr>
                <w:color w:val="000000" w:themeColor="text1"/>
                <w:kern w:val="0"/>
                <w:sz w:val="18"/>
                <w:szCs w:val="18"/>
                <w:highlight w:val="none"/>
                <w14:textFill>
                  <w14:solidFill>
                    <w14:schemeClr w14:val="tx1"/>
                  </w14:solidFill>
                </w14:textFill>
              </w:rPr>
            </w:pPr>
            <w:r>
              <w:rPr>
                <w:color w:val="000000" w:themeColor="text1"/>
                <w:kern w:val="0"/>
                <w:sz w:val="18"/>
                <w:szCs w:val="18"/>
                <w:highlight w:val="none"/>
                <w14:textFill>
                  <w14:solidFill>
                    <w14:schemeClr w14:val="tx1"/>
                  </w14:solidFill>
                </w14:textFill>
              </w:rPr>
              <w:t>100≤Y＜500</w:t>
            </w:r>
          </w:p>
        </w:tc>
        <w:tc>
          <w:tcPr>
            <w:tcW w:w="992" w:type="dxa"/>
            <w:noWrap w:val="0"/>
            <w:vAlign w:val="center"/>
          </w:tcPr>
          <w:p w14:paraId="26826E4C">
            <w:pPr>
              <w:widowControl/>
              <w:spacing w:line="280" w:lineRule="exact"/>
              <w:jc w:val="center"/>
              <w:rPr>
                <w:color w:val="000000" w:themeColor="text1"/>
                <w:kern w:val="0"/>
                <w:sz w:val="18"/>
                <w:szCs w:val="18"/>
                <w:highlight w:val="none"/>
                <w14:textFill>
                  <w14:solidFill>
                    <w14:schemeClr w14:val="tx1"/>
                  </w14:solidFill>
                </w14:textFill>
              </w:rPr>
            </w:pPr>
            <w:r>
              <w:rPr>
                <w:color w:val="000000" w:themeColor="text1"/>
                <w:kern w:val="0"/>
                <w:sz w:val="18"/>
                <w:szCs w:val="18"/>
                <w:highlight w:val="none"/>
                <w14:textFill>
                  <w14:solidFill>
                    <w14:schemeClr w14:val="tx1"/>
                  </w14:solidFill>
                </w14:textFill>
              </w:rPr>
              <w:t>Y＜100</w:t>
            </w:r>
          </w:p>
        </w:tc>
      </w:tr>
      <w:tr w14:paraId="396700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restart"/>
            <w:noWrap w:val="0"/>
            <w:vAlign w:val="center"/>
          </w:tcPr>
          <w:p w14:paraId="223E2BBA">
            <w:pPr>
              <w:widowControl/>
              <w:spacing w:line="280" w:lineRule="exact"/>
              <w:jc w:val="left"/>
              <w:rPr>
                <w:color w:val="000000" w:themeColor="text1"/>
                <w:kern w:val="0"/>
                <w:sz w:val="18"/>
                <w:szCs w:val="18"/>
                <w:highlight w:val="none"/>
                <w14:textFill>
                  <w14:solidFill>
                    <w14:schemeClr w14:val="tx1"/>
                  </w14:solidFill>
                </w14:textFill>
              </w:rPr>
            </w:pPr>
            <w:r>
              <w:rPr>
                <w:color w:val="000000" w:themeColor="text1"/>
                <w:kern w:val="0"/>
                <w:sz w:val="18"/>
                <w:szCs w:val="18"/>
                <w:highlight w:val="none"/>
                <w14:textFill>
                  <w14:solidFill>
                    <w14:schemeClr w14:val="tx1"/>
                  </w14:solidFill>
                </w14:textFill>
              </w:rPr>
              <w:t>交通运输业 *</w:t>
            </w:r>
          </w:p>
        </w:tc>
        <w:tc>
          <w:tcPr>
            <w:tcW w:w="1369" w:type="dxa"/>
            <w:noWrap w:val="0"/>
            <w:vAlign w:val="center"/>
          </w:tcPr>
          <w:p w14:paraId="648C0EC8">
            <w:pPr>
              <w:widowControl/>
              <w:spacing w:line="280" w:lineRule="exact"/>
              <w:jc w:val="center"/>
              <w:rPr>
                <w:color w:val="000000" w:themeColor="text1"/>
                <w:kern w:val="0"/>
                <w:sz w:val="18"/>
                <w:szCs w:val="18"/>
                <w:highlight w:val="none"/>
                <w14:textFill>
                  <w14:solidFill>
                    <w14:schemeClr w14:val="tx1"/>
                  </w14:solidFill>
                </w14:textFill>
              </w:rPr>
            </w:pPr>
            <w:r>
              <w:rPr>
                <w:color w:val="000000" w:themeColor="text1"/>
                <w:kern w:val="0"/>
                <w:sz w:val="18"/>
                <w:szCs w:val="18"/>
                <w:highlight w:val="none"/>
                <w14:textFill>
                  <w14:solidFill>
                    <w14:schemeClr w14:val="tx1"/>
                  </w14:solidFill>
                </w14:textFill>
              </w:rPr>
              <w:t>从业人员(X)</w:t>
            </w:r>
          </w:p>
        </w:tc>
        <w:tc>
          <w:tcPr>
            <w:tcW w:w="709" w:type="dxa"/>
            <w:noWrap w:val="0"/>
            <w:vAlign w:val="center"/>
          </w:tcPr>
          <w:p w14:paraId="30B02208">
            <w:pPr>
              <w:widowControl/>
              <w:spacing w:line="280" w:lineRule="exact"/>
              <w:jc w:val="center"/>
              <w:rPr>
                <w:color w:val="000000" w:themeColor="text1"/>
                <w:kern w:val="0"/>
                <w:sz w:val="18"/>
                <w:szCs w:val="18"/>
                <w:highlight w:val="none"/>
                <w14:textFill>
                  <w14:solidFill>
                    <w14:schemeClr w14:val="tx1"/>
                  </w14:solidFill>
                </w14:textFill>
              </w:rPr>
            </w:pPr>
            <w:r>
              <w:rPr>
                <w:color w:val="000000" w:themeColor="text1"/>
                <w:kern w:val="0"/>
                <w:sz w:val="18"/>
                <w:szCs w:val="18"/>
                <w:highlight w:val="none"/>
                <w14:textFill>
                  <w14:solidFill>
                    <w14:schemeClr w14:val="tx1"/>
                  </w14:solidFill>
                </w14:textFill>
              </w:rPr>
              <w:t>人</w:t>
            </w:r>
          </w:p>
        </w:tc>
        <w:tc>
          <w:tcPr>
            <w:tcW w:w="1125" w:type="dxa"/>
            <w:noWrap w:val="0"/>
            <w:vAlign w:val="center"/>
          </w:tcPr>
          <w:p w14:paraId="12E93F80">
            <w:pPr>
              <w:widowControl/>
              <w:spacing w:line="280" w:lineRule="exact"/>
              <w:jc w:val="center"/>
              <w:rPr>
                <w:color w:val="000000" w:themeColor="text1"/>
                <w:kern w:val="0"/>
                <w:sz w:val="18"/>
                <w:szCs w:val="18"/>
                <w:highlight w:val="none"/>
                <w14:textFill>
                  <w14:solidFill>
                    <w14:schemeClr w14:val="tx1"/>
                  </w14:solidFill>
                </w14:textFill>
              </w:rPr>
            </w:pPr>
            <w:r>
              <w:rPr>
                <w:color w:val="000000" w:themeColor="text1"/>
                <w:kern w:val="0"/>
                <w:sz w:val="18"/>
                <w:szCs w:val="18"/>
                <w:highlight w:val="none"/>
                <w14:textFill>
                  <w14:solidFill>
                    <w14:schemeClr w14:val="tx1"/>
                  </w14:solidFill>
                </w14:textFill>
              </w:rPr>
              <w:t>X≥1000</w:t>
            </w:r>
          </w:p>
        </w:tc>
        <w:tc>
          <w:tcPr>
            <w:tcW w:w="1701" w:type="dxa"/>
            <w:noWrap w:val="0"/>
            <w:vAlign w:val="center"/>
          </w:tcPr>
          <w:p w14:paraId="62E6E499">
            <w:pPr>
              <w:widowControl/>
              <w:spacing w:line="280" w:lineRule="exact"/>
              <w:jc w:val="center"/>
              <w:rPr>
                <w:color w:val="000000" w:themeColor="text1"/>
                <w:kern w:val="0"/>
                <w:sz w:val="18"/>
                <w:szCs w:val="18"/>
                <w:highlight w:val="none"/>
                <w14:textFill>
                  <w14:solidFill>
                    <w14:schemeClr w14:val="tx1"/>
                  </w14:solidFill>
                </w14:textFill>
              </w:rPr>
            </w:pPr>
            <w:r>
              <w:rPr>
                <w:color w:val="000000" w:themeColor="text1"/>
                <w:kern w:val="0"/>
                <w:sz w:val="18"/>
                <w:szCs w:val="18"/>
                <w:highlight w:val="none"/>
                <w14:textFill>
                  <w14:solidFill>
                    <w14:schemeClr w14:val="tx1"/>
                  </w14:solidFill>
                </w14:textFill>
              </w:rPr>
              <w:t>300≤X＜1000</w:t>
            </w:r>
          </w:p>
        </w:tc>
        <w:tc>
          <w:tcPr>
            <w:tcW w:w="1426" w:type="dxa"/>
            <w:noWrap w:val="0"/>
            <w:vAlign w:val="center"/>
          </w:tcPr>
          <w:p w14:paraId="6E9107B8">
            <w:pPr>
              <w:widowControl/>
              <w:spacing w:line="280" w:lineRule="exact"/>
              <w:jc w:val="center"/>
              <w:rPr>
                <w:color w:val="000000" w:themeColor="text1"/>
                <w:kern w:val="0"/>
                <w:sz w:val="18"/>
                <w:szCs w:val="18"/>
                <w:highlight w:val="none"/>
                <w14:textFill>
                  <w14:solidFill>
                    <w14:schemeClr w14:val="tx1"/>
                  </w14:solidFill>
                </w14:textFill>
              </w:rPr>
            </w:pPr>
            <w:r>
              <w:rPr>
                <w:color w:val="000000" w:themeColor="text1"/>
                <w:kern w:val="0"/>
                <w:sz w:val="18"/>
                <w:szCs w:val="18"/>
                <w:highlight w:val="none"/>
                <w14:textFill>
                  <w14:solidFill>
                    <w14:schemeClr w14:val="tx1"/>
                  </w14:solidFill>
                </w14:textFill>
              </w:rPr>
              <w:t>20≤X＜300</w:t>
            </w:r>
          </w:p>
        </w:tc>
        <w:tc>
          <w:tcPr>
            <w:tcW w:w="992" w:type="dxa"/>
            <w:noWrap w:val="0"/>
            <w:vAlign w:val="center"/>
          </w:tcPr>
          <w:p w14:paraId="21831251">
            <w:pPr>
              <w:widowControl/>
              <w:spacing w:line="280" w:lineRule="exact"/>
              <w:jc w:val="center"/>
              <w:rPr>
                <w:color w:val="000000" w:themeColor="text1"/>
                <w:kern w:val="0"/>
                <w:sz w:val="18"/>
                <w:szCs w:val="18"/>
                <w:highlight w:val="none"/>
                <w14:textFill>
                  <w14:solidFill>
                    <w14:schemeClr w14:val="tx1"/>
                  </w14:solidFill>
                </w14:textFill>
              </w:rPr>
            </w:pPr>
            <w:r>
              <w:rPr>
                <w:color w:val="000000" w:themeColor="text1"/>
                <w:kern w:val="0"/>
                <w:sz w:val="18"/>
                <w:szCs w:val="18"/>
                <w:highlight w:val="none"/>
                <w14:textFill>
                  <w14:solidFill>
                    <w14:schemeClr w14:val="tx1"/>
                  </w14:solidFill>
                </w14:textFill>
              </w:rPr>
              <w:t>X＜20</w:t>
            </w:r>
          </w:p>
        </w:tc>
      </w:tr>
      <w:tr w14:paraId="7A6ABA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continue"/>
            <w:noWrap w:val="0"/>
            <w:vAlign w:val="center"/>
          </w:tcPr>
          <w:p w14:paraId="76FFDF77">
            <w:pPr>
              <w:widowControl/>
              <w:spacing w:line="280" w:lineRule="exact"/>
              <w:jc w:val="left"/>
              <w:rPr>
                <w:color w:val="000000" w:themeColor="text1"/>
                <w:kern w:val="0"/>
                <w:sz w:val="18"/>
                <w:szCs w:val="18"/>
                <w:highlight w:val="none"/>
                <w14:textFill>
                  <w14:solidFill>
                    <w14:schemeClr w14:val="tx1"/>
                  </w14:solidFill>
                </w14:textFill>
              </w:rPr>
            </w:pPr>
          </w:p>
        </w:tc>
        <w:tc>
          <w:tcPr>
            <w:tcW w:w="1369" w:type="dxa"/>
            <w:noWrap w:val="0"/>
            <w:vAlign w:val="center"/>
          </w:tcPr>
          <w:p w14:paraId="23803BA4">
            <w:pPr>
              <w:widowControl/>
              <w:spacing w:line="280" w:lineRule="exact"/>
              <w:jc w:val="center"/>
              <w:rPr>
                <w:color w:val="000000" w:themeColor="text1"/>
                <w:kern w:val="0"/>
                <w:sz w:val="18"/>
                <w:szCs w:val="18"/>
                <w:highlight w:val="none"/>
                <w14:textFill>
                  <w14:solidFill>
                    <w14:schemeClr w14:val="tx1"/>
                  </w14:solidFill>
                </w14:textFill>
              </w:rPr>
            </w:pPr>
            <w:r>
              <w:rPr>
                <w:color w:val="000000" w:themeColor="text1"/>
                <w:kern w:val="0"/>
                <w:sz w:val="18"/>
                <w:szCs w:val="18"/>
                <w:highlight w:val="none"/>
                <w14:textFill>
                  <w14:solidFill>
                    <w14:schemeClr w14:val="tx1"/>
                  </w14:solidFill>
                </w14:textFill>
              </w:rPr>
              <w:t>营业收入(Y)</w:t>
            </w:r>
          </w:p>
        </w:tc>
        <w:tc>
          <w:tcPr>
            <w:tcW w:w="709" w:type="dxa"/>
            <w:noWrap w:val="0"/>
            <w:vAlign w:val="center"/>
          </w:tcPr>
          <w:p w14:paraId="1811BD10">
            <w:pPr>
              <w:widowControl/>
              <w:spacing w:line="280" w:lineRule="exact"/>
              <w:jc w:val="center"/>
              <w:rPr>
                <w:color w:val="000000" w:themeColor="text1"/>
                <w:kern w:val="0"/>
                <w:sz w:val="18"/>
                <w:szCs w:val="18"/>
                <w:highlight w:val="none"/>
                <w14:textFill>
                  <w14:solidFill>
                    <w14:schemeClr w14:val="tx1"/>
                  </w14:solidFill>
                </w14:textFill>
              </w:rPr>
            </w:pPr>
            <w:r>
              <w:rPr>
                <w:color w:val="000000" w:themeColor="text1"/>
                <w:kern w:val="0"/>
                <w:sz w:val="18"/>
                <w:szCs w:val="18"/>
                <w:highlight w:val="none"/>
                <w14:textFill>
                  <w14:solidFill>
                    <w14:schemeClr w14:val="tx1"/>
                  </w14:solidFill>
                </w14:textFill>
              </w:rPr>
              <w:t>万元</w:t>
            </w:r>
          </w:p>
        </w:tc>
        <w:tc>
          <w:tcPr>
            <w:tcW w:w="1125" w:type="dxa"/>
            <w:noWrap w:val="0"/>
            <w:vAlign w:val="center"/>
          </w:tcPr>
          <w:p w14:paraId="250E2703">
            <w:pPr>
              <w:widowControl/>
              <w:spacing w:line="280" w:lineRule="exact"/>
              <w:jc w:val="center"/>
              <w:rPr>
                <w:color w:val="000000" w:themeColor="text1"/>
                <w:kern w:val="0"/>
                <w:sz w:val="18"/>
                <w:szCs w:val="18"/>
                <w:highlight w:val="none"/>
                <w14:textFill>
                  <w14:solidFill>
                    <w14:schemeClr w14:val="tx1"/>
                  </w14:solidFill>
                </w14:textFill>
              </w:rPr>
            </w:pPr>
            <w:r>
              <w:rPr>
                <w:color w:val="000000" w:themeColor="text1"/>
                <w:kern w:val="0"/>
                <w:sz w:val="18"/>
                <w:szCs w:val="18"/>
                <w:highlight w:val="none"/>
                <w14:textFill>
                  <w14:solidFill>
                    <w14:schemeClr w14:val="tx1"/>
                  </w14:solidFill>
                </w14:textFill>
              </w:rPr>
              <w:t>Y≥30000</w:t>
            </w:r>
          </w:p>
        </w:tc>
        <w:tc>
          <w:tcPr>
            <w:tcW w:w="1701" w:type="dxa"/>
            <w:noWrap w:val="0"/>
            <w:vAlign w:val="center"/>
          </w:tcPr>
          <w:p w14:paraId="3EBAEF40">
            <w:pPr>
              <w:widowControl/>
              <w:spacing w:line="280" w:lineRule="exact"/>
              <w:jc w:val="center"/>
              <w:rPr>
                <w:color w:val="000000" w:themeColor="text1"/>
                <w:kern w:val="0"/>
                <w:sz w:val="18"/>
                <w:szCs w:val="18"/>
                <w:highlight w:val="none"/>
                <w14:textFill>
                  <w14:solidFill>
                    <w14:schemeClr w14:val="tx1"/>
                  </w14:solidFill>
                </w14:textFill>
              </w:rPr>
            </w:pPr>
            <w:r>
              <w:rPr>
                <w:color w:val="000000" w:themeColor="text1"/>
                <w:kern w:val="0"/>
                <w:sz w:val="18"/>
                <w:szCs w:val="18"/>
                <w:highlight w:val="none"/>
                <w14:textFill>
                  <w14:solidFill>
                    <w14:schemeClr w14:val="tx1"/>
                  </w14:solidFill>
                </w14:textFill>
              </w:rPr>
              <w:t>3000≤Y＜30000</w:t>
            </w:r>
          </w:p>
        </w:tc>
        <w:tc>
          <w:tcPr>
            <w:tcW w:w="1426" w:type="dxa"/>
            <w:noWrap w:val="0"/>
            <w:vAlign w:val="center"/>
          </w:tcPr>
          <w:p w14:paraId="7BC829CC">
            <w:pPr>
              <w:widowControl/>
              <w:spacing w:line="280" w:lineRule="exact"/>
              <w:jc w:val="center"/>
              <w:rPr>
                <w:color w:val="000000" w:themeColor="text1"/>
                <w:kern w:val="0"/>
                <w:sz w:val="18"/>
                <w:szCs w:val="18"/>
                <w:highlight w:val="none"/>
                <w14:textFill>
                  <w14:solidFill>
                    <w14:schemeClr w14:val="tx1"/>
                  </w14:solidFill>
                </w14:textFill>
              </w:rPr>
            </w:pPr>
            <w:r>
              <w:rPr>
                <w:color w:val="000000" w:themeColor="text1"/>
                <w:kern w:val="0"/>
                <w:sz w:val="18"/>
                <w:szCs w:val="18"/>
                <w:highlight w:val="none"/>
                <w14:textFill>
                  <w14:solidFill>
                    <w14:schemeClr w14:val="tx1"/>
                  </w14:solidFill>
                </w14:textFill>
              </w:rPr>
              <w:t>200≤Y＜3000</w:t>
            </w:r>
          </w:p>
        </w:tc>
        <w:tc>
          <w:tcPr>
            <w:tcW w:w="992" w:type="dxa"/>
            <w:noWrap w:val="0"/>
            <w:vAlign w:val="center"/>
          </w:tcPr>
          <w:p w14:paraId="7609FD65">
            <w:pPr>
              <w:widowControl/>
              <w:spacing w:line="280" w:lineRule="exact"/>
              <w:jc w:val="center"/>
              <w:rPr>
                <w:color w:val="000000" w:themeColor="text1"/>
                <w:kern w:val="0"/>
                <w:sz w:val="18"/>
                <w:szCs w:val="18"/>
                <w:highlight w:val="none"/>
                <w14:textFill>
                  <w14:solidFill>
                    <w14:schemeClr w14:val="tx1"/>
                  </w14:solidFill>
                </w14:textFill>
              </w:rPr>
            </w:pPr>
            <w:r>
              <w:rPr>
                <w:color w:val="000000" w:themeColor="text1"/>
                <w:kern w:val="0"/>
                <w:sz w:val="18"/>
                <w:szCs w:val="18"/>
                <w:highlight w:val="none"/>
                <w14:textFill>
                  <w14:solidFill>
                    <w14:schemeClr w14:val="tx1"/>
                  </w14:solidFill>
                </w14:textFill>
              </w:rPr>
              <w:t>Y＜200</w:t>
            </w:r>
          </w:p>
        </w:tc>
      </w:tr>
      <w:tr w14:paraId="7C0F11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restart"/>
            <w:noWrap w:val="0"/>
            <w:vAlign w:val="center"/>
          </w:tcPr>
          <w:p w14:paraId="0CF9D35C">
            <w:pPr>
              <w:widowControl/>
              <w:spacing w:line="280" w:lineRule="exact"/>
              <w:jc w:val="left"/>
              <w:rPr>
                <w:color w:val="000000" w:themeColor="text1"/>
                <w:kern w:val="0"/>
                <w:sz w:val="18"/>
                <w:szCs w:val="18"/>
                <w:highlight w:val="none"/>
                <w14:textFill>
                  <w14:solidFill>
                    <w14:schemeClr w14:val="tx1"/>
                  </w14:solidFill>
                </w14:textFill>
              </w:rPr>
            </w:pPr>
            <w:r>
              <w:rPr>
                <w:color w:val="000000" w:themeColor="text1"/>
                <w:kern w:val="0"/>
                <w:sz w:val="18"/>
                <w:szCs w:val="18"/>
                <w:highlight w:val="none"/>
                <w14:textFill>
                  <w14:solidFill>
                    <w14:schemeClr w14:val="tx1"/>
                  </w14:solidFill>
                </w14:textFill>
              </w:rPr>
              <w:t>仓储业*</w:t>
            </w:r>
          </w:p>
        </w:tc>
        <w:tc>
          <w:tcPr>
            <w:tcW w:w="1369" w:type="dxa"/>
            <w:noWrap w:val="0"/>
            <w:vAlign w:val="center"/>
          </w:tcPr>
          <w:p w14:paraId="0DCC7AE8">
            <w:pPr>
              <w:widowControl/>
              <w:spacing w:line="280" w:lineRule="exact"/>
              <w:jc w:val="center"/>
              <w:rPr>
                <w:color w:val="000000" w:themeColor="text1"/>
                <w:kern w:val="0"/>
                <w:sz w:val="18"/>
                <w:szCs w:val="18"/>
                <w:highlight w:val="none"/>
                <w14:textFill>
                  <w14:solidFill>
                    <w14:schemeClr w14:val="tx1"/>
                  </w14:solidFill>
                </w14:textFill>
              </w:rPr>
            </w:pPr>
            <w:r>
              <w:rPr>
                <w:color w:val="000000" w:themeColor="text1"/>
                <w:kern w:val="0"/>
                <w:sz w:val="18"/>
                <w:szCs w:val="18"/>
                <w:highlight w:val="none"/>
                <w14:textFill>
                  <w14:solidFill>
                    <w14:schemeClr w14:val="tx1"/>
                  </w14:solidFill>
                </w14:textFill>
              </w:rPr>
              <w:t>从业人员(X)</w:t>
            </w:r>
          </w:p>
        </w:tc>
        <w:tc>
          <w:tcPr>
            <w:tcW w:w="709" w:type="dxa"/>
            <w:noWrap w:val="0"/>
            <w:vAlign w:val="center"/>
          </w:tcPr>
          <w:p w14:paraId="4F8DC43C">
            <w:pPr>
              <w:widowControl/>
              <w:spacing w:line="280" w:lineRule="exact"/>
              <w:jc w:val="center"/>
              <w:rPr>
                <w:color w:val="000000" w:themeColor="text1"/>
                <w:kern w:val="0"/>
                <w:sz w:val="18"/>
                <w:szCs w:val="18"/>
                <w:highlight w:val="none"/>
                <w14:textFill>
                  <w14:solidFill>
                    <w14:schemeClr w14:val="tx1"/>
                  </w14:solidFill>
                </w14:textFill>
              </w:rPr>
            </w:pPr>
            <w:r>
              <w:rPr>
                <w:color w:val="000000" w:themeColor="text1"/>
                <w:kern w:val="0"/>
                <w:sz w:val="18"/>
                <w:szCs w:val="18"/>
                <w:highlight w:val="none"/>
                <w14:textFill>
                  <w14:solidFill>
                    <w14:schemeClr w14:val="tx1"/>
                  </w14:solidFill>
                </w14:textFill>
              </w:rPr>
              <w:t>人</w:t>
            </w:r>
          </w:p>
        </w:tc>
        <w:tc>
          <w:tcPr>
            <w:tcW w:w="1125" w:type="dxa"/>
            <w:noWrap w:val="0"/>
            <w:vAlign w:val="center"/>
          </w:tcPr>
          <w:p w14:paraId="386EF6D9">
            <w:pPr>
              <w:widowControl/>
              <w:spacing w:line="280" w:lineRule="exact"/>
              <w:jc w:val="center"/>
              <w:rPr>
                <w:color w:val="000000" w:themeColor="text1"/>
                <w:kern w:val="0"/>
                <w:sz w:val="18"/>
                <w:szCs w:val="18"/>
                <w:highlight w:val="none"/>
                <w14:textFill>
                  <w14:solidFill>
                    <w14:schemeClr w14:val="tx1"/>
                  </w14:solidFill>
                </w14:textFill>
              </w:rPr>
            </w:pPr>
            <w:r>
              <w:rPr>
                <w:color w:val="000000" w:themeColor="text1"/>
                <w:kern w:val="0"/>
                <w:sz w:val="18"/>
                <w:szCs w:val="18"/>
                <w:highlight w:val="none"/>
                <w14:textFill>
                  <w14:solidFill>
                    <w14:schemeClr w14:val="tx1"/>
                  </w14:solidFill>
                </w14:textFill>
              </w:rPr>
              <w:t>X≥200</w:t>
            </w:r>
          </w:p>
        </w:tc>
        <w:tc>
          <w:tcPr>
            <w:tcW w:w="1701" w:type="dxa"/>
            <w:noWrap w:val="0"/>
            <w:vAlign w:val="center"/>
          </w:tcPr>
          <w:p w14:paraId="50F4E0B3">
            <w:pPr>
              <w:widowControl/>
              <w:spacing w:line="280" w:lineRule="exact"/>
              <w:ind w:left="1" w:leftChars="-51" w:hanging="108" w:hangingChars="60"/>
              <w:jc w:val="center"/>
              <w:rPr>
                <w:color w:val="000000" w:themeColor="text1"/>
                <w:kern w:val="0"/>
                <w:sz w:val="18"/>
                <w:szCs w:val="18"/>
                <w:highlight w:val="none"/>
                <w14:textFill>
                  <w14:solidFill>
                    <w14:schemeClr w14:val="tx1"/>
                  </w14:solidFill>
                </w14:textFill>
              </w:rPr>
            </w:pPr>
            <w:r>
              <w:rPr>
                <w:color w:val="000000" w:themeColor="text1"/>
                <w:kern w:val="0"/>
                <w:sz w:val="18"/>
                <w:szCs w:val="18"/>
                <w:highlight w:val="none"/>
                <w14:textFill>
                  <w14:solidFill>
                    <w14:schemeClr w14:val="tx1"/>
                  </w14:solidFill>
                </w14:textFill>
              </w:rPr>
              <w:t>100≤X＜200</w:t>
            </w:r>
          </w:p>
        </w:tc>
        <w:tc>
          <w:tcPr>
            <w:tcW w:w="1426" w:type="dxa"/>
            <w:noWrap w:val="0"/>
            <w:vAlign w:val="center"/>
          </w:tcPr>
          <w:p w14:paraId="4009B5EE">
            <w:pPr>
              <w:widowControl/>
              <w:spacing w:line="280" w:lineRule="exact"/>
              <w:jc w:val="center"/>
              <w:rPr>
                <w:color w:val="000000" w:themeColor="text1"/>
                <w:kern w:val="0"/>
                <w:sz w:val="18"/>
                <w:szCs w:val="18"/>
                <w:highlight w:val="none"/>
                <w14:textFill>
                  <w14:solidFill>
                    <w14:schemeClr w14:val="tx1"/>
                  </w14:solidFill>
                </w14:textFill>
              </w:rPr>
            </w:pPr>
            <w:r>
              <w:rPr>
                <w:color w:val="000000" w:themeColor="text1"/>
                <w:kern w:val="0"/>
                <w:sz w:val="18"/>
                <w:szCs w:val="18"/>
                <w:highlight w:val="none"/>
                <w14:textFill>
                  <w14:solidFill>
                    <w14:schemeClr w14:val="tx1"/>
                  </w14:solidFill>
                </w14:textFill>
              </w:rPr>
              <w:t>20≤X＜100</w:t>
            </w:r>
          </w:p>
        </w:tc>
        <w:tc>
          <w:tcPr>
            <w:tcW w:w="992" w:type="dxa"/>
            <w:noWrap w:val="0"/>
            <w:vAlign w:val="center"/>
          </w:tcPr>
          <w:p w14:paraId="003863F5">
            <w:pPr>
              <w:widowControl/>
              <w:spacing w:line="280" w:lineRule="exact"/>
              <w:jc w:val="center"/>
              <w:rPr>
                <w:color w:val="000000" w:themeColor="text1"/>
                <w:kern w:val="0"/>
                <w:sz w:val="18"/>
                <w:szCs w:val="18"/>
                <w:highlight w:val="none"/>
                <w14:textFill>
                  <w14:solidFill>
                    <w14:schemeClr w14:val="tx1"/>
                  </w14:solidFill>
                </w14:textFill>
              </w:rPr>
            </w:pPr>
            <w:r>
              <w:rPr>
                <w:color w:val="000000" w:themeColor="text1"/>
                <w:kern w:val="0"/>
                <w:sz w:val="18"/>
                <w:szCs w:val="18"/>
                <w:highlight w:val="none"/>
                <w14:textFill>
                  <w14:solidFill>
                    <w14:schemeClr w14:val="tx1"/>
                  </w14:solidFill>
                </w14:textFill>
              </w:rPr>
              <w:t>X＜20</w:t>
            </w:r>
          </w:p>
        </w:tc>
      </w:tr>
      <w:tr w14:paraId="7BE561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continue"/>
            <w:noWrap w:val="0"/>
            <w:vAlign w:val="center"/>
          </w:tcPr>
          <w:p w14:paraId="17B96835">
            <w:pPr>
              <w:widowControl/>
              <w:spacing w:line="280" w:lineRule="exact"/>
              <w:jc w:val="left"/>
              <w:rPr>
                <w:color w:val="000000" w:themeColor="text1"/>
                <w:kern w:val="0"/>
                <w:sz w:val="18"/>
                <w:szCs w:val="18"/>
                <w:highlight w:val="none"/>
                <w14:textFill>
                  <w14:solidFill>
                    <w14:schemeClr w14:val="tx1"/>
                  </w14:solidFill>
                </w14:textFill>
              </w:rPr>
            </w:pPr>
          </w:p>
        </w:tc>
        <w:tc>
          <w:tcPr>
            <w:tcW w:w="1369" w:type="dxa"/>
            <w:noWrap w:val="0"/>
            <w:vAlign w:val="center"/>
          </w:tcPr>
          <w:p w14:paraId="149C2470">
            <w:pPr>
              <w:widowControl/>
              <w:spacing w:line="280" w:lineRule="exact"/>
              <w:jc w:val="center"/>
              <w:rPr>
                <w:color w:val="000000" w:themeColor="text1"/>
                <w:kern w:val="0"/>
                <w:sz w:val="18"/>
                <w:szCs w:val="18"/>
                <w:highlight w:val="none"/>
                <w14:textFill>
                  <w14:solidFill>
                    <w14:schemeClr w14:val="tx1"/>
                  </w14:solidFill>
                </w14:textFill>
              </w:rPr>
            </w:pPr>
            <w:r>
              <w:rPr>
                <w:color w:val="000000" w:themeColor="text1"/>
                <w:kern w:val="0"/>
                <w:sz w:val="18"/>
                <w:szCs w:val="18"/>
                <w:highlight w:val="none"/>
                <w14:textFill>
                  <w14:solidFill>
                    <w14:schemeClr w14:val="tx1"/>
                  </w14:solidFill>
                </w14:textFill>
              </w:rPr>
              <w:t>营业收入(Y)</w:t>
            </w:r>
          </w:p>
        </w:tc>
        <w:tc>
          <w:tcPr>
            <w:tcW w:w="709" w:type="dxa"/>
            <w:noWrap w:val="0"/>
            <w:vAlign w:val="center"/>
          </w:tcPr>
          <w:p w14:paraId="5EAF5435">
            <w:pPr>
              <w:widowControl/>
              <w:spacing w:line="280" w:lineRule="exact"/>
              <w:jc w:val="center"/>
              <w:rPr>
                <w:color w:val="000000" w:themeColor="text1"/>
                <w:kern w:val="0"/>
                <w:sz w:val="18"/>
                <w:szCs w:val="18"/>
                <w:highlight w:val="none"/>
                <w14:textFill>
                  <w14:solidFill>
                    <w14:schemeClr w14:val="tx1"/>
                  </w14:solidFill>
                </w14:textFill>
              </w:rPr>
            </w:pPr>
            <w:r>
              <w:rPr>
                <w:color w:val="000000" w:themeColor="text1"/>
                <w:kern w:val="0"/>
                <w:sz w:val="18"/>
                <w:szCs w:val="18"/>
                <w:highlight w:val="none"/>
                <w14:textFill>
                  <w14:solidFill>
                    <w14:schemeClr w14:val="tx1"/>
                  </w14:solidFill>
                </w14:textFill>
              </w:rPr>
              <w:t>万元</w:t>
            </w:r>
          </w:p>
        </w:tc>
        <w:tc>
          <w:tcPr>
            <w:tcW w:w="1125" w:type="dxa"/>
            <w:noWrap w:val="0"/>
            <w:vAlign w:val="center"/>
          </w:tcPr>
          <w:p w14:paraId="78F98B96">
            <w:pPr>
              <w:widowControl/>
              <w:spacing w:line="280" w:lineRule="exact"/>
              <w:jc w:val="center"/>
              <w:rPr>
                <w:color w:val="000000" w:themeColor="text1"/>
                <w:kern w:val="0"/>
                <w:sz w:val="18"/>
                <w:szCs w:val="18"/>
                <w:highlight w:val="none"/>
                <w14:textFill>
                  <w14:solidFill>
                    <w14:schemeClr w14:val="tx1"/>
                  </w14:solidFill>
                </w14:textFill>
              </w:rPr>
            </w:pPr>
            <w:r>
              <w:rPr>
                <w:color w:val="000000" w:themeColor="text1"/>
                <w:kern w:val="0"/>
                <w:sz w:val="18"/>
                <w:szCs w:val="18"/>
                <w:highlight w:val="none"/>
                <w14:textFill>
                  <w14:solidFill>
                    <w14:schemeClr w14:val="tx1"/>
                  </w14:solidFill>
                </w14:textFill>
              </w:rPr>
              <w:t>Y≥30000</w:t>
            </w:r>
          </w:p>
        </w:tc>
        <w:tc>
          <w:tcPr>
            <w:tcW w:w="1701" w:type="dxa"/>
            <w:noWrap w:val="0"/>
            <w:vAlign w:val="center"/>
          </w:tcPr>
          <w:p w14:paraId="78904138">
            <w:pPr>
              <w:widowControl/>
              <w:spacing w:line="280" w:lineRule="exact"/>
              <w:jc w:val="center"/>
              <w:rPr>
                <w:color w:val="000000" w:themeColor="text1"/>
                <w:kern w:val="0"/>
                <w:sz w:val="18"/>
                <w:szCs w:val="18"/>
                <w:highlight w:val="none"/>
                <w14:textFill>
                  <w14:solidFill>
                    <w14:schemeClr w14:val="tx1"/>
                  </w14:solidFill>
                </w14:textFill>
              </w:rPr>
            </w:pPr>
            <w:r>
              <w:rPr>
                <w:color w:val="000000" w:themeColor="text1"/>
                <w:kern w:val="0"/>
                <w:sz w:val="18"/>
                <w:szCs w:val="18"/>
                <w:highlight w:val="none"/>
                <w14:textFill>
                  <w14:solidFill>
                    <w14:schemeClr w14:val="tx1"/>
                  </w14:solidFill>
                </w14:textFill>
              </w:rPr>
              <w:t>1000≤Y＜30000</w:t>
            </w:r>
          </w:p>
        </w:tc>
        <w:tc>
          <w:tcPr>
            <w:tcW w:w="1426" w:type="dxa"/>
            <w:noWrap w:val="0"/>
            <w:vAlign w:val="center"/>
          </w:tcPr>
          <w:p w14:paraId="4C815281">
            <w:pPr>
              <w:widowControl/>
              <w:spacing w:line="280" w:lineRule="exact"/>
              <w:jc w:val="center"/>
              <w:rPr>
                <w:color w:val="000000" w:themeColor="text1"/>
                <w:kern w:val="0"/>
                <w:sz w:val="18"/>
                <w:szCs w:val="18"/>
                <w:highlight w:val="none"/>
                <w14:textFill>
                  <w14:solidFill>
                    <w14:schemeClr w14:val="tx1"/>
                  </w14:solidFill>
                </w14:textFill>
              </w:rPr>
            </w:pPr>
            <w:r>
              <w:rPr>
                <w:color w:val="000000" w:themeColor="text1"/>
                <w:kern w:val="0"/>
                <w:sz w:val="18"/>
                <w:szCs w:val="18"/>
                <w:highlight w:val="none"/>
                <w14:textFill>
                  <w14:solidFill>
                    <w14:schemeClr w14:val="tx1"/>
                  </w14:solidFill>
                </w14:textFill>
              </w:rPr>
              <w:t>100≤Y＜1000</w:t>
            </w:r>
          </w:p>
        </w:tc>
        <w:tc>
          <w:tcPr>
            <w:tcW w:w="992" w:type="dxa"/>
            <w:noWrap w:val="0"/>
            <w:vAlign w:val="center"/>
          </w:tcPr>
          <w:p w14:paraId="04489114">
            <w:pPr>
              <w:widowControl/>
              <w:spacing w:line="280" w:lineRule="exact"/>
              <w:jc w:val="center"/>
              <w:rPr>
                <w:color w:val="000000" w:themeColor="text1"/>
                <w:kern w:val="0"/>
                <w:sz w:val="18"/>
                <w:szCs w:val="18"/>
                <w:highlight w:val="none"/>
                <w14:textFill>
                  <w14:solidFill>
                    <w14:schemeClr w14:val="tx1"/>
                  </w14:solidFill>
                </w14:textFill>
              </w:rPr>
            </w:pPr>
            <w:r>
              <w:rPr>
                <w:color w:val="000000" w:themeColor="text1"/>
                <w:kern w:val="0"/>
                <w:sz w:val="18"/>
                <w:szCs w:val="18"/>
                <w:highlight w:val="none"/>
                <w14:textFill>
                  <w14:solidFill>
                    <w14:schemeClr w14:val="tx1"/>
                  </w14:solidFill>
                </w14:textFill>
              </w:rPr>
              <w:t>Y＜100</w:t>
            </w:r>
          </w:p>
        </w:tc>
      </w:tr>
      <w:tr w14:paraId="170F1C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restart"/>
            <w:noWrap w:val="0"/>
            <w:vAlign w:val="center"/>
          </w:tcPr>
          <w:p w14:paraId="7C39F570">
            <w:pPr>
              <w:widowControl/>
              <w:spacing w:line="280" w:lineRule="exact"/>
              <w:jc w:val="left"/>
              <w:rPr>
                <w:color w:val="000000" w:themeColor="text1"/>
                <w:kern w:val="0"/>
                <w:sz w:val="18"/>
                <w:szCs w:val="18"/>
                <w:highlight w:val="none"/>
                <w14:textFill>
                  <w14:solidFill>
                    <w14:schemeClr w14:val="tx1"/>
                  </w14:solidFill>
                </w14:textFill>
              </w:rPr>
            </w:pPr>
            <w:r>
              <w:rPr>
                <w:color w:val="000000" w:themeColor="text1"/>
                <w:kern w:val="0"/>
                <w:sz w:val="18"/>
                <w:szCs w:val="18"/>
                <w:highlight w:val="none"/>
                <w14:textFill>
                  <w14:solidFill>
                    <w14:schemeClr w14:val="tx1"/>
                  </w14:solidFill>
                </w14:textFill>
              </w:rPr>
              <w:t>邮政业</w:t>
            </w:r>
          </w:p>
        </w:tc>
        <w:tc>
          <w:tcPr>
            <w:tcW w:w="1369" w:type="dxa"/>
            <w:noWrap w:val="0"/>
            <w:vAlign w:val="center"/>
          </w:tcPr>
          <w:p w14:paraId="0B729F5B">
            <w:pPr>
              <w:widowControl/>
              <w:spacing w:line="280" w:lineRule="exact"/>
              <w:jc w:val="center"/>
              <w:rPr>
                <w:color w:val="000000" w:themeColor="text1"/>
                <w:kern w:val="0"/>
                <w:sz w:val="18"/>
                <w:szCs w:val="18"/>
                <w:highlight w:val="none"/>
                <w14:textFill>
                  <w14:solidFill>
                    <w14:schemeClr w14:val="tx1"/>
                  </w14:solidFill>
                </w14:textFill>
              </w:rPr>
            </w:pPr>
            <w:r>
              <w:rPr>
                <w:color w:val="000000" w:themeColor="text1"/>
                <w:kern w:val="0"/>
                <w:sz w:val="18"/>
                <w:szCs w:val="18"/>
                <w:highlight w:val="none"/>
                <w14:textFill>
                  <w14:solidFill>
                    <w14:schemeClr w14:val="tx1"/>
                  </w14:solidFill>
                </w14:textFill>
              </w:rPr>
              <w:t>从业人员(X)</w:t>
            </w:r>
          </w:p>
        </w:tc>
        <w:tc>
          <w:tcPr>
            <w:tcW w:w="709" w:type="dxa"/>
            <w:noWrap w:val="0"/>
            <w:vAlign w:val="center"/>
          </w:tcPr>
          <w:p w14:paraId="37384D2C">
            <w:pPr>
              <w:widowControl/>
              <w:spacing w:line="280" w:lineRule="exact"/>
              <w:jc w:val="center"/>
              <w:rPr>
                <w:color w:val="000000" w:themeColor="text1"/>
                <w:kern w:val="0"/>
                <w:sz w:val="18"/>
                <w:szCs w:val="18"/>
                <w:highlight w:val="none"/>
                <w14:textFill>
                  <w14:solidFill>
                    <w14:schemeClr w14:val="tx1"/>
                  </w14:solidFill>
                </w14:textFill>
              </w:rPr>
            </w:pPr>
            <w:r>
              <w:rPr>
                <w:color w:val="000000" w:themeColor="text1"/>
                <w:kern w:val="0"/>
                <w:sz w:val="18"/>
                <w:szCs w:val="18"/>
                <w:highlight w:val="none"/>
                <w14:textFill>
                  <w14:solidFill>
                    <w14:schemeClr w14:val="tx1"/>
                  </w14:solidFill>
                </w14:textFill>
              </w:rPr>
              <w:t>人</w:t>
            </w:r>
          </w:p>
        </w:tc>
        <w:tc>
          <w:tcPr>
            <w:tcW w:w="1125" w:type="dxa"/>
            <w:noWrap w:val="0"/>
            <w:vAlign w:val="center"/>
          </w:tcPr>
          <w:p w14:paraId="75A4B072">
            <w:pPr>
              <w:widowControl/>
              <w:spacing w:line="280" w:lineRule="exact"/>
              <w:jc w:val="center"/>
              <w:rPr>
                <w:color w:val="000000" w:themeColor="text1"/>
                <w:kern w:val="0"/>
                <w:sz w:val="18"/>
                <w:szCs w:val="18"/>
                <w:highlight w:val="none"/>
                <w14:textFill>
                  <w14:solidFill>
                    <w14:schemeClr w14:val="tx1"/>
                  </w14:solidFill>
                </w14:textFill>
              </w:rPr>
            </w:pPr>
            <w:r>
              <w:rPr>
                <w:color w:val="000000" w:themeColor="text1"/>
                <w:kern w:val="0"/>
                <w:sz w:val="18"/>
                <w:szCs w:val="18"/>
                <w:highlight w:val="none"/>
                <w14:textFill>
                  <w14:solidFill>
                    <w14:schemeClr w14:val="tx1"/>
                  </w14:solidFill>
                </w14:textFill>
              </w:rPr>
              <w:t>X≥1000</w:t>
            </w:r>
          </w:p>
        </w:tc>
        <w:tc>
          <w:tcPr>
            <w:tcW w:w="1701" w:type="dxa"/>
            <w:noWrap w:val="0"/>
            <w:vAlign w:val="center"/>
          </w:tcPr>
          <w:p w14:paraId="4057F15D">
            <w:pPr>
              <w:widowControl/>
              <w:spacing w:line="280" w:lineRule="exact"/>
              <w:jc w:val="center"/>
              <w:rPr>
                <w:color w:val="000000" w:themeColor="text1"/>
                <w:kern w:val="0"/>
                <w:sz w:val="18"/>
                <w:szCs w:val="18"/>
                <w:highlight w:val="none"/>
                <w14:textFill>
                  <w14:solidFill>
                    <w14:schemeClr w14:val="tx1"/>
                  </w14:solidFill>
                </w14:textFill>
              </w:rPr>
            </w:pPr>
            <w:r>
              <w:rPr>
                <w:color w:val="000000" w:themeColor="text1"/>
                <w:kern w:val="0"/>
                <w:sz w:val="18"/>
                <w:szCs w:val="18"/>
                <w:highlight w:val="none"/>
                <w14:textFill>
                  <w14:solidFill>
                    <w14:schemeClr w14:val="tx1"/>
                  </w14:solidFill>
                </w14:textFill>
              </w:rPr>
              <w:t>300≤X＜1000</w:t>
            </w:r>
          </w:p>
        </w:tc>
        <w:tc>
          <w:tcPr>
            <w:tcW w:w="1426" w:type="dxa"/>
            <w:noWrap w:val="0"/>
            <w:vAlign w:val="center"/>
          </w:tcPr>
          <w:p w14:paraId="01D8CB45">
            <w:pPr>
              <w:widowControl/>
              <w:spacing w:line="280" w:lineRule="exact"/>
              <w:jc w:val="center"/>
              <w:rPr>
                <w:color w:val="000000" w:themeColor="text1"/>
                <w:kern w:val="0"/>
                <w:sz w:val="18"/>
                <w:szCs w:val="18"/>
                <w:highlight w:val="none"/>
                <w14:textFill>
                  <w14:solidFill>
                    <w14:schemeClr w14:val="tx1"/>
                  </w14:solidFill>
                </w14:textFill>
              </w:rPr>
            </w:pPr>
            <w:r>
              <w:rPr>
                <w:color w:val="000000" w:themeColor="text1"/>
                <w:kern w:val="0"/>
                <w:sz w:val="18"/>
                <w:szCs w:val="18"/>
                <w:highlight w:val="none"/>
                <w14:textFill>
                  <w14:solidFill>
                    <w14:schemeClr w14:val="tx1"/>
                  </w14:solidFill>
                </w14:textFill>
              </w:rPr>
              <w:t>20≤X＜300</w:t>
            </w:r>
          </w:p>
        </w:tc>
        <w:tc>
          <w:tcPr>
            <w:tcW w:w="992" w:type="dxa"/>
            <w:noWrap w:val="0"/>
            <w:vAlign w:val="center"/>
          </w:tcPr>
          <w:p w14:paraId="4A5F7E97">
            <w:pPr>
              <w:widowControl/>
              <w:spacing w:line="280" w:lineRule="exact"/>
              <w:jc w:val="center"/>
              <w:rPr>
                <w:color w:val="000000" w:themeColor="text1"/>
                <w:kern w:val="0"/>
                <w:sz w:val="18"/>
                <w:szCs w:val="18"/>
                <w:highlight w:val="none"/>
                <w14:textFill>
                  <w14:solidFill>
                    <w14:schemeClr w14:val="tx1"/>
                  </w14:solidFill>
                </w14:textFill>
              </w:rPr>
            </w:pPr>
            <w:r>
              <w:rPr>
                <w:color w:val="000000" w:themeColor="text1"/>
                <w:kern w:val="0"/>
                <w:sz w:val="18"/>
                <w:szCs w:val="18"/>
                <w:highlight w:val="none"/>
                <w14:textFill>
                  <w14:solidFill>
                    <w14:schemeClr w14:val="tx1"/>
                  </w14:solidFill>
                </w14:textFill>
              </w:rPr>
              <w:t>X＜20</w:t>
            </w:r>
          </w:p>
        </w:tc>
      </w:tr>
      <w:tr w14:paraId="1B60DE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continue"/>
            <w:noWrap w:val="0"/>
            <w:vAlign w:val="center"/>
          </w:tcPr>
          <w:p w14:paraId="5FB6DD53">
            <w:pPr>
              <w:widowControl/>
              <w:spacing w:line="280" w:lineRule="exact"/>
              <w:jc w:val="left"/>
              <w:rPr>
                <w:color w:val="000000" w:themeColor="text1"/>
                <w:kern w:val="0"/>
                <w:sz w:val="18"/>
                <w:szCs w:val="18"/>
                <w:highlight w:val="none"/>
                <w14:textFill>
                  <w14:solidFill>
                    <w14:schemeClr w14:val="tx1"/>
                  </w14:solidFill>
                </w14:textFill>
              </w:rPr>
            </w:pPr>
          </w:p>
        </w:tc>
        <w:tc>
          <w:tcPr>
            <w:tcW w:w="1369" w:type="dxa"/>
            <w:noWrap w:val="0"/>
            <w:vAlign w:val="center"/>
          </w:tcPr>
          <w:p w14:paraId="22D7E210">
            <w:pPr>
              <w:widowControl/>
              <w:spacing w:line="280" w:lineRule="exact"/>
              <w:jc w:val="center"/>
              <w:rPr>
                <w:color w:val="000000" w:themeColor="text1"/>
                <w:kern w:val="0"/>
                <w:sz w:val="18"/>
                <w:szCs w:val="18"/>
                <w:highlight w:val="none"/>
                <w14:textFill>
                  <w14:solidFill>
                    <w14:schemeClr w14:val="tx1"/>
                  </w14:solidFill>
                </w14:textFill>
              </w:rPr>
            </w:pPr>
            <w:r>
              <w:rPr>
                <w:color w:val="000000" w:themeColor="text1"/>
                <w:kern w:val="0"/>
                <w:sz w:val="18"/>
                <w:szCs w:val="18"/>
                <w:highlight w:val="none"/>
                <w14:textFill>
                  <w14:solidFill>
                    <w14:schemeClr w14:val="tx1"/>
                  </w14:solidFill>
                </w14:textFill>
              </w:rPr>
              <w:t>营业收入(Y)</w:t>
            </w:r>
          </w:p>
        </w:tc>
        <w:tc>
          <w:tcPr>
            <w:tcW w:w="709" w:type="dxa"/>
            <w:noWrap w:val="0"/>
            <w:vAlign w:val="center"/>
          </w:tcPr>
          <w:p w14:paraId="7D31E10A">
            <w:pPr>
              <w:widowControl/>
              <w:spacing w:line="280" w:lineRule="exact"/>
              <w:jc w:val="center"/>
              <w:rPr>
                <w:color w:val="000000" w:themeColor="text1"/>
                <w:kern w:val="0"/>
                <w:sz w:val="18"/>
                <w:szCs w:val="18"/>
                <w:highlight w:val="none"/>
                <w14:textFill>
                  <w14:solidFill>
                    <w14:schemeClr w14:val="tx1"/>
                  </w14:solidFill>
                </w14:textFill>
              </w:rPr>
            </w:pPr>
            <w:r>
              <w:rPr>
                <w:color w:val="000000" w:themeColor="text1"/>
                <w:kern w:val="0"/>
                <w:sz w:val="18"/>
                <w:szCs w:val="18"/>
                <w:highlight w:val="none"/>
                <w14:textFill>
                  <w14:solidFill>
                    <w14:schemeClr w14:val="tx1"/>
                  </w14:solidFill>
                </w14:textFill>
              </w:rPr>
              <w:t>万元</w:t>
            </w:r>
          </w:p>
        </w:tc>
        <w:tc>
          <w:tcPr>
            <w:tcW w:w="1125" w:type="dxa"/>
            <w:noWrap w:val="0"/>
            <w:vAlign w:val="center"/>
          </w:tcPr>
          <w:p w14:paraId="0C989E92">
            <w:pPr>
              <w:widowControl/>
              <w:spacing w:line="280" w:lineRule="exact"/>
              <w:jc w:val="center"/>
              <w:rPr>
                <w:color w:val="000000" w:themeColor="text1"/>
                <w:kern w:val="0"/>
                <w:sz w:val="18"/>
                <w:szCs w:val="18"/>
                <w:highlight w:val="none"/>
                <w14:textFill>
                  <w14:solidFill>
                    <w14:schemeClr w14:val="tx1"/>
                  </w14:solidFill>
                </w14:textFill>
              </w:rPr>
            </w:pPr>
            <w:r>
              <w:rPr>
                <w:color w:val="000000" w:themeColor="text1"/>
                <w:kern w:val="0"/>
                <w:sz w:val="18"/>
                <w:szCs w:val="18"/>
                <w:highlight w:val="none"/>
                <w14:textFill>
                  <w14:solidFill>
                    <w14:schemeClr w14:val="tx1"/>
                  </w14:solidFill>
                </w14:textFill>
              </w:rPr>
              <w:t>Y≥30000</w:t>
            </w:r>
          </w:p>
        </w:tc>
        <w:tc>
          <w:tcPr>
            <w:tcW w:w="1701" w:type="dxa"/>
            <w:noWrap w:val="0"/>
            <w:vAlign w:val="center"/>
          </w:tcPr>
          <w:p w14:paraId="67861FBF">
            <w:pPr>
              <w:widowControl/>
              <w:spacing w:line="280" w:lineRule="exact"/>
              <w:jc w:val="center"/>
              <w:rPr>
                <w:color w:val="000000" w:themeColor="text1"/>
                <w:kern w:val="0"/>
                <w:sz w:val="18"/>
                <w:szCs w:val="18"/>
                <w:highlight w:val="none"/>
                <w14:textFill>
                  <w14:solidFill>
                    <w14:schemeClr w14:val="tx1"/>
                  </w14:solidFill>
                </w14:textFill>
              </w:rPr>
            </w:pPr>
            <w:r>
              <w:rPr>
                <w:color w:val="000000" w:themeColor="text1"/>
                <w:kern w:val="0"/>
                <w:sz w:val="18"/>
                <w:szCs w:val="18"/>
                <w:highlight w:val="none"/>
                <w14:textFill>
                  <w14:solidFill>
                    <w14:schemeClr w14:val="tx1"/>
                  </w14:solidFill>
                </w14:textFill>
              </w:rPr>
              <w:t>2000≤Y＜30000</w:t>
            </w:r>
          </w:p>
        </w:tc>
        <w:tc>
          <w:tcPr>
            <w:tcW w:w="1426" w:type="dxa"/>
            <w:noWrap w:val="0"/>
            <w:vAlign w:val="center"/>
          </w:tcPr>
          <w:p w14:paraId="18FB5EC3">
            <w:pPr>
              <w:widowControl/>
              <w:spacing w:line="280" w:lineRule="exact"/>
              <w:jc w:val="center"/>
              <w:rPr>
                <w:color w:val="000000" w:themeColor="text1"/>
                <w:kern w:val="0"/>
                <w:sz w:val="18"/>
                <w:szCs w:val="18"/>
                <w:highlight w:val="none"/>
                <w14:textFill>
                  <w14:solidFill>
                    <w14:schemeClr w14:val="tx1"/>
                  </w14:solidFill>
                </w14:textFill>
              </w:rPr>
            </w:pPr>
            <w:r>
              <w:rPr>
                <w:color w:val="000000" w:themeColor="text1"/>
                <w:kern w:val="0"/>
                <w:sz w:val="18"/>
                <w:szCs w:val="18"/>
                <w:highlight w:val="none"/>
                <w14:textFill>
                  <w14:solidFill>
                    <w14:schemeClr w14:val="tx1"/>
                  </w14:solidFill>
                </w14:textFill>
              </w:rPr>
              <w:t>100≤Y＜2000</w:t>
            </w:r>
          </w:p>
        </w:tc>
        <w:tc>
          <w:tcPr>
            <w:tcW w:w="992" w:type="dxa"/>
            <w:noWrap w:val="0"/>
            <w:vAlign w:val="center"/>
          </w:tcPr>
          <w:p w14:paraId="4E3ED5DF">
            <w:pPr>
              <w:widowControl/>
              <w:spacing w:line="280" w:lineRule="exact"/>
              <w:jc w:val="center"/>
              <w:rPr>
                <w:color w:val="000000" w:themeColor="text1"/>
                <w:kern w:val="0"/>
                <w:sz w:val="18"/>
                <w:szCs w:val="18"/>
                <w:highlight w:val="none"/>
                <w14:textFill>
                  <w14:solidFill>
                    <w14:schemeClr w14:val="tx1"/>
                  </w14:solidFill>
                </w14:textFill>
              </w:rPr>
            </w:pPr>
            <w:r>
              <w:rPr>
                <w:color w:val="000000" w:themeColor="text1"/>
                <w:kern w:val="0"/>
                <w:sz w:val="18"/>
                <w:szCs w:val="18"/>
                <w:highlight w:val="none"/>
                <w14:textFill>
                  <w14:solidFill>
                    <w14:schemeClr w14:val="tx1"/>
                  </w14:solidFill>
                </w14:textFill>
              </w:rPr>
              <w:t>Y＜100</w:t>
            </w:r>
          </w:p>
        </w:tc>
      </w:tr>
      <w:tr w14:paraId="789CA6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restart"/>
            <w:noWrap w:val="0"/>
            <w:vAlign w:val="center"/>
          </w:tcPr>
          <w:p w14:paraId="3B958B42">
            <w:pPr>
              <w:widowControl/>
              <w:spacing w:line="280" w:lineRule="exact"/>
              <w:jc w:val="left"/>
              <w:rPr>
                <w:color w:val="000000" w:themeColor="text1"/>
                <w:kern w:val="0"/>
                <w:sz w:val="18"/>
                <w:szCs w:val="18"/>
                <w:highlight w:val="none"/>
                <w14:textFill>
                  <w14:solidFill>
                    <w14:schemeClr w14:val="tx1"/>
                  </w14:solidFill>
                </w14:textFill>
              </w:rPr>
            </w:pPr>
            <w:r>
              <w:rPr>
                <w:color w:val="000000" w:themeColor="text1"/>
                <w:kern w:val="0"/>
                <w:sz w:val="18"/>
                <w:szCs w:val="18"/>
                <w:highlight w:val="none"/>
                <w14:textFill>
                  <w14:solidFill>
                    <w14:schemeClr w14:val="tx1"/>
                  </w14:solidFill>
                </w14:textFill>
              </w:rPr>
              <w:t>住宿业</w:t>
            </w:r>
          </w:p>
        </w:tc>
        <w:tc>
          <w:tcPr>
            <w:tcW w:w="1369" w:type="dxa"/>
            <w:noWrap w:val="0"/>
            <w:vAlign w:val="center"/>
          </w:tcPr>
          <w:p w14:paraId="6A11326A">
            <w:pPr>
              <w:widowControl/>
              <w:spacing w:line="280" w:lineRule="exact"/>
              <w:jc w:val="center"/>
              <w:rPr>
                <w:color w:val="000000" w:themeColor="text1"/>
                <w:kern w:val="0"/>
                <w:sz w:val="18"/>
                <w:szCs w:val="18"/>
                <w:highlight w:val="none"/>
                <w14:textFill>
                  <w14:solidFill>
                    <w14:schemeClr w14:val="tx1"/>
                  </w14:solidFill>
                </w14:textFill>
              </w:rPr>
            </w:pPr>
            <w:r>
              <w:rPr>
                <w:color w:val="000000" w:themeColor="text1"/>
                <w:kern w:val="0"/>
                <w:sz w:val="18"/>
                <w:szCs w:val="18"/>
                <w:highlight w:val="none"/>
                <w14:textFill>
                  <w14:solidFill>
                    <w14:schemeClr w14:val="tx1"/>
                  </w14:solidFill>
                </w14:textFill>
              </w:rPr>
              <w:t>从业人员(X)</w:t>
            </w:r>
          </w:p>
        </w:tc>
        <w:tc>
          <w:tcPr>
            <w:tcW w:w="709" w:type="dxa"/>
            <w:noWrap w:val="0"/>
            <w:vAlign w:val="center"/>
          </w:tcPr>
          <w:p w14:paraId="1274DBD3">
            <w:pPr>
              <w:widowControl/>
              <w:spacing w:line="280" w:lineRule="exact"/>
              <w:jc w:val="center"/>
              <w:rPr>
                <w:color w:val="000000" w:themeColor="text1"/>
                <w:kern w:val="0"/>
                <w:sz w:val="18"/>
                <w:szCs w:val="18"/>
                <w:highlight w:val="none"/>
                <w14:textFill>
                  <w14:solidFill>
                    <w14:schemeClr w14:val="tx1"/>
                  </w14:solidFill>
                </w14:textFill>
              </w:rPr>
            </w:pPr>
            <w:r>
              <w:rPr>
                <w:color w:val="000000" w:themeColor="text1"/>
                <w:kern w:val="0"/>
                <w:sz w:val="18"/>
                <w:szCs w:val="18"/>
                <w:highlight w:val="none"/>
                <w14:textFill>
                  <w14:solidFill>
                    <w14:schemeClr w14:val="tx1"/>
                  </w14:solidFill>
                </w14:textFill>
              </w:rPr>
              <w:t>人</w:t>
            </w:r>
          </w:p>
        </w:tc>
        <w:tc>
          <w:tcPr>
            <w:tcW w:w="1125" w:type="dxa"/>
            <w:noWrap w:val="0"/>
            <w:vAlign w:val="center"/>
          </w:tcPr>
          <w:p w14:paraId="48255193">
            <w:pPr>
              <w:widowControl/>
              <w:spacing w:line="280" w:lineRule="exact"/>
              <w:jc w:val="center"/>
              <w:rPr>
                <w:color w:val="000000" w:themeColor="text1"/>
                <w:kern w:val="0"/>
                <w:sz w:val="18"/>
                <w:szCs w:val="18"/>
                <w:highlight w:val="none"/>
                <w14:textFill>
                  <w14:solidFill>
                    <w14:schemeClr w14:val="tx1"/>
                  </w14:solidFill>
                </w14:textFill>
              </w:rPr>
            </w:pPr>
            <w:r>
              <w:rPr>
                <w:color w:val="000000" w:themeColor="text1"/>
                <w:kern w:val="0"/>
                <w:sz w:val="18"/>
                <w:szCs w:val="18"/>
                <w:highlight w:val="none"/>
                <w14:textFill>
                  <w14:solidFill>
                    <w14:schemeClr w14:val="tx1"/>
                  </w14:solidFill>
                </w14:textFill>
              </w:rPr>
              <w:t>X≥300</w:t>
            </w:r>
          </w:p>
        </w:tc>
        <w:tc>
          <w:tcPr>
            <w:tcW w:w="1701" w:type="dxa"/>
            <w:noWrap w:val="0"/>
            <w:vAlign w:val="center"/>
          </w:tcPr>
          <w:p w14:paraId="2322352F">
            <w:pPr>
              <w:widowControl/>
              <w:spacing w:line="280" w:lineRule="exact"/>
              <w:ind w:left="1" w:leftChars="-51" w:hanging="108" w:hangingChars="60"/>
              <w:jc w:val="center"/>
              <w:rPr>
                <w:color w:val="000000" w:themeColor="text1"/>
                <w:kern w:val="0"/>
                <w:sz w:val="18"/>
                <w:szCs w:val="18"/>
                <w:highlight w:val="none"/>
                <w14:textFill>
                  <w14:solidFill>
                    <w14:schemeClr w14:val="tx1"/>
                  </w14:solidFill>
                </w14:textFill>
              </w:rPr>
            </w:pPr>
            <w:r>
              <w:rPr>
                <w:color w:val="000000" w:themeColor="text1"/>
                <w:kern w:val="0"/>
                <w:sz w:val="18"/>
                <w:szCs w:val="18"/>
                <w:highlight w:val="none"/>
                <w14:textFill>
                  <w14:solidFill>
                    <w14:schemeClr w14:val="tx1"/>
                  </w14:solidFill>
                </w14:textFill>
              </w:rPr>
              <w:t>100≤X＜300</w:t>
            </w:r>
          </w:p>
        </w:tc>
        <w:tc>
          <w:tcPr>
            <w:tcW w:w="1426" w:type="dxa"/>
            <w:noWrap w:val="0"/>
            <w:vAlign w:val="center"/>
          </w:tcPr>
          <w:p w14:paraId="44E09EF0">
            <w:pPr>
              <w:widowControl/>
              <w:spacing w:line="280" w:lineRule="exact"/>
              <w:jc w:val="center"/>
              <w:rPr>
                <w:color w:val="000000" w:themeColor="text1"/>
                <w:kern w:val="0"/>
                <w:sz w:val="18"/>
                <w:szCs w:val="18"/>
                <w:highlight w:val="none"/>
                <w14:textFill>
                  <w14:solidFill>
                    <w14:schemeClr w14:val="tx1"/>
                  </w14:solidFill>
                </w14:textFill>
              </w:rPr>
            </w:pPr>
            <w:r>
              <w:rPr>
                <w:color w:val="000000" w:themeColor="text1"/>
                <w:kern w:val="0"/>
                <w:sz w:val="18"/>
                <w:szCs w:val="18"/>
                <w:highlight w:val="none"/>
                <w14:textFill>
                  <w14:solidFill>
                    <w14:schemeClr w14:val="tx1"/>
                  </w14:solidFill>
                </w14:textFill>
              </w:rPr>
              <w:t>10≤X＜100</w:t>
            </w:r>
          </w:p>
        </w:tc>
        <w:tc>
          <w:tcPr>
            <w:tcW w:w="992" w:type="dxa"/>
            <w:noWrap w:val="0"/>
            <w:vAlign w:val="center"/>
          </w:tcPr>
          <w:p w14:paraId="18058492">
            <w:pPr>
              <w:widowControl/>
              <w:spacing w:line="280" w:lineRule="exact"/>
              <w:jc w:val="center"/>
              <w:rPr>
                <w:color w:val="000000" w:themeColor="text1"/>
                <w:kern w:val="0"/>
                <w:sz w:val="18"/>
                <w:szCs w:val="18"/>
                <w:highlight w:val="none"/>
                <w14:textFill>
                  <w14:solidFill>
                    <w14:schemeClr w14:val="tx1"/>
                  </w14:solidFill>
                </w14:textFill>
              </w:rPr>
            </w:pPr>
            <w:r>
              <w:rPr>
                <w:color w:val="000000" w:themeColor="text1"/>
                <w:kern w:val="0"/>
                <w:sz w:val="18"/>
                <w:szCs w:val="18"/>
                <w:highlight w:val="none"/>
                <w14:textFill>
                  <w14:solidFill>
                    <w14:schemeClr w14:val="tx1"/>
                  </w14:solidFill>
                </w14:textFill>
              </w:rPr>
              <w:t>X＜10</w:t>
            </w:r>
          </w:p>
        </w:tc>
      </w:tr>
      <w:tr w14:paraId="02D924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continue"/>
            <w:noWrap w:val="0"/>
            <w:vAlign w:val="center"/>
          </w:tcPr>
          <w:p w14:paraId="4C287DDE">
            <w:pPr>
              <w:widowControl/>
              <w:spacing w:line="280" w:lineRule="exact"/>
              <w:jc w:val="left"/>
              <w:rPr>
                <w:color w:val="000000" w:themeColor="text1"/>
                <w:kern w:val="0"/>
                <w:sz w:val="18"/>
                <w:szCs w:val="18"/>
                <w:highlight w:val="none"/>
                <w14:textFill>
                  <w14:solidFill>
                    <w14:schemeClr w14:val="tx1"/>
                  </w14:solidFill>
                </w14:textFill>
              </w:rPr>
            </w:pPr>
          </w:p>
        </w:tc>
        <w:tc>
          <w:tcPr>
            <w:tcW w:w="1369" w:type="dxa"/>
            <w:noWrap w:val="0"/>
            <w:vAlign w:val="center"/>
          </w:tcPr>
          <w:p w14:paraId="2D9CD752">
            <w:pPr>
              <w:widowControl/>
              <w:spacing w:line="280" w:lineRule="exact"/>
              <w:jc w:val="center"/>
              <w:rPr>
                <w:color w:val="000000" w:themeColor="text1"/>
                <w:kern w:val="0"/>
                <w:sz w:val="18"/>
                <w:szCs w:val="18"/>
                <w:highlight w:val="none"/>
                <w14:textFill>
                  <w14:solidFill>
                    <w14:schemeClr w14:val="tx1"/>
                  </w14:solidFill>
                </w14:textFill>
              </w:rPr>
            </w:pPr>
            <w:r>
              <w:rPr>
                <w:color w:val="000000" w:themeColor="text1"/>
                <w:kern w:val="0"/>
                <w:sz w:val="18"/>
                <w:szCs w:val="18"/>
                <w:highlight w:val="none"/>
                <w14:textFill>
                  <w14:solidFill>
                    <w14:schemeClr w14:val="tx1"/>
                  </w14:solidFill>
                </w14:textFill>
              </w:rPr>
              <w:t>营业收入(Y)</w:t>
            </w:r>
          </w:p>
        </w:tc>
        <w:tc>
          <w:tcPr>
            <w:tcW w:w="709" w:type="dxa"/>
            <w:noWrap w:val="0"/>
            <w:vAlign w:val="center"/>
          </w:tcPr>
          <w:p w14:paraId="6FBD3692">
            <w:pPr>
              <w:widowControl/>
              <w:spacing w:line="280" w:lineRule="exact"/>
              <w:jc w:val="center"/>
              <w:rPr>
                <w:color w:val="000000" w:themeColor="text1"/>
                <w:kern w:val="0"/>
                <w:sz w:val="18"/>
                <w:szCs w:val="18"/>
                <w:highlight w:val="none"/>
                <w14:textFill>
                  <w14:solidFill>
                    <w14:schemeClr w14:val="tx1"/>
                  </w14:solidFill>
                </w14:textFill>
              </w:rPr>
            </w:pPr>
            <w:r>
              <w:rPr>
                <w:color w:val="000000" w:themeColor="text1"/>
                <w:kern w:val="0"/>
                <w:sz w:val="18"/>
                <w:szCs w:val="18"/>
                <w:highlight w:val="none"/>
                <w14:textFill>
                  <w14:solidFill>
                    <w14:schemeClr w14:val="tx1"/>
                  </w14:solidFill>
                </w14:textFill>
              </w:rPr>
              <w:t>万元</w:t>
            </w:r>
          </w:p>
        </w:tc>
        <w:tc>
          <w:tcPr>
            <w:tcW w:w="1125" w:type="dxa"/>
            <w:noWrap w:val="0"/>
            <w:vAlign w:val="center"/>
          </w:tcPr>
          <w:p w14:paraId="7F710D9F">
            <w:pPr>
              <w:widowControl/>
              <w:spacing w:line="280" w:lineRule="exact"/>
              <w:jc w:val="center"/>
              <w:rPr>
                <w:color w:val="000000" w:themeColor="text1"/>
                <w:kern w:val="0"/>
                <w:sz w:val="18"/>
                <w:szCs w:val="18"/>
                <w:highlight w:val="none"/>
                <w14:textFill>
                  <w14:solidFill>
                    <w14:schemeClr w14:val="tx1"/>
                  </w14:solidFill>
                </w14:textFill>
              </w:rPr>
            </w:pPr>
            <w:r>
              <w:rPr>
                <w:color w:val="000000" w:themeColor="text1"/>
                <w:kern w:val="0"/>
                <w:sz w:val="18"/>
                <w:szCs w:val="18"/>
                <w:highlight w:val="none"/>
                <w14:textFill>
                  <w14:solidFill>
                    <w14:schemeClr w14:val="tx1"/>
                  </w14:solidFill>
                </w14:textFill>
              </w:rPr>
              <w:t>Y≥10000</w:t>
            </w:r>
          </w:p>
        </w:tc>
        <w:tc>
          <w:tcPr>
            <w:tcW w:w="1701" w:type="dxa"/>
            <w:noWrap w:val="0"/>
            <w:vAlign w:val="center"/>
          </w:tcPr>
          <w:p w14:paraId="0A93BD97">
            <w:pPr>
              <w:widowControl/>
              <w:spacing w:line="280" w:lineRule="exact"/>
              <w:jc w:val="center"/>
              <w:rPr>
                <w:color w:val="000000" w:themeColor="text1"/>
                <w:kern w:val="0"/>
                <w:sz w:val="18"/>
                <w:szCs w:val="18"/>
                <w:highlight w:val="none"/>
                <w14:textFill>
                  <w14:solidFill>
                    <w14:schemeClr w14:val="tx1"/>
                  </w14:solidFill>
                </w14:textFill>
              </w:rPr>
            </w:pPr>
            <w:r>
              <w:rPr>
                <w:color w:val="000000" w:themeColor="text1"/>
                <w:kern w:val="0"/>
                <w:sz w:val="18"/>
                <w:szCs w:val="18"/>
                <w:highlight w:val="none"/>
                <w14:textFill>
                  <w14:solidFill>
                    <w14:schemeClr w14:val="tx1"/>
                  </w14:solidFill>
                </w14:textFill>
              </w:rPr>
              <w:t>2000≤Y＜10000</w:t>
            </w:r>
          </w:p>
        </w:tc>
        <w:tc>
          <w:tcPr>
            <w:tcW w:w="1426" w:type="dxa"/>
            <w:noWrap w:val="0"/>
            <w:vAlign w:val="center"/>
          </w:tcPr>
          <w:p w14:paraId="1FE2C574">
            <w:pPr>
              <w:widowControl/>
              <w:spacing w:line="280" w:lineRule="exact"/>
              <w:jc w:val="center"/>
              <w:rPr>
                <w:color w:val="000000" w:themeColor="text1"/>
                <w:kern w:val="0"/>
                <w:sz w:val="18"/>
                <w:szCs w:val="18"/>
                <w:highlight w:val="none"/>
                <w14:textFill>
                  <w14:solidFill>
                    <w14:schemeClr w14:val="tx1"/>
                  </w14:solidFill>
                </w14:textFill>
              </w:rPr>
            </w:pPr>
            <w:r>
              <w:rPr>
                <w:color w:val="000000" w:themeColor="text1"/>
                <w:kern w:val="0"/>
                <w:sz w:val="18"/>
                <w:szCs w:val="18"/>
                <w:highlight w:val="none"/>
                <w14:textFill>
                  <w14:solidFill>
                    <w14:schemeClr w14:val="tx1"/>
                  </w14:solidFill>
                </w14:textFill>
              </w:rPr>
              <w:t>100≤Y＜2000</w:t>
            </w:r>
          </w:p>
        </w:tc>
        <w:tc>
          <w:tcPr>
            <w:tcW w:w="992" w:type="dxa"/>
            <w:noWrap w:val="0"/>
            <w:vAlign w:val="center"/>
          </w:tcPr>
          <w:p w14:paraId="45731BCE">
            <w:pPr>
              <w:widowControl/>
              <w:spacing w:line="280" w:lineRule="exact"/>
              <w:jc w:val="center"/>
              <w:rPr>
                <w:color w:val="000000" w:themeColor="text1"/>
                <w:kern w:val="0"/>
                <w:sz w:val="18"/>
                <w:szCs w:val="18"/>
                <w:highlight w:val="none"/>
                <w14:textFill>
                  <w14:solidFill>
                    <w14:schemeClr w14:val="tx1"/>
                  </w14:solidFill>
                </w14:textFill>
              </w:rPr>
            </w:pPr>
            <w:r>
              <w:rPr>
                <w:color w:val="000000" w:themeColor="text1"/>
                <w:kern w:val="0"/>
                <w:sz w:val="18"/>
                <w:szCs w:val="18"/>
                <w:highlight w:val="none"/>
                <w14:textFill>
                  <w14:solidFill>
                    <w14:schemeClr w14:val="tx1"/>
                  </w14:solidFill>
                </w14:textFill>
              </w:rPr>
              <w:t>Y＜100</w:t>
            </w:r>
          </w:p>
        </w:tc>
      </w:tr>
      <w:tr w14:paraId="7FE0CE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restart"/>
            <w:noWrap w:val="0"/>
            <w:vAlign w:val="center"/>
          </w:tcPr>
          <w:p w14:paraId="4EE3A647">
            <w:pPr>
              <w:widowControl/>
              <w:spacing w:line="280" w:lineRule="exact"/>
              <w:jc w:val="left"/>
              <w:rPr>
                <w:color w:val="000000" w:themeColor="text1"/>
                <w:kern w:val="0"/>
                <w:sz w:val="18"/>
                <w:szCs w:val="18"/>
                <w:highlight w:val="none"/>
                <w14:textFill>
                  <w14:solidFill>
                    <w14:schemeClr w14:val="tx1"/>
                  </w14:solidFill>
                </w14:textFill>
              </w:rPr>
            </w:pPr>
            <w:r>
              <w:rPr>
                <w:color w:val="000000" w:themeColor="text1"/>
                <w:kern w:val="0"/>
                <w:sz w:val="18"/>
                <w:szCs w:val="18"/>
                <w:highlight w:val="none"/>
                <w14:textFill>
                  <w14:solidFill>
                    <w14:schemeClr w14:val="tx1"/>
                  </w14:solidFill>
                </w14:textFill>
              </w:rPr>
              <w:t>餐饮业</w:t>
            </w:r>
          </w:p>
        </w:tc>
        <w:tc>
          <w:tcPr>
            <w:tcW w:w="1369" w:type="dxa"/>
            <w:noWrap w:val="0"/>
            <w:vAlign w:val="center"/>
          </w:tcPr>
          <w:p w14:paraId="189C7B00">
            <w:pPr>
              <w:widowControl/>
              <w:spacing w:line="280" w:lineRule="exact"/>
              <w:jc w:val="center"/>
              <w:rPr>
                <w:color w:val="000000" w:themeColor="text1"/>
                <w:kern w:val="0"/>
                <w:sz w:val="18"/>
                <w:szCs w:val="18"/>
                <w:highlight w:val="none"/>
                <w14:textFill>
                  <w14:solidFill>
                    <w14:schemeClr w14:val="tx1"/>
                  </w14:solidFill>
                </w14:textFill>
              </w:rPr>
            </w:pPr>
            <w:r>
              <w:rPr>
                <w:color w:val="000000" w:themeColor="text1"/>
                <w:kern w:val="0"/>
                <w:sz w:val="18"/>
                <w:szCs w:val="18"/>
                <w:highlight w:val="none"/>
                <w14:textFill>
                  <w14:solidFill>
                    <w14:schemeClr w14:val="tx1"/>
                  </w14:solidFill>
                </w14:textFill>
              </w:rPr>
              <w:t>从业人员(X)</w:t>
            </w:r>
          </w:p>
        </w:tc>
        <w:tc>
          <w:tcPr>
            <w:tcW w:w="709" w:type="dxa"/>
            <w:noWrap w:val="0"/>
            <w:vAlign w:val="center"/>
          </w:tcPr>
          <w:p w14:paraId="73A2C909">
            <w:pPr>
              <w:widowControl/>
              <w:spacing w:line="280" w:lineRule="exact"/>
              <w:jc w:val="center"/>
              <w:rPr>
                <w:color w:val="000000" w:themeColor="text1"/>
                <w:kern w:val="0"/>
                <w:sz w:val="18"/>
                <w:szCs w:val="18"/>
                <w:highlight w:val="none"/>
                <w14:textFill>
                  <w14:solidFill>
                    <w14:schemeClr w14:val="tx1"/>
                  </w14:solidFill>
                </w14:textFill>
              </w:rPr>
            </w:pPr>
            <w:r>
              <w:rPr>
                <w:color w:val="000000" w:themeColor="text1"/>
                <w:kern w:val="0"/>
                <w:sz w:val="18"/>
                <w:szCs w:val="18"/>
                <w:highlight w:val="none"/>
                <w14:textFill>
                  <w14:solidFill>
                    <w14:schemeClr w14:val="tx1"/>
                  </w14:solidFill>
                </w14:textFill>
              </w:rPr>
              <w:t>人</w:t>
            </w:r>
          </w:p>
        </w:tc>
        <w:tc>
          <w:tcPr>
            <w:tcW w:w="1125" w:type="dxa"/>
            <w:noWrap w:val="0"/>
            <w:vAlign w:val="center"/>
          </w:tcPr>
          <w:p w14:paraId="4078C65F">
            <w:pPr>
              <w:widowControl/>
              <w:spacing w:line="280" w:lineRule="exact"/>
              <w:jc w:val="center"/>
              <w:rPr>
                <w:color w:val="000000" w:themeColor="text1"/>
                <w:kern w:val="0"/>
                <w:sz w:val="18"/>
                <w:szCs w:val="18"/>
                <w:highlight w:val="none"/>
                <w14:textFill>
                  <w14:solidFill>
                    <w14:schemeClr w14:val="tx1"/>
                  </w14:solidFill>
                </w14:textFill>
              </w:rPr>
            </w:pPr>
            <w:r>
              <w:rPr>
                <w:color w:val="000000" w:themeColor="text1"/>
                <w:kern w:val="0"/>
                <w:sz w:val="18"/>
                <w:szCs w:val="18"/>
                <w:highlight w:val="none"/>
                <w14:textFill>
                  <w14:solidFill>
                    <w14:schemeClr w14:val="tx1"/>
                  </w14:solidFill>
                </w14:textFill>
              </w:rPr>
              <w:t>X≥300</w:t>
            </w:r>
          </w:p>
        </w:tc>
        <w:tc>
          <w:tcPr>
            <w:tcW w:w="1701" w:type="dxa"/>
            <w:noWrap w:val="0"/>
            <w:vAlign w:val="center"/>
          </w:tcPr>
          <w:p w14:paraId="319518CD">
            <w:pPr>
              <w:widowControl/>
              <w:spacing w:line="280" w:lineRule="exact"/>
              <w:ind w:left="1" w:leftChars="-51" w:hanging="108" w:hangingChars="60"/>
              <w:jc w:val="center"/>
              <w:rPr>
                <w:color w:val="000000" w:themeColor="text1"/>
                <w:kern w:val="0"/>
                <w:sz w:val="18"/>
                <w:szCs w:val="18"/>
                <w:highlight w:val="none"/>
                <w14:textFill>
                  <w14:solidFill>
                    <w14:schemeClr w14:val="tx1"/>
                  </w14:solidFill>
                </w14:textFill>
              </w:rPr>
            </w:pPr>
            <w:r>
              <w:rPr>
                <w:color w:val="000000" w:themeColor="text1"/>
                <w:kern w:val="0"/>
                <w:sz w:val="18"/>
                <w:szCs w:val="18"/>
                <w:highlight w:val="none"/>
                <w14:textFill>
                  <w14:solidFill>
                    <w14:schemeClr w14:val="tx1"/>
                  </w14:solidFill>
                </w14:textFill>
              </w:rPr>
              <w:t xml:space="preserve">100≤X＜300 </w:t>
            </w:r>
          </w:p>
        </w:tc>
        <w:tc>
          <w:tcPr>
            <w:tcW w:w="1426" w:type="dxa"/>
            <w:noWrap w:val="0"/>
            <w:vAlign w:val="center"/>
          </w:tcPr>
          <w:p w14:paraId="5431B3E1">
            <w:pPr>
              <w:widowControl/>
              <w:spacing w:line="280" w:lineRule="exact"/>
              <w:jc w:val="center"/>
              <w:rPr>
                <w:color w:val="000000" w:themeColor="text1"/>
                <w:kern w:val="0"/>
                <w:sz w:val="18"/>
                <w:szCs w:val="18"/>
                <w:highlight w:val="none"/>
                <w14:textFill>
                  <w14:solidFill>
                    <w14:schemeClr w14:val="tx1"/>
                  </w14:solidFill>
                </w14:textFill>
              </w:rPr>
            </w:pPr>
            <w:r>
              <w:rPr>
                <w:color w:val="000000" w:themeColor="text1"/>
                <w:kern w:val="0"/>
                <w:sz w:val="18"/>
                <w:szCs w:val="18"/>
                <w:highlight w:val="none"/>
                <w14:textFill>
                  <w14:solidFill>
                    <w14:schemeClr w14:val="tx1"/>
                  </w14:solidFill>
                </w14:textFill>
              </w:rPr>
              <w:t>10≤X＜100</w:t>
            </w:r>
          </w:p>
        </w:tc>
        <w:tc>
          <w:tcPr>
            <w:tcW w:w="992" w:type="dxa"/>
            <w:noWrap w:val="0"/>
            <w:vAlign w:val="center"/>
          </w:tcPr>
          <w:p w14:paraId="171511F2">
            <w:pPr>
              <w:widowControl/>
              <w:spacing w:line="280" w:lineRule="exact"/>
              <w:jc w:val="center"/>
              <w:rPr>
                <w:color w:val="000000" w:themeColor="text1"/>
                <w:kern w:val="0"/>
                <w:sz w:val="18"/>
                <w:szCs w:val="18"/>
                <w:highlight w:val="none"/>
                <w14:textFill>
                  <w14:solidFill>
                    <w14:schemeClr w14:val="tx1"/>
                  </w14:solidFill>
                </w14:textFill>
              </w:rPr>
            </w:pPr>
            <w:r>
              <w:rPr>
                <w:color w:val="000000" w:themeColor="text1"/>
                <w:kern w:val="0"/>
                <w:sz w:val="18"/>
                <w:szCs w:val="18"/>
                <w:highlight w:val="none"/>
                <w14:textFill>
                  <w14:solidFill>
                    <w14:schemeClr w14:val="tx1"/>
                  </w14:solidFill>
                </w14:textFill>
              </w:rPr>
              <w:t>X＜10</w:t>
            </w:r>
          </w:p>
        </w:tc>
      </w:tr>
      <w:tr w14:paraId="65034D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continue"/>
            <w:noWrap w:val="0"/>
            <w:vAlign w:val="center"/>
          </w:tcPr>
          <w:p w14:paraId="2479FFBA">
            <w:pPr>
              <w:widowControl/>
              <w:spacing w:line="280" w:lineRule="exact"/>
              <w:jc w:val="left"/>
              <w:rPr>
                <w:color w:val="000000" w:themeColor="text1"/>
                <w:kern w:val="0"/>
                <w:sz w:val="18"/>
                <w:szCs w:val="18"/>
                <w:highlight w:val="none"/>
                <w14:textFill>
                  <w14:solidFill>
                    <w14:schemeClr w14:val="tx1"/>
                  </w14:solidFill>
                </w14:textFill>
              </w:rPr>
            </w:pPr>
          </w:p>
        </w:tc>
        <w:tc>
          <w:tcPr>
            <w:tcW w:w="1369" w:type="dxa"/>
            <w:noWrap w:val="0"/>
            <w:vAlign w:val="center"/>
          </w:tcPr>
          <w:p w14:paraId="6EE15F29">
            <w:pPr>
              <w:widowControl/>
              <w:spacing w:line="280" w:lineRule="exact"/>
              <w:jc w:val="center"/>
              <w:rPr>
                <w:color w:val="000000" w:themeColor="text1"/>
                <w:kern w:val="0"/>
                <w:sz w:val="18"/>
                <w:szCs w:val="18"/>
                <w:highlight w:val="none"/>
                <w14:textFill>
                  <w14:solidFill>
                    <w14:schemeClr w14:val="tx1"/>
                  </w14:solidFill>
                </w14:textFill>
              </w:rPr>
            </w:pPr>
            <w:r>
              <w:rPr>
                <w:color w:val="000000" w:themeColor="text1"/>
                <w:kern w:val="0"/>
                <w:sz w:val="18"/>
                <w:szCs w:val="18"/>
                <w:highlight w:val="none"/>
                <w14:textFill>
                  <w14:solidFill>
                    <w14:schemeClr w14:val="tx1"/>
                  </w14:solidFill>
                </w14:textFill>
              </w:rPr>
              <w:t>营业收入(Y)</w:t>
            </w:r>
          </w:p>
        </w:tc>
        <w:tc>
          <w:tcPr>
            <w:tcW w:w="709" w:type="dxa"/>
            <w:noWrap w:val="0"/>
            <w:vAlign w:val="center"/>
          </w:tcPr>
          <w:p w14:paraId="11F3AD79">
            <w:pPr>
              <w:widowControl/>
              <w:spacing w:line="280" w:lineRule="exact"/>
              <w:jc w:val="center"/>
              <w:rPr>
                <w:color w:val="000000" w:themeColor="text1"/>
                <w:kern w:val="0"/>
                <w:sz w:val="18"/>
                <w:szCs w:val="18"/>
                <w:highlight w:val="none"/>
                <w14:textFill>
                  <w14:solidFill>
                    <w14:schemeClr w14:val="tx1"/>
                  </w14:solidFill>
                </w14:textFill>
              </w:rPr>
            </w:pPr>
            <w:r>
              <w:rPr>
                <w:color w:val="000000" w:themeColor="text1"/>
                <w:kern w:val="0"/>
                <w:sz w:val="18"/>
                <w:szCs w:val="18"/>
                <w:highlight w:val="none"/>
                <w14:textFill>
                  <w14:solidFill>
                    <w14:schemeClr w14:val="tx1"/>
                  </w14:solidFill>
                </w14:textFill>
              </w:rPr>
              <w:t>万元</w:t>
            </w:r>
          </w:p>
        </w:tc>
        <w:tc>
          <w:tcPr>
            <w:tcW w:w="1125" w:type="dxa"/>
            <w:noWrap w:val="0"/>
            <w:vAlign w:val="center"/>
          </w:tcPr>
          <w:p w14:paraId="194D3E20">
            <w:pPr>
              <w:widowControl/>
              <w:spacing w:line="280" w:lineRule="exact"/>
              <w:jc w:val="center"/>
              <w:rPr>
                <w:color w:val="000000" w:themeColor="text1"/>
                <w:kern w:val="0"/>
                <w:sz w:val="18"/>
                <w:szCs w:val="18"/>
                <w:highlight w:val="none"/>
                <w14:textFill>
                  <w14:solidFill>
                    <w14:schemeClr w14:val="tx1"/>
                  </w14:solidFill>
                </w14:textFill>
              </w:rPr>
            </w:pPr>
            <w:r>
              <w:rPr>
                <w:color w:val="000000" w:themeColor="text1"/>
                <w:kern w:val="0"/>
                <w:sz w:val="18"/>
                <w:szCs w:val="18"/>
                <w:highlight w:val="none"/>
                <w14:textFill>
                  <w14:solidFill>
                    <w14:schemeClr w14:val="tx1"/>
                  </w14:solidFill>
                </w14:textFill>
              </w:rPr>
              <w:t>Y≥10000</w:t>
            </w:r>
          </w:p>
        </w:tc>
        <w:tc>
          <w:tcPr>
            <w:tcW w:w="1701" w:type="dxa"/>
            <w:noWrap w:val="0"/>
            <w:vAlign w:val="center"/>
          </w:tcPr>
          <w:p w14:paraId="4C0F907D">
            <w:pPr>
              <w:widowControl/>
              <w:spacing w:line="280" w:lineRule="exact"/>
              <w:jc w:val="center"/>
              <w:rPr>
                <w:color w:val="000000" w:themeColor="text1"/>
                <w:kern w:val="0"/>
                <w:sz w:val="18"/>
                <w:szCs w:val="18"/>
                <w:highlight w:val="none"/>
                <w14:textFill>
                  <w14:solidFill>
                    <w14:schemeClr w14:val="tx1"/>
                  </w14:solidFill>
                </w14:textFill>
              </w:rPr>
            </w:pPr>
            <w:r>
              <w:rPr>
                <w:color w:val="000000" w:themeColor="text1"/>
                <w:kern w:val="0"/>
                <w:sz w:val="18"/>
                <w:szCs w:val="18"/>
                <w:highlight w:val="none"/>
                <w14:textFill>
                  <w14:solidFill>
                    <w14:schemeClr w14:val="tx1"/>
                  </w14:solidFill>
                </w14:textFill>
              </w:rPr>
              <w:t>2000≤Y＜10000</w:t>
            </w:r>
          </w:p>
        </w:tc>
        <w:tc>
          <w:tcPr>
            <w:tcW w:w="1426" w:type="dxa"/>
            <w:noWrap w:val="0"/>
            <w:vAlign w:val="center"/>
          </w:tcPr>
          <w:p w14:paraId="56BBEAE1">
            <w:pPr>
              <w:widowControl/>
              <w:spacing w:line="280" w:lineRule="exact"/>
              <w:jc w:val="center"/>
              <w:rPr>
                <w:color w:val="000000" w:themeColor="text1"/>
                <w:kern w:val="0"/>
                <w:sz w:val="18"/>
                <w:szCs w:val="18"/>
                <w:highlight w:val="none"/>
                <w14:textFill>
                  <w14:solidFill>
                    <w14:schemeClr w14:val="tx1"/>
                  </w14:solidFill>
                </w14:textFill>
              </w:rPr>
            </w:pPr>
            <w:r>
              <w:rPr>
                <w:color w:val="000000" w:themeColor="text1"/>
                <w:kern w:val="0"/>
                <w:sz w:val="18"/>
                <w:szCs w:val="18"/>
                <w:highlight w:val="none"/>
                <w14:textFill>
                  <w14:solidFill>
                    <w14:schemeClr w14:val="tx1"/>
                  </w14:solidFill>
                </w14:textFill>
              </w:rPr>
              <w:t>100≤Y＜2000</w:t>
            </w:r>
          </w:p>
        </w:tc>
        <w:tc>
          <w:tcPr>
            <w:tcW w:w="992" w:type="dxa"/>
            <w:noWrap w:val="0"/>
            <w:vAlign w:val="center"/>
          </w:tcPr>
          <w:p w14:paraId="3B01737E">
            <w:pPr>
              <w:widowControl/>
              <w:spacing w:line="280" w:lineRule="exact"/>
              <w:jc w:val="center"/>
              <w:rPr>
                <w:color w:val="000000" w:themeColor="text1"/>
                <w:kern w:val="0"/>
                <w:sz w:val="18"/>
                <w:szCs w:val="18"/>
                <w:highlight w:val="none"/>
                <w14:textFill>
                  <w14:solidFill>
                    <w14:schemeClr w14:val="tx1"/>
                  </w14:solidFill>
                </w14:textFill>
              </w:rPr>
            </w:pPr>
            <w:r>
              <w:rPr>
                <w:color w:val="000000" w:themeColor="text1"/>
                <w:kern w:val="0"/>
                <w:sz w:val="18"/>
                <w:szCs w:val="18"/>
                <w:highlight w:val="none"/>
                <w14:textFill>
                  <w14:solidFill>
                    <w14:schemeClr w14:val="tx1"/>
                  </w14:solidFill>
                </w14:textFill>
              </w:rPr>
              <w:t>Y＜100</w:t>
            </w:r>
          </w:p>
        </w:tc>
      </w:tr>
      <w:tr w14:paraId="0DDF5F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restart"/>
            <w:noWrap w:val="0"/>
            <w:vAlign w:val="center"/>
          </w:tcPr>
          <w:p w14:paraId="7B587831">
            <w:pPr>
              <w:widowControl/>
              <w:spacing w:line="280" w:lineRule="exact"/>
              <w:jc w:val="left"/>
              <w:rPr>
                <w:color w:val="000000" w:themeColor="text1"/>
                <w:kern w:val="0"/>
                <w:sz w:val="18"/>
                <w:szCs w:val="18"/>
                <w:highlight w:val="none"/>
                <w14:textFill>
                  <w14:solidFill>
                    <w14:schemeClr w14:val="tx1"/>
                  </w14:solidFill>
                </w14:textFill>
              </w:rPr>
            </w:pPr>
            <w:r>
              <w:rPr>
                <w:color w:val="000000" w:themeColor="text1"/>
                <w:kern w:val="0"/>
                <w:sz w:val="18"/>
                <w:szCs w:val="18"/>
                <w:highlight w:val="none"/>
                <w14:textFill>
                  <w14:solidFill>
                    <w14:schemeClr w14:val="tx1"/>
                  </w14:solidFill>
                </w14:textFill>
              </w:rPr>
              <w:t>信息传输业 *</w:t>
            </w:r>
          </w:p>
        </w:tc>
        <w:tc>
          <w:tcPr>
            <w:tcW w:w="1369" w:type="dxa"/>
            <w:noWrap w:val="0"/>
            <w:vAlign w:val="center"/>
          </w:tcPr>
          <w:p w14:paraId="31B026F7">
            <w:pPr>
              <w:widowControl/>
              <w:spacing w:line="280" w:lineRule="exact"/>
              <w:jc w:val="center"/>
              <w:rPr>
                <w:color w:val="000000" w:themeColor="text1"/>
                <w:kern w:val="0"/>
                <w:sz w:val="18"/>
                <w:szCs w:val="18"/>
                <w:highlight w:val="none"/>
                <w14:textFill>
                  <w14:solidFill>
                    <w14:schemeClr w14:val="tx1"/>
                  </w14:solidFill>
                </w14:textFill>
              </w:rPr>
            </w:pPr>
            <w:r>
              <w:rPr>
                <w:color w:val="000000" w:themeColor="text1"/>
                <w:kern w:val="0"/>
                <w:sz w:val="18"/>
                <w:szCs w:val="18"/>
                <w:highlight w:val="none"/>
                <w14:textFill>
                  <w14:solidFill>
                    <w14:schemeClr w14:val="tx1"/>
                  </w14:solidFill>
                </w14:textFill>
              </w:rPr>
              <w:t>从业人员(X)</w:t>
            </w:r>
          </w:p>
        </w:tc>
        <w:tc>
          <w:tcPr>
            <w:tcW w:w="709" w:type="dxa"/>
            <w:noWrap w:val="0"/>
            <w:vAlign w:val="center"/>
          </w:tcPr>
          <w:p w14:paraId="001BABA0">
            <w:pPr>
              <w:widowControl/>
              <w:spacing w:line="280" w:lineRule="exact"/>
              <w:jc w:val="center"/>
              <w:rPr>
                <w:color w:val="000000" w:themeColor="text1"/>
                <w:kern w:val="0"/>
                <w:sz w:val="18"/>
                <w:szCs w:val="18"/>
                <w:highlight w:val="none"/>
                <w14:textFill>
                  <w14:solidFill>
                    <w14:schemeClr w14:val="tx1"/>
                  </w14:solidFill>
                </w14:textFill>
              </w:rPr>
            </w:pPr>
            <w:r>
              <w:rPr>
                <w:color w:val="000000" w:themeColor="text1"/>
                <w:kern w:val="0"/>
                <w:sz w:val="18"/>
                <w:szCs w:val="18"/>
                <w:highlight w:val="none"/>
                <w14:textFill>
                  <w14:solidFill>
                    <w14:schemeClr w14:val="tx1"/>
                  </w14:solidFill>
                </w14:textFill>
              </w:rPr>
              <w:t>人</w:t>
            </w:r>
          </w:p>
        </w:tc>
        <w:tc>
          <w:tcPr>
            <w:tcW w:w="1125" w:type="dxa"/>
            <w:noWrap w:val="0"/>
            <w:vAlign w:val="center"/>
          </w:tcPr>
          <w:p w14:paraId="193DBD9E">
            <w:pPr>
              <w:widowControl/>
              <w:spacing w:line="280" w:lineRule="exact"/>
              <w:jc w:val="center"/>
              <w:rPr>
                <w:color w:val="000000" w:themeColor="text1"/>
                <w:kern w:val="0"/>
                <w:sz w:val="18"/>
                <w:szCs w:val="18"/>
                <w:highlight w:val="none"/>
                <w14:textFill>
                  <w14:solidFill>
                    <w14:schemeClr w14:val="tx1"/>
                  </w14:solidFill>
                </w14:textFill>
              </w:rPr>
            </w:pPr>
            <w:r>
              <w:rPr>
                <w:color w:val="000000" w:themeColor="text1"/>
                <w:kern w:val="0"/>
                <w:sz w:val="18"/>
                <w:szCs w:val="18"/>
                <w:highlight w:val="none"/>
                <w14:textFill>
                  <w14:solidFill>
                    <w14:schemeClr w14:val="tx1"/>
                  </w14:solidFill>
                </w14:textFill>
              </w:rPr>
              <w:t>X≥2000</w:t>
            </w:r>
          </w:p>
        </w:tc>
        <w:tc>
          <w:tcPr>
            <w:tcW w:w="1701" w:type="dxa"/>
            <w:noWrap w:val="0"/>
            <w:vAlign w:val="center"/>
          </w:tcPr>
          <w:p w14:paraId="46F57436">
            <w:pPr>
              <w:widowControl/>
              <w:spacing w:line="280" w:lineRule="exact"/>
              <w:jc w:val="center"/>
              <w:rPr>
                <w:color w:val="000000" w:themeColor="text1"/>
                <w:kern w:val="0"/>
                <w:sz w:val="18"/>
                <w:szCs w:val="18"/>
                <w:highlight w:val="none"/>
                <w14:textFill>
                  <w14:solidFill>
                    <w14:schemeClr w14:val="tx1"/>
                  </w14:solidFill>
                </w14:textFill>
              </w:rPr>
            </w:pPr>
            <w:r>
              <w:rPr>
                <w:color w:val="000000" w:themeColor="text1"/>
                <w:kern w:val="0"/>
                <w:sz w:val="18"/>
                <w:szCs w:val="18"/>
                <w:highlight w:val="none"/>
                <w14:textFill>
                  <w14:solidFill>
                    <w14:schemeClr w14:val="tx1"/>
                  </w14:solidFill>
                </w14:textFill>
              </w:rPr>
              <w:t>100≤X＜2000</w:t>
            </w:r>
          </w:p>
        </w:tc>
        <w:tc>
          <w:tcPr>
            <w:tcW w:w="1426" w:type="dxa"/>
            <w:noWrap w:val="0"/>
            <w:vAlign w:val="center"/>
          </w:tcPr>
          <w:p w14:paraId="342FC4B0">
            <w:pPr>
              <w:widowControl/>
              <w:spacing w:line="280" w:lineRule="exact"/>
              <w:jc w:val="center"/>
              <w:rPr>
                <w:color w:val="000000" w:themeColor="text1"/>
                <w:kern w:val="0"/>
                <w:sz w:val="18"/>
                <w:szCs w:val="18"/>
                <w:highlight w:val="none"/>
                <w14:textFill>
                  <w14:solidFill>
                    <w14:schemeClr w14:val="tx1"/>
                  </w14:solidFill>
                </w14:textFill>
              </w:rPr>
            </w:pPr>
            <w:r>
              <w:rPr>
                <w:color w:val="000000" w:themeColor="text1"/>
                <w:kern w:val="0"/>
                <w:sz w:val="18"/>
                <w:szCs w:val="18"/>
                <w:highlight w:val="none"/>
                <w14:textFill>
                  <w14:solidFill>
                    <w14:schemeClr w14:val="tx1"/>
                  </w14:solidFill>
                </w14:textFill>
              </w:rPr>
              <w:t>10≤X＜100</w:t>
            </w:r>
          </w:p>
        </w:tc>
        <w:tc>
          <w:tcPr>
            <w:tcW w:w="992" w:type="dxa"/>
            <w:noWrap w:val="0"/>
            <w:vAlign w:val="center"/>
          </w:tcPr>
          <w:p w14:paraId="09DA568B">
            <w:pPr>
              <w:widowControl/>
              <w:spacing w:line="280" w:lineRule="exact"/>
              <w:jc w:val="center"/>
              <w:rPr>
                <w:color w:val="000000" w:themeColor="text1"/>
                <w:kern w:val="0"/>
                <w:sz w:val="18"/>
                <w:szCs w:val="18"/>
                <w:highlight w:val="none"/>
                <w14:textFill>
                  <w14:solidFill>
                    <w14:schemeClr w14:val="tx1"/>
                  </w14:solidFill>
                </w14:textFill>
              </w:rPr>
            </w:pPr>
            <w:r>
              <w:rPr>
                <w:color w:val="000000" w:themeColor="text1"/>
                <w:kern w:val="0"/>
                <w:sz w:val="18"/>
                <w:szCs w:val="18"/>
                <w:highlight w:val="none"/>
                <w14:textFill>
                  <w14:solidFill>
                    <w14:schemeClr w14:val="tx1"/>
                  </w14:solidFill>
                </w14:textFill>
              </w:rPr>
              <w:t>X＜10</w:t>
            </w:r>
          </w:p>
        </w:tc>
      </w:tr>
      <w:tr w14:paraId="42869A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continue"/>
            <w:noWrap w:val="0"/>
            <w:vAlign w:val="center"/>
          </w:tcPr>
          <w:p w14:paraId="41F3120A">
            <w:pPr>
              <w:widowControl/>
              <w:spacing w:line="280" w:lineRule="exact"/>
              <w:jc w:val="left"/>
              <w:rPr>
                <w:color w:val="000000" w:themeColor="text1"/>
                <w:kern w:val="0"/>
                <w:sz w:val="18"/>
                <w:szCs w:val="18"/>
                <w:highlight w:val="none"/>
                <w14:textFill>
                  <w14:solidFill>
                    <w14:schemeClr w14:val="tx1"/>
                  </w14:solidFill>
                </w14:textFill>
              </w:rPr>
            </w:pPr>
          </w:p>
        </w:tc>
        <w:tc>
          <w:tcPr>
            <w:tcW w:w="1369" w:type="dxa"/>
            <w:noWrap w:val="0"/>
            <w:vAlign w:val="center"/>
          </w:tcPr>
          <w:p w14:paraId="6141A177">
            <w:pPr>
              <w:widowControl/>
              <w:spacing w:line="280" w:lineRule="exact"/>
              <w:jc w:val="center"/>
              <w:rPr>
                <w:color w:val="000000" w:themeColor="text1"/>
                <w:kern w:val="0"/>
                <w:sz w:val="18"/>
                <w:szCs w:val="18"/>
                <w:highlight w:val="none"/>
                <w14:textFill>
                  <w14:solidFill>
                    <w14:schemeClr w14:val="tx1"/>
                  </w14:solidFill>
                </w14:textFill>
              </w:rPr>
            </w:pPr>
            <w:r>
              <w:rPr>
                <w:color w:val="000000" w:themeColor="text1"/>
                <w:kern w:val="0"/>
                <w:sz w:val="18"/>
                <w:szCs w:val="18"/>
                <w:highlight w:val="none"/>
                <w14:textFill>
                  <w14:solidFill>
                    <w14:schemeClr w14:val="tx1"/>
                  </w14:solidFill>
                </w14:textFill>
              </w:rPr>
              <w:t>营业收入(Y)</w:t>
            </w:r>
          </w:p>
        </w:tc>
        <w:tc>
          <w:tcPr>
            <w:tcW w:w="709" w:type="dxa"/>
            <w:noWrap w:val="0"/>
            <w:vAlign w:val="center"/>
          </w:tcPr>
          <w:p w14:paraId="05393DFA">
            <w:pPr>
              <w:widowControl/>
              <w:spacing w:line="280" w:lineRule="exact"/>
              <w:jc w:val="center"/>
              <w:rPr>
                <w:color w:val="000000" w:themeColor="text1"/>
                <w:kern w:val="0"/>
                <w:sz w:val="18"/>
                <w:szCs w:val="18"/>
                <w:highlight w:val="none"/>
                <w14:textFill>
                  <w14:solidFill>
                    <w14:schemeClr w14:val="tx1"/>
                  </w14:solidFill>
                </w14:textFill>
              </w:rPr>
            </w:pPr>
            <w:r>
              <w:rPr>
                <w:color w:val="000000" w:themeColor="text1"/>
                <w:kern w:val="0"/>
                <w:sz w:val="18"/>
                <w:szCs w:val="18"/>
                <w:highlight w:val="none"/>
                <w14:textFill>
                  <w14:solidFill>
                    <w14:schemeClr w14:val="tx1"/>
                  </w14:solidFill>
                </w14:textFill>
              </w:rPr>
              <w:t>万元</w:t>
            </w:r>
          </w:p>
        </w:tc>
        <w:tc>
          <w:tcPr>
            <w:tcW w:w="1125" w:type="dxa"/>
            <w:noWrap w:val="0"/>
            <w:vAlign w:val="center"/>
          </w:tcPr>
          <w:p w14:paraId="24996E61">
            <w:pPr>
              <w:widowControl/>
              <w:spacing w:line="280" w:lineRule="exact"/>
              <w:jc w:val="center"/>
              <w:rPr>
                <w:color w:val="000000" w:themeColor="text1"/>
                <w:kern w:val="0"/>
                <w:sz w:val="18"/>
                <w:szCs w:val="18"/>
                <w:highlight w:val="none"/>
                <w14:textFill>
                  <w14:solidFill>
                    <w14:schemeClr w14:val="tx1"/>
                  </w14:solidFill>
                </w14:textFill>
              </w:rPr>
            </w:pPr>
            <w:r>
              <w:rPr>
                <w:color w:val="000000" w:themeColor="text1"/>
                <w:kern w:val="0"/>
                <w:sz w:val="18"/>
                <w:szCs w:val="18"/>
                <w:highlight w:val="none"/>
                <w14:textFill>
                  <w14:solidFill>
                    <w14:schemeClr w14:val="tx1"/>
                  </w14:solidFill>
                </w14:textFill>
              </w:rPr>
              <w:t>Y≥100000</w:t>
            </w:r>
          </w:p>
        </w:tc>
        <w:tc>
          <w:tcPr>
            <w:tcW w:w="1701" w:type="dxa"/>
            <w:noWrap w:val="0"/>
            <w:vAlign w:val="center"/>
          </w:tcPr>
          <w:p w14:paraId="52911311">
            <w:pPr>
              <w:widowControl/>
              <w:spacing w:line="280" w:lineRule="exact"/>
              <w:jc w:val="center"/>
              <w:rPr>
                <w:color w:val="000000" w:themeColor="text1"/>
                <w:kern w:val="0"/>
                <w:sz w:val="18"/>
                <w:szCs w:val="18"/>
                <w:highlight w:val="none"/>
                <w14:textFill>
                  <w14:solidFill>
                    <w14:schemeClr w14:val="tx1"/>
                  </w14:solidFill>
                </w14:textFill>
              </w:rPr>
            </w:pPr>
            <w:r>
              <w:rPr>
                <w:color w:val="000000" w:themeColor="text1"/>
                <w:kern w:val="0"/>
                <w:sz w:val="18"/>
                <w:szCs w:val="18"/>
                <w:highlight w:val="none"/>
                <w14:textFill>
                  <w14:solidFill>
                    <w14:schemeClr w14:val="tx1"/>
                  </w14:solidFill>
                </w14:textFill>
              </w:rPr>
              <w:t>1000≤Y＜100000</w:t>
            </w:r>
          </w:p>
        </w:tc>
        <w:tc>
          <w:tcPr>
            <w:tcW w:w="1426" w:type="dxa"/>
            <w:noWrap w:val="0"/>
            <w:vAlign w:val="center"/>
          </w:tcPr>
          <w:p w14:paraId="0FC26406">
            <w:pPr>
              <w:widowControl/>
              <w:spacing w:line="280" w:lineRule="exact"/>
              <w:jc w:val="center"/>
              <w:rPr>
                <w:color w:val="000000" w:themeColor="text1"/>
                <w:kern w:val="0"/>
                <w:sz w:val="18"/>
                <w:szCs w:val="18"/>
                <w:highlight w:val="none"/>
                <w14:textFill>
                  <w14:solidFill>
                    <w14:schemeClr w14:val="tx1"/>
                  </w14:solidFill>
                </w14:textFill>
              </w:rPr>
            </w:pPr>
            <w:r>
              <w:rPr>
                <w:color w:val="000000" w:themeColor="text1"/>
                <w:kern w:val="0"/>
                <w:sz w:val="18"/>
                <w:szCs w:val="18"/>
                <w:highlight w:val="none"/>
                <w14:textFill>
                  <w14:solidFill>
                    <w14:schemeClr w14:val="tx1"/>
                  </w14:solidFill>
                </w14:textFill>
              </w:rPr>
              <w:t>100≤Y＜1000</w:t>
            </w:r>
          </w:p>
        </w:tc>
        <w:tc>
          <w:tcPr>
            <w:tcW w:w="992" w:type="dxa"/>
            <w:noWrap w:val="0"/>
            <w:vAlign w:val="center"/>
          </w:tcPr>
          <w:p w14:paraId="3019625B">
            <w:pPr>
              <w:widowControl/>
              <w:spacing w:line="280" w:lineRule="exact"/>
              <w:jc w:val="center"/>
              <w:rPr>
                <w:color w:val="000000" w:themeColor="text1"/>
                <w:kern w:val="0"/>
                <w:sz w:val="18"/>
                <w:szCs w:val="18"/>
                <w:highlight w:val="none"/>
                <w14:textFill>
                  <w14:solidFill>
                    <w14:schemeClr w14:val="tx1"/>
                  </w14:solidFill>
                </w14:textFill>
              </w:rPr>
            </w:pPr>
            <w:r>
              <w:rPr>
                <w:color w:val="000000" w:themeColor="text1"/>
                <w:kern w:val="0"/>
                <w:sz w:val="18"/>
                <w:szCs w:val="18"/>
                <w:highlight w:val="none"/>
                <w14:textFill>
                  <w14:solidFill>
                    <w14:schemeClr w14:val="tx1"/>
                  </w14:solidFill>
                </w14:textFill>
              </w:rPr>
              <w:t>Y＜100</w:t>
            </w:r>
          </w:p>
        </w:tc>
      </w:tr>
      <w:tr w14:paraId="6E89A3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2113" w:type="dxa"/>
            <w:vMerge w:val="restart"/>
            <w:noWrap w:val="0"/>
            <w:vAlign w:val="center"/>
          </w:tcPr>
          <w:p w14:paraId="47EEC8DA">
            <w:pPr>
              <w:widowControl/>
              <w:spacing w:line="280" w:lineRule="exact"/>
              <w:jc w:val="left"/>
              <w:rPr>
                <w:color w:val="000000" w:themeColor="text1"/>
                <w:spacing w:val="-12"/>
                <w:kern w:val="0"/>
                <w:sz w:val="18"/>
                <w:szCs w:val="18"/>
                <w:highlight w:val="none"/>
                <w14:textFill>
                  <w14:solidFill>
                    <w14:schemeClr w14:val="tx1"/>
                  </w14:solidFill>
                </w14:textFill>
              </w:rPr>
            </w:pPr>
            <w:r>
              <w:rPr>
                <w:color w:val="000000" w:themeColor="text1"/>
                <w:spacing w:val="-12"/>
                <w:kern w:val="0"/>
                <w:sz w:val="18"/>
                <w:szCs w:val="18"/>
                <w:highlight w:val="none"/>
                <w14:textFill>
                  <w14:solidFill>
                    <w14:schemeClr w14:val="tx1"/>
                  </w14:solidFill>
                </w14:textFill>
              </w:rPr>
              <w:t>软件和信息技术服</w:t>
            </w:r>
            <w:r>
              <w:rPr>
                <w:color w:val="000000" w:themeColor="text1"/>
                <w:kern w:val="0"/>
                <w:sz w:val="18"/>
                <w:szCs w:val="18"/>
                <w:highlight w:val="none"/>
                <w14:textFill>
                  <w14:solidFill>
                    <w14:schemeClr w14:val="tx1"/>
                  </w14:solidFill>
                </w14:textFill>
              </w:rPr>
              <w:t>务业</w:t>
            </w:r>
          </w:p>
        </w:tc>
        <w:tc>
          <w:tcPr>
            <w:tcW w:w="1369" w:type="dxa"/>
            <w:noWrap w:val="0"/>
            <w:vAlign w:val="center"/>
          </w:tcPr>
          <w:p w14:paraId="33EB04BB">
            <w:pPr>
              <w:widowControl/>
              <w:spacing w:line="280" w:lineRule="exact"/>
              <w:jc w:val="center"/>
              <w:rPr>
                <w:color w:val="000000" w:themeColor="text1"/>
                <w:kern w:val="0"/>
                <w:sz w:val="18"/>
                <w:szCs w:val="18"/>
                <w:highlight w:val="none"/>
                <w14:textFill>
                  <w14:solidFill>
                    <w14:schemeClr w14:val="tx1"/>
                  </w14:solidFill>
                </w14:textFill>
              </w:rPr>
            </w:pPr>
            <w:r>
              <w:rPr>
                <w:color w:val="000000" w:themeColor="text1"/>
                <w:kern w:val="0"/>
                <w:sz w:val="18"/>
                <w:szCs w:val="18"/>
                <w:highlight w:val="none"/>
                <w14:textFill>
                  <w14:solidFill>
                    <w14:schemeClr w14:val="tx1"/>
                  </w14:solidFill>
                </w14:textFill>
              </w:rPr>
              <w:t>从业人员(X)</w:t>
            </w:r>
          </w:p>
        </w:tc>
        <w:tc>
          <w:tcPr>
            <w:tcW w:w="709" w:type="dxa"/>
            <w:noWrap w:val="0"/>
            <w:vAlign w:val="center"/>
          </w:tcPr>
          <w:p w14:paraId="11210B04">
            <w:pPr>
              <w:widowControl/>
              <w:spacing w:line="280" w:lineRule="exact"/>
              <w:jc w:val="center"/>
              <w:rPr>
                <w:color w:val="000000" w:themeColor="text1"/>
                <w:kern w:val="0"/>
                <w:sz w:val="18"/>
                <w:szCs w:val="18"/>
                <w:highlight w:val="none"/>
                <w14:textFill>
                  <w14:solidFill>
                    <w14:schemeClr w14:val="tx1"/>
                  </w14:solidFill>
                </w14:textFill>
              </w:rPr>
            </w:pPr>
            <w:r>
              <w:rPr>
                <w:color w:val="000000" w:themeColor="text1"/>
                <w:kern w:val="0"/>
                <w:sz w:val="18"/>
                <w:szCs w:val="18"/>
                <w:highlight w:val="none"/>
                <w14:textFill>
                  <w14:solidFill>
                    <w14:schemeClr w14:val="tx1"/>
                  </w14:solidFill>
                </w14:textFill>
              </w:rPr>
              <w:t>人</w:t>
            </w:r>
          </w:p>
        </w:tc>
        <w:tc>
          <w:tcPr>
            <w:tcW w:w="1125" w:type="dxa"/>
            <w:noWrap w:val="0"/>
            <w:vAlign w:val="center"/>
          </w:tcPr>
          <w:p w14:paraId="722E51C9">
            <w:pPr>
              <w:widowControl/>
              <w:spacing w:line="280" w:lineRule="exact"/>
              <w:jc w:val="center"/>
              <w:rPr>
                <w:color w:val="000000" w:themeColor="text1"/>
                <w:kern w:val="0"/>
                <w:sz w:val="18"/>
                <w:szCs w:val="18"/>
                <w:highlight w:val="none"/>
                <w14:textFill>
                  <w14:solidFill>
                    <w14:schemeClr w14:val="tx1"/>
                  </w14:solidFill>
                </w14:textFill>
              </w:rPr>
            </w:pPr>
            <w:r>
              <w:rPr>
                <w:color w:val="000000" w:themeColor="text1"/>
                <w:kern w:val="0"/>
                <w:sz w:val="18"/>
                <w:szCs w:val="18"/>
                <w:highlight w:val="none"/>
                <w14:textFill>
                  <w14:solidFill>
                    <w14:schemeClr w14:val="tx1"/>
                  </w14:solidFill>
                </w14:textFill>
              </w:rPr>
              <w:t>X≥300</w:t>
            </w:r>
          </w:p>
        </w:tc>
        <w:tc>
          <w:tcPr>
            <w:tcW w:w="1701" w:type="dxa"/>
            <w:noWrap w:val="0"/>
            <w:vAlign w:val="center"/>
          </w:tcPr>
          <w:p w14:paraId="105C7484">
            <w:pPr>
              <w:widowControl/>
              <w:spacing w:line="280" w:lineRule="exact"/>
              <w:ind w:left="1" w:leftChars="-51" w:hanging="108" w:hangingChars="60"/>
              <w:jc w:val="center"/>
              <w:rPr>
                <w:color w:val="000000" w:themeColor="text1"/>
                <w:kern w:val="0"/>
                <w:sz w:val="18"/>
                <w:szCs w:val="18"/>
                <w:highlight w:val="none"/>
                <w14:textFill>
                  <w14:solidFill>
                    <w14:schemeClr w14:val="tx1"/>
                  </w14:solidFill>
                </w14:textFill>
              </w:rPr>
            </w:pPr>
            <w:r>
              <w:rPr>
                <w:color w:val="000000" w:themeColor="text1"/>
                <w:kern w:val="0"/>
                <w:sz w:val="18"/>
                <w:szCs w:val="18"/>
                <w:highlight w:val="none"/>
                <w14:textFill>
                  <w14:solidFill>
                    <w14:schemeClr w14:val="tx1"/>
                  </w14:solidFill>
                </w14:textFill>
              </w:rPr>
              <w:t xml:space="preserve">100≤X＜300 </w:t>
            </w:r>
          </w:p>
        </w:tc>
        <w:tc>
          <w:tcPr>
            <w:tcW w:w="1426" w:type="dxa"/>
            <w:noWrap w:val="0"/>
            <w:vAlign w:val="center"/>
          </w:tcPr>
          <w:p w14:paraId="0BEA32BB">
            <w:pPr>
              <w:widowControl/>
              <w:spacing w:line="280" w:lineRule="exact"/>
              <w:jc w:val="center"/>
              <w:rPr>
                <w:color w:val="000000" w:themeColor="text1"/>
                <w:kern w:val="0"/>
                <w:sz w:val="18"/>
                <w:szCs w:val="18"/>
                <w:highlight w:val="none"/>
                <w14:textFill>
                  <w14:solidFill>
                    <w14:schemeClr w14:val="tx1"/>
                  </w14:solidFill>
                </w14:textFill>
              </w:rPr>
            </w:pPr>
            <w:r>
              <w:rPr>
                <w:color w:val="000000" w:themeColor="text1"/>
                <w:kern w:val="0"/>
                <w:sz w:val="18"/>
                <w:szCs w:val="18"/>
                <w:highlight w:val="none"/>
                <w14:textFill>
                  <w14:solidFill>
                    <w14:schemeClr w14:val="tx1"/>
                  </w14:solidFill>
                </w14:textFill>
              </w:rPr>
              <w:t>10≤X＜100</w:t>
            </w:r>
          </w:p>
        </w:tc>
        <w:tc>
          <w:tcPr>
            <w:tcW w:w="992" w:type="dxa"/>
            <w:noWrap w:val="0"/>
            <w:vAlign w:val="center"/>
          </w:tcPr>
          <w:p w14:paraId="61473622">
            <w:pPr>
              <w:widowControl/>
              <w:spacing w:line="280" w:lineRule="exact"/>
              <w:jc w:val="center"/>
              <w:rPr>
                <w:color w:val="000000" w:themeColor="text1"/>
                <w:kern w:val="0"/>
                <w:sz w:val="18"/>
                <w:szCs w:val="18"/>
                <w:highlight w:val="none"/>
                <w14:textFill>
                  <w14:solidFill>
                    <w14:schemeClr w14:val="tx1"/>
                  </w14:solidFill>
                </w14:textFill>
              </w:rPr>
            </w:pPr>
            <w:r>
              <w:rPr>
                <w:color w:val="000000" w:themeColor="text1"/>
                <w:kern w:val="0"/>
                <w:sz w:val="18"/>
                <w:szCs w:val="18"/>
                <w:highlight w:val="none"/>
                <w14:textFill>
                  <w14:solidFill>
                    <w14:schemeClr w14:val="tx1"/>
                  </w14:solidFill>
                </w14:textFill>
              </w:rPr>
              <w:t>X＜10</w:t>
            </w:r>
          </w:p>
        </w:tc>
      </w:tr>
      <w:tr w14:paraId="3593CA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2113" w:type="dxa"/>
            <w:vMerge w:val="continue"/>
            <w:noWrap w:val="0"/>
            <w:vAlign w:val="center"/>
          </w:tcPr>
          <w:p w14:paraId="13D58493">
            <w:pPr>
              <w:widowControl/>
              <w:spacing w:line="280" w:lineRule="exact"/>
              <w:jc w:val="left"/>
              <w:rPr>
                <w:color w:val="000000" w:themeColor="text1"/>
                <w:spacing w:val="-12"/>
                <w:kern w:val="0"/>
                <w:sz w:val="18"/>
                <w:szCs w:val="18"/>
                <w:highlight w:val="none"/>
                <w14:textFill>
                  <w14:solidFill>
                    <w14:schemeClr w14:val="tx1"/>
                  </w14:solidFill>
                </w14:textFill>
              </w:rPr>
            </w:pPr>
          </w:p>
        </w:tc>
        <w:tc>
          <w:tcPr>
            <w:tcW w:w="1369" w:type="dxa"/>
            <w:noWrap w:val="0"/>
            <w:vAlign w:val="center"/>
          </w:tcPr>
          <w:p w14:paraId="6041D58E">
            <w:pPr>
              <w:widowControl/>
              <w:spacing w:line="280" w:lineRule="exact"/>
              <w:jc w:val="center"/>
              <w:rPr>
                <w:color w:val="000000" w:themeColor="text1"/>
                <w:kern w:val="0"/>
                <w:sz w:val="18"/>
                <w:szCs w:val="18"/>
                <w:highlight w:val="none"/>
                <w14:textFill>
                  <w14:solidFill>
                    <w14:schemeClr w14:val="tx1"/>
                  </w14:solidFill>
                </w14:textFill>
              </w:rPr>
            </w:pPr>
            <w:r>
              <w:rPr>
                <w:color w:val="000000" w:themeColor="text1"/>
                <w:kern w:val="0"/>
                <w:sz w:val="18"/>
                <w:szCs w:val="18"/>
                <w:highlight w:val="none"/>
                <w14:textFill>
                  <w14:solidFill>
                    <w14:schemeClr w14:val="tx1"/>
                  </w14:solidFill>
                </w14:textFill>
              </w:rPr>
              <w:t>营业收入(Y)</w:t>
            </w:r>
          </w:p>
        </w:tc>
        <w:tc>
          <w:tcPr>
            <w:tcW w:w="709" w:type="dxa"/>
            <w:noWrap w:val="0"/>
            <w:vAlign w:val="center"/>
          </w:tcPr>
          <w:p w14:paraId="5A7B995D">
            <w:pPr>
              <w:widowControl/>
              <w:spacing w:line="280" w:lineRule="exact"/>
              <w:jc w:val="center"/>
              <w:rPr>
                <w:color w:val="000000" w:themeColor="text1"/>
                <w:kern w:val="0"/>
                <w:sz w:val="18"/>
                <w:szCs w:val="18"/>
                <w:highlight w:val="none"/>
                <w14:textFill>
                  <w14:solidFill>
                    <w14:schemeClr w14:val="tx1"/>
                  </w14:solidFill>
                </w14:textFill>
              </w:rPr>
            </w:pPr>
            <w:r>
              <w:rPr>
                <w:color w:val="000000" w:themeColor="text1"/>
                <w:kern w:val="0"/>
                <w:sz w:val="18"/>
                <w:szCs w:val="18"/>
                <w:highlight w:val="none"/>
                <w14:textFill>
                  <w14:solidFill>
                    <w14:schemeClr w14:val="tx1"/>
                  </w14:solidFill>
                </w14:textFill>
              </w:rPr>
              <w:t>万元</w:t>
            </w:r>
          </w:p>
        </w:tc>
        <w:tc>
          <w:tcPr>
            <w:tcW w:w="1125" w:type="dxa"/>
            <w:noWrap w:val="0"/>
            <w:vAlign w:val="center"/>
          </w:tcPr>
          <w:p w14:paraId="63C0D28E">
            <w:pPr>
              <w:widowControl/>
              <w:spacing w:line="280" w:lineRule="exact"/>
              <w:jc w:val="center"/>
              <w:rPr>
                <w:color w:val="000000" w:themeColor="text1"/>
                <w:kern w:val="0"/>
                <w:sz w:val="18"/>
                <w:szCs w:val="18"/>
                <w:highlight w:val="none"/>
                <w14:textFill>
                  <w14:solidFill>
                    <w14:schemeClr w14:val="tx1"/>
                  </w14:solidFill>
                </w14:textFill>
              </w:rPr>
            </w:pPr>
            <w:r>
              <w:rPr>
                <w:color w:val="000000" w:themeColor="text1"/>
                <w:kern w:val="0"/>
                <w:sz w:val="18"/>
                <w:szCs w:val="18"/>
                <w:highlight w:val="none"/>
                <w14:textFill>
                  <w14:solidFill>
                    <w14:schemeClr w14:val="tx1"/>
                  </w14:solidFill>
                </w14:textFill>
              </w:rPr>
              <w:t>Y≥10000</w:t>
            </w:r>
          </w:p>
        </w:tc>
        <w:tc>
          <w:tcPr>
            <w:tcW w:w="1701" w:type="dxa"/>
            <w:noWrap w:val="0"/>
            <w:vAlign w:val="center"/>
          </w:tcPr>
          <w:p w14:paraId="65667FD4">
            <w:pPr>
              <w:widowControl/>
              <w:spacing w:line="280" w:lineRule="exact"/>
              <w:jc w:val="center"/>
              <w:rPr>
                <w:color w:val="000000" w:themeColor="text1"/>
                <w:kern w:val="0"/>
                <w:sz w:val="18"/>
                <w:szCs w:val="18"/>
                <w:highlight w:val="none"/>
                <w14:textFill>
                  <w14:solidFill>
                    <w14:schemeClr w14:val="tx1"/>
                  </w14:solidFill>
                </w14:textFill>
              </w:rPr>
            </w:pPr>
            <w:r>
              <w:rPr>
                <w:color w:val="000000" w:themeColor="text1"/>
                <w:kern w:val="0"/>
                <w:sz w:val="18"/>
                <w:szCs w:val="18"/>
                <w:highlight w:val="none"/>
                <w14:textFill>
                  <w14:solidFill>
                    <w14:schemeClr w14:val="tx1"/>
                  </w14:solidFill>
                </w14:textFill>
              </w:rPr>
              <w:t>1000≤Y＜10000</w:t>
            </w:r>
          </w:p>
        </w:tc>
        <w:tc>
          <w:tcPr>
            <w:tcW w:w="1426" w:type="dxa"/>
            <w:noWrap w:val="0"/>
            <w:vAlign w:val="center"/>
          </w:tcPr>
          <w:p w14:paraId="0D591CD0">
            <w:pPr>
              <w:widowControl/>
              <w:spacing w:line="280" w:lineRule="exact"/>
              <w:jc w:val="center"/>
              <w:rPr>
                <w:color w:val="000000" w:themeColor="text1"/>
                <w:kern w:val="0"/>
                <w:sz w:val="18"/>
                <w:szCs w:val="18"/>
                <w:highlight w:val="none"/>
                <w14:textFill>
                  <w14:solidFill>
                    <w14:schemeClr w14:val="tx1"/>
                  </w14:solidFill>
                </w14:textFill>
              </w:rPr>
            </w:pPr>
            <w:r>
              <w:rPr>
                <w:color w:val="000000" w:themeColor="text1"/>
                <w:kern w:val="0"/>
                <w:sz w:val="18"/>
                <w:szCs w:val="18"/>
                <w:highlight w:val="none"/>
                <w14:textFill>
                  <w14:solidFill>
                    <w14:schemeClr w14:val="tx1"/>
                  </w14:solidFill>
                </w14:textFill>
              </w:rPr>
              <w:t>50≤Y＜1000</w:t>
            </w:r>
          </w:p>
        </w:tc>
        <w:tc>
          <w:tcPr>
            <w:tcW w:w="992" w:type="dxa"/>
            <w:noWrap w:val="0"/>
            <w:vAlign w:val="center"/>
          </w:tcPr>
          <w:p w14:paraId="021FF16A">
            <w:pPr>
              <w:widowControl/>
              <w:spacing w:line="280" w:lineRule="exact"/>
              <w:jc w:val="center"/>
              <w:rPr>
                <w:color w:val="000000" w:themeColor="text1"/>
                <w:kern w:val="0"/>
                <w:sz w:val="18"/>
                <w:szCs w:val="18"/>
                <w:highlight w:val="none"/>
                <w14:textFill>
                  <w14:solidFill>
                    <w14:schemeClr w14:val="tx1"/>
                  </w14:solidFill>
                </w14:textFill>
              </w:rPr>
            </w:pPr>
            <w:r>
              <w:rPr>
                <w:color w:val="000000" w:themeColor="text1"/>
                <w:kern w:val="0"/>
                <w:sz w:val="18"/>
                <w:szCs w:val="18"/>
                <w:highlight w:val="none"/>
                <w14:textFill>
                  <w14:solidFill>
                    <w14:schemeClr w14:val="tx1"/>
                  </w14:solidFill>
                </w14:textFill>
              </w:rPr>
              <w:t>Y＜50</w:t>
            </w:r>
          </w:p>
        </w:tc>
      </w:tr>
      <w:tr w14:paraId="2E1EC4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2113" w:type="dxa"/>
            <w:vMerge w:val="restart"/>
            <w:noWrap w:val="0"/>
            <w:vAlign w:val="center"/>
          </w:tcPr>
          <w:p w14:paraId="3FD984A9">
            <w:pPr>
              <w:widowControl/>
              <w:spacing w:line="280" w:lineRule="exact"/>
              <w:jc w:val="left"/>
              <w:rPr>
                <w:color w:val="000000" w:themeColor="text1"/>
                <w:kern w:val="0"/>
                <w:sz w:val="18"/>
                <w:szCs w:val="18"/>
                <w:highlight w:val="none"/>
                <w14:textFill>
                  <w14:solidFill>
                    <w14:schemeClr w14:val="tx1"/>
                  </w14:solidFill>
                </w14:textFill>
              </w:rPr>
            </w:pPr>
            <w:r>
              <w:rPr>
                <w:color w:val="000000" w:themeColor="text1"/>
                <w:kern w:val="0"/>
                <w:sz w:val="18"/>
                <w:szCs w:val="18"/>
                <w:highlight w:val="none"/>
                <w14:textFill>
                  <w14:solidFill>
                    <w14:schemeClr w14:val="tx1"/>
                  </w14:solidFill>
                </w14:textFill>
              </w:rPr>
              <w:t>房地产开发经营</w:t>
            </w:r>
          </w:p>
        </w:tc>
        <w:tc>
          <w:tcPr>
            <w:tcW w:w="1369" w:type="dxa"/>
            <w:noWrap w:val="0"/>
            <w:vAlign w:val="center"/>
          </w:tcPr>
          <w:p w14:paraId="0ACB5F60">
            <w:pPr>
              <w:widowControl/>
              <w:spacing w:line="280" w:lineRule="exact"/>
              <w:jc w:val="center"/>
              <w:rPr>
                <w:color w:val="000000" w:themeColor="text1"/>
                <w:kern w:val="0"/>
                <w:sz w:val="18"/>
                <w:szCs w:val="18"/>
                <w:highlight w:val="none"/>
                <w14:textFill>
                  <w14:solidFill>
                    <w14:schemeClr w14:val="tx1"/>
                  </w14:solidFill>
                </w14:textFill>
              </w:rPr>
            </w:pPr>
            <w:r>
              <w:rPr>
                <w:color w:val="000000" w:themeColor="text1"/>
                <w:kern w:val="0"/>
                <w:sz w:val="18"/>
                <w:szCs w:val="18"/>
                <w:highlight w:val="none"/>
                <w14:textFill>
                  <w14:solidFill>
                    <w14:schemeClr w14:val="tx1"/>
                  </w14:solidFill>
                </w14:textFill>
              </w:rPr>
              <w:t>营业收入(Y)</w:t>
            </w:r>
          </w:p>
        </w:tc>
        <w:tc>
          <w:tcPr>
            <w:tcW w:w="709" w:type="dxa"/>
            <w:noWrap w:val="0"/>
            <w:vAlign w:val="center"/>
          </w:tcPr>
          <w:p w14:paraId="2A19D7F8">
            <w:pPr>
              <w:widowControl/>
              <w:spacing w:line="280" w:lineRule="exact"/>
              <w:jc w:val="center"/>
              <w:rPr>
                <w:color w:val="000000" w:themeColor="text1"/>
                <w:kern w:val="0"/>
                <w:sz w:val="18"/>
                <w:szCs w:val="18"/>
                <w:highlight w:val="none"/>
                <w14:textFill>
                  <w14:solidFill>
                    <w14:schemeClr w14:val="tx1"/>
                  </w14:solidFill>
                </w14:textFill>
              </w:rPr>
            </w:pPr>
            <w:r>
              <w:rPr>
                <w:color w:val="000000" w:themeColor="text1"/>
                <w:kern w:val="0"/>
                <w:sz w:val="18"/>
                <w:szCs w:val="18"/>
                <w:highlight w:val="none"/>
                <w14:textFill>
                  <w14:solidFill>
                    <w14:schemeClr w14:val="tx1"/>
                  </w14:solidFill>
                </w14:textFill>
              </w:rPr>
              <w:t>万元</w:t>
            </w:r>
          </w:p>
        </w:tc>
        <w:tc>
          <w:tcPr>
            <w:tcW w:w="1125" w:type="dxa"/>
            <w:noWrap w:val="0"/>
            <w:vAlign w:val="center"/>
          </w:tcPr>
          <w:p w14:paraId="741CF387">
            <w:pPr>
              <w:widowControl/>
              <w:spacing w:line="280" w:lineRule="exact"/>
              <w:jc w:val="center"/>
              <w:rPr>
                <w:color w:val="000000" w:themeColor="text1"/>
                <w:kern w:val="0"/>
                <w:sz w:val="18"/>
                <w:szCs w:val="18"/>
                <w:highlight w:val="none"/>
                <w14:textFill>
                  <w14:solidFill>
                    <w14:schemeClr w14:val="tx1"/>
                  </w14:solidFill>
                </w14:textFill>
              </w:rPr>
            </w:pPr>
            <w:r>
              <w:rPr>
                <w:color w:val="000000" w:themeColor="text1"/>
                <w:kern w:val="0"/>
                <w:sz w:val="18"/>
                <w:szCs w:val="18"/>
                <w:highlight w:val="none"/>
                <w14:textFill>
                  <w14:solidFill>
                    <w14:schemeClr w14:val="tx1"/>
                  </w14:solidFill>
                </w14:textFill>
              </w:rPr>
              <w:t>Y≥200000</w:t>
            </w:r>
          </w:p>
        </w:tc>
        <w:tc>
          <w:tcPr>
            <w:tcW w:w="1701" w:type="dxa"/>
            <w:noWrap w:val="0"/>
            <w:vAlign w:val="center"/>
          </w:tcPr>
          <w:p w14:paraId="1799F5AD">
            <w:pPr>
              <w:widowControl/>
              <w:spacing w:line="280" w:lineRule="exact"/>
              <w:jc w:val="center"/>
              <w:rPr>
                <w:color w:val="000000" w:themeColor="text1"/>
                <w:kern w:val="0"/>
                <w:sz w:val="18"/>
                <w:szCs w:val="18"/>
                <w:highlight w:val="none"/>
                <w14:textFill>
                  <w14:solidFill>
                    <w14:schemeClr w14:val="tx1"/>
                  </w14:solidFill>
                </w14:textFill>
              </w:rPr>
            </w:pPr>
            <w:r>
              <w:rPr>
                <w:color w:val="000000" w:themeColor="text1"/>
                <w:kern w:val="0"/>
                <w:sz w:val="18"/>
                <w:szCs w:val="18"/>
                <w:highlight w:val="none"/>
                <w14:textFill>
                  <w14:solidFill>
                    <w14:schemeClr w14:val="tx1"/>
                  </w14:solidFill>
                </w14:textFill>
              </w:rPr>
              <w:t>1000≤Y＜200000</w:t>
            </w:r>
          </w:p>
        </w:tc>
        <w:tc>
          <w:tcPr>
            <w:tcW w:w="1426" w:type="dxa"/>
            <w:noWrap w:val="0"/>
            <w:vAlign w:val="center"/>
          </w:tcPr>
          <w:p w14:paraId="13715B97">
            <w:pPr>
              <w:widowControl/>
              <w:spacing w:line="280" w:lineRule="exact"/>
              <w:jc w:val="center"/>
              <w:rPr>
                <w:color w:val="000000" w:themeColor="text1"/>
                <w:kern w:val="0"/>
                <w:sz w:val="18"/>
                <w:szCs w:val="18"/>
                <w:highlight w:val="none"/>
                <w14:textFill>
                  <w14:solidFill>
                    <w14:schemeClr w14:val="tx1"/>
                  </w14:solidFill>
                </w14:textFill>
              </w:rPr>
            </w:pPr>
            <w:r>
              <w:rPr>
                <w:color w:val="000000" w:themeColor="text1"/>
                <w:kern w:val="0"/>
                <w:sz w:val="18"/>
                <w:szCs w:val="18"/>
                <w:highlight w:val="none"/>
                <w14:textFill>
                  <w14:solidFill>
                    <w14:schemeClr w14:val="tx1"/>
                  </w14:solidFill>
                </w14:textFill>
              </w:rPr>
              <w:t>100≤Y＜1000</w:t>
            </w:r>
          </w:p>
        </w:tc>
        <w:tc>
          <w:tcPr>
            <w:tcW w:w="992" w:type="dxa"/>
            <w:noWrap w:val="0"/>
            <w:vAlign w:val="center"/>
          </w:tcPr>
          <w:p w14:paraId="2C565DC8">
            <w:pPr>
              <w:widowControl/>
              <w:spacing w:line="280" w:lineRule="exact"/>
              <w:jc w:val="center"/>
              <w:rPr>
                <w:color w:val="000000" w:themeColor="text1"/>
                <w:kern w:val="0"/>
                <w:sz w:val="18"/>
                <w:szCs w:val="18"/>
                <w:highlight w:val="none"/>
                <w14:textFill>
                  <w14:solidFill>
                    <w14:schemeClr w14:val="tx1"/>
                  </w14:solidFill>
                </w14:textFill>
              </w:rPr>
            </w:pPr>
            <w:r>
              <w:rPr>
                <w:color w:val="000000" w:themeColor="text1"/>
                <w:kern w:val="0"/>
                <w:sz w:val="18"/>
                <w:szCs w:val="18"/>
                <w:highlight w:val="none"/>
                <w14:textFill>
                  <w14:solidFill>
                    <w14:schemeClr w14:val="tx1"/>
                  </w14:solidFill>
                </w14:textFill>
              </w:rPr>
              <w:t>Y＜100</w:t>
            </w:r>
          </w:p>
        </w:tc>
      </w:tr>
      <w:tr w14:paraId="5AF538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2113" w:type="dxa"/>
            <w:vMerge w:val="continue"/>
            <w:noWrap w:val="0"/>
            <w:vAlign w:val="center"/>
          </w:tcPr>
          <w:p w14:paraId="39A8F2B6">
            <w:pPr>
              <w:widowControl/>
              <w:spacing w:line="280" w:lineRule="exact"/>
              <w:jc w:val="left"/>
              <w:rPr>
                <w:color w:val="000000" w:themeColor="text1"/>
                <w:kern w:val="0"/>
                <w:sz w:val="18"/>
                <w:szCs w:val="18"/>
                <w:highlight w:val="none"/>
                <w14:textFill>
                  <w14:solidFill>
                    <w14:schemeClr w14:val="tx1"/>
                  </w14:solidFill>
                </w14:textFill>
              </w:rPr>
            </w:pPr>
          </w:p>
        </w:tc>
        <w:tc>
          <w:tcPr>
            <w:tcW w:w="1369" w:type="dxa"/>
            <w:noWrap w:val="0"/>
            <w:vAlign w:val="center"/>
          </w:tcPr>
          <w:p w14:paraId="1436A3F8">
            <w:pPr>
              <w:widowControl/>
              <w:spacing w:line="280" w:lineRule="exact"/>
              <w:jc w:val="center"/>
              <w:rPr>
                <w:color w:val="000000" w:themeColor="text1"/>
                <w:kern w:val="0"/>
                <w:sz w:val="18"/>
                <w:szCs w:val="18"/>
                <w:highlight w:val="none"/>
                <w14:textFill>
                  <w14:solidFill>
                    <w14:schemeClr w14:val="tx1"/>
                  </w14:solidFill>
                </w14:textFill>
              </w:rPr>
            </w:pPr>
            <w:r>
              <w:rPr>
                <w:color w:val="000000" w:themeColor="text1"/>
                <w:kern w:val="0"/>
                <w:sz w:val="18"/>
                <w:szCs w:val="18"/>
                <w:highlight w:val="none"/>
                <w14:textFill>
                  <w14:solidFill>
                    <w14:schemeClr w14:val="tx1"/>
                  </w14:solidFill>
                </w14:textFill>
              </w:rPr>
              <w:t>资产总额(Z)</w:t>
            </w:r>
          </w:p>
        </w:tc>
        <w:tc>
          <w:tcPr>
            <w:tcW w:w="709" w:type="dxa"/>
            <w:noWrap w:val="0"/>
            <w:vAlign w:val="center"/>
          </w:tcPr>
          <w:p w14:paraId="7A5817CC">
            <w:pPr>
              <w:widowControl/>
              <w:spacing w:line="280" w:lineRule="exact"/>
              <w:jc w:val="center"/>
              <w:rPr>
                <w:color w:val="000000" w:themeColor="text1"/>
                <w:kern w:val="0"/>
                <w:sz w:val="18"/>
                <w:szCs w:val="18"/>
                <w:highlight w:val="none"/>
                <w14:textFill>
                  <w14:solidFill>
                    <w14:schemeClr w14:val="tx1"/>
                  </w14:solidFill>
                </w14:textFill>
              </w:rPr>
            </w:pPr>
            <w:r>
              <w:rPr>
                <w:color w:val="000000" w:themeColor="text1"/>
                <w:kern w:val="0"/>
                <w:sz w:val="18"/>
                <w:szCs w:val="18"/>
                <w:highlight w:val="none"/>
                <w14:textFill>
                  <w14:solidFill>
                    <w14:schemeClr w14:val="tx1"/>
                  </w14:solidFill>
                </w14:textFill>
              </w:rPr>
              <w:t>万元</w:t>
            </w:r>
          </w:p>
        </w:tc>
        <w:tc>
          <w:tcPr>
            <w:tcW w:w="1125" w:type="dxa"/>
            <w:noWrap w:val="0"/>
            <w:vAlign w:val="center"/>
          </w:tcPr>
          <w:p w14:paraId="5049CADE">
            <w:pPr>
              <w:widowControl/>
              <w:spacing w:line="280" w:lineRule="exact"/>
              <w:jc w:val="center"/>
              <w:rPr>
                <w:color w:val="000000" w:themeColor="text1"/>
                <w:kern w:val="0"/>
                <w:sz w:val="18"/>
                <w:szCs w:val="18"/>
                <w:highlight w:val="none"/>
                <w14:textFill>
                  <w14:solidFill>
                    <w14:schemeClr w14:val="tx1"/>
                  </w14:solidFill>
                </w14:textFill>
              </w:rPr>
            </w:pPr>
            <w:r>
              <w:rPr>
                <w:color w:val="000000" w:themeColor="text1"/>
                <w:kern w:val="0"/>
                <w:sz w:val="18"/>
                <w:szCs w:val="18"/>
                <w:highlight w:val="none"/>
                <w14:textFill>
                  <w14:solidFill>
                    <w14:schemeClr w14:val="tx1"/>
                  </w14:solidFill>
                </w14:textFill>
              </w:rPr>
              <w:t>Z≥10000</w:t>
            </w:r>
          </w:p>
        </w:tc>
        <w:tc>
          <w:tcPr>
            <w:tcW w:w="1701" w:type="dxa"/>
            <w:noWrap w:val="0"/>
            <w:vAlign w:val="center"/>
          </w:tcPr>
          <w:p w14:paraId="045937A2">
            <w:pPr>
              <w:widowControl/>
              <w:spacing w:line="280" w:lineRule="exact"/>
              <w:jc w:val="center"/>
              <w:rPr>
                <w:color w:val="000000" w:themeColor="text1"/>
                <w:kern w:val="0"/>
                <w:sz w:val="18"/>
                <w:szCs w:val="18"/>
                <w:highlight w:val="none"/>
                <w14:textFill>
                  <w14:solidFill>
                    <w14:schemeClr w14:val="tx1"/>
                  </w14:solidFill>
                </w14:textFill>
              </w:rPr>
            </w:pPr>
            <w:r>
              <w:rPr>
                <w:color w:val="000000" w:themeColor="text1"/>
                <w:kern w:val="0"/>
                <w:sz w:val="18"/>
                <w:szCs w:val="18"/>
                <w:highlight w:val="none"/>
                <w14:textFill>
                  <w14:solidFill>
                    <w14:schemeClr w14:val="tx1"/>
                  </w14:solidFill>
                </w14:textFill>
              </w:rPr>
              <w:t>5000≤Z＜10000</w:t>
            </w:r>
          </w:p>
        </w:tc>
        <w:tc>
          <w:tcPr>
            <w:tcW w:w="1426" w:type="dxa"/>
            <w:noWrap w:val="0"/>
            <w:vAlign w:val="center"/>
          </w:tcPr>
          <w:p w14:paraId="70F795F0">
            <w:pPr>
              <w:widowControl/>
              <w:spacing w:line="280" w:lineRule="exact"/>
              <w:jc w:val="center"/>
              <w:rPr>
                <w:color w:val="000000" w:themeColor="text1"/>
                <w:kern w:val="0"/>
                <w:sz w:val="18"/>
                <w:szCs w:val="18"/>
                <w:highlight w:val="none"/>
                <w14:textFill>
                  <w14:solidFill>
                    <w14:schemeClr w14:val="tx1"/>
                  </w14:solidFill>
                </w14:textFill>
              </w:rPr>
            </w:pPr>
            <w:r>
              <w:rPr>
                <w:color w:val="000000" w:themeColor="text1"/>
                <w:kern w:val="0"/>
                <w:sz w:val="18"/>
                <w:szCs w:val="18"/>
                <w:highlight w:val="none"/>
                <w14:textFill>
                  <w14:solidFill>
                    <w14:schemeClr w14:val="tx1"/>
                  </w14:solidFill>
                </w14:textFill>
              </w:rPr>
              <w:t>2000≤Z＜5000</w:t>
            </w:r>
          </w:p>
        </w:tc>
        <w:tc>
          <w:tcPr>
            <w:tcW w:w="992" w:type="dxa"/>
            <w:noWrap w:val="0"/>
            <w:vAlign w:val="center"/>
          </w:tcPr>
          <w:p w14:paraId="08FE04CD">
            <w:pPr>
              <w:widowControl/>
              <w:spacing w:line="280" w:lineRule="exact"/>
              <w:jc w:val="center"/>
              <w:rPr>
                <w:color w:val="000000" w:themeColor="text1"/>
                <w:kern w:val="0"/>
                <w:sz w:val="18"/>
                <w:szCs w:val="18"/>
                <w:highlight w:val="none"/>
                <w14:textFill>
                  <w14:solidFill>
                    <w14:schemeClr w14:val="tx1"/>
                  </w14:solidFill>
                </w14:textFill>
              </w:rPr>
            </w:pPr>
            <w:r>
              <w:rPr>
                <w:color w:val="000000" w:themeColor="text1"/>
                <w:kern w:val="0"/>
                <w:sz w:val="18"/>
                <w:szCs w:val="18"/>
                <w:highlight w:val="none"/>
                <w14:textFill>
                  <w14:solidFill>
                    <w14:schemeClr w14:val="tx1"/>
                  </w14:solidFill>
                </w14:textFill>
              </w:rPr>
              <w:t>Z＜2000</w:t>
            </w:r>
          </w:p>
        </w:tc>
      </w:tr>
      <w:tr w14:paraId="2690FE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2113" w:type="dxa"/>
            <w:vMerge w:val="restart"/>
            <w:noWrap w:val="0"/>
            <w:vAlign w:val="center"/>
          </w:tcPr>
          <w:p w14:paraId="04178201">
            <w:pPr>
              <w:widowControl/>
              <w:spacing w:line="280" w:lineRule="exact"/>
              <w:jc w:val="left"/>
              <w:rPr>
                <w:color w:val="000000" w:themeColor="text1"/>
                <w:kern w:val="0"/>
                <w:sz w:val="18"/>
                <w:szCs w:val="18"/>
                <w:highlight w:val="none"/>
                <w14:textFill>
                  <w14:solidFill>
                    <w14:schemeClr w14:val="tx1"/>
                  </w14:solidFill>
                </w14:textFill>
              </w:rPr>
            </w:pPr>
            <w:r>
              <w:rPr>
                <w:color w:val="000000" w:themeColor="text1"/>
                <w:kern w:val="0"/>
                <w:sz w:val="18"/>
                <w:szCs w:val="18"/>
                <w:highlight w:val="none"/>
                <w14:textFill>
                  <w14:solidFill>
                    <w14:schemeClr w14:val="tx1"/>
                  </w14:solidFill>
                </w14:textFill>
              </w:rPr>
              <w:t>物业管理</w:t>
            </w:r>
          </w:p>
        </w:tc>
        <w:tc>
          <w:tcPr>
            <w:tcW w:w="1369" w:type="dxa"/>
            <w:noWrap w:val="0"/>
            <w:vAlign w:val="center"/>
          </w:tcPr>
          <w:p w14:paraId="0C9F0D13">
            <w:pPr>
              <w:widowControl/>
              <w:spacing w:line="280" w:lineRule="exact"/>
              <w:jc w:val="center"/>
              <w:rPr>
                <w:color w:val="000000" w:themeColor="text1"/>
                <w:kern w:val="0"/>
                <w:sz w:val="18"/>
                <w:szCs w:val="18"/>
                <w:highlight w:val="none"/>
                <w14:textFill>
                  <w14:solidFill>
                    <w14:schemeClr w14:val="tx1"/>
                  </w14:solidFill>
                </w14:textFill>
              </w:rPr>
            </w:pPr>
            <w:r>
              <w:rPr>
                <w:color w:val="000000" w:themeColor="text1"/>
                <w:kern w:val="0"/>
                <w:sz w:val="18"/>
                <w:szCs w:val="18"/>
                <w:highlight w:val="none"/>
                <w14:textFill>
                  <w14:solidFill>
                    <w14:schemeClr w14:val="tx1"/>
                  </w14:solidFill>
                </w14:textFill>
              </w:rPr>
              <w:t>从业人员(X)</w:t>
            </w:r>
          </w:p>
        </w:tc>
        <w:tc>
          <w:tcPr>
            <w:tcW w:w="709" w:type="dxa"/>
            <w:noWrap w:val="0"/>
            <w:vAlign w:val="center"/>
          </w:tcPr>
          <w:p w14:paraId="097657E0">
            <w:pPr>
              <w:widowControl/>
              <w:spacing w:line="280" w:lineRule="exact"/>
              <w:jc w:val="center"/>
              <w:rPr>
                <w:color w:val="000000" w:themeColor="text1"/>
                <w:kern w:val="0"/>
                <w:sz w:val="18"/>
                <w:szCs w:val="18"/>
                <w:highlight w:val="none"/>
                <w14:textFill>
                  <w14:solidFill>
                    <w14:schemeClr w14:val="tx1"/>
                  </w14:solidFill>
                </w14:textFill>
              </w:rPr>
            </w:pPr>
            <w:r>
              <w:rPr>
                <w:color w:val="000000" w:themeColor="text1"/>
                <w:kern w:val="0"/>
                <w:sz w:val="18"/>
                <w:szCs w:val="18"/>
                <w:highlight w:val="none"/>
                <w14:textFill>
                  <w14:solidFill>
                    <w14:schemeClr w14:val="tx1"/>
                  </w14:solidFill>
                </w14:textFill>
              </w:rPr>
              <w:t>人</w:t>
            </w:r>
          </w:p>
        </w:tc>
        <w:tc>
          <w:tcPr>
            <w:tcW w:w="1125" w:type="dxa"/>
            <w:noWrap w:val="0"/>
            <w:vAlign w:val="center"/>
          </w:tcPr>
          <w:p w14:paraId="1BC162F9">
            <w:pPr>
              <w:widowControl/>
              <w:spacing w:line="280" w:lineRule="exact"/>
              <w:jc w:val="center"/>
              <w:rPr>
                <w:color w:val="000000" w:themeColor="text1"/>
                <w:kern w:val="0"/>
                <w:sz w:val="18"/>
                <w:szCs w:val="18"/>
                <w:highlight w:val="none"/>
                <w14:textFill>
                  <w14:solidFill>
                    <w14:schemeClr w14:val="tx1"/>
                  </w14:solidFill>
                </w14:textFill>
              </w:rPr>
            </w:pPr>
            <w:r>
              <w:rPr>
                <w:color w:val="000000" w:themeColor="text1"/>
                <w:kern w:val="0"/>
                <w:sz w:val="18"/>
                <w:szCs w:val="18"/>
                <w:highlight w:val="none"/>
                <w14:textFill>
                  <w14:solidFill>
                    <w14:schemeClr w14:val="tx1"/>
                  </w14:solidFill>
                </w14:textFill>
              </w:rPr>
              <w:t>X≥1000</w:t>
            </w:r>
          </w:p>
        </w:tc>
        <w:tc>
          <w:tcPr>
            <w:tcW w:w="1701" w:type="dxa"/>
            <w:noWrap w:val="0"/>
            <w:vAlign w:val="center"/>
          </w:tcPr>
          <w:p w14:paraId="48FE54FB">
            <w:pPr>
              <w:widowControl/>
              <w:spacing w:line="280" w:lineRule="exact"/>
              <w:jc w:val="center"/>
              <w:rPr>
                <w:color w:val="000000" w:themeColor="text1"/>
                <w:kern w:val="0"/>
                <w:sz w:val="18"/>
                <w:szCs w:val="18"/>
                <w:highlight w:val="none"/>
                <w14:textFill>
                  <w14:solidFill>
                    <w14:schemeClr w14:val="tx1"/>
                  </w14:solidFill>
                </w14:textFill>
              </w:rPr>
            </w:pPr>
            <w:r>
              <w:rPr>
                <w:color w:val="000000" w:themeColor="text1"/>
                <w:kern w:val="0"/>
                <w:sz w:val="18"/>
                <w:szCs w:val="18"/>
                <w:highlight w:val="none"/>
                <w14:textFill>
                  <w14:solidFill>
                    <w14:schemeClr w14:val="tx1"/>
                  </w14:solidFill>
                </w14:textFill>
              </w:rPr>
              <w:t>300≤X＜1000</w:t>
            </w:r>
          </w:p>
        </w:tc>
        <w:tc>
          <w:tcPr>
            <w:tcW w:w="1426" w:type="dxa"/>
            <w:noWrap w:val="0"/>
            <w:vAlign w:val="center"/>
          </w:tcPr>
          <w:p w14:paraId="19F63434">
            <w:pPr>
              <w:widowControl/>
              <w:spacing w:line="280" w:lineRule="exact"/>
              <w:jc w:val="center"/>
              <w:rPr>
                <w:color w:val="000000" w:themeColor="text1"/>
                <w:kern w:val="0"/>
                <w:sz w:val="18"/>
                <w:szCs w:val="18"/>
                <w:highlight w:val="none"/>
                <w14:textFill>
                  <w14:solidFill>
                    <w14:schemeClr w14:val="tx1"/>
                  </w14:solidFill>
                </w14:textFill>
              </w:rPr>
            </w:pPr>
            <w:r>
              <w:rPr>
                <w:color w:val="000000" w:themeColor="text1"/>
                <w:kern w:val="0"/>
                <w:sz w:val="18"/>
                <w:szCs w:val="18"/>
                <w:highlight w:val="none"/>
                <w14:textFill>
                  <w14:solidFill>
                    <w14:schemeClr w14:val="tx1"/>
                  </w14:solidFill>
                </w14:textFill>
              </w:rPr>
              <w:t>100≤X＜300</w:t>
            </w:r>
          </w:p>
        </w:tc>
        <w:tc>
          <w:tcPr>
            <w:tcW w:w="992" w:type="dxa"/>
            <w:noWrap w:val="0"/>
            <w:vAlign w:val="center"/>
          </w:tcPr>
          <w:p w14:paraId="095D0EA3">
            <w:pPr>
              <w:widowControl/>
              <w:spacing w:line="280" w:lineRule="exact"/>
              <w:jc w:val="center"/>
              <w:rPr>
                <w:color w:val="000000" w:themeColor="text1"/>
                <w:kern w:val="0"/>
                <w:sz w:val="18"/>
                <w:szCs w:val="18"/>
                <w:highlight w:val="none"/>
                <w14:textFill>
                  <w14:solidFill>
                    <w14:schemeClr w14:val="tx1"/>
                  </w14:solidFill>
                </w14:textFill>
              </w:rPr>
            </w:pPr>
            <w:r>
              <w:rPr>
                <w:color w:val="000000" w:themeColor="text1"/>
                <w:kern w:val="0"/>
                <w:sz w:val="18"/>
                <w:szCs w:val="18"/>
                <w:highlight w:val="none"/>
                <w14:textFill>
                  <w14:solidFill>
                    <w14:schemeClr w14:val="tx1"/>
                  </w14:solidFill>
                </w14:textFill>
              </w:rPr>
              <w:t>X＜100</w:t>
            </w:r>
          </w:p>
        </w:tc>
      </w:tr>
      <w:tr w14:paraId="55BBEB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2113" w:type="dxa"/>
            <w:vMerge w:val="continue"/>
            <w:noWrap w:val="0"/>
            <w:vAlign w:val="center"/>
          </w:tcPr>
          <w:p w14:paraId="49BF8D8E">
            <w:pPr>
              <w:widowControl/>
              <w:spacing w:line="280" w:lineRule="exact"/>
              <w:jc w:val="left"/>
              <w:rPr>
                <w:color w:val="000000" w:themeColor="text1"/>
                <w:kern w:val="0"/>
                <w:sz w:val="18"/>
                <w:szCs w:val="18"/>
                <w:highlight w:val="none"/>
                <w14:textFill>
                  <w14:solidFill>
                    <w14:schemeClr w14:val="tx1"/>
                  </w14:solidFill>
                </w14:textFill>
              </w:rPr>
            </w:pPr>
          </w:p>
        </w:tc>
        <w:tc>
          <w:tcPr>
            <w:tcW w:w="1369" w:type="dxa"/>
            <w:noWrap w:val="0"/>
            <w:vAlign w:val="center"/>
          </w:tcPr>
          <w:p w14:paraId="3ADC08C8">
            <w:pPr>
              <w:widowControl/>
              <w:spacing w:line="280" w:lineRule="exact"/>
              <w:jc w:val="center"/>
              <w:rPr>
                <w:color w:val="000000" w:themeColor="text1"/>
                <w:kern w:val="0"/>
                <w:sz w:val="18"/>
                <w:szCs w:val="18"/>
                <w:highlight w:val="none"/>
                <w14:textFill>
                  <w14:solidFill>
                    <w14:schemeClr w14:val="tx1"/>
                  </w14:solidFill>
                </w14:textFill>
              </w:rPr>
            </w:pPr>
            <w:r>
              <w:rPr>
                <w:color w:val="000000" w:themeColor="text1"/>
                <w:kern w:val="0"/>
                <w:sz w:val="18"/>
                <w:szCs w:val="18"/>
                <w:highlight w:val="none"/>
                <w14:textFill>
                  <w14:solidFill>
                    <w14:schemeClr w14:val="tx1"/>
                  </w14:solidFill>
                </w14:textFill>
              </w:rPr>
              <w:t>营业收入(Y)</w:t>
            </w:r>
          </w:p>
        </w:tc>
        <w:tc>
          <w:tcPr>
            <w:tcW w:w="709" w:type="dxa"/>
            <w:noWrap w:val="0"/>
            <w:vAlign w:val="center"/>
          </w:tcPr>
          <w:p w14:paraId="55CC6B85">
            <w:pPr>
              <w:widowControl/>
              <w:spacing w:line="280" w:lineRule="exact"/>
              <w:jc w:val="center"/>
              <w:rPr>
                <w:color w:val="000000" w:themeColor="text1"/>
                <w:kern w:val="0"/>
                <w:sz w:val="18"/>
                <w:szCs w:val="18"/>
                <w:highlight w:val="none"/>
                <w14:textFill>
                  <w14:solidFill>
                    <w14:schemeClr w14:val="tx1"/>
                  </w14:solidFill>
                </w14:textFill>
              </w:rPr>
            </w:pPr>
            <w:r>
              <w:rPr>
                <w:color w:val="000000" w:themeColor="text1"/>
                <w:kern w:val="0"/>
                <w:sz w:val="18"/>
                <w:szCs w:val="18"/>
                <w:highlight w:val="none"/>
                <w14:textFill>
                  <w14:solidFill>
                    <w14:schemeClr w14:val="tx1"/>
                  </w14:solidFill>
                </w14:textFill>
              </w:rPr>
              <w:t>万元</w:t>
            </w:r>
          </w:p>
        </w:tc>
        <w:tc>
          <w:tcPr>
            <w:tcW w:w="1125" w:type="dxa"/>
            <w:noWrap w:val="0"/>
            <w:vAlign w:val="center"/>
          </w:tcPr>
          <w:p w14:paraId="5D78A603">
            <w:pPr>
              <w:widowControl/>
              <w:spacing w:line="280" w:lineRule="exact"/>
              <w:jc w:val="center"/>
              <w:rPr>
                <w:color w:val="000000" w:themeColor="text1"/>
                <w:kern w:val="0"/>
                <w:sz w:val="18"/>
                <w:szCs w:val="18"/>
                <w:highlight w:val="none"/>
                <w14:textFill>
                  <w14:solidFill>
                    <w14:schemeClr w14:val="tx1"/>
                  </w14:solidFill>
                </w14:textFill>
              </w:rPr>
            </w:pPr>
            <w:r>
              <w:rPr>
                <w:color w:val="000000" w:themeColor="text1"/>
                <w:kern w:val="0"/>
                <w:sz w:val="18"/>
                <w:szCs w:val="18"/>
                <w:highlight w:val="none"/>
                <w14:textFill>
                  <w14:solidFill>
                    <w14:schemeClr w14:val="tx1"/>
                  </w14:solidFill>
                </w14:textFill>
              </w:rPr>
              <w:t>Y≥5000</w:t>
            </w:r>
          </w:p>
        </w:tc>
        <w:tc>
          <w:tcPr>
            <w:tcW w:w="1701" w:type="dxa"/>
            <w:noWrap w:val="0"/>
            <w:vAlign w:val="center"/>
          </w:tcPr>
          <w:p w14:paraId="6D9D1384">
            <w:pPr>
              <w:widowControl/>
              <w:spacing w:line="280" w:lineRule="exact"/>
              <w:ind w:left="1" w:leftChars="-51" w:hanging="108" w:hangingChars="60"/>
              <w:jc w:val="center"/>
              <w:rPr>
                <w:color w:val="000000" w:themeColor="text1"/>
                <w:kern w:val="0"/>
                <w:sz w:val="18"/>
                <w:szCs w:val="18"/>
                <w:highlight w:val="none"/>
                <w14:textFill>
                  <w14:solidFill>
                    <w14:schemeClr w14:val="tx1"/>
                  </w14:solidFill>
                </w14:textFill>
              </w:rPr>
            </w:pPr>
            <w:r>
              <w:rPr>
                <w:color w:val="000000" w:themeColor="text1"/>
                <w:kern w:val="0"/>
                <w:sz w:val="18"/>
                <w:szCs w:val="18"/>
                <w:highlight w:val="none"/>
                <w14:textFill>
                  <w14:solidFill>
                    <w14:schemeClr w14:val="tx1"/>
                  </w14:solidFill>
                </w14:textFill>
              </w:rPr>
              <w:t>1000≤Y＜5000</w:t>
            </w:r>
          </w:p>
        </w:tc>
        <w:tc>
          <w:tcPr>
            <w:tcW w:w="1426" w:type="dxa"/>
            <w:noWrap w:val="0"/>
            <w:vAlign w:val="center"/>
          </w:tcPr>
          <w:p w14:paraId="501763B0">
            <w:pPr>
              <w:widowControl/>
              <w:spacing w:line="280" w:lineRule="exact"/>
              <w:jc w:val="center"/>
              <w:rPr>
                <w:color w:val="000000" w:themeColor="text1"/>
                <w:kern w:val="0"/>
                <w:sz w:val="18"/>
                <w:szCs w:val="18"/>
                <w:highlight w:val="none"/>
                <w14:textFill>
                  <w14:solidFill>
                    <w14:schemeClr w14:val="tx1"/>
                  </w14:solidFill>
                </w14:textFill>
              </w:rPr>
            </w:pPr>
            <w:r>
              <w:rPr>
                <w:color w:val="000000" w:themeColor="text1"/>
                <w:kern w:val="0"/>
                <w:sz w:val="18"/>
                <w:szCs w:val="18"/>
                <w:highlight w:val="none"/>
                <w14:textFill>
                  <w14:solidFill>
                    <w14:schemeClr w14:val="tx1"/>
                  </w14:solidFill>
                </w14:textFill>
              </w:rPr>
              <w:t>500≤Y＜1000</w:t>
            </w:r>
          </w:p>
        </w:tc>
        <w:tc>
          <w:tcPr>
            <w:tcW w:w="992" w:type="dxa"/>
            <w:noWrap w:val="0"/>
            <w:vAlign w:val="center"/>
          </w:tcPr>
          <w:p w14:paraId="5A9ABBA0">
            <w:pPr>
              <w:widowControl/>
              <w:spacing w:line="280" w:lineRule="exact"/>
              <w:jc w:val="center"/>
              <w:rPr>
                <w:color w:val="000000" w:themeColor="text1"/>
                <w:kern w:val="0"/>
                <w:sz w:val="18"/>
                <w:szCs w:val="18"/>
                <w:highlight w:val="none"/>
                <w14:textFill>
                  <w14:solidFill>
                    <w14:schemeClr w14:val="tx1"/>
                  </w14:solidFill>
                </w14:textFill>
              </w:rPr>
            </w:pPr>
            <w:r>
              <w:rPr>
                <w:color w:val="000000" w:themeColor="text1"/>
                <w:kern w:val="0"/>
                <w:sz w:val="18"/>
                <w:szCs w:val="18"/>
                <w:highlight w:val="none"/>
                <w14:textFill>
                  <w14:solidFill>
                    <w14:schemeClr w14:val="tx1"/>
                  </w14:solidFill>
                </w14:textFill>
              </w:rPr>
              <w:t>Y＜500</w:t>
            </w:r>
          </w:p>
        </w:tc>
      </w:tr>
      <w:tr w14:paraId="4C9C86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2113" w:type="dxa"/>
            <w:vMerge w:val="restart"/>
            <w:noWrap w:val="0"/>
            <w:vAlign w:val="center"/>
          </w:tcPr>
          <w:p w14:paraId="21F6FF83">
            <w:pPr>
              <w:widowControl/>
              <w:spacing w:line="280" w:lineRule="exact"/>
              <w:jc w:val="left"/>
              <w:rPr>
                <w:color w:val="000000" w:themeColor="text1"/>
                <w:kern w:val="0"/>
                <w:sz w:val="18"/>
                <w:szCs w:val="18"/>
                <w:highlight w:val="none"/>
                <w14:textFill>
                  <w14:solidFill>
                    <w14:schemeClr w14:val="tx1"/>
                  </w14:solidFill>
                </w14:textFill>
              </w:rPr>
            </w:pPr>
            <w:r>
              <w:rPr>
                <w:color w:val="000000" w:themeColor="text1"/>
                <w:kern w:val="0"/>
                <w:sz w:val="18"/>
                <w:szCs w:val="18"/>
                <w:highlight w:val="none"/>
                <w14:textFill>
                  <w14:solidFill>
                    <w14:schemeClr w14:val="tx1"/>
                  </w14:solidFill>
                </w14:textFill>
              </w:rPr>
              <w:t>租赁和商务服务业</w:t>
            </w:r>
          </w:p>
        </w:tc>
        <w:tc>
          <w:tcPr>
            <w:tcW w:w="1369" w:type="dxa"/>
            <w:noWrap w:val="0"/>
            <w:vAlign w:val="center"/>
          </w:tcPr>
          <w:p w14:paraId="55902846">
            <w:pPr>
              <w:widowControl/>
              <w:spacing w:line="280" w:lineRule="exact"/>
              <w:jc w:val="center"/>
              <w:rPr>
                <w:color w:val="000000" w:themeColor="text1"/>
                <w:kern w:val="0"/>
                <w:sz w:val="18"/>
                <w:szCs w:val="18"/>
                <w:highlight w:val="none"/>
                <w14:textFill>
                  <w14:solidFill>
                    <w14:schemeClr w14:val="tx1"/>
                  </w14:solidFill>
                </w14:textFill>
              </w:rPr>
            </w:pPr>
            <w:r>
              <w:rPr>
                <w:color w:val="000000" w:themeColor="text1"/>
                <w:kern w:val="0"/>
                <w:sz w:val="18"/>
                <w:szCs w:val="18"/>
                <w:highlight w:val="none"/>
                <w14:textFill>
                  <w14:solidFill>
                    <w14:schemeClr w14:val="tx1"/>
                  </w14:solidFill>
                </w14:textFill>
              </w:rPr>
              <w:t>从业人员(X)</w:t>
            </w:r>
          </w:p>
        </w:tc>
        <w:tc>
          <w:tcPr>
            <w:tcW w:w="709" w:type="dxa"/>
            <w:noWrap w:val="0"/>
            <w:vAlign w:val="center"/>
          </w:tcPr>
          <w:p w14:paraId="18B67D1B">
            <w:pPr>
              <w:widowControl/>
              <w:spacing w:line="280" w:lineRule="exact"/>
              <w:jc w:val="center"/>
              <w:rPr>
                <w:color w:val="000000" w:themeColor="text1"/>
                <w:kern w:val="0"/>
                <w:sz w:val="18"/>
                <w:szCs w:val="18"/>
                <w:highlight w:val="none"/>
                <w14:textFill>
                  <w14:solidFill>
                    <w14:schemeClr w14:val="tx1"/>
                  </w14:solidFill>
                </w14:textFill>
              </w:rPr>
            </w:pPr>
            <w:r>
              <w:rPr>
                <w:color w:val="000000" w:themeColor="text1"/>
                <w:kern w:val="0"/>
                <w:sz w:val="18"/>
                <w:szCs w:val="18"/>
                <w:highlight w:val="none"/>
                <w14:textFill>
                  <w14:solidFill>
                    <w14:schemeClr w14:val="tx1"/>
                  </w14:solidFill>
                </w14:textFill>
              </w:rPr>
              <w:t>人</w:t>
            </w:r>
          </w:p>
        </w:tc>
        <w:tc>
          <w:tcPr>
            <w:tcW w:w="1125" w:type="dxa"/>
            <w:noWrap w:val="0"/>
            <w:vAlign w:val="center"/>
          </w:tcPr>
          <w:p w14:paraId="347187AA">
            <w:pPr>
              <w:widowControl/>
              <w:spacing w:line="280" w:lineRule="exact"/>
              <w:jc w:val="center"/>
              <w:rPr>
                <w:color w:val="000000" w:themeColor="text1"/>
                <w:kern w:val="0"/>
                <w:sz w:val="18"/>
                <w:szCs w:val="18"/>
                <w:highlight w:val="none"/>
                <w14:textFill>
                  <w14:solidFill>
                    <w14:schemeClr w14:val="tx1"/>
                  </w14:solidFill>
                </w14:textFill>
              </w:rPr>
            </w:pPr>
            <w:r>
              <w:rPr>
                <w:color w:val="000000" w:themeColor="text1"/>
                <w:kern w:val="0"/>
                <w:sz w:val="18"/>
                <w:szCs w:val="18"/>
                <w:highlight w:val="none"/>
                <w14:textFill>
                  <w14:solidFill>
                    <w14:schemeClr w14:val="tx1"/>
                  </w14:solidFill>
                </w14:textFill>
              </w:rPr>
              <w:t>X≥300</w:t>
            </w:r>
          </w:p>
        </w:tc>
        <w:tc>
          <w:tcPr>
            <w:tcW w:w="1701" w:type="dxa"/>
            <w:noWrap w:val="0"/>
            <w:vAlign w:val="center"/>
          </w:tcPr>
          <w:p w14:paraId="23CB254F">
            <w:pPr>
              <w:widowControl/>
              <w:spacing w:line="280" w:lineRule="exact"/>
              <w:ind w:left="1" w:leftChars="-51" w:hanging="108" w:hangingChars="60"/>
              <w:jc w:val="center"/>
              <w:rPr>
                <w:color w:val="000000" w:themeColor="text1"/>
                <w:kern w:val="0"/>
                <w:sz w:val="18"/>
                <w:szCs w:val="18"/>
                <w:highlight w:val="none"/>
                <w14:textFill>
                  <w14:solidFill>
                    <w14:schemeClr w14:val="tx1"/>
                  </w14:solidFill>
                </w14:textFill>
              </w:rPr>
            </w:pPr>
            <w:r>
              <w:rPr>
                <w:color w:val="000000" w:themeColor="text1"/>
                <w:kern w:val="0"/>
                <w:sz w:val="18"/>
                <w:szCs w:val="18"/>
                <w:highlight w:val="none"/>
                <w14:textFill>
                  <w14:solidFill>
                    <w14:schemeClr w14:val="tx1"/>
                  </w14:solidFill>
                </w14:textFill>
              </w:rPr>
              <w:t>100≤X＜300</w:t>
            </w:r>
          </w:p>
        </w:tc>
        <w:tc>
          <w:tcPr>
            <w:tcW w:w="1426" w:type="dxa"/>
            <w:noWrap w:val="0"/>
            <w:vAlign w:val="center"/>
          </w:tcPr>
          <w:p w14:paraId="25892693">
            <w:pPr>
              <w:widowControl/>
              <w:spacing w:line="280" w:lineRule="exact"/>
              <w:jc w:val="center"/>
              <w:rPr>
                <w:color w:val="000000" w:themeColor="text1"/>
                <w:kern w:val="0"/>
                <w:sz w:val="18"/>
                <w:szCs w:val="18"/>
                <w:highlight w:val="none"/>
                <w14:textFill>
                  <w14:solidFill>
                    <w14:schemeClr w14:val="tx1"/>
                  </w14:solidFill>
                </w14:textFill>
              </w:rPr>
            </w:pPr>
            <w:r>
              <w:rPr>
                <w:color w:val="000000" w:themeColor="text1"/>
                <w:kern w:val="0"/>
                <w:sz w:val="18"/>
                <w:szCs w:val="18"/>
                <w:highlight w:val="none"/>
                <w14:textFill>
                  <w14:solidFill>
                    <w14:schemeClr w14:val="tx1"/>
                  </w14:solidFill>
                </w14:textFill>
              </w:rPr>
              <w:t>10≤X＜100</w:t>
            </w:r>
          </w:p>
        </w:tc>
        <w:tc>
          <w:tcPr>
            <w:tcW w:w="992" w:type="dxa"/>
            <w:noWrap w:val="0"/>
            <w:vAlign w:val="center"/>
          </w:tcPr>
          <w:p w14:paraId="6303F951">
            <w:pPr>
              <w:widowControl/>
              <w:spacing w:line="280" w:lineRule="exact"/>
              <w:jc w:val="center"/>
              <w:rPr>
                <w:color w:val="000000" w:themeColor="text1"/>
                <w:kern w:val="0"/>
                <w:sz w:val="18"/>
                <w:szCs w:val="18"/>
                <w:highlight w:val="none"/>
                <w14:textFill>
                  <w14:solidFill>
                    <w14:schemeClr w14:val="tx1"/>
                  </w14:solidFill>
                </w14:textFill>
              </w:rPr>
            </w:pPr>
            <w:r>
              <w:rPr>
                <w:color w:val="000000" w:themeColor="text1"/>
                <w:kern w:val="0"/>
                <w:sz w:val="18"/>
                <w:szCs w:val="18"/>
                <w:highlight w:val="none"/>
                <w14:textFill>
                  <w14:solidFill>
                    <w14:schemeClr w14:val="tx1"/>
                  </w14:solidFill>
                </w14:textFill>
              </w:rPr>
              <w:t>X＜10</w:t>
            </w:r>
          </w:p>
        </w:tc>
      </w:tr>
      <w:tr w14:paraId="462969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2113" w:type="dxa"/>
            <w:vMerge w:val="continue"/>
            <w:noWrap w:val="0"/>
            <w:vAlign w:val="center"/>
          </w:tcPr>
          <w:p w14:paraId="2AE4F878">
            <w:pPr>
              <w:widowControl/>
              <w:spacing w:line="280" w:lineRule="exact"/>
              <w:jc w:val="left"/>
              <w:rPr>
                <w:color w:val="000000" w:themeColor="text1"/>
                <w:kern w:val="0"/>
                <w:sz w:val="18"/>
                <w:szCs w:val="18"/>
                <w:highlight w:val="none"/>
                <w14:textFill>
                  <w14:solidFill>
                    <w14:schemeClr w14:val="tx1"/>
                  </w14:solidFill>
                </w14:textFill>
              </w:rPr>
            </w:pPr>
          </w:p>
        </w:tc>
        <w:tc>
          <w:tcPr>
            <w:tcW w:w="1369" w:type="dxa"/>
            <w:noWrap w:val="0"/>
            <w:vAlign w:val="center"/>
          </w:tcPr>
          <w:p w14:paraId="1789BAF3">
            <w:pPr>
              <w:widowControl/>
              <w:spacing w:line="280" w:lineRule="exact"/>
              <w:jc w:val="center"/>
              <w:rPr>
                <w:color w:val="000000" w:themeColor="text1"/>
                <w:kern w:val="0"/>
                <w:sz w:val="18"/>
                <w:szCs w:val="18"/>
                <w:highlight w:val="none"/>
                <w14:textFill>
                  <w14:solidFill>
                    <w14:schemeClr w14:val="tx1"/>
                  </w14:solidFill>
                </w14:textFill>
              </w:rPr>
            </w:pPr>
            <w:r>
              <w:rPr>
                <w:color w:val="000000" w:themeColor="text1"/>
                <w:kern w:val="0"/>
                <w:sz w:val="18"/>
                <w:szCs w:val="18"/>
                <w:highlight w:val="none"/>
                <w14:textFill>
                  <w14:solidFill>
                    <w14:schemeClr w14:val="tx1"/>
                  </w14:solidFill>
                </w14:textFill>
              </w:rPr>
              <w:t>资产总额(Z)</w:t>
            </w:r>
          </w:p>
        </w:tc>
        <w:tc>
          <w:tcPr>
            <w:tcW w:w="709" w:type="dxa"/>
            <w:noWrap w:val="0"/>
            <w:vAlign w:val="center"/>
          </w:tcPr>
          <w:p w14:paraId="195528AD">
            <w:pPr>
              <w:widowControl/>
              <w:spacing w:line="280" w:lineRule="exact"/>
              <w:jc w:val="center"/>
              <w:rPr>
                <w:color w:val="000000" w:themeColor="text1"/>
                <w:kern w:val="0"/>
                <w:sz w:val="18"/>
                <w:szCs w:val="18"/>
                <w:highlight w:val="none"/>
                <w14:textFill>
                  <w14:solidFill>
                    <w14:schemeClr w14:val="tx1"/>
                  </w14:solidFill>
                </w14:textFill>
              </w:rPr>
            </w:pPr>
            <w:r>
              <w:rPr>
                <w:color w:val="000000" w:themeColor="text1"/>
                <w:kern w:val="0"/>
                <w:sz w:val="18"/>
                <w:szCs w:val="18"/>
                <w:highlight w:val="none"/>
                <w14:textFill>
                  <w14:solidFill>
                    <w14:schemeClr w14:val="tx1"/>
                  </w14:solidFill>
                </w14:textFill>
              </w:rPr>
              <w:t>万元</w:t>
            </w:r>
          </w:p>
        </w:tc>
        <w:tc>
          <w:tcPr>
            <w:tcW w:w="1125" w:type="dxa"/>
            <w:noWrap w:val="0"/>
            <w:vAlign w:val="center"/>
          </w:tcPr>
          <w:p w14:paraId="6F1827BD">
            <w:pPr>
              <w:widowControl/>
              <w:spacing w:line="280" w:lineRule="exact"/>
              <w:jc w:val="center"/>
              <w:rPr>
                <w:color w:val="000000" w:themeColor="text1"/>
                <w:kern w:val="0"/>
                <w:sz w:val="18"/>
                <w:szCs w:val="18"/>
                <w:highlight w:val="none"/>
                <w14:textFill>
                  <w14:solidFill>
                    <w14:schemeClr w14:val="tx1"/>
                  </w14:solidFill>
                </w14:textFill>
              </w:rPr>
            </w:pPr>
            <w:r>
              <w:rPr>
                <w:color w:val="000000" w:themeColor="text1"/>
                <w:kern w:val="0"/>
                <w:sz w:val="18"/>
                <w:szCs w:val="18"/>
                <w:highlight w:val="none"/>
                <w14:textFill>
                  <w14:solidFill>
                    <w14:schemeClr w14:val="tx1"/>
                  </w14:solidFill>
                </w14:textFill>
              </w:rPr>
              <w:t>Z≥120000</w:t>
            </w:r>
          </w:p>
        </w:tc>
        <w:tc>
          <w:tcPr>
            <w:tcW w:w="1701" w:type="dxa"/>
            <w:noWrap w:val="0"/>
            <w:vAlign w:val="center"/>
          </w:tcPr>
          <w:p w14:paraId="135A7EDA">
            <w:pPr>
              <w:widowControl/>
              <w:spacing w:line="280" w:lineRule="exact"/>
              <w:jc w:val="center"/>
              <w:rPr>
                <w:color w:val="000000" w:themeColor="text1"/>
                <w:kern w:val="0"/>
                <w:sz w:val="18"/>
                <w:szCs w:val="18"/>
                <w:highlight w:val="none"/>
                <w14:textFill>
                  <w14:solidFill>
                    <w14:schemeClr w14:val="tx1"/>
                  </w14:solidFill>
                </w14:textFill>
              </w:rPr>
            </w:pPr>
            <w:r>
              <w:rPr>
                <w:color w:val="000000" w:themeColor="text1"/>
                <w:kern w:val="0"/>
                <w:sz w:val="18"/>
                <w:szCs w:val="18"/>
                <w:highlight w:val="none"/>
                <w14:textFill>
                  <w14:solidFill>
                    <w14:schemeClr w14:val="tx1"/>
                  </w14:solidFill>
                </w14:textFill>
              </w:rPr>
              <w:t>8000≤Z＜120000</w:t>
            </w:r>
          </w:p>
        </w:tc>
        <w:tc>
          <w:tcPr>
            <w:tcW w:w="1426" w:type="dxa"/>
            <w:noWrap w:val="0"/>
            <w:vAlign w:val="center"/>
          </w:tcPr>
          <w:p w14:paraId="6A4846A9">
            <w:pPr>
              <w:widowControl/>
              <w:spacing w:line="280" w:lineRule="exact"/>
              <w:jc w:val="center"/>
              <w:rPr>
                <w:color w:val="000000" w:themeColor="text1"/>
                <w:kern w:val="0"/>
                <w:sz w:val="18"/>
                <w:szCs w:val="18"/>
                <w:highlight w:val="none"/>
                <w14:textFill>
                  <w14:solidFill>
                    <w14:schemeClr w14:val="tx1"/>
                  </w14:solidFill>
                </w14:textFill>
              </w:rPr>
            </w:pPr>
            <w:r>
              <w:rPr>
                <w:color w:val="000000" w:themeColor="text1"/>
                <w:kern w:val="0"/>
                <w:sz w:val="18"/>
                <w:szCs w:val="18"/>
                <w:highlight w:val="none"/>
                <w14:textFill>
                  <w14:solidFill>
                    <w14:schemeClr w14:val="tx1"/>
                  </w14:solidFill>
                </w14:textFill>
              </w:rPr>
              <w:t>100≤Z＜8000</w:t>
            </w:r>
          </w:p>
        </w:tc>
        <w:tc>
          <w:tcPr>
            <w:tcW w:w="992" w:type="dxa"/>
            <w:noWrap w:val="0"/>
            <w:vAlign w:val="center"/>
          </w:tcPr>
          <w:p w14:paraId="378AA8B7">
            <w:pPr>
              <w:widowControl/>
              <w:spacing w:line="280" w:lineRule="exact"/>
              <w:jc w:val="center"/>
              <w:rPr>
                <w:color w:val="000000" w:themeColor="text1"/>
                <w:kern w:val="0"/>
                <w:sz w:val="18"/>
                <w:szCs w:val="18"/>
                <w:highlight w:val="none"/>
                <w14:textFill>
                  <w14:solidFill>
                    <w14:schemeClr w14:val="tx1"/>
                  </w14:solidFill>
                </w14:textFill>
              </w:rPr>
            </w:pPr>
            <w:r>
              <w:rPr>
                <w:color w:val="000000" w:themeColor="text1"/>
                <w:kern w:val="0"/>
                <w:sz w:val="18"/>
                <w:szCs w:val="18"/>
                <w:highlight w:val="none"/>
                <w14:textFill>
                  <w14:solidFill>
                    <w14:schemeClr w14:val="tx1"/>
                  </w14:solidFill>
                </w14:textFill>
              </w:rPr>
              <w:t>Z＜100</w:t>
            </w:r>
          </w:p>
        </w:tc>
      </w:tr>
      <w:tr w14:paraId="282F02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noWrap w:val="0"/>
            <w:vAlign w:val="center"/>
          </w:tcPr>
          <w:p w14:paraId="7606EC21">
            <w:pPr>
              <w:widowControl/>
              <w:spacing w:line="280" w:lineRule="exact"/>
              <w:jc w:val="left"/>
              <w:rPr>
                <w:color w:val="000000" w:themeColor="text1"/>
                <w:kern w:val="0"/>
                <w:sz w:val="18"/>
                <w:szCs w:val="18"/>
                <w:highlight w:val="none"/>
                <w14:textFill>
                  <w14:solidFill>
                    <w14:schemeClr w14:val="tx1"/>
                  </w14:solidFill>
                </w14:textFill>
              </w:rPr>
            </w:pPr>
            <w:r>
              <w:rPr>
                <w:color w:val="000000" w:themeColor="text1"/>
                <w:kern w:val="0"/>
                <w:sz w:val="18"/>
                <w:szCs w:val="18"/>
                <w:highlight w:val="none"/>
                <w14:textFill>
                  <w14:solidFill>
                    <w14:schemeClr w14:val="tx1"/>
                  </w14:solidFill>
                </w14:textFill>
              </w:rPr>
              <w:t>其他未列明行业 *</w:t>
            </w:r>
          </w:p>
        </w:tc>
        <w:tc>
          <w:tcPr>
            <w:tcW w:w="1369" w:type="dxa"/>
            <w:noWrap w:val="0"/>
            <w:vAlign w:val="center"/>
          </w:tcPr>
          <w:p w14:paraId="7837187A">
            <w:pPr>
              <w:widowControl/>
              <w:spacing w:line="280" w:lineRule="exact"/>
              <w:jc w:val="center"/>
              <w:rPr>
                <w:color w:val="000000" w:themeColor="text1"/>
                <w:kern w:val="0"/>
                <w:sz w:val="18"/>
                <w:szCs w:val="18"/>
                <w:highlight w:val="none"/>
                <w14:textFill>
                  <w14:solidFill>
                    <w14:schemeClr w14:val="tx1"/>
                  </w14:solidFill>
                </w14:textFill>
              </w:rPr>
            </w:pPr>
            <w:r>
              <w:rPr>
                <w:color w:val="000000" w:themeColor="text1"/>
                <w:kern w:val="0"/>
                <w:sz w:val="18"/>
                <w:szCs w:val="18"/>
                <w:highlight w:val="none"/>
                <w14:textFill>
                  <w14:solidFill>
                    <w14:schemeClr w14:val="tx1"/>
                  </w14:solidFill>
                </w14:textFill>
              </w:rPr>
              <w:t>从业人员(X)</w:t>
            </w:r>
          </w:p>
        </w:tc>
        <w:tc>
          <w:tcPr>
            <w:tcW w:w="709" w:type="dxa"/>
            <w:noWrap w:val="0"/>
            <w:vAlign w:val="center"/>
          </w:tcPr>
          <w:p w14:paraId="45C3B944">
            <w:pPr>
              <w:widowControl/>
              <w:spacing w:line="280" w:lineRule="exact"/>
              <w:jc w:val="center"/>
              <w:rPr>
                <w:color w:val="000000" w:themeColor="text1"/>
                <w:kern w:val="0"/>
                <w:sz w:val="18"/>
                <w:szCs w:val="18"/>
                <w:highlight w:val="none"/>
                <w14:textFill>
                  <w14:solidFill>
                    <w14:schemeClr w14:val="tx1"/>
                  </w14:solidFill>
                </w14:textFill>
              </w:rPr>
            </w:pPr>
            <w:r>
              <w:rPr>
                <w:color w:val="000000" w:themeColor="text1"/>
                <w:kern w:val="0"/>
                <w:sz w:val="18"/>
                <w:szCs w:val="18"/>
                <w:highlight w:val="none"/>
                <w14:textFill>
                  <w14:solidFill>
                    <w14:schemeClr w14:val="tx1"/>
                  </w14:solidFill>
                </w14:textFill>
              </w:rPr>
              <w:t>人</w:t>
            </w:r>
          </w:p>
        </w:tc>
        <w:tc>
          <w:tcPr>
            <w:tcW w:w="1125" w:type="dxa"/>
            <w:noWrap w:val="0"/>
            <w:vAlign w:val="center"/>
          </w:tcPr>
          <w:p w14:paraId="10CB758E">
            <w:pPr>
              <w:widowControl/>
              <w:spacing w:line="280" w:lineRule="exact"/>
              <w:jc w:val="center"/>
              <w:rPr>
                <w:color w:val="000000" w:themeColor="text1"/>
                <w:kern w:val="0"/>
                <w:sz w:val="18"/>
                <w:szCs w:val="18"/>
                <w:highlight w:val="none"/>
                <w14:textFill>
                  <w14:solidFill>
                    <w14:schemeClr w14:val="tx1"/>
                  </w14:solidFill>
                </w14:textFill>
              </w:rPr>
            </w:pPr>
            <w:r>
              <w:rPr>
                <w:color w:val="000000" w:themeColor="text1"/>
                <w:kern w:val="0"/>
                <w:sz w:val="18"/>
                <w:szCs w:val="18"/>
                <w:highlight w:val="none"/>
                <w14:textFill>
                  <w14:solidFill>
                    <w14:schemeClr w14:val="tx1"/>
                  </w14:solidFill>
                </w14:textFill>
              </w:rPr>
              <w:t>X≥300</w:t>
            </w:r>
          </w:p>
        </w:tc>
        <w:tc>
          <w:tcPr>
            <w:tcW w:w="1701" w:type="dxa"/>
            <w:noWrap w:val="0"/>
            <w:vAlign w:val="center"/>
          </w:tcPr>
          <w:p w14:paraId="71C76685">
            <w:pPr>
              <w:widowControl/>
              <w:spacing w:line="280" w:lineRule="exact"/>
              <w:ind w:left="1" w:leftChars="-51" w:hanging="108" w:hangingChars="60"/>
              <w:jc w:val="center"/>
              <w:rPr>
                <w:color w:val="000000" w:themeColor="text1"/>
                <w:kern w:val="0"/>
                <w:sz w:val="18"/>
                <w:szCs w:val="18"/>
                <w:highlight w:val="none"/>
                <w14:textFill>
                  <w14:solidFill>
                    <w14:schemeClr w14:val="tx1"/>
                  </w14:solidFill>
                </w14:textFill>
              </w:rPr>
            </w:pPr>
            <w:r>
              <w:rPr>
                <w:color w:val="000000" w:themeColor="text1"/>
                <w:kern w:val="0"/>
                <w:sz w:val="18"/>
                <w:szCs w:val="18"/>
                <w:highlight w:val="none"/>
                <w14:textFill>
                  <w14:solidFill>
                    <w14:schemeClr w14:val="tx1"/>
                  </w14:solidFill>
                </w14:textFill>
              </w:rPr>
              <w:t>100≤X＜300</w:t>
            </w:r>
          </w:p>
        </w:tc>
        <w:tc>
          <w:tcPr>
            <w:tcW w:w="1426" w:type="dxa"/>
            <w:noWrap w:val="0"/>
            <w:vAlign w:val="center"/>
          </w:tcPr>
          <w:p w14:paraId="2A790819">
            <w:pPr>
              <w:widowControl/>
              <w:spacing w:line="280" w:lineRule="exact"/>
              <w:jc w:val="center"/>
              <w:rPr>
                <w:color w:val="000000" w:themeColor="text1"/>
                <w:kern w:val="0"/>
                <w:sz w:val="18"/>
                <w:szCs w:val="18"/>
                <w:highlight w:val="none"/>
                <w14:textFill>
                  <w14:solidFill>
                    <w14:schemeClr w14:val="tx1"/>
                  </w14:solidFill>
                </w14:textFill>
              </w:rPr>
            </w:pPr>
            <w:r>
              <w:rPr>
                <w:color w:val="000000" w:themeColor="text1"/>
                <w:kern w:val="0"/>
                <w:sz w:val="18"/>
                <w:szCs w:val="18"/>
                <w:highlight w:val="none"/>
                <w14:textFill>
                  <w14:solidFill>
                    <w14:schemeClr w14:val="tx1"/>
                  </w14:solidFill>
                </w14:textFill>
              </w:rPr>
              <w:t>10≤X＜100</w:t>
            </w:r>
          </w:p>
        </w:tc>
        <w:tc>
          <w:tcPr>
            <w:tcW w:w="992" w:type="dxa"/>
            <w:noWrap w:val="0"/>
            <w:vAlign w:val="center"/>
          </w:tcPr>
          <w:p w14:paraId="545CB405">
            <w:pPr>
              <w:widowControl/>
              <w:spacing w:line="280" w:lineRule="exact"/>
              <w:jc w:val="center"/>
              <w:rPr>
                <w:color w:val="000000" w:themeColor="text1"/>
                <w:kern w:val="0"/>
                <w:sz w:val="18"/>
                <w:szCs w:val="18"/>
                <w:highlight w:val="none"/>
                <w14:textFill>
                  <w14:solidFill>
                    <w14:schemeClr w14:val="tx1"/>
                  </w14:solidFill>
                </w14:textFill>
              </w:rPr>
            </w:pPr>
            <w:r>
              <w:rPr>
                <w:color w:val="000000" w:themeColor="text1"/>
                <w:kern w:val="0"/>
                <w:sz w:val="18"/>
                <w:szCs w:val="18"/>
                <w:highlight w:val="none"/>
                <w14:textFill>
                  <w14:solidFill>
                    <w14:schemeClr w14:val="tx1"/>
                  </w14:solidFill>
                </w14:textFill>
              </w:rPr>
              <w:t>X＜10</w:t>
            </w:r>
          </w:p>
        </w:tc>
      </w:tr>
    </w:tbl>
    <w:p w14:paraId="3A707FE8">
      <w:pPr>
        <w:widowControl/>
        <w:spacing w:line="280" w:lineRule="exact"/>
        <w:rPr>
          <w:color w:val="000000" w:themeColor="text1"/>
          <w:spacing w:val="8"/>
          <w:kern w:val="0"/>
          <w:sz w:val="24"/>
          <w:highlight w:val="none"/>
          <w14:textFill>
            <w14:solidFill>
              <w14:schemeClr w14:val="tx1"/>
            </w14:solidFill>
          </w14:textFill>
        </w:rPr>
      </w:pPr>
    </w:p>
    <w:p w14:paraId="523D3F48">
      <w:pPr>
        <w:widowControl/>
        <w:spacing w:line="480" w:lineRule="auto"/>
        <w:rPr>
          <w:color w:val="000000" w:themeColor="text1"/>
          <w:spacing w:val="8"/>
          <w:kern w:val="0"/>
          <w:szCs w:val="21"/>
          <w:highlight w:val="none"/>
          <w14:textFill>
            <w14:solidFill>
              <w14:schemeClr w14:val="tx1"/>
            </w14:solidFill>
          </w14:textFill>
        </w:rPr>
      </w:pPr>
      <w:r>
        <w:rPr>
          <w:color w:val="000000" w:themeColor="text1"/>
          <w:spacing w:val="8"/>
          <w:kern w:val="0"/>
          <w:szCs w:val="21"/>
          <w:highlight w:val="none"/>
          <w14:textFill>
            <w14:solidFill>
              <w14:schemeClr w14:val="tx1"/>
            </w14:solidFill>
          </w14:textFill>
        </w:rPr>
        <w:t>说明：</w:t>
      </w:r>
    </w:p>
    <w:p w14:paraId="2F3A6DBC">
      <w:pPr>
        <w:pStyle w:val="19"/>
        <w:adjustRightInd w:val="0"/>
        <w:spacing w:line="480" w:lineRule="auto"/>
        <w:ind w:firstLine="432" w:firstLineChars="200"/>
        <w:contextualSpacing/>
        <w:rPr>
          <w:rFonts w:ascii="Times New Roman" w:hAnsi="Times New Roman"/>
          <w:color w:val="000000" w:themeColor="text1"/>
          <w:spacing w:val="8"/>
          <w:highlight w:val="none"/>
          <w14:textFill>
            <w14:solidFill>
              <w14:schemeClr w14:val="tx1"/>
            </w14:solidFill>
          </w14:textFill>
        </w:rPr>
      </w:pPr>
      <w:r>
        <w:rPr>
          <w:rFonts w:ascii="Times New Roman" w:hAnsi="Times New Roman"/>
          <w:color w:val="000000" w:themeColor="text1"/>
          <w:spacing w:val="8"/>
          <w:highlight w:val="none"/>
          <w14:textFill>
            <w14:solidFill>
              <w14:schemeClr w14:val="tx1"/>
            </w14:solidFill>
          </w14:textFill>
        </w:rPr>
        <w:t>1.大型、中型和小型企业须同时满足所列指标的下限，否则下划一档；微型企业只须满足所列指标中的一项即可。</w:t>
      </w:r>
    </w:p>
    <w:p w14:paraId="19D12AF3">
      <w:pPr>
        <w:pStyle w:val="19"/>
        <w:adjustRightInd w:val="0"/>
        <w:spacing w:line="480" w:lineRule="auto"/>
        <w:ind w:firstLine="432" w:firstLineChars="200"/>
        <w:contextualSpacing/>
        <w:rPr>
          <w:rFonts w:ascii="Times New Roman" w:hAnsi="Times New Roman"/>
          <w:color w:val="000000" w:themeColor="text1"/>
          <w:spacing w:val="8"/>
          <w:highlight w:val="none"/>
          <w14:textFill>
            <w14:solidFill>
              <w14:schemeClr w14:val="tx1"/>
            </w14:solidFill>
          </w14:textFill>
        </w:rPr>
      </w:pPr>
      <w:r>
        <w:rPr>
          <w:rFonts w:ascii="Times New Roman" w:hAnsi="Times New Roman"/>
          <w:color w:val="000000" w:themeColor="text1"/>
          <w:spacing w:val="8"/>
          <w:highlight w:val="none"/>
          <w14:textFill>
            <w14:solidFill>
              <w14:schemeClr w14:val="tx1"/>
            </w14:solidFill>
          </w14:textFill>
        </w:rPr>
        <w:t>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w:t>
      </w:r>
      <w:r>
        <w:rPr>
          <w:rFonts w:ascii="Times New Roman" w:hAnsi="Times New Roman"/>
          <w:color w:val="000000" w:themeColor="text1"/>
          <w:spacing w:val="8"/>
          <w:highlight w:val="none"/>
          <w:lang w:eastAsia="zh-CN"/>
          <w14:textFill>
            <w14:solidFill>
              <w14:schemeClr w14:val="tx1"/>
            </w14:solidFill>
          </w14:textFill>
        </w:rPr>
        <w:t>；</w:t>
      </w:r>
      <w:r>
        <w:rPr>
          <w:rFonts w:ascii="Times New Roman" w:hAnsi="Times New Roman"/>
          <w:color w:val="000000" w:themeColor="text1"/>
          <w:spacing w:val="8"/>
          <w:highlight w:val="none"/>
          <w14:textFill>
            <w14:solidFill>
              <w14:schemeClr w14:val="tx1"/>
            </w14:solidFill>
          </w14:textFill>
        </w:rPr>
        <w:t>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w:t>
      </w:r>
    </w:p>
    <w:p w14:paraId="01053F8F">
      <w:pPr>
        <w:pStyle w:val="19"/>
        <w:spacing w:line="480" w:lineRule="auto"/>
        <w:ind w:firstLine="432" w:firstLineChars="200"/>
        <w:rPr>
          <w:rFonts w:ascii="Times New Roman" w:hAnsi="Times New Roman" w:eastAsia="宋体" w:cs="Times New Roman"/>
          <w:color w:val="000000" w:themeColor="text1"/>
          <w:spacing w:val="8"/>
          <w:highlight w:val="none"/>
          <w:lang w:val="en-US" w:eastAsia="zh-CN"/>
          <w14:textFill>
            <w14:solidFill>
              <w14:schemeClr w14:val="tx1"/>
            </w14:solidFill>
          </w14:textFill>
        </w:rPr>
      </w:pPr>
      <w:r>
        <w:rPr>
          <w:rFonts w:ascii="Times New Roman" w:hAnsi="Times New Roman" w:eastAsia="宋体" w:cs="Times New Roman"/>
          <w:color w:val="000000" w:themeColor="text1"/>
          <w:spacing w:val="8"/>
          <w:highlight w:val="none"/>
          <w14:textFill>
            <w14:solidFill>
              <w14:schemeClr w14:val="tx1"/>
            </w14:solidFill>
          </w14:textFill>
        </w:rPr>
        <w:t>3.企业划分指标以现行统计制度为准。（1）从业人员，是指期末从业人员数，没有期末从业人员数的，采用全年平均人员数代替。（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w:t>
      </w:r>
      <w:r>
        <w:rPr>
          <w:rFonts w:ascii="Times New Roman" w:hAnsi="Times New Roman" w:eastAsia="宋体" w:cs="Times New Roman"/>
          <w:color w:val="000000" w:themeColor="text1"/>
          <w:spacing w:val="8"/>
          <w:highlight w:val="none"/>
          <w:lang w:val="en-US" w:eastAsia="zh-CN"/>
          <w14:textFill>
            <w14:solidFill>
              <w14:schemeClr w14:val="tx1"/>
            </w14:solidFill>
          </w14:textFill>
        </w:rPr>
        <w:t>收入代替；其他未设置主营业务收入的行业，采用营业收入指标。（3）资产总额，采用资产总计代替。</w:t>
      </w:r>
    </w:p>
    <w:p w14:paraId="0B138B9B">
      <w:pPr>
        <w:pStyle w:val="11"/>
        <w:rPr>
          <w:rFonts w:eastAsia="Arial Unicode MS"/>
          <w:color w:val="000000" w:themeColor="text1"/>
          <w:kern w:val="0"/>
          <w:sz w:val="32"/>
          <w:szCs w:val="32"/>
          <w:highlight w:val="none"/>
          <w14:textFill>
            <w14:solidFill>
              <w14:schemeClr w14:val="tx1"/>
            </w14:solidFill>
          </w14:textFill>
        </w:rPr>
      </w:pPr>
    </w:p>
    <w:p w14:paraId="310E7AAC">
      <w:pPr>
        <w:rPr>
          <w:rFonts w:hint="eastAsia" w:ascii="华文中宋" w:hAnsi="华文中宋" w:eastAsia="华文中宋" w:cs="华文中宋"/>
          <w:color w:val="000000" w:themeColor="text1"/>
          <w:sz w:val="32"/>
          <w:szCs w:val="32"/>
          <w14:textFill>
            <w14:solidFill>
              <w14:schemeClr w14:val="tx1"/>
            </w14:solidFill>
          </w14:textFill>
        </w:rPr>
      </w:pPr>
      <w:bookmarkStart w:id="59" w:name="_Toc80886927"/>
      <w:bookmarkStart w:id="60" w:name="_Toc24174"/>
      <w:bookmarkStart w:id="61" w:name="_Toc9239"/>
      <w:bookmarkStart w:id="62" w:name="_Toc16791"/>
      <w:bookmarkStart w:id="63" w:name="_Toc7704"/>
      <w:bookmarkStart w:id="64" w:name="_Toc13614"/>
      <w:bookmarkStart w:id="65" w:name="_Toc21050"/>
      <w:bookmarkStart w:id="66" w:name="_Toc3319"/>
      <w:r>
        <w:rPr>
          <w:rFonts w:hint="eastAsia" w:ascii="华文中宋" w:hAnsi="华文中宋" w:eastAsia="华文中宋" w:cs="华文中宋"/>
          <w:color w:val="000000" w:themeColor="text1"/>
          <w:sz w:val="32"/>
          <w:szCs w:val="32"/>
          <w14:textFill>
            <w14:solidFill>
              <w14:schemeClr w14:val="tx1"/>
            </w14:solidFill>
          </w14:textFill>
        </w:rPr>
        <w:br w:type="page"/>
      </w:r>
    </w:p>
    <w:p w14:paraId="3630E76E">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华文中宋" w:hAnsi="华文中宋" w:eastAsia="华文中宋" w:cs="华文中宋"/>
          <w:color w:val="000000" w:themeColor="text1"/>
          <w:sz w:val="32"/>
          <w:szCs w:val="32"/>
          <w14:textFill>
            <w14:solidFill>
              <w14:schemeClr w14:val="tx1"/>
            </w14:solidFill>
          </w14:textFill>
        </w:rPr>
      </w:pPr>
      <w:bookmarkStart w:id="67" w:name="_Toc28406"/>
      <w:bookmarkStart w:id="68" w:name="_Toc7739"/>
      <w:r>
        <w:rPr>
          <w:rFonts w:hint="eastAsia" w:ascii="华文中宋" w:hAnsi="华文中宋" w:eastAsia="华文中宋" w:cs="华文中宋"/>
          <w:color w:val="000000" w:themeColor="text1"/>
          <w:sz w:val="32"/>
          <w:szCs w:val="32"/>
          <w14:textFill>
            <w14:solidFill>
              <w14:schemeClr w14:val="tx1"/>
            </w14:solidFill>
          </w14:textFill>
        </w:rPr>
        <w:t xml:space="preserve">第三章 </w:t>
      </w:r>
      <w:r>
        <w:rPr>
          <w:rFonts w:hint="eastAsia" w:ascii="华文中宋" w:hAnsi="华文中宋" w:eastAsia="华文中宋" w:cs="华文中宋"/>
          <w:color w:val="000000" w:themeColor="text1"/>
          <w:sz w:val="32"/>
          <w:szCs w:val="32"/>
          <w:lang w:val="en-US" w:eastAsia="zh-CN"/>
          <w14:textFill>
            <w14:solidFill>
              <w14:schemeClr w14:val="tx1"/>
            </w14:solidFill>
          </w14:textFill>
        </w:rPr>
        <w:t xml:space="preserve"> </w:t>
      </w:r>
      <w:r>
        <w:rPr>
          <w:rFonts w:hint="eastAsia" w:ascii="华文中宋" w:hAnsi="华文中宋" w:eastAsia="华文中宋" w:cs="华文中宋"/>
          <w:color w:val="000000" w:themeColor="text1"/>
          <w:sz w:val="32"/>
          <w:szCs w:val="32"/>
          <w14:textFill>
            <w14:solidFill>
              <w14:schemeClr w14:val="tx1"/>
            </w14:solidFill>
          </w14:textFill>
        </w:rPr>
        <w:t>供应商须知</w:t>
      </w:r>
      <w:bookmarkEnd w:id="59"/>
      <w:bookmarkEnd w:id="60"/>
      <w:bookmarkEnd w:id="61"/>
      <w:bookmarkEnd w:id="62"/>
      <w:bookmarkEnd w:id="63"/>
      <w:bookmarkEnd w:id="64"/>
      <w:bookmarkEnd w:id="65"/>
      <w:bookmarkEnd w:id="66"/>
      <w:bookmarkEnd w:id="67"/>
      <w:bookmarkEnd w:id="68"/>
    </w:p>
    <w:p w14:paraId="092C0B8E">
      <w:pPr>
        <w:pStyle w:val="4"/>
        <w:keepNext/>
        <w:keepLines/>
        <w:pageBreakBefore w:val="0"/>
        <w:widowControl w:val="0"/>
        <w:kinsoku/>
        <w:wordWrap/>
        <w:overflowPunct/>
        <w:topLinePunct w:val="0"/>
        <w:autoSpaceDE/>
        <w:autoSpaceDN/>
        <w:bidi w:val="0"/>
        <w:adjustRightInd/>
        <w:snapToGrid/>
        <w:spacing w:before="0" w:after="0" w:line="360" w:lineRule="auto"/>
        <w:jc w:val="center"/>
        <w:textAlignment w:val="auto"/>
        <w:outlineLvl w:val="1"/>
        <w:rPr>
          <w:rFonts w:hint="eastAsia"/>
          <w:b/>
          <w:color w:val="000000" w:themeColor="text1"/>
          <w:sz w:val="32"/>
          <w:szCs w:val="32"/>
          <w:highlight w:val="none"/>
          <w14:textFill>
            <w14:solidFill>
              <w14:schemeClr w14:val="tx1"/>
            </w14:solidFill>
          </w14:textFill>
        </w:rPr>
      </w:pPr>
      <w:bookmarkStart w:id="69" w:name="_Toc9482"/>
      <w:bookmarkStart w:id="70" w:name="_Toc30571"/>
      <w:bookmarkStart w:id="71" w:name="_Toc30660"/>
      <w:bookmarkStart w:id="72" w:name="_Toc80886928"/>
      <w:r>
        <w:rPr>
          <w:rFonts w:hint="eastAsia" w:ascii="宋体" w:hAnsi="宋体" w:eastAsia="宋体" w:cs="宋体"/>
          <w:b/>
          <w:bCs/>
          <w:color w:val="000000" w:themeColor="text1"/>
          <w:sz w:val="30"/>
          <w:szCs w:val="30"/>
          <w:highlight w:val="none"/>
          <w14:textFill>
            <w14:solidFill>
              <w14:schemeClr w14:val="tx1"/>
            </w14:solidFill>
          </w14:textFill>
        </w:rPr>
        <w:t xml:space="preserve">第一节 </w:t>
      </w:r>
      <w:r>
        <w:rPr>
          <w:rFonts w:hint="eastAsia" w:ascii="宋体" w:hAnsi="宋体" w:cs="宋体"/>
          <w:b/>
          <w:bCs/>
          <w:color w:val="000000" w:themeColor="text1"/>
          <w:sz w:val="30"/>
          <w:szCs w:val="30"/>
          <w:highlight w:val="none"/>
          <w:lang w:val="en-US" w:eastAsia="zh-CN"/>
          <w14:textFill>
            <w14:solidFill>
              <w14:schemeClr w14:val="tx1"/>
            </w14:solidFill>
          </w14:textFill>
        </w:rPr>
        <w:t xml:space="preserve"> </w:t>
      </w:r>
      <w:r>
        <w:rPr>
          <w:rFonts w:hint="eastAsia" w:ascii="宋体" w:hAnsi="宋体" w:eastAsia="宋体" w:cs="宋体"/>
          <w:b/>
          <w:bCs/>
          <w:color w:val="000000" w:themeColor="text1"/>
          <w:sz w:val="30"/>
          <w:szCs w:val="30"/>
          <w:highlight w:val="none"/>
          <w14:textFill>
            <w14:solidFill>
              <w14:schemeClr w14:val="tx1"/>
            </w14:solidFill>
          </w14:textFill>
        </w:rPr>
        <w:t>供应商须知前附表</w:t>
      </w:r>
      <w:bookmarkEnd w:id="69"/>
      <w:bookmarkEnd w:id="70"/>
      <w:bookmarkEnd w:id="71"/>
      <w:bookmarkEnd w:id="72"/>
    </w:p>
    <w:tbl>
      <w:tblPr>
        <w:tblStyle w:val="29"/>
        <w:tblW w:w="9750" w:type="dxa"/>
        <w:tblInd w:w="12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63"/>
        <w:gridCol w:w="2321"/>
        <w:gridCol w:w="6466"/>
      </w:tblGrid>
      <w:tr w14:paraId="400FFD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blHeader/>
        </w:trPr>
        <w:tc>
          <w:tcPr>
            <w:tcW w:w="963" w:type="dxa"/>
            <w:shd w:val="clear" w:color="auto" w:fill="auto"/>
            <w:noWrap w:val="0"/>
            <w:vAlign w:val="center"/>
          </w:tcPr>
          <w:p w14:paraId="7582CDF2">
            <w:pPr>
              <w:keepNext w:val="0"/>
              <w:keepLines w:val="0"/>
              <w:pageBreakBefore w:val="0"/>
              <w:widowControl w:val="0"/>
              <w:kinsoku/>
              <w:wordWrap/>
              <w:overflowPunct/>
              <w:topLinePunct w:val="0"/>
              <w:bidi w:val="0"/>
              <w:adjustRightInd/>
              <w:spacing w:line="390" w:lineRule="exact"/>
              <w:jc w:val="center"/>
              <w:rPr>
                <w:rFonts w:hint="eastAsia" w:ascii="Times New Roman" w:hAnsi="Times New Roman" w:eastAsia="宋体" w:cs="宋体"/>
                <w:b/>
                <w:bCs w:val="0"/>
                <w:color w:val="000000" w:themeColor="text1"/>
                <w:sz w:val="21"/>
                <w:szCs w:val="21"/>
                <w:highlight w:val="none"/>
                <w14:textFill>
                  <w14:solidFill>
                    <w14:schemeClr w14:val="tx1"/>
                  </w14:solidFill>
                </w14:textFill>
              </w:rPr>
            </w:pPr>
            <w:r>
              <w:rPr>
                <w:rFonts w:hint="eastAsia" w:ascii="Times New Roman" w:hAnsi="Times New Roman" w:eastAsia="宋体" w:cs="宋体"/>
                <w:b/>
                <w:bCs w:val="0"/>
                <w:color w:val="000000" w:themeColor="text1"/>
                <w:sz w:val="21"/>
                <w:szCs w:val="21"/>
                <w:highlight w:val="none"/>
                <w14:textFill>
                  <w14:solidFill>
                    <w14:schemeClr w14:val="tx1"/>
                  </w14:solidFill>
                </w14:textFill>
              </w:rPr>
              <w:t>条款号</w:t>
            </w:r>
          </w:p>
        </w:tc>
        <w:tc>
          <w:tcPr>
            <w:tcW w:w="2321" w:type="dxa"/>
            <w:shd w:val="clear" w:color="auto" w:fill="auto"/>
            <w:noWrap w:val="0"/>
            <w:vAlign w:val="center"/>
          </w:tcPr>
          <w:p w14:paraId="7AA5E9C4">
            <w:pPr>
              <w:keepNext w:val="0"/>
              <w:keepLines w:val="0"/>
              <w:pageBreakBefore w:val="0"/>
              <w:widowControl w:val="0"/>
              <w:kinsoku/>
              <w:wordWrap/>
              <w:overflowPunct/>
              <w:topLinePunct w:val="0"/>
              <w:bidi w:val="0"/>
              <w:adjustRightInd/>
              <w:spacing w:line="390" w:lineRule="exact"/>
              <w:jc w:val="center"/>
              <w:rPr>
                <w:rFonts w:hint="eastAsia" w:ascii="Times New Roman" w:hAnsi="Times New Roman" w:eastAsia="宋体" w:cs="宋体"/>
                <w:b/>
                <w:bCs w:val="0"/>
                <w:color w:val="000000" w:themeColor="text1"/>
                <w:sz w:val="21"/>
                <w:szCs w:val="21"/>
                <w:highlight w:val="none"/>
                <w14:textFill>
                  <w14:solidFill>
                    <w14:schemeClr w14:val="tx1"/>
                  </w14:solidFill>
                </w14:textFill>
              </w:rPr>
            </w:pPr>
            <w:r>
              <w:rPr>
                <w:rFonts w:hint="eastAsia" w:ascii="Times New Roman" w:hAnsi="Times New Roman" w:eastAsia="宋体" w:cs="宋体"/>
                <w:b/>
                <w:bCs w:val="0"/>
                <w:color w:val="000000" w:themeColor="text1"/>
                <w:sz w:val="21"/>
                <w:szCs w:val="21"/>
                <w:highlight w:val="none"/>
                <w14:textFill>
                  <w14:solidFill>
                    <w14:schemeClr w14:val="tx1"/>
                  </w14:solidFill>
                </w14:textFill>
              </w:rPr>
              <w:t>条款内容</w:t>
            </w:r>
          </w:p>
        </w:tc>
        <w:tc>
          <w:tcPr>
            <w:tcW w:w="6466" w:type="dxa"/>
            <w:shd w:val="clear" w:color="auto" w:fill="auto"/>
            <w:noWrap w:val="0"/>
            <w:vAlign w:val="center"/>
          </w:tcPr>
          <w:p w14:paraId="1D97602F">
            <w:pPr>
              <w:keepNext w:val="0"/>
              <w:keepLines w:val="0"/>
              <w:pageBreakBefore w:val="0"/>
              <w:widowControl w:val="0"/>
              <w:kinsoku/>
              <w:wordWrap/>
              <w:overflowPunct/>
              <w:topLinePunct w:val="0"/>
              <w:bidi w:val="0"/>
              <w:adjustRightInd/>
              <w:spacing w:line="390" w:lineRule="exact"/>
              <w:jc w:val="center"/>
              <w:rPr>
                <w:rFonts w:hint="eastAsia" w:ascii="Times New Roman" w:hAnsi="Times New Roman" w:eastAsia="宋体" w:cs="宋体"/>
                <w:b/>
                <w:bCs w:val="0"/>
                <w:color w:val="000000" w:themeColor="text1"/>
                <w:sz w:val="21"/>
                <w:szCs w:val="21"/>
                <w:highlight w:val="none"/>
                <w14:textFill>
                  <w14:solidFill>
                    <w14:schemeClr w14:val="tx1"/>
                  </w14:solidFill>
                </w14:textFill>
              </w:rPr>
            </w:pPr>
            <w:r>
              <w:rPr>
                <w:rFonts w:hint="eastAsia" w:ascii="Times New Roman" w:hAnsi="Times New Roman" w:eastAsia="宋体" w:cs="宋体"/>
                <w:b/>
                <w:bCs w:val="0"/>
                <w:color w:val="000000" w:themeColor="text1"/>
                <w:sz w:val="21"/>
                <w:szCs w:val="21"/>
                <w:highlight w:val="none"/>
                <w14:textFill>
                  <w14:solidFill>
                    <w14:schemeClr w14:val="tx1"/>
                  </w14:solidFill>
                </w14:textFill>
              </w:rPr>
              <w:t>具体要求</w:t>
            </w:r>
          </w:p>
        </w:tc>
      </w:tr>
      <w:tr w14:paraId="52C0E0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963" w:type="dxa"/>
            <w:noWrap w:val="0"/>
            <w:vAlign w:val="center"/>
          </w:tcPr>
          <w:p w14:paraId="6982DA8C">
            <w:pPr>
              <w:keepNext w:val="0"/>
              <w:keepLines w:val="0"/>
              <w:pageBreakBefore w:val="0"/>
              <w:widowControl w:val="0"/>
              <w:kinsoku/>
              <w:wordWrap/>
              <w:overflowPunct/>
              <w:topLinePunct w:val="0"/>
              <w:bidi w:val="0"/>
              <w:adjustRightInd/>
              <w:spacing w:line="390" w:lineRule="exact"/>
              <w:jc w:val="center"/>
              <w:rPr>
                <w:rFonts w:hint="eastAsia" w:ascii="Times New Roman" w:hAnsi="Times New Roman" w:eastAsia="宋体" w:cs="宋体"/>
                <w:color w:val="000000" w:themeColor="text1"/>
                <w:sz w:val="21"/>
                <w:szCs w:val="21"/>
                <w:highlight w:val="none"/>
                <w14:textFill>
                  <w14:solidFill>
                    <w14:schemeClr w14:val="tx1"/>
                  </w14:solidFill>
                </w14:textFill>
              </w:rPr>
            </w:pPr>
            <w:r>
              <w:rPr>
                <w:rFonts w:hint="eastAsia" w:ascii="Times New Roman" w:hAnsi="Times New Roman" w:eastAsia="宋体" w:cs="宋体"/>
                <w:color w:val="000000" w:themeColor="text1"/>
                <w:sz w:val="21"/>
                <w:szCs w:val="21"/>
                <w:highlight w:val="none"/>
                <w14:textFill>
                  <w14:solidFill>
                    <w14:schemeClr w14:val="tx1"/>
                  </w14:solidFill>
                </w14:textFill>
              </w:rPr>
              <w:t>3.1</w:t>
            </w:r>
          </w:p>
        </w:tc>
        <w:tc>
          <w:tcPr>
            <w:tcW w:w="2321" w:type="dxa"/>
            <w:noWrap w:val="0"/>
            <w:vAlign w:val="center"/>
          </w:tcPr>
          <w:p w14:paraId="026D362D">
            <w:pPr>
              <w:keepNext w:val="0"/>
              <w:keepLines w:val="0"/>
              <w:pageBreakBefore w:val="0"/>
              <w:widowControl w:val="0"/>
              <w:kinsoku/>
              <w:wordWrap/>
              <w:overflowPunct/>
              <w:topLinePunct w:val="0"/>
              <w:bidi w:val="0"/>
              <w:adjustRightInd/>
              <w:spacing w:line="390" w:lineRule="exact"/>
              <w:jc w:val="center"/>
              <w:rPr>
                <w:rFonts w:hint="eastAsia" w:ascii="Times New Roman" w:hAnsi="Times New Roman" w:eastAsia="宋体" w:cs="宋体"/>
                <w:b w:val="0"/>
                <w:bCs/>
                <w:color w:val="000000" w:themeColor="text1"/>
                <w:sz w:val="21"/>
                <w:szCs w:val="21"/>
                <w:highlight w:val="none"/>
                <w14:textFill>
                  <w14:solidFill>
                    <w14:schemeClr w14:val="tx1"/>
                  </w14:solidFill>
                </w14:textFill>
              </w:rPr>
            </w:pPr>
            <w:r>
              <w:rPr>
                <w:rFonts w:hint="eastAsia" w:ascii="Times New Roman" w:hAnsi="Times New Roman" w:eastAsia="宋体" w:cs="宋体"/>
                <w:b w:val="0"/>
                <w:bCs/>
                <w:color w:val="000000" w:themeColor="text1"/>
                <w:sz w:val="21"/>
                <w:szCs w:val="21"/>
                <w:highlight w:val="none"/>
                <w14:textFill>
                  <w14:solidFill>
                    <w14:schemeClr w14:val="tx1"/>
                  </w14:solidFill>
                </w14:textFill>
              </w:rPr>
              <w:t>供应商资格条件</w:t>
            </w:r>
          </w:p>
        </w:tc>
        <w:tc>
          <w:tcPr>
            <w:tcW w:w="6466" w:type="dxa"/>
            <w:noWrap w:val="0"/>
            <w:vAlign w:val="center"/>
          </w:tcPr>
          <w:p w14:paraId="70FFED96">
            <w:pPr>
              <w:keepNext w:val="0"/>
              <w:keepLines w:val="0"/>
              <w:pageBreakBefore w:val="0"/>
              <w:widowControl w:val="0"/>
              <w:kinsoku/>
              <w:wordWrap/>
              <w:overflowPunct/>
              <w:topLinePunct w:val="0"/>
              <w:bidi w:val="0"/>
              <w:adjustRightInd/>
              <w:spacing w:line="390" w:lineRule="exact"/>
              <w:jc w:val="both"/>
              <w:rPr>
                <w:rFonts w:hint="eastAsia" w:ascii="Times New Roman" w:hAnsi="Times New Roman" w:eastAsia="宋体" w:cs="宋体"/>
                <w:color w:val="000000" w:themeColor="text1"/>
                <w:sz w:val="21"/>
                <w:szCs w:val="21"/>
                <w:highlight w:val="none"/>
                <w14:textFill>
                  <w14:solidFill>
                    <w14:schemeClr w14:val="tx1"/>
                  </w14:solidFill>
                </w14:textFill>
              </w:rPr>
            </w:pPr>
            <w:r>
              <w:rPr>
                <w:rFonts w:hint="eastAsia" w:ascii="Times New Roman" w:hAnsi="Times New Roman" w:eastAsia="宋体" w:cs="宋体"/>
                <w:color w:val="000000" w:themeColor="text1"/>
                <w:sz w:val="21"/>
                <w:szCs w:val="21"/>
                <w:highlight w:val="none"/>
                <w14:textFill>
                  <w14:solidFill>
                    <w14:schemeClr w14:val="tx1"/>
                  </w14:solidFill>
                </w14:textFill>
              </w:rPr>
              <w:t>详见竞争性磋商公告。</w:t>
            </w:r>
          </w:p>
        </w:tc>
      </w:tr>
      <w:tr w14:paraId="5825EB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963" w:type="dxa"/>
            <w:noWrap w:val="0"/>
            <w:vAlign w:val="center"/>
          </w:tcPr>
          <w:p w14:paraId="3C43A50F">
            <w:pPr>
              <w:keepNext w:val="0"/>
              <w:keepLines w:val="0"/>
              <w:pageBreakBefore w:val="0"/>
              <w:widowControl w:val="0"/>
              <w:kinsoku/>
              <w:wordWrap/>
              <w:overflowPunct/>
              <w:topLinePunct w:val="0"/>
              <w:bidi w:val="0"/>
              <w:adjustRightInd/>
              <w:spacing w:line="390" w:lineRule="exact"/>
              <w:jc w:val="center"/>
              <w:rPr>
                <w:rFonts w:hint="eastAsia" w:ascii="Times New Roman" w:hAnsi="Times New Roman" w:eastAsia="宋体" w:cs="宋体"/>
                <w:color w:val="000000" w:themeColor="text1"/>
                <w:sz w:val="21"/>
                <w:szCs w:val="21"/>
                <w:highlight w:val="none"/>
                <w14:textFill>
                  <w14:solidFill>
                    <w14:schemeClr w14:val="tx1"/>
                  </w14:solidFill>
                </w14:textFill>
              </w:rPr>
            </w:pPr>
            <w:r>
              <w:rPr>
                <w:rFonts w:hint="eastAsia" w:ascii="Times New Roman" w:hAnsi="Times New Roman" w:eastAsia="宋体" w:cs="宋体"/>
                <w:color w:val="000000" w:themeColor="text1"/>
                <w:sz w:val="21"/>
                <w:szCs w:val="21"/>
                <w:highlight w:val="none"/>
                <w14:textFill>
                  <w14:solidFill>
                    <w14:schemeClr w14:val="tx1"/>
                  </w14:solidFill>
                </w14:textFill>
              </w:rPr>
              <w:t>5.1</w:t>
            </w:r>
          </w:p>
        </w:tc>
        <w:tc>
          <w:tcPr>
            <w:tcW w:w="2321" w:type="dxa"/>
            <w:noWrap w:val="0"/>
            <w:vAlign w:val="center"/>
          </w:tcPr>
          <w:p w14:paraId="3733E5AC">
            <w:pPr>
              <w:keepNext w:val="0"/>
              <w:keepLines w:val="0"/>
              <w:pageBreakBefore w:val="0"/>
              <w:widowControl w:val="0"/>
              <w:kinsoku/>
              <w:wordWrap/>
              <w:overflowPunct/>
              <w:topLinePunct w:val="0"/>
              <w:bidi w:val="0"/>
              <w:adjustRightInd/>
              <w:spacing w:line="390" w:lineRule="exact"/>
              <w:jc w:val="center"/>
              <w:rPr>
                <w:rFonts w:hint="eastAsia" w:ascii="Times New Roman" w:hAnsi="Times New Roman" w:eastAsia="宋体" w:cs="宋体"/>
                <w:b w:val="0"/>
                <w:bCs/>
                <w:color w:val="000000" w:themeColor="text1"/>
                <w:sz w:val="21"/>
                <w:szCs w:val="21"/>
                <w:highlight w:val="none"/>
                <w14:textFill>
                  <w14:solidFill>
                    <w14:schemeClr w14:val="tx1"/>
                  </w14:solidFill>
                </w14:textFill>
              </w:rPr>
            </w:pPr>
            <w:r>
              <w:rPr>
                <w:rFonts w:hint="eastAsia" w:ascii="Times New Roman" w:hAnsi="Times New Roman" w:eastAsia="宋体" w:cs="宋体"/>
                <w:b w:val="0"/>
                <w:bCs/>
                <w:color w:val="000000" w:themeColor="text1"/>
                <w:sz w:val="21"/>
                <w:szCs w:val="21"/>
                <w:highlight w:val="none"/>
                <w14:textFill>
                  <w14:solidFill>
                    <w14:schemeClr w14:val="tx1"/>
                  </w14:solidFill>
                </w14:textFill>
              </w:rPr>
              <w:t>是否接受联合体竞标</w:t>
            </w:r>
          </w:p>
        </w:tc>
        <w:tc>
          <w:tcPr>
            <w:tcW w:w="6466" w:type="dxa"/>
            <w:noWrap w:val="0"/>
            <w:vAlign w:val="center"/>
          </w:tcPr>
          <w:p w14:paraId="4A4EC588">
            <w:pPr>
              <w:keepNext w:val="0"/>
              <w:keepLines w:val="0"/>
              <w:pageBreakBefore w:val="0"/>
              <w:widowControl w:val="0"/>
              <w:kinsoku/>
              <w:wordWrap/>
              <w:overflowPunct/>
              <w:topLinePunct w:val="0"/>
              <w:bidi w:val="0"/>
              <w:adjustRightInd/>
              <w:spacing w:line="390" w:lineRule="exact"/>
              <w:jc w:val="both"/>
              <w:rPr>
                <w:rFonts w:hint="eastAsia" w:ascii="Times New Roman" w:hAnsi="Times New Roman" w:eastAsia="宋体" w:cs="宋体"/>
                <w:color w:val="000000" w:themeColor="text1"/>
                <w:sz w:val="21"/>
                <w:szCs w:val="21"/>
                <w:highlight w:val="none"/>
                <w14:textFill>
                  <w14:solidFill>
                    <w14:schemeClr w14:val="tx1"/>
                  </w14:solidFill>
                </w14:textFill>
              </w:rPr>
            </w:pPr>
            <w:bookmarkStart w:id="73" w:name="PO_3000001868_PM007"/>
            <w:r>
              <w:rPr>
                <w:rFonts w:hint="eastAsia" w:ascii="Times New Roman" w:hAnsi="Times New Roman" w:eastAsia="宋体" w:cs="宋体"/>
                <w:color w:val="000000" w:themeColor="text1"/>
                <w:sz w:val="21"/>
                <w:szCs w:val="21"/>
                <w:highlight w:val="none"/>
                <w14:textFill>
                  <w14:solidFill>
                    <w14:schemeClr w14:val="tx1"/>
                  </w14:solidFill>
                </w14:textFill>
              </w:rPr>
              <w:t>详见竞争性磋商公告</w:t>
            </w:r>
            <w:bookmarkEnd w:id="73"/>
          </w:p>
        </w:tc>
      </w:tr>
      <w:tr w14:paraId="728580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963" w:type="dxa"/>
            <w:noWrap w:val="0"/>
            <w:vAlign w:val="center"/>
          </w:tcPr>
          <w:p w14:paraId="4B4A2F5D">
            <w:pPr>
              <w:keepNext w:val="0"/>
              <w:keepLines w:val="0"/>
              <w:pageBreakBefore w:val="0"/>
              <w:widowControl w:val="0"/>
              <w:kinsoku/>
              <w:wordWrap/>
              <w:overflowPunct/>
              <w:topLinePunct w:val="0"/>
              <w:bidi w:val="0"/>
              <w:adjustRightInd/>
              <w:spacing w:line="390" w:lineRule="exact"/>
              <w:jc w:val="center"/>
              <w:rPr>
                <w:rFonts w:hint="eastAsia" w:ascii="Times New Roman" w:hAnsi="Times New Roman" w:eastAsia="宋体" w:cs="宋体"/>
                <w:color w:val="000000" w:themeColor="text1"/>
                <w:sz w:val="21"/>
                <w:szCs w:val="21"/>
                <w:highlight w:val="none"/>
                <w14:textFill>
                  <w14:solidFill>
                    <w14:schemeClr w14:val="tx1"/>
                  </w14:solidFill>
                </w14:textFill>
              </w:rPr>
            </w:pPr>
            <w:r>
              <w:rPr>
                <w:rFonts w:hint="eastAsia" w:ascii="Times New Roman" w:hAnsi="Times New Roman" w:eastAsia="宋体" w:cs="宋体"/>
                <w:color w:val="000000" w:themeColor="text1"/>
                <w:sz w:val="21"/>
                <w:szCs w:val="21"/>
                <w:highlight w:val="none"/>
                <w14:textFill>
                  <w14:solidFill>
                    <w14:schemeClr w14:val="tx1"/>
                  </w14:solidFill>
                </w14:textFill>
              </w:rPr>
              <w:t>5.2</w:t>
            </w:r>
          </w:p>
        </w:tc>
        <w:tc>
          <w:tcPr>
            <w:tcW w:w="2321" w:type="dxa"/>
            <w:noWrap w:val="0"/>
            <w:vAlign w:val="center"/>
          </w:tcPr>
          <w:p w14:paraId="0AB434CA">
            <w:pPr>
              <w:keepNext w:val="0"/>
              <w:keepLines w:val="0"/>
              <w:pageBreakBefore w:val="0"/>
              <w:widowControl w:val="0"/>
              <w:kinsoku/>
              <w:wordWrap/>
              <w:overflowPunct/>
              <w:topLinePunct w:val="0"/>
              <w:bidi w:val="0"/>
              <w:adjustRightInd/>
              <w:spacing w:line="390" w:lineRule="exact"/>
              <w:jc w:val="center"/>
              <w:rPr>
                <w:rFonts w:hint="eastAsia" w:ascii="Times New Roman" w:hAnsi="Times New Roman" w:eastAsia="宋体" w:cs="宋体"/>
                <w:b w:val="0"/>
                <w:bCs/>
                <w:color w:val="000000" w:themeColor="text1"/>
                <w:sz w:val="21"/>
                <w:szCs w:val="21"/>
                <w:highlight w:val="none"/>
                <w14:textFill>
                  <w14:solidFill>
                    <w14:schemeClr w14:val="tx1"/>
                  </w14:solidFill>
                </w14:textFill>
              </w:rPr>
            </w:pPr>
            <w:r>
              <w:rPr>
                <w:rFonts w:hint="eastAsia" w:ascii="Times New Roman" w:hAnsi="Times New Roman" w:eastAsia="宋体" w:cs="宋体"/>
                <w:b w:val="0"/>
                <w:bCs/>
                <w:color w:val="000000" w:themeColor="text1"/>
                <w:sz w:val="21"/>
                <w:szCs w:val="21"/>
                <w:highlight w:val="none"/>
                <w14:textFill>
                  <w14:solidFill>
                    <w14:schemeClr w14:val="tx1"/>
                  </w14:solidFill>
                </w14:textFill>
              </w:rPr>
              <w:t>联合体竞标要求</w:t>
            </w:r>
          </w:p>
        </w:tc>
        <w:tc>
          <w:tcPr>
            <w:tcW w:w="6466" w:type="dxa"/>
            <w:noWrap w:val="0"/>
            <w:vAlign w:val="center"/>
          </w:tcPr>
          <w:p w14:paraId="2E955ABB">
            <w:pPr>
              <w:keepNext w:val="0"/>
              <w:keepLines w:val="0"/>
              <w:pageBreakBefore w:val="0"/>
              <w:widowControl w:val="0"/>
              <w:kinsoku/>
              <w:wordWrap/>
              <w:overflowPunct/>
              <w:topLinePunct w:val="0"/>
              <w:bidi w:val="0"/>
              <w:adjustRightInd/>
              <w:spacing w:line="390" w:lineRule="exact"/>
              <w:jc w:val="both"/>
              <w:rPr>
                <w:rFonts w:hint="eastAsia" w:ascii="Times New Roman" w:hAnsi="Times New Roman" w:eastAsia="宋体" w:cs="宋体"/>
                <w:color w:val="000000" w:themeColor="text1"/>
                <w:sz w:val="21"/>
                <w:szCs w:val="21"/>
                <w:highlight w:val="none"/>
                <w14:textFill>
                  <w14:solidFill>
                    <w14:schemeClr w14:val="tx1"/>
                  </w14:solidFill>
                </w14:textFill>
              </w:rPr>
            </w:pPr>
            <w:r>
              <w:rPr>
                <w:rFonts w:hint="eastAsia" w:ascii="Times New Roman" w:hAnsi="Times New Roman" w:eastAsia="宋体" w:cs="宋体"/>
                <w:color w:val="000000" w:themeColor="text1"/>
                <w:sz w:val="21"/>
                <w:szCs w:val="21"/>
                <w:highlight w:val="none"/>
                <w14:textFill>
                  <w14:solidFill>
                    <w14:schemeClr w14:val="tx1"/>
                  </w14:solidFill>
                </w14:textFill>
              </w:rPr>
              <w:t>无</w:t>
            </w:r>
          </w:p>
        </w:tc>
      </w:tr>
      <w:tr w14:paraId="27E448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963" w:type="dxa"/>
            <w:noWrap w:val="0"/>
            <w:vAlign w:val="center"/>
          </w:tcPr>
          <w:p w14:paraId="048603C8">
            <w:pPr>
              <w:keepNext w:val="0"/>
              <w:keepLines w:val="0"/>
              <w:pageBreakBefore w:val="0"/>
              <w:widowControl w:val="0"/>
              <w:kinsoku/>
              <w:wordWrap/>
              <w:overflowPunct/>
              <w:topLinePunct w:val="0"/>
              <w:bidi w:val="0"/>
              <w:adjustRightInd/>
              <w:spacing w:line="390" w:lineRule="exact"/>
              <w:jc w:val="center"/>
              <w:rPr>
                <w:rFonts w:hint="eastAsia" w:ascii="Times New Roman" w:hAnsi="Times New Roman" w:eastAsia="宋体" w:cs="宋体"/>
                <w:color w:val="000000" w:themeColor="text1"/>
                <w:sz w:val="21"/>
                <w:szCs w:val="21"/>
                <w:highlight w:val="none"/>
                <w14:textFill>
                  <w14:solidFill>
                    <w14:schemeClr w14:val="tx1"/>
                  </w14:solidFill>
                </w14:textFill>
              </w:rPr>
            </w:pPr>
            <w:r>
              <w:rPr>
                <w:rFonts w:hint="eastAsia" w:ascii="Times New Roman" w:hAnsi="Times New Roman" w:eastAsia="宋体" w:cs="宋体"/>
                <w:color w:val="000000" w:themeColor="text1"/>
                <w:sz w:val="21"/>
                <w:szCs w:val="21"/>
                <w:highlight w:val="none"/>
                <w14:textFill>
                  <w14:solidFill>
                    <w14:schemeClr w14:val="tx1"/>
                  </w14:solidFill>
                </w14:textFill>
              </w:rPr>
              <w:t>6.1</w:t>
            </w:r>
          </w:p>
        </w:tc>
        <w:tc>
          <w:tcPr>
            <w:tcW w:w="2321" w:type="dxa"/>
            <w:noWrap w:val="0"/>
            <w:vAlign w:val="center"/>
          </w:tcPr>
          <w:p w14:paraId="58363E87">
            <w:pPr>
              <w:keepNext w:val="0"/>
              <w:keepLines w:val="0"/>
              <w:pageBreakBefore w:val="0"/>
              <w:widowControl w:val="0"/>
              <w:kinsoku/>
              <w:wordWrap/>
              <w:overflowPunct/>
              <w:topLinePunct w:val="0"/>
              <w:bidi w:val="0"/>
              <w:adjustRightInd/>
              <w:spacing w:line="390" w:lineRule="exact"/>
              <w:jc w:val="center"/>
              <w:rPr>
                <w:rFonts w:hint="eastAsia" w:ascii="Times New Roman" w:hAnsi="Times New Roman" w:eastAsia="宋体" w:cs="宋体"/>
                <w:b w:val="0"/>
                <w:bCs/>
                <w:color w:val="000000" w:themeColor="text1"/>
                <w:sz w:val="21"/>
                <w:szCs w:val="21"/>
                <w:highlight w:val="none"/>
                <w14:textFill>
                  <w14:solidFill>
                    <w14:schemeClr w14:val="tx1"/>
                  </w14:solidFill>
                </w14:textFill>
              </w:rPr>
            </w:pPr>
            <w:r>
              <w:rPr>
                <w:rFonts w:hint="eastAsia" w:ascii="Times New Roman" w:hAnsi="Times New Roman" w:eastAsia="宋体" w:cs="宋体"/>
                <w:b w:val="0"/>
                <w:bCs/>
                <w:color w:val="000000" w:themeColor="text1"/>
                <w:sz w:val="21"/>
                <w:szCs w:val="21"/>
                <w:highlight w:val="none"/>
                <w14:textFill>
                  <w14:solidFill>
                    <w14:schemeClr w14:val="tx1"/>
                  </w14:solidFill>
                </w14:textFill>
              </w:rPr>
              <w:t>是否允许分包</w:t>
            </w:r>
          </w:p>
        </w:tc>
        <w:tc>
          <w:tcPr>
            <w:tcW w:w="6466" w:type="dxa"/>
            <w:noWrap w:val="0"/>
            <w:vAlign w:val="center"/>
          </w:tcPr>
          <w:p w14:paraId="389711CE">
            <w:pPr>
              <w:pStyle w:val="12"/>
              <w:keepNext w:val="0"/>
              <w:keepLines w:val="0"/>
              <w:pageBreakBefore w:val="0"/>
              <w:widowControl w:val="0"/>
              <w:kinsoku/>
              <w:wordWrap/>
              <w:overflowPunct/>
              <w:topLinePunct w:val="0"/>
              <w:bidi w:val="0"/>
              <w:adjustRightInd/>
              <w:spacing w:line="390" w:lineRule="exact"/>
              <w:jc w:val="both"/>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☑不允许分包</w:t>
            </w:r>
          </w:p>
          <w:p w14:paraId="647A63C0">
            <w:pPr>
              <w:pStyle w:val="12"/>
              <w:keepNext w:val="0"/>
              <w:keepLines w:val="0"/>
              <w:pageBreakBefore w:val="0"/>
              <w:widowControl w:val="0"/>
              <w:kinsoku/>
              <w:wordWrap/>
              <w:overflowPunct/>
              <w:topLinePunct w:val="0"/>
              <w:bidi w:val="0"/>
              <w:adjustRightInd/>
              <w:spacing w:line="390" w:lineRule="exact"/>
              <w:jc w:val="both"/>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□允许分包</w:t>
            </w:r>
          </w:p>
          <w:p w14:paraId="359160ED">
            <w:pPr>
              <w:pStyle w:val="12"/>
              <w:keepNext w:val="0"/>
              <w:keepLines w:val="0"/>
              <w:pageBreakBefore w:val="0"/>
              <w:widowControl w:val="0"/>
              <w:kinsoku/>
              <w:wordWrap/>
              <w:overflowPunct/>
              <w:topLinePunct w:val="0"/>
              <w:bidi w:val="0"/>
              <w:adjustRightInd/>
              <w:spacing w:line="390" w:lineRule="exact"/>
              <w:jc w:val="both"/>
              <w:rPr>
                <w:rFonts w:hint="eastAsia" w:ascii="Times New Roman" w:hAnsi="Times New Roman" w:eastAsia="宋体" w:cs="宋体"/>
                <w:color w:val="000000" w:themeColor="text1"/>
                <w:sz w:val="21"/>
                <w:szCs w:val="21"/>
                <w:highlight w:val="none"/>
                <w:u w:val="single"/>
                <w:lang w:val="en-US" w:eastAsia="zh-CN"/>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分包内容：</w:t>
            </w:r>
            <w:r>
              <w:rPr>
                <w:rFonts w:hint="eastAsia" w:ascii="Times New Roman" w:hAnsi="Times New Roman" w:eastAsia="宋体" w:cs="宋体"/>
                <w:color w:val="000000" w:themeColor="text1"/>
                <w:sz w:val="21"/>
                <w:szCs w:val="21"/>
                <w:highlight w:val="none"/>
                <w:u w:val="single"/>
                <w:lang w:val="en-US" w:eastAsia="zh-CN"/>
                <w14:textFill>
                  <w14:solidFill>
                    <w14:schemeClr w14:val="tx1"/>
                  </w14:solidFill>
                </w14:textFill>
              </w:rPr>
              <w:t xml:space="preserve"> </w:t>
            </w:r>
            <w:r>
              <w:rPr>
                <w:rFonts w:hint="eastAsia" w:ascii="Times New Roman" w:hAnsi="Times New Roman" w:cs="宋体"/>
                <w:color w:val="000000" w:themeColor="text1"/>
                <w:sz w:val="21"/>
                <w:szCs w:val="21"/>
                <w:highlight w:val="none"/>
                <w:u w:val="single"/>
                <w:lang w:val="en-US" w:eastAsia="zh-CN"/>
                <w14:textFill>
                  <w14:solidFill>
                    <w14:schemeClr w14:val="tx1"/>
                  </w14:solidFill>
                </w14:textFill>
              </w:rPr>
              <w:t>/</w:t>
            </w:r>
            <w:r>
              <w:rPr>
                <w:rFonts w:hint="eastAsia" w:ascii="Times New Roman" w:hAnsi="Times New Roman" w:eastAsia="宋体" w:cs="宋体"/>
                <w:color w:val="000000" w:themeColor="text1"/>
                <w:sz w:val="21"/>
                <w:szCs w:val="21"/>
                <w:highlight w:val="none"/>
                <w:u w:val="single"/>
                <w:lang w:val="en-US" w:eastAsia="zh-CN"/>
                <w14:textFill>
                  <w14:solidFill>
                    <w14:schemeClr w14:val="tx1"/>
                  </w14:solidFill>
                </w14:textFill>
              </w:rPr>
              <w:t xml:space="preserve"> </w:t>
            </w:r>
            <w:r>
              <w:rPr>
                <w:rFonts w:hint="eastAsia" w:ascii="Times New Roman" w:hAnsi="Times New Roman" w:eastAsia="宋体" w:cs="宋体"/>
                <w:color w:val="000000" w:themeColor="text1"/>
                <w:sz w:val="21"/>
                <w:szCs w:val="21"/>
                <w:highlight w:val="none"/>
                <w:u w:val="none"/>
                <w:lang w:val="en-US" w:eastAsia="zh-CN"/>
                <w14:textFill>
                  <w14:solidFill>
                    <w14:schemeClr w14:val="tx1"/>
                  </w14:solidFill>
                </w14:textFill>
              </w:rPr>
              <w:t>。</w:t>
            </w:r>
          </w:p>
          <w:p w14:paraId="4A9CC888">
            <w:pPr>
              <w:pStyle w:val="12"/>
              <w:keepNext w:val="0"/>
              <w:keepLines w:val="0"/>
              <w:pageBreakBefore w:val="0"/>
              <w:widowControl w:val="0"/>
              <w:kinsoku/>
              <w:wordWrap/>
              <w:overflowPunct/>
              <w:topLinePunct w:val="0"/>
              <w:bidi w:val="0"/>
              <w:adjustRightInd/>
              <w:spacing w:line="390" w:lineRule="exact"/>
              <w:jc w:val="both"/>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分包金额或者比例：</w:t>
            </w:r>
            <w:r>
              <w:rPr>
                <w:rFonts w:hint="eastAsia" w:ascii="Times New Roman" w:hAnsi="Times New Roman" w:eastAsia="宋体" w:cs="宋体"/>
                <w:color w:val="000000" w:themeColor="text1"/>
                <w:sz w:val="21"/>
                <w:szCs w:val="21"/>
                <w:highlight w:val="none"/>
                <w:u w:val="single"/>
                <w:lang w:val="en-US" w:eastAsia="zh-CN"/>
                <w14:textFill>
                  <w14:solidFill>
                    <w14:schemeClr w14:val="tx1"/>
                  </w14:solidFill>
                </w14:textFill>
              </w:rPr>
              <w:t xml:space="preserve"> </w:t>
            </w:r>
            <w:r>
              <w:rPr>
                <w:rFonts w:hint="eastAsia" w:ascii="Times New Roman" w:hAnsi="Times New Roman" w:cs="宋体"/>
                <w:color w:val="000000" w:themeColor="text1"/>
                <w:sz w:val="21"/>
                <w:szCs w:val="21"/>
                <w:highlight w:val="none"/>
                <w:u w:val="single"/>
                <w:lang w:val="en-US" w:eastAsia="zh-CN"/>
                <w14:textFill>
                  <w14:solidFill>
                    <w14:schemeClr w14:val="tx1"/>
                  </w14:solidFill>
                </w14:textFill>
              </w:rPr>
              <w:t>/</w:t>
            </w:r>
            <w:r>
              <w:rPr>
                <w:rFonts w:hint="eastAsia" w:ascii="Times New Roman" w:hAnsi="Times New Roman" w:eastAsia="宋体" w:cs="宋体"/>
                <w:color w:val="000000" w:themeColor="text1"/>
                <w:sz w:val="21"/>
                <w:szCs w:val="21"/>
                <w:highlight w:val="none"/>
                <w:u w:val="single"/>
                <w:lang w:val="en-US" w:eastAsia="zh-CN"/>
                <w14:textFill>
                  <w14:solidFill>
                    <w14:schemeClr w14:val="tx1"/>
                  </w14:solidFill>
                </w14:textFill>
              </w:rPr>
              <w:t xml:space="preserve"> </w:t>
            </w:r>
            <w:r>
              <w:rPr>
                <w:rFonts w:hint="eastAsia" w:ascii="Times New Roman" w:hAnsi="Times New Roman" w:eastAsia="宋体" w:cs="宋体"/>
                <w:color w:val="000000" w:themeColor="text1"/>
                <w:sz w:val="21"/>
                <w:szCs w:val="21"/>
                <w:highlight w:val="none"/>
                <w:u w:val="none"/>
                <w:lang w:val="en-US" w:eastAsia="zh-CN"/>
                <w14:textFill>
                  <w14:solidFill>
                    <w14:schemeClr w14:val="tx1"/>
                  </w14:solidFill>
                </w14:textFill>
              </w:rPr>
              <w:t>。</w:t>
            </w:r>
          </w:p>
        </w:tc>
      </w:tr>
      <w:tr w14:paraId="3FDDD8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963" w:type="dxa"/>
            <w:noWrap w:val="0"/>
            <w:vAlign w:val="center"/>
          </w:tcPr>
          <w:p w14:paraId="11E8FE86">
            <w:pPr>
              <w:keepNext w:val="0"/>
              <w:keepLines w:val="0"/>
              <w:pageBreakBefore w:val="0"/>
              <w:widowControl w:val="0"/>
              <w:kinsoku/>
              <w:wordWrap/>
              <w:overflowPunct/>
              <w:topLinePunct w:val="0"/>
              <w:bidi w:val="0"/>
              <w:adjustRightInd/>
              <w:spacing w:line="390" w:lineRule="exact"/>
              <w:jc w:val="center"/>
              <w:rPr>
                <w:rFonts w:hint="eastAsia" w:ascii="Times New Roman" w:hAnsi="Times New Roman" w:eastAsia="宋体" w:cs="宋体"/>
                <w:color w:val="000000" w:themeColor="text1"/>
                <w:sz w:val="21"/>
                <w:szCs w:val="21"/>
                <w:highlight w:val="none"/>
                <w14:textFill>
                  <w14:solidFill>
                    <w14:schemeClr w14:val="tx1"/>
                  </w14:solidFill>
                </w14:textFill>
              </w:rPr>
            </w:pPr>
            <w:r>
              <w:rPr>
                <w:rFonts w:hint="eastAsia" w:ascii="Times New Roman" w:hAnsi="Times New Roman" w:eastAsia="宋体" w:cs="宋体"/>
                <w:color w:val="000000" w:themeColor="text1"/>
                <w:sz w:val="21"/>
                <w:szCs w:val="21"/>
                <w:highlight w:val="none"/>
                <w14:textFill>
                  <w14:solidFill>
                    <w14:schemeClr w14:val="tx1"/>
                  </w14:solidFill>
                </w14:textFill>
              </w:rPr>
              <w:t>12.1.1</w:t>
            </w:r>
          </w:p>
        </w:tc>
        <w:tc>
          <w:tcPr>
            <w:tcW w:w="2321" w:type="dxa"/>
            <w:noWrap w:val="0"/>
            <w:vAlign w:val="center"/>
          </w:tcPr>
          <w:p w14:paraId="295B0DAA">
            <w:pPr>
              <w:keepNext w:val="0"/>
              <w:keepLines w:val="0"/>
              <w:pageBreakBefore w:val="0"/>
              <w:widowControl w:val="0"/>
              <w:kinsoku/>
              <w:wordWrap/>
              <w:overflowPunct/>
              <w:topLinePunct w:val="0"/>
              <w:bidi w:val="0"/>
              <w:adjustRightInd/>
              <w:snapToGrid w:val="0"/>
              <w:spacing w:line="390" w:lineRule="exact"/>
              <w:jc w:val="center"/>
              <w:rPr>
                <w:rFonts w:hint="eastAsia" w:ascii="Times New Roman" w:hAnsi="Times New Roman" w:eastAsia="宋体" w:cs="宋体"/>
                <w:b w:val="0"/>
                <w:bCs/>
                <w:color w:val="000000" w:themeColor="text1"/>
                <w:sz w:val="21"/>
                <w:szCs w:val="21"/>
                <w:highlight w:val="none"/>
                <w14:textFill>
                  <w14:solidFill>
                    <w14:schemeClr w14:val="tx1"/>
                  </w14:solidFill>
                </w14:textFill>
              </w:rPr>
            </w:pPr>
            <w:r>
              <w:rPr>
                <w:rFonts w:hint="eastAsia" w:ascii="Times New Roman" w:hAnsi="Times New Roman" w:eastAsia="宋体" w:cs="宋体"/>
                <w:b w:val="0"/>
                <w:bCs/>
                <w:color w:val="000000" w:themeColor="text1"/>
                <w:sz w:val="21"/>
                <w:szCs w:val="21"/>
                <w:highlight w:val="none"/>
                <w14:textFill>
                  <w14:solidFill>
                    <w14:schemeClr w14:val="tx1"/>
                  </w14:solidFill>
                </w14:textFill>
              </w:rPr>
              <w:t>资格证明文件组成</w:t>
            </w:r>
          </w:p>
        </w:tc>
        <w:tc>
          <w:tcPr>
            <w:tcW w:w="6466" w:type="dxa"/>
            <w:noWrap w:val="0"/>
            <w:vAlign w:val="center"/>
          </w:tcPr>
          <w:p w14:paraId="78823010">
            <w:pPr>
              <w:pStyle w:val="12"/>
              <w:keepNext w:val="0"/>
              <w:keepLines w:val="0"/>
              <w:pageBreakBefore w:val="0"/>
              <w:widowControl w:val="0"/>
              <w:kinsoku/>
              <w:wordWrap/>
              <w:overflowPunct/>
              <w:topLinePunct w:val="0"/>
              <w:bidi w:val="0"/>
              <w:adjustRightInd/>
              <w:spacing w:line="390" w:lineRule="exact"/>
              <w:jc w:val="both"/>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1.供应商法人或者其他组织的提供其营业执照等证明文件复印件（如营业执照或者事业单位法人证书或者执业许可证等），供应商为自然人的提供其有效身份证正反面复印件；（</w:t>
            </w:r>
            <w:r>
              <w:rPr>
                <w:rFonts w:hint="eastAsia" w:ascii="Times New Roman" w:hAnsi="Times New Roman" w:eastAsia="宋体" w:cs="宋体"/>
                <w:b/>
                <w:color w:val="000000" w:themeColor="text1"/>
                <w:sz w:val="21"/>
                <w:szCs w:val="21"/>
                <w:highlight w:val="none"/>
                <w:lang w:val="en-US" w:eastAsia="zh-CN"/>
                <w14:textFill>
                  <w14:solidFill>
                    <w14:schemeClr w14:val="tx1"/>
                  </w14:solidFill>
                </w14:textFill>
              </w:rPr>
              <w:t>必须提供，否则响应文件按无效响应处理</w:t>
            </w: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w:t>
            </w:r>
          </w:p>
          <w:p w14:paraId="76216011">
            <w:pPr>
              <w:keepNext w:val="0"/>
              <w:keepLines w:val="0"/>
              <w:pageBreakBefore w:val="0"/>
              <w:widowControl w:val="0"/>
              <w:kinsoku/>
              <w:wordWrap/>
              <w:overflowPunct/>
              <w:topLinePunct w:val="0"/>
              <w:bidi w:val="0"/>
              <w:adjustRightInd/>
              <w:snapToGrid w:val="0"/>
              <w:spacing w:line="390" w:lineRule="exact"/>
              <w:jc w:val="both"/>
              <w:rPr>
                <w:rFonts w:hint="eastAsia" w:ascii="Times New Roman" w:hAnsi="Times New Roman" w:eastAsia="宋体" w:cs="宋体"/>
                <w:color w:val="000000" w:themeColor="text1"/>
                <w:sz w:val="21"/>
                <w:szCs w:val="21"/>
                <w:highlight w:val="none"/>
                <w14:textFill>
                  <w14:solidFill>
                    <w14:schemeClr w14:val="tx1"/>
                  </w14:solidFill>
                </w14:textFill>
              </w:rPr>
            </w:pPr>
            <w:r>
              <w:rPr>
                <w:rFonts w:hint="eastAsia" w:ascii="Times New Roman" w:hAnsi="Times New Roman" w:eastAsia="宋体" w:cs="宋体"/>
                <w:color w:val="000000" w:themeColor="text1"/>
                <w:sz w:val="21"/>
                <w:szCs w:val="21"/>
                <w:highlight w:val="none"/>
                <w14:textFill>
                  <w14:solidFill>
                    <w14:schemeClr w14:val="tx1"/>
                  </w14:solidFill>
                </w14:textFill>
              </w:rPr>
              <w:t>2.供应商依法缴纳税收的相关材料（</w:t>
            </w:r>
            <w:r>
              <w:rPr>
                <w:rFonts w:hint="eastAsia" w:ascii="Times New Roman" w:hAnsi="Times New Roman" w:eastAsia="宋体" w:cs="宋体"/>
                <w:color w:val="000000" w:themeColor="text1"/>
                <w:sz w:val="21"/>
                <w:szCs w:val="21"/>
                <w:highlight w:val="none"/>
                <w:u w:val="none"/>
                <w:lang w:val="en-US" w:eastAsia="zh-CN"/>
                <w14:textFill>
                  <w14:solidFill>
                    <w14:schemeClr w14:val="tx1"/>
                  </w14:solidFill>
                </w14:textFill>
              </w:rPr>
              <w:t>提供税款所属时期为</w:t>
            </w:r>
            <w:r>
              <w:rPr>
                <w:rFonts w:hint="eastAsia" w:ascii="Times New Roman" w:hAnsi="Times New Roman" w:eastAsia="宋体" w:cs="宋体"/>
                <w:color w:val="000000" w:themeColor="text1"/>
                <w:sz w:val="21"/>
                <w:szCs w:val="21"/>
                <w:highlight w:val="none"/>
                <w:u w:val="single"/>
                <w:lang w:val="en-US" w:eastAsia="zh-CN"/>
                <w14:textFill>
                  <w14:solidFill>
                    <w14:schemeClr w14:val="tx1"/>
                  </w14:solidFill>
                </w14:textFill>
              </w:rPr>
              <w:t>202</w:t>
            </w:r>
            <w:r>
              <w:rPr>
                <w:rFonts w:hint="eastAsia" w:ascii="Times New Roman" w:hAnsi="Times New Roman" w:cs="宋体"/>
                <w:color w:val="000000" w:themeColor="text1"/>
                <w:sz w:val="21"/>
                <w:szCs w:val="21"/>
                <w:highlight w:val="none"/>
                <w:u w:val="single"/>
                <w:lang w:val="en-US" w:eastAsia="zh-CN"/>
                <w14:textFill>
                  <w14:solidFill>
                    <w14:schemeClr w14:val="tx1"/>
                  </w14:solidFill>
                </w14:textFill>
              </w:rPr>
              <w:t>5</w:t>
            </w:r>
            <w:r>
              <w:rPr>
                <w:rFonts w:hint="eastAsia" w:ascii="Times New Roman" w:hAnsi="Times New Roman" w:eastAsia="宋体" w:cs="宋体"/>
                <w:color w:val="000000" w:themeColor="text1"/>
                <w:sz w:val="21"/>
                <w:szCs w:val="21"/>
                <w:highlight w:val="none"/>
                <w14:textFill>
                  <w14:solidFill>
                    <w14:schemeClr w14:val="tx1"/>
                  </w14:solidFill>
                </w14:textFill>
              </w:rPr>
              <w:t>年</w:t>
            </w:r>
            <w:r>
              <w:rPr>
                <w:rFonts w:hint="eastAsia" w:ascii="Times New Roman" w:hAnsi="Times New Roman" w:cs="宋体"/>
                <w:color w:val="000000" w:themeColor="text1"/>
                <w:sz w:val="21"/>
                <w:szCs w:val="21"/>
                <w:highlight w:val="none"/>
                <w:u w:val="single"/>
                <w:lang w:val="en-US" w:eastAsia="zh-CN"/>
                <w14:textFill>
                  <w14:solidFill>
                    <w14:schemeClr w14:val="tx1"/>
                  </w14:solidFill>
                </w14:textFill>
              </w:rPr>
              <w:t>8</w:t>
            </w:r>
            <w:r>
              <w:rPr>
                <w:rFonts w:hint="eastAsia" w:ascii="Times New Roman" w:hAnsi="Times New Roman" w:eastAsia="宋体" w:cs="宋体"/>
                <w:color w:val="000000" w:themeColor="text1"/>
                <w:sz w:val="21"/>
                <w:szCs w:val="21"/>
                <w:highlight w:val="none"/>
                <w14:textFill>
                  <w14:solidFill>
                    <w14:schemeClr w14:val="tx1"/>
                  </w14:solidFill>
                </w14:textFill>
              </w:rPr>
              <w:t>月至</w:t>
            </w: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首次响应</w:t>
            </w:r>
            <w:r>
              <w:rPr>
                <w:rFonts w:hint="eastAsia" w:ascii="Times New Roman" w:hAnsi="Times New Roman" w:eastAsia="宋体" w:cs="宋体"/>
                <w:color w:val="000000" w:themeColor="text1"/>
                <w:sz w:val="21"/>
                <w:szCs w:val="21"/>
                <w:highlight w:val="none"/>
                <w14:textFill>
                  <w14:solidFill>
                    <w14:schemeClr w14:val="tx1"/>
                  </w14:solidFill>
                </w14:textFill>
              </w:rPr>
              <w:t>文件提交截止时间止</w:t>
            </w: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的</w:t>
            </w:r>
            <w:r>
              <w:rPr>
                <w:rFonts w:hint="eastAsia" w:ascii="Times New Roman" w:hAnsi="Times New Roman" w:eastAsia="宋体" w:cs="宋体"/>
                <w:color w:val="000000" w:themeColor="text1"/>
                <w:sz w:val="21"/>
                <w:szCs w:val="21"/>
                <w:highlight w:val="none"/>
                <w:lang w:eastAsia="zh-CN"/>
                <w14:textFill>
                  <w14:solidFill>
                    <w14:schemeClr w14:val="tx1"/>
                  </w14:solidFill>
                </w14:textFill>
              </w:rPr>
              <w:t>任意</w:t>
            </w:r>
            <w:r>
              <w:rPr>
                <w:rFonts w:hint="eastAsia" w:ascii="Times New Roman" w:hAnsi="Times New Roman" w:cs="宋体"/>
                <w:color w:val="000000" w:themeColor="text1"/>
                <w:sz w:val="21"/>
                <w:szCs w:val="21"/>
                <w:highlight w:val="none"/>
                <w:u w:val="single"/>
                <w:lang w:val="en-US" w:eastAsia="zh-CN"/>
                <w14:textFill>
                  <w14:solidFill>
                    <w14:schemeClr w14:val="tx1"/>
                  </w14:solidFill>
                </w14:textFill>
              </w:rPr>
              <w:t>1</w:t>
            </w:r>
            <w:r>
              <w:rPr>
                <w:rFonts w:hint="eastAsia" w:ascii="Times New Roman" w:hAnsi="Times New Roman" w:eastAsia="宋体" w:cs="宋体"/>
                <w:color w:val="000000" w:themeColor="text1"/>
                <w:sz w:val="21"/>
                <w:szCs w:val="21"/>
                <w:highlight w:val="none"/>
                <w14:textFill>
                  <w14:solidFill>
                    <w14:schemeClr w14:val="tx1"/>
                  </w14:solidFill>
                </w14:textFill>
              </w:rPr>
              <w:t>个月的依法缴纳税收的凭据复印件；依法免税的供应商，必须提供相应文件证明其依法免税。从取得营业执照时间起到首次响应文件提交截止时间为止不足要求月数的，只需提供从取得营业执照起的依法缴纳税收相应证明文件）；（</w:t>
            </w:r>
            <w:r>
              <w:rPr>
                <w:rFonts w:hint="eastAsia" w:ascii="Times New Roman" w:hAnsi="Times New Roman" w:eastAsia="宋体" w:cs="宋体"/>
                <w:b/>
                <w:color w:val="000000" w:themeColor="text1"/>
                <w:sz w:val="21"/>
                <w:szCs w:val="21"/>
                <w:highlight w:val="none"/>
                <w14:textFill>
                  <w14:solidFill>
                    <w14:schemeClr w14:val="tx1"/>
                  </w14:solidFill>
                </w14:textFill>
              </w:rPr>
              <w:t>必须提供，否则响应文件按无效响应处理</w:t>
            </w:r>
            <w:r>
              <w:rPr>
                <w:rFonts w:hint="eastAsia" w:ascii="Times New Roman" w:hAnsi="Times New Roman" w:eastAsia="宋体" w:cs="宋体"/>
                <w:color w:val="000000" w:themeColor="text1"/>
                <w:sz w:val="21"/>
                <w:szCs w:val="21"/>
                <w:highlight w:val="none"/>
                <w14:textFill>
                  <w14:solidFill>
                    <w14:schemeClr w14:val="tx1"/>
                  </w14:solidFill>
                </w14:textFill>
              </w:rPr>
              <w:t>）</w:t>
            </w:r>
          </w:p>
          <w:p w14:paraId="5D30425D">
            <w:pPr>
              <w:keepNext w:val="0"/>
              <w:keepLines w:val="0"/>
              <w:pageBreakBefore w:val="0"/>
              <w:widowControl w:val="0"/>
              <w:kinsoku/>
              <w:wordWrap/>
              <w:overflowPunct/>
              <w:topLinePunct w:val="0"/>
              <w:bidi w:val="0"/>
              <w:adjustRightInd/>
              <w:snapToGrid w:val="0"/>
              <w:spacing w:line="390" w:lineRule="exact"/>
              <w:jc w:val="both"/>
              <w:rPr>
                <w:rFonts w:hint="eastAsia" w:ascii="Times New Roman" w:hAnsi="Times New Roman" w:eastAsia="宋体" w:cs="宋体"/>
                <w:color w:val="000000" w:themeColor="text1"/>
                <w:sz w:val="21"/>
                <w:szCs w:val="21"/>
                <w:highlight w:val="none"/>
                <w14:textFill>
                  <w14:solidFill>
                    <w14:schemeClr w14:val="tx1"/>
                  </w14:solidFill>
                </w14:textFill>
              </w:rPr>
            </w:pPr>
            <w:r>
              <w:rPr>
                <w:rFonts w:hint="eastAsia" w:ascii="Times New Roman" w:hAnsi="Times New Roman" w:eastAsia="宋体" w:cs="宋体"/>
                <w:color w:val="000000" w:themeColor="text1"/>
                <w:sz w:val="21"/>
                <w:szCs w:val="21"/>
                <w:highlight w:val="none"/>
                <w14:textFill>
                  <w14:solidFill>
                    <w14:schemeClr w14:val="tx1"/>
                  </w14:solidFill>
                </w14:textFill>
              </w:rPr>
              <w:t>3.供应商依法缴纳社会保障资金的相关材料（</w:t>
            </w:r>
            <w:r>
              <w:rPr>
                <w:rFonts w:hint="eastAsia" w:ascii="Times New Roman" w:hAnsi="Times New Roman" w:eastAsia="宋体" w:cs="宋体"/>
                <w:color w:val="000000" w:themeColor="text1"/>
                <w:sz w:val="21"/>
                <w:szCs w:val="21"/>
                <w:highlight w:val="none"/>
                <w:u w:val="none"/>
                <w:lang w:val="en-US" w:eastAsia="zh-CN"/>
                <w14:textFill>
                  <w14:solidFill>
                    <w14:schemeClr w14:val="tx1"/>
                  </w14:solidFill>
                </w14:textFill>
              </w:rPr>
              <w:t>提供税款所属时期或缴费起始时间为</w:t>
            </w:r>
            <w:r>
              <w:rPr>
                <w:rFonts w:hint="eastAsia" w:ascii="Times New Roman" w:hAnsi="Times New Roman" w:eastAsia="宋体" w:cs="宋体"/>
                <w:color w:val="000000" w:themeColor="text1"/>
                <w:sz w:val="21"/>
                <w:szCs w:val="21"/>
                <w:highlight w:val="none"/>
                <w:u w:val="single"/>
                <w:lang w:val="en-US" w:eastAsia="zh-CN"/>
                <w14:textFill>
                  <w14:solidFill>
                    <w14:schemeClr w14:val="tx1"/>
                  </w14:solidFill>
                </w14:textFill>
              </w:rPr>
              <w:t>202</w:t>
            </w:r>
            <w:r>
              <w:rPr>
                <w:rFonts w:hint="eastAsia" w:ascii="Times New Roman" w:hAnsi="Times New Roman" w:cs="宋体"/>
                <w:color w:val="000000" w:themeColor="text1"/>
                <w:sz w:val="21"/>
                <w:szCs w:val="21"/>
                <w:highlight w:val="none"/>
                <w:u w:val="single"/>
                <w:lang w:val="en-US" w:eastAsia="zh-CN"/>
                <w14:textFill>
                  <w14:solidFill>
                    <w14:schemeClr w14:val="tx1"/>
                  </w14:solidFill>
                </w14:textFill>
              </w:rPr>
              <w:t>5</w:t>
            </w:r>
            <w:r>
              <w:rPr>
                <w:rFonts w:hint="eastAsia" w:ascii="Times New Roman" w:hAnsi="Times New Roman" w:eastAsia="宋体" w:cs="宋体"/>
                <w:color w:val="000000" w:themeColor="text1"/>
                <w:sz w:val="21"/>
                <w:szCs w:val="21"/>
                <w:highlight w:val="none"/>
                <w14:textFill>
                  <w14:solidFill>
                    <w14:schemeClr w14:val="tx1"/>
                  </w14:solidFill>
                </w14:textFill>
              </w:rPr>
              <w:t>年</w:t>
            </w:r>
            <w:r>
              <w:rPr>
                <w:rFonts w:hint="eastAsia" w:ascii="Times New Roman" w:hAnsi="Times New Roman" w:cs="宋体"/>
                <w:color w:val="000000" w:themeColor="text1"/>
                <w:sz w:val="21"/>
                <w:szCs w:val="21"/>
                <w:highlight w:val="none"/>
                <w:u w:val="single"/>
                <w:lang w:val="en-US" w:eastAsia="zh-CN"/>
                <w14:textFill>
                  <w14:solidFill>
                    <w14:schemeClr w14:val="tx1"/>
                  </w14:solidFill>
                </w14:textFill>
              </w:rPr>
              <w:t>8</w:t>
            </w:r>
            <w:r>
              <w:rPr>
                <w:rFonts w:hint="eastAsia" w:ascii="Times New Roman" w:hAnsi="Times New Roman" w:eastAsia="宋体" w:cs="宋体"/>
                <w:color w:val="000000" w:themeColor="text1"/>
                <w:sz w:val="21"/>
                <w:szCs w:val="21"/>
                <w:highlight w:val="none"/>
                <w14:textFill>
                  <w14:solidFill>
                    <w14:schemeClr w14:val="tx1"/>
                  </w14:solidFill>
                </w14:textFill>
              </w:rPr>
              <w:t>月至</w:t>
            </w: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首次响应</w:t>
            </w:r>
            <w:r>
              <w:rPr>
                <w:rFonts w:hint="eastAsia" w:ascii="Times New Roman" w:hAnsi="Times New Roman" w:eastAsia="宋体" w:cs="宋体"/>
                <w:color w:val="000000" w:themeColor="text1"/>
                <w:sz w:val="21"/>
                <w:szCs w:val="21"/>
                <w:highlight w:val="none"/>
                <w14:textFill>
                  <w14:solidFill>
                    <w14:schemeClr w14:val="tx1"/>
                  </w14:solidFill>
                </w14:textFill>
              </w:rPr>
              <w:t>文件提交截止时间止</w:t>
            </w: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的</w:t>
            </w:r>
            <w:r>
              <w:rPr>
                <w:rFonts w:hint="eastAsia" w:ascii="Times New Roman" w:hAnsi="Times New Roman" w:eastAsia="宋体" w:cs="宋体"/>
                <w:color w:val="000000" w:themeColor="text1"/>
                <w:sz w:val="21"/>
                <w:szCs w:val="21"/>
                <w:highlight w:val="none"/>
                <w:u w:val="none"/>
                <w:lang w:val="en-US" w:eastAsia="zh-CN"/>
                <w14:textFill>
                  <w14:solidFill>
                    <w14:schemeClr w14:val="tx1"/>
                  </w14:solidFill>
                </w14:textFill>
              </w:rPr>
              <w:t>任意</w:t>
            </w:r>
            <w:r>
              <w:rPr>
                <w:rFonts w:hint="eastAsia" w:ascii="Times New Roman" w:hAnsi="Times New Roman" w:cs="宋体"/>
                <w:color w:val="000000" w:themeColor="text1"/>
                <w:sz w:val="21"/>
                <w:szCs w:val="21"/>
                <w:highlight w:val="none"/>
                <w:u w:val="single"/>
                <w:lang w:val="en-US" w:eastAsia="zh-CN"/>
                <w14:textFill>
                  <w14:solidFill>
                    <w14:schemeClr w14:val="tx1"/>
                  </w14:solidFill>
                </w14:textFill>
              </w:rPr>
              <w:t>1</w:t>
            </w:r>
            <w:r>
              <w:rPr>
                <w:rFonts w:hint="eastAsia" w:ascii="Times New Roman" w:hAnsi="Times New Roman" w:eastAsia="宋体" w:cs="宋体"/>
                <w:color w:val="000000" w:themeColor="text1"/>
                <w:sz w:val="21"/>
                <w:szCs w:val="21"/>
                <w:highlight w:val="none"/>
                <w14:textFill>
                  <w14:solidFill>
                    <w14:schemeClr w14:val="tx1"/>
                  </w14:solidFill>
                </w14:textFill>
              </w:rPr>
              <w:t>个月的依法缴纳社会保障资金的缴费凭证复印件；依法不需要缴纳社会保障资金的供应商，必须提供相应文件证明不需要缴纳社会保障资金。从取得营业执照时间起到首次响应文件提交截止时间为止不足要求月数的只需提供从取得营业执照起的依法缴纳社会保障资金的相应证明文件）；（</w:t>
            </w:r>
            <w:r>
              <w:rPr>
                <w:rFonts w:hint="eastAsia" w:ascii="Times New Roman" w:hAnsi="Times New Roman" w:eastAsia="宋体" w:cs="宋体"/>
                <w:b/>
                <w:color w:val="000000" w:themeColor="text1"/>
                <w:sz w:val="21"/>
                <w:szCs w:val="21"/>
                <w:highlight w:val="none"/>
                <w14:textFill>
                  <w14:solidFill>
                    <w14:schemeClr w14:val="tx1"/>
                  </w14:solidFill>
                </w14:textFill>
              </w:rPr>
              <w:t>必须提供，否则响应文件按无效响应处理</w:t>
            </w:r>
            <w:r>
              <w:rPr>
                <w:rFonts w:hint="eastAsia" w:ascii="Times New Roman" w:hAnsi="Times New Roman" w:eastAsia="宋体" w:cs="宋体"/>
                <w:color w:val="000000" w:themeColor="text1"/>
                <w:sz w:val="21"/>
                <w:szCs w:val="21"/>
                <w:highlight w:val="none"/>
                <w14:textFill>
                  <w14:solidFill>
                    <w14:schemeClr w14:val="tx1"/>
                  </w14:solidFill>
                </w14:textFill>
              </w:rPr>
              <w:t>）</w:t>
            </w:r>
          </w:p>
          <w:p w14:paraId="0590E5AE">
            <w:pPr>
              <w:keepNext w:val="0"/>
              <w:keepLines w:val="0"/>
              <w:pageBreakBefore w:val="0"/>
              <w:widowControl w:val="0"/>
              <w:kinsoku/>
              <w:wordWrap/>
              <w:overflowPunct/>
              <w:topLinePunct w:val="0"/>
              <w:bidi w:val="0"/>
              <w:adjustRightInd/>
              <w:snapToGrid w:val="0"/>
              <w:spacing w:line="390" w:lineRule="exact"/>
              <w:jc w:val="both"/>
              <w:rPr>
                <w:rFonts w:hint="eastAsia" w:ascii="Times New Roman" w:hAnsi="Times New Roman" w:eastAsia="宋体" w:cs="宋体"/>
                <w:b/>
                <w:color w:val="000000" w:themeColor="text1"/>
                <w:sz w:val="21"/>
                <w:szCs w:val="21"/>
                <w:highlight w:val="none"/>
                <w14:textFill>
                  <w14:solidFill>
                    <w14:schemeClr w14:val="tx1"/>
                  </w14:solidFill>
                </w14:textFill>
              </w:rPr>
            </w:pPr>
            <w:r>
              <w:rPr>
                <w:rFonts w:hint="eastAsia" w:ascii="Times New Roman" w:hAnsi="Times New Roman" w:eastAsia="宋体" w:cs="宋体"/>
                <w:color w:val="000000" w:themeColor="text1"/>
                <w:sz w:val="21"/>
                <w:szCs w:val="21"/>
                <w:highlight w:val="none"/>
                <w14:textFill>
                  <w14:solidFill>
                    <w14:schemeClr w14:val="tx1"/>
                  </w14:solidFill>
                </w14:textFill>
              </w:rPr>
              <w:t>4.供应商财务状况报告（提供</w:t>
            </w:r>
            <w:r>
              <w:rPr>
                <w:rFonts w:hint="eastAsia" w:ascii="Times New Roman" w:hAnsi="Times New Roman" w:cs="宋体"/>
                <w:b/>
                <w:bCs/>
                <w:color w:val="000000" w:themeColor="text1"/>
                <w:sz w:val="21"/>
                <w:szCs w:val="21"/>
                <w:highlight w:val="none"/>
                <w:u w:val="single"/>
                <w:lang w:val="en-US" w:eastAsia="zh-CN"/>
                <w14:textFill>
                  <w14:solidFill>
                    <w14:schemeClr w14:val="tx1"/>
                  </w14:solidFill>
                </w14:textFill>
              </w:rPr>
              <w:t xml:space="preserve"> </w:t>
            </w:r>
            <w:r>
              <w:rPr>
                <w:rFonts w:hint="eastAsia" w:ascii="Times New Roman" w:hAnsi="Times New Roman" w:eastAsia="宋体" w:cs="宋体"/>
                <w:b/>
                <w:bCs/>
                <w:color w:val="000000" w:themeColor="text1"/>
                <w:sz w:val="21"/>
                <w:szCs w:val="21"/>
                <w:highlight w:val="none"/>
                <w:u w:val="single"/>
                <w:lang w:val="en-US" w:eastAsia="zh-CN"/>
                <w14:textFill>
                  <w14:solidFill>
                    <w14:schemeClr w14:val="tx1"/>
                  </w14:solidFill>
                </w14:textFill>
              </w:rPr>
              <w:t>2024年度</w:t>
            </w:r>
            <w:r>
              <w:rPr>
                <w:rFonts w:hint="eastAsia" w:ascii="Times New Roman" w:hAnsi="Times New Roman" w:cs="宋体"/>
                <w:b/>
                <w:bCs/>
                <w:color w:val="000000" w:themeColor="text1"/>
                <w:sz w:val="21"/>
                <w:szCs w:val="21"/>
                <w:highlight w:val="none"/>
                <w:u w:val="single"/>
                <w:lang w:val="en-US" w:eastAsia="zh-CN"/>
                <w14:textFill>
                  <w14:solidFill>
                    <w14:schemeClr w14:val="tx1"/>
                  </w14:solidFill>
                </w14:textFill>
              </w:rPr>
              <w:t xml:space="preserve"> </w:t>
            </w:r>
            <w:r>
              <w:rPr>
                <w:rFonts w:hint="eastAsia" w:ascii="Times New Roman" w:hAnsi="Times New Roman" w:eastAsia="宋体" w:cs="宋体"/>
                <w:color w:val="000000" w:themeColor="text1"/>
                <w:sz w:val="21"/>
                <w:szCs w:val="21"/>
                <w:highlight w:val="none"/>
                <w14:textFill>
                  <w14:solidFill>
                    <w14:schemeClr w14:val="tx1"/>
                  </w14:solidFill>
                </w14:textFill>
              </w:rPr>
              <w:t>经审计的财务报告复印件或者截标时间前半年内至少一个月能反映财务状况的报表或者供应商自拟的截标时间前半年内至少一个月的财务情况说明）；</w:t>
            </w:r>
            <w:r>
              <w:rPr>
                <w:rFonts w:hint="eastAsia" w:ascii="Times New Roman" w:hAnsi="Times New Roman" w:eastAsia="宋体" w:cs="宋体"/>
                <w:bCs/>
                <w:color w:val="000000" w:themeColor="text1"/>
                <w:sz w:val="21"/>
                <w:szCs w:val="21"/>
                <w:highlight w:val="none"/>
                <w14:textFill>
                  <w14:solidFill>
                    <w14:schemeClr w14:val="tx1"/>
                  </w14:solidFill>
                </w14:textFill>
              </w:rPr>
              <w:t>（</w:t>
            </w:r>
            <w:r>
              <w:rPr>
                <w:rFonts w:hint="eastAsia" w:ascii="Times New Roman" w:hAnsi="Times New Roman" w:eastAsia="宋体" w:cs="宋体"/>
                <w:b/>
                <w:color w:val="000000" w:themeColor="text1"/>
                <w:sz w:val="21"/>
                <w:szCs w:val="21"/>
                <w:highlight w:val="none"/>
                <w14:textFill>
                  <w14:solidFill>
                    <w14:schemeClr w14:val="tx1"/>
                  </w14:solidFill>
                </w14:textFill>
              </w:rPr>
              <w:t>必须提供，否则响应文件按无效响应处理</w:t>
            </w:r>
            <w:r>
              <w:rPr>
                <w:rFonts w:hint="eastAsia" w:ascii="Times New Roman" w:hAnsi="Times New Roman" w:eastAsia="宋体" w:cs="宋体"/>
                <w:bCs/>
                <w:color w:val="000000" w:themeColor="text1"/>
                <w:sz w:val="21"/>
                <w:szCs w:val="21"/>
                <w:highlight w:val="none"/>
                <w14:textFill>
                  <w14:solidFill>
                    <w14:schemeClr w14:val="tx1"/>
                  </w14:solidFill>
                </w14:textFill>
              </w:rPr>
              <w:t>）</w:t>
            </w:r>
          </w:p>
          <w:p w14:paraId="6FF20591">
            <w:pPr>
              <w:keepNext w:val="0"/>
              <w:keepLines w:val="0"/>
              <w:pageBreakBefore w:val="0"/>
              <w:widowControl w:val="0"/>
              <w:kinsoku/>
              <w:wordWrap/>
              <w:overflowPunct/>
              <w:topLinePunct w:val="0"/>
              <w:bidi w:val="0"/>
              <w:adjustRightInd/>
              <w:snapToGrid w:val="0"/>
              <w:spacing w:line="390" w:lineRule="exact"/>
              <w:jc w:val="both"/>
              <w:rPr>
                <w:rFonts w:hint="eastAsia" w:ascii="Times New Roman" w:hAnsi="Times New Roman" w:eastAsia="宋体" w:cs="宋体"/>
                <w:color w:val="000000" w:themeColor="text1"/>
                <w:sz w:val="21"/>
                <w:szCs w:val="21"/>
                <w:highlight w:val="none"/>
                <w14:textFill>
                  <w14:solidFill>
                    <w14:schemeClr w14:val="tx1"/>
                  </w14:solidFill>
                </w14:textFill>
              </w:rPr>
            </w:pPr>
            <w:r>
              <w:rPr>
                <w:rFonts w:hint="eastAsia" w:ascii="Times New Roman" w:hAnsi="Times New Roman" w:eastAsia="宋体" w:cs="宋体"/>
                <w:color w:val="000000" w:themeColor="text1"/>
                <w:sz w:val="21"/>
                <w:szCs w:val="21"/>
                <w:highlight w:val="none"/>
                <w14:textFill>
                  <w14:solidFill>
                    <w14:schemeClr w14:val="tx1"/>
                  </w14:solidFill>
                </w14:textFill>
              </w:rPr>
              <w:t>5.本项目的特定资格要求设置供应商提供的资格证明材料（</w:t>
            </w:r>
            <w:r>
              <w:rPr>
                <w:rFonts w:hint="eastAsia" w:ascii="Times New Roman" w:hAnsi="Times New Roman" w:eastAsia="宋体" w:cs="宋体"/>
                <w:b/>
                <w:color w:val="000000" w:themeColor="text1"/>
                <w:sz w:val="21"/>
                <w:szCs w:val="21"/>
                <w:highlight w:val="none"/>
                <w14:textFill>
                  <w14:solidFill>
                    <w14:schemeClr w14:val="tx1"/>
                  </w14:solidFill>
                </w14:textFill>
              </w:rPr>
              <w:t>必须提供，否则响应文件按无效响应处理</w:t>
            </w:r>
            <w:r>
              <w:rPr>
                <w:rFonts w:hint="eastAsia" w:ascii="Times New Roman" w:hAnsi="Times New Roman" w:eastAsia="宋体" w:cs="宋体"/>
                <w:color w:val="000000" w:themeColor="text1"/>
                <w:sz w:val="21"/>
                <w:szCs w:val="21"/>
                <w:highlight w:val="none"/>
                <w14:textFill>
                  <w14:solidFill>
                    <w14:schemeClr w14:val="tx1"/>
                  </w14:solidFill>
                </w14:textFill>
              </w:rPr>
              <w:t>）：</w:t>
            </w:r>
          </w:p>
          <w:p w14:paraId="03D9EFF1">
            <w:pPr>
              <w:keepNext w:val="0"/>
              <w:keepLines w:val="0"/>
              <w:pageBreakBefore w:val="0"/>
              <w:widowControl w:val="0"/>
              <w:kinsoku/>
              <w:wordWrap/>
              <w:overflowPunct/>
              <w:topLinePunct w:val="0"/>
              <w:bidi w:val="0"/>
              <w:adjustRightInd/>
              <w:snapToGrid w:val="0"/>
              <w:spacing w:line="390" w:lineRule="exact"/>
              <w:jc w:val="both"/>
              <w:rPr>
                <w:rFonts w:hint="eastAsia" w:cs="宋体"/>
                <w:color w:val="000000" w:themeColor="text1"/>
                <w:sz w:val="21"/>
                <w:szCs w:val="21"/>
                <w:highlight w:val="none"/>
                <w:lang w:val="en-US" w:eastAsia="zh-CN"/>
                <w14:textFill>
                  <w14:solidFill>
                    <w14:schemeClr w14:val="tx1"/>
                  </w14:solidFill>
                </w14:textFill>
              </w:rPr>
            </w:pPr>
            <w:r>
              <w:rPr>
                <w:rFonts w:hint="default" w:ascii="Calibri" w:hAnsi="Calibri" w:eastAsia="宋体" w:cs="Calibri"/>
                <w:color w:val="000000" w:themeColor="text1"/>
                <w:sz w:val="21"/>
                <w:szCs w:val="21"/>
                <w:highlight w:val="none"/>
                <w:lang w:val="en-US" w:eastAsia="zh-CN"/>
                <w14:textFill>
                  <w14:solidFill>
                    <w14:schemeClr w14:val="tx1"/>
                  </w14:solidFill>
                </w14:textFill>
              </w:rPr>
              <w:t>①</w:t>
            </w:r>
            <w:r>
              <w:rPr>
                <w:rFonts w:hint="eastAsia" w:cs="宋体"/>
                <w:color w:val="000000" w:themeColor="text1"/>
                <w:sz w:val="21"/>
                <w:szCs w:val="21"/>
                <w:highlight w:val="none"/>
                <w:lang w:val="en-US" w:eastAsia="zh-CN"/>
                <w14:textFill>
                  <w14:solidFill>
                    <w14:schemeClr w14:val="tx1"/>
                  </w14:solidFill>
                </w14:textFill>
              </w:rPr>
              <w:t>有效的</w:t>
            </w:r>
            <w:r>
              <w:rPr>
                <w:rFonts w:hint="eastAsia" w:cs="宋体"/>
                <w:color w:val="000000" w:themeColor="text1"/>
                <w:sz w:val="21"/>
                <w:szCs w:val="21"/>
                <w:highlight w:val="none"/>
                <w:u w:val="single"/>
                <w:lang w:val="en-US" w:eastAsia="zh-CN"/>
                <w14:textFill>
                  <w14:solidFill>
                    <w14:schemeClr w14:val="tx1"/>
                  </w14:solidFill>
                </w14:textFill>
              </w:rPr>
              <w:t>建筑装修装饰工程专业承包二级（含二级）以上</w:t>
            </w: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资质</w:t>
            </w:r>
            <w:r>
              <w:rPr>
                <w:rFonts w:hint="eastAsia" w:cs="宋体"/>
                <w:color w:val="000000" w:themeColor="text1"/>
                <w:sz w:val="21"/>
                <w:szCs w:val="21"/>
                <w:highlight w:val="none"/>
                <w:lang w:val="en-US" w:eastAsia="zh-CN"/>
                <w14:textFill>
                  <w14:solidFill>
                    <w14:schemeClr w14:val="tx1"/>
                  </w14:solidFill>
                </w14:textFill>
              </w:rPr>
              <w:t>复印件；</w:t>
            </w:r>
          </w:p>
          <w:p w14:paraId="51CBA96A">
            <w:pPr>
              <w:keepNext w:val="0"/>
              <w:keepLines w:val="0"/>
              <w:pageBreakBefore w:val="0"/>
              <w:widowControl w:val="0"/>
              <w:kinsoku/>
              <w:wordWrap/>
              <w:overflowPunct/>
              <w:topLinePunct w:val="0"/>
              <w:bidi w:val="0"/>
              <w:adjustRightInd/>
              <w:snapToGrid w:val="0"/>
              <w:spacing w:line="390" w:lineRule="exact"/>
              <w:jc w:val="both"/>
              <w:rPr>
                <w:rFonts w:hint="eastAsia" w:cs="宋体"/>
                <w:color w:val="000000" w:themeColor="text1"/>
                <w:sz w:val="21"/>
                <w:szCs w:val="21"/>
                <w:highlight w:val="none"/>
                <w:lang w:val="en-US" w:eastAsia="zh-CN"/>
                <w14:textFill>
                  <w14:solidFill>
                    <w14:schemeClr w14:val="tx1"/>
                  </w14:solidFill>
                </w14:textFill>
              </w:rPr>
            </w:pPr>
            <w:r>
              <w:rPr>
                <w:rFonts w:hint="default" w:ascii="Calibri" w:hAnsi="Calibri" w:eastAsia="宋体" w:cs="Calibri"/>
                <w:color w:val="000000" w:themeColor="text1"/>
                <w:sz w:val="21"/>
                <w:szCs w:val="21"/>
                <w:highlight w:val="none"/>
                <w:lang w:val="en-US" w:eastAsia="zh-CN"/>
                <w14:textFill>
                  <w14:solidFill>
                    <w14:schemeClr w14:val="tx1"/>
                  </w14:solidFill>
                </w14:textFill>
              </w:rPr>
              <w:t>②</w:t>
            </w:r>
            <w:r>
              <w:rPr>
                <w:rFonts w:hint="eastAsia" w:ascii="Calibri" w:hAnsi="Calibri" w:cs="Calibri"/>
                <w:color w:val="000000" w:themeColor="text1"/>
                <w:sz w:val="21"/>
                <w:szCs w:val="21"/>
                <w:highlight w:val="none"/>
                <w:lang w:val="en-US" w:eastAsia="zh-CN"/>
                <w14:textFill>
                  <w14:solidFill>
                    <w14:schemeClr w14:val="tx1"/>
                  </w14:solidFill>
                </w14:textFill>
              </w:rPr>
              <w:t>有效的安全生生产许可证复印件；</w:t>
            </w:r>
          </w:p>
          <w:p w14:paraId="31EBB1D8">
            <w:pPr>
              <w:keepNext w:val="0"/>
              <w:keepLines w:val="0"/>
              <w:pageBreakBefore w:val="0"/>
              <w:widowControl w:val="0"/>
              <w:kinsoku/>
              <w:wordWrap/>
              <w:overflowPunct/>
              <w:topLinePunct w:val="0"/>
              <w:bidi w:val="0"/>
              <w:adjustRightInd/>
              <w:snapToGrid w:val="0"/>
              <w:spacing w:line="390" w:lineRule="exact"/>
              <w:jc w:val="both"/>
              <w:rPr>
                <w:rFonts w:hint="eastAsia" w:ascii="Times New Roman" w:hAnsi="Times New Roman" w:eastAsia="宋体" w:cs="宋体"/>
                <w:color w:val="000000" w:themeColor="text1"/>
                <w:sz w:val="21"/>
                <w:szCs w:val="21"/>
                <w:highlight w:val="none"/>
                <w14:textFill>
                  <w14:solidFill>
                    <w14:schemeClr w14:val="tx1"/>
                  </w14:solidFill>
                </w14:textFill>
              </w:rPr>
            </w:pPr>
            <w:r>
              <w:rPr>
                <w:rFonts w:hint="default" w:ascii="Calibri" w:hAnsi="Calibri" w:eastAsia="宋体" w:cs="Calibri"/>
                <w:color w:val="000000" w:themeColor="text1"/>
                <w:sz w:val="21"/>
                <w:szCs w:val="21"/>
                <w:highlight w:val="none"/>
                <w:lang w:val="en-US" w:eastAsia="zh-CN"/>
                <w14:textFill>
                  <w14:solidFill>
                    <w14:schemeClr w14:val="tx1"/>
                  </w14:solidFill>
                </w14:textFill>
              </w:rPr>
              <w:t>③</w:t>
            </w: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拟派项目经理有效的</w:t>
            </w:r>
            <w:r>
              <w:rPr>
                <w:rFonts w:hint="eastAsia" w:ascii="Times New Roman" w:hAnsi="Times New Roman" w:eastAsia="宋体" w:cs="宋体"/>
                <w:b/>
                <w:bCs/>
                <w:color w:val="000000" w:themeColor="text1"/>
                <w:sz w:val="21"/>
                <w:szCs w:val="21"/>
                <w:highlight w:val="none"/>
                <w:u w:val="single"/>
                <w:lang w:val="en-US" w:eastAsia="zh-CN"/>
                <w14:textFill>
                  <w14:solidFill>
                    <w14:schemeClr w14:val="tx1"/>
                  </w14:solidFill>
                </w14:textFill>
              </w:rPr>
              <w:t>建筑工程</w:t>
            </w: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专业</w:t>
            </w:r>
            <w:r>
              <w:rPr>
                <w:rFonts w:hint="eastAsia" w:ascii="Times New Roman" w:hAnsi="Times New Roman" w:eastAsia="宋体" w:cs="宋体"/>
                <w:b/>
                <w:bCs/>
                <w:color w:val="000000" w:themeColor="text1"/>
                <w:sz w:val="21"/>
                <w:szCs w:val="21"/>
                <w:highlight w:val="none"/>
                <w:u w:val="single"/>
                <w:lang w:val="en-US" w:eastAsia="zh-CN"/>
                <w14:textFill>
                  <w14:solidFill>
                    <w14:schemeClr w14:val="tx1"/>
                  </w14:solidFill>
                </w14:textFill>
              </w:rPr>
              <w:t>二级（含）以上</w:t>
            </w: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注册建造师执业资格</w:t>
            </w:r>
            <w:r>
              <w:rPr>
                <w:rFonts w:hint="eastAsia" w:cs="宋体"/>
                <w:color w:val="000000" w:themeColor="text1"/>
                <w:sz w:val="21"/>
                <w:szCs w:val="21"/>
                <w:highlight w:val="none"/>
                <w:lang w:val="en-US" w:eastAsia="zh-CN"/>
                <w14:textFill>
                  <w14:solidFill>
                    <w14:schemeClr w14:val="tx1"/>
                  </w14:solidFill>
                </w14:textFill>
              </w:rPr>
              <w:t>证书复印件和</w:t>
            </w: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有效的安全生产考核合格证书（B类）</w:t>
            </w:r>
            <w:r>
              <w:rPr>
                <w:rFonts w:hint="eastAsia"/>
                <w:color w:val="000000" w:themeColor="text1"/>
                <w:lang w:eastAsia="zh-CN"/>
                <w14:textFill>
                  <w14:solidFill>
                    <w14:schemeClr w14:val="tx1"/>
                  </w14:solidFill>
                </w14:textFill>
              </w:rPr>
              <w:t>复印件</w:t>
            </w:r>
            <w:r>
              <w:rPr>
                <w:rFonts w:hint="eastAsia" w:ascii="Times New Roman" w:hAnsi="Times New Roman" w:eastAsia="宋体" w:cs="宋体"/>
                <w:color w:val="000000" w:themeColor="text1"/>
                <w:sz w:val="21"/>
                <w:szCs w:val="21"/>
                <w:highlight w:val="none"/>
                <w14:textFill>
                  <w14:solidFill>
                    <w14:schemeClr w14:val="tx1"/>
                  </w14:solidFill>
                </w14:textFill>
              </w:rPr>
              <w:t>；</w:t>
            </w:r>
          </w:p>
          <w:p w14:paraId="086594CE">
            <w:pPr>
              <w:keepNext w:val="0"/>
              <w:keepLines w:val="0"/>
              <w:pageBreakBefore w:val="0"/>
              <w:widowControl w:val="0"/>
              <w:kinsoku/>
              <w:wordWrap/>
              <w:overflowPunct/>
              <w:topLinePunct w:val="0"/>
              <w:bidi w:val="0"/>
              <w:adjustRightInd/>
              <w:snapToGrid w:val="0"/>
              <w:spacing w:line="390" w:lineRule="exact"/>
              <w:jc w:val="both"/>
              <w:rPr>
                <w:rFonts w:hint="eastAsia" w:ascii="Times New Roman" w:hAnsi="Times New Roman" w:eastAsia="宋体" w:cs="宋体"/>
                <w:color w:val="000000" w:themeColor="text1"/>
                <w:sz w:val="21"/>
                <w:szCs w:val="21"/>
                <w:highlight w:val="none"/>
                <w14:textFill>
                  <w14:solidFill>
                    <w14:schemeClr w14:val="tx1"/>
                  </w14:solidFill>
                </w14:textFill>
              </w:rPr>
            </w:pPr>
            <w:r>
              <w:rPr>
                <w:rFonts w:hint="eastAsia" w:ascii="Times New Roman" w:hAnsi="Times New Roman" w:eastAsia="宋体" w:cs="宋体"/>
                <w:color w:val="000000" w:themeColor="text1"/>
                <w:sz w:val="21"/>
                <w:szCs w:val="21"/>
                <w:highlight w:val="none"/>
                <w14:textFill>
                  <w14:solidFill>
                    <w14:schemeClr w14:val="tx1"/>
                  </w14:solidFill>
                </w14:textFill>
              </w:rPr>
              <w:t>6.</w:t>
            </w:r>
            <w:r>
              <w:rPr>
                <w:rFonts w:hint="eastAsia" w:ascii="Times New Roman" w:hAnsi="Times New Roman" w:eastAsia="宋体" w:cs="宋体"/>
                <w:color w:val="000000" w:themeColor="text1"/>
                <w:sz w:val="21"/>
                <w:szCs w:val="21"/>
                <w:highlight w:val="none"/>
                <w:lang w:eastAsia="zh-CN"/>
                <w14:textFill>
                  <w14:solidFill>
                    <w14:schemeClr w14:val="tx1"/>
                  </w14:solidFill>
                </w14:textFill>
              </w:rPr>
              <w:t>声明函</w:t>
            </w:r>
            <w:r>
              <w:rPr>
                <w:rFonts w:hint="eastAsia" w:ascii="Times New Roman" w:hAnsi="Times New Roman" w:eastAsia="宋体" w:cs="宋体"/>
                <w:color w:val="000000" w:themeColor="text1"/>
                <w:sz w:val="21"/>
                <w:szCs w:val="21"/>
                <w:highlight w:val="none"/>
                <w14:textFill>
                  <w14:solidFill>
                    <w14:schemeClr w14:val="tx1"/>
                  </w14:solidFill>
                </w14:textFill>
              </w:rPr>
              <w:t>（格式后附）；（</w:t>
            </w:r>
            <w:r>
              <w:rPr>
                <w:rFonts w:hint="eastAsia" w:ascii="Times New Roman" w:hAnsi="Times New Roman" w:eastAsia="宋体" w:cs="宋体"/>
                <w:b/>
                <w:color w:val="000000" w:themeColor="text1"/>
                <w:sz w:val="21"/>
                <w:szCs w:val="21"/>
                <w:highlight w:val="none"/>
                <w14:textFill>
                  <w14:solidFill>
                    <w14:schemeClr w14:val="tx1"/>
                  </w14:solidFill>
                </w14:textFill>
              </w:rPr>
              <w:t>必须提供，否则响应文件按无效响应处理</w:t>
            </w:r>
            <w:r>
              <w:rPr>
                <w:rFonts w:hint="eastAsia" w:ascii="Times New Roman" w:hAnsi="Times New Roman" w:eastAsia="宋体" w:cs="宋体"/>
                <w:color w:val="000000" w:themeColor="text1"/>
                <w:sz w:val="21"/>
                <w:szCs w:val="21"/>
                <w:highlight w:val="none"/>
                <w14:textFill>
                  <w14:solidFill>
                    <w14:schemeClr w14:val="tx1"/>
                  </w14:solidFill>
                </w14:textFill>
              </w:rPr>
              <w:t>）</w:t>
            </w:r>
          </w:p>
          <w:p w14:paraId="0AF6025A">
            <w:pPr>
              <w:keepNext w:val="0"/>
              <w:keepLines w:val="0"/>
              <w:pageBreakBefore w:val="0"/>
              <w:kinsoku/>
              <w:wordWrap/>
              <w:overflowPunct/>
              <w:topLinePunct w:val="0"/>
              <w:bidi w:val="0"/>
              <w:adjustRightInd/>
              <w:spacing w:line="390" w:lineRule="exact"/>
              <w:jc w:val="both"/>
              <w:rPr>
                <w:rFonts w:hint="default" w:ascii="Times New Roman" w:hAnsi="Times New Roman" w:eastAsia="宋体" w:cs="宋体"/>
                <w:color w:val="000000" w:themeColor="text1"/>
                <w:sz w:val="21"/>
                <w:szCs w:val="21"/>
                <w:highlight w:val="none"/>
                <w:lang w:val="en-US" w:eastAsia="zh-CN"/>
                <w14:textFill>
                  <w14:solidFill>
                    <w14:schemeClr w14:val="tx1"/>
                  </w14:solidFill>
                </w14:textFill>
              </w:rPr>
            </w:pPr>
            <w:r>
              <w:rPr>
                <w:rFonts w:hint="eastAsia" w:ascii="Times New Roman" w:hAnsi="Times New Roman" w:cs="宋体"/>
                <w:color w:val="000000" w:themeColor="text1"/>
                <w:sz w:val="21"/>
                <w:szCs w:val="21"/>
                <w:highlight w:val="none"/>
                <w:lang w:val="en-US" w:eastAsia="zh-CN"/>
                <w14:textFill>
                  <w14:solidFill>
                    <w14:schemeClr w14:val="tx1"/>
                  </w14:solidFill>
                </w14:textFill>
              </w:rPr>
              <w:t>7.</w:t>
            </w:r>
            <w:r>
              <w:rPr>
                <w:rFonts w:hint="eastAsia" w:ascii="Times New Roman" w:hAnsi="Times New Roman" w:cs="宋体"/>
                <w:color w:val="000000" w:themeColor="text1"/>
                <w:sz w:val="21"/>
                <w:szCs w:val="21"/>
                <w:highlight w:val="none"/>
                <w14:textFill>
                  <w14:solidFill>
                    <w14:schemeClr w14:val="tx1"/>
                  </w14:solidFill>
                </w14:textFill>
              </w:rPr>
              <w:t>中小企业声明函或者残疾人福利性单位声明函（格式后附）或者</w:t>
            </w:r>
            <w:r>
              <w:rPr>
                <w:rFonts w:hint="eastAsia" w:ascii="Times New Roman" w:hAnsi="Times New Roman" w:eastAsia="宋体" w:cs="宋体"/>
                <w:i w:val="0"/>
                <w:iCs w:val="0"/>
                <w:color w:val="000000" w:themeColor="text1"/>
                <w:sz w:val="21"/>
                <w:szCs w:val="21"/>
                <w:highlight w:val="none"/>
                <w:lang w:eastAsia="zh-CN"/>
                <w14:textFill>
                  <w14:solidFill>
                    <w14:schemeClr w14:val="tx1"/>
                  </w14:solidFill>
                </w14:textFill>
              </w:rPr>
              <w:t>供应商</w:t>
            </w:r>
            <w:r>
              <w:rPr>
                <w:rFonts w:hint="eastAsia" w:ascii="Times New Roman" w:hAnsi="Times New Roman" w:cs="宋体"/>
                <w:color w:val="000000" w:themeColor="text1"/>
                <w:sz w:val="21"/>
                <w:szCs w:val="21"/>
                <w:highlight w:val="none"/>
                <w14:textFill>
                  <w14:solidFill>
                    <w14:schemeClr w14:val="tx1"/>
                  </w14:solidFill>
                </w14:textFill>
              </w:rPr>
              <w:t>属于监狱企业的</w:t>
            </w:r>
            <w:r>
              <w:rPr>
                <w:rFonts w:hint="eastAsia" w:ascii="Times New Roman" w:hAnsi="Times New Roman" w:cs="宋体"/>
                <w:color w:val="000000" w:themeColor="text1"/>
                <w:sz w:val="21"/>
                <w:szCs w:val="21"/>
                <w:highlight w:val="none"/>
                <w:lang w:eastAsia="zh-CN"/>
                <w14:textFill>
                  <w14:solidFill>
                    <w14:schemeClr w14:val="tx1"/>
                  </w14:solidFill>
                </w14:textFill>
              </w:rPr>
              <w:t>，</w:t>
            </w:r>
            <w:r>
              <w:rPr>
                <w:rFonts w:hint="eastAsia" w:ascii="Times New Roman" w:hAnsi="Times New Roman" w:eastAsia="宋体" w:cs="宋体"/>
                <w:i w:val="0"/>
                <w:iCs w:val="0"/>
                <w:color w:val="000000" w:themeColor="text1"/>
                <w:sz w:val="21"/>
                <w:szCs w:val="21"/>
                <w:highlight w:val="none"/>
                <w:lang w:eastAsia="zh-CN"/>
                <w14:textFill>
                  <w14:solidFill>
                    <w14:schemeClr w14:val="tx1"/>
                  </w14:solidFill>
                </w14:textFill>
              </w:rPr>
              <w:t>提供由省级以上监狱管理局、戒毒管理局（含新疆生产建设兵团）出具的属于监狱企业的证明文件</w:t>
            </w:r>
            <w:r>
              <w:rPr>
                <w:rFonts w:hint="eastAsia" w:ascii="Times New Roman" w:hAnsi="Times New Roman" w:cs="宋体"/>
                <w:color w:val="000000" w:themeColor="text1"/>
                <w:sz w:val="21"/>
                <w:szCs w:val="21"/>
                <w:highlight w:val="none"/>
                <w14:textFill>
                  <w14:solidFill>
                    <w14:schemeClr w14:val="tx1"/>
                  </w14:solidFill>
                </w14:textFill>
              </w:rPr>
              <w:t>；</w:t>
            </w:r>
            <w:r>
              <w:rPr>
                <w:rFonts w:hint="eastAsia" w:ascii="Times New Roman" w:hAnsi="Times New Roman"/>
                <w:color w:val="000000" w:themeColor="text1"/>
                <w:sz w:val="21"/>
                <w:szCs w:val="21"/>
                <w:highlight w:val="none"/>
                <w14:textFill>
                  <w14:solidFill>
                    <w14:schemeClr w14:val="tx1"/>
                  </w14:solidFill>
                </w14:textFill>
              </w:rPr>
              <w:t>（</w:t>
            </w:r>
            <w:r>
              <w:rPr>
                <w:rFonts w:hint="eastAsia" w:ascii="Times New Roman" w:hAnsi="Times New Roman"/>
                <w:b/>
                <w:color w:val="000000" w:themeColor="text1"/>
                <w:sz w:val="21"/>
                <w:szCs w:val="21"/>
                <w:highlight w:val="none"/>
                <w14:textFill>
                  <w14:solidFill>
                    <w14:schemeClr w14:val="tx1"/>
                  </w14:solidFill>
                </w14:textFill>
              </w:rPr>
              <w:t>必须提供，否则响应文件按无效响应处理</w:t>
            </w:r>
            <w:r>
              <w:rPr>
                <w:rFonts w:hint="eastAsia" w:ascii="Times New Roman" w:hAnsi="Times New Roman"/>
                <w:color w:val="000000" w:themeColor="text1"/>
                <w:sz w:val="21"/>
                <w:szCs w:val="21"/>
                <w:highlight w:val="none"/>
                <w14:textFill>
                  <w14:solidFill>
                    <w14:schemeClr w14:val="tx1"/>
                  </w14:solidFill>
                </w14:textFill>
              </w:rPr>
              <w:t>）</w:t>
            </w:r>
          </w:p>
          <w:p w14:paraId="7B75295C">
            <w:pPr>
              <w:keepNext w:val="0"/>
              <w:keepLines w:val="0"/>
              <w:pageBreakBefore w:val="0"/>
              <w:widowControl w:val="0"/>
              <w:kinsoku/>
              <w:wordWrap/>
              <w:overflowPunct/>
              <w:topLinePunct w:val="0"/>
              <w:bidi w:val="0"/>
              <w:adjustRightInd/>
              <w:snapToGrid w:val="0"/>
              <w:spacing w:line="390" w:lineRule="exact"/>
              <w:jc w:val="both"/>
              <w:rPr>
                <w:rFonts w:hint="eastAsia" w:ascii="Times New Roman" w:hAnsi="Times New Roman" w:eastAsia="宋体" w:cs="宋体"/>
                <w:color w:val="000000" w:themeColor="text1"/>
                <w:sz w:val="21"/>
                <w:szCs w:val="21"/>
                <w:highlight w:val="none"/>
                <w:lang w:eastAsia="zh-CN"/>
                <w14:textFill>
                  <w14:solidFill>
                    <w14:schemeClr w14:val="tx1"/>
                  </w14:solidFill>
                </w14:textFill>
              </w:rPr>
            </w:pPr>
            <w:r>
              <w:rPr>
                <w:rFonts w:hint="eastAsia" w:ascii="Times New Roman" w:hAnsi="Times New Roman" w:cs="宋体"/>
                <w:color w:val="000000" w:themeColor="text1"/>
                <w:sz w:val="21"/>
                <w:szCs w:val="21"/>
                <w:highlight w:val="none"/>
                <w:lang w:val="en-US" w:eastAsia="zh-CN"/>
                <w14:textFill>
                  <w14:solidFill>
                    <w14:schemeClr w14:val="tx1"/>
                  </w14:solidFill>
                </w14:textFill>
              </w:rPr>
              <w:t>8.</w:t>
            </w:r>
            <w:r>
              <w:rPr>
                <w:rFonts w:hint="eastAsia" w:ascii="Times New Roman" w:hAnsi="Times New Roman" w:eastAsia="宋体" w:cs="宋体"/>
                <w:color w:val="000000" w:themeColor="text1"/>
                <w:sz w:val="21"/>
                <w:szCs w:val="21"/>
                <w:highlight w:val="none"/>
                <w14:textFill>
                  <w14:solidFill>
                    <w14:schemeClr w14:val="tx1"/>
                  </w14:solidFill>
                </w14:textFill>
              </w:rPr>
              <w:t>除竞争性磋商文件规定必须提供以外，供应商认为需要提供的其他证明材料（格式自拟）</w:t>
            </w:r>
            <w:r>
              <w:rPr>
                <w:rFonts w:hint="eastAsia" w:ascii="Times New Roman" w:hAnsi="Times New Roman" w:eastAsia="宋体" w:cs="宋体"/>
                <w:color w:val="000000" w:themeColor="text1"/>
                <w:sz w:val="21"/>
                <w:szCs w:val="21"/>
                <w:highlight w:val="none"/>
                <w:lang w:eastAsia="zh-CN"/>
                <w14:textFill>
                  <w14:solidFill>
                    <w14:schemeClr w14:val="tx1"/>
                  </w14:solidFill>
                </w14:textFill>
              </w:rPr>
              <w:t>。</w:t>
            </w:r>
          </w:p>
          <w:p w14:paraId="41C7C762">
            <w:pPr>
              <w:pStyle w:val="12"/>
              <w:keepNext w:val="0"/>
              <w:keepLines w:val="0"/>
              <w:pageBreakBefore w:val="0"/>
              <w:widowControl w:val="0"/>
              <w:numPr>
                <w:ilvl w:val="0"/>
                <w:numId w:val="0"/>
              </w:numPr>
              <w:kinsoku/>
              <w:wordWrap/>
              <w:overflowPunct/>
              <w:topLinePunct w:val="0"/>
              <w:bidi w:val="0"/>
              <w:adjustRightInd/>
              <w:spacing w:line="390" w:lineRule="exact"/>
              <w:jc w:val="both"/>
              <w:rPr>
                <w:rFonts w:hint="eastAsia" w:ascii="Times New Roman" w:hAnsi="Times New Roman" w:eastAsia="宋体" w:cs="宋体"/>
                <w:b/>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宋体"/>
                <w:b/>
                <w:color w:val="000000" w:themeColor="text1"/>
                <w:sz w:val="21"/>
                <w:szCs w:val="21"/>
                <w:highlight w:val="none"/>
                <w:lang w:val="en-US" w:eastAsia="zh-CN"/>
                <w14:textFill>
                  <w14:solidFill>
                    <w14:schemeClr w14:val="tx1"/>
                  </w14:solidFill>
                </w14:textFill>
              </w:rPr>
              <w:t>注：以上标明“必须提供”的材料属于复印件的扫描件的，必须加盖供应商公章，否则响应文件按无效响应处理。</w:t>
            </w:r>
          </w:p>
        </w:tc>
      </w:tr>
      <w:tr w14:paraId="6435AD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963" w:type="dxa"/>
            <w:vMerge w:val="restart"/>
            <w:noWrap w:val="0"/>
            <w:vAlign w:val="center"/>
          </w:tcPr>
          <w:p w14:paraId="1847F3B1">
            <w:pPr>
              <w:keepNext w:val="0"/>
              <w:keepLines w:val="0"/>
              <w:pageBreakBefore w:val="0"/>
              <w:widowControl w:val="0"/>
              <w:kinsoku/>
              <w:wordWrap/>
              <w:overflowPunct/>
              <w:topLinePunct w:val="0"/>
              <w:bidi w:val="0"/>
              <w:adjustRightInd/>
              <w:spacing w:line="390" w:lineRule="exact"/>
              <w:jc w:val="center"/>
              <w:rPr>
                <w:rFonts w:hint="eastAsia" w:ascii="Times New Roman" w:hAnsi="Times New Roman" w:eastAsia="宋体" w:cs="宋体"/>
                <w:color w:val="000000" w:themeColor="text1"/>
                <w:sz w:val="21"/>
                <w:szCs w:val="21"/>
                <w:highlight w:val="none"/>
                <w14:textFill>
                  <w14:solidFill>
                    <w14:schemeClr w14:val="tx1"/>
                  </w14:solidFill>
                </w14:textFill>
              </w:rPr>
            </w:pPr>
            <w:r>
              <w:rPr>
                <w:rFonts w:hint="eastAsia" w:ascii="Times New Roman" w:hAnsi="Times New Roman" w:eastAsia="宋体" w:cs="宋体"/>
                <w:color w:val="000000" w:themeColor="text1"/>
                <w:sz w:val="21"/>
                <w:szCs w:val="21"/>
                <w:highlight w:val="none"/>
                <w14:textFill>
                  <w14:solidFill>
                    <w14:schemeClr w14:val="tx1"/>
                  </w14:solidFill>
                </w14:textFill>
              </w:rPr>
              <w:t>12.1.2</w:t>
            </w:r>
          </w:p>
        </w:tc>
        <w:tc>
          <w:tcPr>
            <w:tcW w:w="2321" w:type="dxa"/>
            <w:noWrap w:val="0"/>
            <w:vAlign w:val="center"/>
          </w:tcPr>
          <w:p w14:paraId="4661D20C">
            <w:pPr>
              <w:keepNext w:val="0"/>
              <w:keepLines w:val="0"/>
              <w:pageBreakBefore w:val="0"/>
              <w:widowControl w:val="0"/>
              <w:kinsoku/>
              <w:wordWrap/>
              <w:overflowPunct/>
              <w:topLinePunct w:val="0"/>
              <w:bidi w:val="0"/>
              <w:adjustRightInd/>
              <w:spacing w:line="390" w:lineRule="exact"/>
              <w:jc w:val="center"/>
              <w:rPr>
                <w:rFonts w:hint="eastAsia" w:ascii="Times New Roman" w:hAnsi="Times New Roman" w:eastAsia="宋体" w:cs="宋体"/>
                <w:b w:val="0"/>
                <w:bCs/>
                <w:color w:val="000000" w:themeColor="text1"/>
                <w:sz w:val="21"/>
                <w:szCs w:val="21"/>
                <w:highlight w:val="none"/>
                <w14:textFill>
                  <w14:solidFill>
                    <w14:schemeClr w14:val="tx1"/>
                  </w14:solidFill>
                </w14:textFill>
              </w:rPr>
            </w:pPr>
            <w:r>
              <w:rPr>
                <w:rFonts w:hint="eastAsia" w:ascii="Times New Roman" w:hAnsi="Times New Roman" w:eastAsia="宋体" w:cs="宋体"/>
                <w:b w:val="0"/>
                <w:bCs/>
                <w:color w:val="000000" w:themeColor="text1"/>
                <w:sz w:val="21"/>
                <w:szCs w:val="21"/>
                <w:highlight w:val="none"/>
                <w14:textFill>
                  <w14:solidFill>
                    <w14:schemeClr w14:val="tx1"/>
                  </w14:solidFill>
                </w14:textFill>
              </w:rPr>
              <w:t>商务文件组成</w:t>
            </w:r>
          </w:p>
        </w:tc>
        <w:tc>
          <w:tcPr>
            <w:tcW w:w="6466" w:type="dxa"/>
            <w:noWrap w:val="0"/>
            <w:vAlign w:val="center"/>
          </w:tcPr>
          <w:p w14:paraId="44C38C63">
            <w:pPr>
              <w:keepNext w:val="0"/>
              <w:keepLines w:val="0"/>
              <w:pageBreakBefore w:val="0"/>
              <w:widowControl w:val="0"/>
              <w:kinsoku/>
              <w:wordWrap/>
              <w:overflowPunct/>
              <w:topLinePunct w:val="0"/>
              <w:bidi w:val="0"/>
              <w:adjustRightInd/>
              <w:spacing w:line="390" w:lineRule="exact"/>
              <w:jc w:val="both"/>
              <w:rPr>
                <w:rFonts w:hint="eastAsia" w:ascii="Times New Roman" w:hAnsi="Times New Roman" w:eastAsia="宋体" w:cs="宋体"/>
                <w:color w:val="000000" w:themeColor="text1"/>
                <w:sz w:val="21"/>
                <w:szCs w:val="21"/>
                <w:highlight w:val="none"/>
                <w14:textFill>
                  <w14:solidFill>
                    <w14:schemeClr w14:val="tx1"/>
                  </w14:solidFill>
                </w14:textFill>
              </w:rPr>
            </w:pPr>
            <w:r>
              <w:rPr>
                <w:rFonts w:hint="eastAsia" w:ascii="Times New Roman" w:hAnsi="Times New Roman" w:eastAsia="宋体" w:cs="宋体"/>
                <w:color w:val="000000" w:themeColor="text1"/>
                <w:sz w:val="21"/>
                <w:szCs w:val="21"/>
                <w:highlight w:val="none"/>
                <w14:textFill>
                  <w14:solidFill>
                    <w14:schemeClr w14:val="tx1"/>
                  </w14:solidFill>
                </w14:textFill>
              </w:rPr>
              <w:t>1.无串通竞标行为的承诺函（格式后附）；（</w:t>
            </w:r>
            <w:r>
              <w:rPr>
                <w:rFonts w:hint="eastAsia" w:ascii="Times New Roman" w:hAnsi="Times New Roman" w:eastAsia="宋体" w:cs="宋体"/>
                <w:b/>
                <w:color w:val="000000" w:themeColor="text1"/>
                <w:sz w:val="21"/>
                <w:szCs w:val="21"/>
                <w:highlight w:val="none"/>
                <w14:textFill>
                  <w14:solidFill>
                    <w14:schemeClr w14:val="tx1"/>
                  </w14:solidFill>
                </w14:textFill>
              </w:rPr>
              <w:t>必须提供，否则响应文件按无效响应处理</w:t>
            </w:r>
            <w:r>
              <w:rPr>
                <w:rFonts w:hint="eastAsia" w:ascii="Times New Roman" w:hAnsi="Times New Roman" w:eastAsia="宋体" w:cs="宋体"/>
                <w:color w:val="000000" w:themeColor="text1"/>
                <w:sz w:val="21"/>
                <w:szCs w:val="21"/>
                <w:highlight w:val="none"/>
                <w14:textFill>
                  <w14:solidFill>
                    <w14:schemeClr w14:val="tx1"/>
                  </w14:solidFill>
                </w14:textFill>
              </w:rPr>
              <w:t>）</w:t>
            </w:r>
          </w:p>
          <w:p w14:paraId="42F95F1C">
            <w:pPr>
              <w:keepNext w:val="0"/>
              <w:keepLines w:val="0"/>
              <w:pageBreakBefore w:val="0"/>
              <w:widowControl w:val="0"/>
              <w:kinsoku/>
              <w:wordWrap/>
              <w:overflowPunct/>
              <w:topLinePunct w:val="0"/>
              <w:bidi w:val="0"/>
              <w:adjustRightInd/>
              <w:snapToGrid w:val="0"/>
              <w:spacing w:line="390" w:lineRule="exact"/>
              <w:jc w:val="both"/>
              <w:rPr>
                <w:rFonts w:hint="eastAsia" w:ascii="Times New Roman" w:hAnsi="Times New Roman" w:eastAsia="宋体" w:cs="宋体"/>
                <w:color w:val="000000" w:themeColor="text1"/>
                <w:sz w:val="21"/>
                <w:szCs w:val="21"/>
                <w:highlight w:val="none"/>
                <w14:textFill>
                  <w14:solidFill>
                    <w14:schemeClr w14:val="tx1"/>
                  </w14:solidFill>
                </w14:textFill>
              </w:rPr>
            </w:pPr>
            <w:r>
              <w:rPr>
                <w:rFonts w:hint="eastAsia" w:ascii="Times New Roman" w:hAnsi="Times New Roman" w:eastAsia="宋体" w:cs="宋体"/>
                <w:color w:val="000000" w:themeColor="text1"/>
                <w:sz w:val="21"/>
                <w:szCs w:val="21"/>
                <w:highlight w:val="none"/>
                <w14:textFill>
                  <w14:solidFill>
                    <w14:schemeClr w14:val="tx1"/>
                  </w14:solidFill>
                </w14:textFill>
              </w:rPr>
              <w:t>2.法定代表人身份证明及法定代表人有效身份证正反面复印件（格式后附）；（</w:t>
            </w:r>
            <w:r>
              <w:rPr>
                <w:rFonts w:hint="eastAsia" w:ascii="Times New Roman" w:hAnsi="Times New Roman" w:eastAsia="宋体" w:cs="宋体"/>
                <w:b/>
                <w:bCs/>
                <w:color w:val="000000" w:themeColor="text1"/>
                <w:sz w:val="21"/>
                <w:szCs w:val="21"/>
                <w:highlight w:val="none"/>
                <w14:textFill>
                  <w14:solidFill>
                    <w14:schemeClr w14:val="tx1"/>
                  </w14:solidFill>
                </w14:textFill>
              </w:rPr>
              <w:t>除自然人竞标外</w:t>
            </w:r>
            <w:r>
              <w:rPr>
                <w:rFonts w:hint="eastAsia" w:ascii="Times New Roman" w:hAnsi="Times New Roman" w:eastAsia="宋体" w:cs="宋体"/>
                <w:b/>
                <w:color w:val="000000" w:themeColor="text1"/>
                <w:sz w:val="21"/>
                <w:szCs w:val="21"/>
                <w:highlight w:val="none"/>
                <w14:textFill>
                  <w14:solidFill>
                    <w14:schemeClr w14:val="tx1"/>
                  </w14:solidFill>
                </w14:textFill>
              </w:rPr>
              <w:t>必须提供，否则响应文件按无效响应处理</w:t>
            </w:r>
            <w:r>
              <w:rPr>
                <w:rFonts w:hint="eastAsia" w:ascii="Times New Roman" w:hAnsi="Times New Roman" w:eastAsia="宋体" w:cs="宋体"/>
                <w:color w:val="000000" w:themeColor="text1"/>
                <w:sz w:val="21"/>
                <w:szCs w:val="21"/>
                <w:highlight w:val="none"/>
                <w14:textFill>
                  <w14:solidFill>
                    <w14:schemeClr w14:val="tx1"/>
                  </w14:solidFill>
                </w14:textFill>
              </w:rPr>
              <w:t>）</w:t>
            </w:r>
          </w:p>
          <w:p w14:paraId="76C4FFED">
            <w:pPr>
              <w:keepNext w:val="0"/>
              <w:keepLines w:val="0"/>
              <w:pageBreakBefore w:val="0"/>
              <w:widowControl w:val="0"/>
              <w:kinsoku/>
              <w:wordWrap/>
              <w:overflowPunct/>
              <w:topLinePunct w:val="0"/>
              <w:bidi w:val="0"/>
              <w:adjustRightInd/>
              <w:spacing w:line="390" w:lineRule="exact"/>
              <w:jc w:val="both"/>
              <w:rPr>
                <w:rFonts w:hint="eastAsia" w:ascii="Times New Roman" w:hAnsi="Times New Roman" w:eastAsia="宋体" w:cs="宋体"/>
                <w:color w:val="000000" w:themeColor="text1"/>
                <w:sz w:val="21"/>
                <w:szCs w:val="21"/>
                <w:highlight w:val="none"/>
                <w14:textFill>
                  <w14:solidFill>
                    <w14:schemeClr w14:val="tx1"/>
                  </w14:solidFill>
                </w14:textFill>
              </w:rPr>
            </w:pPr>
            <w:r>
              <w:rPr>
                <w:rFonts w:hint="eastAsia" w:ascii="Times New Roman" w:hAnsi="Times New Roman" w:eastAsia="宋体" w:cs="宋体"/>
                <w:color w:val="000000" w:themeColor="text1"/>
                <w:sz w:val="21"/>
                <w:szCs w:val="21"/>
                <w:highlight w:val="none"/>
                <w14:textFill>
                  <w14:solidFill>
                    <w14:schemeClr w14:val="tx1"/>
                  </w14:solidFill>
                </w14:textFill>
              </w:rPr>
              <w:t>3.法定代表人授权委托书及委托代理人有效身份证正反面复印件（格式后附）；（</w:t>
            </w:r>
            <w:r>
              <w:rPr>
                <w:rFonts w:hint="eastAsia" w:ascii="Times New Roman" w:hAnsi="Times New Roman" w:eastAsia="宋体" w:cs="宋体"/>
                <w:b/>
                <w:color w:val="000000" w:themeColor="text1"/>
                <w:sz w:val="21"/>
                <w:szCs w:val="21"/>
                <w:highlight w:val="none"/>
                <w14:textFill>
                  <w14:solidFill>
                    <w14:schemeClr w14:val="tx1"/>
                  </w14:solidFill>
                </w14:textFill>
              </w:rPr>
              <w:t>委托时必须提供，否则响应文件按无效响应处理</w:t>
            </w:r>
            <w:r>
              <w:rPr>
                <w:rFonts w:hint="eastAsia" w:ascii="Times New Roman" w:hAnsi="Times New Roman" w:eastAsia="宋体" w:cs="宋体"/>
                <w:color w:val="000000" w:themeColor="text1"/>
                <w:sz w:val="21"/>
                <w:szCs w:val="21"/>
                <w:highlight w:val="none"/>
                <w14:textFill>
                  <w14:solidFill>
                    <w14:schemeClr w14:val="tx1"/>
                  </w14:solidFill>
                </w14:textFill>
              </w:rPr>
              <w:t>）</w:t>
            </w:r>
          </w:p>
          <w:p w14:paraId="59BA3657">
            <w:pPr>
              <w:keepNext w:val="0"/>
              <w:keepLines w:val="0"/>
              <w:pageBreakBefore w:val="0"/>
              <w:widowControl w:val="0"/>
              <w:kinsoku/>
              <w:wordWrap/>
              <w:overflowPunct/>
              <w:topLinePunct w:val="0"/>
              <w:bidi w:val="0"/>
              <w:adjustRightInd/>
              <w:spacing w:line="390" w:lineRule="exact"/>
              <w:jc w:val="both"/>
              <w:rPr>
                <w:rFonts w:hint="eastAsia" w:ascii="Times New Roman" w:hAnsi="Times New Roman" w:eastAsia="宋体" w:cs="宋体"/>
                <w:color w:val="000000" w:themeColor="text1"/>
                <w:sz w:val="21"/>
                <w:szCs w:val="21"/>
                <w:highlight w:val="none"/>
                <w14:textFill>
                  <w14:solidFill>
                    <w14:schemeClr w14:val="tx1"/>
                  </w14:solidFill>
                </w14:textFill>
              </w:rPr>
            </w:pPr>
            <w:r>
              <w:rPr>
                <w:rFonts w:hint="eastAsia" w:cs="宋体"/>
                <w:color w:val="000000" w:themeColor="text1"/>
                <w:sz w:val="21"/>
                <w:szCs w:val="21"/>
                <w:highlight w:val="none"/>
                <w:lang w:val="en-US" w:eastAsia="zh-CN"/>
                <w14:textFill>
                  <w14:solidFill>
                    <w14:schemeClr w14:val="tx1"/>
                  </w14:solidFill>
                </w14:textFill>
              </w:rPr>
              <w:t>4</w:t>
            </w:r>
            <w:r>
              <w:rPr>
                <w:rFonts w:hint="eastAsia" w:ascii="Times New Roman" w:hAnsi="Times New Roman" w:eastAsia="宋体" w:cs="宋体"/>
                <w:color w:val="000000" w:themeColor="text1"/>
                <w:sz w:val="21"/>
                <w:szCs w:val="21"/>
                <w:highlight w:val="none"/>
                <w14:textFill>
                  <w14:solidFill>
                    <w14:schemeClr w14:val="tx1"/>
                  </w14:solidFill>
                </w14:textFill>
              </w:rPr>
              <w:t>.商务条款偏离表（格式后附）；（</w:t>
            </w:r>
            <w:r>
              <w:rPr>
                <w:rFonts w:hint="eastAsia" w:ascii="Times New Roman" w:hAnsi="Times New Roman" w:eastAsia="宋体" w:cs="宋体"/>
                <w:b/>
                <w:color w:val="000000" w:themeColor="text1"/>
                <w:sz w:val="21"/>
                <w:szCs w:val="21"/>
                <w:highlight w:val="none"/>
                <w14:textFill>
                  <w14:solidFill>
                    <w14:schemeClr w14:val="tx1"/>
                  </w14:solidFill>
                </w14:textFill>
              </w:rPr>
              <w:t>必须提供，否则响应文件按无效响应处理</w:t>
            </w:r>
            <w:r>
              <w:rPr>
                <w:rFonts w:hint="eastAsia" w:ascii="Times New Roman" w:hAnsi="Times New Roman" w:eastAsia="宋体" w:cs="宋体"/>
                <w:color w:val="000000" w:themeColor="text1"/>
                <w:sz w:val="21"/>
                <w:szCs w:val="21"/>
                <w:highlight w:val="none"/>
                <w14:textFill>
                  <w14:solidFill>
                    <w14:schemeClr w14:val="tx1"/>
                  </w14:solidFill>
                </w14:textFill>
              </w:rPr>
              <w:t>）</w:t>
            </w:r>
          </w:p>
          <w:p w14:paraId="266F5B31">
            <w:pPr>
              <w:keepNext w:val="0"/>
              <w:keepLines w:val="0"/>
              <w:pageBreakBefore w:val="0"/>
              <w:widowControl w:val="0"/>
              <w:kinsoku/>
              <w:wordWrap/>
              <w:overflowPunct/>
              <w:topLinePunct w:val="0"/>
              <w:bidi w:val="0"/>
              <w:adjustRightInd/>
              <w:spacing w:line="390" w:lineRule="exact"/>
              <w:jc w:val="both"/>
              <w:rPr>
                <w:rFonts w:hint="eastAsia" w:ascii="Times New Roman" w:hAnsi="Times New Roman" w:eastAsia="宋体" w:cs="宋体"/>
                <w:color w:val="000000" w:themeColor="text1"/>
                <w:sz w:val="21"/>
                <w:szCs w:val="21"/>
                <w:highlight w:val="none"/>
                <w14:textFill>
                  <w14:solidFill>
                    <w14:schemeClr w14:val="tx1"/>
                  </w14:solidFill>
                </w14:textFill>
              </w:rPr>
            </w:pPr>
            <w:r>
              <w:rPr>
                <w:rFonts w:hint="eastAsia" w:cs="宋体"/>
                <w:color w:val="000000" w:themeColor="text1"/>
                <w:sz w:val="21"/>
                <w:szCs w:val="21"/>
                <w:highlight w:val="none"/>
                <w:lang w:val="en-US" w:eastAsia="zh-CN"/>
                <w14:textFill>
                  <w14:solidFill>
                    <w14:schemeClr w14:val="tx1"/>
                  </w14:solidFill>
                </w14:textFill>
              </w:rPr>
              <w:t>5</w:t>
            </w:r>
            <w:r>
              <w:rPr>
                <w:rFonts w:hint="eastAsia" w:ascii="Times New Roman" w:hAnsi="Times New Roman" w:eastAsia="宋体" w:cs="宋体"/>
                <w:color w:val="000000" w:themeColor="text1"/>
                <w:sz w:val="21"/>
                <w:szCs w:val="21"/>
                <w:highlight w:val="none"/>
                <w14:textFill>
                  <w14:solidFill>
                    <w14:schemeClr w14:val="tx1"/>
                  </w14:solidFill>
                </w14:textFill>
              </w:rPr>
              <w:t>.建设工程项目管理承诺书（格式后附）；（</w:t>
            </w:r>
            <w:r>
              <w:rPr>
                <w:rFonts w:hint="eastAsia" w:ascii="Times New Roman" w:hAnsi="Times New Roman" w:eastAsia="宋体" w:cs="宋体"/>
                <w:b/>
                <w:color w:val="000000" w:themeColor="text1"/>
                <w:sz w:val="21"/>
                <w:szCs w:val="21"/>
                <w:highlight w:val="none"/>
                <w14:textFill>
                  <w14:solidFill>
                    <w14:schemeClr w14:val="tx1"/>
                  </w14:solidFill>
                </w14:textFill>
              </w:rPr>
              <w:t>必须提供，否则响应文件按无效响应处理</w:t>
            </w:r>
            <w:r>
              <w:rPr>
                <w:rFonts w:hint="eastAsia" w:ascii="Times New Roman" w:hAnsi="Times New Roman" w:eastAsia="宋体" w:cs="宋体"/>
                <w:color w:val="000000" w:themeColor="text1"/>
                <w:sz w:val="21"/>
                <w:szCs w:val="21"/>
                <w:highlight w:val="none"/>
                <w14:textFill>
                  <w14:solidFill>
                    <w14:schemeClr w14:val="tx1"/>
                  </w14:solidFill>
                </w14:textFill>
              </w:rPr>
              <w:t>）</w:t>
            </w:r>
          </w:p>
          <w:p w14:paraId="3CA1C97E">
            <w:pPr>
              <w:keepNext w:val="0"/>
              <w:keepLines w:val="0"/>
              <w:pageBreakBefore w:val="0"/>
              <w:widowControl w:val="0"/>
              <w:kinsoku/>
              <w:wordWrap/>
              <w:overflowPunct/>
              <w:topLinePunct w:val="0"/>
              <w:bidi w:val="0"/>
              <w:adjustRightInd/>
              <w:spacing w:line="390" w:lineRule="exact"/>
              <w:jc w:val="both"/>
              <w:rPr>
                <w:rFonts w:hint="eastAsia" w:ascii="Times New Roman" w:hAnsi="Times New Roman" w:eastAsia="宋体" w:cs="宋体"/>
                <w:color w:val="000000" w:themeColor="text1"/>
                <w:sz w:val="21"/>
                <w:szCs w:val="21"/>
                <w:highlight w:val="none"/>
                <w14:textFill>
                  <w14:solidFill>
                    <w14:schemeClr w14:val="tx1"/>
                  </w14:solidFill>
                </w14:textFill>
              </w:rPr>
            </w:pPr>
            <w:r>
              <w:rPr>
                <w:rFonts w:hint="eastAsia" w:cs="宋体"/>
                <w:color w:val="000000" w:themeColor="text1"/>
                <w:sz w:val="21"/>
                <w:szCs w:val="21"/>
                <w:highlight w:val="none"/>
                <w:lang w:val="en-US" w:eastAsia="zh-CN"/>
                <w14:textFill>
                  <w14:solidFill>
                    <w14:schemeClr w14:val="tx1"/>
                  </w14:solidFill>
                </w14:textFill>
              </w:rPr>
              <w:t>6</w:t>
            </w:r>
            <w:r>
              <w:rPr>
                <w:rFonts w:hint="eastAsia" w:ascii="Times New Roman" w:hAnsi="Times New Roman" w:eastAsia="宋体" w:cs="宋体"/>
                <w:color w:val="000000" w:themeColor="text1"/>
                <w:sz w:val="21"/>
                <w:szCs w:val="21"/>
                <w:highlight w:val="none"/>
                <w14:textFill>
                  <w14:solidFill>
                    <w14:schemeClr w14:val="tx1"/>
                  </w14:solidFill>
                </w14:textFill>
              </w:rPr>
              <w:t>.供应商情况介绍（格式自拟）；</w:t>
            </w:r>
          </w:p>
          <w:p w14:paraId="218B554E">
            <w:pPr>
              <w:keepNext w:val="0"/>
              <w:keepLines w:val="0"/>
              <w:pageBreakBefore w:val="0"/>
              <w:widowControl w:val="0"/>
              <w:kinsoku/>
              <w:wordWrap/>
              <w:overflowPunct/>
              <w:topLinePunct w:val="0"/>
              <w:bidi w:val="0"/>
              <w:adjustRightInd/>
              <w:spacing w:line="390" w:lineRule="exact"/>
              <w:jc w:val="both"/>
              <w:rPr>
                <w:rFonts w:hint="eastAsia" w:ascii="Times New Roman" w:hAnsi="Times New Roman" w:eastAsia="宋体" w:cs="宋体"/>
                <w:color w:val="000000" w:themeColor="text1"/>
                <w:sz w:val="21"/>
                <w:szCs w:val="21"/>
                <w:highlight w:val="none"/>
                <w14:textFill>
                  <w14:solidFill>
                    <w14:schemeClr w14:val="tx1"/>
                  </w14:solidFill>
                </w14:textFill>
              </w:rPr>
            </w:pPr>
            <w:r>
              <w:rPr>
                <w:rFonts w:hint="eastAsia" w:cs="宋体"/>
                <w:color w:val="000000" w:themeColor="text1"/>
                <w:sz w:val="21"/>
                <w:szCs w:val="21"/>
                <w:highlight w:val="none"/>
                <w:lang w:val="en-US" w:eastAsia="zh-CN"/>
                <w14:textFill>
                  <w14:solidFill>
                    <w14:schemeClr w14:val="tx1"/>
                  </w14:solidFill>
                </w14:textFill>
              </w:rPr>
              <w:t>7</w:t>
            </w:r>
            <w:r>
              <w:rPr>
                <w:rFonts w:hint="eastAsia" w:ascii="Times New Roman" w:hAnsi="Times New Roman" w:eastAsia="宋体" w:cs="宋体"/>
                <w:color w:val="000000" w:themeColor="text1"/>
                <w:sz w:val="21"/>
                <w:szCs w:val="21"/>
                <w:highlight w:val="none"/>
                <w14:textFill>
                  <w14:solidFill>
                    <w14:schemeClr w14:val="tx1"/>
                  </w14:solidFill>
                </w14:textFill>
              </w:rPr>
              <w:t>.对应采购需求的商务条款提供的其他文件资料（格式自拟）；</w:t>
            </w:r>
          </w:p>
          <w:p w14:paraId="6E3FAC6B">
            <w:pPr>
              <w:keepNext w:val="0"/>
              <w:keepLines w:val="0"/>
              <w:pageBreakBefore w:val="0"/>
              <w:widowControl w:val="0"/>
              <w:kinsoku/>
              <w:wordWrap/>
              <w:overflowPunct/>
              <w:topLinePunct w:val="0"/>
              <w:bidi w:val="0"/>
              <w:adjustRightInd/>
              <w:spacing w:line="390" w:lineRule="exact"/>
              <w:jc w:val="both"/>
              <w:rPr>
                <w:rFonts w:hint="eastAsia" w:ascii="Times New Roman" w:hAnsi="Times New Roman" w:eastAsia="宋体" w:cs="宋体"/>
                <w:color w:val="000000" w:themeColor="text1"/>
                <w:sz w:val="21"/>
                <w:szCs w:val="21"/>
                <w:highlight w:val="none"/>
                <w14:textFill>
                  <w14:solidFill>
                    <w14:schemeClr w14:val="tx1"/>
                  </w14:solidFill>
                </w14:textFill>
              </w:rPr>
            </w:pPr>
            <w:r>
              <w:rPr>
                <w:rFonts w:hint="eastAsia" w:cs="宋体"/>
                <w:color w:val="000000" w:themeColor="text1"/>
                <w:sz w:val="21"/>
                <w:szCs w:val="21"/>
                <w:highlight w:val="none"/>
                <w:lang w:val="en-US" w:eastAsia="zh-CN"/>
                <w14:textFill>
                  <w14:solidFill>
                    <w14:schemeClr w14:val="tx1"/>
                  </w14:solidFill>
                </w14:textFill>
              </w:rPr>
              <w:t>8</w:t>
            </w:r>
            <w:r>
              <w:rPr>
                <w:rFonts w:hint="eastAsia" w:ascii="Times New Roman" w:hAnsi="Times New Roman" w:eastAsia="宋体" w:cs="宋体"/>
                <w:color w:val="000000" w:themeColor="text1"/>
                <w:sz w:val="21"/>
                <w:szCs w:val="21"/>
                <w:highlight w:val="none"/>
                <w14:textFill>
                  <w14:solidFill>
                    <w14:schemeClr w14:val="tx1"/>
                  </w14:solidFill>
                </w14:textFill>
              </w:rPr>
              <w:t>.供应商认为需要提供的其他有关资料（格式自拟）。</w:t>
            </w:r>
          </w:p>
          <w:p w14:paraId="0E8E4755">
            <w:pPr>
              <w:keepNext w:val="0"/>
              <w:keepLines w:val="0"/>
              <w:pageBreakBefore w:val="0"/>
              <w:widowControl w:val="0"/>
              <w:kinsoku/>
              <w:wordWrap/>
              <w:overflowPunct/>
              <w:topLinePunct w:val="0"/>
              <w:bidi w:val="0"/>
              <w:adjustRightInd/>
              <w:spacing w:line="390" w:lineRule="exact"/>
              <w:jc w:val="both"/>
              <w:rPr>
                <w:rFonts w:hint="eastAsia" w:ascii="Times New Roman" w:hAnsi="Times New Roman" w:eastAsia="宋体" w:cs="宋体"/>
                <w:b/>
                <w:color w:val="000000" w:themeColor="text1"/>
                <w:sz w:val="21"/>
                <w:szCs w:val="21"/>
                <w:highlight w:val="none"/>
                <w14:textFill>
                  <w14:solidFill>
                    <w14:schemeClr w14:val="tx1"/>
                  </w14:solidFill>
                </w14:textFill>
              </w:rPr>
            </w:pPr>
            <w:r>
              <w:rPr>
                <w:rFonts w:hint="eastAsia" w:ascii="Times New Roman" w:hAnsi="Times New Roman" w:eastAsia="宋体" w:cs="宋体"/>
                <w:b/>
                <w:color w:val="000000" w:themeColor="text1"/>
                <w:sz w:val="21"/>
                <w:szCs w:val="21"/>
                <w:highlight w:val="none"/>
                <w14:textFill>
                  <w14:solidFill>
                    <w14:schemeClr w14:val="tx1"/>
                  </w14:solidFill>
                </w14:textFill>
              </w:rPr>
              <w:t>注：</w:t>
            </w:r>
          </w:p>
          <w:p w14:paraId="0490ABE2">
            <w:pPr>
              <w:keepNext w:val="0"/>
              <w:keepLines w:val="0"/>
              <w:pageBreakBefore w:val="0"/>
              <w:widowControl w:val="0"/>
              <w:kinsoku/>
              <w:wordWrap/>
              <w:overflowPunct/>
              <w:topLinePunct w:val="0"/>
              <w:bidi w:val="0"/>
              <w:adjustRightInd/>
              <w:spacing w:line="390" w:lineRule="exact"/>
              <w:ind w:firstLine="413" w:firstLineChars="196"/>
              <w:jc w:val="both"/>
              <w:rPr>
                <w:rFonts w:hint="eastAsia" w:ascii="Times New Roman" w:hAnsi="Times New Roman" w:eastAsia="宋体" w:cs="宋体"/>
                <w:b/>
                <w:color w:val="000000" w:themeColor="text1"/>
                <w:sz w:val="21"/>
                <w:szCs w:val="21"/>
                <w:highlight w:val="none"/>
                <w14:textFill>
                  <w14:solidFill>
                    <w14:schemeClr w14:val="tx1"/>
                  </w14:solidFill>
                </w14:textFill>
              </w:rPr>
            </w:pPr>
            <w:r>
              <w:rPr>
                <w:rFonts w:hint="eastAsia" w:ascii="Times New Roman" w:hAnsi="Times New Roman" w:eastAsia="宋体" w:cs="宋体"/>
                <w:b/>
                <w:color w:val="000000" w:themeColor="text1"/>
                <w:sz w:val="21"/>
                <w:szCs w:val="21"/>
                <w:highlight w:val="none"/>
                <w14:textFill>
                  <w14:solidFill>
                    <w14:schemeClr w14:val="tx1"/>
                  </w14:solidFill>
                </w14:textFill>
              </w:rPr>
              <w:t>1.法定代表人授权委托书必须由法定代表人及其委托代理人签字，并加盖供应商公章，否则响应文件按无效响应处理。</w:t>
            </w:r>
          </w:p>
          <w:p w14:paraId="0C205A97">
            <w:pPr>
              <w:keepNext w:val="0"/>
              <w:keepLines w:val="0"/>
              <w:pageBreakBefore w:val="0"/>
              <w:widowControl w:val="0"/>
              <w:kinsoku/>
              <w:wordWrap/>
              <w:overflowPunct/>
              <w:topLinePunct w:val="0"/>
              <w:bidi w:val="0"/>
              <w:adjustRightInd/>
              <w:spacing w:line="390" w:lineRule="exact"/>
              <w:ind w:firstLine="413" w:firstLineChars="196"/>
              <w:jc w:val="both"/>
              <w:rPr>
                <w:rFonts w:hint="eastAsia" w:ascii="Times New Roman" w:hAnsi="Times New Roman" w:eastAsia="宋体" w:cs="宋体"/>
                <w:b/>
                <w:color w:val="000000" w:themeColor="text1"/>
                <w:sz w:val="21"/>
                <w:szCs w:val="21"/>
                <w:highlight w:val="none"/>
                <w14:textFill>
                  <w14:solidFill>
                    <w14:schemeClr w14:val="tx1"/>
                  </w14:solidFill>
                </w14:textFill>
              </w:rPr>
            </w:pPr>
            <w:r>
              <w:rPr>
                <w:rFonts w:hint="eastAsia" w:ascii="Times New Roman" w:hAnsi="Times New Roman" w:eastAsia="宋体" w:cs="宋体"/>
                <w:b/>
                <w:color w:val="000000" w:themeColor="text1"/>
                <w:sz w:val="21"/>
                <w:szCs w:val="21"/>
                <w:highlight w:val="none"/>
                <w14:textFill>
                  <w14:solidFill>
                    <w14:schemeClr w14:val="tx1"/>
                  </w14:solidFill>
                </w14:textFill>
              </w:rPr>
              <w:t>2.以上标明“必须提供”的材料属于复印件的扫描件的，必须加盖供应商公章，否则响应文件按无效响应处理。</w:t>
            </w:r>
          </w:p>
        </w:tc>
      </w:tr>
      <w:tr w14:paraId="07FE26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963" w:type="dxa"/>
            <w:vMerge w:val="continue"/>
            <w:noWrap w:val="0"/>
            <w:vAlign w:val="center"/>
          </w:tcPr>
          <w:p w14:paraId="7C54438C">
            <w:pPr>
              <w:keepNext w:val="0"/>
              <w:keepLines w:val="0"/>
              <w:pageBreakBefore w:val="0"/>
              <w:widowControl w:val="0"/>
              <w:kinsoku/>
              <w:wordWrap/>
              <w:overflowPunct/>
              <w:topLinePunct w:val="0"/>
              <w:bidi w:val="0"/>
              <w:adjustRightInd/>
              <w:spacing w:line="390" w:lineRule="exact"/>
              <w:jc w:val="center"/>
              <w:rPr>
                <w:rFonts w:hint="eastAsia" w:ascii="Times New Roman" w:hAnsi="Times New Roman" w:eastAsia="宋体" w:cs="宋体"/>
                <w:color w:val="000000" w:themeColor="text1"/>
                <w:sz w:val="21"/>
                <w:szCs w:val="21"/>
                <w:highlight w:val="none"/>
                <w14:textFill>
                  <w14:solidFill>
                    <w14:schemeClr w14:val="tx1"/>
                  </w14:solidFill>
                </w14:textFill>
              </w:rPr>
            </w:pPr>
          </w:p>
        </w:tc>
        <w:tc>
          <w:tcPr>
            <w:tcW w:w="2321" w:type="dxa"/>
            <w:noWrap w:val="0"/>
            <w:vAlign w:val="center"/>
          </w:tcPr>
          <w:p w14:paraId="5863CF48">
            <w:pPr>
              <w:keepNext w:val="0"/>
              <w:keepLines w:val="0"/>
              <w:pageBreakBefore w:val="0"/>
              <w:widowControl w:val="0"/>
              <w:kinsoku/>
              <w:wordWrap/>
              <w:overflowPunct/>
              <w:topLinePunct w:val="0"/>
              <w:bidi w:val="0"/>
              <w:adjustRightInd/>
              <w:spacing w:line="390" w:lineRule="exact"/>
              <w:jc w:val="center"/>
              <w:rPr>
                <w:rFonts w:hint="eastAsia" w:ascii="Times New Roman" w:hAnsi="Times New Roman" w:eastAsia="宋体" w:cs="宋体"/>
                <w:b w:val="0"/>
                <w:bCs/>
                <w:color w:val="000000" w:themeColor="text1"/>
                <w:sz w:val="21"/>
                <w:szCs w:val="21"/>
                <w:highlight w:val="none"/>
                <w14:textFill>
                  <w14:solidFill>
                    <w14:schemeClr w14:val="tx1"/>
                  </w14:solidFill>
                </w14:textFill>
              </w:rPr>
            </w:pPr>
            <w:r>
              <w:rPr>
                <w:rFonts w:hint="eastAsia" w:ascii="Times New Roman" w:hAnsi="Times New Roman" w:eastAsia="宋体" w:cs="宋体"/>
                <w:b w:val="0"/>
                <w:bCs/>
                <w:color w:val="000000" w:themeColor="text1"/>
                <w:sz w:val="21"/>
                <w:szCs w:val="21"/>
                <w:highlight w:val="none"/>
                <w14:textFill>
                  <w14:solidFill>
                    <w14:schemeClr w14:val="tx1"/>
                  </w14:solidFill>
                </w14:textFill>
              </w:rPr>
              <w:t>技术文件组成</w:t>
            </w:r>
          </w:p>
        </w:tc>
        <w:tc>
          <w:tcPr>
            <w:tcW w:w="6466" w:type="dxa"/>
            <w:noWrap w:val="0"/>
            <w:vAlign w:val="center"/>
          </w:tcPr>
          <w:p w14:paraId="3E3B40BC">
            <w:pPr>
              <w:keepNext w:val="0"/>
              <w:keepLines w:val="0"/>
              <w:pageBreakBefore w:val="0"/>
              <w:widowControl w:val="0"/>
              <w:kinsoku/>
              <w:wordWrap/>
              <w:overflowPunct/>
              <w:topLinePunct w:val="0"/>
              <w:bidi w:val="0"/>
              <w:adjustRightInd/>
              <w:spacing w:line="390" w:lineRule="exact"/>
              <w:jc w:val="both"/>
              <w:rPr>
                <w:rFonts w:hint="eastAsia" w:ascii="Times New Roman" w:hAnsi="Times New Roman" w:eastAsia="宋体" w:cs="宋体"/>
                <w:color w:val="000000" w:themeColor="text1"/>
                <w:sz w:val="21"/>
                <w:szCs w:val="21"/>
                <w:highlight w:val="none"/>
                <w14:textFill>
                  <w14:solidFill>
                    <w14:schemeClr w14:val="tx1"/>
                  </w14:solidFill>
                </w14:textFill>
              </w:rPr>
            </w:pPr>
            <w:r>
              <w:rPr>
                <w:rFonts w:hint="eastAsia" w:ascii="Times New Roman" w:hAnsi="Times New Roman" w:eastAsia="宋体" w:cs="宋体"/>
                <w:color w:val="000000" w:themeColor="text1"/>
                <w:sz w:val="21"/>
                <w:szCs w:val="21"/>
                <w:highlight w:val="none"/>
                <w14:textFill>
                  <w14:solidFill>
                    <w14:schemeClr w14:val="tx1"/>
                  </w14:solidFill>
                </w14:textFill>
              </w:rPr>
              <w:t>1.技术需求偏离表（格式后附）；（</w:t>
            </w:r>
            <w:r>
              <w:rPr>
                <w:rFonts w:hint="eastAsia" w:ascii="Times New Roman" w:hAnsi="Times New Roman" w:eastAsia="宋体" w:cs="宋体"/>
                <w:b/>
                <w:color w:val="000000" w:themeColor="text1"/>
                <w:sz w:val="21"/>
                <w:szCs w:val="21"/>
                <w:highlight w:val="none"/>
                <w14:textFill>
                  <w14:solidFill>
                    <w14:schemeClr w14:val="tx1"/>
                  </w14:solidFill>
                </w14:textFill>
              </w:rPr>
              <w:t>必须提供，否则响应文件按无效响应处理</w:t>
            </w:r>
            <w:r>
              <w:rPr>
                <w:rFonts w:hint="eastAsia" w:ascii="Times New Roman" w:hAnsi="Times New Roman" w:eastAsia="宋体" w:cs="宋体"/>
                <w:color w:val="000000" w:themeColor="text1"/>
                <w:sz w:val="21"/>
                <w:szCs w:val="21"/>
                <w:highlight w:val="none"/>
                <w14:textFill>
                  <w14:solidFill>
                    <w14:schemeClr w14:val="tx1"/>
                  </w14:solidFill>
                </w14:textFill>
              </w:rPr>
              <w:t>）</w:t>
            </w:r>
          </w:p>
          <w:p w14:paraId="7A0C0AFE">
            <w:pPr>
              <w:keepNext w:val="0"/>
              <w:keepLines w:val="0"/>
              <w:pageBreakBefore w:val="0"/>
              <w:widowControl w:val="0"/>
              <w:kinsoku/>
              <w:wordWrap/>
              <w:overflowPunct/>
              <w:topLinePunct w:val="0"/>
              <w:bidi w:val="0"/>
              <w:adjustRightInd/>
              <w:spacing w:line="390" w:lineRule="exact"/>
              <w:jc w:val="both"/>
              <w:rPr>
                <w:rFonts w:hint="eastAsia" w:ascii="Times New Roman" w:hAnsi="Times New Roman" w:eastAsia="宋体" w:cs="宋体"/>
                <w:color w:val="000000" w:themeColor="text1"/>
                <w:sz w:val="21"/>
                <w:szCs w:val="21"/>
                <w:highlight w:val="none"/>
                <w14:textFill>
                  <w14:solidFill>
                    <w14:schemeClr w14:val="tx1"/>
                  </w14:solidFill>
                </w14:textFill>
              </w:rPr>
            </w:pPr>
            <w:r>
              <w:rPr>
                <w:rFonts w:hint="eastAsia" w:ascii="Times New Roman" w:hAnsi="Times New Roman" w:eastAsia="宋体" w:cs="宋体"/>
                <w:color w:val="000000" w:themeColor="text1"/>
                <w:sz w:val="21"/>
                <w:szCs w:val="21"/>
                <w:highlight w:val="none"/>
                <w14:textFill>
                  <w14:solidFill>
                    <w14:schemeClr w14:val="tx1"/>
                  </w14:solidFill>
                </w14:textFill>
              </w:rPr>
              <w:t>2.施工组织设计（格式自拟）；</w:t>
            </w:r>
          </w:p>
          <w:p w14:paraId="4E594083">
            <w:pPr>
              <w:keepNext w:val="0"/>
              <w:keepLines w:val="0"/>
              <w:pageBreakBefore w:val="0"/>
              <w:widowControl w:val="0"/>
              <w:kinsoku/>
              <w:wordWrap/>
              <w:overflowPunct/>
              <w:topLinePunct w:val="0"/>
              <w:bidi w:val="0"/>
              <w:adjustRightInd/>
              <w:spacing w:line="390" w:lineRule="exact"/>
              <w:jc w:val="both"/>
              <w:rPr>
                <w:rFonts w:hint="eastAsia" w:ascii="Times New Roman" w:hAnsi="Times New Roman" w:eastAsia="宋体" w:cs="宋体"/>
                <w:color w:val="000000" w:themeColor="text1"/>
                <w:sz w:val="21"/>
                <w:szCs w:val="21"/>
                <w:highlight w:val="none"/>
                <w14:textFill>
                  <w14:solidFill>
                    <w14:schemeClr w14:val="tx1"/>
                  </w14:solidFill>
                </w14:textFill>
              </w:rPr>
            </w:pPr>
            <w:r>
              <w:rPr>
                <w:rFonts w:hint="eastAsia" w:ascii="Times New Roman" w:hAnsi="Times New Roman" w:eastAsia="宋体" w:cs="宋体"/>
                <w:color w:val="000000" w:themeColor="text1"/>
                <w:sz w:val="21"/>
                <w:szCs w:val="21"/>
                <w:highlight w:val="none"/>
                <w14:textFill>
                  <w14:solidFill>
                    <w14:schemeClr w14:val="tx1"/>
                  </w14:solidFill>
                </w14:textFill>
              </w:rPr>
              <w:t>3.项目</w:t>
            </w:r>
            <w:r>
              <w:rPr>
                <w:rFonts w:hint="eastAsia" w:ascii="Times New Roman" w:hAnsi="Times New Roman" w:cs="宋体"/>
                <w:color w:val="000000" w:themeColor="text1"/>
                <w:sz w:val="21"/>
                <w:szCs w:val="21"/>
                <w:highlight w:val="none"/>
                <w:lang w:eastAsia="zh-CN"/>
                <w14:textFill>
                  <w14:solidFill>
                    <w14:schemeClr w14:val="tx1"/>
                  </w14:solidFill>
                </w14:textFill>
              </w:rPr>
              <w:t>管理</w:t>
            </w:r>
            <w:r>
              <w:rPr>
                <w:rFonts w:hint="eastAsia" w:ascii="Times New Roman" w:hAnsi="Times New Roman" w:eastAsia="宋体" w:cs="宋体"/>
                <w:color w:val="000000" w:themeColor="text1"/>
                <w:sz w:val="21"/>
                <w:szCs w:val="21"/>
                <w:highlight w:val="none"/>
                <w14:textFill>
                  <w14:solidFill>
                    <w14:schemeClr w14:val="tx1"/>
                  </w14:solidFill>
                </w14:textFill>
              </w:rPr>
              <w:t xml:space="preserve">人员一览表（格式后附）； </w:t>
            </w:r>
          </w:p>
          <w:p w14:paraId="70B135F4">
            <w:pPr>
              <w:keepNext w:val="0"/>
              <w:keepLines w:val="0"/>
              <w:pageBreakBefore w:val="0"/>
              <w:widowControl w:val="0"/>
              <w:kinsoku/>
              <w:wordWrap/>
              <w:overflowPunct/>
              <w:topLinePunct w:val="0"/>
              <w:bidi w:val="0"/>
              <w:adjustRightInd/>
              <w:spacing w:line="390" w:lineRule="exact"/>
              <w:jc w:val="both"/>
              <w:rPr>
                <w:rFonts w:hint="eastAsia" w:ascii="Times New Roman" w:hAnsi="Times New Roman" w:eastAsia="宋体" w:cs="宋体"/>
                <w:color w:val="000000" w:themeColor="text1"/>
                <w:sz w:val="21"/>
                <w:szCs w:val="21"/>
                <w:highlight w:val="none"/>
                <w14:textFill>
                  <w14:solidFill>
                    <w14:schemeClr w14:val="tx1"/>
                  </w14:solidFill>
                </w14:textFill>
              </w:rPr>
            </w:pPr>
            <w:r>
              <w:rPr>
                <w:rFonts w:hint="eastAsia" w:ascii="Times New Roman" w:hAnsi="Times New Roman" w:eastAsia="宋体" w:cs="宋体"/>
                <w:color w:val="000000" w:themeColor="text1"/>
                <w:sz w:val="21"/>
                <w:szCs w:val="21"/>
                <w:highlight w:val="none"/>
                <w14:textFill>
                  <w14:solidFill>
                    <w14:schemeClr w14:val="tx1"/>
                  </w14:solidFill>
                </w14:textFill>
              </w:rPr>
              <w:t>4.对应采购需求的服务需求提供的其他文件资料（格式自拟）；</w:t>
            </w:r>
          </w:p>
          <w:p w14:paraId="1645C3FD">
            <w:pPr>
              <w:keepNext w:val="0"/>
              <w:keepLines w:val="0"/>
              <w:pageBreakBefore w:val="0"/>
              <w:widowControl w:val="0"/>
              <w:kinsoku/>
              <w:wordWrap/>
              <w:overflowPunct/>
              <w:topLinePunct w:val="0"/>
              <w:bidi w:val="0"/>
              <w:adjustRightInd/>
              <w:spacing w:line="390" w:lineRule="exact"/>
              <w:jc w:val="both"/>
              <w:rPr>
                <w:rFonts w:hint="eastAsia" w:ascii="Times New Roman" w:hAnsi="Times New Roman" w:eastAsia="宋体" w:cs="宋体"/>
                <w:color w:val="000000" w:themeColor="text1"/>
                <w:sz w:val="21"/>
                <w:szCs w:val="21"/>
                <w:highlight w:val="none"/>
                <w14:textFill>
                  <w14:solidFill>
                    <w14:schemeClr w14:val="tx1"/>
                  </w14:solidFill>
                </w14:textFill>
              </w:rPr>
            </w:pPr>
            <w:r>
              <w:rPr>
                <w:rFonts w:hint="eastAsia" w:ascii="Times New Roman" w:hAnsi="Times New Roman" w:eastAsia="宋体" w:cs="宋体"/>
                <w:color w:val="000000" w:themeColor="text1"/>
                <w:sz w:val="21"/>
                <w:szCs w:val="21"/>
                <w:highlight w:val="none"/>
                <w14:textFill>
                  <w14:solidFill>
                    <w14:schemeClr w14:val="tx1"/>
                  </w14:solidFill>
                </w14:textFill>
              </w:rPr>
              <w:t>5.供应商认为需要提供的其他有关资料（格式自拟）。</w:t>
            </w:r>
          </w:p>
          <w:p w14:paraId="7BB019A5">
            <w:pPr>
              <w:keepNext w:val="0"/>
              <w:keepLines w:val="0"/>
              <w:pageBreakBefore w:val="0"/>
              <w:widowControl w:val="0"/>
              <w:kinsoku/>
              <w:wordWrap/>
              <w:overflowPunct/>
              <w:topLinePunct w:val="0"/>
              <w:bidi w:val="0"/>
              <w:adjustRightInd/>
              <w:spacing w:line="390" w:lineRule="exact"/>
              <w:jc w:val="both"/>
              <w:rPr>
                <w:rFonts w:hint="eastAsia" w:ascii="Times New Roman" w:hAnsi="Times New Roman" w:eastAsia="宋体" w:cs="宋体"/>
                <w:b/>
                <w:color w:val="000000" w:themeColor="text1"/>
                <w:sz w:val="21"/>
                <w:szCs w:val="21"/>
                <w:highlight w:val="none"/>
                <w14:textFill>
                  <w14:solidFill>
                    <w14:schemeClr w14:val="tx1"/>
                  </w14:solidFill>
                </w14:textFill>
              </w:rPr>
            </w:pPr>
            <w:r>
              <w:rPr>
                <w:rFonts w:hint="eastAsia" w:ascii="Times New Roman" w:hAnsi="Times New Roman" w:eastAsia="宋体" w:cs="宋体"/>
                <w:b/>
                <w:color w:val="000000" w:themeColor="text1"/>
                <w:sz w:val="21"/>
                <w:szCs w:val="21"/>
                <w:highlight w:val="none"/>
                <w14:textFill>
                  <w14:solidFill>
                    <w14:schemeClr w14:val="tx1"/>
                  </w14:solidFill>
                </w14:textFill>
              </w:rPr>
              <w:t>注：以上标明</w:t>
            </w:r>
            <w:r>
              <w:rPr>
                <w:rFonts w:hint="eastAsia" w:ascii="Times New Roman" w:hAnsi="Times New Roman" w:eastAsia="宋体" w:cs="宋体"/>
                <w:b/>
                <w:color w:val="000000" w:themeColor="text1"/>
                <w:sz w:val="21"/>
                <w:szCs w:val="21"/>
                <w:highlight w:val="none"/>
                <w:lang w:eastAsia="zh-CN"/>
                <w14:textFill>
                  <w14:solidFill>
                    <w14:schemeClr w14:val="tx1"/>
                  </w14:solidFill>
                </w14:textFill>
              </w:rPr>
              <w:t>“</w:t>
            </w:r>
            <w:r>
              <w:rPr>
                <w:rFonts w:hint="eastAsia" w:ascii="Times New Roman" w:hAnsi="Times New Roman" w:eastAsia="宋体" w:cs="宋体"/>
                <w:b/>
                <w:color w:val="000000" w:themeColor="text1"/>
                <w:sz w:val="21"/>
                <w:szCs w:val="21"/>
                <w:highlight w:val="none"/>
                <w14:textFill>
                  <w14:solidFill>
                    <w14:schemeClr w14:val="tx1"/>
                  </w14:solidFill>
                </w14:textFill>
              </w:rPr>
              <w:t>必须提供</w:t>
            </w:r>
            <w:r>
              <w:rPr>
                <w:rFonts w:hint="eastAsia" w:ascii="Times New Roman" w:hAnsi="Times New Roman" w:eastAsia="宋体" w:cs="宋体"/>
                <w:b/>
                <w:color w:val="000000" w:themeColor="text1"/>
                <w:sz w:val="21"/>
                <w:szCs w:val="21"/>
                <w:highlight w:val="none"/>
                <w:lang w:eastAsia="zh-CN"/>
                <w14:textFill>
                  <w14:solidFill>
                    <w14:schemeClr w14:val="tx1"/>
                  </w14:solidFill>
                </w14:textFill>
              </w:rPr>
              <w:t>”</w:t>
            </w:r>
            <w:r>
              <w:rPr>
                <w:rFonts w:hint="eastAsia" w:ascii="Times New Roman" w:hAnsi="Times New Roman" w:eastAsia="宋体" w:cs="宋体"/>
                <w:b/>
                <w:color w:val="000000" w:themeColor="text1"/>
                <w:sz w:val="21"/>
                <w:szCs w:val="21"/>
                <w:highlight w:val="none"/>
                <w14:textFill>
                  <w14:solidFill>
                    <w14:schemeClr w14:val="tx1"/>
                  </w14:solidFill>
                </w14:textFill>
              </w:rPr>
              <w:t>的材料属于复印件的，必须加盖供应商公章，否则响应文件按无效响应处理。</w:t>
            </w:r>
          </w:p>
        </w:tc>
      </w:tr>
      <w:tr w14:paraId="27A22F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963" w:type="dxa"/>
            <w:noWrap w:val="0"/>
            <w:vAlign w:val="center"/>
          </w:tcPr>
          <w:p w14:paraId="1FF28D25">
            <w:pPr>
              <w:keepNext w:val="0"/>
              <w:keepLines w:val="0"/>
              <w:pageBreakBefore w:val="0"/>
              <w:widowControl w:val="0"/>
              <w:kinsoku/>
              <w:wordWrap/>
              <w:overflowPunct/>
              <w:topLinePunct w:val="0"/>
              <w:bidi w:val="0"/>
              <w:adjustRightInd/>
              <w:spacing w:line="390" w:lineRule="exact"/>
              <w:jc w:val="cente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宋体"/>
                <w:color w:val="000000" w:themeColor="text1"/>
                <w:sz w:val="21"/>
                <w:szCs w:val="21"/>
                <w:highlight w:val="none"/>
                <w14:textFill>
                  <w14:solidFill>
                    <w14:schemeClr w14:val="tx1"/>
                  </w14:solidFill>
                </w14:textFill>
              </w:rPr>
              <w:t>12.1.</w:t>
            </w: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3</w:t>
            </w:r>
          </w:p>
        </w:tc>
        <w:tc>
          <w:tcPr>
            <w:tcW w:w="2321" w:type="dxa"/>
            <w:noWrap w:val="0"/>
            <w:vAlign w:val="center"/>
          </w:tcPr>
          <w:p w14:paraId="2631E3AA">
            <w:pPr>
              <w:keepNext w:val="0"/>
              <w:keepLines w:val="0"/>
              <w:pageBreakBefore w:val="0"/>
              <w:widowControl w:val="0"/>
              <w:kinsoku/>
              <w:wordWrap/>
              <w:overflowPunct/>
              <w:topLinePunct w:val="0"/>
              <w:bidi w:val="0"/>
              <w:adjustRightInd/>
              <w:spacing w:line="390" w:lineRule="exact"/>
              <w:jc w:val="center"/>
              <w:rPr>
                <w:rFonts w:hint="eastAsia" w:ascii="Times New Roman" w:hAnsi="Times New Roman" w:eastAsia="宋体" w:cs="宋体"/>
                <w:b w:val="0"/>
                <w:bCs/>
                <w:color w:val="000000" w:themeColor="text1"/>
                <w:sz w:val="21"/>
                <w:szCs w:val="21"/>
                <w:highlight w:val="none"/>
                <w14:textFill>
                  <w14:solidFill>
                    <w14:schemeClr w14:val="tx1"/>
                  </w14:solidFill>
                </w14:textFill>
              </w:rPr>
            </w:pPr>
            <w:r>
              <w:rPr>
                <w:rFonts w:hint="eastAsia" w:ascii="Times New Roman" w:hAnsi="Times New Roman" w:eastAsia="宋体" w:cs="宋体"/>
                <w:b w:val="0"/>
                <w:bCs/>
                <w:color w:val="000000" w:themeColor="text1"/>
                <w:sz w:val="21"/>
                <w:szCs w:val="21"/>
                <w:highlight w:val="none"/>
                <w14:textFill>
                  <w14:solidFill>
                    <w14:schemeClr w14:val="tx1"/>
                  </w14:solidFill>
                </w14:textFill>
              </w:rPr>
              <w:t>报价文件组成</w:t>
            </w:r>
          </w:p>
        </w:tc>
        <w:tc>
          <w:tcPr>
            <w:tcW w:w="6466" w:type="dxa"/>
            <w:noWrap w:val="0"/>
            <w:vAlign w:val="center"/>
          </w:tcPr>
          <w:p w14:paraId="0AF850D9">
            <w:pPr>
              <w:keepNext w:val="0"/>
              <w:keepLines w:val="0"/>
              <w:pageBreakBefore w:val="0"/>
              <w:widowControl w:val="0"/>
              <w:kinsoku/>
              <w:wordWrap/>
              <w:overflowPunct/>
              <w:topLinePunct w:val="0"/>
              <w:bidi w:val="0"/>
              <w:adjustRightInd/>
              <w:spacing w:line="390" w:lineRule="exact"/>
              <w:jc w:val="both"/>
              <w:rPr>
                <w:rFonts w:hint="eastAsia" w:ascii="Times New Roman" w:hAnsi="Times New Roman" w:eastAsia="宋体" w:cs="宋体"/>
                <w:color w:val="000000" w:themeColor="text1"/>
                <w:sz w:val="21"/>
                <w:szCs w:val="21"/>
                <w:highlight w:val="none"/>
                <w14:textFill>
                  <w14:solidFill>
                    <w14:schemeClr w14:val="tx1"/>
                  </w14:solidFill>
                </w14:textFill>
              </w:rPr>
            </w:pPr>
            <w:r>
              <w:rPr>
                <w:rFonts w:hint="eastAsia" w:ascii="Times New Roman" w:hAnsi="Times New Roman" w:eastAsia="宋体" w:cs="宋体"/>
                <w:color w:val="000000" w:themeColor="text1"/>
                <w:sz w:val="21"/>
                <w:szCs w:val="21"/>
                <w:highlight w:val="none"/>
                <w14:textFill>
                  <w14:solidFill>
                    <w14:schemeClr w14:val="tx1"/>
                  </w14:solidFill>
                </w14:textFill>
              </w:rPr>
              <w:t>1.响应函（格式后附）；（</w:t>
            </w:r>
            <w:r>
              <w:rPr>
                <w:rFonts w:hint="eastAsia" w:ascii="Times New Roman" w:hAnsi="Times New Roman" w:eastAsia="宋体" w:cs="宋体"/>
                <w:b/>
                <w:bCs/>
                <w:color w:val="000000" w:themeColor="text1"/>
                <w:sz w:val="21"/>
                <w:szCs w:val="21"/>
                <w:highlight w:val="none"/>
                <w14:textFill>
                  <w14:solidFill>
                    <w14:schemeClr w14:val="tx1"/>
                  </w14:solidFill>
                </w14:textFill>
              </w:rPr>
              <w:t>必须提供并加盖</w:t>
            </w:r>
            <w:r>
              <w:rPr>
                <w:rFonts w:hint="eastAsia" w:ascii="Times New Roman" w:hAnsi="Times New Roman" w:eastAsia="宋体" w:cs="宋体"/>
                <w:b/>
                <w:bCs/>
                <w:color w:val="000000" w:themeColor="text1"/>
                <w:sz w:val="21"/>
                <w:szCs w:val="21"/>
                <w:highlight w:val="none"/>
                <w:lang w:eastAsia="zh-CN"/>
                <w14:textFill>
                  <w14:solidFill>
                    <w14:schemeClr w14:val="tx1"/>
                  </w14:solidFill>
                </w14:textFill>
              </w:rPr>
              <w:t>供应商公章</w:t>
            </w:r>
            <w:r>
              <w:rPr>
                <w:rFonts w:hint="eastAsia" w:ascii="Times New Roman" w:hAnsi="Times New Roman" w:eastAsia="宋体" w:cs="宋体"/>
                <w:b/>
                <w:bCs/>
                <w:color w:val="000000" w:themeColor="text1"/>
                <w:sz w:val="21"/>
                <w:szCs w:val="21"/>
                <w:highlight w:val="none"/>
                <w14:textFill>
                  <w14:solidFill>
                    <w14:schemeClr w14:val="tx1"/>
                  </w14:solidFill>
                </w14:textFill>
              </w:rPr>
              <w:t>，否则响应文件按无效响应处理</w:t>
            </w:r>
            <w:r>
              <w:rPr>
                <w:rFonts w:hint="eastAsia" w:ascii="Times New Roman" w:hAnsi="Times New Roman" w:eastAsia="宋体" w:cs="宋体"/>
                <w:color w:val="000000" w:themeColor="text1"/>
                <w:sz w:val="21"/>
                <w:szCs w:val="21"/>
                <w:highlight w:val="none"/>
                <w14:textFill>
                  <w14:solidFill>
                    <w14:schemeClr w14:val="tx1"/>
                  </w14:solidFill>
                </w14:textFill>
              </w:rPr>
              <w:t>）</w:t>
            </w:r>
          </w:p>
          <w:p w14:paraId="07198FB5">
            <w:pPr>
              <w:keepNext w:val="0"/>
              <w:keepLines w:val="0"/>
              <w:pageBreakBefore w:val="0"/>
              <w:widowControl w:val="0"/>
              <w:kinsoku/>
              <w:wordWrap/>
              <w:overflowPunct/>
              <w:topLinePunct w:val="0"/>
              <w:bidi w:val="0"/>
              <w:adjustRightInd/>
              <w:spacing w:line="390" w:lineRule="exact"/>
              <w:jc w:val="both"/>
              <w:rPr>
                <w:rFonts w:hint="eastAsia" w:ascii="Times New Roman" w:hAnsi="Times New Roman" w:eastAsia="宋体" w:cs="宋体"/>
                <w:color w:val="000000" w:themeColor="text1"/>
                <w:sz w:val="21"/>
                <w:szCs w:val="21"/>
                <w:highlight w:val="none"/>
                <w14:textFill>
                  <w14:solidFill>
                    <w14:schemeClr w14:val="tx1"/>
                  </w14:solidFill>
                </w14:textFill>
              </w:rPr>
            </w:pPr>
            <w:r>
              <w:rPr>
                <w:rFonts w:hint="eastAsia" w:ascii="Times New Roman" w:hAnsi="Times New Roman" w:eastAsia="宋体" w:cs="宋体"/>
                <w:color w:val="000000" w:themeColor="text1"/>
                <w:sz w:val="21"/>
                <w:szCs w:val="21"/>
                <w:highlight w:val="none"/>
                <w14:textFill>
                  <w14:solidFill>
                    <w14:schemeClr w14:val="tx1"/>
                  </w14:solidFill>
                </w14:textFill>
              </w:rPr>
              <w:t>2.响应报价表（格式后附）；（</w:t>
            </w:r>
            <w:r>
              <w:rPr>
                <w:rFonts w:hint="eastAsia" w:ascii="Times New Roman" w:hAnsi="Times New Roman" w:eastAsia="宋体" w:cs="宋体"/>
                <w:b/>
                <w:bCs/>
                <w:color w:val="000000" w:themeColor="text1"/>
                <w:sz w:val="21"/>
                <w:szCs w:val="21"/>
                <w:highlight w:val="none"/>
                <w14:textFill>
                  <w14:solidFill>
                    <w14:schemeClr w14:val="tx1"/>
                  </w14:solidFill>
                </w14:textFill>
              </w:rPr>
              <w:t>必须提供并加盖</w:t>
            </w:r>
            <w:r>
              <w:rPr>
                <w:rFonts w:hint="eastAsia" w:ascii="Times New Roman" w:hAnsi="Times New Roman" w:eastAsia="宋体" w:cs="宋体"/>
                <w:b/>
                <w:bCs/>
                <w:color w:val="000000" w:themeColor="text1"/>
                <w:sz w:val="21"/>
                <w:szCs w:val="21"/>
                <w:highlight w:val="none"/>
                <w:lang w:eastAsia="zh-CN"/>
                <w14:textFill>
                  <w14:solidFill>
                    <w14:schemeClr w14:val="tx1"/>
                  </w14:solidFill>
                </w14:textFill>
              </w:rPr>
              <w:t>供应商公章</w:t>
            </w:r>
            <w:r>
              <w:rPr>
                <w:rFonts w:hint="eastAsia" w:ascii="Times New Roman" w:hAnsi="Times New Roman" w:eastAsia="宋体" w:cs="宋体"/>
                <w:b/>
                <w:bCs/>
                <w:color w:val="000000" w:themeColor="text1"/>
                <w:sz w:val="21"/>
                <w:szCs w:val="21"/>
                <w:highlight w:val="none"/>
                <w14:textFill>
                  <w14:solidFill>
                    <w14:schemeClr w14:val="tx1"/>
                  </w14:solidFill>
                </w14:textFill>
              </w:rPr>
              <w:t>，否则响应文件按无效响应处理</w:t>
            </w:r>
            <w:r>
              <w:rPr>
                <w:rFonts w:hint="eastAsia" w:ascii="Times New Roman" w:hAnsi="Times New Roman" w:eastAsia="宋体" w:cs="宋体"/>
                <w:color w:val="000000" w:themeColor="text1"/>
                <w:sz w:val="21"/>
                <w:szCs w:val="21"/>
                <w:highlight w:val="none"/>
                <w14:textFill>
                  <w14:solidFill>
                    <w14:schemeClr w14:val="tx1"/>
                  </w14:solidFill>
                </w14:textFill>
              </w:rPr>
              <w:t>）</w:t>
            </w:r>
          </w:p>
          <w:p w14:paraId="0FB23372">
            <w:pPr>
              <w:keepNext w:val="0"/>
              <w:keepLines w:val="0"/>
              <w:pageBreakBefore w:val="0"/>
              <w:widowControl w:val="0"/>
              <w:kinsoku/>
              <w:wordWrap/>
              <w:overflowPunct/>
              <w:topLinePunct w:val="0"/>
              <w:bidi w:val="0"/>
              <w:adjustRightInd/>
              <w:spacing w:line="390" w:lineRule="exact"/>
              <w:jc w:val="both"/>
              <w:rPr>
                <w:rFonts w:hint="eastAsia" w:ascii="Times New Roman" w:hAnsi="Times New Roman" w:eastAsia="宋体" w:cs="宋体"/>
                <w:color w:val="000000" w:themeColor="text1"/>
                <w:sz w:val="21"/>
                <w:szCs w:val="21"/>
                <w:highlight w:val="none"/>
                <w14:textFill>
                  <w14:solidFill>
                    <w14:schemeClr w14:val="tx1"/>
                  </w14:solidFill>
                </w14:textFill>
              </w:rPr>
            </w:pPr>
            <w:r>
              <w:rPr>
                <w:rFonts w:hint="eastAsia" w:ascii="Times New Roman" w:hAnsi="Times New Roman" w:eastAsia="宋体" w:cs="宋体"/>
                <w:color w:val="000000" w:themeColor="text1"/>
                <w:sz w:val="21"/>
                <w:szCs w:val="21"/>
                <w:highlight w:val="none"/>
                <w14:textFill>
                  <w14:solidFill>
                    <w14:schemeClr w14:val="tx1"/>
                  </w14:solidFill>
                </w14:textFill>
              </w:rPr>
              <w:t>3.已标价工程量清单；（</w:t>
            </w:r>
            <w:r>
              <w:rPr>
                <w:rFonts w:hint="eastAsia" w:ascii="Times New Roman" w:hAnsi="Times New Roman" w:eastAsia="宋体" w:cs="宋体"/>
                <w:b/>
                <w:bCs/>
                <w:color w:val="000000" w:themeColor="text1"/>
                <w:sz w:val="21"/>
                <w:szCs w:val="21"/>
                <w:highlight w:val="none"/>
                <w14:textFill>
                  <w14:solidFill>
                    <w14:schemeClr w14:val="tx1"/>
                  </w14:solidFill>
                </w14:textFill>
              </w:rPr>
              <w:t>必须提供并加盖</w:t>
            </w:r>
            <w:r>
              <w:rPr>
                <w:rFonts w:hint="eastAsia" w:ascii="Times New Roman" w:hAnsi="Times New Roman" w:eastAsia="宋体" w:cs="宋体"/>
                <w:b/>
                <w:bCs/>
                <w:color w:val="000000" w:themeColor="text1"/>
                <w:sz w:val="21"/>
                <w:szCs w:val="21"/>
                <w:highlight w:val="none"/>
                <w:lang w:eastAsia="zh-CN"/>
                <w14:textFill>
                  <w14:solidFill>
                    <w14:schemeClr w14:val="tx1"/>
                  </w14:solidFill>
                </w14:textFill>
              </w:rPr>
              <w:t>供应商公章</w:t>
            </w:r>
            <w:r>
              <w:rPr>
                <w:rFonts w:hint="eastAsia" w:ascii="Times New Roman" w:hAnsi="Times New Roman" w:eastAsia="宋体" w:cs="宋体"/>
                <w:b/>
                <w:bCs/>
                <w:color w:val="000000" w:themeColor="text1"/>
                <w:sz w:val="21"/>
                <w:szCs w:val="21"/>
                <w:highlight w:val="none"/>
                <w14:textFill>
                  <w14:solidFill>
                    <w14:schemeClr w14:val="tx1"/>
                  </w14:solidFill>
                </w14:textFill>
              </w:rPr>
              <w:t>，否则响应文件按无效响应处理</w:t>
            </w:r>
            <w:r>
              <w:rPr>
                <w:rFonts w:hint="eastAsia" w:ascii="Times New Roman" w:hAnsi="Times New Roman" w:eastAsia="宋体" w:cs="宋体"/>
                <w:color w:val="000000" w:themeColor="text1"/>
                <w:sz w:val="21"/>
                <w:szCs w:val="21"/>
                <w:highlight w:val="none"/>
                <w14:textFill>
                  <w14:solidFill>
                    <w14:schemeClr w14:val="tx1"/>
                  </w14:solidFill>
                </w14:textFill>
              </w:rPr>
              <w:t>）</w:t>
            </w:r>
          </w:p>
          <w:p w14:paraId="10864EAA">
            <w:pPr>
              <w:keepNext w:val="0"/>
              <w:keepLines w:val="0"/>
              <w:pageBreakBefore w:val="0"/>
              <w:widowControl w:val="0"/>
              <w:kinsoku/>
              <w:wordWrap/>
              <w:overflowPunct/>
              <w:topLinePunct w:val="0"/>
              <w:bidi w:val="0"/>
              <w:adjustRightInd/>
              <w:snapToGrid w:val="0"/>
              <w:spacing w:line="390" w:lineRule="exact"/>
              <w:jc w:val="both"/>
              <w:rPr>
                <w:rFonts w:hint="eastAsia" w:ascii="Times New Roman" w:hAnsi="Times New Roman"/>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4</w:t>
            </w:r>
            <w:r>
              <w:rPr>
                <w:rFonts w:hint="eastAsia" w:ascii="Times New Roman" w:hAnsi="Times New Roman" w:eastAsia="宋体" w:cs="宋体"/>
                <w:color w:val="000000" w:themeColor="text1"/>
                <w:sz w:val="21"/>
                <w:szCs w:val="21"/>
                <w:highlight w:val="none"/>
                <w14:textFill>
                  <w14:solidFill>
                    <w14:schemeClr w14:val="tx1"/>
                  </w14:solidFill>
                </w14:textFill>
              </w:rPr>
              <w:t>.</w:t>
            </w:r>
            <w:r>
              <w:rPr>
                <w:rFonts w:hint="eastAsia" w:ascii="Times New Roman" w:hAnsi="Times New Roman"/>
                <w:color w:val="000000" w:themeColor="text1"/>
                <w:sz w:val="21"/>
                <w:szCs w:val="21"/>
                <w14:textFill>
                  <w14:solidFill>
                    <w14:schemeClr w14:val="tx1"/>
                  </w14:solidFill>
                </w14:textFill>
              </w:rPr>
              <w:t>供应商针对报价需要说明的其他文件和说明（格式自拟）。</w:t>
            </w:r>
          </w:p>
        </w:tc>
      </w:tr>
      <w:tr w14:paraId="47E87B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963" w:type="dxa"/>
            <w:noWrap w:val="0"/>
            <w:vAlign w:val="center"/>
          </w:tcPr>
          <w:p w14:paraId="1E934D68">
            <w:pPr>
              <w:keepNext w:val="0"/>
              <w:keepLines w:val="0"/>
              <w:pageBreakBefore w:val="0"/>
              <w:widowControl w:val="0"/>
              <w:kinsoku/>
              <w:wordWrap/>
              <w:overflowPunct/>
              <w:topLinePunct w:val="0"/>
              <w:bidi w:val="0"/>
              <w:adjustRightInd/>
              <w:spacing w:line="390" w:lineRule="exact"/>
              <w:jc w:val="center"/>
              <w:rPr>
                <w:rFonts w:hint="eastAsia" w:ascii="Times New Roman" w:hAnsi="Times New Roman" w:eastAsia="宋体" w:cs="宋体"/>
                <w:color w:val="000000" w:themeColor="text1"/>
                <w:sz w:val="21"/>
                <w:szCs w:val="21"/>
                <w:highlight w:val="none"/>
                <w14:textFill>
                  <w14:solidFill>
                    <w14:schemeClr w14:val="tx1"/>
                  </w14:solidFill>
                </w14:textFill>
              </w:rPr>
            </w:pPr>
            <w:r>
              <w:rPr>
                <w:rFonts w:hint="eastAsia" w:ascii="Times New Roman" w:hAnsi="Times New Roman" w:eastAsia="宋体" w:cs="宋体"/>
                <w:color w:val="000000" w:themeColor="text1"/>
                <w:sz w:val="21"/>
                <w:szCs w:val="21"/>
                <w:highlight w:val="none"/>
                <w14:textFill>
                  <w14:solidFill>
                    <w14:schemeClr w14:val="tx1"/>
                  </w14:solidFill>
                </w14:textFill>
              </w:rPr>
              <w:t>12.2</w:t>
            </w:r>
          </w:p>
        </w:tc>
        <w:tc>
          <w:tcPr>
            <w:tcW w:w="2321" w:type="dxa"/>
            <w:noWrap w:val="0"/>
            <w:vAlign w:val="center"/>
          </w:tcPr>
          <w:p w14:paraId="59A27AF5">
            <w:pPr>
              <w:keepNext w:val="0"/>
              <w:keepLines w:val="0"/>
              <w:pageBreakBefore w:val="0"/>
              <w:widowControl w:val="0"/>
              <w:kinsoku/>
              <w:wordWrap/>
              <w:overflowPunct/>
              <w:topLinePunct w:val="0"/>
              <w:bidi w:val="0"/>
              <w:adjustRightInd/>
              <w:spacing w:line="390" w:lineRule="exact"/>
              <w:jc w:val="center"/>
              <w:rPr>
                <w:rFonts w:hint="eastAsia" w:ascii="Times New Roman" w:hAnsi="Times New Roman" w:eastAsia="宋体" w:cs="宋体"/>
                <w:b w:val="0"/>
                <w:bCs/>
                <w:color w:val="000000" w:themeColor="text1"/>
                <w:sz w:val="21"/>
                <w:szCs w:val="21"/>
                <w:highlight w:val="none"/>
                <w14:textFill>
                  <w14:solidFill>
                    <w14:schemeClr w14:val="tx1"/>
                  </w14:solidFill>
                </w14:textFill>
              </w:rPr>
            </w:pPr>
            <w:r>
              <w:rPr>
                <w:rFonts w:hint="eastAsia" w:ascii="Times New Roman" w:hAnsi="Times New Roman" w:eastAsia="宋体" w:cs="宋体"/>
                <w:b w:val="0"/>
                <w:bCs/>
                <w:color w:val="000000" w:themeColor="text1"/>
                <w:sz w:val="21"/>
                <w:szCs w:val="21"/>
                <w:highlight w:val="none"/>
                <w14:textFill>
                  <w14:solidFill>
                    <w14:schemeClr w14:val="tx1"/>
                  </w14:solidFill>
                </w14:textFill>
              </w:rPr>
              <w:t>响应文件电子版要求</w:t>
            </w:r>
          </w:p>
        </w:tc>
        <w:tc>
          <w:tcPr>
            <w:tcW w:w="6466" w:type="dxa"/>
            <w:noWrap w:val="0"/>
            <w:vAlign w:val="center"/>
          </w:tcPr>
          <w:p w14:paraId="2EA96AE9">
            <w:pPr>
              <w:keepNext w:val="0"/>
              <w:keepLines w:val="0"/>
              <w:pageBreakBefore w:val="0"/>
              <w:widowControl w:val="0"/>
              <w:kinsoku/>
              <w:wordWrap/>
              <w:overflowPunct/>
              <w:topLinePunct w:val="0"/>
              <w:bidi w:val="0"/>
              <w:adjustRightInd/>
              <w:snapToGrid w:val="0"/>
              <w:spacing w:line="390" w:lineRule="exact"/>
              <w:jc w:val="both"/>
              <w:rPr>
                <w:rFonts w:hint="eastAsia" w:ascii="Times New Roman" w:hAnsi="Times New Roman" w:eastAsia="宋体" w:cs="宋体"/>
                <w:color w:val="000000" w:themeColor="text1"/>
                <w:sz w:val="21"/>
                <w:szCs w:val="21"/>
                <w:highlight w:val="none"/>
                <w14:textFill>
                  <w14:solidFill>
                    <w14:schemeClr w14:val="tx1"/>
                  </w14:solidFill>
                </w14:textFill>
              </w:rPr>
            </w:pPr>
            <w:r>
              <w:rPr>
                <w:rFonts w:hint="eastAsia" w:ascii="Times New Roman" w:hAnsi="Times New Roman" w:eastAsia="宋体" w:cs="宋体"/>
                <w:color w:val="000000" w:themeColor="text1"/>
                <w:sz w:val="21"/>
                <w:szCs w:val="21"/>
                <w:highlight w:val="none"/>
                <w14:textFill>
                  <w14:solidFill>
                    <w14:schemeClr w14:val="tx1"/>
                  </w14:solidFill>
                </w14:textFill>
              </w:rPr>
              <w:t>1.响应文件电子版要求：按照本采购文件</w:t>
            </w:r>
            <w:r>
              <w:rPr>
                <w:rFonts w:hint="eastAsia" w:ascii="Times New Roman" w:hAnsi="Times New Roman" w:eastAsia="宋体" w:cs="宋体"/>
                <w:color w:val="000000" w:themeColor="text1"/>
                <w:sz w:val="21"/>
                <w:szCs w:val="21"/>
                <w:highlight w:val="none"/>
                <w:lang w:eastAsia="zh-CN"/>
                <w14:textFill>
                  <w14:solidFill>
                    <w14:schemeClr w14:val="tx1"/>
                  </w14:solidFill>
                </w14:textFill>
              </w:rPr>
              <w:t>“</w:t>
            </w:r>
            <w:r>
              <w:rPr>
                <w:rFonts w:hint="eastAsia" w:ascii="Times New Roman" w:hAnsi="Times New Roman" w:eastAsia="宋体" w:cs="宋体"/>
                <w:color w:val="000000" w:themeColor="text1"/>
                <w:sz w:val="21"/>
                <w:szCs w:val="21"/>
                <w:highlight w:val="none"/>
                <w14:textFill>
                  <w14:solidFill>
                    <w14:schemeClr w14:val="tx1"/>
                  </w14:solidFill>
                </w14:textFill>
              </w:rPr>
              <w:t>第五章 响应文件格式</w:t>
            </w:r>
            <w:r>
              <w:rPr>
                <w:rFonts w:hint="eastAsia" w:ascii="Times New Roman" w:hAnsi="Times New Roman" w:eastAsia="宋体" w:cs="宋体"/>
                <w:color w:val="000000" w:themeColor="text1"/>
                <w:sz w:val="21"/>
                <w:szCs w:val="21"/>
                <w:highlight w:val="none"/>
                <w:lang w:eastAsia="zh-CN"/>
                <w14:textFill>
                  <w14:solidFill>
                    <w14:schemeClr w14:val="tx1"/>
                  </w14:solidFill>
                </w14:textFill>
              </w:rPr>
              <w:t>”</w:t>
            </w:r>
            <w:r>
              <w:rPr>
                <w:rFonts w:hint="eastAsia" w:ascii="Times New Roman" w:hAnsi="Times New Roman" w:eastAsia="宋体" w:cs="宋体"/>
                <w:color w:val="000000" w:themeColor="text1"/>
                <w:sz w:val="21"/>
                <w:szCs w:val="21"/>
                <w:highlight w:val="none"/>
                <w14:textFill>
                  <w14:solidFill>
                    <w14:schemeClr w14:val="tx1"/>
                  </w14:solidFill>
                </w14:textFill>
              </w:rPr>
              <w:t>编写</w:t>
            </w:r>
            <w:r>
              <w:rPr>
                <w:rFonts w:hint="eastAsia" w:ascii="Times New Roman" w:hAnsi="Times New Roman" w:eastAsia="宋体" w:cs="宋体"/>
                <w:b/>
                <w:bCs/>
                <w:color w:val="000000" w:themeColor="text1"/>
                <w:sz w:val="21"/>
                <w:szCs w:val="21"/>
                <w:highlight w:val="none"/>
                <w14:textFill>
                  <w14:solidFill>
                    <w14:schemeClr w14:val="tx1"/>
                  </w14:solidFill>
                </w14:textFill>
              </w:rPr>
              <w:t>（第五章未附格式的，由供应商自行拟定）</w:t>
            </w:r>
            <w:r>
              <w:rPr>
                <w:rFonts w:hint="eastAsia" w:ascii="Times New Roman" w:hAnsi="Times New Roman" w:eastAsia="宋体" w:cs="宋体"/>
                <w:color w:val="000000" w:themeColor="text1"/>
                <w:sz w:val="21"/>
                <w:szCs w:val="21"/>
                <w:highlight w:val="none"/>
                <w14:textFill>
                  <w14:solidFill>
                    <w14:schemeClr w14:val="tx1"/>
                  </w14:solidFill>
                </w14:textFill>
              </w:rPr>
              <w:t>，并在规定加盖公章处加盖公章，</w:t>
            </w:r>
            <w:r>
              <w:rPr>
                <w:rFonts w:hint="eastAsia" w:ascii="Times New Roman" w:hAnsi="Times New Roman" w:eastAsia="宋体" w:cs="宋体"/>
                <w:b/>
                <w:color w:val="000000" w:themeColor="text1"/>
                <w:sz w:val="21"/>
                <w:szCs w:val="21"/>
                <w:highlight w:val="none"/>
                <w14:textFill>
                  <w14:solidFill>
                    <w14:schemeClr w14:val="tx1"/>
                  </w14:solidFill>
                </w14:textFill>
              </w:rPr>
              <w:t>否则响应文件按无效响应处理</w:t>
            </w:r>
            <w:r>
              <w:rPr>
                <w:rFonts w:hint="eastAsia" w:ascii="Times New Roman" w:hAnsi="Times New Roman" w:eastAsia="宋体" w:cs="宋体"/>
                <w:color w:val="000000" w:themeColor="text1"/>
                <w:sz w:val="21"/>
                <w:szCs w:val="21"/>
                <w:highlight w:val="none"/>
                <w14:textFill>
                  <w14:solidFill>
                    <w14:schemeClr w14:val="tx1"/>
                  </w14:solidFill>
                </w14:textFill>
              </w:rPr>
              <w:t>。</w:t>
            </w:r>
          </w:p>
          <w:p w14:paraId="64E56259">
            <w:pPr>
              <w:keepNext w:val="0"/>
              <w:keepLines w:val="0"/>
              <w:pageBreakBefore w:val="0"/>
              <w:widowControl w:val="0"/>
              <w:kinsoku/>
              <w:wordWrap/>
              <w:overflowPunct/>
              <w:topLinePunct w:val="0"/>
              <w:bidi w:val="0"/>
              <w:adjustRightInd/>
              <w:snapToGrid w:val="0"/>
              <w:spacing w:line="390" w:lineRule="exact"/>
              <w:jc w:val="both"/>
              <w:rPr>
                <w:rFonts w:hint="eastAsia" w:ascii="Times New Roman" w:hAnsi="Times New Roman" w:eastAsia="宋体" w:cs="宋体"/>
                <w:color w:val="000000" w:themeColor="text1"/>
                <w:sz w:val="21"/>
                <w:szCs w:val="21"/>
                <w:highlight w:val="none"/>
                <w14:textFill>
                  <w14:solidFill>
                    <w14:schemeClr w14:val="tx1"/>
                  </w14:solidFill>
                </w14:textFill>
              </w:rPr>
            </w:pPr>
            <w:r>
              <w:rPr>
                <w:rFonts w:hint="eastAsia" w:ascii="Times New Roman" w:hAnsi="Times New Roman" w:eastAsia="宋体" w:cs="宋体"/>
                <w:color w:val="000000" w:themeColor="text1"/>
                <w:sz w:val="21"/>
                <w:szCs w:val="21"/>
                <w:highlight w:val="none"/>
                <w14:textFill>
                  <w14:solidFill>
                    <w14:schemeClr w14:val="tx1"/>
                  </w14:solidFill>
                </w14:textFill>
              </w:rPr>
              <w:t>2.响应文件电子版密封方式：电子响应文件通过平台有效CA加密后在</w:t>
            </w:r>
            <w:r>
              <w:rPr>
                <w:rFonts w:hint="eastAsia" w:ascii="Times New Roman" w:hAnsi="Times New Roman" w:eastAsia="宋体" w:cs="宋体"/>
                <w:b w:val="0"/>
                <w:bCs w:val="0"/>
                <w:color w:val="000000" w:themeColor="text1"/>
                <w:sz w:val="21"/>
                <w:szCs w:val="21"/>
                <w:highlight w:val="none"/>
                <w:lang w:val="en-US" w:eastAsia="zh-CN"/>
                <w14:textFill>
                  <w14:solidFill>
                    <w14:schemeClr w14:val="tx1"/>
                  </w14:solidFill>
                </w14:textFill>
              </w:rPr>
              <w:t>广西政府采购云平台</w:t>
            </w:r>
            <w:r>
              <w:rPr>
                <w:rFonts w:hint="eastAsia" w:ascii="Times New Roman" w:hAnsi="Times New Roman" w:eastAsia="宋体" w:cs="宋体"/>
                <w:color w:val="000000" w:themeColor="text1"/>
                <w:sz w:val="21"/>
                <w:szCs w:val="21"/>
                <w:highlight w:val="none"/>
                <w14:textFill>
                  <w14:solidFill>
                    <w14:schemeClr w14:val="tx1"/>
                  </w14:solidFill>
                </w14:textFill>
              </w:rPr>
              <w:t>投送。</w:t>
            </w:r>
          </w:p>
        </w:tc>
      </w:tr>
      <w:tr w14:paraId="22194C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963" w:type="dxa"/>
            <w:noWrap w:val="0"/>
            <w:vAlign w:val="center"/>
          </w:tcPr>
          <w:p w14:paraId="50BAFC67">
            <w:pPr>
              <w:keepNext w:val="0"/>
              <w:keepLines w:val="0"/>
              <w:pageBreakBefore w:val="0"/>
              <w:widowControl w:val="0"/>
              <w:kinsoku/>
              <w:wordWrap/>
              <w:overflowPunct/>
              <w:topLinePunct w:val="0"/>
              <w:bidi w:val="0"/>
              <w:adjustRightInd/>
              <w:spacing w:line="390" w:lineRule="exact"/>
              <w:jc w:val="center"/>
              <w:rPr>
                <w:rFonts w:hint="eastAsia" w:ascii="Times New Roman" w:hAnsi="Times New Roman" w:eastAsia="宋体" w:cs="宋体"/>
                <w:color w:val="000000" w:themeColor="text1"/>
                <w:sz w:val="21"/>
                <w:szCs w:val="21"/>
                <w:highlight w:val="none"/>
                <w14:textFill>
                  <w14:solidFill>
                    <w14:schemeClr w14:val="tx1"/>
                  </w14:solidFill>
                </w14:textFill>
              </w:rPr>
            </w:pPr>
            <w:r>
              <w:rPr>
                <w:rFonts w:hint="eastAsia" w:ascii="Times New Roman" w:hAnsi="Times New Roman" w:eastAsia="宋体" w:cs="宋体"/>
                <w:color w:val="000000" w:themeColor="text1"/>
                <w:sz w:val="21"/>
                <w:szCs w:val="21"/>
                <w:highlight w:val="none"/>
                <w14:textFill>
                  <w14:solidFill>
                    <w14:schemeClr w14:val="tx1"/>
                  </w14:solidFill>
                </w14:textFill>
              </w:rPr>
              <w:t>15.2</w:t>
            </w:r>
          </w:p>
        </w:tc>
        <w:tc>
          <w:tcPr>
            <w:tcW w:w="2321" w:type="dxa"/>
            <w:noWrap w:val="0"/>
            <w:vAlign w:val="center"/>
          </w:tcPr>
          <w:p w14:paraId="0C5054F4">
            <w:pPr>
              <w:keepNext w:val="0"/>
              <w:keepLines w:val="0"/>
              <w:pageBreakBefore w:val="0"/>
              <w:widowControl w:val="0"/>
              <w:kinsoku/>
              <w:wordWrap/>
              <w:overflowPunct/>
              <w:topLinePunct w:val="0"/>
              <w:bidi w:val="0"/>
              <w:adjustRightInd/>
              <w:spacing w:line="390" w:lineRule="exact"/>
              <w:jc w:val="center"/>
              <w:rPr>
                <w:rFonts w:hint="eastAsia" w:ascii="Times New Roman" w:hAnsi="Times New Roman" w:eastAsia="宋体" w:cs="宋体"/>
                <w:b w:val="0"/>
                <w:bCs/>
                <w:color w:val="000000" w:themeColor="text1"/>
                <w:sz w:val="21"/>
                <w:szCs w:val="21"/>
                <w:highlight w:val="none"/>
                <w14:textFill>
                  <w14:solidFill>
                    <w14:schemeClr w14:val="tx1"/>
                  </w14:solidFill>
                </w14:textFill>
              </w:rPr>
            </w:pPr>
            <w:r>
              <w:rPr>
                <w:rFonts w:hint="eastAsia" w:ascii="Times New Roman" w:hAnsi="Times New Roman" w:eastAsia="宋体" w:cs="宋体"/>
                <w:b w:val="0"/>
                <w:bCs/>
                <w:color w:val="000000" w:themeColor="text1"/>
                <w:sz w:val="21"/>
                <w:szCs w:val="21"/>
                <w:highlight w:val="none"/>
                <w14:textFill>
                  <w14:solidFill>
                    <w14:schemeClr w14:val="tx1"/>
                  </w14:solidFill>
                </w14:textFill>
              </w:rPr>
              <w:t>响应报价的价格构成</w:t>
            </w:r>
          </w:p>
        </w:tc>
        <w:tc>
          <w:tcPr>
            <w:tcW w:w="6466" w:type="dxa"/>
            <w:noWrap w:val="0"/>
            <w:vAlign w:val="center"/>
          </w:tcPr>
          <w:p w14:paraId="6298CECE">
            <w:pPr>
              <w:keepNext w:val="0"/>
              <w:keepLines w:val="0"/>
              <w:pageBreakBefore w:val="0"/>
              <w:widowControl w:val="0"/>
              <w:kinsoku/>
              <w:wordWrap/>
              <w:overflowPunct/>
              <w:topLinePunct w:val="0"/>
              <w:bidi w:val="0"/>
              <w:adjustRightInd/>
              <w:snapToGrid w:val="0"/>
              <w:spacing w:line="390" w:lineRule="exact"/>
              <w:jc w:val="both"/>
              <w:rPr>
                <w:rFonts w:hint="eastAsia" w:ascii="Times New Roman" w:hAnsi="Times New Roman" w:eastAsia="宋体" w:cs="宋体"/>
                <w:color w:val="000000" w:themeColor="text1"/>
                <w:sz w:val="21"/>
                <w:szCs w:val="21"/>
                <w:highlight w:val="none"/>
                <w14:textFill>
                  <w14:solidFill>
                    <w14:schemeClr w14:val="tx1"/>
                  </w14:solidFill>
                </w14:textFill>
              </w:rPr>
            </w:pPr>
            <w:r>
              <w:rPr>
                <w:rFonts w:hint="eastAsia" w:ascii="Times New Roman" w:hAnsi="Times New Roman" w:eastAsia="宋体" w:cs="宋体"/>
                <w:color w:val="000000" w:themeColor="text1"/>
                <w:sz w:val="21"/>
                <w:szCs w:val="21"/>
                <w:highlight w:val="none"/>
                <w14:textFill>
                  <w14:solidFill>
                    <w14:schemeClr w14:val="tx1"/>
                  </w14:solidFill>
                </w14:textFill>
              </w:rPr>
              <w:t>响应报价必须包括</w:t>
            </w:r>
            <w:r>
              <w:rPr>
                <w:rFonts w:hint="eastAsia" w:ascii="Times New Roman" w:hAnsi="Times New Roman" w:cs="宋体"/>
                <w:color w:val="000000" w:themeColor="text1"/>
                <w:sz w:val="21"/>
                <w:szCs w:val="21"/>
                <w:highlight w:val="none"/>
                <w:lang w:eastAsia="zh-CN"/>
                <w14:textFill>
                  <w14:solidFill>
                    <w14:schemeClr w14:val="tx1"/>
                  </w14:solidFill>
                </w14:textFill>
              </w:rPr>
              <w:t>完成本项目</w:t>
            </w:r>
            <w:r>
              <w:rPr>
                <w:rFonts w:hint="eastAsia" w:ascii="Times New Roman" w:hAnsi="Times New Roman" w:eastAsia="宋体" w:cs="宋体"/>
                <w:color w:val="000000" w:themeColor="text1"/>
                <w:sz w:val="21"/>
                <w:szCs w:val="21"/>
                <w:highlight w:val="none"/>
                <w14:textFill>
                  <w14:solidFill>
                    <w14:schemeClr w14:val="tx1"/>
                  </w14:solidFill>
                </w14:textFill>
              </w:rPr>
              <w:t>的所有费用，包括材料费、人工费、施工机具使用费、企业管理费、利润、规费、税金等，合同履行过程中，采购人不再支付合同以外的其他费用。</w:t>
            </w:r>
          </w:p>
          <w:p w14:paraId="207F9FE8">
            <w:pPr>
              <w:keepNext w:val="0"/>
              <w:keepLines w:val="0"/>
              <w:pageBreakBefore w:val="0"/>
              <w:widowControl w:val="0"/>
              <w:kinsoku/>
              <w:wordWrap/>
              <w:overflowPunct/>
              <w:topLinePunct w:val="0"/>
              <w:bidi w:val="0"/>
              <w:adjustRightInd/>
              <w:snapToGrid w:val="0"/>
              <w:spacing w:line="390" w:lineRule="exact"/>
              <w:jc w:val="both"/>
              <w:rPr>
                <w:rFonts w:hint="eastAsia" w:ascii="Times New Roman" w:hAnsi="Times New Roman" w:eastAsia="宋体" w:cs="宋体"/>
                <w:b/>
                <w:bCs/>
                <w:color w:val="000000" w:themeColor="text1"/>
                <w:sz w:val="21"/>
                <w:szCs w:val="21"/>
                <w:highlight w:val="none"/>
                <w14:textFill>
                  <w14:solidFill>
                    <w14:schemeClr w14:val="tx1"/>
                  </w14:solidFill>
                </w14:textFill>
              </w:rPr>
            </w:pPr>
            <w:r>
              <w:rPr>
                <w:rFonts w:hint="eastAsia" w:ascii="Times New Roman" w:hAnsi="Times New Roman" w:eastAsia="宋体" w:cs="宋体"/>
                <w:b/>
                <w:bCs/>
                <w:color w:val="000000" w:themeColor="text1"/>
                <w:sz w:val="21"/>
                <w:szCs w:val="21"/>
                <w:highlight w:val="none"/>
                <w:lang w:eastAsia="zh-CN"/>
                <w14:textFill>
                  <w14:solidFill>
                    <w14:schemeClr w14:val="tx1"/>
                  </w14:solidFill>
                </w14:textFill>
              </w:rPr>
              <w:t>☑</w:t>
            </w:r>
            <w:r>
              <w:rPr>
                <w:rFonts w:hint="eastAsia" w:ascii="Times New Roman" w:hAnsi="Times New Roman" w:eastAsia="宋体" w:cs="宋体"/>
                <w:b/>
                <w:bCs/>
                <w:color w:val="000000" w:themeColor="text1"/>
                <w:sz w:val="21"/>
                <w:szCs w:val="21"/>
                <w:highlight w:val="none"/>
                <w14:textFill>
                  <w14:solidFill>
                    <w14:schemeClr w14:val="tx1"/>
                  </w14:solidFill>
                </w14:textFill>
              </w:rPr>
              <w:t>响应报价包含验收费用</w:t>
            </w:r>
          </w:p>
          <w:p w14:paraId="65AD6F17">
            <w:pPr>
              <w:keepNext w:val="0"/>
              <w:keepLines w:val="0"/>
              <w:pageBreakBefore w:val="0"/>
              <w:widowControl w:val="0"/>
              <w:kinsoku/>
              <w:wordWrap/>
              <w:overflowPunct/>
              <w:topLinePunct w:val="0"/>
              <w:bidi w:val="0"/>
              <w:adjustRightInd/>
              <w:snapToGrid w:val="0"/>
              <w:spacing w:line="390" w:lineRule="exact"/>
              <w:jc w:val="both"/>
              <w:rPr>
                <w:rFonts w:hint="eastAsia" w:ascii="Times New Roman" w:hAnsi="Times New Roman" w:eastAsia="宋体" w:cs="宋体"/>
                <w:color w:val="000000" w:themeColor="text1"/>
                <w:sz w:val="21"/>
                <w:szCs w:val="21"/>
                <w:highlight w:val="none"/>
                <w14:textFill>
                  <w14:solidFill>
                    <w14:schemeClr w14:val="tx1"/>
                  </w14:solidFill>
                </w14:textFill>
              </w:rPr>
            </w:pPr>
            <w:r>
              <w:rPr>
                <w:rFonts w:hint="eastAsia" w:ascii="Times New Roman" w:hAnsi="Times New Roman" w:eastAsia="宋体" w:cs="宋体"/>
                <w:b/>
                <w:bCs/>
                <w:color w:val="000000" w:themeColor="text1"/>
                <w:sz w:val="21"/>
                <w:szCs w:val="21"/>
                <w:highlight w:val="none"/>
                <w:lang w:eastAsia="zh-CN"/>
                <w14:textFill>
                  <w14:solidFill>
                    <w14:schemeClr w14:val="tx1"/>
                  </w14:solidFill>
                </w14:textFill>
              </w:rPr>
              <w:t>□</w:t>
            </w:r>
            <w:r>
              <w:rPr>
                <w:rFonts w:hint="eastAsia" w:ascii="Times New Roman" w:hAnsi="Times New Roman" w:eastAsia="宋体" w:cs="宋体"/>
                <w:b/>
                <w:bCs/>
                <w:color w:val="000000" w:themeColor="text1"/>
                <w:sz w:val="21"/>
                <w:szCs w:val="21"/>
                <w:highlight w:val="none"/>
                <w14:textFill>
                  <w14:solidFill>
                    <w14:schemeClr w14:val="tx1"/>
                  </w14:solidFill>
                </w14:textFill>
              </w:rPr>
              <w:t>响应报价不包含验收费用</w:t>
            </w:r>
          </w:p>
        </w:tc>
      </w:tr>
      <w:tr w14:paraId="514F8C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963" w:type="dxa"/>
            <w:noWrap w:val="0"/>
            <w:vAlign w:val="center"/>
          </w:tcPr>
          <w:p w14:paraId="19C579CB">
            <w:pPr>
              <w:keepNext w:val="0"/>
              <w:keepLines w:val="0"/>
              <w:pageBreakBefore w:val="0"/>
              <w:widowControl w:val="0"/>
              <w:kinsoku/>
              <w:wordWrap/>
              <w:overflowPunct/>
              <w:topLinePunct w:val="0"/>
              <w:bidi w:val="0"/>
              <w:adjustRightInd/>
              <w:spacing w:line="390" w:lineRule="exact"/>
              <w:jc w:val="center"/>
              <w:rPr>
                <w:rFonts w:hint="eastAsia" w:ascii="Times New Roman" w:hAnsi="Times New Roman" w:eastAsia="宋体" w:cs="宋体"/>
                <w:color w:val="000000" w:themeColor="text1"/>
                <w:sz w:val="21"/>
                <w:szCs w:val="21"/>
                <w:highlight w:val="none"/>
                <w14:textFill>
                  <w14:solidFill>
                    <w14:schemeClr w14:val="tx1"/>
                  </w14:solidFill>
                </w14:textFill>
              </w:rPr>
            </w:pPr>
            <w:r>
              <w:rPr>
                <w:rFonts w:hint="eastAsia" w:ascii="Times New Roman" w:hAnsi="Times New Roman" w:eastAsia="宋体" w:cs="宋体"/>
                <w:color w:val="000000" w:themeColor="text1"/>
                <w:sz w:val="21"/>
                <w:szCs w:val="21"/>
                <w:highlight w:val="none"/>
                <w14:textFill>
                  <w14:solidFill>
                    <w14:schemeClr w14:val="tx1"/>
                  </w14:solidFill>
                </w14:textFill>
              </w:rPr>
              <w:t>15.3.1</w:t>
            </w:r>
          </w:p>
        </w:tc>
        <w:tc>
          <w:tcPr>
            <w:tcW w:w="2321" w:type="dxa"/>
            <w:noWrap w:val="0"/>
            <w:vAlign w:val="center"/>
          </w:tcPr>
          <w:p w14:paraId="618D593C">
            <w:pPr>
              <w:keepNext w:val="0"/>
              <w:keepLines w:val="0"/>
              <w:pageBreakBefore w:val="0"/>
              <w:widowControl w:val="0"/>
              <w:kinsoku/>
              <w:wordWrap/>
              <w:overflowPunct/>
              <w:topLinePunct w:val="0"/>
              <w:bidi w:val="0"/>
              <w:adjustRightInd/>
              <w:spacing w:line="390" w:lineRule="exact"/>
              <w:jc w:val="center"/>
              <w:rPr>
                <w:rFonts w:hint="eastAsia" w:ascii="Times New Roman" w:hAnsi="Times New Roman" w:eastAsia="宋体" w:cs="宋体"/>
                <w:b w:val="0"/>
                <w:bCs/>
                <w:color w:val="000000" w:themeColor="text1"/>
                <w:sz w:val="21"/>
                <w:szCs w:val="21"/>
                <w:highlight w:val="none"/>
                <w14:textFill>
                  <w14:solidFill>
                    <w14:schemeClr w14:val="tx1"/>
                  </w14:solidFill>
                </w14:textFill>
              </w:rPr>
            </w:pPr>
            <w:r>
              <w:rPr>
                <w:rFonts w:hint="eastAsia" w:ascii="Times New Roman" w:hAnsi="Times New Roman" w:eastAsia="宋体" w:cs="宋体"/>
                <w:b w:val="0"/>
                <w:bCs/>
                <w:color w:val="000000" w:themeColor="text1"/>
                <w:sz w:val="21"/>
                <w:szCs w:val="21"/>
                <w:highlight w:val="none"/>
                <w14:textFill>
                  <w14:solidFill>
                    <w14:schemeClr w14:val="tx1"/>
                  </w14:solidFill>
                </w14:textFill>
              </w:rPr>
              <w:t>供应商的响应报价</w:t>
            </w:r>
            <w:r>
              <w:rPr>
                <w:rFonts w:hint="eastAsia" w:cs="宋体"/>
                <w:b w:val="0"/>
                <w:bCs/>
                <w:color w:val="000000" w:themeColor="text1"/>
                <w:sz w:val="21"/>
                <w:szCs w:val="21"/>
                <w:highlight w:val="none"/>
                <w:lang w:eastAsia="zh-CN"/>
                <w14:textFill>
                  <w14:solidFill>
                    <w14:schemeClr w14:val="tx1"/>
                  </w14:solidFill>
                </w14:textFill>
              </w:rPr>
              <w:t>和工程量清单报价</w:t>
            </w:r>
            <w:r>
              <w:rPr>
                <w:rFonts w:hint="eastAsia" w:ascii="Times New Roman" w:hAnsi="Times New Roman" w:eastAsia="宋体" w:cs="宋体"/>
                <w:b w:val="0"/>
                <w:bCs/>
                <w:color w:val="000000" w:themeColor="text1"/>
                <w:sz w:val="21"/>
                <w:szCs w:val="21"/>
                <w:highlight w:val="none"/>
                <w14:textFill>
                  <w14:solidFill>
                    <w14:schemeClr w14:val="tx1"/>
                  </w14:solidFill>
                </w14:textFill>
              </w:rPr>
              <w:t>要求</w:t>
            </w:r>
          </w:p>
        </w:tc>
        <w:tc>
          <w:tcPr>
            <w:tcW w:w="6466" w:type="dxa"/>
            <w:noWrap w:val="0"/>
            <w:vAlign w:val="center"/>
          </w:tcPr>
          <w:p w14:paraId="268A98FB">
            <w:pPr>
              <w:keepNext w:val="0"/>
              <w:keepLines w:val="0"/>
              <w:pageBreakBefore w:val="0"/>
              <w:widowControl w:val="0"/>
              <w:kinsoku/>
              <w:wordWrap/>
              <w:overflowPunct/>
              <w:topLinePunct w:val="0"/>
              <w:autoSpaceDE/>
              <w:autoSpaceDN/>
              <w:bidi w:val="0"/>
              <w:adjustRightInd/>
              <w:snapToGrid w:val="0"/>
              <w:spacing w:line="390" w:lineRule="exact"/>
              <w:jc w:val="both"/>
              <w:textAlignment w:val="auto"/>
              <w:rPr>
                <w:rFonts w:hint="eastAsia" w:ascii="Times New Roman" w:hAnsi="Times New Roman" w:eastAsia="宋体" w:cs="宋体"/>
                <w:color w:val="000000" w:themeColor="text1"/>
                <w:sz w:val="21"/>
                <w:szCs w:val="21"/>
                <w:highlight w:val="none"/>
                <w14:textFill>
                  <w14:solidFill>
                    <w14:schemeClr w14:val="tx1"/>
                  </w14:solidFill>
                </w14:textFill>
              </w:rPr>
            </w:pPr>
            <w:r>
              <w:rPr>
                <w:rFonts w:hint="eastAsia" w:ascii="Times New Roman" w:hAnsi="Times New Roman" w:eastAsia="宋体" w:cs="宋体"/>
                <w:color w:val="000000" w:themeColor="text1"/>
                <w:sz w:val="21"/>
                <w:szCs w:val="21"/>
                <w:highlight w:val="none"/>
                <w14:textFill>
                  <w14:solidFill>
                    <w14:schemeClr w14:val="tx1"/>
                  </w14:solidFill>
                </w14:textFill>
              </w:rPr>
              <w:t>1</w:t>
            </w:r>
            <w:r>
              <w:rPr>
                <w:rFonts w:hint="eastAsia" w:ascii="Times New Roman" w:hAnsi="Times New Roman" w:eastAsia="宋体" w:cs="宋体"/>
                <w:color w:val="000000" w:themeColor="text1"/>
                <w:sz w:val="21"/>
                <w:szCs w:val="21"/>
                <w:highlight w:val="none"/>
                <w:lang w:eastAsia="zh-CN"/>
                <w14:textFill>
                  <w14:solidFill>
                    <w14:schemeClr w14:val="tx1"/>
                  </w14:solidFill>
                </w14:textFill>
              </w:rPr>
              <w:t>、</w:t>
            </w:r>
            <w:r>
              <w:rPr>
                <w:rFonts w:hint="eastAsia" w:ascii="Times New Roman" w:hAnsi="Times New Roman" w:eastAsia="宋体" w:cs="宋体"/>
                <w:color w:val="000000" w:themeColor="text1"/>
                <w:sz w:val="21"/>
                <w:szCs w:val="21"/>
                <w:highlight w:val="none"/>
                <w14:textFill>
                  <w14:solidFill>
                    <w14:schemeClr w14:val="tx1"/>
                  </w14:solidFill>
                </w14:textFill>
              </w:rPr>
              <w:t>本项目增值税计税方法：☑一般计税法</w:t>
            </w: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 xml:space="preserve">    </w:t>
            </w:r>
            <w:r>
              <w:rPr>
                <w:rFonts w:hint="eastAsia" w:ascii="Times New Roman" w:hAnsi="Times New Roman" w:eastAsia="宋体" w:cs="宋体"/>
                <w:color w:val="000000" w:themeColor="text1"/>
                <w:sz w:val="21"/>
                <w:szCs w:val="21"/>
                <w:highlight w:val="none"/>
                <w14:textFill>
                  <w14:solidFill>
                    <w14:schemeClr w14:val="tx1"/>
                  </w14:solidFill>
                </w14:textFill>
              </w:rPr>
              <w:t>□简易计税法</w:t>
            </w:r>
          </w:p>
          <w:p w14:paraId="56BF5830">
            <w:pPr>
              <w:keepNext w:val="0"/>
              <w:keepLines w:val="0"/>
              <w:pageBreakBefore w:val="0"/>
              <w:widowControl w:val="0"/>
              <w:kinsoku/>
              <w:wordWrap/>
              <w:overflowPunct/>
              <w:topLinePunct w:val="0"/>
              <w:autoSpaceDE/>
              <w:autoSpaceDN/>
              <w:bidi w:val="0"/>
              <w:adjustRightInd/>
              <w:snapToGrid w:val="0"/>
              <w:spacing w:line="390" w:lineRule="exact"/>
              <w:jc w:val="both"/>
              <w:textAlignment w:val="auto"/>
              <w:rPr>
                <w:rFonts w:hint="eastAsia" w:ascii="Times New Roman" w:hAnsi="Times New Roman" w:eastAsia="宋体" w:cs="宋体"/>
                <w:color w:val="000000" w:themeColor="text1"/>
                <w:sz w:val="21"/>
                <w:szCs w:val="21"/>
                <w:highlight w:val="none"/>
                <w14:textFill>
                  <w14:solidFill>
                    <w14:schemeClr w14:val="tx1"/>
                  </w14:solidFill>
                </w14:textFill>
              </w:rPr>
            </w:pPr>
            <w:r>
              <w:rPr>
                <w:rFonts w:hint="eastAsia" w:ascii="Times New Roman" w:hAnsi="Times New Roman" w:eastAsia="宋体" w:cs="宋体"/>
                <w:color w:val="000000" w:themeColor="text1"/>
                <w:sz w:val="21"/>
                <w:szCs w:val="21"/>
                <w:highlight w:val="none"/>
                <w14:textFill>
                  <w14:solidFill>
                    <w14:schemeClr w14:val="tx1"/>
                  </w14:solidFill>
                </w14:textFill>
              </w:rPr>
              <w:t>【备注：根据《关于全面推开营业税改征增值税试点的通知》（财税〔2016〕36号）、《关于建筑服务等营改增试点政策的通知》（财税〔2017〕58号）文件规定选择】</w:t>
            </w:r>
          </w:p>
          <w:p w14:paraId="7970661D">
            <w:pPr>
              <w:keepNext w:val="0"/>
              <w:keepLines w:val="0"/>
              <w:pageBreakBefore w:val="0"/>
              <w:widowControl w:val="0"/>
              <w:kinsoku/>
              <w:wordWrap/>
              <w:overflowPunct/>
              <w:topLinePunct w:val="0"/>
              <w:autoSpaceDE/>
              <w:autoSpaceDN/>
              <w:bidi w:val="0"/>
              <w:adjustRightInd/>
              <w:snapToGrid w:val="0"/>
              <w:spacing w:line="390" w:lineRule="exact"/>
              <w:jc w:val="both"/>
              <w:textAlignment w:val="auto"/>
              <w:rPr>
                <w:rFonts w:hint="eastAsia" w:eastAsia="宋体" w:cs="宋体"/>
                <w:color w:val="000000" w:themeColor="text1"/>
                <w:sz w:val="21"/>
                <w:szCs w:val="21"/>
                <w:highlight w:val="none"/>
                <w:lang w:eastAsia="zh-CN"/>
                <w14:textFill>
                  <w14:solidFill>
                    <w14:schemeClr w14:val="tx1"/>
                  </w14:solidFill>
                </w14:textFill>
              </w:rPr>
            </w:pPr>
            <w:r>
              <w:rPr>
                <w:rFonts w:hint="eastAsia" w:ascii="Times New Roman" w:hAnsi="Times New Roman" w:eastAsia="宋体" w:cs="宋体"/>
                <w:color w:val="000000" w:themeColor="text1"/>
                <w:sz w:val="21"/>
                <w:szCs w:val="21"/>
                <w:highlight w:val="none"/>
                <w14:textFill>
                  <w14:solidFill>
                    <w14:schemeClr w14:val="tx1"/>
                  </w14:solidFill>
                </w14:textFill>
              </w:rPr>
              <w:t>2</w:t>
            </w:r>
            <w:r>
              <w:rPr>
                <w:rFonts w:hint="eastAsia" w:ascii="Times New Roman" w:hAnsi="Times New Roman" w:eastAsia="宋体" w:cs="宋体"/>
                <w:color w:val="000000" w:themeColor="text1"/>
                <w:sz w:val="21"/>
                <w:szCs w:val="21"/>
                <w:highlight w:val="none"/>
                <w:lang w:eastAsia="zh-CN"/>
                <w14:textFill>
                  <w14:solidFill>
                    <w14:schemeClr w14:val="tx1"/>
                  </w14:solidFill>
                </w14:textFill>
              </w:rPr>
              <w:t>、</w:t>
            </w:r>
            <w:r>
              <w:rPr>
                <w:rFonts w:hint="eastAsia" w:ascii="Times New Roman" w:hAnsi="Times New Roman" w:eastAsia="宋体" w:cs="宋体"/>
                <w:color w:val="000000" w:themeColor="text1"/>
                <w:sz w:val="21"/>
                <w:szCs w:val="21"/>
                <w:highlight w:val="none"/>
                <w14:textFill>
                  <w14:solidFill>
                    <w14:schemeClr w14:val="tx1"/>
                  </w14:solidFill>
                </w14:textFill>
              </w:rPr>
              <w:t>本项目</w:t>
            </w:r>
            <w:r>
              <w:rPr>
                <w:rFonts w:hint="eastAsia" w:cs="宋体"/>
                <w:color w:val="000000" w:themeColor="text1"/>
                <w:sz w:val="21"/>
                <w:szCs w:val="21"/>
                <w:highlight w:val="none"/>
                <w:lang w:eastAsia="zh-CN"/>
                <w14:textFill>
                  <w14:solidFill>
                    <w14:schemeClr w14:val="tx1"/>
                  </w14:solidFill>
                </w14:textFill>
              </w:rPr>
              <w:t>的响应报价为工程总价，响应报价和已报价工程量清单的工程总价金额一致，其报价金额不得高于</w:t>
            </w:r>
            <w:r>
              <w:rPr>
                <w:rFonts w:hint="eastAsia" w:ascii="Times New Roman" w:hAnsi="Times New Roman" w:eastAsia="宋体" w:cs="宋体"/>
                <w:color w:val="000000" w:themeColor="text1"/>
                <w:sz w:val="21"/>
                <w:szCs w:val="21"/>
                <w:highlight w:val="none"/>
                <w14:textFill>
                  <w14:solidFill>
                    <w14:schemeClr w14:val="tx1"/>
                  </w14:solidFill>
                </w14:textFill>
              </w:rPr>
              <w:t>最高限价：</w:t>
            </w:r>
            <w:r>
              <w:rPr>
                <w:rFonts w:hint="default" w:ascii="Times New Roman" w:hAnsi="Times New Roman" w:cs="宋体"/>
                <w:color w:val="000000" w:themeColor="text1"/>
                <w:sz w:val="21"/>
                <w:szCs w:val="21"/>
                <w:highlight w:val="none"/>
                <w:lang w:val="en-US"/>
                <w14:textFill>
                  <w14:solidFill>
                    <w14:schemeClr w14:val="tx1"/>
                  </w14:solidFill>
                </w14:textFill>
              </w:rPr>
              <w:t>（大写）</w:t>
            </w:r>
            <w:r>
              <w:rPr>
                <w:rFonts w:hint="default" w:ascii="Times New Roman" w:hAnsi="Times New Roman" w:cs="宋体"/>
                <w:color w:val="000000" w:themeColor="text1"/>
                <w:sz w:val="21"/>
                <w:szCs w:val="21"/>
                <w:highlight w:val="none"/>
                <w:u w:val="single"/>
                <w:lang w:val="en-US"/>
                <w14:textFill>
                  <w14:solidFill>
                    <w14:schemeClr w14:val="tx1"/>
                  </w14:solidFill>
                </w14:textFill>
              </w:rPr>
              <w:t>人民币</w:t>
            </w:r>
            <w:r>
              <w:rPr>
                <w:rFonts w:hint="default" w:ascii="Times New Roman" w:hAnsi="Times New Roman" w:cs="宋体"/>
                <w:color w:val="000000" w:themeColor="text1"/>
                <w:sz w:val="21"/>
                <w:szCs w:val="21"/>
                <w:highlight w:val="none"/>
                <w:u w:val="single"/>
                <w:lang w:val="en-US" w:eastAsia="zh-CN"/>
                <w14:textFill>
                  <w14:solidFill>
                    <w14:schemeClr w14:val="tx1"/>
                  </w14:solidFill>
                </w14:textFill>
              </w:rPr>
              <w:t>柒拾柒万玖仟叁佰柒拾伍元肆角捌分</w:t>
            </w:r>
            <w:r>
              <w:rPr>
                <w:rFonts w:hint="default" w:ascii="Times New Roman" w:hAnsi="Times New Roman" w:cs="宋体"/>
                <w:color w:val="000000" w:themeColor="text1"/>
                <w:sz w:val="21"/>
                <w:szCs w:val="21"/>
                <w:highlight w:val="none"/>
                <w:lang w:val="en-US"/>
                <w14:textFill>
                  <w14:solidFill>
                    <w14:schemeClr w14:val="tx1"/>
                  </w14:solidFill>
                </w14:textFill>
              </w:rPr>
              <w:t>（小写）¥</w:t>
            </w:r>
            <w:r>
              <w:rPr>
                <w:rFonts w:hint="eastAsia" w:cs="宋体"/>
                <w:color w:val="000000" w:themeColor="text1"/>
                <w:sz w:val="21"/>
                <w:szCs w:val="21"/>
                <w:highlight w:val="none"/>
                <w:u w:val="single"/>
                <w:lang w:val="en-US" w:eastAsia="zh-CN"/>
                <w14:textFill>
                  <w14:solidFill>
                    <w14:schemeClr w14:val="tx1"/>
                  </w14:solidFill>
                </w14:textFill>
              </w:rPr>
              <w:t>779375.48，</w:t>
            </w:r>
            <w:r>
              <w:rPr>
                <w:rFonts w:hint="eastAsia" w:cs="宋体"/>
                <w:b/>
                <w:bCs/>
                <w:color w:val="000000" w:themeColor="text1"/>
                <w:sz w:val="21"/>
                <w:szCs w:val="21"/>
                <w:highlight w:val="none"/>
                <w:u w:val="none"/>
                <w:lang w:val="en-US" w:eastAsia="zh-CN"/>
                <w14:textFill>
                  <w14:solidFill>
                    <w14:schemeClr w14:val="tx1"/>
                  </w14:solidFill>
                </w14:textFill>
              </w:rPr>
              <w:t>否则作无效响应处理。</w:t>
            </w:r>
          </w:p>
          <w:p w14:paraId="67D7CA1F">
            <w:pPr>
              <w:keepNext w:val="0"/>
              <w:keepLines w:val="0"/>
              <w:pageBreakBefore w:val="0"/>
              <w:widowControl w:val="0"/>
              <w:kinsoku/>
              <w:wordWrap/>
              <w:overflowPunct/>
              <w:topLinePunct w:val="0"/>
              <w:autoSpaceDE/>
              <w:autoSpaceDN/>
              <w:bidi w:val="0"/>
              <w:adjustRightInd/>
              <w:snapToGrid w:val="0"/>
              <w:spacing w:line="390" w:lineRule="exact"/>
              <w:jc w:val="both"/>
              <w:textAlignment w:val="auto"/>
              <w:rPr>
                <w:rFonts w:hint="eastAsia" w:ascii="Times New Roman" w:hAnsi="Times New Roman" w:eastAsia="宋体" w:cs="宋体"/>
                <w:color w:val="000000" w:themeColor="text1"/>
                <w:sz w:val="21"/>
                <w:szCs w:val="21"/>
                <w:highlight w:val="none"/>
                <w14:textFill>
                  <w14:solidFill>
                    <w14:schemeClr w14:val="tx1"/>
                  </w14:solidFill>
                </w14:textFill>
              </w:rPr>
            </w:pPr>
            <w:r>
              <w:rPr>
                <w:rFonts w:hint="eastAsia" w:cs="宋体"/>
                <w:color w:val="000000" w:themeColor="text1"/>
                <w:sz w:val="21"/>
                <w:szCs w:val="21"/>
                <w:highlight w:val="none"/>
                <w:lang w:val="en-US" w:eastAsia="zh-CN"/>
                <w14:textFill>
                  <w14:solidFill>
                    <w14:schemeClr w14:val="tx1"/>
                  </w14:solidFill>
                </w14:textFill>
              </w:rPr>
              <w:t>3、工程量清单报价为供应商提供的“已报价工程量清单”</w:t>
            </w:r>
            <w:r>
              <w:rPr>
                <w:rFonts w:hint="eastAsia" w:ascii="Times New Roman" w:hAnsi="Times New Roman" w:eastAsia="宋体" w:cs="宋体"/>
                <w:color w:val="000000" w:themeColor="text1"/>
                <w:sz w:val="21"/>
                <w:szCs w:val="21"/>
                <w:highlight w:val="none"/>
                <w14:textFill>
                  <w14:solidFill>
                    <w14:schemeClr w14:val="tx1"/>
                  </w14:solidFill>
                </w14:textFill>
              </w:rPr>
              <w:t>，供应商应依据竞争性磋商文件、采购人提供的工程量清单（以下简称“工程量清单”）以及《建设工程工程量清单计价规范（GB5050-2013）》及其广西实施细则、《建设工程工程量清单计算规范（GB5854~50862-2013）》及其广西实施细则（修订本）自主报价，自主报价不得违反计价规范强制性条文规定。供应商不得采用总价让利或以百分比让利等形式进行报价，任何优惠（或降价、让利）均应反映在相应清单项目的综合单价中。供应商在首次响应文件提交截止时间前修改响应报价表中磋商总报价的，应同时修改已标价工程量清单中的相应报价。</w:t>
            </w:r>
          </w:p>
          <w:p w14:paraId="07C20BD0">
            <w:pPr>
              <w:keepNext w:val="0"/>
              <w:keepLines w:val="0"/>
              <w:pageBreakBefore w:val="0"/>
              <w:widowControl w:val="0"/>
              <w:kinsoku/>
              <w:wordWrap/>
              <w:overflowPunct/>
              <w:topLinePunct w:val="0"/>
              <w:autoSpaceDE/>
              <w:autoSpaceDN/>
              <w:bidi w:val="0"/>
              <w:adjustRightInd/>
              <w:snapToGrid w:val="0"/>
              <w:spacing w:line="390" w:lineRule="exact"/>
              <w:jc w:val="both"/>
              <w:textAlignment w:val="auto"/>
              <w:rPr>
                <w:rFonts w:hint="eastAsia" w:ascii="Times New Roman" w:hAnsi="Times New Roman" w:eastAsia="宋体" w:cs="宋体"/>
                <w:color w:val="000000" w:themeColor="text1"/>
                <w:sz w:val="21"/>
                <w:szCs w:val="21"/>
                <w:highlight w:val="none"/>
                <w14:textFill>
                  <w14:solidFill>
                    <w14:schemeClr w14:val="tx1"/>
                  </w14:solidFill>
                </w14:textFill>
              </w:rPr>
            </w:pPr>
            <w:r>
              <w:rPr>
                <w:rFonts w:hint="eastAsia" w:cs="宋体"/>
                <w:color w:val="000000" w:themeColor="text1"/>
                <w:sz w:val="21"/>
                <w:szCs w:val="21"/>
                <w:highlight w:val="none"/>
                <w:lang w:val="en-US" w:eastAsia="zh-CN"/>
                <w14:textFill>
                  <w14:solidFill>
                    <w14:schemeClr w14:val="tx1"/>
                  </w14:solidFill>
                </w14:textFill>
              </w:rPr>
              <w:t>（1）</w:t>
            </w:r>
            <w:r>
              <w:rPr>
                <w:rFonts w:hint="eastAsia" w:ascii="Times New Roman" w:hAnsi="Times New Roman" w:eastAsia="宋体" w:cs="宋体"/>
                <w:color w:val="000000" w:themeColor="text1"/>
                <w:sz w:val="21"/>
                <w:szCs w:val="21"/>
                <w:highlight w:val="none"/>
                <w:lang w:eastAsia="zh-CN"/>
                <w14:textFill>
                  <w14:solidFill>
                    <w14:schemeClr w14:val="tx1"/>
                  </w14:solidFill>
                </w14:textFill>
              </w:rPr>
              <w:t>、</w:t>
            </w:r>
            <w:r>
              <w:rPr>
                <w:rFonts w:hint="eastAsia" w:ascii="Times New Roman" w:hAnsi="Times New Roman" w:eastAsia="宋体" w:cs="宋体"/>
                <w:b/>
                <w:bCs/>
                <w:color w:val="000000" w:themeColor="text1"/>
                <w:sz w:val="21"/>
                <w:szCs w:val="21"/>
                <w:highlight w:val="none"/>
                <w14:textFill>
                  <w14:solidFill>
                    <w14:schemeClr w14:val="tx1"/>
                  </w14:solidFill>
                </w14:textFill>
              </w:rPr>
              <w:t>供应商应按工程量清单填报价格。供应商已标价工程量清单中的项目编码（12位）、计量单位、工程量必须与工程量清单一致，供应商不得对工程量清单项目进行增减调整，否则响应文件按无效响应处理。</w:t>
            </w:r>
          </w:p>
          <w:p w14:paraId="66B70503">
            <w:pPr>
              <w:keepNext w:val="0"/>
              <w:keepLines w:val="0"/>
              <w:pageBreakBefore w:val="0"/>
              <w:widowControl w:val="0"/>
              <w:kinsoku/>
              <w:wordWrap/>
              <w:overflowPunct/>
              <w:topLinePunct w:val="0"/>
              <w:autoSpaceDE/>
              <w:autoSpaceDN/>
              <w:bidi w:val="0"/>
              <w:adjustRightInd/>
              <w:snapToGrid w:val="0"/>
              <w:spacing w:line="390" w:lineRule="exact"/>
              <w:jc w:val="both"/>
              <w:textAlignment w:val="auto"/>
              <w:rPr>
                <w:rFonts w:hint="eastAsia" w:ascii="Times New Roman" w:hAnsi="Times New Roman" w:eastAsia="宋体" w:cs="宋体"/>
                <w:color w:val="000000" w:themeColor="text1"/>
                <w:sz w:val="21"/>
                <w:szCs w:val="21"/>
                <w:highlight w:val="none"/>
                <w14:textFill>
                  <w14:solidFill>
                    <w14:schemeClr w14:val="tx1"/>
                  </w14:solidFill>
                </w14:textFill>
              </w:rPr>
            </w:pPr>
            <w:r>
              <w:rPr>
                <w:rFonts w:hint="eastAsia" w:cs="宋体"/>
                <w:color w:val="000000" w:themeColor="text1"/>
                <w:sz w:val="21"/>
                <w:szCs w:val="21"/>
                <w:highlight w:val="none"/>
                <w:lang w:val="en-US" w:eastAsia="zh-CN"/>
                <w14:textFill>
                  <w14:solidFill>
                    <w14:schemeClr w14:val="tx1"/>
                  </w14:solidFill>
                </w14:textFill>
              </w:rPr>
              <w:t>（2）</w:t>
            </w:r>
            <w:r>
              <w:rPr>
                <w:rFonts w:hint="eastAsia" w:ascii="Times New Roman" w:hAnsi="Times New Roman" w:eastAsia="宋体" w:cs="宋体"/>
                <w:color w:val="000000" w:themeColor="text1"/>
                <w:sz w:val="21"/>
                <w:szCs w:val="21"/>
                <w:highlight w:val="none"/>
                <w:lang w:eastAsia="zh-CN"/>
                <w14:textFill>
                  <w14:solidFill>
                    <w14:schemeClr w14:val="tx1"/>
                  </w14:solidFill>
                </w14:textFill>
              </w:rPr>
              <w:t>、</w:t>
            </w:r>
            <w:r>
              <w:rPr>
                <w:rFonts w:hint="eastAsia" w:ascii="Times New Roman" w:hAnsi="Times New Roman" w:eastAsia="宋体" w:cs="宋体"/>
                <w:color w:val="000000" w:themeColor="text1"/>
                <w:sz w:val="21"/>
                <w:szCs w:val="21"/>
                <w:highlight w:val="none"/>
                <w14:textFill>
                  <w14:solidFill>
                    <w14:schemeClr w14:val="tx1"/>
                  </w14:solidFill>
                </w14:textFill>
              </w:rPr>
              <w:t>供应商应按工程量清单中列出的分部分项工程项目和工程量填报单价和合价。每一项目只允许有一个报价。任何有选择的报价将不予接受。供应商未填单价或合价的工程项目在实施后，采购人将不予以支付，并视为该项费用已包括在其他有价款的单价或合价内，供应商必须按采购人的指令完成工程量清单中未填入单价或总额价的工程项目，但不能得到支付与结算。</w:t>
            </w:r>
          </w:p>
          <w:p w14:paraId="47133455">
            <w:pPr>
              <w:keepNext w:val="0"/>
              <w:keepLines w:val="0"/>
              <w:pageBreakBefore w:val="0"/>
              <w:widowControl w:val="0"/>
              <w:kinsoku/>
              <w:wordWrap/>
              <w:overflowPunct/>
              <w:topLinePunct w:val="0"/>
              <w:autoSpaceDE/>
              <w:autoSpaceDN/>
              <w:bidi w:val="0"/>
              <w:adjustRightInd/>
              <w:snapToGrid w:val="0"/>
              <w:spacing w:line="390" w:lineRule="exact"/>
              <w:jc w:val="both"/>
              <w:textAlignment w:val="auto"/>
              <w:rPr>
                <w:rFonts w:hint="eastAsia" w:ascii="Times New Roman" w:hAnsi="Times New Roman" w:eastAsia="宋体" w:cs="宋体"/>
                <w:color w:val="000000" w:themeColor="text1"/>
                <w:sz w:val="21"/>
                <w:szCs w:val="21"/>
                <w:highlight w:val="none"/>
                <w14:textFill>
                  <w14:solidFill>
                    <w14:schemeClr w14:val="tx1"/>
                  </w14:solidFill>
                </w14:textFill>
              </w:rPr>
            </w:pPr>
            <w:r>
              <w:rPr>
                <w:rFonts w:hint="eastAsia" w:cs="宋体"/>
                <w:color w:val="000000" w:themeColor="text1"/>
                <w:sz w:val="21"/>
                <w:szCs w:val="21"/>
                <w:highlight w:val="none"/>
                <w:lang w:val="en-US" w:eastAsia="zh-CN"/>
                <w14:textFill>
                  <w14:solidFill>
                    <w14:schemeClr w14:val="tx1"/>
                  </w14:solidFill>
                </w14:textFill>
              </w:rPr>
              <w:t>（3）</w:t>
            </w:r>
            <w:r>
              <w:rPr>
                <w:rFonts w:hint="eastAsia" w:ascii="Times New Roman" w:hAnsi="Times New Roman" w:eastAsia="宋体" w:cs="宋体"/>
                <w:color w:val="000000" w:themeColor="text1"/>
                <w:sz w:val="21"/>
                <w:szCs w:val="21"/>
                <w:highlight w:val="none"/>
                <w:lang w:eastAsia="zh-CN"/>
                <w14:textFill>
                  <w14:solidFill>
                    <w14:schemeClr w14:val="tx1"/>
                  </w14:solidFill>
                </w14:textFill>
              </w:rPr>
              <w:t>、</w:t>
            </w:r>
            <w:r>
              <w:rPr>
                <w:rFonts w:hint="eastAsia" w:ascii="Times New Roman" w:hAnsi="Times New Roman" w:eastAsia="宋体" w:cs="宋体"/>
                <w:color w:val="000000" w:themeColor="text1"/>
                <w:sz w:val="21"/>
                <w:szCs w:val="21"/>
                <w:highlight w:val="none"/>
                <w14:textFill>
                  <w14:solidFill>
                    <w14:schemeClr w14:val="tx1"/>
                  </w14:solidFill>
                </w14:textFill>
              </w:rPr>
              <w:t>综合单价中应包含竞争性磋商文件中划分的应由供应商承担的风险范围及其费用。</w:t>
            </w:r>
          </w:p>
          <w:p w14:paraId="452DE916">
            <w:pPr>
              <w:keepNext w:val="0"/>
              <w:keepLines w:val="0"/>
              <w:pageBreakBefore w:val="0"/>
              <w:widowControl w:val="0"/>
              <w:kinsoku/>
              <w:wordWrap/>
              <w:overflowPunct/>
              <w:topLinePunct w:val="0"/>
              <w:autoSpaceDE/>
              <w:autoSpaceDN/>
              <w:bidi w:val="0"/>
              <w:adjustRightInd/>
              <w:snapToGrid w:val="0"/>
              <w:spacing w:line="390" w:lineRule="exact"/>
              <w:jc w:val="both"/>
              <w:textAlignment w:val="auto"/>
              <w:rPr>
                <w:rFonts w:hint="eastAsia" w:ascii="Times New Roman" w:hAnsi="Times New Roman" w:eastAsia="宋体" w:cs="宋体"/>
                <w:b/>
                <w:bCs/>
                <w:color w:val="000000" w:themeColor="text1"/>
                <w:sz w:val="21"/>
                <w:szCs w:val="21"/>
                <w:highlight w:val="none"/>
                <w14:textFill>
                  <w14:solidFill>
                    <w14:schemeClr w14:val="tx1"/>
                  </w14:solidFill>
                </w14:textFill>
              </w:rPr>
            </w:pPr>
            <w:r>
              <w:rPr>
                <w:rFonts w:hint="eastAsia" w:cs="宋体"/>
                <w:color w:val="000000" w:themeColor="text1"/>
                <w:sz w:val="21"/>
                <w:szCs w:val="21"/>
                <w:highlight w:val="none"/>
                <w:lang w:eastAsia="zh-CN"/>
                <w14:textFill>
                  <w14:solidFill>
                    <w14:schemeClr w14:val="tx1"/>
                  </w14:solidFill>
                </w14:textFill>
              </w:rPr>
              <w:t>（</w:t>
            </w:r>
            <w:r>
              <w:rPr>
                <w:rFonts w:hint="eastAsia" w:cs="宋体"/>
                <w:color w:val="000000" w:themeColor="text1"/>
                <w:sz w:val="21"/>
                <w:szCs w:val="21"/>
                <w:highlight w:val="none"/>
                <w:lang w:val="en-US" w:eastAsia="zh-CN"/>
                <w14:textFill>
                  <w14:solidFill>
                    <w14:schemeClr w14:val="tx1"/>
                  </w14:solidFill>
                </w14:textFill>
              </w:rPr>
              <w:t>4</w:t>
            </w:r>
            <w:r>
              <w:rPr>
                <w:rFonts w:hint="eastAsia" w:cs="宋体"/>
                <w:color w:val="000000" w:themeColor="text1"/>
                <w:sz w:val="21"/>
                <w:szCs w:val="21"/>
                <w:highlight w:val="none"/>
                <w:lang w:eastAsia="zh-CN"/>
                <w14:textFill>
                  <w14:solidFill>
                    <w14:schemeClr w14:val="tx1"/>
                  </w14:solidFill>
                </w14:textFill>
              </w:rPr>
              <w:t>）</w:t>
            </w:r>
            <w:r>
              <w:rPr>
                <w:rFonts w:hint="eastAsia" w:ascii="Times New Roman" w:hAnsi="Times New Roman" w:eastAsia="宋体" w:cs="宋体"/>
                <w:color w:val="000000" w:themeColor="text1"/>
                <w:sz w:val="21"/>
                <w:szCs w:val="21"/>
                <w:highlight w:val="none"/>
                <w:lang w:eastAsia="zh-CN"/>
                <w14:textFill>
                  <w14:solidFill>
                    <w14:schemeClr w14:val="tx1"/>
                  </w14:solidFill>
                </w14:textFill>
              </w:rPr>
              <w:t>、</w:t>
            </w:r>
            <w:r>
              <w:rPr>
                <w:rFonts w:hint="eastAsia" w:ascii="Times New Roman" w:hAnsi="Times New Roman" w:eastAsia="宋体" w:cs="宋体"/>
                <w:color w:val="000000" w:themeColor="text1"/>
                <w:sz w:val="21"/>
                <w:szCs w:val="21"/>
                <w:highlight w:val="none"/>
                <w14:textFill>
                  <w14:solidFill>
                    <w14:schemeClr w14:val="tx1"/>
                  </w14:solidFill>
                </w14:textFill>
              </w:rPr>
              <w:t>分部分项工程项目和单价措施项目，应根据竞争性磋商文件和工程量清单项目中的特征描述确定综合单价计算。</w:t>
            </w:r>
          </w:p>
          <w:p w14:paraId="4815F6FF">
            <w:pPr>
              <w:keepNext w:val="0"/>
              <w:keepLines w:val="0"/>
              <w:pageBreakBefore w:val="0"/>
              <w:widowControl w:val="0"/>
              <w:kinsoku/>
              <w:wordWrap/>
              <w:overflowPunct/>
              <w:topLinePunct w:val="0"/>
              <w:autoSpaceDE/>
              <w:autoSpaceDN/>
              <w:bidi w:val="0"/>
              <w:adjustRightInd/>
              <w:snapToGrid w:val="0"/>
              <w:spacing w:line="390" w:lineRule="exact"/>
              <w:jc w:val="both"/>
              <w:textAlignment w:val="auto"/>
              <w:rPr>
                <w:rFonts w:hint="eastAsia" w:ascii="Times New Roman" w:hAnsi="Times New Roman" w:eastAsia="宋体" w:cs="宋体"/>
                <w:color w:val="000000" w:themeColor="text1"/>
                <w:sz w:val="21"/>
                <w:szCs w:val="21"/>
                <w:highlight w:val="none"/>
                <w14:textFill>
                  <w14:solidFill>
                    <w14:schemeClr w14:val="tx1"/>
                  </w14:solidFill>
                </w14:textFill>
              </w:rPr>
            </w:pPr>
            <w:r>
              <w:rPr>
                <w:rFonts w:hint="eastAsia" w:cs="宋体"/>
                <w:color w:val="000000" w:themeColor="text1"/>
                <w:sz w:val="21"/>
                <w:szCs w:val="21"/>
                <w:highlight w:val="none"/>
                <w:lang w:eastAsia="zh-CN"/>
                <w14:textFill>
                  <w14:solidFill>
                    <w14:schemeClr w14:val="tx1"/>
                  </w14:solidFill>
                </w14:textFill>
              </w:rPr>
              <w:t>（</w:t>
            </w:r>
            <w:r>
              <w:rPr>
                <w:rFonts w:hint="eastAsia" w:cs="宋体"/>
                <w:color w:val="000000" w:themeColor="text1"/>
                <w:sz w:val="21"/>
                <w:szCs w:val="21"/>
                <w:highlight w:val="none"/>
                <w:lang w:val="en-US" w:eastAsia="zh-CN"/>
                <w14:textFill>
                  <w14:solidFill>
                    <w14:schemeClr w14:val="tx1"/>
                  </w14:solidFill>
                </w14:textFill>
              </w:rPr>
              <w:t>5</w:t>
            </w:r>
            <w:r>
              <w:rPr>
                <w:rFonts w:hint="eastAsia" w:cs="宋体"/>
                <w:color w:val="000000" w:themeColor="text1"/>
                <w:sz w:val="21"/>
                <w:szCs w:val="21"/>
                <w:highlight w:val="none"/>
                <w:lang w:eastAsia="zh-CN"/>
                <w14:textFill>
                  <w14:solidFill>
                    <w14:schemeClr w14:val="tx1"/>
                  </w14:solidFill>
                </w14:textFill>
              </w:rPr>
              <w:t>）</w:t>
            </w:r>
            <w:r>
              <w:rPr>
                <w:rFonts w:hint="eastAsia" w:ascii="Times New Roman" w:hAnsi="Times New Roman" w:eastAsia="宋体" w:cs="宋体"/>
                <w:color w:val="000000" w:themeColor="text1"/>
                <w:sz w:val="21"/>
                <w:szCs w:val="21"/>
                <w:highlight w:val="none"/>
                <w:lang w:eastAsia="zh-CN"/>
                <w14:textFill>
                  <w14:solidFill>
                    <w14:schemeClr w14:val="tx1"/>
                  </w14:solidFill>
                </w14:textFill>
              </w:rPr>
              <w:t>、</w:t>
            </w:r>
            <w:r>
              <w:rPr>
                <w:rFonts w:hint="eastAsia" w:ascii="Times New Roman" w:hAnsi="Times New Roman" w:eastAsia="宋体" w:cs="宋体"/>
                <w:color w:val="000000" w:themeColor="text1"/>
                <w:sz w:val="21"/>
                <w:szCs w:val="21"/>
                <w:highlight w:val="none"/>
                <w14:textFill>
                  <w14:solidFill>
                    <w14:schemeClr w14:val="tx1"/>
                  </w14:solidFill>
                </w14:textFill>
              </w:rPr>
              <w:t>总价措施项目的金额应根据竞争性磋商文件及磋商时拟定的施工组织设计或施工方案，按计价规范的规定自主确定。但安全文明施工费按国家、省级或行业建设主管部门的有关规定执行。</w:t>
            </w:r>
          </w:p>
          <w:p w14:paraId="0B86DB54">
            <w:pPr>
              <w:keepNext w:val="0"/>
              <w:keepLines w:val="0"/>
              <w:pageBreakBefore w:val="0"/>
              <w:widowControl w:val="0"/>
              <w:kinsoku/>
              <w:wordWrap/>
              <w:overflowPunct/>
              <w:topLinePunct w:val="0"/>
              <w:autoSpaceDE/>
              <w:autoSpaceDN/>
              <w:bidi w:val="0"/>
              <w:adjustRightInd/>
              <w:snapToGrid w:val="0"/>
              <w:spacing w:line="390" w:lineRule="exact"/>
              <w:jc w:val="both"/>
              <w:textAlignment w:val="auto"/>
              <w:rPr>
                <w:rFonts w:hint="eastAsia" w:ascii="Times New Roman" w:hAnsi="Times New Roman" w:eastAsia="宋体" w:cs="宋体"/>
                <w:color w:val="000000" w:themeColor="text1"/>
                <w:sz w:val="21"/>
                <w:szCs w:val="21"/>
                <w:highlight w:val="none"/>
                <w14:textFill>
                  <w14:solidFill>
                    <w14:schemeClr w14:val="tx1"/>
                  </w14:solidFill>
                </w14:textFill>
              </w:rPr>
            </w:pPr>
            <w:r>
              <w:rPr>
                <w:rFonts w:hint="eastAsia" w:cs="宋体"/>
                <w:color w:val="000000" w:themeColor="text1"/>
                <w:sz w:val="21"/>
                <w:szCs w:val="21"/>
                <w:highlight w:val="none"/>
                <w:lang w:eastAsia="zh-CN"/>
                <w14:textFill>
                  <w14:solidFill>
                    <w14:schemeClr w14:val="tx1"/>
                  </w14:solidFill>
                </w14:textFill>
              </w:rPr>
              <w:t>（</w:t>
            </w:r>
            <w:r>
              <w:rPr>
                <w:rFonts w:hint="eastAsia" w:cs="宋体"/>
                <w:color w:val="000000" w:themeColor="text1"/>
                <w:sz w:val="21"/>
                <w:szCs w:val="21"/>
                <w:highlight w:val="none"/>
                <w:lang w:val="en-US" w:eastAsia="zh-CN"/>
                <w14:textFill>
                  <w14:solidFill>
                    <w14:schemeClr w14:val="tx1"/>
                  </w14:solidFill>
                </w14:textFill>
              </w:rPr>
              <w:t>6</w:t>
            </w:r>
            <w:r>
              <w:rPr>
                <w:rFonts w:hint="eastAsia" w:cs="宋体"/>
                <w:color w:val="000000" w:themeColor="text1"/>
                <w:sz w:val="21"/>
                <w:szCs w:val="21"/>
                <w:highlight w:val="none"/>
                <w:lang w:eastAsia="zh-CN"/>
                <w14:textFill>
                  <w14:solidFill>
                    <w14:schemeClr w14:val="tx1"/>
                  </w14:solidFill>
                </w14:textFill>
              </w:rPr>
              <w:t>）</w:t>
            </w:r>
            <w:r>
              <w:rPr>
                <w:rFonts w:hint="eastAsia" w:ascii="Times New Roman" w:hAnsi="Times New Roman" w:eastAsia="宋体" w:cs="宋体"/>
                <w:color w:val="000000" w:themeColor="text1"/>
                <w:sz w:val="21"/>
                <w:szCs w:val="21"/>
                <w:highlight w:val="none"/>
                <w:lang w:eastAsia="zh-CN"/>
                <w14:textFill>
                  <w14:solidFill>
                    <w14:schemeClr w14:val="tx1"/>
                  </w14:solidFill>
                </w14:textFill>
              </w:rPr>
              <w:t>、</w:t>
            </w:r>
            <w:r>
              <w:rPr>
                <w:rFonts w:hint="eastAsia" w:ascii="Times New Roman" w:hAnsi="Times New Roman" w:eastAsia="宋体" w:cs="宋体"/>
                <w:color w:val="000000" w:themeColor="text1"/>
                <w:sz w:val="21"/>
                <w:szCs w:val="21"/>
                <w:highlight w:val="none"/>
                <w14:textFill>
                  <w14:solidFill>
                    <w14:schemeClr w14:val="tx1"/>
                  </w14:solidFill>
                </w14:textFill>
              </w:rPr>
              <w:t>其他项目费应按下列规定报价：</w:t>
            </w:r>
          </w:p>
          <w:p w14:paraId="23398716">
            <w:pPr>
              <w:keepNext w:val="0"/>
              <w:keepLines w:val="0"/>
              <w:pageBreakBefore w:val="0"/>
              <w:widowControl w:val="0"/>
              <w:kinsoku/>
              <w:wordWrap/>
              <w:overflowPunct/>
              <w:topLinePunct w:val="0"/>
              <w:autoSpaceDE/>
              <w:autoSpaceDN/>
              <w:bidi w:val="0"/>
              <w:adjustRightInd/>
              <w:snapToGrid w:val="0"/>
              <w:spacing w:line="390" w:lineRule="exact"/>
              <w:ind w:firstLine="420" w:firstLineChars="200"/>
              <w:jc w:val="both"/>
              <w:textAlignment w:val="auto"/>
              <w:rPr>
                <w:rFonts w:hint="eastAsia" w:ascii="Times New Roman" w:hAnsi="Times New Roman" w:eastAsia="宋体" w:cs="宋体"/>
                <w:color w:val="000000" w:themeColor="text1"/>
                <w:sz w:val="21"/>
                <w:szCs w:val="21"/>
                <w:highlight w:val="none"/>
                <w14:textFill>
                  <w14:solidFill>
                    <w14:schemeClr w14:val="tx1"/>
                  </w14:solidFill>
                </w14:textFill>
              </w:rPr>
            </w:pPr>
            <w:r>
              <w:rPr>
                <w:rFonts w:hint="eastAsia" w:ascii="Times New Roman" w:hAnsi="Times New Roman" w:eastAsia="宋体" w:cs="宋体"/>
                <w:color w:val="000000" w:themeColor="text1"/>
                <w:sz w:val="21"/>
                <w:szCs w:val="21"/>
                <w:highlight w:val="none"/>
                <w14:textFill>
                  <w14:solidFill>
                    <w14:schemeClr w14:val="tx1"/>
                  </w14:solidFill>
                </w14:textFill>
              </w:rPr>
              <w:t>1）</w:t>
            </w:r>
            <w:r>
              <w:rPr>
                <w:rFonts w:hint="eastAsia" w:ascii="Times New Roman" w:hAnsi="Times New Roman" w:eastAsia="宋体" w:cs="宋体"/>
                <w:b/>
                <w:bCs/>
                <w:color w:val="000000" w:themeColor="text1"/>
                <w:sz w:val="21"/>
                <w:szCs w:val="21"/>
                <w:highlight w:val="none"/>
                <w14:textFill>
                  <w14:solidFill>
                    <w14:schemeClr w14:val="tx1"/>
                  </w14:solidFill>
                </w14:textFill>
              </w:rPr>
              <w:t>暂列金额应按工程量清单中列出的金额填写</w:t>
            </w:r>
            <w:r>
              <w:rPr>
                <w:rFonts w:hint="eastAsia" w:ascii="Times New Roman" w:hAnsi="Times New Roman" w:eastAsia="宋体" w:cs="宋体"/>
                <w:b/>
                <w:bCs/>
                <w:color w:val="000000" w:themeColor="text1"/>
                <w:sz w:val="21"/>
                <w:szCs w:val="21"/>
                <w:highlight w:val="none"/>
                <w:lang w:eastAsia="zh-CN"/>
                <w14:textFill>
                  <w14:solidFill>
                    <w14:schemeClr w14:val="tx1"/>
                  </w14:solidFill>
                </w14:textFill>
              </w:rPr>
              <w:t>，</w:t>
            </w:r>
            <w:r>
              <w:rPr>
                <w:rFonts w:hint="eastAsia" w:ascii="Times New Roman" w:hAnsi="Times New Roman" w:eastAsia="宋体" w:cs="宋体"/>
                <w:b/>
                <w:bCs/>
                <w:color w:val="000000" w:themeColor="text1"/>
                <w:sz w:val="21"/>
                <w:szCs w:val="21"/>
                <w:highlight w:val="none"/>
                <w14:textFill>
                  <w14:solidFill>
                    <w14:schemeClr w14:val="tx1"/>
                  </w14:solidFill>
                </w14:textFill>
              </w:rPr>
              <w:t>否则响应文件按无效响应处理</w:t>
            </w:r>
            <w:r>
              <w:rPr>
                <w:rFonts w:hint="eastAsia" w:ascii="Times New Roman" w:hAnsi="Times New Roman" w:eastAsia="宋体" w:cs="宋体"/>
                <w:color w:val="000000" w:themeColor="text1"/>
                <w:sz w:val="21"/>
                <w:szCs w:val="21"/>
                <w:highlight w:val="none"/>
                <w14:textFill>
                  <w14:solidFill>
                    <w14:schemeClr w14:val="tx1"/>
                  </w14:solidFill>
                </w14:textFill>
              </w:rPr>
              <w:t>；</w:t>
            </w:r>
          </w:p>
          <w:p w14:paraId="487FDE04">
            <w:pPr>
              <w:keepNext w:val="0"/>
              <w:keepLines w:val="0"/>
              <w:pageBreakBefore w:val="0"/>
              <w:widowControl w:val="0"/>
              <w:kinsoku/>
              <w:wordWrap/>
              <w:overflowPunct/>
              <w:topLinePunct w:val="0"/>
              <w:autoSpaceDE/>
              <w:autoSpaceDN/>
              <w:bidi w:val="0"/>
              <w:adjustRightInd/>
              <w:snapToGrid w:val="0"/>
              <w:spacing w:line="390" w:lineRule="exact"/>
              <w:ind w:firstLine="420" w:firstLineChars="200"/>
              <w:jc w:val="both"/>
              <w:textAlignment w:val="auto"/>
              <w:rPr>
                <w:rFonts w:hint="eastAsia" w:ascii="Times New Roman" w:hAnsi="Times New Roman" w:eastAsia="宋体" w:cs="宋体"/>
                <w:color w:val="000000" w:themeColor="text1"/>
                <w:sz w:val="21"/>
                <w:szCs w:val="21"/>
                <w:highlight w:val="none"/>
                <w:lang w:eastAsia="zh-CN"/>
                <w14:textFill>
                  <w14:solidFill>
                    <w14:schemeClr w14:val="tx1"/>
                  </w14:solidFill>
                </w14:textFill>
              </w:rPr>
            </w:pPr>
            <w:r>
              <w:rPr>
                <w:rFonts w:hint="eastAsia" w:ascii="Times New Roman" w:hAnsi="Times New Roman" w:eastAsia="宋体" w:cs="宋体"/>
                <w:color w:val="000000" w:themeColor="text1"/>
                <w:sz w:val="21"/>
                <w:szCs w:val="21"/>
                <w:highlight w:val="none"/>
                <w14:textFill>
                  <w14:solidFill>
                    <w14:schemeClr w14:val="tx1"/>
                  </w14:solidFill>
                </w14:textFill>
              </w:rPr>
              <w:t>2）材料、工程设备暂估价应按工程量清单中列出的单价计入综合单价</w:t>
            </w:r>
            <w:r>
              <w:rPr>
                <w:rFonts w:hint="eastAsia" w:ascii="Times New Roman" w:hAnsi="Times New Roman" w:eastAsia="宋体" w:cs="宋体"/>
                <w:b/>
                <w:bCs/>
                <w:color w:val="000000" w:themeColor="text1"/>
                <w:sz w:val="21"/>
                <w:szCs w:val="21"/>
                <w:highlight w:val="none"/>
                <w:lang w:eastAsia="zh-CN"/>
                <w14:textFill>
                  <w14:solidFill>
                    <w14:schemeClr w14:val="tx1"/>
                  </w14:solidFill>
                </w14:textFill>
              </w:rPr>
              <w:t>，</w:t>
            </w:r>
            <w:r>
              <w:rPr>
                <w:rFonts w:hint="eastAsia" w:ascii="Times New Roman" w:hAnsi="Times New Roman" w:eastAsia="宋体" w:cs="宋体"/>
                <w:b/>
                <w:bCs/>
                <w:color w:val="000000" w:themeColor="text1"/>
                <w:sz w:val="21"/>
                <w:szCs w:val="21"/>
                <w:highlight w:val="none"/>
                <w14:textFill>
                  <w14:solidFill>
                    <w14:schemeClr w14:val="tx1"/>
                  </w14:solidFill>
                </w14:textFill>
              </w:rPr>
              <w:t>否则响应文件按无效响应处理</w:t>
            </w:r>
            <w:r>
              <w:rPr>
                <w:rFonts w:hint="eastAsia" w:ascii="Times New Roman" w:hAnsi="Times New Roman" w:eastAsia="宋体" w:cs="宋体"/>
                <w:color w:val="000000" w:themeColor="text1"/>
                <w:sz w:val="21"/>
                <w:szCs w:val="21"/>
                <w:highlight w:val="none"/>
                <w14:textFill>
                  <w14:solidFill>
                    <w14:schemeClr w14:val="tx1"/>
                  </w14:solidFill>
                </w14:textFill>
              </w:rPr>
              <w:t>；</w:t>
            </w:r>
          </w:p>
          <w:p w14:paraId="44951BEE">
            <w:pPr>
              <w:keepNext w:val="0"/>
              <w:keepLines w:val="0"/>
              <w:pageBreakBefore w:val="0"/>
              <w:widowControl w:val="0"/>
              <w:kinsoku/>
              <w:wordWrap/>
              <w:overflowPunct/>
              <w:topLinePunct w:val="0"/>
              <w:autoSpaceDE/>
              <w:autoSpaceDN/>
              <w:bidi w:val="0"/>
              <w:adjustRightInd/>
              <w:snapToGrid w:val="0"/>
              <w:spacing w:line="390" w:lineRule="exact"/>
              <w:ind w:firstLine="420" w:firstLineChars="200"/>
              <w:jc w:val="both"/>
              <w:textAlignment w:val="auto"/>
              <w:rPr>
                <w:rFonts w:hint="eastAsia" w:ascii="Times New Roman" w:hAnsi="Times New Roman" w:eastAsia="宋体" w:cs="宋体"/>
                <w:color w:val="000000" w:themeColor="text1"/>
                <w:sz w:val="21"/>
                <w:szCs w:val="21"/>
                <w:highlight w:val="none"/>
                <w14:textFill>
                  <w14:solidFill>
                    <w14:schemeClr w14:val="tx1"/>
                  </w14:solidFill>
                </w14:textFill>
              </w:rPr>
            </w:pPr>
            <w:r>
              <w:rPr>
                <w:rFonts w:hint="eastAsia" w:ascii="Times New Roman" w:hAnsi="Times New Roman" w:eastAsia="宋体" w:cs="宋体"/>
                <w:color w:val="000000" w:themeColor="text1"/>
                <w:sz w:val="21"/>
                <w:szCs w:val="21"/>
                <w:highlight w:val="none"/>
                <w14:textFill>
                  <w14:solidFill>
                    <w14:schemeClr w14:val="tx1"/>
                  </w14:solidFill>
                </w14:textFill>
              </w:rPr>
              <w:t>3）</w:t>
            </w:r>
            <w:r>
              <w:rPr>
                <w:rFonts w:hint="eastAsia" w:ascii="Times New Roman" w:hAnsi="Times New Roman" w:eastAsia="宋体" w:cs="宋体"/>
                <w:b/>
                <w:bCs/>
                <w:color w:val="000000" w:themeColor="text1"/>
                <w:sz w:val="21"/>
                <w:szCs w:val="21"/>
                <w:highlight w:val="none"/>
                <w14:textFill>
                  <w14:solidFill>
                    <w14:schemeClr w14:val="tx1"/>
                  </w14:solidFill>
                </w14:textFill>
              </w:rPr>
              <w:t>专业工程暂估价应按工程量清单中列出的金额填写</w:t>
            </w:r>
            <w:r>
              <w:rPr>
                <w:rFonts w:hint="eastAsia" w:ascii="Times New Roman" w:hAnsi="Times New Roman" w:eastAsia="宋体" w:cs="宋体"/>
                <w:b/>
                <w:bCs/>
                <w:color w:val="000000" w:themeColor="text1"/>
                <w:sz w:val="21"/>
                <w:szCs w:val="21"/>
                <w:highlight w:val="none"/>
                <w:lang w:eastAsia="zh-CN"/>
                <w14:textFill>
                  <w14:solidFill>
                    <w14:schemeClr w14:val="tx1"/>
                  </w14:solidFill>
                </w14:textFill>
              </w:rPr>
              <w:t>，安全生产责任保险费暂估价</w:t>
            </w:r>
            <w:r>
              <w:rPr>
                <w:rFonts w:hint="eastAsia" w:ascii="Times New Roman" w:hAnsi="Times New Roman" w:eastAsia="宋体" w:cs="宋体"/>
                <w:b/>
                <w:bCs/>
                <w:color w:val="000000" w:themeColor="text1"/>
                <w:sz w:val="21"/>
                <w:szCs w:val="21"/>
                <w:highlight w:val="none"/>
                <w14:textFill>
                  <w14:solidFill>
                    <w14:schemeClr w14:val="tx1"/>
                  </w14:solidFill>
                </w14:textFill>
              </w:rPr>
              <w:t>应按工程量清单中列出的金额填写</w:t>
            </w:r>
            <w:r>
              <w:rPr>
                <w:rFonts w:hint="eastAsia" w:ascii="Times New Roman" w:hAnsi="Times New Roman" w:eastAsia="宋体" w:cs="宋体"/>
                <w:b/>
                <w:bCs/>
                <w:color w:val="000000" w:themeColor="text1"/>
                <w:sz w:val="21"/>
                <w:szCs w:val="21"/>
                <w:highlight w:val="none"/>
                <w:lang w:eastAsia="zh-CN"/>
                <w14:textFill>
                  <w14:solidFill>
                    <w14:schemeClr w14:val="tx1"/>
                  </w14:solidFill>
                </w14:textFill>
              </w:rPr>
              <w:t>，</w:t>
            </w:r>
            <w:r>
              <w:rPr>
                <w:rFonts w:hint="eastAsia" w:ascii="Times New Roman" w:hAnsi="Times New Roman" w:eastAsia="宋体" w:cs="宋体"/>
                <w:b/>
                <w:bCs/>
                <w:color w:val="000000" w:themeColor="text1"/>
                <w:sz w:val="21"/>
                <w:szCs w:val="21"/>
                <w:highlight w:val="none"/>
                <w14:textFill>
                  <w14:solidFill>
                    <w14:schemeClr w14:val="tx1"/>
                  </w14:solidFill>
                </w14:textFill>
              </w:rPr>
              <w:t>否则响应文件按无效响应处理</w:t>
            </w:r>
            <w:r>
              <w:rPr>
                <w:rFonts w:hint="eastAsia" w:ascii="Times New Roman" w:hAnsi="Times New Roman" w:eastAsia="宋体" w:cs="宋体"/>
                <w:color w:val="000000" w:themeColor="text1"/>
                <w:sz w:val="21"/>
                <w:szCs w:val="21"/>
                <w:highlight w:val="none"/>
                <w14:textFill>
                  <w14:solidFill>
                    <w14:schemeClr w14:val="tx1"/>
                  </w14:solidFill>
                </w14:textFill>
              </w:rPr>
              <w:t>；</w:t>
            </w:r>
          </w:p>
          <w:p w14:paraId="420A0544">
            <w:pPr>
              <w:keepNext w:val="0"/>
              <w:keepLines w:val="0"/>
              <w:pageBreakBefore w:val="0"/>
              <w:widowControl w:val="0"/>
              <w:kinsoku/>
              <w:wordWrap/>
              <w:overflowPunct/>
              <w:topLinePunct w:val="0"/>
              <w:autoSpaceDE/>
              <w:autoSpaceDN/>
              <w:bidi w:val="0"/>
              <w:adjustRightInd/>
              <w:snapToGrid w:val="0"/>
              <w:spacing w:line="390" w:lineRule="exact"/>
              <w:ind w:firstLine="420" w:firstLineChars="200"/>
              <w:jc w:val="both"/>
              <w:textAlignment w:val="auto"/>
              <w:rPr>
                <w:rFonts w:hint="eastAsia" w:ascii="Times New Roman" w:hAnsi="Times New Roman" w:eastAsia="宋体" w:cs="宋体"/>
                <w:color w:val="000000" w:themeColor="text1"/>
                <w:sz w:val="21"/>
                <w:szCs w:val="21"/>
                <w:highlight w:val="none"/>
                <w14:textFill>
                  <w14:solidFill>
                    <w14:schemeClr w14:val="tx1"/>
                  </w14:solidFill>
                </w14:textFill>
              </w:rPr>
            </w:pPr>
            <w:r>
              <w:rPr>
                <w:rFonts w:hint="eastAsia" w:ascii="Times New Roman" w:hAnsi="Times New Roman" w:eastAsia="宋体" w:cs="宋体"/>
                <w:color w:val="000000" w:themeColor="text1"/>
                <w:sz w:val="21"/>
                <w:szCs w:val="21"/>
                <w:highlight w:val="none"/>
                <w14:textFill>
                  <w14:solidFill>
                    <w14:schemeClr w14:val="tx1"/>
                  </w14:solidFill>
                </w14:textFill>
              </w:rPr>
              <w:t>4）计日工应按工程量清单中列出的项目和估算数量，自主确定综合单价并计算计日工总额；</w:t>
            </w:r>
          </w:p>
          <w:p w14:paraId="654D690C">
            <w:pPr>
              <w:keepNext w:val="0"/>
              <w:keepLines w:val="0"/>
              <w:pageBreakBefore w:val="0"/>
              <w:widowControl w:val="0"/>
              <w:kinsoku/>
              <w:wordWrap/>
              <w:overflowPunct/>
              <w:topLinePunct w:val="0"/>
              <w:autoSpaceDE/>
              <w:autoSpaceDN/>
              <w:bidi w:val="0"/>
              <w:adjustRightInd/>
              <w:snapToGrid w:val="0"/>
              <w:spacing w:line="390" w:lineRule="exact"/>
              <w:ind w:firstLine="420" w:firstLineChars="200"/>
              <w:jc w:val="both"/>
              <w:textAlignment w:val="auto"/>
              <w:rPr>
                <w:rFonts w:hint="eastAsia" w:ascii="Times New Roman" w:hAnsi="Times New Roman" w:eastAsia="宋体" w:cs="宋体"/>
                <w:color w:val="000000" w:themeColor="text1"/>
                <w:sz w:val="21"/>
                <w:szCs w:val="21"/>
                <w:highlight w:val="none"/>
                <w14:textFill>
                  <w14:solidFill>
                    <w14:schemeClr w14:val="tx1"/>
                  </w14:solidFill>
                </w14:textFill>
              </w:rPr>
            </w:pPr>
            <w:r>
              <w:rPr>
                <w:rFonts w:hint="eastAsia" w:ascii="Times New Roman" w:hAnsi="Times New Roman" w:eastAsia="宋体" w:cs="宋体"/>
                <w:color w:val="000000" w:themeColor="text1"/>
                <w:sz w:val="21"/>
                <w:szCs w:val="21"/>
                <w:highlight w:val="none"/>
                <w14:textFill>
                  <w14:solidFill>
                    <w14:schemeClr w14:val="tx1"/>
                  </w14:solidFill>
                </w14:textFill>
              </w:rPr>
              <w:t>5）总承包服务费应根据工程量清单中列出的内容和供应材料、设备情况，按照采购人提出的协调、配合与服务要求和施工现场管理需要自主确定。</w:t>
            </w:r>
          </w:p>
          <w:p w14:paraId="629793A7">
            <w:pPr>
              <w:keepNext w:val="0"/>
              <w:keepLines w:val="0"/>
              <w:pageBreakBefore w:val="0"/>
              <w:widowControl w:val="0"/>
              <w:kinsoku/>
              <w:wordWrap/>
              <w:overflowPunct/>
              <w:topLinePunct w:val="0"/>
              <w:autoSpaceDE/>
              <w:autoSpaceDN/>
              <w:bidi w:val="0"/>
              <w:adjustRightInd/>
              <w:snapToGrid w:val="0"/>
              <w:spacing w:line="390" w:lineRule="exact"/>
              <w:ind w:firstLine="422" w:firstLineChars="200"/>
              <w:jc w:val="both"/>
              <w:textAlignment w:val="auto"/>
              <w:rPr>
                <w:rFonts w:hint="eastAsia" w:ascii="Times New Roman" w:hAnsi="Times New Roman" w:eastAsia="宋体" w:cs="宋体"/>
                <w:b/>
                <w:bCs/>
                <w:color w:val="000000" w:themeColor="text1"/>
                <w:spacing w:val="0"/>
                <w:kern w:val="2"/>
                <w:sz w:val="21"/>
                <w:szCs w:val="21"/>
                <w:highlight w:val="none"/>
                <w:lang w:val="en-US" w:eastAsia="zh-CN" w:bidi="ar-SA"/>
                <w14:textFill>
                  <w14:solidFill>
                    <w14:schemeClr w14:val="tx1"/>
                  </w14:solidFill>
                </w14:textFill>
              </w:rPr>
            </w:pPr>
            <w:r>
              <w:rPr>
                <w:rFonts w:hint="eastAsia" w:ascii="Times New Roman" w:hAnsi="Times New Roman" w:eastAsia="宋体" w:cs="宋体"/>
                <w:b/>
                <w:bCs/>
                <w:color w:val="000000" w:themeColor="text1"/>
                <w:spacing w:val="0"/>
                <w:kern w:val="2"/>
                <w:sz w:val="21"/>
                <w:szCs w:val="21"/>
                <w:highlight w:val="none"/>
                <w:lang w:val="en-US" w:eastAsia="zh-CN" w:bidi="ar-SA"/>
                <w14:textFill>
                  <w14:solidFill>
                    <w14:schemeClr w14:val="tx1"/>
                  </w14:solidFill>
                </w14:textFill>
              </w:rPr>
              <w:t>6）安全文明施工费和规费、增值税按我区费用定额及造价管理相关文件规定报价（园林绿化及仿古建筑工程除外），否则响应文件按无效响应处理。</w:t>
            </w:r>
          </w:p>
          <w:p w14:paraId="05BF1CF8">
            <w:pPr>
              <w:keepNext w:val="0"/>
              <w:keepLines w:val="0"/>
              <w:pageBreakBefore w:val="0"/>
              <w:widowControl w:val="0"/>
              <w:kinsoku/>
              <w:wordWrap/>
              <w:overflowPunct/>
              <w:topLinePunct w:val="0"/>
              <w:autoSpaceDE/>
              <w:autoSpaceDN/>
              <w:bidi w:val="0"/>
              <w:adjustRightInd/>
              <w:snapToGrid w:val="0"/>
              <w:spacing w:line="390" w:lineRule="exact"/>
              <w:jc w:val="both"/>
              <w:textAlignment w:val="auto"/>
              <w:rPr>
                <w:rFonts w:hint="eastAsia" w:ascii="Times New Roman" w:hAnsi="Times New Roman" w:eastAsia="宋体" w:cs="宋体"/>
                <w:bCs w:val="0"/>
                <w:color w:val="000000" w:themeColor="text1"/>
                <w:spacing w:val="0"/>
                <w:kern w:val="2"/>
                <w:sz w:val="21"/>
                <w:szCs w:val="21"/>
                <w:highlight w:val="none"/>
                <w:lang w:val="en-US" w:eastAsia="zh-CN" w:bidi="ar-SA"/>
                <w14:textFill>
                  <w14:solidFill>
                    <w14:schemeClr w14:val="tx1"/>
                  </w14:solidFill>
                </w14:textFill>
              </w:rPr>
            </w:pPr>
            <w:r>
              <w:rPr>
                <w:rFonts w:hint="eastAsia" w:cs="宋体"/>
                <w:bCs w:val="0"/>
                <w:color w:val="000000" w:themeColor="text1"/>
                <w:spacing w:val="0"/>
                <w:kern w:val="2"/>
                <w:sz w:val="21"/>
                <w:szCs w:val="21"/>
                <w:highlight w:val="none"/>
                <w:lang w:val="en-US" w:eastAsia="zh-CN" w:bidi="ar-SA"/>
                <w14:textFill>
                  <w14:solidFill>
                    <w14:schemeClr w14:val="tx1"/>
                  </w14:solidFill>
                </w14:textFill>
              </w:rPr>
              <w:t>（7）</w:t>
            </w:r>
            <w:r>
              <w:rPr>
                <w:rFonts w:hint="eastAsia" w:ascii="Times New Roman" w:hAnsi="Times New Roman" w:eastAsia="宋体" w:cs="宋体"/>
                <w:bCs w:val="0"/>
                <w:color w:val="000000" w:themeColor="text1"/>
                <w:spacing w:val="0"/>
                <w:kern w:val="2"/>
                <w:sz w:val="21"/>
                <w:szCs w:val="21"/>
                <w:highlight w:val="none"/>
                <w:lang w:val="en-US" w:eastAsia="zh-CN" w:bidi="ar-SA"/>
                <w14:textFill>
                  <w14:solidFill>
                    <w14:schemeClr w14:val="tx1"/>
                  </w14:solidFill>
                </w14:textFill>
              </w:rPr>
              <w:t>增值税应按规定确定。</w:t>
            </w:r>
          </w:p>
          <w:p w14:paraId="687C8573">
            <w:pPr>
              <w:keepNext w:val="0"/>
              <w:keepLines w:val="0"/>
              <w:pageBreakBefore w:val="0"/>
              <w:widowControl w:val="0"/>
              <w:kinsoku/>
              <w:wordWrap/>
              <w:overflowPunct/>
              <w:topLinePunct w:val="0"/>
              <w:autoSpaceDE/>
              <w:autoSpaceDN/>
              <w:bidi w:val="0"/>
              <w:adjustRightInd/>
              <w:snapToGrid w:val="0"/>
              <w:spacing w:line="390" w:lineRule="exact"/>
              <w:jc w:val="both"/>
              <w:textAlignment w:val="auto"/>
              <w:rPr>
                <w:rFonts w:hint="eastAsia" w:ascii="Times New Roman" w:hAnsi="Times New Roman" w:eastAsia="宋体" w:cs="宋体"/>
                <w:color w:val="000000" w:themeColor="text1"/>
                <w:sz w:val="21"/>
                <w:szCs w:val="21"/>
                <w:highlight w:val="none"/>
                <w14:textFill>
                  <w14:solidFill>
                    <w14:schemeClr w14:val="tx1"/>
                  </w14:solidFill>
                </w14:textFill>
              </w:rPr>
            </w:pPr>
            <w:r>
              <w:rPr>
                <w:rFonts w:hint="eastAsia" w:cs="宋体"/>
                <w:bCs w:val="0"/>
                <w:color w:val="000000" w:themeColor="text1"/>
                <w:spacing w:val="0"/>
                <w:kern w:val="2"/>
                <w:sz w:val="21"/>
                <w:szCs w:val="21"/>
                <w:highlight w:val="none"/>
                <w:lang w:val="en-US" w:eastAsia="zh-CN" w:bidi="ar-SA"/>
                <w14:textFill>
                  <w14:solidFill>
                    <w14:schemeClr w14:val="tx1"/>
                  </w14:solidFill>
                </w14:textFill>
              </w:rPr>
              <w:t>（8）</w:t>
            </w:r>
            <w:r>
              <w:rPr>
                <w:rFonts w:hint="eastAsia" w:ascii="Times New Roman" w:hAnsi="Times New Roman" w:eastAsia="宋体" w:cs="宋体"/>
                <w:bCs w:val="0"/>
                <w:color w:val="000000" w:themeColor="text1"/>
                <w:spacing w:val="0"/>
                <w:kern w:val="2"/>
                <w:sz w:val="21"/>
                <w:szCs w:val="21"/>
                <w:highlight w:val="none"/>
                <w:lang w:val="en-US" w:eastAsia="zh-CN" w:bidi="ar-SA"/>
                <w14:textFill>
                  <w14:solidFill>
                    <w14:schemeClr w14:val="tx1"/>
                  </w14:solidFill>
                </w14:textFill>
              </w:rPr>
              <w:t>工程量清单与计价表中列明的所有需要填写的单价和合价的项目，供应</w:t>
            </w:r>
            <w:r>
              <w:rPr>
                <w:rFonts w:hint="eastAsia" w:ascii="Times New Roman" w:hAnsi="Times New Roman" w:eastAsia="宋体" w:cs="宋体"/>
                <w:color w:val="000000" w:themeColor="text1"/>
                <w:sz w:val="21"/>
                <w:szCs w:val="21"/>
                <w:highlight w:val="none"/>
                <w14:textFill>
                  <w14:solidFill>
                    <w14:schemeClr w14:val="tx1"/>
                  </w14:solidFill>
                </w14:textFill>
              </w:rPr>
              <w:t>商均应填写且只允许有一个报价。未填写单价和合价的项目，视为此项费用已包含在已标价工程量清单中其他项目的单价和合价之中。竣工结算时，此项目不得重新组价予以调整。</w:t>
            </w:r>
          </w:p>
          <w:p w14:paraId="06906F04">
            <w:pPr>
              <w:keepNext w:val="0"/>
              <w:keepLines w:val="0"/>
              <w:pageBreakBefore w:val="0"/>
              <w:widowControl w:val="0"/>
              <w:kinsoku/>
              <w:wordWrap/>
              <w:overflowPunct/>
              <w:topLinePunct w:val="0"/>
              <w:autoSpaceDE/>
              <w:autoSpaceDN/>
              <w:bidi w:val="0"/>
              <w:adjustRightInd/>
              <w:snapToGrid w:val="0"/>
              <w:spacing w:line="390" w:lineRule="exact"/>
              <w:jc w:val="both"/>
              <w:textAlignment w:val="auto"/>
              <w:rPr>
                <w:rFonts w:hint="eastAsia" w:ascii="Times New Roman" w:hAnsi="Times New Roman" w:eastAsia="宋体" w:cs="宋体"/>
                <w:b/>
                <w:bCs/>
                <w:color w:val="000000" w:themeColor="text1"/>
                <w:sz w:val="21"/>
                <w:szCs w:val="21"/>
                <w:highlight w:val="none"/>
                <w14:textFill>
                  <w14:solidFill>
                    <w14:schemeClr w14:val="tx1"/>
                  </w14:solidFill>
                </w14:textFill>
              </w:rPr>
            </w:pPr>
            <w:r>
              <w:rPr>
                <w:rFonts w:hint="eastAsia" w:cs="宋体"/>
                <w:b/>
                <w:bCs/>
                <w:color w:val="000000" w:themeColor="text1"/>
                <w:sz w:val="21"/>
                <w:szCs w:val="21"/>
                <w:highlight w:val="none"/>
                <w:lang w:eastAsia="zh-CN"/>
                <w14:textFill>
                  <w14:solidFill>
                    <w14:schemeClr w14:val="tx1"/>
                  </w14:solidFill>
                </w14:textFill>
              </w:rPr>
              <w:t>（</w:t>
            </w:r>
            <w:r>
              <w:rPr>
                <w:rFonts w:hint="eastAsia" w:cs="宋体"/>
                <w:b/>
                <w:bCs/>
                <w:color w:val="000000" w:themeColor="text1"/>
                <w:sz w:val="21"/>
                <w:szCs w:val="21"/>
                <w:highlight w:val="none"/>
                <w:lang w:val="en-US" w:eastAsia="zh-CN"/>
                <w14:textFill>
                  <w14:solidFill>
                    <w14:schemeClr w14:val="tx1"/>
                  </w14:solidFill>
                </w14:textFill>
              </w:rPr>
              <w:t>9</w:t>
            </w:r>
            <w:r>
              <w:rPr>
                <w:rFonts w:hint="eastAsia" w:cs="宋体"/>
                <w:b/>
                <w:bCs/>
                <w:color w:val="000000" w:themeColor="text1"/>
                <w:sz w:val="21"/>
                <w:szCs w:val="21"/>
                <w:highlight w:val="none"/>
                <w:lang w:eastAsia="zh-CN"/>
                <w14:textFill>
                  <w14:solidFill>
                    <w14:schemeClr w14:val="tx1"/>
                  </w14:solidFill>
                </w14:textFill>
              </w:rPr>
              <w:t>）工程总价</w:t>
            </w:r>
            <w:r>
              <w:rPr>
                <w:rFonts w:hint="eastAsia" w:ascii="Times New Roman" w:hAnsi="Times New Roman" w:eastAsia="宋体" w:cs="宋体"/>
                <w:b/>
                <w:bCs/>
                <w:color w:val="000000" w:themeColor="text1"/>
                <w:sz w:val="21"/>
                <w:szCs w:val="21"/>
                <w:highlight w:val="none"/>
                <w14:textFill>
                  <w14:solidFill>
                    <w14:schemeClr w14:val="tx1"/>
                  </w14:solidFill>
                </w14:textFill>
              </w:rPr>
              <w:t>应当与分部分项工程和单价措施项目费用、总价措施项目费用</w:t>
            </w:r>
            <w:r>
              <w:rPr>
                <w:rFonts w:hint="eastAsia" w:cs="宋体"/>
                <w:b/>
                <w:bCs/>
                <w:color w:val="000000" w:themeColor="text1"/>
                <w:sz w:val="21"/>
                <w:szCs w:val="21"/>
                <w:highlight w:val="none"/>
                <w:lang w:eastAsia="zh-CN"/>
                <w14:textFill>
                  <w14:solidFill>
                    <w14:schemeClr w14:val="tx1"/>
                  </w14:solidFill>
                </w14:textFill>
              </w:rPr>
              <w:t>、</w:t>
            </w:r>
            <w:r>
              <w:rPr>
                <w:rFonts w:hint="eastAsia" w:ascii="Times New Roman" w:hAnsi="Times New Roman" w:eastAsia="宋体" w:cs="宋体"/>
                <w:b/>
                <w:bCs/>
                <w:color w:val="000000" w:themeColor="text1"/>
                <w:sz w:val="21"/>
                <w:szCs w:val="21"/>
                <w:highlight w:val="none"/>
                <w14:textFill>
                  <w14:solidFill>
                    <w14:schemeClr w14:val="tx1"/>
                  </w14:solidFill>
                </w14:textFill>
              </w:rPr>
              <w:t>其他项目费用</w:t>
            </w:r>
            <w:r>
              <w:rPr>
                <w:rFonts w:hint="eastAsia" w:cs="宋体"/>
                <w:b/>
                <w:bCs/>
                <w:color w:val="000000" w:themeColor="text1"/>
                <w:sz w:val="21"/>
                <w:szCs w:val="21"/>
                <w:highlight w:val="none"/>
                <w:lang w:eastAsia="zh-CN"/>
                <w14:textFill>
                  <w14:solidFill>
                    <w14:schemeClr w14:val="tx1"/>
                  </w14:solidFill>
                </w14:textFill>
              </w:rPr>
              <w:t>的</w:t>
            </w:r>
            <w:r>
              <w:rPr>
                <w:rFonts w:hint="eastAsia" w:ascii="Times New Roman" w:hAnsi="Times New Roman" w:eastAsia="宋体" w:cs="宋体"/>
                <w:b/>
                <w:bCs/>
                <w:color w:val="000000" w:themeColor="text1"/>
                <w:sz w:val="21"/>
                <w:szCs w:val="21"/>
                <w:highlight w:val="none"/>
                <w14:textFill>
                  <w14:solidFill>
                    <w14:schemeClr w14:val="tx1"/>
                  </w14:solidFill>
                </w14:textFill>
              </w:rPr>
              <w:t>合计金额一致</w:t>
            </w:r>
            <w:r>
              <w:rPr>
                <w:rFonts w:hint="eastAsia" w:cs="宋体"/>
                <w:b/>
                <w:bCs/>
                <w:color w:val="000000" w:themeColor="text1"/>
                <w:sz w:val="21"/>
                <w:szCs w:val="21"/>
                <w:highlight w:val="none"/>
                <w:lang w:eastAsia="zh-CN"/>
                <w14:textFill>
                  <w14:solidFill>
                    <w14:schemeClr w14:val="tx1"/>
                  </w14:solidFill>
                </w14:textFill>
              </w:rPr>
              <w:t>，否则响应文件按无效响应处理</w:t>
            </w:r>
            <w:r>
              <w:rPr>
                <w:rFonts w:hint="eastAsia" w:ascii="Times New Roman" w:hAnsi="Times New Roman" w:eastAsia="宋体" w:cs="宋体"/>
                <w:b/>
                <w:bCs/>
                <w:color w:val="000000" w:themeColor="text1"/>
                <w:sz w:val="21"/>
                <w:szCs w:val="21"/>
                <w:highlight w:val="none"/>
                <w14:textFill>
                  <w14:solidFill>
                    <w14:schemeClr w14:val="tx1"/>
                  </w14:solidFill>
                </w14:textFill>
              </w:rPr>
              <w:t>。</w:t>
            </w:r>
          </w:p>
          <w:p w14:paraId="05656A3D">
            <w:pPr>
              <w:keepNext w:val="0"/>
              <w:keepLines w:val="0"/>
              <w:pageBreakBefore w:val="0"/>
              <w:widowControl w:val="0"/>
              <w:kinsoku/>
              <w:wordWrap/>
              <w:overflowPunct/>
              <w:topLinePunct w:val="0"/>
              <w:autoSpaceDE/>
              <w:autoSpaceDN/>
              <w:bidi w:val="0"/>
              <w:adjustRightInd/>
              <w:snapToGrid w:val="0"/>
              <w:spacing w:line="390" w:lineRule="exact"/>
              <w:jc w:val="both"/>
              <w:textAlignment w:val="auto"/>
              <w:rPr>
                <w:rFonts w:hint="eastAsia" w:ascii="Times New Roman" w:hAnsi="Times New Roman" w:eastAsia="宋体" w:cs="宋体"/>
                <w:color w:val="000000" w:themeColor="text1"/>
                <w:sz w:val="21"/>
                <w:szCs w:val="21"/>
                <w:highlight w:val="none"/>
                <w14:textFill>
                  <w14:solidFill>
                    <w14:schemeClr w14:val="tx1"/>
                  </w14:solidFill>
                </w14:textFill>
              </w:rPr>
            </w:pPr>
            <w:r>
              <w:rPr>
                <w:rFonts w:hint="eastAsia" w:cs="宋体"/>
                <w:color w:val="000000" w:themeColor="text1"/>
                <w:sz w:val="21"/>
                <w:szCs w:val="21"/>
                <w:highlight w:val="none"/>
                <w:lang w:eastAsia="zh-CN"/>
                <w14:textFill>
                  <w14:solidFill>
                    <w14:schemeClr w14:val="tx1"/>
                  </w14:solidFill>
                </w14:textFill>
              </w:rPr>
              <w:t>（</w:t>
            </w:r>
            <w:r>
              <w:rPr>
                <w:rFonts w:hint="eastAsia" w:cs="宋体"/>
                <w:color w:val="000000" w:themeColor="text1"/>
                <w:sz w:val="21"/>
                <w:szCs w:val="21"/>
                <w:highlight w:val="none"/>
                <w:lang w:val="en-US" w:eastAsia="zh-CN"/>
                <w14:textFill>
                  <w14:solidFill>
                    <w14:schemeClr w14:val="tx1"/>
                  </w14:solidFill>
                </w14:textFill>
              </w:rPr>
              <w:t>10</w:t>
            </w:r>
            <w:r>
              <w:rPr>
                <w:rFonts w:hint="eastAsia" w:cs="宋体"/>
                <w:color w:val="000000" w:themeColor="text1"/>
                <w:sz w:val="21"/>
                <w:szCs w:val="21"/>
                <w:highlight w:val="none"/>
                <w:lang w:eastAsia="zh-CN"/>
                <w14:textFill>
                  <w14:solidFill>
                    <w14:schemeClr w14:val="tx1"/>
                  </w14:solidFill>
                </w14:textFill>
              </w:rPr>
              <w:t>）</w:t>
            </w:r>
            <w:r>
              <w:rPr>
                <w:rFonts w:hint="eastAsia" w:ascii="Times New Roman" w:hAnsi="Times New Roman" w:eastAsia="宋体" w:cs="宋体"/>
                <w:color w:val="000000" w:themeColor="text1"/>
                <w:sz w:val="21"/>
                <w:szCs w:val="21"/>
                <w:highlight w:val="none"/>
                <w14:textFill>
                  <w14:solidFill>
                    <w14:schemeClr w14:val="tx1"/>
                  </w14:solidFill>
                </w14:textFill>
              </w:rPr>
              <w:t>供应商应按《允许调整主要材料和工程设备一览表》的内容填报，不得擅自调整材料和设备名称型号</w:t>
            </w:r>
            <w:r>
              <w:rPr>
                <w:rFonts w:hint="eastAsia" w:cs="宋体"/>
                <w:color w:val="000000" w:themeColor="text1"/>
                <w:sz w:val="21"/>
                <w:szCs w:val="21"/>
                <w:highlight w:val="none"/>
                <w:lang w:eastAsia="zh-CN"/>
                <w14:textFill>
                  <w14:solidFill>
                    <w14:schemeClr w14:val="tx1"/>
                  </w14:solidFill>
                </w14:textFill>
              </w:rPr>
              <w:t>、</w:t>
            </w:r>
            <w:r>
              <w:rPr>
                <w:rFonts w:hint="eastAsia" w:ascii="Times New Roman" w:hAnsi="Times New Roman" w:eastAsia="宋体" w:cs="宋体"/>
                <w:color w:val="000000" w:themeColor="text1"/>
                <w:sz w:val="21"/>
                <w:szCs w:val="21"/>
                <w:highlight w:val="none"/>
                <w14:textFill>
                  <w14:solidFill>
                    <w14:schemeClr w14:val="tx1"/>
                  </w14:solidFill>
                </w14:textFill>
              </w:rPr>
              <w:t>规格、</w:t>
            </w:r>
            <w:r>
              <w:rPr>
                <w:rFonts w:hint="eastAsia" w:cs="宋体"/>
                <w:color w:val="000000" w:themeColor="text1"/>
                <w:sz w:val="21"/>
                <w:szCs w:val="21"/>
                <w:highlight w:val="none"/>
                <w:lang w:eastAsia="zh-CN"/>
                <w14:textFill>
                  <w14:solidFill>
                    <w14:schemeClr w14:val="tx1"/>
                  </w14:solidFill>
                </w14:textFill>
              </w:rPr>
              <w:t>现行价格指数</w:t>
            </w:r>
            <w:r>
              <w:rPr>
                <w:rFonts w:hint="eastAsia" w:ascii="Times New Roman" w:hAnsi="Times New Roman" w:eastAsia="宋体" w:cs="宋体"/>
                <w:color w:val="000000" w:themeColor="text1"/>
                <w:sz w:val="21"/>
                <w:szCs w:val="21"/>
                <w:highlight w:val="none"/>
                <w14:textFill>
                  <w14:solidFill>
                    <w14:schemeClr w14:val="tx1"/>
                  </w14:solidFill>
                </w14:textFill>
              </w:rPr>
              <w:t>。</w:t>
            </w:r>
          </w:p>
          <w:p w14:paraId="6A8F0FAB">
            <w:pPr>
              <w:keepNext w:val="0"/>
              <w:keepLines w:val="0"/>
              <w:pageBreakBefore w:val="0"/>
              <w:widowControl w:val="0"/>
              <w:kinsoku/>
              <w:wordWrap/>
              <w:overflowPunct/>
              <w:topLinePunct w:val="0"/>
              <w:autoSpaceDE/>
              <w:autoSpaceDN/>
              <w:bidi w:val="0"/>
              <w:adjustRightInd/>
              <w:snapToGrid w:val="0"/>
              <w:spacing w:line="390" w:lineRule="exact"/>
              <w:jc w:val="both"/>
              <w:textAlignment w:val="auto"/>
              <w:rPr>
                <w:rFonts w:hint="eastAsia" w:ascii="Times New Roman" w:hAnsi="Times New Roman" w:eastAsia="宋体" w:cs="宋体"/>
                <w:color w:val="000000" w:themeColor="text1"/>
                <w:sz w:val="21"/>
                <w:szCs w:val="21"/>
                <w:highlight w:val="none"/>
                <w14:textFill>
                  <w14:solidFill>
                    <w14:schemeClr w14:val="tx1"/>
                  </w14:solidFill>
                </w14:textFill>
              </w:rPr>
            </w:pPr>
            <w:r>
              <w:rPr>
                <w:rFonts w:hint="eastAsia" w:cs="宋体"/>
                <w:color w:val="000000" w:themeColor="text1"/>
                <w:sz w:val="21"/>
                <w:szCs w:val="21"/>
                <w:highlight w:val="none"/>
                <w:lang w:eastAsia="zh-CN"/>
                <w14:textFill>
                  <w14:solidFill>
                    <w14:schemeClr w14:val="tx1"/>
                  </w14:solidFill>
                </w14:textFill>
              </w:rPr>
              <w:t>（</w:t>
            </w:r>
            <w:r>
              <w:rPr>
                <w:rFonts w:hint="eastAsia" w:cs="宋体"/>
                <w:color w:val="000000" w:themeColor="text1"/>
                <w:sz w:val="21"/>
                <w:szCs w:val="21"/>
                <w:highlight w:val="none"/>
                <w:lang w:val="en-US" w:eastAsia="zh-CN"/>
                <w14:textFill>
                  <w14:solidFill>
                    <w14:schemeClr w14:val="tx1"/>
                  </w14:solidFill>
                </w14:textFill>
              </w:rPr>
              <w:t>11</w:t>
            </w:r>
            <w:r>
              <w:rPr>
                <w:rFonts w:hint="eastAsia" w:cs="宋体"/>
                <w:color w:val="000000" w:themeColor="text1"/>
                <w:sz w:val="21"/>
                <w:szCs w:val="21"/>
                <w:highlight w:val="none"/>
                <w:lang w:eastAsia="zh-CN"/>
                <w14:textFill>
                  <w14:solidFill>
                    <w14:schemeClr w14:val="tx1"/>
                  </w14:solidFill>
                </w14:textFill>
              </w:rPr>
              <w:t>）</w:t>
            </w:r>
            <w:r>
              <w:rPr>
                <w:rFonts w:hint="eastAsia" w:ascii="Times New Roman" w:hAnsi="Times New Roman" w:eastAsia="宋体" w:cs="宋体"/>
                <w:color w:val="000000" w:themeColor="text1"/>
                <w:sz w:val="21"/>
                <w:szCs w:val="21"/>
                <w:highlight w:val="none"/>
                <w14:textFill>
                  <w14:solidFill>
                    <w14:schemeClr w14:val="tx1"/>
                  </w14:solidFill>
                </w14:textFill>
              </w:rPr>
              <w:t>未尽事宜详见本项目工程量清单、招标控制价编制说明以及现行《计价规范》等有关规定执行。</w:t>
            </w:r>
          </w:p>
          <w:p w14:paraId="3BDEE48C">
            <w:pPr>
              <w:keepNext w:val="0"/>
              <w:keepLines w:val="0"/>
              <w:pageBreakBefore w:val="0"/>
              <w:numPr>
                <w:ilvl w:val="0"/>
                <w:numId w:val="0"/>
              </w:numPr>
              <w:kinsoku/>
              <w:wordWrap/>
              <w:overflowPunct/>
              <w:topLinePunct w:val="0"/>
              <w:bidi w:val="0"/>
              <w:adjustRightInd/>
              <w:snapToGrid w:val="0"/>
              <w:spacing w:line="390" w:lineRule="exact"/>
              <w:jc w:val="both"/>
              <w:rPr>
                <w:rFonts w:hint="eastAsia" w:ascii="Times New Roman" w:hAnsi="Times New Roman" w:cs="宋体"/>
                <w:color w:val="000000" w:themeColor="text1"/>
                <w:sz w:val="21"/>
                <w:szCs w:val="21"/>
                <w:lang w:eastAsia="zh-CN"/>
                <w14:textFill>
                  <w14:solidFill>
                    <w14:schemeClr w14:val="tx1"/>
                  </w14:solidFill>
                </w14:textFill>
              </w:rPr>
            </w:pPr>
            <w:r>
              <w:rPr>
                <w:rFonts w:hint="eastAsia" w:cs="宋体"/>
                <w:color w:val="000000" w:themeColor="text1"/>
                <w:sz w:val="21"/>
                <w:szCs w:val="21"/>
                <w:lang w:val="en-US" w:eastAsia="zh-CN"/>
                <w14:textFill>
                  <w14:solidFill>
                    <w14:schemeClr w14:val="tx1"/>
                  </w14:solidFill>
                </w14:textFill>
              </w:rPr>
              <w:t>4.</w:t>
            </w:r>
            <w:r>
              <w:rPr>
                <w:rFonts w:hint="eastAsia" w:ascii="Times New Roman" w:hAnsi="Times New Roman" w:cs="宋体"/>
                <w:color w:val="000000" w:themeColor="text1"/>
                <w:sz w:val="21"/>
                <w:szCs w:val="21"/>
                <w:lang w:val="en-US" w:eastAsia="zh-CN"/>
                <w14:textFill>
                  <w14:solidFill>
                    <w14:schemeClr w14:val="tx1"/>
                  </w14:solidFill>
                </w14:textFill>
              </w:rPr>
              <w:t>供应商</w:t>
            </w:r>
            <w:r>
              <w:rPr>
                <w:rFonts w:hint="eastAsia" w:ascii="Times New Roman" w:hAnsi="Times New Roman" w:cs="宋体"/>
                <w:color w:val="000000" w:themeColor="text1"/>
                <w:sz w:val="21"/>
                <w:szCs w:val="21"/>
                <w14:textFill>
                  <w14:solidFill>
                    <w14:schemeClr w14:val="tx1"/>
                  </w14:solidFill>
                </w14:textFill>
              </w:rPr>
              <w:t>已标价工程量清单的项目名称或项目特征与招标工程量清单不一致，评标委员会要求澄清、说明或补正，但</w:t>
            </w:r>
            <w:r>
              <w:rPr>
                <w:rFonts w:hint="eastAsia" w:ascii="Times New Roman" w:hAnsi="Times New Roman" w:cs="宋体"/>
                <w:color w:val="000000" w:themeColor="text1"/>
                <w:sz w:val="21"/>
                <w:szCs w:val="21"/>
                <w:lang w:val="en-US" w:eastAsia="zh-CN"/>
                <w14:textFill>
                  <w14:solidFill>
                    <w14:schemeClr w14:val="tx1"/>
                  </w14:solidFill>
                </w14:textFill>
              </w:rPr>
              <w:t>供应商</w:t>
            </w:r>
            <w:r>
              <w:rPr>
                <w:rFonts w:hint="eastAsia" w:ascii="Times New Roman" w:hAnsi="Times New Roman" w:cs="宋体"/>
                <w:color w:val="000000" w:themeColor="text1"/>
                <w:sz w:val="21"/>
                <w:szCs w:val="21"/>
                <w14:textFill>
                  <w14:solidFill>
                    <w14:schemeClr w14:val="tx1"/>
                  </w14:solidFill>
                </w14:textFill>
              </w:rPr>
              <w:t>拒绝澄清、说明或补正的</w:t>
            </w:r>
            <w:r>
              <w:rPr>
                <w:rFonts w:hint="eastAsia" w:ascii="Times New Roman" w:hAnsi="Times New Roman" w:cs="宋体"/>
                <w:color w:val="000000" w:themeColor="text1"/>
                <w:sz w:val="21"/>
                <w:szCs w:val="21"/>
                <w:lang w:eastAsia="zh-CN"/>
                <w14:textFill>
                  <w14:solidFill>
                    <w14:schemeClr w14:val="tx1"/>
                  </w14:solidFill>
                </w14:textFill>
              </w:rPr>
              <w:t>，</w:t>
            </w:r>
            <w:r>
              <w:rPr>
                <w:rFonts w:hint="eastAsia" w:ascii="Times New Roman" w:hAnsi="Times New Roman" w:cs="宋体"/>
                <w:b/>
                <w:bCs/>
                <w:color w:val="000000" w:themeColor="text1"/>
                <w:sz w:val="21"/>
                <w:szCs w:val="21"/>
                <w:lang w:eastAsia="zh-CN"/>
                <w14:textFill>
                  <w14:solidFill>
                    <w14:schemeClr w14:val="tx1"/>
                  </w14:solidFill>
                </w14:textFill>
              </w:rPr>
              <w:t>响应文件按无效响应处理。</w:t>
            </w:r>
          </w:p>
          <w:p w14:paraId="6FAE64D4">
            <w:pPr>
              <w:keepNext w:val="0"/>
              <w:keepLines w:val="0"/>
              <w:pageBreakBefore w:val="0"/>
              <w:numPr>
                <w:ilvl w:val="0"/>
                <w:numId w:val="0"/>
              </w:numPr>
              <w:kinsoku/>
              <w:wordWrap/>
              <w:overflowPunct/>
              <w:topLinePunct w:val="0"/>
              <w:bidi w:val="0"/>
              <w:adjustRightInd/>
              <w:snapToGrid w:val="0"/>
              <w:spacing w:line="390" w:lineRule="exact"/>
              <w:jc w:val="both"/>
              <w:rPr>
                <w:rFonts w:hint="eastAsia" w:ascii="Times New Roman" w:hAnsi="Times New Roman" w:eastAsia="宋体" w:cs="宋体"/>
                <w:b/>
                <w:bCs/>
                <w:color w:val="000000" w:themeColor="text1"/>
                <w:sz w:val="21"/>
                <w:szCs w:val="21"/>
                <w:lang w:val="en-US" w:eastAsia="zh-CN"/>
                <w14:textFill>
                  <w14:solidFill>
                    <w14:schemeClr w14:val="tx1"/>
                  </w14:solidFill>
                </w14:textFill>
              </w:rPr>
            </w:pPr>
            <w:r>
              <w:rPr>
                <w:rFonts w:hint="eastAsia" w:cs="宋体"/>
                <w:color w:val="000000" w:themeColor="text1"/>
                <w:sz w:val="21"/>
                <w:szCs w:val="21"/>
                <w:lang w:val="en-US" w:eastAsia="zh-CN"/>
                <w14:textFill>
                  <w14:solidFill>
                    <w14:schemeClr w14:val="tx1"/>
                  </w14:solidFill>
                </w14:textFill>
              </w:rPr>
              <w:t>5.</w:t>
            </w:r>
            <w:r>
              <w:rPr>
                <w:rFonts w:hint="eastAsia" w:ascii="Times New Roman" w:hAnsi="Times New Roman" w:cs="宋体"/>
                <w:color w:val="000000" w:themeColor="text1"/>
                <w:sz w:val="21"/>
                <w:szCs w:val="21"/>
                <w:lang w:val="en-US" w:eastAsia="zh-CN"/>
                <w14:textFill>
                  <w14:solidFill>
                    <w14:schemeClr w14:val="tx1"/>
                  </w14:solidFill>
                </w14:textFill>
              </w:rPr>
              <w:t>响应报价表</w:t>
            </w:r>
            <w:r>
              <w:rPr>
                <w:rFonts w:hint="eastAsia" w:ascii="Times New Roman" w:hAnsi="Times New Roman" w:cs="宋体"/>
                <w:color w:val="000000" w:themeColor="text1"/>
                <w:sz w:val="21"/>
                <w:szCs w:val="21"/>
                <w14:textFill>
                  <w14:solidFill>
                    <w14:schemeClr w14:val="tx1"/>
                  </w14:solidFill>
                </w14:textFill>
              </w:rPr>
              <w:t>中的报价与已标价的工程量清单汇总表不一致的</w:t>
            </w:r>
            <w:r>
              <w:rPr>
                <w:rFonts w:hint="eastAsia" w:ascii="Times New Roman" w:hAnsi="Times New Roman" w:cs="宋体"/>
                <w:color w:val="000000" w:themeColor="text1"/>
                <w:sz w:val="21"/>
                <w:szCs w:val="21"/>
                <w:lang w:eastAsia="zh-CN"/>
                <w14:textFill>
                  <w14:solidFill>
                    <w14:schemeClr w14:val="tx1"/>
                  </w14:solidFill>
                </w14:textFill>
              </w:rPr>
              <w:t>，</w:t>
            </w:r>
            <w:r>
              <w:rPr>
                <w:rFonts w:hint="eastAsia" w:ascii="Times New Roman" w:hAnsi="Times New Roman" w:cs="宋体"/>
                <w:b/>
                <w:bCs/>
                <w:color w:val="000000" w:themeColor="text1"/>
                <w:sz w:val="21"/>
                <w:szCs w:val="21"/>
                <w:lang w:eastAsia="zh-CN"/>
                <w14:textFill>
                  <w14:solidFill>
                    <w14:schemeClr w14:val="tx1"/>
                  </w14:solidFill>
                </w14:textFill>
              </w:rPr>
              <w:t>响应文件按无效响应处理。</w:t>
            </w:r>
          </w:p>
          <w:p w14:paraId="10A58B34">
            <w:pPr>
              <w:keepNext w:val="0"/>
              <w:keepLines w:val="0"/>
              <w:pageBreakBefore w:val="0"/>
              <w:widowControl/>
              <w:numPr>
                <w:ilvl w:val="0"/>
                <w:numId w:val="0"/>
              </w:numPr>
              <w:kinsoku/>
              <w:wordWrap/>
              <w:overflowPunct/>
              <w:topLinePunct w:val="0"/>
              <w:autoSpaceDE/>
              <w:autoSpaceDN/>
              <w:bidi w:val="0"/>
              <w:adjustRightInd/>
              <w:snapToGrid w:val="0"/>
              <w:spacing w:line="390" w:lineRule="exact"/>
              <w:jc w:val="both"/>
              <w:textAlignment w:val="auto"/>
              <w:rPr>
                <w:rFonts w:hint="eastAsia" w:ascii="Times New Roman" w:hAnsi="Times New Roman" w:eastAsia="宋体" w:cs="宋体"/>
                <w:b/>
                <w:bCs/>
                <w:color w:val="000000" w:themeColor="text1"/>
                <w:sz w:val="21"/>
                <w:szCs w:val="21"/>
                <w:highlight w:val="none"/>
                <w14:textFill>
                  <w14:solidFill>
                    <w14:schemeClr w14:val="tx1"/>
                  </w14:solidFill>
                </w14:textFill>
              </w:rPr>
            </w:pPr>
            <w:r>
              <w:rPr>
                <w:rFonts w:hint="eastAsia" w:cs="宋体"/>
                <w:color w:val="000000" w:themeColor="text1"/>
                <w:sz w:val="21"/>
                <w:szCs w:val="21"/>
                <w:lang w:val="en-US" w:eastAsia="zh-CN"/>
                <w14:textFill>
                  <w14:solidFill>
                    <w14:schemeClr w14:val="tx1"/>
                  </w14:solidFill>
                </w14:textFill>
              </w:rPr>
              <w:t>6.</w:t>
            </w:r>
            <w:r>
              <w:rPr>
                <w:rFonts w:hint="eastAsia" w:ascii="Times New Roman" w:hAnsi="Times New Roman" w:cs="宋体"/>
                <w:color w:val="000000" w:themeColor="text1"/>
                <w:sz w:val="21"/>
                <w:szCs w:val="21"/>
                <w14:textFill>
                  <w14:solidFill>
                    <w14:schemeClr w14:val="tx1"/>
                  </w14:solidFill>
                </w14:textFill>
              </w:rPr>
              <w:t>在单价合同工程中</w:t>
            </w:r>
            <w:r>
              <w:rPr>
                <w:rFonts w:hint="eastAsia" w:ascii="Times New Roman" w:hAnsi="Times New Roman" w:cs="宋体"/>
                <w:color w:val="000000" w:themeColor="text1"/>
                <w:sz w:val="21"/>
                <w:szCs w:val="21"/>
                <w:lang w:val="en-US" w:eastAsia="zh-CN"/>
                <w14:textFill>
                  <w14:solidFill>
                    <w14:schemeClr w14:val="tx1"/>
                  </w14:solidFill>
                </w14:textFill>
              </w:rPr>
              <w:t>供应商</w:t>
            </w:r>
            <w:r>
              <w:rPr>
                <w:rFonts w:hint="eastAsia" w:ascii="Times New Roman" w:hAnsi="Times New Roman" w:cs="宋体"/>
                <w:color w:val="000000" w:themeColor="text1"/>
                <w:sz w:val="21"/>
                <w:szCs w:val="21"/>
                <w14:textFill>
                  <w14:solidFill>
                    <w14:schemeClr w14:val="tx1"/>
                  </w14:solidFill>
                </w14:textFill>
              </w:rPr>
              <w:t>采用总价优惠或以总价百分比优惠的方式进行</w:t>
            </w:r>
            <w:r>
              <w:rPr>
                <w:rFonts w:hint="eastAsia" w:ascii="Times New Roman" w:hAnsi="Times New Roman" w:cs="宋体"/>
                <w:color w:val="000000" w:themeColor="text1"/>
                <w:sz w:val="21"/>
                <w:szCs w:val="21"/>
                <w:lang w:val="en-US" w:eastAsia="zh-CN"/>
                <w14:textFill>
                  <w14:solidFill>
                    <w14:schemeClr w14:val="tx1"/>
                  </w14:solidFill>
                </w14:textFill>
              </w:rPr>
              <w:t>竞</w:t>
            </w:r>
            <w:r>
              <w:rPr>
                <w:rFonts w:hint="eastAsia" w:ascii="Times New Roman" w:hAnsi="Times New Roman" w:cs="宋体"/>
                <w:color w:val="000000" w:themeColor="text1"/>
                <w:sz w:val="21"/>
                <w:szCs w:val="21"/>
                <w14:textFill>
                  <w14:solidFill>
                    <w14:schemeClr w14:val="tx1"/>
                  </w14:solidFill>
                </w14:textFill>
              </w:rPr>
              <w:t>标报价的</w:t>
            </w:r>
            <w:r>
              <w:rPr>
                <w:rFonts w:hint="eastAsia" w:ascii="Times New Roman" w:hAnsi="Times New Roman" w:cs="宋体"/>
                <w:color w:val="000000" w:themeColor="text1"/>
                <w:sz w:val="21"/>
                <w:szCs w:val="21"/>
                <w:lang w:eastAsia="zh-CN"/>
                <w14:textFill>
                  <w14:solidFill>
                    <w14:schemeClr w14:val="tx1"/>
                  </w14:solidFill>
                </w14:textFill>
              </w:rPr>
              <w:t>，响应文件按无效响应处理。</w:t>
            </w:r>
          </w:p>
          <w:p w14:paraId="059F6B03">
            <w:pPr>
              <w:keepNext w:val="0"/>
              <w:keepLines w:val="0"/>
              <w:pageBreakBefore w:val="0"/>
              <w:widowControl/>
              <w:numPr>
                <w:ilvl w:val="0"/>
                <w:numId w:val="0"/>
              </w:numPr>
              <w:kinsoku/>
              <w:wordWrap/>
              <w:overflowPunct/>
              <w:topLinePunct w:val="0"/>
              <w:autoSpaceDE/>
              <w:autoSpaceDN/>
              <w:bidi w:val="0"/>
              <w:adjustRightInd/>
              <w:snapToGrid w:val="0"/>
              <w:spacing w:line="390" w:lineRule="exact"/>
              <w:jc w:val="both"/>
              <w:textAlignment w:val="auto"/>
              <w:rPr>
                <w:rFonts w:hint="eastAsia" w:ascii="Times New Roman" w:hAnsi="Times New Roman" w:eastAsia="宋体" w:cs="宋体"/>
                <w:b/>
                <w:bCs/>
                <w:color w:val="000000" w:themeColor="text1"/>
                <w:sz w:val="21"/>
                <w:szCs w:val="21"/>
                <w:highlight w:val="none"/>
                <w14:textFill>
                  <w14:solidFill>
                    <w14:schemeClr w14:val="tx1"/>
                  </w14:solidFill>
                </w14:textFill>
              </w:rPr>
            </w:pPr>
            <w:r>
              <w:rPr>
                <w:rFonts w:hint="eastAsia" w:cs="宋体"/>
                <w:b/>
                <w:bCs/>
                <w:color w:val="000000" w:themeColor="text1"/>
                <w:sz w:val="21"/>
                <w:szCs w:val="21"/>
                <w:highlight w:val="none"/>
                <w:lang w:val="en-US" w:eastAsia="zh-CN"/>
                <w14:textFill>
                  <w14:solidFill>
                    <w14:schemeClr w14:val="tx1"/>
                  </w14:solidFill>
                </w14:textFill>
              </w:rPr>
              <w:t>7.</w:t>
            </w:r>
            <w:r>
              <w:rPr>
                <w:rFonts w:hint="eastAsia" w:ascii="Times New Roman" w:hAnsi="Times New Roman" w:eastAsia="宋体" w:cs="宋体"/>
                <w:b/>
                <w:bCs/>
                <w:color w:val="000000" w:themeColor="text1"/>
                <w:sz w:val="21"/>
                <w:szCs w:val="21"/>
                <w:highlight w:val="none"/>
                <w14:textFill>
                  <w14:solidFill>
                    <w14:schemeClr w14:val="tx1"/>
                  </w14:solidFill>
                </w14:textFill>
              </w:rPr>
              <w:t>最后报价须</w:t>
            </w:r>
            <w:r>
              <w:rPr>
                <w:rFonts w:hint="eastAsia" w:ascii="Times New Roman" w:hAnsi="Times New Roman" w:eastAsia="宋体" w:cs="宋体"/>
                <w:b/>
                <w:bCs/>
                <w:color w:val="000000" w:themeColor="text1"/>
                <w:sz w:val="21"/>
                <w:szCs w:val="21"/>
                <w:highlight w:val="none"/>
                <w:lang w:eastAsia="zh-CN"/>
                <w14:textFill>
                  <w14:solidFill>
                    <w14:schemeClr w14:val="tx1"/>
                  </w14:solidFill>
                </w14:textFill>
              </w:rPr>
              <w:t>提供</w:t>
            </w:r>
            <w:r>
              <w:rPr>
                <w:rFonts w:hint="eastAsia" w:ascii="Times New Roman" w:hAnsi="Times New Roman" w:eastAsia="宋体" w:cs="宋体"/>
                <w:b/>
                <w:bCs/>
                <w:color w:val="000000" w:themeColor="text1"/>
                <w:sz w:val="21"/>
                <w:szCs w:val="21"/>
                <w:highlight w:val="none"/>
                <w14:textFill>
                  <w14:solidFill>
                    <w14:schemeClr w14:val="tx1"/>
                  </w14:solidFill>
                </w14:textFill>
              </w:rPr>
              <w:t>最后报价表，否则视同放弃报价权利退出磋商，最后报价不得以总价下浮的方式做最后报价，否则响应文件按无效响应处理。</w:t>
            </w:r>
          </w:p>
          <w:p w14:paraId="0BDCFA36">
            <w:pPr>
              <w:keepNext w:val="0"/>
              <w:keepLines w:val="0"/>
              <w:pageBreakBefore w:val="0"/>
              <w:widowControl w:val="0"/>
              <w:kinsoku/>
              <w:wordWrap/>
              <w:overflowPunct/>
              <w:topLinePunct w:val="0"/>
              <w:autoSpaceDE/>
              <w:autoSpaceDN/>
              <w:bidi w:val="0"/>
              <w:adjustRightInd/>
              <w:snapToGrid w:val="0"/>
              <w:spacing w:line="390" w:lineRule="exact"/>
              <w:jc w:val="both"/>
              <w:textAlignment w:val="auto"/>
              <w:rPr>
                <w:rFonts w:hint="eastAsia" w:ascii="Times New Roman" w:hAnsi="Times New Roman" w:eastAsia="宋体" w:cs="宋体"/>
                <w:b/>
                <w:bCs/>
                <w:color w:val="000000" w:themeColor="text1"/>
                <w:sz w:val="21"/>
                <w:szCs w:val="21"/>
                <w:highlight w:val="none"/>
                <w:lang w:val="zh-CN" w:eastAsia="zh-CN"/>
                <w14:textFill>
                  <w14:solidFill>
                    <w14:schemeClr w14:val="tx1"/>
                  </w14:solidFill>
                </w14:textFill>
              </w:rPr>
            </w:pPr>
            <w:r>
              <w:rPr>
                <w:rFonts w:hint="eastAsia" w:ascii="Times New Roman" w:hAnsi="Times New Roman" w:eastAsia="宋体" w:cs="宋体"/>
                <w:b/>
                <w:bCs/>
                <w:color w:val="000000" w:themeColor="text1"/>
                <w:sz w:val="21"/>
                <w:szCs w:val="21"/>
                <w:highlight w:val="none"/>
                <w14:textFill>
                  <w14:solidFill>
                    <w14:schemeClr w14:val="tx1"/>
                  </w14:solidFill>
                </w14:textFill>
              </w:rPr>
              <w:t>重要提示：最后报价有时间限制，供应商</w:t>
            </w:r>
            <w:r>
              <w:rPr>
                <w:rFonts w:hint="eastAsia" w:ascii="Times New Roman" w:hAnsi="Times New Roman" w:eastAsia="宋体" w:cs="宋体"/>
                <w:b/>
                <w:bCs/>
                <w:color w:val="000000" w:themeColor="text1"/>
                <w:sz w:val="21"/>
                <w:szCs w:val="21"/>
                <w:highlight w:val="none"/>
                <w:lang w:eastAsia="zh-CN"/>
                <w14:textFill>
                  <w14:solidFill>
                    <w14:schemeClr w14:val="tx1"/>
                  </w14:solidFill>
                </w14:textFill>
              </w:rPr>
              <w:t>可</w:t>
            </w:r>
            <w:r>
              <w:rPr>
                <w:rFonts w:hint="eastAsia" w:ascii="Times New Roman" w:hAnsi="Times New Roman" w:eastAsia="宋体" w:cs="宋体"/>
                <w:b/>
                <w:bCs/>
                <w:color w:val="000000" w:themeColor="text1"/>
                <w:sz w:val="21"/>
                <w:szCs w:val="21"/>
                <w:highlight w:val="none"/>
                <w14:textFill>
                  <w14:solidFill>
                    <w14:schemeClr w14:val="tx1"/>
                  </w14:solidFill>
                </w14:textFill>
              </w:rPr>
              <w:t>按竞争性磋商文件</w:t>
            </w:r>
            <w:r>
              <w:rPr>
                <w:rFonts w:hint="eastAsia" w:ascii="Times New Roman" w:hAnsi="Times New Roman" w:eastAsia="宋体" w:cs="宋体"/>
                <w:b/>
                <w:bCs/>
                <w:color w:val="000000" w:themeColor="text1"/>
                <w:sz w:val="21"/>
                <w:szCs w:val="21"/>
                <w:highlight w:val="none"/>
                <w:lang w:eastAsia="zh-CN"/>
                <w14:textFill>
                  <w14:solidFill>
                    <w14:schemeClr w14:val="tx1"/>
                  </w14:solidFill>
                </w14:textFill>
              </w:rPr>
              <w:t>“</w:t>
            </w:r>
            <w:r>
              <w:rPr>
                <w:rFonts w:hint="eastAsia" w:ascii="Times New Roman" w:hAnsi="Times New Roman" w:eastAsia="宋体" w:cs="宋体"/>
                <w:b/>
                <w:bCs/>
                <w:color w:val="000000" w:themeColor="text1"/>
                <w:sz w:val="21"/>
                <w:szCs w:val="21"/>
                <w:highlight w:val="none"/>
                <w14:textFill>
                  <w14:solidFill>
                    <w14:schemeClr w14:val="tx1"/>
                  </w14:solidFill>
                </w14:textFill>
              </w:rPr>
              <w:t>第五章 响应文件格式</w:t>
            </w:r>
            <w:r>
              <w:rPr>
                <w:rFonts w:hint="eastAsia" w:ascii="Times New Roman" w:hAnsi="Times New Roman" w:eastAsia="宋体" w:cs="宋体"/>
                <w:b/>
                <w:bCs/>
                <w:color w:val="000000" w:themeColor="text1"/>
                <w:sz w:val="21"/>
                <w:szCs w:val="21"/>
                <w:highlight w:val="none"/>
                <w:lang w:eastAsia="zh-CN"/>
                <w14:textFill>
                  <w14:solidFill>
                    <w14:schemeClr w14:val="tx1"/>
                  </w14:solidFill>
                </w14:textFill>
              </w:rPr>
              <w:t>”</w:t>
            </w:r>
            <w:r>
              <w:rPr>
                <w:rFonts w:hint="eastAsia" w:cs="宋体"/>
                <w:b/>
                <w:bCs/>
                <w:color w:val="000000" w:themeColor="text1"/>
                <w:sz w:val="21"/>
                <w:szCs w:val="21"/>
                <w:highlight w:val="none"/>
                <w:lang w:eastAsia="zh-CN"/>
                <w14:textFill>
                  <w14:solidFill>
                    <w14:schemeClr w14:val="tx1"/>
                  </w14:solidFill>
                </w14:textFill>
              </w:rPr>
              <w:t>中“最后报价表”的格式</w:t>
            </w:r>
            <w:r>
              <w:rPr>
                <w:rFonts w:hint="eastAsia" w:ascii="Times New Roman" w:hAnsi="Times New Roman" w:eastAsia="宋体" w:cs="宋体"/>
                <w:b/>
                <w:bCs/>
                <w:color w:val="000000" w:themeColor="text1"/>
                <w:sz w:val="21"/>
                <w:szCs w:val="21"/>
                <w:highlight w:val="none"/>
                <w14:textFill>
                  <w14:solidFill>
                    <w14:schemeClr w14:val="tx1"/>
                  </w14:solidFill>
                </w14:textFill>
              </w:rPr>
              <w:t>提前准备最后报价表（如</w:t>
            </w:r>
            <w:r>
              <w:rPr>
                <w:rFonts w:hint="eastAsia" w:cs="宋体"/>
                <w:b/>
                <w:bCs/>
                <w:color w:val="000000" w:themeColor="text1"/>
                <w:sz w:val="21"/>
                <w:szCs w:val="21"/>
                <w:highlight w:val="none"/>
                <w:lang w:eastAsia="zh-CN"/>
                <w14:textFill>
                  <w14:solidFill>
                    <w14:schemeClr w14:val="tx1"/>
                  </w14:solidFill>
                </w14:textFill>
              </w:rPr>
              <w:t>供应商</w:t>
            </w:r>
            <w:r>
              <w:rPr>
                <w:rFonts w:hint="eastAsia" w:ascii="Times New Roman" w:hAnsi="Times New Roman" w:eastAsia="宋体" w:cs="宋体"/>
                <w:b/>
                <w:bCs/>
                <w:color w:val="000000" w:themeColor="text1"/>
                <w:sz w:val="21"/>
                <w:szCs w:val="21"/>
                <w:highlight w:val="none"/>
                <w14:textFill>
                  <w14:solidFill>
                    <w14:schemeClr w14:val="tx1"/>
                  </w14:solidFill>
                </w14:textFill>
              </w:rPr>
              <w:t>最后报价与首次报价不一致的，</w:t>
            </w:r>
            <w:r>
              <w:rPr>
                <w:rFonts w:hint="eastAsia" w:cs="宋体"/>
                <w:b/>
                <w:bCs/>
                <w:color w:val="000000" w:themeColor="text1"/>
                <w:sz w:val="21"/>
                <w:szCs w:val="21"/>
                <w:highlight w:val="none"/>
                <w:lang w:eastAsia="zh-CN"/>
                <w14:textFill>
                  <w14:solidFill>
                    <w14:schemeClr w14:val="tx1"/>
                  </w14:solidFill>
                </w14:textFill>
              </w:rPr>
              <w:t>须附与最后报价相对应的“</w:t>
            </w:r>
            <w:r>
              <w:rPr>
                <w:rFonts w:hint="eastAsia" w:ascii="Times New Roman" w:hAnsi="Times New Roman" w:eastAsia="宋体" w:cs="宋体"/>
                <w:b/>
                <w:bCs/>
                <w:color w:val="000000" w:themeColor="text1"/>
                <w:sz w:val="21"/>
                <w:szCs w:val="21"/>
                <w:highlight w:val="none"/>
                <w14:textFill>
                  <w14:solidFill>
                    <w14:schemeClr w14:val="tx1"/>
                  </w14:solidFill>
                </w14:textFill>
              </w:rPr>
              <w:t>已标价工程量清单</w:t>
            </w:r>
            <w:r>
              <w:rPr>
                <w:rFonts w:hint="eastAsia" w:cs="宋体"/>
                <w:b/>
                <w:bCs/>
                <w:color w:val="000000" w:themeColor="text1"/>
                <w:sz w:val="21"/>
                <w:szCs w:val="21"/>
                <w:highlight w:val="none"/>
                <w:lang w:eastAsia="zh-CN"/>
                <w14:textFill>
                  <w14:solidFill>
                    <w14:schemeClr w14:val="tx1"/>
                  </w14:solidFill>
                </w14:textFill>
              </w:rPr>
              <w:t>”，否则其响应按无效响应处理</w:t>
            </w:r>
            <w:r>
              <w:rPr>
                <w:rFonts w:hint="eastAsia" w:ascii="Times New Roman" w:hAnsi="Times New Roman" w:eastAsia="宋体" w:cs="宋体"/>
                <w:b/>
                <w:bCs/>
                <w:color w:val="000000" w:themeColor="text1"/>
                <w:sz w:val="21"/>
                <w:szCs w:val="21"/>
                <w:highlight w:val="none"/>
                <w14:textFill>
                  <w14:solidFill>
                    <w14:schemeClr w14:val="tx1"/>
                  </w14:solidFill>
                </w14:textFill>
              </w:rPr>
              <w:t>）并按时提交，以免耽误最后报价</w:t>
            </w:r>
            <w:r>
              <w:rPr>
                <w:rFonts w:hint="eastAsia" w:cs="宋体"/>
                <w:b/>
                <w:bCs/>
                <w:color w:val="000000" w:themeColor="text1"/>
                <w:sz w:val="21"/>
                <w:szCs w:val="21"/>
                <w:highlight w:val="none"/>
                <w:lang w:eastAsia="zh-CN"/>
                <w14:textFill>
                  <w14:solidFill>
                    <w14:schemeClr w14:val="tx1"/>
                  </w14:solidFill>
                </w14:textFill>
              </w:rPr>
              <w:t>。</w:t>
            </w:r>
          </w:p>
        </w:tc>
      </w:tr>
      <w:tr w14:paraId="4C93B4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963" w:type="dxa"/>
            <w:noWrap w:val="0"/>
            <w:vAlign w:val="center"/>
          </w:tcPr>
          <w:p w14:paraId="32F61A9C">
            <w:pPr>
              <w:keepNext w:val="0"/>
              <w:keepLines w:val="0"/>
              <w:pageBreakBefore w:val="0"/>
              <w:widowControl w:val="0"/>
              <w:kinsoku/>
              <w:wordWrap/>
              <w:overflowPunct/>
              <w:topLinePunct w:val="0"/>
              <w:bidi w:val="0"/>
              <w:adjustRightInd/>
              <w:spacing w:line="390" w:lineRule="exact"/>
              <w:jc w:val="center"/>
              <w:rPr>
                <w:rFonts w:hint="eastAsia" w:ascii="Times New Roman" w:hAnsi="Times New Roman" w:eastAsia="宋体" w:cs="宋体"/>
                <w:color w:val="000000" w:themeColor="text1"/>
                <w:sz w:val="21"/>
                <w:szCs w:val="21"/>
                <w:highlight w:val="none"/>
                <w14:textFill>
                  <w14:solidFill>
                    <w14:schemeClr w14:val="tx1"/>
                  </w14:solidFill>
                </w14:textFill>
              </w:rPr>
            </w:pPr>
            <w:r>
              <w:rPr>
                <w:rFonts w:hint="eastAsia" w:ascii="Times New Roman" w:hAnsi="Times New Roman" w:eastAsia="宋体" w:cs="宋体"/>
                <w:color w:val="000000" w:themeColor="text1"/>
                <w:sz w:val="21"/>
                <w:szCs w:val="21"/>
                <w:highlight w:val="none"/>
                <w14:textFill>
                  <w14:solidFill>
                    <w14:schemeClr w14:val="tx1"/>
                  </w14:solidFill>
                </w14:textFill>
              </w:rPr>
              <w:t>16.2</w:t>
            </w:r>
          </w:p>
        </w:tc>
        <w:tc>
          <w:tcPr>
            <w:tcW w:w="2321" w:type="dxa"/>
            <w:noWrap w:val="0"/>
            <w:vAlign w:val="center"/>
          </w:tcPr>
          <w:p w14:paraId="798667D8">
            <w:pPr>
              <w:keepNext w:val="0"/>
              <w:keepLines w:val="0"/>
              <w:pageBreakBefore w:val="0"/>
              <w:widowControl w:val="0"/>
              <w:kinsoku/>
              <w:wordWrap/>
              <w:overflowPunct/>
              <w:topLinePunct w:val="0"/>
              <w:bidi w:val="0"/>
              <w:adjustRightInd/>
              <w:spacing w:line="390" w:lineRule="exact"/>
              <w:jc w:val="center"/>
              <w:rPr>
                <w:rFonts w:hint="eastAsia" w:ascii="Times New Roman" w:hAnsi="Times New Roman" w:eastAsia="宋体" w:cs="宋体"/>
                <w:b w:val="0"/>
                <w:bCs/>
                <w:color w:val="000000" w:themeColor="text1"/>
                <w:sz w:val="21"/>
                <w:szCs w:val="21"/>
                <w:highlight w:val="none"/>
                <w14:textFill>
                  <w14:solidFill>
                    <w14:schemeClr w14:val="tx1"/>
                  </w14:solidFill>
                </w14:textFill>
              </w:rPr>
            </w:pPr>
            <w:r>
              <w:rPr>
                <w:rFonts w:hint="eastAsia" w:ascii="Times New Roman" w:hAnsi="Times New Roman" w:eastAsia="宋体" w:cs="宋体"/>
                <w:b w:val="0"/>
                <w:bCs/>
                <w:color w:val="000000" w:themeColor="text1"/>
                <w:sz w:val="21"/>
                <w:szCs w:val="21"/>
                <w:highlight w:val="none"/>
                <w14:textFill>
                  <w14:solidFill>
                    <w14:schemeClr w14:val="tx1"/>
                  </w14:solidFill>
                </w14:textFill>
              </w:rPr>
              <w:t>竞标有效期</w:t>
            </w:r>
          </w:p>
        </w:tc>
        <w:tc>
          <w:tcPr>
            <w:tcW w:w="6466" w:type="dxa"/>
            <w:noWrap w:val="0"/>
            <w:vAlign w:val="center"/>
          </w:tcPr>
          <w:p w14:paraId="3B059A75">
            <w:pPr>
              <w:pStyle w:val="10"/>
              <w:keepNext w:val="0"/>
              <w:keepLines w:val="0"/>
              <w:pageBreakBefore w:val="0"/>
              <w:widowControl w:val="0"/>
              <w:tabs>
                <w:tab w:val="clear" w:pos="454"/>
              </w:tabs>
              <w:kinsoku/>
              <w:wordWrap/>
              <w:overflowPunct/>
              <w:topLinePunct w:val="0"/>
              <w:bidi w:val="0"/>
              <w:adjustRightInd/>
              <w:snapToGrid w:val="0"/>
              <w:spacing w:after="0" w:afterLines="0" w:line="390" w:lineRule="exact"/>
              <w:ind w:left="283" w:hanging="283" w:hangingChars="135"/>
              <w:jc w:val="both"/>
              <w:rPr>
                <w:rFonts w:hint="eastAsia" w:ascii="Times New Roman" w:hAnsi="Times New Roman" w:eastAsia="宋体" w:cs="宋体"/>
                <w:color w:val="000000" w:themeColor="text1"/>
                <w:kern w:val="2"/>
                <w:sz w:val="21"/>
                <w:szCs w:val="21"/>
                <w:highlight w:val="none"/>
                <w14:textFill>
                  <w14:solidFill>
                    <w14:schemeClr w14:val="tx1"/>
                  </w14:solidFill>
                </w14:textFill>
              </w:rPr>
            </w:pPr>
            <w:r>
              <w:rPr>
                <w:rFonts w:hint="eastAsia" w:ascii="Times New Roman" w:hAnsi="Times New Roman" w:eastAsia="宋体" w:cs="宋体"/>
                <w:color w:val="000000" w:themeColor="text1"/>
                <w:kern w:val="2"/>
                <w:sz w:val="21"/>
                <w:szCs w:val="21"/>
                <w:highlight w:val="none"/>
                <w14:textFill>
                  <w14:solidFill>
                    <w14:schemeClr w14:val="tx1"/>
                  </w14:solidFill>
                </w14:textFill>
              </w:rPr>
              <w:t>自首次响应文件提交截止之日起</w:t>
            </w:r>
            <w:r>
              <w:rPr>
                <w:rFonts w:hint="eastAsia" w:ascii="Times New Roman" w:hAnsi="Times New Roman" w:eastAsia="宋体" w:cs="宋体"/>
                <w:color w:val="000000" w:themeColor="text1"/>
                <w:kern w:val="2"/>
                <w:sz w:val="21"/>
                <w:szCs w:val="21"/>
                <w:highlight w:val="none"/>
                <w:u w:val="single"/>
                <w14:textFill>
                  <w14:solidFill>
                    <w14:schemeClr w14:val="tx1"/>
                  </w14:solidFill>
                </w14:textFill>
              </w:rPr>
              <w:t xml:space="preserve"> 60 </w:t>
            </w:r>
            <w:r>
              <w:rPr>
                <w:rFonts w:hint="eastAsia" w:ascii="Times New Roman" w:hAnsi="Times New Roman" w:eastAsia="宋体" w:cs="宋体"/>
                <w:color w:val="000000" w:themeColor="text1"/>
                <w:kern w:val="2"/>
                <w:sz w:val="21"/>
                <w:szCs w:val="21"/>
                <w:highlight w:val="none"/>
                <w14:textFill>
                  <w14:solidFill>
                    <w14:schemeClr w14:val="tx1"/>
                  </w14:solidFill>
                </w14:textFill>
              </w:rPr>
              <w:t>日。</w:t>
            </w:r>
          </w:p>
        </w:tc>
      </w:tr>
      <w:tr w14:paraId="227BA8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963" w:type="dxa"/>
            <w:noWrap w:val="0"/>
            <w:vAlign w:val="center"/>
          </w:tcPr>
          <w:p w14:paraId="527A5073">
            <w:pPr>
              <w:keepNext w:val="0"/>
              <w:keepLines w:val="0"/>
              <w:pageBreakBefore w:val="0"/>
              <w:widowControl w:val="0"/>
              <w:kinsoku/>
              <w:wordWrap/>
              <w:overflowPunct/>
              <w:topLinePunct w:val="0"/>
              <w:bidi w:val="0"/>
              <w:adjustRightInd/>
              <w:spacing w:line="390" w:lineRule="exact"/>
              <w:jc w:val="center"/>
              <w:rPr>
                <w:rFonts w:hint="eastAsia" w:ascii="Times New Roman" w:hAnsi="Times New Roman" w:eastAsia="宋体" w:cs="宋体"/>
                <w:color w:val="000000" w:themeColor="text1"/>
                <w:sz w:val="21"/>
                <w:szCs w:val="21"/>
                <w:highlight w:val="none"/>
                <w14:textFill>
                  <w14:solidFill>
                    <w14:schemeClr w14:val="tx1"/>
                  </w14:solidFill>
                </w14:textFill>
              </w:rPr>
            </w:pPr>
            <w:r>
              <w:rPr>
                <w:rFonts w:hint="eastAsia" w:ascii="Times New Roman" w:hAnsi="Times New Roman" w:eastAsia="宋体" w:cs="宋体"/>
                <w:color w:val="000000" w:themeColor="text1"/>
                <w:sz w:val="21"/>
                <w:szCs w:val="21"/>
                <w:highlight w:val="none"/>
                <w14:textFill>
                  <w14:solidFill>
                    <w14:schemeClr w14:val="tx1"/>
                  </w14:solidFill>
                </w14:textFill>
              </w:rPr>
              <w:t>17.1</w:t>
            </w:r>
          </w:p>
        </w:tc>
        <w:tc>
          <w:tcPr>
            <w:tcW w:w="2321" w:type="dxa"/>
            <w:noWrap w:val="0"/>
            <w:vAlign w:val="center"/>
          </w:tcPr>
          <w:p w14:paraId="0E0B9339">
            <w:pPr>
              <w:keepNext w:val="0"/>
              <w:keepLines w:val="0"/>
              <w:pageBreakBefore w:val="0"/>
              <w:widowControl w:val="0"/>
              <w:kinsoku/>
              <w:wordWrap/>
              <w:overflowPunct/>
              <w:topLinePunct w:val="0"/>
              <w:bidi w:val="0"/>
              <w:adjustRightInd/>
              <w:spacing w:line="390" w:lineRule="exact"/>
              <w:jc w:val="center"/>
              <w:rPr>
                <w:rFonts w:hint="eastAsia" w:ascii="Times New Roman" w:hAnsi="Times New Roman" w:eastAsia="宋体" w:cs="宋体"/>
                <w:b w:val="0"/>
                <w:bCs/>
                <w:color w:val="000000" w:themeColor="text1"/>
                <w:sz w:val="21"/>
                <w:szCs w:val="21"/>
                <w:highlight w:val="none"/>
                <w14:textFill>
                  <w14:solidFill>
                    <w14:schemeClr w14:val="tx1"/>
                  </w14:solidFill>
                </w14:textFill>
              </w:rPr>
            </w:pPr>
            <w:r>
              <w:rPr>
                <w:rFonts w:hint="eastAsia" w:ascii="Times New Roman" w:hAnsi="Times New Roman" w:eastAsia="宋体" w:cs="宋体"/>
                <w:b w:val="0"/>
                <w:bCs/>
                <w:color w:val="000000" w:themeColor="text1"/>
                <w:sz w:val="21"/>
                <w:szCs w:val="21"/>
                <w:highlight w:val="none"/>
                <w14:textFill>
                  <w14:solidFill>
                    <w14:schemeClr w14:val="tx1"/>
                  </w14:solidFill>
                </w14:textFill>
              </w:rPr>
              <w:t>磋商保证金</w:t>
            </w:r>
          </w:p>
        </w:tc>
        <w:tc>
          <w:tcPr>
            <w:tcW w:w="6466" w:type="dxa"/>
            <w:noWrap w:val="0"/>
            <w:vAlign w:val="center"/>
          </w:tcPr>
          <w:p w14:paraId="2EB7FE1E">
            <w:pPr>
              <w:keepNext w:val="0"/>
              <w:keepLines w:val="0"/>
              <w:pageBreakBefore w:val="0"/>
              <w:widowControl w:val="0"/>
              <w:kinsoku/>
              <w:wordWrap/>
              <w:overflowPunct/>
              <w:topLinePunct w:val="0"/>
              <w:bidi w:val="0"/>
              <w:adjustRightInd/>
              <w:spacing w:line="390" w:lineRule="exact"/>
              <w:jc w:val="both"/>
              <w:rPr>
                <w:rFonts w:hint="eastAsia" w:ascii="Times New Roman" w:hAnsi="Times New Roman" w:eastAsia="宋体" w:cs="宋体"/>
                <w:b/>
                <w:bCs/>
                <w:color w:val="000000" w:themeColor="text1"/>
                <w:sz w:val="21"/>
                <w:szCs w:val="21"/>
                <w:highlight w:val="none"/>
                <w14:textFill>
                  <w14:solidFill>
                    <w14:schemeClr w14:val="tx1"/>
                  </w14:solidFill>
                </w14:textFill>
              </w:rPr>
            </w:pPr>
            <w:r>
              <w:rPr>
                <w:rFonts w:hint="eastAsia" w:ascii="Times New Roman" w:hAnsi="Times New Roman" w:cs="宋体"/>
                <w:b/>
                <w:bCs/>
                <w:color w:val="000000" w:themeColor="text1"/>
                <w:sz w:val="21"/>
                <w:szCs w:val="21"/>
                <w:highlight w:val="none"/>
                <w:lang w:eastAsia="zh-CN"/>
                <w14:textFill>
                  <w14:solidFill>
                    <w14:schemeClr w14:val="tx1"/>
                  </w14:solidFill>
                </w14:textFill>
              </w:rPr>
              <w:t>☑</w:t>
            </w:r>
            <w:r>
              <w:rPr>
                <w:rFonts w:hint="eastAsia" w:ascii="Times New Roman" w:hAnsi="Times New Roman" w:eastAsia="宋体" w:cs="宋体"/>
                <w:b/>
                <w:bCs/>
                <w:color w:val="000000" w:themeColor="text1"/>
                <w:sz w:val="21"/>
                <w:szCs w:val="21"/>
                <w:highlight w:val="none"/>
                <w14:textFill>
                  <w14:solidFill>
                    <w14:schemeClr w14:val="tx1"/>
                  </w14:solidFill>
                </w14:textFill>
              </w:rPr>
              <w:t xml:space="preserve"> 本项目不需要缴</w:t>
            </w:r>
            <w:r>
              <w:rPr>
                <w:rFonts w:hint="eastAsia" w:ascii="Times New Roman" w:hAnsi="Times New Roman" w:eastAsia="宋体" w:cs="宋体"/>
                <w:b/>
                <w:bCs/>
                <w:color w:val="000000" w:themeColor="text1"/>
                <w:kern w:val="0"/>
                <w:sz w:val="21"/>
                <w:szCs w:val="21"/>
                <w:highlight w:val="none"/>
                <w14:textFill>
                  <w14:solidFill>
                    <w14:schemeClr w14:val="tx1"/>
                  </w14:solidFill>
                </w14:textFill>
              </w:rPr>
              <w:t>纳</w:t>
            </w:r>
            <w:r>
              <w:rPr>
                <w:rFonts w:hint="eastAsia" w:ascii="Times New Roman" w:hAnsi="Times New Roman" w:eastAsia="宋体" w:cs="宋体"/>
                <w:b/>
                <w:bCs/>
                <w:color w:val="000000" w:themeColor="text1"/>
                <w:sz w:val="21"/>
                <w:szCs w:val="21"/>
                <w:highlight w:val="none"/>
                <w14:textFill>
                  <w14:solidFill>
                    <w14:schemeClr w14:val="tx1"/>
                  </w14:solidFill>
                </w14:textFill>
              </w:rPr>
              <w:t>磋商保证金。</w:t>
            </w:r>
          </w:p>
          <w:p w14:paraId="462E1BF1">
            <w:pPr>
              <w:keepNext w:val="0"/>
              <w:keepLines w:val="0"/>
              <w:pageBreakBefore w:val="0"/>
              <w:widowControl w:val="0"/>
              <w:kinsoku/>
              <w:wordWrap/>
              <w:overflowPunct/>
              <w:topLinePunct w:val="0"/>
              <w:bidi w:val="0"/>
              <w:adjustRightInd/>
              <w:snapToGrid w:val="0"/>
              <w:spacing w:line="390" w:lineRule="exact"/>
              <w:jc w:val="both"/>
              <w:rPr>
                <w:rFonts w:hint="eastAsia" w:ascii="Times New Roman" w:hAnsi="Times New Roman" w:eastAsia="宋体" w:cs="宋体"/>
                <w:b/>
                <w:bCs/>
                <w:color w:val="000000" w:themeColor="text1"/>
                <w:sz w:val="21"/>
                <w:szCs w:val="21"/>
                <w:highlight w:val="none"/>
                <w14:textFill>
                  <w14:solidFill>
                    <w14:schemeClr w14:val="tx1"/>
                  </w14:solidFill>
                </w14:textFill>
              </w:rPr>
            </w:pPr>
            <w:r>
              <w:rPr>
                <w:rFonts w:hint="eastAsia" w:ascii="Times New Roman" w:hAnsi="Times New Roman" w:cs="宋体"/>
                <w:b/>
                <w:bCs/>
                <w:color w:val="000000" w:themeColor="text1"/>
                <w:sz w:val="21"/>
                <w:szCs w:val="21"/>
                <w:highlight w:val="none"/>
                <w:lang w:eastAsia="zh-CN"/>
                <w14:textFill>
                  <w14:solidFill>
                    <w14:schemeClr w14:val="tx1"/>
                  </w14:solidFill>
                </w14:textFill>
              </w:rPr>
              <w:t>□</w:t>
            </w:r>
            <w:r>
              <w:rPr>
                <w:rFonts w:hint="eastAsia" w:ascii="Times New Roman" w:hAnsi="Times New Roman" w:eastAsia="宋体" w:cs="宋体"/>
                <w:b/>
                <w:bCs/>
                <w:color w:val="000000" w:themeColor="text1"/>
                <w:sz w:val="21"/>
                <w:szCs w:val="21"/>
                <w:highlight w:val="none"/>
                <w14:textFill>
                  <w14:solidFill>
                    <w14:schemeClr w14:val="tx1"/>
                  </w14:solidFill>
                </w14:textFill>
              </w:rPr>
              <w:t xml:space="preserve"> 本项目需要缴</w:t>
            </w:r>
            <w:r>
              <w:rPr>
                <w:rFonts w:hint="eastAsia" w:ascii="Times New Roman" w:hAnsi="Times New Roman" w:eastAsia="宋体" w:cs="宋体"/>
                <w:b/>
                <w:bCs/>
                <w:color w:val="000000" w:themeColor="text1"/>
                <w:kern w:val="0"/>
                <w:sz w:val="21"/>
                <w:szCs w:val="21"/>
                <w:highlight w:val="none"/>
                <w14:textFill>
                  <w14:solidFill>
                    <w14:schemeClr w14:val="tx1"/>
                  </w14:solidFill>
                </w14:textFill>
              </w:rPr>
              <w:t>纳</w:t>
            </w:r>
            <w:r>
              <w:rPr>
                <w:rFonts w:hint="eastAsia" w:ascii="Times New Roman" w:hAnsi="Times New Roman" w:eastAsia="宋体" w:cs="宋体"/>
                <w:b/>
                <w:bCs/>
                <w:color w:val="000000" w:themeColor="text1"/>
                <w:sz w:val="21"/>
                <w:szCs w:val="21"/>
                <w:highlight w:val="none"/>
                <w14:textFill>
                  <w14:solidFill>
                    <w14:schemeClr w14:val="tx1"/>
                  </w14:solidFill>
                </w14:textFill>
              </w:rPr>
              <w:t>磋商保证金，相关要求如下：</w:t>
            </w:r>
          </w:p>
          <w:p w14:paraId="0DB0BA0D">
            <w:pPr>
              <w:keepNext w:val="0"/>
              <w:keepLines w:val="0"/>
              <w:pageBreakBefore w:val="0"/>
              <w:widowControl w:val="0"/>
              <w:kinsoku/>
              <w:wordWrap/>
              <w:overflowPunct/>
              <w:topLinePunct w:val="0"/>
              <w:bidi w:val="0"/>
              <w:adjustRightInd/>
              <w:snapToGrid w:val="0"/>
              <w:spacing w:line="390" w:lineRule="exact"/>
              <w:jc w:val="both"/>
              <w:rPr>
                <w:rFonts w:hint="eastAsia" w:ascii="Times New Roman" w:hAnsi="Times New Roman" w:eastAsia="宋体" w:cs="宋体"/>
                <w:color w:val="000000" w:themeColor="text1"/>
                <w:sz w:val="21"/>
                <w:szCs w:val="21"/>
                <w:highlight w:val="none"/>
                <w14:textFill>
                  <w14:solidFill>
                    <w14:schemeClr w14:val="tx1"/>
                  </w14:solidFill>
                </w14:textFill>
              </w:rPr>
            </w:pPr>
            <w:r>
              <w:rPr>
                <w:rFonts w:hint="eastAsia" w:ascii="Times New Roman" w:hAnsi="Times New Roman" w:eastAsia="宋体" w:cs="宋体"/>
                <w:color w:val="000000" w:themeColor="text1"/>
                <w:sz w:val="21"/>
                <w:szCs w:val="21"/>
                <w:highlight w:val="none"/>
                <w14:textFill>
                  <w14:solidFill>
                    <w14:schemeClr w14:val="tx1"/>
                  </w14:solidFill>
                </w14:textFill>
              </w:rPr>
              <w:t>1.磋商保证金的缴纳方式：详见竞争性磋商公告。</w:t>
            </w:r>
          </w:p>
          <w:p w14:paraId="15127D4B">
            <w:pPr>
              <w:keepNext w:val="0"/>
              <w:keepLines w:val="0"/>
              <w:pageBreakBefore w:val="0"/>
              <w:widowControl w:val="0"/>
              <w:kinsoku/>
              <w:wordWrap/>
              <w:overflowPunct/>
              <w:topLinePunct w:val="0"/>
              <w:bidi w:val="0"/>
              <w:adjustRightInd/>
              <w:snapToGrid w:val="0"/>
              <w:spacing w:line="390" w:lineRule="exact"/>
              <w:jc w:val="both"/>
              <w:rPr>
                <w:rFonts w:hint="eastAsia" w:ascii="Times New Roman" w:hAnsi="Times New Roman" w:eastAsia="宋体" w:cs="宋体"/>
                <w:color w:val="000000" w:themeColor="text1"/>
                <w:sz w:val="21"/>
                <w:szCs w:val="21"/>
                <w:highlight w:val="none"/>
                <w14:textFill>
                  <w14:solidFill>
                    <w14:schemeClr w14:val="tx1"/>
                  </w14:solidFill>
                </w14:textFill>
              </w:rPr>
            </w:pPr>
            <w:r>
              <w:rPr>
                <w:rFonts w:hint="eastAsia" w:ascii="Times New Roman" w:hAnsi="Times New Roman" w:eastAsia="宋体" w:cs="宋体"/>
                <w:color w:val="000000" w:themeColor="text1"/>
                <w:sz w:val="21"/>
                <w:szCs w:val="21"/>
                <w:highlight w:val="none"/>
                <w14:textFill>
                  <w14:solidFill>
                    <w14:schemeClr w14:val="tx1"/>
                  </w14:solidFill>
                </w14:textFill>
              </w:rPr>
              <w:t>2.磋商保证金的金额：详见竞争性磋商公告。</w:t>
            </w:r>
          </w:p>
          <w:p w14:paraId="7DCDA6BB">
            <w:pPr>
              <w:keepNext w:val="0"/>
              <w:keepLines w:val="0"/>
              <w:pageBreakBefore w:val="0"/>
              <w:widowControl w:val="0"/>
              <w:kinsoku/>
              <w:wordWrap/>
              <w:overflowPunct/>
              <w:topLinePunct w:val="0"/>
              <w:bidi w:val="0"/>
              <w:adjustRightInd/>
              <w:snapToGrid w:val="0"/>
              <w:spacing w:line="390" w:lineRule="exact"/>
              <w:jc w:val="both"/>
              <w:rPr>
                <w:rFonts w:hint="eastAsia" w:ascii="Times New Roman" w:hAnsi="Times New Roman" w:eastAsia="宋体" w:cs="宋体"/>
                <w:color w:val="000000" w:themeColor="text1"/>
                <w:sz w:val="21"/>
                <w:szCs w:val="21"/>
                <w:highlight w:val="none"/>
                <w14:textFill>
                  <w14:solidFill>
                    <w14:schemeClr w14:val="tx1"/>
                  </w14:solidFill>
                </w14:textFill>
              </w:rPr>
            </w:pPr>
            <w:r>
              <w:rPr>
                <w:rFonts w:hint="eastAsia" w:ascii="Times New Roman" w:hAnsi="Times New Roman" w:eastAsia="宋体" w:cs="宋体"/>
                <w:color w:val="000000" w:themeColor="text1"/>
                <w:sz w:val="21"/>
                <w:szCs w:val="21"/>
                <w:highlight w:val="none"/>
                <w14:textFill>
                  <w14:solidFill>
                    <w14:schemeClr w14:val="tx1"/>
                  </w14:solidFill>
                </w14:textFill>
              </w:rPr>
              <w:t>3.磋商保证金采用银行转账缴纳方式的，在首次响应文件提交截止时间前交至采购代理机构指定账户并且到账，供应商应将银行转账底单的复印件作为磋商保证金提交凭证，放置于商务文件中，</w:t>
            </w:r>
            <w:r>
              <w:rPr>
                <w:rFonts w:hint="eastAsia" w:ascii="Times New Roman" w:hAnsi="Times New Roman" w:eastAsia="宋体" w:cs="宋体"/>
                <w:b/>
                <w:color w:val="000000" w:themeColor="text1"/>
                <w:sz w:val="21"/>
                <w:szCs w:val="21"/>
                <w:highlight w:val="none"/>
                <w14:textFill>
                  <w14:solidFill>
                    <w14:schemeClr w14:val="tx1"/>
                  </w14:solidFill>
                </w14:textFill>
              </w:rPr>
              <w:t>否则响应文件按无效响应处理</w:t>
            </w:r>
            <w:r>
              <w:rPr>
                <w:rFonts w:hint="eastAsia" w:ascii="Times New Roman" w:hAnsi="Times New Roman" w:eastAsia="宋体" w:cs="宋体"/>
                <w:color w:val="000000" w:themeColor="text1"/>
                <w:sz w:val="21"/>
                <w:szCs w:val="21"/>
                <w:highlight w:val="none"/>
                <w14:textFill>
                  <w14:solidFill>
                    <w14:schemeClr w14:val="tx1"/>
                  </w14:solidFill>
                </w14:textFill>
              </w:rPr>
              <w:t>。</w:t>
            </w:r>
          </w:p>
          <w:p w14:paraId="771F3A05">
            <w:pPr>
              <w:keepNext w:val="0"/>
              <w:keepLines w:val="0"/>
              <w:pageBreakBefore w:val="0"/>
              <w:widowControl w:val="0"/>
              <w:kinsoku/>
              <w:wordWrap/>
              <w:overflowPunct/>
              <w:topLinePunct w:val="0"/>
              <w:bidi w:val="0"/>
              <w:adjustRightInd/>
              <w:snapToGrid w:val="0"/>
              <w:spacing w:line="390" w:lineRule="exact"/>
              <w:jc w:val="both"/>
              <w:rPr>
                <w:rFonts w:hint="eastAsia" w:ascii="Times New Roman" w:hAnsi="Times New Roman" w:eastAsia="宋体" w:cs="宋体"/>
                <w:color w:val="000000" w:themeColor="text1"/>
                <w:sz w:val="21"/>
                <w:szCs w:val="21"/>
                <w:highlight w:val="none"/>
                <w14:textFill>
                  <w14:solidFill>
                    <w14:schemeClr w14:val="tx1"/>
                  </w14:solidFill>
                </w14:textFill>
              </w:rPr>
            </w:pPr>
            <w:r>
              <w:rPr>
                <w:rFonts w:hint="eastAsia" w:ascii="Times New Roman" w:hAnsi="Times New Roman" w:eastAsia="宋体" w:cs="宋体"/>
                <w:color w:val="000000" w:themeColor="text1"/>
                <w:sz w:val="21"/>
                <w:szCs w:val="21"/>
                <w:highlight w:val="none"/>
                <w14:textFill>
                  <w14:solidFill>
                    <w14:schemeClr w14:val="tx1"/>
                  </w14:solidFill>
                </w14:textFill>
              </w:rPr>
              <w:t>4.磋商保证金采用支票、汇票、本票或者金融机构、担保机构出具的保函</w:t>
            </w:r>
            <w:r>
              <w:rPr>
                <w:rFonts w:hint="eastAsia" w:ascii="Times New Roman" w:hAnsi="Times New Roman" w:eastAsia="宋体" w:cs="宋体"/>
                <w:color w:val="000000" w:themeColor="text1"/>
                <w:sz w:val="21"/>
                <w:szCs w:val="21"/>
                <w:highlight w:val="none"/>
                <w:lang w:eastAsia="zh-CN"/>
                <w14:textFill>
                  <w14:solidFill>
                    <w14:schemeClr w14:val="tx1"/>
                  </w14:solidFill>
                </w14:textFill>
              </w:rPr>
              <w:t>等缴</w:t>
            </w:r>
            <w:r>
              <w:rPr>
                <w:rFonts w:hint="eastAsia" w:ascii="Times New Roman" w:hAnsi="Times New Roman" w:eastAsia="宋体" w:cs="宋体"/>
                <w:color w:val="000000" w:themeColor="text1"/>
                <w:sz w:val="21"/>
                <w:szCs w:val="21"/>
                <w:highlight w:val="none"/>
                <w14:textFill>
                  <w14:solidFill>
                    <w14:schemeClr w14:val="tx1"/>
                  </w14:solidFill>
                </w14:textFill>
              </w:rPr>
              <w:t>纳方式的，供应商应将支票、汇票、本票或者金融</w:t>
            </w:r>
            <w:r>
              <w:rPr>
                <w:rFonts w:hint="eastAsia" w:ascii="Times New Roman" w:hAnsi="Times New Roman" w:eastAsia="宋体" w:cs="宋体"/>
                <w:color w:val="000000" w:themeColor="text1"/>
                <w:sz w:val="21"/>
                <w:szCs w:val="21"/>
                <w:highlight w:val="none"/>
                <w:lang w:eastAsia="zh-CN"/>
                <w14:textFill>
                  <w14:solidFill>
                    <w14:schemeClr w14:val="tx1"/>
                  </w14:solidFill>
                </w14:textFill>
              </w:rPr>
              <w:t>机构</w:t>
            </w:r>
            <w:r>
              <w:rPr>
                <w:rFonts w:hint="eastAsia" w:ascii="Times New Roman" w:hAnsi="Times New Roman" w:eastAsia="宋体" w:cs="宋体"/>
                <w:color w:val="000000" w:themeColor="text1"/>
                <w:sz w:val="21"/>
                <w:szCs w:val="21"/>
                <w:highlight w:val="none"/>
                <w14:textFill>
                  <w14:solidFill>
                    <w14:schemeClr w14:val="tx1"/>
                  </w14:solidFill>
                </w14:textFill>
              </w:rPr>
              <w:t>、担保机构出具的保函</w:t>
            </w:r>
            <w:r>
              <w:rPr>
                <w:rFonts w:hint="eastAsia" w:ascii="Times New Roman" w:hAnsi="Times New Roman" w:eastAsia="宋体" w:cs="宋体"/>
                <w:color w:val="000000" w:themeColor="text1"/>
                <w:sz w:val="21"/>
                <w:szCs w:val="21"/>
                <w:highlight w:val="none"/>
                <w:lang w:eastAsia="zh-CN"/>
                <w14:textFill>
                  <w14:solidFill>
                    <w14:schemeClr w14:val="tx1"/>
                  </w14:solidFill>
                </w14:textFill>
              </w:rPr>
              <w:t>等</w:t>
            </w:r>
            <w:r>
              <w:rPr>
                <w:rFonts w:hint="eastAsia" w:ascii="Times New Roman" w:hAnsi="Times New Roman" w:eastAsia="宋体" w:cs="宋体"/>
                <w:color w:val="000000" w:themeColor="text1"/>
                <w:sz w:val="21"/>
                <w:szCs w:val="21"/>
                <w:highlight w:val="none"/>
                <w14:textFill>
                  <w14:solidFill>
                    <w14:schemeClr w14:val="tx1"/>
                  </w14:solidFill>
                </w14:textFill>
              </w:rPr>
              <w:t>的复印件或者金融</w:t>
            </w:r>
            <w:r>
              <w:rPr>
                <w:rFonts w:hint="eastAsia" w:ascii="Times New Roman" w:hAnsi="Times New Roman" w:eastAsia="宋体" w:cs="宋体"/>
                <w:color w:val="000000" w:themeColor="text1"/>
                <w:sz w:val="21"/>
                <w:szCs w:val="21"/>
                <w:highlight w:val="none"/>
                <w:lang w:eastAsia="zh-CN"/>
                <w14:textFill>
                  <w14:solidFill>
                    <w14:schemeClr w14:val="tx1"/>
                  </w14:solidFill>
                </w14:textFill>
              </w:rPr>
              <w:t>机构</w:t>
            </w:r>
            <w:r>
              <w:rPr>
                <w:rFonts w:hint="eastAsia" w:ascii="Times New Roman" w:hAnsi="Times New Roman" w:eastAsia="宋体" w:cs="宋体"/>
                <w:color w:val="000000" w:themeColor="text1"/>
                <w:sz w:val="21"/>
                <w:szCs w:val="21"/>
                <w:highlight w:val="none"/>
                <w14:textFill>
                  <w14:solidFill>
                    <w14:schemeClr w14:val="tx1"/>
                  </w14:solidFill>
                </w14:textFill>
              </w:rPr>
              <w:t>、担保机构出具的</w:t>
            </w:r>
            <w:r>
              <w:rPr>
                <w:rFonts w:hint="eastAsia" w:ascii="Times New Roman" w:hAnsi="Times New Roman" w:eastAsia="宋体" w:cs="宋体"/>
                <w:color w:val="000000" w:themeColor="text1"/>
                <w:kern w:val="0"/>
                <w:sz w:val="21"/>
                <w:szCs w:val="21"/>
                <w:highlight w:val="none"/>
                <w:lang w:val="en-US" w:eastAsia="zh-CN"/>
                <w14:textFill>
                  <w14:solidFill>
                    <w14:schemeClr w14:val="tx1"/>
                  </w14:solidFill>
                </w14:textFill>
              </w:rPr>
              <w:t>电子保函</w:t>
            </w:r>
            <w:r>
              <w:rPr>
                <w:rFonts w:hint="eastAsia" w:ascii="Times New Roman" w:hAnsi="Times New Roman" w:eastAsia="宋体" w:cs="宋体"/>
                <w:color w:val="000000" w:themeColor="text1"/>
                <w:sz w:val="21"/>
                <w:szCs w:val="21"/>
                <w:highlight w:val="none"/>
                <w14:textFill>
                  <w14:solidFill>
                    <w14:schemeClr w14:val="tx1"/>
                  </w14:solidFill>
                </w14:textFill>
              </w:rPr>
              <w:t>作为磋商保证金提交凭证，放置于商务文件中，</w:t>
            </w:r>
            <w:r>
              <w:rPr>
                <w:rFonts w:hint="eastAsia" w:ascii="Times New Roman" w:hAnsi="Times New Roman" w:eastAsia="宋体" w:cs="宋体"/>
                <w:b/>
                <w:color w:val="000000" w:themeColor="text1"/>
                <w:sz w:val="21"/>
                <w:szCs w:val="21"/>
                <w:highlight w:val="none"/>
                <w14:textFill>
                  <w14:solidFill>
                    <w14:schemeClr w14:val="tx1"/>
                  </w14:solidFill>
                </w14:textFill>
              </w:rPr>
              <w:t>否则响应文件按无效响应处理</w:t>
            </w:r>
            <w:r>
              <w:rPr>
                <w:rFonts w:hint="eastAsia" w:ascii="Times New Roman" w:hAnsi="Times New Roman" w:eastAsia="宋体" w:cs="宋体"/>
                <w:color w:val="000000" w:themeColor="text1"/>
                <w:sz w:val="21"/>
                <w:szCs w:val="21"/>
                <w:highlight w:val="none"/>
                <w14:textFill>
                  <w14:solidFill>
                    <w14:schemeClr w14:val="tx1"/>
                  </w14:solidFill>
                </w14:textFill>
              </w:rPr>
              <w:t>。供应商必须</w:t>
            </w:r>
            <w:r>
              <w:rPr>
                <w:rFonts w:hint="eastAsia" w:ascii="Times New Roman" w:hAnsi="Times New Roman" w:eastAsia="宋体" w:cs="宋体"/>
                <w:color w:val="000000" w:themeColor="text1"/>
                <w:sz w:val="21"/>
                <w:szCs w:val="21"/>
                <w:highlight w:val="none"/>
                <w:lang w:eastAsia="zh-CN"/>
                <w14:textFill>
                  <w14:solidFill>
                    <w14:schemeClr w14:val="tx1"/>
                  </w14:solidFill>
                </w14:textFill>
              </w:rPr>
              <w:t>在</w:t>
            </w:r>
            <w:r>
              <w:rPr>
                <w:rFonts w:hint="eastAsia" w:ascii="Times New Roman" w:hAnsi="Times New Roman" w:eastAsia="宋体" w:cs="宋体"/>
                <w:color w:val="000000" w:themeColor="text1"/>
                <w:kern w:val="0"/>
                <w:sz w:val="21"/>
                <w:szCs w:val="21"/>
                <w:highlight w:val="none"/>
                <w14:textFill>
                  <w14:solidFill>
                    <w14:schemeClr w14:val="tx1"/>
                  </w14:solidFill>
                </w14:textFill>
              </w:rPr>
              <w:t>首次响应文件提交截止时间前</w:t>
            </w:r>
            <w:r>
              <w:rPr>
                <w:rFonts w:hint="eastAsia" w:ascii="Times New Roman" w:hAnsi="Times New Roman" w:eastAsia="宋体" w:cs="宋体"/>
                <w:color w:val="000000" w:themeColor="text1"/>
                <w:sz w:val="21"/>
                <w:szCs w:val="21"/>
                <w:highlight w:val="none"/>
                <w14:textFill>
                  <w14:solidFill>
                    <w14:schemeClr w14:val="tx1"/>
                  </w14:solidFill>
                </w14:textFill>
              </w:rPr>
              <w:t>将支票、汇票、本票或者金融</w:t>
            </w:r>
            <w:r>
              <w:rPr>
                <w:rFonts w:hint="eastAsia" w:ascii="Times New Roman" w:hAnsi="Times New Roman" w:eastAsia="宋体" w:cs="宋体"/>
                <w:color w:val="000000" w:themeColor="text1"/>
                <w:sz w:val="21"/>
                <w:szCs w:val="21"/>
                <w:highlight w:val="none"/>
                <w:lang w:eastAsia="zh-CN"/>
                <w14:textFill>
                  <w14:solidFill>
                    <w14:schemeClr w14:val="tx1"/>
                  </w14:solidFill>
                </w14:textFill>
              </w:rPr>
              <w:t>机构</w:t>
            </w:r>
            <w:r>
              <w:rPr>
                <w:rFonts w:hint="eastAsia" w:ascii="Times New Roman" w:hAnsi="Times New Roman" w:eastAsia="宋体" w:cs="宋体"/>
                <w:color w:val="000000" w:themeColor="text1"/>
                <w:sz w:val="21"/>
                <w:szCs w:val="21"/>
                <w:highlight w:val="none"/>
                <w14:textFill>
                  <w14:solidFill>
                    <w14:schemeClr w14:val="tx1"/>
                  </w14:solidFill>
                </w14:textFill>
              </w:rPr>
              <w:t>、担保机构出具的保函</w:t>
            </w:r>
            <w:r>
              <w:rPr>
                <w:rFonts w:hint="eastAsia" w:ascii="Times New Roman" w:hAnsi="Times New Roman" w:eastAsia="宋体" w:cs="宋体"/>
                <w:color w:val="000000" w:themeColor="text1"/>
                <w:sz w:val="21"/>
                <w:szCs w:val="21"/>
                <w:highlight w:val="none"/>
                <w:lang w:eastAsia="zh-CN"/>
                <w14:textFill>
                  <w14:solidFill>
                    <w14:schemeClr w14:val="tx1"/>
                  </w14:solidFill>
                </w14:textFill>
              </w:rPr>
              <w:t>（</w:t>
            </w:r>
            <w:r>
              <w:rPr>
                <w:rFonts w:hint="eastAsia" w:ascii="Times New Roman" w:hAnsi="Times New Roman" w:eastAsia="宋体" w:cs="宋体"/>
                <w:color w:val="000000" w:themeColor="text1"/>
                <w:kern w:val="0"/>
                <w:sz w:val="21"/>
                <w:szCs w:val="21"/>
                <w:highlight w:val="none"/>
                <w:lang w:val="en-US" w:eastAsia="zh-CN"/>
                <w14:textFill>
                  <w14:solidFill>
                    <w14:schemeClr w14:val="tx1"/>
                  </w14:solidFill>
                </w14:textFill>
              </w:rPr>
              <w:t>电子保函除外</w:t>
            </w:r>
            <w:r>
              <w:rPr>
                <w:rFonts w:hint="eastAsia" w:ascii="Times New Roman" w:hAnsi="Times New Roman" w:eastAsia="宋体" w:cs="宋体"/>
                <w:color w:val="000000" w:themeColor="text1"/>
                <w:sz w:val="21"/>
                <w:szCs w:val="21"/>
                <w:highlight w:val="none"/>
                <w:lang w:eastAsia="zh-CN"/>
                <w14:textFill>
                  <w14:solidFill>
                    <w14:schemeClr w14:val="tx1"/>
                  </w14:solidFill>
                </w14:textFill>
              </w:rPr>
              <w:t>）等</w:t>
            </w:r>
            <w:r>
              <w:rPr>
                <w:rFonts w:hint="eastAsia" w:ascii="Times New Roman" w:hAnsi="Times New Roman" w:eastAsia="宋体" w:cs="宋体"/>
                <w:color w:val="000000" w:themeColor="text1"/>
                <w:sz w:val="21"/>
                <w:szCs w:val="21"/>
                <w:highlight w:val="none"/>
                <w14:textFill>
                  <w14:solidFill>
                    <w14:schemeClr w14:val="tx1"/>
                  </w14:solidFill>
                </w14:textFill>
              </w:rPr>
              <w:t>原件提交给采购代理机构，由采购代理机构向供应商出具回执，并妥善保管。</w:t>
            </w:r>
          </w:p>
          <w:p w14:paraId="05405286">
            <w:pPr>
              <w:keepNext w:val="0"/>
              <w:keepLines w:val="0"/>
              <w:pageBreakBefore w:val="0"/>
              <w:widowControl w:val="0"/>
              <w:kinsoku/>
              <w:wordWrap/>
              <w:overflowPunct/>
              <w:topLinePunct w:val="0"/>
              <w:bidi w:val="0"/>
              <w:adjustRightInd/>
              <w:snapToGrid w:val="0"/>
              <w:spacing w:line="390" w:lineRule="exact"/>
              <w:jc w:val="both"/>
              <w:rPr>
                <w:rFonts w:hint="eastAsia" w:ascii="Times New Roman" w:hAnsi="Times New Roman" w:eastAsia="宋体" w:cs="宋体"/>
                <w:color w:val="000000" w:themeColor="text1"/>
                <w:sz w:val="21"/>
                <w:szCs w:val="21"/>
                <w:highlight w:val="none"/>
                <w14:textFill>
                  <w14:solidFill>
                    <w14:schemeClr w14:val="tx1"/>
                  </w14:solidFill>
                </w14:textFill>
              </w:rPr>
            </w:pPr>
            <w:r>
              <w:rPr>
                <w:rFonts w:hint="eastAsia" w:ascii="Times New Roman" w:hAnsi="Times New Roman" w:eastAsia="宋体" w:cs="宋体"/>
                <w:color w:val="000000" w:themeColor="text1"/>
                <w:sz w:val="21"/>
                <w:szCs w:val="21"/>
                <w:highlight w:val="none"/>
                <w14:textFill>
                  <w14:solidFill>
                    <w14:schemeClr w14:val="tx1"/>
                  </w14:solidFill>
                </w14:textFill>
              </w:rPr>
              <w:t>5.磋商保证金指定账户：详见竞争性磋商公告。</w:t>
            </w:r>
          </w:p>
          <w:p w14:paraId="150DBA50">
            <w:pPr>
              <w:keepNext w:val="0"/>
              <w:keepLines w:val="0"/>
              <w:pageBreakBefore w:val="0"/>
              <w:widowControl w:val="0"/>
              <w:kinsoku/>
              <w:wordWrap/>
              <w:overflowPunct/>
              <w:topLinePunct w:val="0"/>
              <w:bidi w:val="0"/>
              <w:adjustRightInd/>
              <w:snapToGrid w:val="0"/>
              <w:spacing w:line="390" w:lineRule="exact"/>
              <w:jc w:val="both"/>
              <w:rPr>
                <w:rFonts w:hint="eastAsia" w:ascii="Times New Roman" w:hAnsi="Times New Roman" w:eastAsia="宋体" w:cs="宋体"/>
                <w:b/>
                <w:color w:val="000000" w:themeColor="text1"/>
                <w:sz w:val="21"/>
                <w:szCs w:val="21"/>
                <w:highlight w:val="none"/>
                <w14:textFill>
                  <w14:solidFill>
                    <w14:schemeClr w14:val="tx1"/>
                  </w14:solidFill>
                </w14:textFill>
              </w:rPr>
            </w:pPr>
            <w:r>
              <w:rPr>
                <w:rFonts w:hint="eastAsia" w:ascii="Times New Roman" w:hAnsi="Times New Roman" w:eastAsia="宋体" w:cs="宋体"/>
                <w:color w:val="000000" w:themeColor="text1"/>
                <w:sz w:val="21"/>
                <w:szCs w:val="21"/>
                <w:highlight w:val="none"/>
                <w14:textFill>
                  <w14:solidFill>
                    <w14:schemeClr w14:val="tx1"/>
                  </w14:solidFill>
                </w14:textFill>
              </w:rPr>
              <w:t>6.供应商为联合体的，可以由联合体中的一方或者多方共同缴纳磋商保证金，其缴纳的磋商保证金对联合体各方均具有约束力。</w:t>
            </w:r>
          </w:p>
          <w:p w14:paraId="2C0BE219">
            <w:pPr>
              <w:keepNext w:val="0"/>
              <w:keepLines w:val="0"/>
              <w:pageBreakBefore w:val="0"/>
              <w:widowControl w:val="0"/>
              <w:kinsoku/>
              <w:wordWrap/>
              <w:overflowPunct/>
              <w:topLinePunct w:val="0"/>
              <w:bidi w:val="0"/>
              <w:adjustRightInd/>
              <w:snapToGrid w:val="0"/>
              <w:spacing w:line="390" w:lineRule="exact"/>
              <w:jc w:val="both"/>
              <w:rPr>
                <w:rFonts w:hint="eastAsia" w:ascii="Times New Roman" w:hAnsi="Times New Roman" w:eastAsia="宋体" w:cs="宋体"/>
                <w:b/>
                <w:color w:val="000000" w:themeColor="text1"/>
                <w:sz w:val="21"/>
                <w:szCs w:val="21"/>
                <w:highlight w:val="none"/>
                <w14:textFill>
                  <w14:solidFill>
                    <w14:schemeClr w14:val="tx1"/>
                  </w14:solidFill>
                </w14:textFill>
              </w:rPr>
            </w:pPr>
            <w:r>
              <w:rPr>
                <w:rFonts w:hint="eastAsia" w:ascii="Times New Roman" w:hAnsi="Times New Roman" w:eastAsia="宋体" w:cs="宋体"/>
                <w:b/>
                <w:color w:val="000000" w:themeColor="text1"/>
                <w:sz w:val="21"/>
                <w:szCs w:val="21"/>
                <w:highlight w:val="none"/>
                <w14:textFill>
                  <w14:solidFill>
                    <w14:schemeClr w14:val="tx1"/>
                  </w14:solidFill>
                </w14:textFill>
              </w:rPr>
              <w:t xml:space="preserve">备注： </w:t>
            </w:r>
          </w:p>
          <w:p w14:paraId="7F312D76">
            <w:pPr>
              <w:keepNext w:val="0"/>
              <w:keepLines w:val="0"/>
              <w:pageBreakBefore w:val="0"/>
              <w:widowControl w:val="0"/>
              <w:kinsoku/>
              <w:wordWrap/>
              <w:overflowPunct/>
              <w:topLinePunct w:val="0"/>
              <w:bidi w:val="0"/>
              <w:adjustRightInd/>
              <w:snapToGrid w:val="0"/>
              <w:spacing w:line="390" w:lineRule="exact"/>
              <w:jc w:val="both"/>
              <w:rPr>
                <w:rFonts w:hint="eastAsia" w:ascii="Times New Roman" w:hAnsi="Times New Roman" w:eastAsia="宋体" w:cs="宋体"/>
                <w:b/>
                <w:color w:val="000000" w:themeColor="text1"/>
                <w:sz w:val="21"/>
                <w:szCs w:val="21"/>
                <w:highlight w:val="none"/>
                <w14:textFill>
                  <w14:solidFill>
                    <w14:schemeClr w14:val="tx1"/>
                  </w14:solidFill>
                </w14:textFill>
              </w:rPr>
            </w:pPr>
            <w:r>
              <w:rPr>
                <w:rFonts w:hint="eastAsia" w:ascii="Times New Roman" w:hAnsi="Times New Roman" w:eastAsia="宋体" w:cs="宋体"/>
                <w:b/>
                <w:color w:val="000000" w:themeColor="text1"/>
                <w:sz w:val="21"/>
                <w:szCs w:val="21"/>
                <w:highlight w:val="none"/>
                <w14:textFill>
                  <w14:solidFill>
                    <w14:schemeClr w14:val="tx1"/>
                  </w14:solidFill>
                </w14:textFill>
              </w:rPr>
              <w:t>1.磋商保证金在首次响应文件提交截止时间后提交的，或者不按规定缴纳方式缴纳的，或者未足额缴纳的（包含保函额度不足的），视为无效磋商保证金。</w:t>
            </w:r>
          </w:p>
          <w:p w14:paraId="15A153BD">
            <w:pPr>
              <w:keepNext w:val="0"/>
              <w:keepLines w:val="0"/>
              <w:pageBreakBefore w:val="0"/>
              <w:widowControl w:val="0"/>
              <w:kinsoku/>
              <w:wordWrap/>
              <w:overflowPunct/>
              <w:topLinePunct w:val="0"/>
              <w:bidi w:val="0"/>
              <w:adjustRightInd/>
              <w:snapToGrid w:val="0"/>
              <w:spacing w:line="390" w:lineRule="exact"/>
              <w:jc w:val="both"/>
              <w:rPr>
                <w:rFonts w:hint="eastAsia" w:ascii="Times New Roman" w:hAnsi="Times New Roman" w:eastAsia="宋体" w:cs="宋体"/>
                <w:b/>
                <w:color w:val="000000" w:themeColor="text1"/>
                <w:sz w:val="21"/>
                <w:szCs w:val="21"/>
                <w:highlight w:val="none"/>
                <w14:textFill>
                  <w14:solidFill>
                    <w14:schemeClr w14:val="tx1"/>
                  </w14:solidFill>
                </w14:textFill>
              </w:rPr>
            </w:pPr>
            <w:r>
              <w:rPr>
                <w:rFonts w:hint="eastAsia" w:ascii="Times New Roman" w:hAnsi="Times New Roman" w:eastAsia="宋体" w:cs="宋体"/>
                <w:b/>
                <w:color w:val="000000" w:themeColor="text1"/>
                <w:sz w:val="21"/>
                <w:szCs w:val="21"/>
                <w:highlight w:val="none"/>
                <w14:textFill>
                  <w14:solidFill>
                    <w14:schemeClr w14:val="tx1"/>
                  </w14:solidFill>
                </w14:textFill>
              </w:rPr>
              <w:t>2.供应商采用现金方式或者从个人账户（自然人竞标除外）转出的磋商保证金，视为无效磋商保证金。</w:t>
            </w:r>
          </w:p>
          <w:p w14:paraId="4AB54FAB">
            <w:pPr>
              <w:keepNext w:val="0"/>
              <w:keepLines w:val="0"/>
              <w:pageBreakBefore w:val="0"/>
              <w:widowControl w:val="0"/>
              <w:kinsoku/>
              <w:wordWrap/>
              <w:overflowPunct/>
              <w:topLinePunct w:val="0"/>
              <w:bidi w:val="0"/>
              <w:adjustRightInd/>
              <w:snapToGrid w:val="0"/>
              <w:spacing w:line="390" w:lineRule="exact"/>
              <w:jc w:val="both"/>
              <w:rPr>
                <w:rFonts w:hint="eastAsia" w:ascii="Times New Roman" w:hAnsi="Times New Roman" w:eastAsia="宋体" w:cs="宋体"/>
                <w:b/>
                <w:color w:val="000000" w:themeColor="text1"/>
                <w:sz w:val="21"/>
                <w:szCs w:val="21"/>
                <w:highlight w:val="none"/>
                <w14:textFill>
                  <w14:solidFill>
                    <w14:schemeClr w14:val="tx1"/>
                  </w14:solidFill>
                </w14:textFill>
              </w:rPr>
            </w:pPr>
            <w:r>
              <w:rPr>
                <w:rFonts w:hint="eastAsia" w:ascii="Times New Roman" w:hAnsi="Times New Roman" w:eastAsia="宋体" w:cs="宋体"/>
                <w:b/>
                <w:color w:val="000000" w:themeColor="text1"/>
                <w:sz w:val="21"/>
                <w:szCs w:val="21"/>
                <w:highlight w:val="none"/>
                <w14:textFill>
                  <w14:solidFill>
                    <w14:schemeClr w14:val="tx1"/>
                  </w14:solidFill>
                </w14:textFill>
              </w:rPr>
              <w:t>3.支票、汇票或者本票出现无效或者背书情形的，视为无效磋商保证金。</w:t>
            </w:r>
          </w:p>
          <w:p w14:paraId="32070DE9">
            <w:pPr>
              <w:keepNext w:val="0"/>
              <w:keepLines w:val="0"/>
              <w:pageBreakBefore w:val="0"/>
              <w:widowControl w:val="0"/>
              <w:kinsoku/>
              <w:wordWrap/>
              <w:overflowPunct/>
              <w:topLinePunct w:val="0"/>
              <w:bidi w:val="0"/>
              <w:adjustRightInd/>
              <w:snapToGrid w:val="0"/>
              <w:spacing w:line="390" w:lineRule="exact"/>
              <w:jc w:val="both"/>
              <w:rPr>
                <w:rFonts w:hint="eastAsia" w:ascii="Times New Roman" w:hAnsi="Times New Roman" w:eastAsia="宋体" w:cs="宋体"/>
                <w:b/>
                <w:color w:val="000000" w:themeColor="text1"/>
                <w:sz w:val="21"/>
                <w:szCs w:val="21"/>
                <w:highlight w:val="none"/>
                <w14:textFill>
                  <w14:solidFill>
                    <w14:schemeClr w14:val="tx1"/>
                  </w14:solidFill>
                </w14:textFill>
              </w:rPr>
            </w:pPr>
            <w:r>
              <w:rPr>
                <w:rFonts w:hint="eastAsia" w:ascii="Times New Roman" w:hAnsi="Times New Roman" w:eastAsia="宋体" w:cs="宋体"/>
                <w:b/>
                <w:color w:val="000000" w:themeColor="text1"/>
                <w:sz w:val="21"/>
                <w:szCs w:val="21"/>
                <w:highlight w:val="none"/>
                <w14:textFill>
                  <w14:solidFill>
                    <w14:schemeClr w14:val="tx1"/>
                  </w14:solidFill>
                </w14:textFill>
              </w:rPr>
              <w:t>4.保函有效期低于竞标有效期的，视为无效磋商保证金。</w:t>
            </w:r>
          </w:p>
          <w:p w14:paraId="6C294930">
            <w:pPr>
              <w:keepNext w:val="0"/>
              <w:keepLines w:val="0"/>
              <w:pageBreakBefore w:val="0"/>
              <w:widowControl w:val="0"/>
              <w:kinsoku/>
              <w:wordWrap/>
              <w:overflowPunct/>
              <w:topLinePunct w:val="0"/>
              <w:autoSpaceDE w:val="0"/>
              <w:autoSpaceDN w:val="0"/>
              <w:bidi w:val="0"/>
              <w:adjustRightInd/>
              <w:snapToGrid w:val="0"/>
              <w:spacing w:line="390" w:lineRule="exact"/>
              <w:jc w:val="both"/>
              <w:textAlignment w:val="bottom"/>
              <w:rPr>
                <w:rFonts w:hint="eastAsia" w:ascii="Times New Roman" w:hAnsi="Times New Roman" w:eastAsia="宋体" w:cs="宋体"/>
                <w:color w:val="000000" w:themeColor="text1"/>
                <w:sz w:val="21"/>
                <w:szCs w:val="21"/>
                <w:highlight w:val="none"/>
                <w14:textFill>
                  <w14:solidFill>
                    <w14:schemeClr w14:val="tx1"/>
                  </w14:solidFill>
                </w14:textFill>
              </w:rPr>
            </w:pPr>
            <w:r>
              <w:rPr>
                <w:rFonts w:hint="eastAsia" w:ascii="Times New Roman" w:hAnsi="Times New Roman" w:eastAsia="宋体" w:cs="宋体"/>
                <w:b/>
                <w:color w:val="000000" w:themeColor="text1"/>
                <w:sz w:val="21"/>
                <w:szCs w:val="21"/>
                <w:highlight w:val="none"/>
                <w14:textFill>
                  <w14:solidFill>
                    <w14:schemeClr w14:val="tx1"/>
                  </w14:solidFill>
                </w14:textFill>
              </w:rPr>
              <w:t>5.采用金融、担保机构出具保函的，必须为无条件保函，否则视为无效磋商保证金。</w:t>
            </w:r>
          </w:p>
        </w:tc>
      </w:tr>
      <w:tr w14:paraId="118C6C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963" w:type="dxa"/>
            <w:vMerge w:val="restart"/>
            <w:noWrap w:val="0"/>
            <w:vAlign w:val="center"/>
          </w:tcPr>
          <w:p w14:paraId="7181A754">
            <w:pPr>
              <w:keepNext w:val="0"/>
              <w:keepLines w:val="0"/>
              <w:pageBreakBefore w:val="0"/>
              <w:widowControl w:val="0"/>
              <w:kinsoku/>
              <w:wordWrap/>
              <w:overflowPunct/>
              <w:topLinePunct w:val="0"/>
              <w:bidi w:val="0"/>
              <w:adjustRightInd/>
              <w:spacing w:line="390" w:lineRule="exact"/>
              <w:jc w:val="center"/>
              <w:rPr>
                <w:rFonts w:hint="eastAsia" w:ascii="Times New Roman" w:hAnsi="Times New Roman" w:eastAsia="宋体" w:cs="宋体"/>
                <w:color w:val="000000" w:themeColor="text1"/>
                <w:sz w:val="21"/>
                <w:szCs w:val="21"/>
                <w:highlight w:val="none"/>
                <w14:textFill>
                  <w14:solidFill>
                    <w14:schemeClr w14:val="tx1"/>
                  </w14:solidFill>
                </w14:textFill>
              </w:rPr>
            </w:pPr>
            <w:r>
              <w:rPr>
                <w:rFonts w:hint="eastAsia" w:ascii="Times New Roman" w:hAnsi="Times New Roman" w:eastAsia="宋体" w:cs="宋体"/>
                <w:color w:val="000000" w:themeColor="text1"/>
                <w:sz w:val="21"/>
                <w:szCs w:val="21"/>
                <w:highlight w:val="none"/>
                <w14:textFill>
                  <w14:solidFill>
                    <w14:schemeClr w14:val="tx1"/>
                  </w14:solidFill>
                </w14:textFill>
              </w:rPr>
              <w:t>20.1</w:t>
            </w:r>
          </w:p>
        </w:tc>
        <w:tc>
          <w:tcPr>
            <w:tcW w:w="2321" w:type="dxa"/>
            <w:noWrap w:val="0"/>
            <w:vAlign w:val="center"/>
          </w:tcPr>
          <w:p w14:paraId="3D488357">
            <w:pPr>
              <w:keepNext w:val="0"/>
              <w:keepLines w:val="0"/>
              <w:pageBreakBefore w:val="0"/>
              <w:widowControl w:val="0"/>
              <w:kinsoku/>
              <w:wordWrap/>
              <w:overflowPunct/>
              <w:topLinePunct w:val="0"/>
              <w:bidi w:val="0"/>
              <w:adjustRightInd/>
              <w:spacing w:line="390" w:lineRule="exact"/>
              <w:jc w:val="center"/>
              <w:rPr>
                <w:rFonts w:hint="eastAsia" w:ascii="Times New Roman" w:hAnsi="Times New Roman" w:eastAsia="宋体" w:cs="宋体"/>
                <w:b w:val="0"/>
                <w:bCs/>
                <w:color w:val="000000" w:themeColor="text1"/>
                <w:sz w:val="21"/>
                <w:szCs w:val="21"/>
                <w:highlight w:val="none"/>
                <w14:textFill>
                  <w14:solidFill>
                    <w14:schemeClr w14:val="tx1"/>
                  </w14:solidFill>
                </w14:textFill>
              </w:rPr>
            </w:pPr>
            <w:r>
              <w:rPr>
                <w:rFonts w:hint="eastAsia" w:ascii="Times New Roman" w:hAnsi="Times New Roman" w:eastAsia="宋体" w:cs="宋体"/>
                <w:b w:val="0"/>
                <w:bCs/>
                <w:color w:val="000000" w:themeColor="text1"/>
                <w:sz w:val="21"/>
                <w:szCs w:val="21"/>
                <w:highlight w:val="none"/>
                <w14:textFill>
                  <w14:solidFill>
                    <w14:schemeClr w14:val="tx1"/>
                  </w14:solidFill>
                </w14:textFill>
              </w:rPr>
              <w:t>首次响应文件</w:t>
            </w:r>
          </w:p>
          <w:p w14:paraId="752295DA">
            <w:pPr>
              <w:keepNext w:val="0"/>
              <w:keepLines w:val="0"/>
              <w:pageBreakBefore w:val="0"/>
              <w:widowControl w:val="0"/>
              <w:kinsoku/>
              <w:wordWrap/>
              <w:overflowPunct/>
              <w:topLinePunct w:val="0"/>
              <w:bidi w:val="0"/>
              <w:adjustRightInd/>
              <w:spacing w:line="390" w:lineRule="exact"/>
              <w:jc w:val="center"/>
              <w:rPr>
                <w:rFonts w:hint="eastAsia" w:ascii="Times New Roman" w:hAnsi="Times New Roman" w:eastAsia="宋体" w:cs="宋体"/>
                <w:b w:val="0"/>
                <w:bCs/>
                <w:color w:val="000000" w:themeColor="text1"/>
                <w:sz w:val="21"/>
                <w:szCs w:val="21"/>
                <w:highlight w:val="none"/>
                <w14:textFill>
                  <w14:solidFill>
                    <w14:schemeClr w14:val="tx1"/>
                  </w14:solidFill>
                </w14:textFill>
              </w:rPr>
            </w:pPr>
            <w:r>
              <w:rPr>
                <w:rFonts w:hint="eastAsia" w:ascii="Times New Roman" w:hAnsi="Times New Roman" w:eastAsia="宋体" w:cs="宋体"/>
                <w:b w:val="0"/>
                <w:bCs/>
                <w:color w:val="000000" w:themeColor="text1"/>
                <w:sz w:val="21"/>
                <w:szCs w:val="21"/>
                <w:highlight w:val="none"/>
                <w14:textFill>
                  <w14:solidFill>
                    <w14:schemeClr w14:val="tx1"/>
                  </w14:solidFill>
                </w14:textFill>
              </w:rPr>
              <w:t>提交截止时间</w:t>
            </w:r>
          </w:p>
        </w:tc>
        <w:tc>
          <w:tcPr>
            <w:tcW w:w="6466" w:type="dxa"/>
            <w:noWrap w:val="0"/>
            <w:vAlign w:val="center"/>
          </w:tcPr>
          <w:p w14:paraId="1D881454">
            <w:pPr>
              <w:keepNext w:val="0"/>
              <w:keepLines w:val="0"/>
              <w:pageBreakBefore w:val="0"/>
              <w:widowControl w:val="0"/>
              <w:kinsoku/>
              <w:wordWrap/>
              <w:overflowPunct/>
              <w:topLinePunct w:val="0"/>
              <w:bidi w:val="0"/>
              <w:adjustRightInd/>
              <w:snapToGrid w:val="0"/>
              <w:spacing w:line="390" w:lineRule="exact"/>
              <w:jc w:val="both"/>
              <w:rPr>
                <w:rFonts w:hint="eastAsia" w:ascii="Times New Roman" w:hAnsi="Times New Roman" w:eastAsia="宋体" w:cs="宋体"/>
                <w:color w:val="000000" w:themeColor="text1"/>
                <w:sz w:val="21"/>
                <w:szCs w:val="21"/>
                <w:highlight w:val="none"/>
                <w:u w:val="single"/>
                <w14:textFill>
                  <w14:solidFill>
                    <w14:schemeClr w14:val="tx1"/>
                  </w14:solidFill>
                </w14:textFill>
              </w:rPr>
            </w:pPr>
            <w:r>
              <w:rPr>
                <w:rFonts w:hint="eastAsia" w:ascii="Times New Roman" w:hAnsi="Times New Roman" w:eastAsia="宋体" w:cs="宋体"/>
                <w:color w:val="000000" w:themeColor="text1"/>
                <w:sz w:val="21"/>
                <w:szCs w:val="21"/>
                <w:highlight w:val="none"/>
                <w14:textFill>
                  <w14:solidFill>
                    <w14:schemeClr w14:val="tx1"/>
                  </w14:solidFill>
                </w14:textFill>
              </w:rPr>
              <w:t>详见竞争性磋商公告。</w:t>
            </w:r>
          </w:p>
        </w:tc>
      </w:tr>
      <w:tr w14:paraId="6AB19E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963" w:type="dxa"/>
            <w:vMerge w:val="continue"/>
            <w:noWrap w:val="0"/>
            <w:vAlign w:val="center"/>
          </w:tcPr>
          <w:p w14:paraId="18407356">
            <w:pPr>
              <w:keepNext w:val="0"/>
              <w:keepLines w:val="0"/>
              <w:pageBreakBefore w:val="0"/>
              <w:widowControl w:val="0"/>
              <w:kinsoku/>
              <w:wordWrap/>
              <w:overflowPunct/>
              <w:topLinePunct w:val="0"/>
              <w:bidi w:val="0"/>
              <w:adjustRightInd/>
              <w:spacing w:line="390" w:lineRule="exact"/>
              <w:jc w:val="center"/>
              <w:rPr>
                <w:rFonts w:hint="eastAsia" w:ascii="Times New Roman" w:hAnsi="Times New Roman" w:eastAsia="宋体" w:cs="宋体"/>
                <w:color w:val="000000" w:themeColor="text1"/>
                <w:sz w:val="21"/>
                <w:szCs w:val="21"/>
                <w:highlight w:val="none"/>
                <w14:textFill>
                  <w14:solidFill>
                    <w14:schemeClr w14:val="tx1"/>
                  </w14:solidFill>
                </w14:textFill>
              </w:rPr>
            </w:pPr>
          </w:p>
        </w:tc>
        <w:tc>
          <w:tcPr>
            <w:tcW w:w="2321" w:type="dxa"/>
            <w:noWrap w:val="0"/>
            <w:vAlign w:val="center"/>
          </w:tcPr>
          <w:p w14:paraId="5334E319">
            <w:pPr>
              <w:keepNext w:val="0"/>
              <w:keepLines w:val="0"/>
              <w:pageBreakBefore w:val="0"/>
              <w:widowControl w:val="0"/>
              <w:kinsoku/>
              <w:wordWrap/>
              <w:overflowPunct/>
              <w:topLinePunct w:val="0"/>
              <w:bidi w:val="0"/>
              <w:adjustRightInd/>
              <w:spacing w:line="390" w:lineRule="exact"/>
              <w:jc w:val="center"/>
              <w:rPr>
                <w:rFonts w:hint="eastAsia" w:ascii="Times New Roman" w:hAnsi="Times New Roman" w:eastAsia="宋体" w:cs="宋体"/>
                <w:b w:val="0"/>
                <w:bCs/>
                <w:color w:val="000000" w:themeColor="text1"/>
                <w:sz w:val="21"/>
                <w:szCs w:val="21"/>
                <w:highlight w:val="none"/>
                <w14:textFill>
                  <w14:solidFill>
                    <w14:schemeClr w14:val="tx1"/>
                  </w14:solidFill>
                </w14:textFill>
              </w:rPr>
            </w:pPr>
            <w:r>
              <w:rPr>
                <w:rFonts w:hint="eastAsia" w:ascii="Times New Roman" w:hAnsi="Times New Roman" w:eastAsia="宋体" w:cs="宋体"/>
                <w:b w:val="0"/>
                <w:bCs/>
                <w:color w:val="000000" w:themeColor="text1"/>
                <w:sz w:val="21"/>
                <w:szCs w:val="21"/>
                <w:highlight w:val="none"/>
                <w14:textFill>
                  <w14:solidFill>
                    <w14:schemeClr w14:val="tx1"/>
                  </w14:solidFill>
                </w14:textFill>
              </w:rPr>
              <w:t>首次响应文件</w:t>
            </w:r>
          </w:p>
          <w:p w14:paraId="7EBCD32D">
            <w:pPr>
              <w:keepNext w:val="0"/>
              <w:keepLines w:val="0"/>
              <w:pageBreakBefore w:val="0"/>
              <w:widowControl w:val="0"/>
              <w:kinsoku/>
              <w:wordWrap/>
              <w:overflowPunct/>
              <w:topLinePunct w:val="0"/>
              <w:bidi w:val="0"/>
              <w:adjustRightInd/>
              <w:spacing w:line="390" w:lineRule="exact"/>
              <w:jc w:val="center"/>
              <w:rPr>
                <w:rFonts w:hint="eastAsia" w:ascii="Times New Roman" w:hAnsi="Times New Roman" w:eastAsia="宋体" w:cs="宋体"/>
                <w:b w:val="0"/>
                <w:bCs/>
                <w:color w:val="000000" w:themeColor="text1"/>
                <w:sz w:val="21"/>
                <w:szCs w:val="21"/>
                <w:highlight w:val="none"/>
                <w14:textFill>
                  <w14:solidFill>
                    <w14:schemeClr w14:val="tx1"/>
                  </w14:solidFill>
                </w14:textFill>
              </w:rPr>
            </w:pPr>
            <w:r>
              <w:rPr>
                <w:rFonts w:hint="eastAsia" w:ascii="Times New Roman" w:hAnsi="Times New Roman" w:eastAsia="宋体" w:cs="宋体"/>
                <w:b w:val="0"/>
                <w:bCs/>
                <w:color w:val="000000" w:themeColor="text1"/>
                <w:sz w:val="21"/>
                <w:szCs w:val="21"/>
                <w:highlight w:val="none"/>
                <w14:textFill>
                  <w14:solidFill>
                    <w14:schemeClr w14:val="tx1"/>
                  </w14:solidFill>
                </w14:textFill>
              </w:rPr>
              <w:t>开启时间</w:t>
            </w:r>
          </w:p>
        </w:tc>
        <w:tc>
          <w:tcPr>
            <w:tcW w:w="6466" w:type="dxa"/>
            <w:noWrap w:val="0"/>
            <w:vAlign w:val="center"/>
          </w:tcPr>
          <w:p w14:paraId="5F9E72FF">
            <w:pPr>
              <w:keepNext w:val="0"/>
              <w:keepLines w:val="0"/>
              <w:pageBreakBefore w:val="0"/>
              <w:widowControl w:val="0"/>
              <w:kinsoku/>
              <w:wordWrap/>
              <w:overflowPunct/>
              <w:topLinePunct w:val="0"/>
              <w:bidi w:val="0"/>
              <w:adjustRightInd/>
              <w:snapToGrid w:val="0"/>
              <w:spacing w:line="390" w:lineRule="exact"/>
              <w:jc w:val="both"/>
              <w:rPr>
                <w:rFonts w:hint="eastAsia" w:ascii="Times New Roman" w:hAnsi="Times New Roman" w:eastAsia="宋体" w:cs="宋体"/>
                <w:color w:val="000000" w:themeColor="text1"/>
                <w:sz w:val="21"/>
                <w:szCs w:val="21"/>
                <w:highlight w:val="none"/>
                <w14:textFill>
                  <w14:solidFill>
                    <w14:schemeClr w14:val="tx1"/>
                  </w14:solidFill>
                </w14:textFill>
              </w:rPr>
            </w:pPr>
            <w:r>
              <w:rPr>
                <w:rFonts w:hint="eastAsia" w:ascii="Times New Roman" w:hAnsi="Times New Roman" w:eastAsia="宋体" w:cs="宋体"/>
                <w:color w:val="000000" w:themeColor="text1"/>
                <w:sz w:val="21"/>
                <w:szCs w:val="21"/>
                <w:highlight w:val="none"/>
                <w14:textFill>
                  <w14:solidFill>
                    <w14:schemeClr w14:val="tx1"/>
                  </w14:solidFill>
                </w14:textFill>
              </w:rPr>
              <w:t>详见竞争性磋商公告。</w:t>
            </w:r>
          </w:p>
        </w:tc>
      </w:tr>
      <w:tr w14:paraId="70BB57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963" w:type="dxa"/>
            <w:vMerge w:val="continue"/>
            <w:noWrap w:val="0"/>
            <w:vAlign w:val="center"/>
          </w:tcPr>
          <w:p w14:paraId="69E32F5A">
            <w:pPr>
              <w:keepNext w:val="0"/>
              <w:keepLines w:val="0"/>
              <w:pageBreakBefore w:val="0"/>
              <w:widowControl w:val="0"/>
              <w:kinsoku/>
              <w:wordWrap/>
              <w:overflowPunct/>
              <w:topLinePunct w:val="0"/>
              <w:bidi w:val="0"/>
              <w:adjustRightInd/>
              <w:spacing w:line="390" w:lineRule="exact"/>
              <w:jc w:val="center"/>
              <w:rPr>
                <w:rFonts w:hint="eastAsia" w:ascii="Times New Roman" w:hAnsi="Times New Roman" w:eastAsia="宋体" w:cs="宋体"/>
                <w:color w:val="000000" w:themeColor="text1"/>
                <w:sz w:val="21"/>
                <w:szCs w:val="21"/>
                <w:highlight w:val="none"/>
                <w14:textFill>
                  <w14:solidFill>
                    <w14:schemeClr w14:val="tx1"/>
                  </w14:solidFill>
                </w14:textFill>
              </w:rPr>
            </w:pPr>
          </w:p>
        </w:tc>
        <w:tc>
          <w:tcPr>
            <w:tcW w:w="2321" w:type="dxa"/>
            <w:noWrap w:val="0"/>
            <w:vAlign w:val="center"/>
          </w:tcPr>
          <w:p w14:paraId="091F8DD2">
            <w:pPr>
              <w:keepNext w:val="0"/>
              <w:keepLines w:val="0"/>
              <w:pageBreakBefore w:val="0"/>
              <w:widowControl w:val="0"/>
              <w:kinsoku/>
              <w:wordWrap/>
              <w:overflowPunct/>
              <w:topLinePunct w:val="0"/>
              <w:bidi w:val="0"/>
              <w:adjustRightInd/>
              <w:spacing w:line="390" w:lineRule="exact"/>
              <w:jc w:val="center"/>
              <w:rPr>
                <w:rFonts w:hint="eastAsia" w:ascii="Times New Roman" w:hAnsi="Times New Roman" w:eastAsia="宋体" w:cs="宋体"/>
                <w:b w:val="0"/>
                <w:bCs/>
                <w:color w:val="000000" w:themeColor="text1"/>
                <w:sz w:val="21"/>
                <w:szCs w:val="21"/>
                <w:highlight w:val="none"/>
                <w14:textFill>
                  <w14:solidFill>
                    <w14:schemeClr w14:val="tx1"/>
                  </w14:solidFill>
                </w14:textFill>
              </w:rPr>
            </w:pPr>
            <w:r>
              <w:rPr>
                <w:rFonts w:hint="eastAsia" w:ascii="Times New Roman" w:hAnsi="Times New Roman" w:eastAsia="宋体" w:cs="宋体"/>
                <w:b w:val="0"/>
                <w:bCs/>
                <w:color w:val="000000" w:themeColor="text1"/>
                <w:sz w:val="21"/>
                <w:szCs w:val="21"/>
                <w:highlight w:val="none"/>
                <w14:textFill>
                  <w14:solidFill>
                    <w14:schemeClr w14:val="tx1"/>
                  </w14:solidFill>
                </w14:textFill>
              </w:rPr>
              <w:t>首次响应文件提交地点</w:t>
            </w:r>
          </w:p>
        </w:tc>
        <w:tc>
          <w:tcPr>
            <w:tcW w:w="6466" w:type="dxa"/>
            <w:noWrap w:val="0"/>
            <w:vAlign w:val="center"/>
          </w:tcPr>
          <w:p w14:paraId="171F6559">
            <w:pPr>
              <w:keepNext w:val="0"/>
              <w:keepLines w:val="0"/>
              <w:pageBreakBefore w:val="0"/>
              <w:widowControl w:val="0"/>
              <w:kinsoku/>
              <w:wordWrap/>
              <w:overflowPunct/>
              <w:topLinePunct w:val="0"/>
              <w:bidi w:val="0"/>
              <w:adjustRightInd/>
              <w:snapToGrid w:val="0"/>
              <w:spacing w:line="390" w:lineRule="exact"/>
              <w:jc w:val="both"/>
              <w:rPr>
                <w:rFonts w:hint="eastAsia" w:ascii="Times New Roman" w:hAnsi="Times New Roman" w:eastAsia="宋体" w:cs="宋体"/>
                <w:color w:val="000000" w:themeColor="text1"/>
                <w:sz w:val="21"/>
                <w:szCs w:val="21"/>
                <w:highlight w:val="none"/>
                <w:u w:val="single"/>
                <w14:textFill>
                  <w14:solidFill>
                    <w14:schemeClr w14:val="tx1"/>
                  </w14:solidFill>
                </w14:textFill>
              </w:rPr>
            </w:pPr>
            <w:r>
              <w:rPr>
                <w:rFonts w:hint="eastAsia" w:ascii="Times New Roman" w:hAnsi="Times New Roman" w:eastAsia="宋体" w:cs="宋体"/>
                <w:color w:val="000000" w:themeColor="text1"/>
                <w:sz w:val="21"/>
                <w:szCs w:val="21"/>
                <w:highlight w:val="none"/>
                <w14:textFill>
                  <w14:solidFill>
                    <w14:schemeClr w14:val="tx1"/>
                  </w14:solidFill>
                </w14:textFill>
              </w:rPr>
              <w:t>详见竞争性磋商公告。</w:t>
            </w:r>
          </w:p>
        </w:tc>
      </w:tr>
      <w:tr w14:paraId="70495A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963" w:type="dxa"/>
            <w:noWrap w:val="0"/>
            <w:vAlign w:val="center"/>
          </w:tcPr>
          <w:p w14:paraId="761D2384">
            <w:pPr>
              <w:keepNext w:val="0"/>
              <w:keepLines w:val="0"/>
              <w:pageBreakBefore w:val="0"/>
              <w:widowControl w:val="0"/>
              <w:kinsoku/>
              <w:wordWrap/>
              <w:overflowPunct/>
              <w:topLinePunct w:val="0"/>
              <w:bidi w:val="0"/>
              <w:adjustRightInd/>
              <w:spacing w:line="390" w:lineRule="exact"/>
              <w:jc w:val="center"/>
              <w:rPr>
                <w:rFonts w:hint="eastAsia" w:ascii="Times New Roman" w:hAnsi="Times New Roman" w:eastAsia="宋体" w:cs="宋体"/>
                <w:color w:val="000000" w:themeColor="text1"/>
                <w:sz w:val="21"/>
                <w:szCs w:val="21"/>
                <w:highlight w:val="none"/>
                <w14:textFill>
                  <w14:solidFill>
                    <w14:schemeClr w14:val="tx1"/>
                  </w14:solidFill>
                </w14:textFill>
              </w:rPr>
            </w:pPr>
            <w:r>
              <w:rPr>
                <w:rFonts w:hint="eastAsia" w:ascii="Times New Roman" w:hAnsi="Times New Roman" w:eastAsia="宋体" w:cs="宋体"/>
                <w:color w:val="000000" w:themeColor="text1"/>
                <w:sz w:val="21"/>
                <w:szCs w:val="21"/>
                <w:highlight w:val="none"/>
                <w14:textFill>
                  <w14:solidFill>
                    <w14:schemeClr w14:val="tx1"/>
                  </w14:solidFill>
                </w14:textFill>
              </w:rPr>
              <w:t>20.6</w:t>
            </w:r>
          </w:p>
        </w:tc>
        <w:tc>
          <w:tcPr>
            <w:tcW w:w="2321" w:type="dxa"/>
            <w:noWrap w:val="0"/>
            <w:vAlign w:val="center"/>
          </w:tcPr>
          <w:p w14:paraId="55658FD4">
            <w:pPr>
              <w:keepNext w:val="0"/>
              <w:keepLines w:val="0"/>
              <w:pageBreakBefore w:val="0"/>
              <w:widowControl w:val="0"/>
              <w:kinsoku/>
              <w:wordWrap/>
              <w:overflowPunct/>
              <w:topLinePunct w:val="0"/>
              <w:bidi w:val="0"/>
              <w:adjustRightInd/>
              <w:spacing w:line="390" w:lineRule="exact"/>
              <w:jc w:val="center"/>
              <w:rPr>
                <w:rFonts w:hint="eastAsia" w:ascii="Times New Roman" w:hAnsi="Times New Roman" w:eastAsia="宋体" w:cs="宋体"/>
                <w:b w:val="0"/>
                <w:bCs/>
                <w:color w:val="000000" w:themeColor="text1"/>
                <w:sz w:val="21"/>
                <w:szCs w:val="21"/>
                <w:highlight w:val="none"/>
                <w14:textFill>
                  <w14:solidFill>
                    <w14:schemeClr w14:val="tx1"/>
                  </w14:solidFill>
                </w14:textFill>
              </w:rPr>
            </w:pPr>
            <w:r>
              <w:rPr>
                <w:rFonts w:hint="eastAsia" w:ascii="Times New Roman" w:hAnsi="Times New Roman" w:eastAsia="宋体" w:cs="宋体"/>
                <w:b w:val="0"/>
                <w:bCs/>
                <w:color w:val="000000" w:themeColor="text1"/>
                <w:sz w:val="21"/>
                <w:szCs w:val="21"/>
                <w:highlight w:val="none"/>
                <w14:textFill>
                  <w14:solidFill>
                    <w14:schemeClr w14:val="tx1"/>
                  </w14:solidFill>
                </w14:textFill>
              </w:rPr>
              <w:t>备份响应文件</w:t>
            </w:r>
          </w:p>
        </w:tc>
        <w:tc>
          <w:tcPr>
            <w:tcW w:w="6466" w:type="dxa"/>
            <w:noWrap w:val="0"/>
            <w:vAlign w:val="center"/>
          </w:tcPr>
          <w:p w14:paraId="188CD823">
            <w:pPr>
              <w:keepNext w:val="0"/>
              <w:keepLines w:val="0"/>
              <w:pageBreakBefore w:val="0"/>
              <w:widowControl w:val="0"/>
              <w:kinsoku/>
              <w:wordWrap/>
              <w:overflowPunct/>
              <w:topLinePunct w:val="0"/>
              <w:bidi w:val="0"/>
              <w:adjustRightInd/>
              <w:snapToGrid w:val="0"/>
              <w:spacing w:line="390" w:lineRule="exact"/>
              <w:jc w:val="both"/>
              <w:rPr>
                <w:rFonts w:hint="eastAsia" w:ascii="Times New Roman" w:hAnsi="Times New Roman" w:eastAsia="宋体" w:cs="宋体"/>
                <w:color w:val="000000" w:themeColor="text1"/>
                <w:sz w:val="21"/>
                <w:szCs w:val="21"/>
                <w:highlight w:val="none"/>
                <w14:textFill>
                  <w14:solidFill>
                    <w14:schemeClr w14:val="tx1"/>
                  </w14:solidFill>
                </w14:textFill>
              </w:rPr>
            </w:pPr>
            <w:r>
              <w:rPr>
                <w:rFonts w:hint="eastAsia" w:ascii="Times New Roman" w:hAnsi="Times New Roman" w:eastAsia="宋体" w:cs="宋体"/>
                <w:color w:val="000000" w:themeColor="text1"/>
                <w:sz w:val="21"/>
                <w:szCs w:val="21"/>
                <w:highlight w:val="none"/>
                <w14:textFill>
                  <w14:solidFill>
                    <w14:schemeClr w14:val="tx1"/>
                  </w14:solidFill>
                </w14:textFill>
              </w:rPr>
              <w:t>本项目不接受备份响应文件。</w:t>
            </w:r>
          </w:p>
        </w:tc>
      </w:tr>
      <w:tr w14:paraId="5CF061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963" w:type="dxa"/>
            <w:noWrap w:val="0"/>
            <w:vAlign w:val="center"/>
          </w:tcPr>
          <w:p w14:paraId="59DA8880">
            <w:pPr>
              <w:keepNext w:val="0"/>
              <w:keepLines w:val="0"/>
              <w:pageBreakBefore w:val="0"/>
              <w:widowControl w:val="0"/>
              <w:kinsoku/>
              <w:wordWrap/>
              <w:overflowPunct/>
              <w:topLinePunct w:val="0"/>
              <w:bidi w:val="0"/>
              <w:adjustRightInd/>
              <w:spacing w:line="390" w:lineRule="exact"/>
              <w:jc w:val="cente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21</w:t>
            </w:r>
          </w:p>
        </w:tc>
        <w:tc>
          <w:tcPr>
            <w:tcW w:w="2321" w:type="dxa"/>
            <w:noWrap w:val="0"/>
            <w:vAlign w:val="center"/>
          </w:tcPr>
          <w:p w14:paraId="05B7D8A4">
            <w:pPr>
              <w:keepNext w:val="0"/>
              <w:keepLines w:val="0"/>
              <w:pageBreakBefore w:val="0"/>
              <w:widowControl w:val="0"/>
              <w:kinsoku/>
              <w:wordWrap/>
              <w:overflowPunct/>
              <w:topLinePunct w:val="0"/>
              <w:bidi w:val="0"/>
              <w:adjustRightInd/>
              <w:spacing w:line="390" w:lineRule="exact"/>
              <w:jc w:val="center"/>
              <w:rPr>
                <w:rFonts w:hint="eastAsia" w:ascii="Times New Roman" w:hAnsi="Times New Roman" w:eastAsia="宋体" w:cs="宋体"/>
                <w:b w:val="0"/>
                <w:bCs/>
                <w:color w:val="000000" w:themeColor="text1"/>
                <w:sz w:val="21"/>
                <w:szCs w:val="21"/>
                <w:highlight w:val="none"/>
                <w14:textFill>
                  <w14:solidFill>
                    <w14:schemeClr w14:val="tx1"/>
                  </w14:solidFill>
                </w14:textFill>
              </w:rPr>
            </w:pPr>
            <w:r>
              <w:rPr>
                <w:rFonts w:hint="eastAsia" w:ascii="Times New Roman" w:hAnsi="Times New Roman" w:eastAsia="宋体" w:cs="宋体"/>
                <w:b w:val="0"/>
                <w:bCs/>
                <w:color w:val="000000" w:themeColor="text1"/>
                <w:sz w:val="21"/>
                <w:szCs w:val="21"/>
                <w:highlight w:val="none"/>
                <w14:textFill>
                  <w14:solidFill>
                    <w14:schemeClr w14:val="tx1"/>
                  </w14:solidFill>
                </w14:textFill>
              </w:rPr>
              <w:t>首次响应文件的补充、修改与撤回</w:t>
            </w:r>
          </w:p>
        </w:tc>
        <w:tc>
          <w:tcPr>
            <w:tcW w:w="6466" w:type="dxa"/>
            <w:noWrap w:val="0"/>
            <w:vAlign w:val="center"/>
          </w:tcPr>
          <w:p w14:paraId="5C48C9A8">
            <w:pPr>
              <w:keepNext w:val="0"/>
              <w:keepLines w:val="0"/>
              <w:pageBreakBefore w:val="0"/>
              <w:widowControl w:val="0"/>
              <w:kinsoku/>
              <w:wordWrap/>
              <w:overflowPunct/>
              <w:topLinePunct w:val="0"/>
              <w:bidi w:val="0"/>
              <w:adjustRightInd/>
              <w:snapToGrid w:val="0"/>
              <w:spacing w:line="390" w:lineRule="exact"/>
              <w:jc w:val="both"/>
              <w:rPr>
                <w:rFonts w:hint="eastAsia" w:ascii="Times New Roman" w:hAnsi="Times New Roman" w:eastAsia="宋体" w:cs="宋体"/>
                <w:color w:val="000000" w:themeColor="text1"/>
                <w:sz w:val="21"/>
                <w:szCs w:val="21"/>
                <w:highlight w:val="none"/>
                <w:lang w:eastAsia="zh-CN"/>
                <w14:textFill>
                  <w14:solidFill>
                    <w14:schemeClr w14:val="tx1"/>
                  </w14:solidFill>
                </w14:textFill>
              </w:rPr>
            </w:pPr>
            <w:r>
              <w:rPr>
                <w:rFonts w:hint="eastAsia" w:ascii="Times New Roman" w:hAnsi="Times New Roman" w:eastAsia="宋体" w:cs="宋体"/>
                <w:color w:val="000000" w:themeColor="text1"/>
                <w:sz w:val="21"/>
                <w:szCs w:val="21"/>
                <w:highlight w:val="none"/>
                <w14:textFill>
                  <w14:solidFill>
                    <w14:schemeClr w14:val="tx1"/>
                  </w14:solidFill>
                </w14:textFill>
              </w:rPr>
              <w:t>详见</w:t>
            </w:r>
            <w:r>
              <w:rPr>
                <w:rFonts w:hint="eastAsia" w:ascii="Times New Roman" w:hAnsi="Times New Roman" w:eastAsia="宋体" w:cs="宋体"/>
                <w:b w:val="0"/>
                <w:bCs/>
                <w:color w:val="000000" w:themeColor="text1"/>
                <w:sz w:val="21"/>
                <w:szCs w:val="21"/>
                <w:highlight w:val="none"/>
                <w14:textFill>
                  <w14:solidFill>
                    <w14:schemeClr w14:val="tx1"/>
                  </w14:solidFill>
                </w14:textFill>
              </w:rPr>
              <w:t>供应商须知正文</w:t>
            </w:r>
            <w:r>
              <w:rPr>
                <w:rFonts w:hint="eastAsia" w:ascii="Times New Roman" w:hAnsi="Times New Roman" w:eastAsia="宋体" w:cs="宋体"/>
                <w:color w:val="000000" w:themeColor="text1"/>
                <w:sz w:val="21"/>
                <w:szCs w:val="21"/>
                <w:highlight w:val="none"/>
                <w14:textFill>
                  <w14:solidFill>
                    <w14:schemeClr w14:val="tx1"/>
                  </w14:solidFill>
                </w14:textFill>
              </w:rPr>
              <w:t>。</w:t>
            </w:r>
          </w:p>
        </w:tc>
      </w:tr>
      <w:tr w14:paraId="5DD66C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963" w:type="dxa"/>
            <w:vMerge w:val="restart"/>
            <w:noWrap w:val="0"/>
            <w:vAlign w:val="center"/>
          </w:tcPr>
          <w:p w14:paraId="569FAADC">
            <w:pPr>
              <w:keepNext w:val="0"/>
              <w:keepLines w:val="0"/>
              <w:pageBreakBefore w:val="0"/>
              <w:widowControl w:val="0"/>
              <w:kinsoku/>
              <w:wordWrap/>
              <w:overflowPunct/>
              <w:topLinePunct w:val="0"/>
              <w:bidi w:val="0"/>
              <w:adjustRightInd/>
              <w:spacing w:line="390" w:lineRule="exact"/>
              <w:jc w:val="cente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25</w:t>
            </w:r>
          </w:p>
        </w:tc>
        <w:tc>
          <w:tcPr>
            <w:tcW w:w="2321" w:type="dxa"/>
            <w:noWrap w:val="0"/>
            <w:vAlign w:val="center"/>
          </w:tcPr>
          <w:p w14:paraId="3F677933">
            <w:pPr>
              <w:keepNext w:val="0"/>
              <w:keepLines w:val="0"/>
              <w:pageBreakBefore w:val="0"/>
              <w:widowControl w:val="0"/>
              <w:kinsoku/>
              <w:wordWrap/>
              <w:overflowPunct/>
              <w:topLinePunct w:val="0"/>
              <w:bidi w:val="0"/>
              <w:adjustRightInd/>
              <w:spacing w:line="390" w:lineRule="exact"/>
              <w:jc w:val="center"/>
              <w:rPr>
                <w:rFonts w:hint="eastAsia" w:ascii="Times New Roman" w:hAnsi="Times New Roman" w:eastAsia="宋体" w:cs="宋体"/>
                <w:b w:val="0"/>
                <w:bCs/>
                <w:color w:val="000000" w:themeColor="text1"/>
                <w:sz w:val="21"/>
                <w:szCs w:val="21"/>
                <w:highlight w:val="none"/>
                <w14:textFill>
                  <w14:solidFill>
                    <w14:schemeClr w14:val="tx1"/>
                  </w14:solidFill>
                </w14:textFill>
              </w:rPr>
            </w:pPr>
            <w:r>
              <w:rPr>
                <w:rFonts w:hint="eastAsia" w:ascii="Times New Roman" w:hAnsi="Times New Roman" w:eastAsia="宋体" w:cs="宋体"/>
                <w:b w:val="0"/>
                <w:bCs/>
                <w:color w:val="000000" w:themeColor="text1"/>
                <w:sz w:val="21"/>
                <w:szCs w:val="21"/>
                <w:highlight w:val="none"/>
                <w14:textFill>
                  <w14:solidFill>
                    <w14:schemeClr w14:val="tx1"/>
                  </w14:solidFill>
                </w14:textFill>
              </w:rPr>
              <w:t>负偏离要求</w:t>
            </w:r>
          </w:p>
        </w:tc>
        <w:tc>
          <w:tcPr>
            <w:tcW w:w="6466" w:type="dxa"/>
            <w:noWrap w:val="0"/>
            <w:vAlign w:val="center"/>
          </w:tcPr>
          <w:p w14:paraId="066935A1">
            <w:pPr>
              <w:keepNext w:val="0"/>
              <w:keepLines w:val="0"/>
              <w:pageBreakBefore w:val="0"/>
              <w:widowControl w:val="0"/>
              <w:kinsoku/>
              <w:wordWrap/>
              <w:overflowPunct/>
              <w:topLinePunct w:val="0"/>
              <w:bidi w:val="0"/>
              <w:adjustRightInd/>
              <w:snapToGrid w:val="0"/>
              <w:spacing w:line="390" w:lineRule="exact"/>
              <w:jc w:val="both"/>
              <w:rPr>
                <w:rFonts w:hint="eastAsia" w:ascii="Times New Roman" w:hAnsi="Times New Roman" w:eastAsia="宋体" w:cs="宋体"/>
                <w:color w:val="000000" w:themeColor="text1"/>
                <w:sz w:val="21"/>
                <w:szCs w:val="21"/>
                <w:highlight w:val="none"/>
                <w14:textFill>
                  <w14:solidFill>
                    <w14:schemeClr w14:val="tx1"/>
                  </w14:solidFill>
                </w14:textFill>
              </w:rPr>
            </w:pPr>
            <w:r>
              <w:rPr>
                <w:rFonts w:hint="eastAsia" w:ascii="Times New Roman" w:hAnsi="Times New Roman" w:eastAsia="宋体" w:cs="宋体"/>
                <w:color w:val="000000" w:themeColor="text1"/>
                <w:sz w:val="21"/>
                <w:szCs w:val="21"/>
                <w:highlight w:val="none"/>
                <w14:textFill>
                  <w14:solidFill>
                    <w14:schemeClr w14:val="tx1"/>
                  </w14:solidFill>
                </w14:textFill>
              </w:rPr>
              <w:t>商务条款评审中允许负偏离的条款数为</w:t>
            </w:r>
            <w:r>
              <w:rPr>
                <w:rFonts w:hint="eastAsia" w:ascii="Times New Roman" w:hAnsi="Times New Roman" w:eastAsia="宋体" w:cs="宋体"/>
                <w:color w:val="000000" w:themeColor="text1"/>
                <w:sz w:val="21"/>
                <w:szCs w:val="21"/>
                <w:highlight w:val="none"/>
                <w:u w:val="single"/>
                <w14:textFill>
                  <w14:solidFill>
                    <w14:schemeClr w14:val="tx1"/>
                  </w14:solidFill>
                </w14:textFill>
              </w:rPr>
              <w:t xml:space="preserve"> </w:t>
            </w:r>
            <w:r>
              <w:rPr>
                <w:rFonts w:hint="eastAsia" w:ascii="Times New Roman" w:hAnsi="Times New Roman" w:eastAsia="宋体" w:cs="宋体"/>
                <w:color w:val="000000" w:themeColor="text1"/>
                <w:sz w:val="21"/>
                <w:szCs w:val="21"/>
                <w:highlight w:val="none"/>
                <w:u w:val="single"/>
                <w:lang w:val="en-US" w:eastAsia="zh-CN"/>
                <w14:textFill>
                  <w14:solidFill>
                    <w14:schemeClr w14:val="tx1"/>
                  </w14:solidFill>
                </w14:textFill>
              </w:rPr>
              <w:t>0</w:t>
            </w:r>
            <w:r>
              <w:rPr>
                <w:rFonts w:hint="eastAsia" w:ascii="Times New Roman" w:hAnsi="Times New Roman" w:eastAsia="宋体" w:cs="宋体"/>
                <w:color w:val="000000" w:themeColor="text1"/>
                <w:sz w:val="21"/>
                <w:szCs w:val="21"/>
                <w:highlight w:val="none"/>
                <w:u w:val="single"/>
                <w14:textFill>
                  <w14:solidFill>
                    <w14:schemeClr w14:val="tx1"/>
                  </w14:solidFill>
                </w14:textFill>
              </w:rPr>
              <w:t xml:space="preserve"> </w:t>
            </w:r>
            <w:r>
              <w:rPr>
                <w:rFonts w:hint="eastAsia" w:ascii="Times New Roman" w:hAnsi="Times New Roman" w:eastAsia="宋体" w:cs="宋体"/>
                <w:color w:val="000000" w:themeColor="text1"/>
                <w:sz w:val="21"/>
                <w:szCs w:val="21"/>
                <w:highlight w:val="none"/>
                <w14:textFill>
                  <w14:solidFill>
                    <w14:schemeClr w14:val="tx1"/>
                  </w14:solidFill>
                </w14:textFill>
              </w:rPr>
              <w:t>项。</w:t>
            </w:r>
          </w:p>
          <w:p w14:paraId="5FCD6686">
            <w:pPr>
              <w:keepNext w:val="0"/>
              <w:keepLines w:val="0"/>
              <w:pageBreakBefore w:val="0"/>
              <w:widowControl w:val="0"/>
              <w:kinsoku/>
              <w:wordWrap/>
              <w:overflowPunct/>
              <w:topLinePunct w:val="0"/>
              <w:bidi w:val="0"/>
              <w:adjustRightInd/>
              <w:snapToGrid w:val="0"/>
              <w:spacing w:line="390" w:lineRule="exact"/>
              <w:jc w:val="both"/>
              <w:rPr>
                <w:rFonts w:hint="eastAsia" w:ascii="Times New Roman" w:hAnsi="Times New Roman" w:eastAsia="宋体" w:cs="宋体"/>
                <w:color w:val="000000" w:themeColor="text1"/>
                <w:sz w:val="21"/>
                <w:szCs w:val="21"/>
                <w:highlight w:val="none"/>
                <w14:textFill>
                  <w14:solidFill>
                    <w14:schemeClr w14:val="tx1"/>
                  </w14:solidFill>
                </w14:textFill>
              </w:rPr>
            </w:pPr>
            <w:r>
              <w:rPr>
                <w:rFonts w:hint="eastAsia" w:ascii="Times New Roman" w:hAnsi="Times New Roman" w:cs="宋体"/>
                <w:color w:val="000000" w:themeColor="text1"/>
                <w:sz w:val="21"/>
                <w:szCs w:val="21"/>
                <w:highlight w:val="none"/>
                <w:lang w:eastAsia="zh-CN"/>
                <w14:textFill>
                  <w14:solidFill>
                    <w14:schemeClr w14:val="tx1"/>
                  </w14:solidFill>
                </w14:textFill>
              </w:rPr>
              <w:t>技术</w:t>
            </w:r>
            <w:r>
              <w:rPr>
                <w:rFonts w:hint="eastAsia" w:ascii="Times New Roman" w:hAnsi="Times New Roman" w:eastAsia="宋体" w:cs="宋体"/>
                <w:color w:val="000000" w:themeColor="text1"/>
                <w:sz w:val="21"/>
                <w:szCs w:val="21"/>
                <w:highlight w:val="none"/>
                <w14:textFill>
                  <w14:solidFill>
                    <w14:schemeClr w14:val="tx1"/>
                  </w14:solidFill>
                </w14:textFill>
              </w:rPr>
              <w:t>需求评审中允许负偏离的条款数为</w:t>
            </w:r>
            <w:r>
              <w:rPr>
                <w:rFonts w:hint="eastAsia" w:ascii="Times New Roman" w:hAnsi="Times New Roman" w:eastAsia="宋体" w:cs="宋体"/>
                <w:color w:val="000000" w:themeColor="text1"/>
                <w:sz w:val="21"/>
                <w:szCs w:val="21"/>
                <w:highlight w:val="none"/>
                <w:u w:val="single"/>
                <w14:textFill>
                  <w14:solidFill>
                    <w14:schemeClr w14:val="tx1"/>
                  </w14:solidFill>
                </w14:textFill>
              </w:rPr>
              <w:t xml:space="preserve"> </w:t>
            </w:r>
            <w:r>
              <w:rPr>
                <w:rFonts w:hint="eastAsia" w:cs="宋体"/>
                <w:color w:val="000000" w:themeColor="text1"/>
                <w:sz w:val="21"/>
                <w:szCs w:val="21"/>
                <w:highlight w:val="none"/>
                <w:u w:val="single"/>
                <w:lang w:val="en-US" w:eastAsia="zh-CN"/>
                <w14:textFill>
                  <w14:solidFill>
                    <w14:schemeClr w14:val="tx1"/>
                  </w14:solidFill>
                </w14:textFill>
              </w:rPr>
              <w:t>0</w:t>
            </w:r>
            <w:r>
              <w:rPr>
                <w:rFonts w:hint="eastAsia" w:ascii="Times New Roman" w:hAnsi="Times New Roman" w:eastAsia="宋体" w:cs="宋体"/>
                <w:color w:val="000000" w:themeColor="text1"/>
                <w:sz w:val="21"/>
                <w:szCs w:val="21"/>
                <w:highlight w:val="none"/>
                <w:u w:val="single"/>
                <w14:textFill>
                  <w14:solidFill>
                    <w14:schemeClr w14:val="tx1"/>
                  </w14:solidFill>
                </w14:textFill>
              </w:rPr>
              <w:t xml:space="preserve"> </w:t>
            </w:r>
            <w:r>
              <w:rPr>
                <w:rFonts w:hint="eastAsia" w:ascii="Times New Roman" w:hAnsi="Times New Roman" w:eastAsia="宋体" w:cs="宋体"/>
                <w:color w:val="000000" w:themeColor="text1"/>
                <w:sz w:val="21"/>
                <w:szCs w:val="21"/>
                <w:highlight w:val="none"/>
                <w14:textFill>
                  <w14:solidFill>
                    <w14:schemeClr w14:val="tx1"/>
                  </w14:solidFill>
                </w14:textFill>
              </w:rPr>
              <w:t>项。</w:t>
            </w:r>
          </w:p>
        </w:tc>
      </w:tr>
      <w:tr w14:paraId="2DF0FE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963" w:type="dxa"/>
            <w:vMerge w:val="continue"/>
            <w:noWrap w:val="0"/>
            <w:vAlign w:val="center"/>
          </w:tcPr>
          <w:p w14:paraId="679EF4B7">
            <w:pPr>
              <w:keepNext w:val="0"/>
              <w:keepLines w:val="0"/>
              <w:pageBreakBefore w:val="0"/>
              <w:widowControl w:val="0"/>
              <w:kinsoku/>
              <w:wordWrap/>
              <w:overflowPunct/>
              <w:topLinePunct w:val="0"/>
              <w:bidi w:val="0"/>
              <w:adjustRightInd/>
              <w:spacing w:line="390" w:lineRule="exact"/>
              <w:jc w:val="center"/>
              <w:rPr>
                <w:rFonts w:hint="eastAsia" w:ascii="Times New Roman" w:hAnsi="Times New Roman" w:eastAsia="宋体" w:cs="宋体"/>
                <w:color w:val="000000" w:themeColor="text1"/>
                <w:sz w:val="21"/>
                <w:szCs w:val="21"/>
                <w:highlight w:val="none"/>
                <w14:textFill>
                  <w14:solidFill>
                    <w14:schemeClr w14:val="tx1"/>
                  </w14:solidFill>
                </w14:textFill>
              </w:rPr>
            </w:pPr>
          </w:p>
        </w:tc>
        <w:tc>
          <w:tcPr>
            <w:tcW w:w="2321" w:type="dxa"/>
            <w:noWrap w:val="0"/>
            <w:vAlign w:val="center"/>
          </w:tcPr>
          <w:p w14:paraId="7B362C47">
            <w:pPr>
              <w:keepNext w:val="0"/>
              <w:keepLines w:val="0"/>
              <w:pageBreakBefore w:val="0"/>
              <w:widowControl w:val="0"/>
              <w:kinsoku/>
              <w:wordWrap/>
              <w:overflowPunct/>
              <w:topLinePunct w:val="0"/>
              <w:bidi w:val="0"/>
              <w:adjustRightInd/>
              <w:snapToGrid w:val="0"/>
              <w:spacing w:line="390" w:lineRule="exact"/>
              <w:jc w:val="center"/>
              <w:rPr>
                <w:rFonts w:hint="eastAsia" w:ascii="Times New Roman" w:hAnsi="Times New Roman" w:eastAsia="宋体" w:cs="宋体"/>
                <w:b w:val="0"/>
                <w:bCs/>
                <w:color w:val="000000" w:themeColor="text1"/>
                <w:sz w:val="21"/>
                <w:szCs w:val="21"/>
                <w:highlight w:val="none"/>
                <w14:textFill>
                  <w14:solidFill>
                    <w14:schemeClr w14:val="tx1"/>
                  </w14:solidFill>
                </w14:textFill>
              </w:rPr>
            </w:pPr>
            <w:r>
              <w:rPr>
                <w:rFonts w:hint="eastAsia" w:ascii="Times New Roman" w:hAnsi="Times New Roman" w:eastAsia="宋体" w:cs="宋体"/>
                <w:b w:val="0"/>
                <w:bCs/>
                <w:color w:val="000000" w:themeColor="text1"/>
                <w:sz w:val="21"/>
                <w:szCs w:val="21"/>
                <w:highlight w:val="none"/>
                <w14:textFill>
                  <w14:solidFill>
                    <w14:schemeClr w14:val="tx1"/>
                  </w14:solidFill>
                </w14:textFill>
              </w:rPr>
              <w:t>评</w:t>
            </w:r>
            <w:r>
              <w:rPr>
                <w:rFonts w:hint="eastAsia" w:ascii="Times New Roman" w:hAnsi="Times New Roman" w:eastAsia="宋体" w:cs="宋体"/>
                <w:b w:val="0"/>
                <w:bCs/>
                <w:color w:val="000000" w:themeColor="text1"/>
                <w:sz w:val="21"/>
                <w:szCs w:val="21"/>
                <w:highlight w:val="none"/>
                <w:lang w:val="en-US" w:eastAsia="zh-CN"/>
                <w14:textFill>
                  <w14:solidFill>
                    <w14:schemeClr w14:val="tx1"/>
                  </w14:solidFill>
                </w14:textFill>
              </w:rPr>
              <w:t>审</w:t>
            </w:r>
            <w:r>
              <w:rPr>
                <w:rFonts w:hint="eastAsia" w:ascii="Times New Roman" w:hAnsi="Times New Roman" w:eastAsia="宋体" w:cs="宋体"/>
                <w:b w:val="0"/>
                <w:bCs/>
                <w:color w:val="000000" w:themeColor="text1"/>
                <w:sz w:val="21"/>
                <w:szCs w:val="21"/>
                <w:highlight w:val="none"/>
                <w14:textFill>
                  <w14:solidFill>
                    <w14:schemeClr w14:val="tx1"/>
                  </w14:solidFill>
                </w14:textFill>
              </w:rPr>
              <w:t>方法</w:t>
            </w:r>
          </w:p>
        </w:tc>
        <w:tc>
          <w:tcPr>
            <w:tcW w:w="6466" w:type="dxa"/>
            <w:noWrap w:val="0"/>
            <w:vAlign w:val="center"/>
          </w:tcPr>
          <w:p w14:paraId="3A679123">
            <w:pPr>
              <w:pStyle w:val="12"/>
              <w:keepNext w:val="0"/>
              <w:keepLines w:val="0"/>
              <w:pageBreakBefore w:val="0"/>
              <w:widowControl w:val="0"/>
              <w:kinsoku/>
              <w:wordWrap/>
              <w:overflowPunct/>
              <w:topLinePunct w:val="0"/>
              <w:bidi w:val="0"/>
              <w:adjustRightInd/>
              <w:spacing w:line="390" w:lineRule="exact"/>
              <w:jc w:val="both"/>
              <w:rPr>
                <w:rFonts w:hint="eastAsia" w:ascii="Times New Roman" w:hAnsi="Times New Roman" w:eastAsia="宋体" w:cs="宋体"/>
                <w:color w:val="000000" w:themeColor="text1"/>
                <w:sz w:val="21"/>
                <w:szCs w:val="21"/>
                <w:highlight w:val="none"/>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本项目采用综合评分法。综合评分法是指响应文件满足竞争性磋商文件全部实质性要求且按评审因素的量化指标评审得分最高的供应商为成交候选供应商的评审方法。</w:t>
            </w:r>
          </w:p>
        </w:tc>
      </w:tr>
      <w:tr w14:paraId="1A5693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963" w:type="dxa"/>
            <w:vMerge w:val="continue"/>
            <w:noWrap w:val="0"/>
            <w:vAlign w:val="center"/>
          </w:tcPr>
          <w:p w14:paraId="7539944D">
            <w:pPr>
              <w:keepNext w:val="0"/>
              <w:keepLines w:val="0"/>
              <w:pageBreakBefore w:val="0"/>
              <w:widowControl w:val="0"/>
              <w:kinsoku/>
              <w:wordWrap/>
              <w:overflowPunct/>
              <w:topLinePunct w:val="0"/>
              <w:bidi w:val="0"/>
              <w:adjustRightInd/>
              <w:spacing w:line="390" w:lineRule="exact"/>
              <w:jc w:val="center"/>
              <w:rPr>
                <w:rFonts w:hint="eastAsia" w:ascii="Times New Roman" w:hAnsi="Times New Roman" w:eastAsia="宋体" w:cs="宋体"/>
                <w:color w:val="000000" w:themeColor="text1"/>
                <w:sz w:val="21"/>
                <w:szCs w:val="21"/>
                <w:highlight w:val="none"/>
                <w14:textFill>
                  <w14:solidFill>
                    <w14:schemeClr w14:val="tx1"/>
                  </w14:solidFill>
                </w14:textFill>
              </w:rPr>
            </w:pPr>
          </w:p>
        </w:tc>
        <w:tc>
          <w:tcPr>
            <w:tcW w:w="2321" w:type="dxa"/>
            <w:noWrap w:val="0"/>
            <w:vAlign w:val="center"/>
          </w:tcPr>
          <w:p w14:paraId="3E452986">
            <w:pPr>
              <w:keepNext w:val="0"/>
              <w:keepLines w:val="0"/>
              <w:pageBreakBefore w:val="0"/>
              <w:widowControl w:val="0"/>
              <w:kinsoku/>
              <w:wordWrap/>
              <w:overflowPunct/>
              <w:topLinePunct w:val="0"/>
              <w:bidi w:val="0"/>
              <w:adjustRightInd/>
              <w:snapToGrid w:val="0"/>
              <w:spacing w:line="390" w:lineRule="exact"/>
              <w:jc w:val="center"/>
              <w:rPr>
                <w:rFonts w:hint="eastAsia" w:ascii="Times New Roman" w:hAnsi="Times New Roman" w:eastAsia="宋体" w:cs="宋体"/>
                <w:b w:val="0"/>
                <w:bCs/>
                <w:color w:val="000000" w:themeColor="text1"/>
                <w:sz w:val="21"/>
                <w:szCs w:val="21"/>
                <w:highlight w:val="none"/>
                <w14:textFill>
                  <w14:solidFill>
                    <w14:schemeClr w14:val="tx1"/>
                  </w14:solidFill>
                </w14:textFill>
              </w:rPr>
            </w:pPr>
            <w:r>
              <w:rPr>
                <w:rFonts w:hint="eastAsia" w:ascii="Times New Roman" w:hAnsi="Times New Roman" w:eastAsia="宋体" w:cs="宋体"/>
                <w:b w:val="0"/>
                <w:bCs/>
                <w:color w:val="000000" w:themeColor="text1"/>
                <w:sz w:val="21"/>
                <w:szCs w:val="21"/>
                <w:highlight w:val="none"/>
                <w14:textFill>
                  <w14:solidFill>
                    <w14:schemeClr w14:val="tx1"/>
                  </w14:solidFill>
                </w14:textFill>
              </w:rPr>
              <w:t>磋商的顺序</w:t>
            </w:r>
          </w:p>
        </w:tc>
        <w:tc>
          <w:tcPr>
            <w:tcW w:w="6466" w:type="dxa"/>
            <w:noWrap w:val="0"/>
            <w:vAlign w:val="center"/>
          </w:tcPr>
          <w:p w14:paraId="7C497A2D">
            <w:pPr>
              <w:pStyle w:val="12"/>
              <w:keepNext w:val="0"/>
              <w:keepLines w:val="0"/>
              <w:pageBreakBefore w:val="0"/>
              <w:widowControl w:val="0"/>
              <w:kinsoku/>
              <w:wordWrap/>
              <w:overflowPunct/>
              <w:topLinePunct w:val="0"/>
              <w:bidi w:val="0"/>
              <w:adjustRightInd/>
              <w:spacing w:line="390" w:lineRule="exact"/>
              <w:jc w:val="both"/>
              <w:rPr>
                <w:rFonts w:hint="eastAsia" w:ascii="Times New Roman" w:hAnsi="Times New Roman" w:eastAsia="宋体" w:cs="宋体"/>
                <w:color w:val="000000" w:themeColor="text1"/>
                <w:sz w:val="21"/>
                <w:szCs w:val="21"/>
                <w:highlight w:val="none"/>
                <w14:textFill>
                  <w14:solidFill>
                    <w14:schemeClr w14:val="tx1"/>
                  </w14:solidFill>
                </w14:textFill>
              </w:rPr>
            </w:pPr>
            <w:r>
              <w:rPr>
                <w:rFonts w:hint="eastAsia" w:ascii="Times New Roman" w:hAnsi="Times New Roman" w:eastAsia="宋体" w:cs="宋体"/>
                <w:color w:val="000000" w:themeColor="text1"/>
                <w:sz w:val="21"/>
                <w:szCs w:val="21"/>
                <w:highlight w:val="none"/>
                <w14:textFill>
                  <w14:solidFill>
                    <w14:schemeClr w14:val="tx1"/>
                  </w14:solidFill>
                </w14:textFill>
              </w:rPr>
              <w:t>□按照提交首次响应文件的顺序，通知磋商时，若某供应商不在通知现场时，该供应商排序到最后磋商，按照签到的顺序由其下一位供应商先参与磋商。</w:t>
            </w:r>
          </w:p>
          <w:p w14:paraId="0B7F6091">
            <w:pPr>
              <w:keepNext w:val="0"/>
              <w:keepLines w:val="0"/>
              <w:pageBreakBefore w:val="0"/>
              <w:widowControl w:val="0"/>
              <w:kinsoku/>
              <w:wordWrap/>
              <w:overflowPunct/>
              <w:topLinePunct w:val="0"/>
              <w:bidi w:val="0"/>
              <w:adjustRightInd/>
              <w:snapToGrid w:val="0"/>
              <w:spacing w:line="390" w:lineRule="exact"/>
              <w:jc w:val="both"/>
              <w:rPr>
                <w:rFonts w:hint="eastAsia" w:ascii="Times New Roman" w:hAnsi="Times New Roman" w:eastAsia="宋体" w:cs="宋体"/>
                <w:color w:val="000000" w:themeColor="text1"/>
                <w:sz w:val="21"/>
                <w:szCs w:val="21"/>
                <w:highlight w:val="none"/>
                <w14:textFill>
                  <w14:solidFill>
                    <w14:schemeClr w14:val="tx1"/>
                  </w14:solidFill>
                </w14:textFill>
              </w:rPr>
            </w:pPr>
            <w:r>
              <w:rPr>
                <w:rFonts w:hint="eastAsia" w:ascii="Times New Roman" w:hAnsi="Times New Roman" w:eastAsia="宋体" w:cs="宋体"/>
                <w:color w:val="000000" w:themeColor="text1"/>
                <w:sz w:val="21"/>
                <w:szCs w:val="21"/>
                <w:highlight w:val="none"/>
                <w:lang w:eastAsia="zh-CN"/>
                <w14:textFill>
                  <w14:solidFill>
                    <w14:schemeClr w14:val="tx1"/>
                  </w14:solidFill>
                </w14:textFill>
              </w:rPr>
              <w:t>☑</w:t>
            </w:r>
            <w:r>
              <w:rPr>
                <w:rFonts w:hint="eastAsia" w:ascii="Times New Roman" w:hAnsi="Times New Roman" w:eastAsia="宋体" w:cs="宋体"/>
                <w:color w:val="000000" w:themeColor="text1"/>
                <w:sz w:val="21"/>
                <w:szCs w:val="21"/>
                <w:highlight w:val="none"/>
                <w14:textFill>
                  <w14:solidFill>
                    <w14:schemeClr w14:val="tx1"/>
                  </w14:solidFill>
                </w14:textFill>
              </w:rPr>
              <w:t>随机排序。</w:t>
            </w:r>
          </w:p>
          <w:p w14:paraId="4395CB73">
            <w:pPr>
              <w:pStyle w:val="12"/>
              <w:keepNext w:val="0"/>
              <w:keepLines w:val="0"/>
              <w:pageBreakBefore w:val="0"/>
              <w:widowControl w:val="0"/>
              <w:kinsoku/>
              <w:wordWrap/>
              <w:overflowPunct/>
              <w:topLinePunct w:val="0"/>
              <w:bidi w:val="0"/>
              <w:adjustRightInd/>
              <w:spacing w:line="390" w:lineRule="exact"/>
              <w:jc w:val="both"/>
              <w:rPr>
                <w:rFonts w:hint="eastAsia" w:ascii="Times New Roman" w:hAnsi="Times New Roman" w:eastAsia="宋体" w:cs="宋体"/>
                <w:color w:val="000000" w:themeColor="text1"/>
                <w:sz w:val="21"/>
                <w:szCs w:val="21"/>
                <w:highlight w:val="none"/>
                <w14:textFill>
                  <w14:solidFill>
                    <w14:schemeClr w14:val="tx1"/>
                  </w14:solidFill>
                </w14:textFill>
              </w:rPr>
            </w:pPr>
            <w:r>
              <w:rPr>
                <w:rFonts w:hint="eastAsia" w:ascii="Times New Roman" w:hAnsi="Times New Roman" w:eastAsia="宋体" w:cs="宋体"/>
                <w:b/>
                <w:color w:val="000000" w:themeColor="text1"/>
                <w:sz w:val="21"/>
                <w:szCs w:val="21"/>
                <w:highlight w:val="none"/>
                <w14:textFill>
                  <w14:solidFill>
                    <w14:schemeClr w14:val="tx1"/>
                  </w14:solidFill>
                </w14:textFill>
              </w:rPr>
              <w:t>参与磋商前，磋商小组</w:t>
            </w:r>
            <w:r>
              <w:rPr>
                <w:rFonts w:hint="eastAsia" w:ascii="Times New Roman" w:hAnsi="Times New Roman" w:eastAsia="宋体" w:cs="宋体"/>
                <w:b/>
                <w:color w:val="000000" w:themeColor="text1"/>
                <w:sz w:val="21"/>
                <w:szCs w:val="21"/>
                <w:highlight w:val="none"/>
                <w:lang w:eastAsia="zh-CN"/>
                <w14:textFill>
                  <w14:solidFill>
                    <w14:schemeClr w14:val="tx1"/>
                  </w14:solidFill>
                </w14:textFill>
              </w:rPr>
              <w:t>如有要求，</w:t>
            </w:r>
            <w:r>
              <w:rPr>
                <w:rFonts w:hint="eastAsia" w:ascii="Times New Roman" w:hAnsi="Times New Roman" w:eastAsia="宋体" w:cs="宋体"/>
                <w:b/>
                <w:color w:val="000000" w:themeColor="text1"/>
                <w:sz w:val="21"/>
                <w:szCs w:val="21"/>
                <w:highlight w:val="none"/>
                <w14:textFill>
                  <w14:solidFill>
                    <w14:schemeClr w14:val="tx1"/>
                  </w14:solidFill>
                </w14:textFill>
              </w:rPr>
              <w:t>供应商法定代表人或者委托代理人必须向磋商小组出示本人有效证件原件[有效证件可以是身份证（含临时身份证明）、机动车驾驶证、社会保障卡或者护照的其中一项]，若参与磋商的委托代理人不是响应文件中授权的委托代理人时，必须同时出示有效的法定代表人授权委托书原件，否则磋商小组将拒绝其参与磋商。</w:t>
            </w:r>
          </w:p>
        </w:tc>
      </w:tr>
      <w:tr w14:paraId="154AD4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963" w:type="dxa"/>
            <w:noWrap w:val="0"/>
            <w:vAlign w:val="center"/>
          </w:tcPr>
          <w:p w14:paraId="3BD300CD">
            <w:pPr>
              <w:keepNext w:val="0"/>
              <w:keepLines w:val="0"/>
              <w:pageBreakBefore w:val="0"/>
              <w:widowControl w:val="0"/>
              <w:kinsoku/>
              <w:wordWrap/>
              <w:overflowPunct/>
              <w:topLinePunct w:val="0"/>
              <w:bidi w:val="0"/>
              <w:adjustRightInd/>
              <w:spacing w:line="390" w:lineRule="exact"/>
              <w:jc w:val="cente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27</w:t>
            </w:r>
          </w:p>
        </w:tc>
        <w:tc>
          <w:tcPr>
            <w:tcW w:w="2321" w:type="dxa"/>
            <w:noWrap w:val="0"/>
            <w:vAlign w:val="center"/>
          </w:tcPr>
          <w:p w14:paraId="25600159">
            <w:pPr>
              <w:keepNext w:val="0"/>
              <w:keepLines w:val="0"/>
              <w:pageBreakBefore w:val="0"/>
              <w:widowControl w:val="0"/>
              <w:kinsoku/>
              <w:wordWrap/>
              <w:overflowPunct/>
              <w:topLinePunct w:val="0"/>
              <w:bidi w:val="0"/>
              <w:adjustRightInd/>
              <w:spacing w:line="390" w:lineRule="exact"/>
              <w:jc w:val="center"/>
              <w:rPr>
                <w:rFonts w:hint="eastAsia" w:ascii="Times New Roman" w:hAnsi="Times New Roman" w:eastAsia="宋体" w:cs="宋体"/>
                <w:b w:val="0"/>
                <w:bCs/>
                <w:color w:val="000000" w:themeColor="text1"/>
                <w:sz w:val="21"/>
                <w:szCs w:val="21"/>
                <w:highlight w:val="none"/>
                <w14:textFill>
                  <w14:solidFill>
                    <w14:schemeClr w14:val="tx1"/>
                  </w14:solidFill>
                </w14:textFill>
              </w:rPr>
            </w:pPr>
            <w:r>
              <w:rPr>
                <w:rFonts w:hint="eastAsia" w:ascii="Times New Roman" w:hAnsi="Times New Roman" w:eastAsia="宋体" w:cs="宋体"/>
                <w:b w:val="0"/>
                <w:bCs/>
                <w:color w:val="000000" w:themeColor="text1"/>
                <w:sz w:val="21"/>
                <w:szCs w:val="21"/>
                <w:highlight w:val="none"/>
                <w14:textFill>
                  <w14:solidFill>
                    <w14:schemeClr w14:val="tx1"/>
                  </w14:solidFill>
                </w14:textFill>
              </w:rPr>
              <w:t>履约保证金</w:t>
            </w:r>
          </w:p>
        </w:tc>
        <w:tc>
          <w:tcPr>
            <w:tcW w:w="6466" w:type="dxa"/>
            <w:noWrap w:val="0"/>
            <w:vAlign w:val="center"/>
          </w:tcPr>
          <w:p w14:paraId="354D0D68">
            <w:pPr>
              <w:keepNext w:val="0"/>
              <w:keepLines w:val="0"/>
              <w:pageBreakBefore w:val="0"/>
              <w:widowControl w:val="0"/>
              <w:kinsoku/>
              <w:wordWrap/>
              <w:overflowPunct/>
              <w:topLinePunct w:val="0"/>
              <w:bidi w:val="0"/>
              <w:adjustRightInd/>
              <w:spacing w:line="390" w:lineRule="exact"/>
              <w:jc w:val="both"/>
              <w:rPr>
                <w:rFonts w:hint="eastAsia" w:ascii="Times New Roman" w:hAnsi="Times New Roman" w:eastAsia="宋体" w:cs="宋体"/>
                <w:color w:val="000000" w:themeColor="text1"/>
                <w:sz w:val="21"/>
                <w:szCs w:val="21"/>
                <w:highlight w:val="none"/>
                <w14:textFill>
                  <w14:solidFill>
                    <w14:schemeClr w14:val="tx1"/>
                  </w14:solidFill>
                </w14:textFill>
              </w:rPr>
            </w:pPr>
            <w:r>
              <w:rPr>
                <w:rFonts w:hint="eastAsia" w:ascii="Times New Roman" w:hAnsi="Times New Roman" w:eastAsia="宋体" w:cs="宋体"/>
                <w:b/>
                <w:bCs/>
                <w:color w:val="000000" w:themeColor="text1"/>
                <w:sz w:val="21"/>
                <w:szCs w:val="21"/>
                <w:highlight w:val="none"/>
                <w14:textFill>
                  <w14:solidFill>
                    <w14:schemeClr w14:val="tx1"/>
                  </w14:solidFill>
                </w14:textFill>
              </w:rPr>
              <w:t>本项目不需要缴</w:t>
            </w:r>
            <w:r>
              <w:rPr>
                <w:rFonts w:hint="eastAsia" w:ascii="Times New Roman" w:hAnsi="Times New Roman" w:eastAsia="宋体" w:cs="宋体"/>
                <w:b/>
                <w:bCs/>
                <w:color w:val="000000" w:themeColor="text1"/>
                <w:kern w:val="0"/>
                <w:sz w:val="21"/>
                <w:szCs w:val="21"/>
                <w:highlight w:val="none"/>
                <w14:textFill>
                  <w14:solidFill>
                    <w14:schemeClr w14:val="tx1"/>
                  </w14:solidFill>
                </w14:textFill>
              </w:rPr>
              <w:t>纳</w:t>
            </w:r>
            <w:r>
              <w:rPr>
                <w:rFonts w:hint="eastAsia" w:ascii="Times New Roman" w:hAnsi="Times New Roman" w:eastAsia="宋体" w:cs="宋体"/>
                <w:b/>
                <w:bCs/>
                <w:color w:val="000000" w:themeColor="text1"/>
                <w:sz w:val="21"/>
                <w:szCs w:val="21"/>
                <w:highlight w:val="none"/>
                <w14:textFill>
                  <w14:solidFill>
                    <w14:schemeClr w14:val="tx1"/>
                  </w14:solidFill>
                </w14:textFill>
              </w:rPr>
              <w:t>履约保证金。</w:t>
            </w:r>
          </w:p>
        </w:tc>
      </w:tr>
      <w:tr w14:paraId="4CA8B5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963" w:type="dxa"/>
            <w:noWrap w:val="0"/>
            <w:vAlign w:val="center"/>
          </w:tcPr>
          <w:p w14:paraId="7074606E">
            <w:pPr>
              <w:keepNext w:val="0"/>
              <w:keepLines w:val="0"/>
              <w:pageBreakBefore w:val="0"/>
              <w:widowControl w:val="0"/>
              <w:kinsoku/>
              <w:wordWrap/>
              <w:overflowPunct/>
              <w:topLinePunct w:val="0"/>
              <w:bidi w:val="0"/>
              <w:adjustRightInd/>
              <w:spacing w:line="390" w:lineRule="exact"/>
              <w:jc w:val="center"/>
              <w:rPr>
                <w:rFonts w:hint="eastAsia" w:ascii="Times New Roman" w:hAnsi="Times New Roman" w:eastAsia="宋体" w:cs="宋体"/>
                <w:color w:val="000000" w:themeColor="text1"/>
                <w:sz w:val="21"/>
                <w:szCs w:val="21"/>
                <w:highlight w:val="none"/>
                <w14:textFill>
                  <w14:solidFill>
                    <w14:schemeClr w14:val="tx1"/>
                  </w14:solidFill>
                </w14:textFill>
              </w:rPr>
            </w:pPr>
            <w:r>
              <w:rPr>
                <w:rFonts w:hint="eastAsia" w:ascii="Times New Roman" w:hAnsi="Times New Roman" w:eastAsia="宋体" w:cs="宋体"/>
                <w:color w:val="000000" w:themeColor="text1"/>
                <w:sz w:val="21"/>
                <w:szCs w:val="21"/>
                <w:highlight w:val="none"/>
                <w14:textFill>
                  <w14:solidFill>
                    <w14:schemeClr w14:val="tx1"/>
                  </w14:solidFill>
                </w14:textFill>
              </w:rPr>
              <w:t>2</w:t>
            </w: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8</w:t>
            </w:r>
            <w:r>
              <w:rPr>
                <w:rFonts w:hint="eastAsia" w:ascii="Times New Roman" w:hAnsi="Times New Roman" w:eastAsia="宋体" w:cs="宋体"/>
                <w:color w:val="000000" w:themeColor="text1"/>
                <w:sz w:val="21"/>
                <w:szCs w:val="21"/>
                <w:highlight w:val="none"/>
                <w14:textFill>
                  <w14:solidFill>
                    <w14:schemeClr w14:val="tx1"/>
                  </w14:solidFill>
                </w14:textFill>
              </w:rPr>
              <w:t>.5</w:t>
            </w:r>
          </w:p>
        </w:tc>
        <w:tc>
          <w:tcPr>
            <w:tcW w:w="2321" w:type="dxa"/>
            <w:noWrap w:val="0"/>
            <w:vAlign w:val="center"/>
          </w:tcPr>
          <w:p w14:paraId="0E62630E">
            <w:pPr>
              <w:keepNext w:val="0"/>
              <w:keepLines w:val="0"/>
              <w:pageBreakBefore w:val="0"/>
              <w:widowControl w:val="0"/>
              <w:kinsoku/>
              <w:wordWrap/>
              <w:overflowPunct/>
              <w:topLinePunct w:val="0"/>
              <w:bidi w:val="0"/>
              <w:adjustRightInd/>
              <w:spacing w:line="390" w:lineRule="exact"/>
              <w:jc w:val="center"/>
              <w:rPr>
                <w:rFonts w:hint="eastAsia" w:ascii="Times New Roman" w:hAnsi="Times New Roman" w:eastAsia="宋体" w:cs="宋体"/>
                <w:b w:val="0"/>
                <w:bCs/>
                <w:color w:val="000000" w:themeColor="text1"/>
                <w:sz w:val="21"/>
                <w:szCs w:val="21"/>
                <w:highlight w:val="none"/>
                <w14:textFill>
                  <w14:solidFill>
                    <w14:schemeClr w14:val="tx1"/>
                  </w14:solidFill>
                </w14:textFill>
              </w:rPr>
            </w:pPr>
            <w:r>
              <w:rPr>
                <w:rFonts w:hint="eastAsia" w:ascii="Times New Roman" w:hAnsi="Times New Roman" w:eastAsia="宋体" w:cs="宋体"/>
                <w:b w:val="0"/>
                <w:bCs/>
                <w:color w:val="000000" w:themeColor="text1"/>
                <w:sz w:val="21"/>
                <w:szCs w:val="21"/>
                <w:highlight w:val="none"/>
                <w14:textFill>
                  <w14:solidFill>
                    <w14:schemeClr w14:val="tx1"/>
                  </w14:solidFill>
                </w14:textFill>
              </w:rPr>
              <w:t>签订合同携带的材料</w:t>
            </w:r>
          </w:p>
        </w:tc>
        <w:tc>
          <w:tcPr>
            <w:tcW w:w="6466" w:type="dxa"/>
            <w:noWrap w:val="0"/>
            <w:vAlign w:val="center"/>
          </w:tcPr>
          <w:p w14:paraId="7EF92ED1">
            <w:pPr>
              <w:keepNext w:val="0"/>
              <w:keepLines w:val="0"/>
              <w:pageBreakBefore w:val="0"/>
              <w:widowControl w:val="0"/>
              <w:kinsoku/>
              <w:wordWrap/>
              <w:overflowPunct/>
              <w:topLinePunct w:val="0"/>
              <w:autoSpaceDE w:val="0"/>
              <w:autoSpaceDN w:val="0"/>
              <w:bidi w:val="0"/>
              <w:adjustRightInd/>
              <w:snapToGrid w:val="0"/>
              <w:spacing w:line="390" w:lineRule="exact"/>
              <w:jc w:val="both"/>
              <w:textAlignment w:val="bottom"/>
              <w:rPr>
                <w:rFonts w:hint="eastAsia" w:ascii="Times New Roman" w:hAnsi="Times New Roman" w:eastAsia="宋体" w:cs="宋体"/>
                <w:color w:val="000000" w:themeColor="text1"/>
                <w:sz w:val="21"/>
                <w:szCs w:val="21"/>
                <w:highlight w:val="none"/>
                <w14:textFill>
                  <w14:solidFill>
                    <w14:schemeClr w14:val="tx1"/>
                  </w14:solidFill>
                </w14:textFill>
              </w:rPr>
            </w:pPr>
            <w:r>
              <w:rPr>
                <w:rFonts w:hint="eastAsia" w:ascii="Times New Roman" w:hAnsi="Times New Roman" w:eastAsia="宋体" w:cs="宋体"/>
                <w:color w:val="000000" w:themeColor="text1"/>
                <w:sz w:val="21"/>
                <w:szCs w:val="21"/>
                <w:highlight w:val="none"/>
                <w14:textFill>
                  <w14:solidFill>
                    <w14:schemeClr w14:val="tx1"/>
                  </w14:solidFill>
                </w14:textFill>
              </w:rPr>
              <w:t>委托代理人负责签订合同的，须携带</w:t>
            </w:r>
            <w:r>
              <w:rPr>
                <w:rFonts w:hint="eastAsia" w:ascii="Times New Roman" w:hAnsi="Times New Roman" w:eastAsia="宋体" w:cs="宋体"/>
                <w:color w:val="000000" w:themeColor="text1"/>
                <w:sz w:val="21"/>
                <w:szCs w:val="21"/>
                <w:highlight w:val="none"/>
                <w:lang w:eastAsia="zh-CN"/>
                <w14:textFill>
                  <w14:solidFill>
                    <w14:schemeClr w14:val="tx1"/>
                  </w14:solidFill>
                </w14:textFill>
              </w:rPr>
              <w:t>有效的法定代表人</w:t>
            </w:r>
            <w:r>
              <w:rPr>
                <w:rFonts w:hint="eastAsia" w:ascii="Times New Roman" w:hAnsi="Times New Roman" w:eastAsia="宋体" w:cs="宋体"/>
                <w:color w:val="000000" w:themeColor="text1"/>
                <w:sz w:val="21"/>
                <w:szCs w:val="21"/>
                <w:highlight w:val="none"/>
                <w14:textFill>
                  <w14:solidFill>
                    <w14:schemeClr w14:val="tx1"/>
                  </w14:solidFill>
                </w14:textFill>
              </w:rPr>
              <w:t>授权委托书及</w:t>
            </w:r>
            <w:r>
              <w:rPr>
                <w:rFonts w:hint="eastAsia" w:ascii="Times New Roman" w:hAnsi="Times New Roman" w:eastAsia="宋体" w:cs="宋体"/>
                <w:color w:val="000000" w:themeColor="text1"/>
                <w:sz w:val="21"/>
                <w:szCs w:val="21"/>
                <w:highlight w:val="none"/>
                <w:lang w:eastAsia="zh-CN"/>
                <w14:textFill>
                  <w14:solidFill>
                    <w14:schemeClr w14:val="tx1"/>
                  </w14:solidFill>
                </w14:textFill>
              </w:rPr>
              <w:t>其</w:t>
            </w:r>
            <w:r>
              <w:rPr>
                <w:rFonts w:hint="eastAsia" w:ascii="Times New Roman" w:hAnsi="Times New Roman" w:eastAsia="宋体" w:cs="宋体"/>
                <w:color w:val="000000" w:themeColor="text1"/>
                <w:sz w:val="21"/>
                <w:szCs w:val="21"/>
                <w:highlight w:val="none"/>
                <w14:textFill>
                  <w14:solidFill>
                    <w14:schemeClr w14:val="tx1"/>
                  </w14:solidFill>
                </w14:textFill>
              </w:rPr>
              <w:t>委托代理人身份证原件等</w:t>
            </w:r>
            <w:r>
              <w:rPr>
                <w:rFonts w:hint="eastAsia" w:ascii="Times New Roman" w:hAnsi="Times New Roman" w:eastAsia="宋体" w:cs="宋体"/>
                <w:color w:val="000000" w:themeColor="text1"/>
                <w:sz w:val="21"/>
                <w:szCs w:val="21"/>
                <w:highlight w:val="none"/>
                <w:lang w:eastAsia="zh-CN"/>
                <w14:textFill>
                  <w14:solidFill>
                    <w14:schemeClr w14:val="tx1"/>
                  </w14:solidFill>
                </w14:textFill>
              </w:rPr>
              <w:t>其他</w:t>
            </w:r>
            <w:r>
              <w:rPr>
                <w:rFonts w:hint="eastAsia" w:ascii="Times New Roman" w:hAnsi="Times New Roman" w:eastAsia="宋体" w:cs="宋体"/>
                <w:color w:val="000000" w:themeColor="text1"/>
                <w:sz w:val="21"/>
                <w:szCs w:val="21"/>
                <w:highlight w:val="none"/>
                <w14:textFill>
                  <w14:solidFill>
                    <w14:schemeClr w14:val="tx1"/>
                  </w14:solidFill>
                </w14:textFill>
              </w:rPr>
              <w:t>资格证件。</w:t>
            </w:r>
          </w:p>
          <w:p w14:paraId="3368F4CA">
            <w:pPr>
              <w:keepNext w:val="0"/>
              <w:keepLines w:val="0"/>
              <w:pageBreakBefore w:val="0"/>
              <w:widowControl w:val="0"/>
              <w:kinsoku/>
              <w:wordWrap/>
              <w:overflowPunct/>
              <w:topLinePunct w:val="0"/>
              <w:autoSpaceDE w:val="0"/>
              <w:autoSpaceDN w:val="0"/>
              <w:bidi w:val="0"/>
              <w:adjustRightInd/>
              <w:snapToGrid w:val="0"/>
              <w:spacing w:line="390" w:lineRule="exact"/>
              <w:jc w:val="both"/>
              <w:textAlignment w:val="bottom"/>
              <w:rPr>
                <w:rFonts w:hint="eastAsia" w:ascii="Times New Roman" w:hAnsi="Times New Roman" w:eastAsia="宋体" w:cs="宋体"/>
                <w:b/>
                <w:bCs/>
                <w:i/>
                <w:iCs/>
                <w:color w:val="000000" w:themeColor="text1"/>
                <w:sz w:val="21"/>
                <w:szCs w:val="21"/>
                <w:highlight w:val="none"/>
                <w14:textFill>
                  <w14:solidFill>
                    <w14:schemeClr w14:val="tx1"/>
                  </w14:solidFill>
                </w14:textFill>
              </w:rPr>
            </w:pPr>
            <w:r>
              <w:rPr>
                <w:rFonts w:hint="eastAsia" w:ascii="Times New Roman" w:hAnsi="Times New Roman" w:eastAsia="宋体" w:cs="宋体"/>
                <w:color w:val="000000" w:themeColor="text1"/>
                <w:sz w:val="21"/>
                <w:szCs w:val="21"/>
                <w:highlight w:val="none"/>
                <w14:textFill>
                  <w14:solidFill>
                    <w14:schemeClr w14:val="tx1"/>
                  </w14:solidFill>
                </w14:textFill>
              </w:rPr>
              <w:t>法定代表人负责签订合同的，须携带法定代表人身份证明原件及身份证原件等</w:t>
            </w:r>
            <w:r>
              <w:rPr>
                <w:rFonts w:hint="eastAsia" w:ascii="Times New Roman" w:hAnsi="Times New Roman" w:eastAsia="宋体" w:cs="宋体"/>
                <w:color w:val="000000" w:themeColor="text1"/>
                <w:sz w:val="21"/>
                <w:szCs w:val="21"/>
                <w:highlight w:val="none"/>
                <w:lang w:eastAsia="zh-CN"/>
                <w14:textFill>
                  <w14:solidFill>
                    <w14:schemeClr w14:val="tx1"/>
                  </w14:solidFill>
                </w14:textFill>
              </w:rPr>
              <w:t>其他</w:t>
            </w:r>
            <w:r>
              <w:rPr>
                <w:rFonts w:hint="eastAsia" w:ascii="Times New Roman" w:hAnsi="Times New Roman" w:eastAsia="宋体" w:cs="宋体"/>
                <w:color w:val="000000" w:themeColor="text1"/>
                <w:sz w:val="21"/>
                <w:szCs w:val="21"/>
                <w:highlight w:val="none"/>
                <w14:textFill>
                  <w14:solidFill>
                    <w14:schemeClr w14:val="tx1"/>
                  </w14:solidFill>
                </w14:textFill>
              </w:rPr>
              <w:t>证明材料。</w:t>
            </w:r>
          </w:p>
        </w:tc>
      </w:tr>
      <w:tr w14:paraId="7FAEB8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963" w:type="dxa"/>
            <w:vMerge w:val="restart"/>
            <w:noWrap w:val="0"/>
            <w:vAlign w:val="center"/>
          </w:tcPr>
          <w:p w14:paraId="5A71E555">
            <w:pPr>
              <w:keepNext w:val="0"/>
              <w:keepLines w:val="0"/>
              <w:pageBreakBefore w:val="0"/>
              <w:widowControl w:val="0"/>
              <w:kinsoku/>
              <w:wordWrap/>
              <w:overflowPunct/>
              <w:topLinePunct w:val="0"/>
              <w:bidi w:val="0"/>
              <w:adjustRightInd/>
              <w:spacing w:line="390" w:lineRule="exact"/>
              <w:jc w:val="center"/>
              <w:rPr>
                <w:rFonts w:hint="eastAsia" w:ascii="Times New Roman" w:hAnsi="Times New Roman" w:eastAsia="宋体" w:cs="宋体"/>
                <w:color w:val="000000" w:themeColor="text1"/>
                <w:sz w:val="21"/>
                <w:szCs w:val="21"/>
                <w:highlight w:val="none"/>
                <w14:textFill>
                  <w14:solidFill>
                    <w14:schemeClr w14:val="tx1"/>
                  </w14:solidFill>
                </w14:textFill>
              </w:rPr>
            </w:pPr>
            <w:r>
              <w:rPr>
                <w:rFonts w:hint="eastAsia" w:ascii="Times New Roman" w:hAnsi="Times New Roman" w:eastAsia="宋体" w:cs="宋体"/>
                <w:color w:val="000000" w:themeColor="text1"/>
                <w:sz w:val="21"/>
                <w:szCs w:val="21"/>
                <w:highlight w:val="none"/>
                <w14:textFill>
                  <w14:solidFill>
                    <w14:schemeClr w14:val="tx1"/>
                  </w14:solidFill>
                </w14:textFill>
              </w:rPr>
              <w:t>3</w:t>
            </w: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0</w:t>
            </w:r>
            <w:r>
              <w:rPr>
                <w:rFonts w:hint="eastAsia" w:ascii="Times New Roman" w:hAnsi="Times New Roman" w:eastAsia="宋体" w:cs="宋体"/>
                <w:color w:val="000000" w:themeColor="text1"/>
                <w:sz w:val="21"/>
                <w:szCs w:val="21"/>
                <w:highlight w:val="none"/>
                <w14:textFill>
                  <w14:solidFill>
                    <w14:schemeClr w14:val="tx1"/>
                  </w14:solidFill>
                </w14:textFill>
              </w:rPr>
              <w:t>.2</w:t>
            </w:r>
          </w:p>
        </w:tc>
        <w:tc>
          <w:tcPr>
            <w:tcW w:w="2321" w:type="dxa"/>
            <w:noWrap w:val="0"/>
            <w:vAlign w:val="center"/>
          </w:tcPr>
          <w:p w14:paraId="4C3B0D24">
            <w:pPr>
              <w:keepNext w:val="0"/>
              <w:keepLines w:val="0"/>
              <w:pageBreakBefore w:val="0"/>
              <w:widowControl w:val="0"/>
              <w:kinsoku/>
              <w:wordWrap/>
              <w:overflowPunct/>
              <w:topLinePunct w:val="0"/>
              <w:bidi w:val="0"/>
              <w:adjustRightInd/>
              <w:spacing w:line="390" w:lineRule="exact"/>
              <w:jc w:val="center"/>
              <w:rPr>
                <w:rFonts w:hint="eastAsia" w:ascii="Times New Roman" w:hAnsi="Times New Roman" w:eastAsia="宋体" w:cs="宋体"/>
                <w:b w:val="0"/>
                <w:bCs/>
                <w:color w:val="000000" w:themeColor="text1"/>
                <w:sz w:val="21"/>
                <w:szCs w:val="21"/>
                <w:highlight w:val="none"/>
                <w14:textFill>
                  <w14:solidFill>
                    <w14:schemeClr w14:val="tx1"/>
                  </w14:solidFill>
                </w14:textFill>
              </w:rPr>
            </w:pPr>
            <w:r>
              <w:rPr>
                <w:rFonts w:hint="eastAsia" w:ascii="Times New Roman" w:hAnsi="Times New Roman" w:eastAsia="宋体" w:cs="宋体"/>
                <w:b w:val="0"/>
                <w:bCs/>
                <w:color w:val="000000" w:themeColor="text1"/>
                <w:sz w:val="21"/>
                <w:szCs w:val="21"/>
                <w:highlight w:val="none"/>
                <w14:textFill>
                  <w14:solidFill>
                    <w14:schemeClr w14:val="tx1"/>
                  </w14:solidFill>
                </w14:textFill>
              </w:rPr>
              <w:t>接收质疑函方式</w:t>
            </w:r>
          </w:p>
        </w:tc>
        <w:tc>
          <w:tcPr>
            <w:tcW w:w="6466" w:type="dxa"/>
            <w:noWrap w:val="0"/>
            <w:vAlign w:val="center"/>
          </w:tcPr>
          <w:p w14:paraId="4172CEA3">
            <w:pPr>
              <w:keepNext w:val="0"/>
              <w:keepLines w:val="0"/>
              <w:pageBreakBefore w:val="0"/>
              <w:widowControl w:val="0"/>
              <w:kinsoku/>
              <w:wordWrap/>
              <w:overflowPunct/>
              <w:topLinePunct w:val="0"/>
              <w:bidi w:val="0"/>
              <w:adjustRightInd/>
              <w:snapToGrid w:val="0"/>
              <w:spacing w:line="390" w:lineRule="exact"/>
              <w:jc w:val="both"/>
              <w:rPr>
                <w:rFonts w:hint="eastAsia" w:ascii="Times New Roman" w:hAnsi="Times New Roman" w:eastAsia="宋体" w:cs="宋体"/>
                <w:color w:val="000000" w:themeColor="text1"/>
                <w:sz w:val="21"/>
                <w:szCs w:val="21"/>
                <w:highlight w:val="none"/>
                <w14:textFill>
                  <w14:solidFill>
                    <w14:schemeClr w14:val="tx1"/>
                  </w14:solidFill>
                </w14:textFill>
              </w:rPr>
            </w:pPr>
            <w:r>
              <w:rPr>
                <w:rFonts w:hint="eastAsia" w:ascii="Times New Roman" w:hAnsi="Times New Roman" w:eastAsia="宋体" w:cs="宋体"/>
                <w:color w:val="000000" w:themeColor="text1"/>
                <w:sz w:val="21"/>
                <w:szCs w:val="21"/>
                <w:highlight w:val="none"/>
                <w14:textFill>
                  <w14:solidFill>
                    <w14:schemeClr w14:val="tx1"/>
                  </w14:solidFill>
                </w14:textFill>
              </w:rPr>
              <w:t>以书面形式</w:t>
            </w:r>
          </w:p>
        </w:tc>
      </w:tr>
      <w:tr w14:paraId="74240B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963" w:type="dxa"/>
            <w:vMerge w:val="continue"/>
            <w:noWrap w:val="0"/>
            <w:vAlign w:val="center"/>
          </w:tcPr>
          <w:p w14:paraId="261D430C">
            <w:pPr>
              <w:keepNext w:val="0"/>
              <w:keepLines w:val="0"/>
              <w:pageBreakBefore w:val="0"/>
              <w:widowControl w:val="0"/>
              <w:kinsoku/>
              <w:wordWrap/>
              <w:overflowPunct/>
              <w:topLinePunct w:val="0"/>
              <w:bidi w:val="0"/>
              <w:adjustRightInd/>
              <w:spacing w:line="390" w:lineRule="exact"/>
              <w:jc w:val="center"/>
              <w:rPr>
                <w:rFonts w:hint="eastAsia" w:ascii="Times New Roman" w:hAnsi="Times New Roman" w:eastAsia="宋体" w:cs="宋体"/>
                <w:color w:val="000000" w:themeColor="text1"/>
                <w:sz w:val="21"/>
                <w:szCs w:val="21"/>
                <w:highlight w:val="none"/>
                <w14:textFill>
                  <w14:solidFill>
                    <w14:schemeClr w14:val="tx1"/>
                  </w14:solidFill>
                </w14:textFill>
              </w:rPr>
            </w:pPr>
          </w:p>
        </w:tc>
        <w:tc>
          <w:tcPr>
            <w:tcW w:w="2321" w:type="dxa"/>
            <w:noWrap w:val="0"/>
            <w:vAlign w:val="center"/>
          </w:tcPr>
          <w:p w14:paraId="7A91AFD2">
            <w:pPr>
              <w:keepNext w:val="0"/>
              <w:keepLines w:val="0"/>
              <w:pageBreakBefore w:val="0"/>
              <w:widowControl w:val="0"/>
              <w:kinsoku/>
              <w:wordWrap/>
              <w:overflowPunct/>
              <w:topLinePunct w:val="0"/>
              <w:bidi w:val="0"/>
              <w:adjustRightInd/>
              <w:spacing w:line="390" w:lineRule="exact"/>
              <w:jc w:val="center"/>
              <w:rPr>
                <w:rFonts w:hint="eastAsia" w:ascii="Times New Roman" w:hAnsi="Times New Roman" w:eastAsia="宋体" w:cs="宋体"/>
                <w:b w:val="0"/>
                <w:bCs/>
                <w:color w:val="000000" w:themeColor="text1"/>
                <w:sz w:val="21"/>
                <w:szCs w:val="21"/>
                <w:highlight w:val="none"/>
                <w14:textFill>
                  <w14:solidFill>
                    <w14:schemeClr w14:val="tx1"/>
                  </w14:solidFill>
                </w14:textFill>
              </w:rPr>
            </w:pPr>
            <w:r>
              <w:rPr>
                <w:rFonts w:hint="eastAsia" w:ascii="Times New Roman" w:hAnsi="Times New Roman" w:eastAsia="宋体" w:cs="宋体"/>
                <w:b w:val="0"/>
                <w:bCs/>
                <w:color w:val="000000" w:themeColor="text1"/>
                <w:sz w:val="21"/>
                <w:szCs w:val="21"/>
                <w:highlight w:val="none"/>
                <w14:textFill>
                  <w14:solidFill>
                    <w14:schemeClr w14:val="tx1"/>
                  </w14:solidFill>
                </w14:textFill>
              </w:rPr>
              <w:t>质疑联系部门</w:t>
            </w:r>
          </w:p>
          <w:p w14:paraId="3D8AC0B9">
            <w:pPr>
              <w:keepNext w:val="0"/>
              <w:keepLines w:val="0"/>
              <w:pageBreakBefore w:val="0"/>
              <w:widowControl w:val="0"/>
              <w:kinsoku/>
              <w:wordWrap/>
              <w:overflowPunct/>
              <w:topLinePunct w:val="0"/>
              <w:bidi w:val="0"/>
              <w:adjustRightInd/>
              <w:spacing w:line="390" w:lineRule="exact"/>
              <w:jc w:val="center"/>
              <w:rPr>
                <w:rFonts w:hint="eastAsia" w:ascii="Times New Roman" w:hAnsi="Times New Roman" w:eastAsia="宋体" w:cs="宋体"/>
                <w:b w:val="0"/>
                <w:bCs/>
                <w:color w:val="000000" w:themeColor="text1"/>
                <w:sz w:val="21"/>
                <w:szCs w:val="21"/>
                <w:highlight w:val="none"/>
                <w14:textFill>
                  <w14:solidFill>
                    <w14:schemeClr w14:val="tx1"/>
                  </w14:solidFill>
                </w14:textFill>
              </w:rPr>
            </w:pPr>
            <w:r>
              <w:rPr>
                <w:rFonts w:hint="eastAsia" w:ascii="Times New Roman" w:hAnsi="Times New Roman" w:eastAsia="宋体" w:cs="宋体"/>
                <w:b w:val="0"/>
                <w:bCs/>
                <w:color w:val="000000" w:themeColor="text1"/>
                <w:sz w:val="21"/>
                <w:szCs w:val="21"/>
                <w:highlight w:val="none"/>
                <w14:textFill>
                  <w14:solidFill>
                    <w14:schemeClr w14:val="tx1"/>
                  </w14:solidFill>
                </w14:textFill>
              </w:rPr>
              <w:t>及联系方式</w:t>
            </w:r>
          </w:p>
        </w:tc>
        <w:tc>
          <w:tcPr>
            <w:tcW w:w="6466" w:type="dxa"/>
            <w:noWrap w:val="0"/>
            <w:vAlign w:val="center"/>
          </w:tcPr>
          <w:p w14:paraId="6291F668">
            <w:pPr>
              <w:keepNext w:val="0"/>
              <w:keepLines w:val="0"/>
              <w:pageBreakBefore w:val="0"/>
              <w:widowControl w:val="0"/>
              <w:kinsoku/>
              <w:wordWrap/>
              <w:overflowPunct/>
              <w:topLinePunct w:val="0"/>
              <w:bidi w:val="0"/>
              <w:adjustRightInd/>
              <w:snapToGrid w:val="0"/>
              <w:spacing w:line="390" w:lineRule="exact"/>
              <w:jc w:val="both"/>
              <w:rPr>
                <w:rFonts w:hint="eastAsia" w:ascii="Times New Roman" w:hAnsi="Times New Roman" w:eastAsia="宋体" w:cs="宋体"/>
                <w:color w:val="000000" w:themeColor="text1"/>
                <w:sz w:val="21"/>
                <w:szCs w:val="21"/>
                <w:highlight w:val="none"/>
                <w:lang w:eastAsia="zh-CN"/>
                <w14:textFill>
                  <w14:solidFill>
                    <w14:schemeClr w14:val="tx1"/>
                  </w14:solidFill>
                </w14:textFill>
              </w:rPr>
            </w:pPr>
            <w:r>
              <w:rPr>
                <w:rFonts w:hint="eastAsia" w:ascii="Times New Roman" w:hAnsi="Times New Roman" w:eastAsia="宋体" w:cs="宋体"/>
                <w:color w:val="000000" w:themeColor="text1"/>
                <w:sz w:val="21"/>
                <w:szCs w:val="21"/>
                <w:highlight w:val="none"/>
                <w14:textFill>
                  <w14:solidFill>
                    <w14:schemeClr w14:val="tx1"/>
                  </w14:solidFill>
                </w14:textFill>
              </w:rPr>
              <w:t>（1）</w:t>
            </w:r>
            <w:bookmarkStart w:id="74" w:name="PO_3000001868_PM031_3"/>
            <w:r>
              <w:rPr>
                <w:rFonts w:hint="eastAsia" w:ascii="Times New Roman" w:hAnsi="Times New Roman" w:eastAsia="宋体" w:cs="宋体"/>
                <w:color w:val="000000" w:themeColor="text1"/>
                <w:sz w:val="21"/>
                <w:szCs w:val="21"/>
                <w:highlight w:val="none"/>
                <w14:textFill>
                  <w14:solidFill>
                    <w14:schemeClr w14:val="tx1"/>
                  </w14:solidFill>
                </w14:textFill>
              </w:rPr>
              <w:t>名称：</w:t>
            </w:r>
            <w:bookmarkEnd w:id="74"/>
            <w:r>
              <w:rPr>
                <w:rFonts w:hint="eastAsia" w:cs="宋体"/>
                <w:color w:val="000000" w:themeColor="text1"/>
                <w:sz w:val="21"/>
                <w:szCs w:val="21"/>
                <w:highlight w:val="none"/>
                <w:lang w:eastAsia="zh-CN"/>
                <w14:textFill>
                  <w14:solidFill>
                    <w14:schemeClr w14:val="tx1"/>
                  </w14:solidFill>
                </w14:textFill>
              </w:rPr>
              <w:t>桂林市中西医结合医院</w:t>
            </w:r>
          </w:p>
          <w:p w14:paraId="64A429A7">
            <w:pPr>
              <w:keepNext w:val="0"/>
              <w:keepLines w:val="0"/>
              <w:pageBreakBefore w:val="0"/>
              <w:widowControl w:val="0"/>
              <w:kinsoku/>
              <w:wordWrap/>
              <w:overflowPunct/>
              <w:topLinePunct w:val="0"/>
              <w:bidi w:val="0"/>
              <w:adjustRightInd/>
              <w:snapToGrid w:val="0"/>
              <w:spacing w:line="390" w:lineRule="exact"/>
              <w:jc w:val="both"/>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宋体"/>
                <w:color w:val="000000" w:themeColor="text1"/>
                <w:sz w:val="21"/>
                <w:szCs w:val="21"/>
                <w:highlight w:val="none"/>
                <w14:textFill>
                  <w14:solidFill>
                    <w14:schemeClr w14:val="tx1"/>
                  </w14:solidFill>
                </w14:textFill>
              </w:rPr>
              <w:t>联系电话：联系电话：</w:t>
            </w:r>
            <w:r>
              <w:rPr>
                <w:rFonts w:hint="eastAsia" w:ascii="Times New Roman" w:hAnsi="Times New Roman" w:cs="宋体"/>
                <w:color w:val="000000" w:themeColor="text1"/>
                <w:sz w:val="21"/>
                <w:szCs w:val="21"/>
                <w:highlight w:val="none"/>
                <w:lang w:eastAsia="zh-CN"/>
                <w14:textFill>
                  <w14:solidFill>
                    <w14:schemeClr w14:val="tx1"/>
                  </w14:solidFill>
                </w14:textFill>
              </w:rPr>
              <w:t>0773-</w:t>
            </w:r>
            <w:r>
              <w:rPr>
                <w:rFonts w:hint="eastAsia" w:cs="宋体"/>
                <w:color w:val="000000" w:themeColor="text1"/>
                <w:sz w:val="21"/>
                <w:szCs w:val="21"/>
                <w:highlight w:val="none"/>
                <w:lang w:eastAsia="zh-CN"/>
                <w14:textFill>
                  <w14:solidFill>
                    <w14:schemeClr w14:val="tx1"/>
                  </w14:solidFill>
                </w14:textFill>
              </w:rPr>
              <w:t>6790376</w:t>
            </w:r>
          </w:p>
          <w:p w14:paraId="28CE581E">
            <w:pPr>
              <w:keepNext w:val="0"/>
              <w:keepLines w:val="0"/>
              <w:pageBreakBefore w:val="0"/>
              <w:widowControl w:val="0"/>
              <w:kinsoku/>
              <w:wordWrap/>
              <w:overflowPunct/>
              <w:topLinePunct w:val="0"/>
              <w:bidi w:val="0"/>
              <w:adjustRightInd/>
              <w:snapToGrid w:val="0"/>
              <w:spacing w:line="390" w:lineRule="exact"/>
              <w:jc w:val="both"/>
              <w:rPr>
                <w:rFonts w:hint="eastAsia" w:ascii="Times New Roman" w:hAnsi="Times New Roman" w:eastAsia="宋体" w:cs="宋体"/>
                <w:color w:val="000000" w:themeColor="text1"/>
                <w:sz w:val="21"/>
                <w:szCs w:val="21"/>
                <w:highlight w:val="none"/>
                <w:lang w:eastAsia="zh-CN"/>
                <w14:textFill>
                  <w14:solidFill>
                    <w14:schemeClr w14:val="tx1"/>
                  </w14:solidFill>
                </w14:textFill>
              </w:rPr>
            </w:pPr>
            <w:r>
              <w:rPr>
                <w:rFonts w:hint="eastAsia" w:ascii="Times New Roman" w:hAnsi="Times New Roman" w:eastAsia="宋体" w:cs="宋体"/>
                <w:color w:val="000000" w:themeColor="text1"/>
                <w:sz w:val="21"/>
                <w:szCs w:val="21"/>
                <w:highlight w:val="none"/>
                <w14:textFill>
                  <w14:solidFill>
                    <w14:schemeClr w14:val="tx1"/>
                  </w14:solidFill>
                </w14:textFill>
              </w:rPr>
              <w:t>通讯地址：</w:t>
            </w:r>
            <w:r>
              <w:rPr>
                <w:rFonts w:hint="eastAsia" w:cs="宋体"/>
                <w:color w:val="000000" w:themeColor="text1"/>
                <w:sz w:val="21"/>
                <w:szCs w:val="21"/>
                <w:highlight w:val="none"/>
                <w:lang w:eastAsia="zh-CN"/>
                <w14:textFill>
                  <w14:solidFill>
                    <w14:schemeClr w14:val="tx1"/>
                  </w14:solidFill>
                </w14:textFill>
              </w:rPr>
              <w:t>桂林市七星区半塘路6号</w:t>
            </w:r>
          </w:p>
          <w:p w14:paraId="13BF4ADC">
            <w:pPr>
              <w:keepNext w:val="0"/>
              <w:keepLines w:val="0"/>
              <w:pageBreakBefore w:val="0"/>
              <w:widowControl w:val="0"/>
              <w:kinsoku/>
              <w:wordWrap/>
              <w:overflowPunct/>
              <w:topLinePunct w:val="0"/>
              <w:bidi w:val="0"/>
              <w:adjustRightInd/>
              <w:snapToGrid w:val="0"/>
              <w:spacing w:line="390" w:lineRule="exact"/>
              <w:jc w:val="both"/>
              <w:rPr>
                <w:rFonts w:hint="eastAsia" w:ascii="Times New Roman" w:hAnsi="Times New Roman" w:eastAsia="宋体" w:cs="宋体"/>
                <w:color w:val="000000" w:themeColor="text1"/>
                <w:sz w:val="21"/>
                <w:szCs w:val="21"/>
                <w:highlight w:val="none"/>
                <w14:textFill>
                  <w14:solidFill>
                    <w14:schemeClr w14:val="tx1"/>
                  </w14:solidFill>
                </w14:textFill>
              </w:rPr>
            </w:pPr>
            <w:r>
              <w:rPr>
                <w:rFonts w:hint="eastAsia" w:ascii="Times New Roman" w:hAnsi="Times New Roman" w:eastAsia="宋体" w:cs="宋体"/>
                <w:color w:val="000000" w:themeColor="text1"/>
                <w:sz w:val="21"/>
                <w:szCs w:val="21"/>
                <w:highlight w:val="none"/>
                <w14:textFill>
                  <w14:solidFill>
                    <w14:schemeClr w14:val="tx1"/>
                  </w14:solidFill>
                </w14:textFill>
              </w:rPr>
              <w:t>（2）名称：广西科联招标中心有限公司</w:t>
            </w:r>
          </w:p>
          <w:p w14:paraId="1032847D">
            <w:pPr>
              <w:keepNext w:val="0"/>
              <w:keepLines w:val="0"/>
              <w:pageBreakBefore w:val="0"/>
              <w:widowControl w:val="0"/>
              <w:kinsoku/>
              <w:wordWrap/>
              <w:overflowPunct/>
              <w:topLinePunct w:val="0"/>
              <w:bidi w:val="0"/>
              <w:adjustRightInd/>
              <w:snapToGrid w:val="0"/>
              <w:spacing w:line="390" w:lineRule="exact"/>
              <w:jc w:val="both"/>
              <w:rPr>
                <w:rFonts w:hint="eastAsia" w:ascii="Times New Roman" w:hAnsi="Times New Roman" w:eastAsia="宋体" w:cs="宋体"/>
                <w:color w:val="000000" w:themeColor="text1"/>
                <w:sz w:val="21"/>
                <w:szCs w:val="21"/>
                <w:highlight w:val="none"/>
                <w:lang w:eastAsia="zh-CN"/>
                <w14:textFill>
                  <w14:solidFill>
                    <w14:schemeClr w14:val="tx1"/>
                  </w14:solidFill>
                </w14:textFill>
              </w:rPr>
            </w:pPr>
            <w:r>
              <w:rPr>
                <w:rFonts w:hint="eastAsia" w:ascii="Times New Roman" w:hAnsi="Times New Roman" w:eastAsia="宋体" w:cs="宋体"/>
                <w:color w:val="000000" w:themeColor="text1"/>
                <w:sz w:val="21"/>
                <w:szCs w:val="21"/>
                <w:highlight w:val="none"/>
                <w14:textFill>
                  <w14:solidFill>
                    <w14:schemeClr w14:val="tx1"/>
                  </w14:solidFill>
                </w14:textFill>
              </w:rPr>
              <w:t>联系电话：</w:t>
            </w:r>
            <w:r>
              <w:rPr>
                <w:rFonts w:hint="eastAsia" w:ascii="Times New Roman" w:hAnsi="Times New Roman" w:cs="宋体"/>
                <w:color w:val="000000" w:themeColor="text1"/>
                <w:sz w:val="21"/>
                <w:szCs w:val="21"/>
                <w:highlight w:val="none"/>
                <w:lang w:eastAsia="zh-CN"/>
                <w14:textFill>
                  <w14:solidFill>
                    <w14:schemeClr w14:val="tx1"/>
                  </w14:solidFill>
                </w14:textFill>
              </w:rPr>
              <w:t>077</w:t>
            </w:r>
            <w:r>
              <w:rPr>
                <w:rFonts w:hint="eastAsia" w:cs="宋体"/>
                <w:color w:val="000000" w:themeColor="text1"/>
                <w:sz w:val="21"/>
                <w:szCs w:val="21"/>
                <w:highlight w:val="none"/>
                <w:lang w:val="en-US" w:eastAsia="zh-CN"/>
                <w14:textFill>
                  <w14:solidFill>
                    <w14:schemeClr w14:val="tx1"/>
                  </w14:solidFill>
                </w14:textFill>
              </w:rPr>
              <w:t>3</w:t>
            </w:r>
            <w:r>
              <w:rPr>
                <w:rFonts w:hint="eastAsia" w:ascii="Times New Roman" w:hAnsi="Times New Roman" w:cs="宋体"/>
                <w:color w:val="000000" w:themeColor="text1"/>
                <w:sz w:val="21"/>
                <w:szCs w:val="21"/>
                <w:highlight w:val="none"/>
                <w:lang w:eastAsia="zh-CN"/>
                <w14:textFill>
                  <w14:solidFill>
                    <w14:schemeClr w14:val="tx1"/>
                  </w14:solidFill>
                </w14:textFill>
              </w:rPr>
              <w:t>-</w:t>
            </w:r>
            <w:r>
              <w:rPr>
                <w:rFonts w:hint="eastAsia" w:cs="宋体"/>
                <w:color w:val="000000" w:themeColor="text1"/>
                <w:sz w:val="21"/>
                <w:szCs w:val="21"/>
                <w:highlight w:val="none"/>
                <w:lang w:eastAsia="zh-CN"/>
                <w14:textFill>
                  <w14:solidFill>
                    <w14:schemeClr w14:val="tx1"/>
                  </w14:solidFill>
                </w14:textFill>
              </w:rPr>
              <w:t>5442932</w:t>
            </w:r>
          </w:p>
          <w:p w14:paraId="33D818C2">
            <w:pPr>
              <w:keepNext w:val="0"/>
              <w:keepLines w:val="0"/>
              <w:pageBreakBefore w:val="0"/>
              <w:widowControl w:val="0"/>
              <w:kinsoku/>
              <w:wordWrap/>
              <w:overflowPunct/>
              <w:topLinePunct w:val="0"/>
              <w:bidi w:val="0"/>
              <w:adjustRightInd/>
              <w:snapToGrid w:val="0"/>
              <w:spacing w:line="390" w:lineRule="exact"/>
              <w:jc w:val="both"/>
              <w:rPr>
                <w:rFonts w:hint="eastAsia" w:ascii="Times New Roman" w:hAnsi="Times New Roman" w:eastAsia="宋体" w:cs="宋体"/>
                <w:color w:val="000000" w:themeColor="text1"/>
                <w:sz w:val="21"/>
                <w:szCs w:val="21"/>
                <w:highlight w:val="none"/>
                <w:lang w:eastAsia="zh-CN"/>
                <w14:textFill>
                  <w14:solidFill>
                    <w14:schemeClr w14:val="tx1"/>
                  </w14:solidFill>
                </w14:textFill>
              </w:rPr>
            </w:pPr>
            <w:r>
              <w:rPr>
                <w:rFonts w:hint="eastAsia" w:ascii="Times New Roman" w:hAnsi="Times New Roman" w:eastAsia="宋体" w:cs="宋体"/>
                <w:color w:val="000000" w:themeColor="text1"/>
                <w:sz w:val="21"/>
                <w:szCs w:val="21"/>
                <w:highlight w:val="none"/>
                <w14:textFill>
                  <w14:solidFill>
                    <w14:schemeClr w14:val="tx1"/>
                  </w14:solidFill>
                </w14:textFill>
              </w:rPr>
              <w:t>通讯地址：</w:t>
            </w:r>
            <w:r>
              <w:rPr>
                <w:rFonts w:hint="eastAsia" w:ascii="Times New Roman" w:hAnsi="Times New Roman" w:cs="宋体"/>
                <w:color w:val="000000" w:themeColor="text1"/>
                <w:sz w:val="21"/>
                <w:szCs w:val="21"/>
                <w:highlight w:val="none"/>
                <w:lang w:eastAsia="zh-CN"/>
                <w14:textFill>
                  <w14:solidFill>
                    <w14:schemeClr w14:val="tx1"/>
                  </w14:solidFill>
                </w14:textFill>
              </w:rPr>
              <w:t>桂林市七星区东江路28号28-8栋</w:t>
            </w:r>
          </w:p>
        </w:tc>
      </w:tr>
      <w:tr w14:paraId="28BC7E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963" w:type="dxa"/>
            <w:vMerge w:val="continue"/>
            <w:noWrap w:val="0"/>
            <w:vAlign w:val="center"/>
          </w:tcPr>
          <w:p w14:paraId="500C0DA1">
            <w:pPr>
              <w:keepNext w:val="0"/>
              <w:keepLines w:val="0"/>
              <w:pageBreakBefore w:val="0"/>
              <w:widowControl w:val="0"/>
              <w:kinsoku/>
              <w:wordWrap/>
              <w:overflowPunct/>
              <w:topLinePunct w:val="0"/>
              <w:bidi w:val="0"/>
              <w:adjustRightInd/>
              <w:spacing w:line="390" w:lineRule="exact"/>
              <w:jc w:val="center"/>
              <w:rPr>
                <w:rFonts w:hint="eastAsia" w:ascii="Times New Roman" w:hAnsi="Times New Roman" w:eastAsia="宋体" w:cs="宋体"/>
                <w:color w:val="000000" w:themeColor="text1"/>
                <w:sz w:val="21"/>
                <w:szCs w:val="21"/>
                <w:highlight w:val="none"/>
                <w14:textFill>
                  <w14:solidFill>
                    <w14:schemeClr w14:val="tx1"/>
                  </w14:solidFill>
                </w14:textFill>
              </w:rPr>
            </w:pPr>
          </w:p>
        </w:tc>
        <w:tc>
          <w:tcPr>
            <w:tcW w:w="2321" w:type="dxa"/>
            <w:noWrap w:val="0"/>
            <w:vAlign w:val="center"/>
          </w:tcPr>
          <w:p w14:paraId="3424D642">
            <w:pPr>
              <w:keepNext w:val="0"/>
              <w:keepLines w:val="0"/>
              <w:pageBreakBefore w:val="0"/>
              <w:widowControl w:val="0"/>
              <w:kinsoku/>
              <w:wordWrap/>
              <w:overflowPunct/>
              <w:topLinePunct w:val="0"/>
              <w:bidi w:val="0"/>
              <w:adjustRightInd/>
              <w:spacing w:line="390" w:lineRule="exact"/>
              <w:jc w:val="center"/>
              <w:rPr>
                <w:rFonts w:hint="eastAsia" w:ascii="Times New Roman" w:hAnsi="Times New Roman" w:eastAsia="宋体" w:cs="宋体"/>
                <w:b w:val="0"/>
                <w:bCs/>
                <w:color w:val="000000" w:themeColor="text1"/>
                <w:sz w:val="21"/>
                <w:szCs w:val="21"/>
                <w:highlight w:val="none"/>
                <w14:textFill>
                  <w14:solidFill>
                    <w14:schemeClr w14:val="tx1"/>
                  </w14:solidFill>
                </w14:textFill>
              </w:rPr>
            </w:pPr>
            <w:r>
              <w:rPr>
                <w:rFonts w:hint="eastAsia" w:ascii="Times New Roman" w:hAnsi="Times New Roman" w:eastAsia="宋体" w:cs="宋体"/>
                <w:b w:val="0"/>
                <w:bCs/>
                <w:color w:val="000000" w:themeColor="text1"/>
                <w:sz w:val="21"/>
                <w:szCs w:val="21"/>
                <w:highlight w:val="none"/>
                <w14:textFill>
                  <w14:solidFill>
                    <w14:schemeClr w14:val="tx1"/>
                  </w14:solidFill>
                </w14:textFill>
              </w:rPr>
              <w:t>现场提交质疑</w:t>
            </w:r>
          </w:p>
          <w:p w14:paraId="3697589D">
            <w:pPr>
              <w:keepNext w:val="0"/>
              <w:keepLines w:val="0"/>
              <w:pageBreakBefore w:val="0"/>
              <w:widowControl w:val="0"/>
              <w:kinsoku/>
              <w:wordWrap/>
              <w:overflowPunct/>
              <w:topLinePunct w:val="0"/>
              <w:bidi w:val="0"/>
              <w:adjustRightInd/>
              <w:spacing w:line="390" w:lineRule="exact"/>
              <w:jc w:val="center"/>
              <w:rPr>
                <w:rFonts w:hint="eastAsia" w:ascii="Times New Roman" w:hAnsi="Times New Roman" w:eastAsia="宋体" w:cs="宋体"/>
                <w:b w:val="0"/>
                <w:bCs/>
                <w:color w:val="000000" w:themeColor="text1"/>
                <w:sz w:val="21"/>
                <w:szCs w:val="21"/>
                <w:highlight w:val="none"/>
                <w14:textFill>
                  <w14:solidFill>
                    <w14:schemeClr w14:val="tx1"/>
                  </w14:solidFill>
                </w14:textFill>
              </w:rPr>
            </w:pPr>
            <w:r>
              <w:rPr>
                <w:rFonts w:hint="eastAsia" w:ascii="Times New Roman" w:hAnsi="Times New Roman" w:eastAsia="宋体" w:cs="宋体"/>
                <w:b w:val="0"/>
                <w:bCs/>
                <w:color w:val="000000" w:themeColor="text1"/>
                <w:sz w:val="21"/>
                <w:szCs w:val="21"/>
                <w:highlight w:val="none"/>
                <w14:textFill>
                  <w14:solidFill>
                    <w14:schemeClr w14:val="tx1"/>
                  </w14:solidFill>
                </w14:textFill>
              </w:rPr>
              <w:t>办理业务时间</w:t>
            </w:r>
          </w:p>
        </w:tc>
        <w:tc>
          <w:tcPr>
            <w:tcW w:w="6466" w:type="dxa"/>
            <w:noWrap w:val="0"/>
            <w:vAlign w:val="center"/>
          </w:tcPr>
          <w:p w14:paraId="3CD70CBF">
            <w:pPr>
              <w:keepNext w:val="0"/>
              <w:keepLines w:val="0"/>
              <w:pageBreakBefore w:val="0"/>
              <w:widowControl w:val="0"/>
              <w:kinsoku/>
              <w:wordWrap/>
              <w:overflowPunct/>
              <w:topLinePunct w:val="0"/>
              <w:bidi w:val="0"/>
              <w:adjustRightInd/>
              <w:snapToGrid w:val="0"/>
              <w:spacing w:line="390" w:lineRule="exact"/>
              <w:jc w:val="both"/>
              <w:rPr>
                <w:rFonts w:hint="eastAsia" w:ascii="Times New Roman" w:hAnsi="Times New Roman" w:eastAsia="宋体" w:cs="宋体"/>
                <w:color w:val="000000" w:themeColor="text1"/>
                <w:sz w:val="21"/>
                <w:szCs w:val="21"/>
                <w:highlight w:val="none"/>
                <w14:textFill>
                  <w14:solidFill>
                    <w14:schemeClr w14:val="tx1"/>
                  </w14:solidFill>
                </w14:textFill>
              </w:rPr>
            </w:pPr>
            <w:r>
              <w:rPr>
                <w:rFonts w:hint="eastAsia" w:ascii="Times New Roman" w:hAnsi="Times New Roman" w:eastAsia="宋体" w:cs="宋体"/>
                <w:color w:val="000000" w:themeColor="text1"/>
                <w:sz w:val="21"/>
                <w:szCs w:val="21"/>
                <w:highlight w:val="none"/>
                <w14:textFill>
                  <w14:solidFill>
                    <w14:schemeClr w14:val="tx1"/>
                  </w14:solidFill>
                </w14:textFill>
              </w:rPr>
              <w:t>质疑期内每个工作日（北京时间）上午</w:t>
            </w:r>
            <w:r>
              <w:rPr>
                <w:rFonts w:hint="eastAsia" w:ascii="Times New Roman" w:hAnsi="Times New Roman" w:cs="宋体"/>
                <w:color w:val="000000" w:themeColor="text1"/>
                <w:sz w:val="21"/>
                <w:szCs w:val="21"/>
                <w:highlight w:val="none"/>
                <w:u w:val="single"/>
                <w:lang w:val="en-US" w:eastAsia="zh-CN"/>
                <w14:textFill>
                  <w14:solidFill>
                    <w14:schemeClr w14:val="tx1"/>
                  </w14:solidFill>
                </w14:textFill>
              </w:rPr>
              <w:t>9</w:t>
            </w:r>
            <w:r>
              <w:rPr>
                <w:rFonts w:hint="eastAsia" w:ascii="Times New Roman" w:hAnsi="Times New Roman" w:eastAsia="宋体" w:cs="宋体"/>
                <w:color w:val="000000" w:themeColor="text1"/>
                <w:sz w:val="21"/>
                <w:szCs w:val="21"/>
                <w:highlight w:val="none"/>
                <w14:textFill>
                  <w14:solidFill>
                    <w14:schemeClr w14:val="tx1"/>
                  </w14:solidFill>
                </w14:textFill>
              </w:rPr>
              <w:t>时</w:t>
            </w:r>
            <w:r>
              <w:rPr>
                <w:rFonts w:hint="eastAsia" w:ascii="Times New Roman" w:hAnsi="Times New Roman" w:eastAsia="宋体" w:cs="宋体"/>
                <w:color w:val="000000" w:themeColor="text1"/>
                <w:sz w:val="21"/>
                <w:szCs w:val="21"/>
                <w:highlight w:val="none"/>
                <w:u w:val="single"/>
                <w14:textFill>
                  <w14:solidFill>
                    <w14:schemeClr w14:val="tx1"/>
                  </w14:solidFill>
                </w14:textFill>
              </w:rPr>
              <w:t>00</w:t>
            </w:r>
            <w:r>
              <w:rPr>
                <w:rFonts w:hint="eastAsia" w:ascii="Times New Roman" w:hAnsi="Times New Roman" w:eastAsia="宋体" w:cs="宋体"/>
                <w:color w:val="000000" w:themeColor="text1"/>
                <w:sz w:val="21"/>
                <w:szCs w:val="21"/>
                <w:highlight w:val="none"/>
                <w14:textFill>
                  <w14:solidFill>
                    <w14:schemeClr w14:val="tx1"/>
                  </w14:solidFill>
                </w14:textFill>
              </w:rPr>
              <w:t>分到</w:t>
            </w:r>
            <w:r>
              <w:rPr>
                <w:rFonts w:hint="eastAsia" w:ascii="Times New Roman" w:hAnsi="Times New Roman" w:eastAsia="宋体" w:cs="宋体"/>
                <w:color w:val="000000" w:themeColor="text1"/>
                <w:sz w:val="21"/>
                <w:szCs w:val="21"/>
                <w:highlight w:val="none"/>
                <w:u w:val="single"/>
                <w14:textFill>
                  <w14:solidFill>
                    <w14:schemeClr w14:val="tx1"/>
                  </w14:solidFill>
                </w14:textFill>
              </w:rPr>
              <w:t>12</w:t>
            </w:r>
            <w:r>
              <w:rPr>
                <w:rFonts w:hint="eastAsia" w:ascii="Times New Roman" w:hAnsi="Times New Roman" w:eastAsia="宋体" w:cs="宋体"/>
                <w:color w:val="000000" w:themeColor="text1"/>
                <w:sz w:val="21"/>
                <w:szCs w:val="21"/>
                <w:highlight w:val="none"/>
                <w14:textFill>
                  <w14:solidFill>
                    <w14:schemeClr w14:val="tx1"/>
                  </w14:solidFill>
                </w14:textFill>
              </w:rPr>
              <w:t>时</w:t>
            </w:r>
            <w:r>
              <w:rPr>
                <w:rFonts w:hint="eastAsia" w:ascii="Times New Roman" w:hAnsi="Times New Roman" w:eastAsia="宋体" w:cs="宋体"/>
                <w:color w:val="000000" w:themeColor="text1"/>
                <w:sz w:val="21"/>
                <w:szCs w:val="21"/>
                <w:highlight w:val="none"/>
                <w:u w:val="single"/>
                <w14:textFill>
                  <w14:solidFill>
                    <w14:schemeClr w14:val="tx1"/>
                  </w14:solidFill>
                </w14:textFill>
              </w:rPr>
              <w:t>00</w:t>
            </w:r>
            <w:r>
              <w:rPr>
                <w:rFonts w:hint="eastAsia" w:ascii="Times New Roman" w:hAnsi="Times New Roman" w:eastAsia="宋体" w:cs="宋体"/>
                <w:color w:val="000000" w:themeColor="text1"/>
                <w:sz w:val="21"/>
                <w:szCs w:val="21"/>
                <w:highlight w:val="none"/>
                <w14:textFill>
                  <w14:solidFill>
                    <w14:schemeClr w14:val="tx1"/>
                  </w14:solidFill>
                </w14:textFill>
              </w:rPr>
              <w:t>分，下午</w:t>
            </w:r>
            <w:r>
              <w:rPr>
                <w:rFonts w:hint="eastAsia" w:ascii="Times New Roman" w:hAnsi="Times New Roman" w:cs="宋体"/>
                <w:color w:val="000000" w:themeColor="text1"/>
                <w:sz w:val="21"/>
                <w:szCs w:val="21"/>
                <w:highlight w:val="none"/>
                <w:u w:val="single"/>
                <w:lang w:val="en-US" w:eastAsia="zh-CN"/>
                <w14:textFill>
                  <w14:solidFill>
                    <w14:schemeClr w14:val="tx1"/>
                  </w14:solidFill>
                </w14:textFill>
              </w:rPr>
              <w:t>14</w:t>
            </w:r>
            <w:r>
              <w:rPr>
                <w:rFonts w:hint="eastAsia" w:ascii="Times New Roman" w:hAnsi="Times New Roman" w:eastAsia="宋体" w:cs="宋体"/>
                <w:color w:val="000000" w:themeColor="text1"/>
                <w:sz w:val="21"/>
                <w:szCs w:val="21"/>
                <w:highlight w:val="none"/>
                <w14:textFill>
                  <w14:solidFill>
                    <w14:schemeClr w14:val="tx1"/>
                  </w14:solidFill>
                </w14:textFill>
              </w:rPr>
              <w:t>时</w:t>
            </w:r>
            <w:r>
              <w:rPr>
                <w:rFonts w:hint="eastAsia" w:ascii="Times New Roman" w:hAnsi="Times New Roman" w:eastAsia="宋体" w:cs="宋体"/>
                <w:color w:val="000000" w:themeColor="text1"/>
                <w:sz w:val="21"/>
                <w:szCs w:val="21"/>
                <w:highlight w:val="none"/>
                <w:u w:val="single"/>
                <w14:textFill>
                  <w14:solidFill>
                    <w14:schemeClr w14:val="tx1"/>
                  </w14:solidFill>
                </w14:textFill>
              </w:rPr>
              <w:t>00</w:t>
            </w:r>
            <w:r>
              <w:rPr>
                <w:rFonts w:hint="eastAsia" w:ascii="Times New Roman" w:hAnsi="Times New Roman" w:eastAsia="宋体" w:cs="宋体"/>
                <w:color w:val="000000" w:themeColor="text1"/>
                <w:sz w:val="21"/>
                <w:szCs w:val="21"/>
                <w:highlight w:val="none"/>
                <w14:textFill>
                  <w14:solidFill>
                    <w14:schemeClr w14:val="tx1"/>
                  </w14:solidFill>
                </w14:textFill>
              </w:rPr>
              <w:t>分到</w:t>
            </w:r>
            <w:r>
              <w:rPr>
                <w:rFonts w:hint="eastAsia" w:ascii="Times New Roman" w:hAnsi="Times New Roman" w:eastAsia="宋体" w:cs="宋体"/>
                <w:color w:val="000000" w:themeColor="text1"/>
                <w:sz w:val="21"/>
                <w:szCs w:val="21"/>
                <w:highlight w:val="none"/>
                <w:u w:val="single"/>
                <w14:textFill>
                  <w14:solidFill>
                    <w14:schemeClr w14:val="tx1"/>
                  </w14:solidFill>
                </w14:textFill>
              </w:rPr>
              <w:t>1</w:t>
            </w:r>
            <w:r>
              <w:rPr>
                <w:rFonts w:hint="eastAsia" w:ascii="Times New Roman" w:hAnsi="Times New Roman" w:cs="宋体"/>
                <w:color w:val="000000" w:themeColor="text1"/>
                <w:sz w:val="21"/>
                <w:szCs w:val="21"/>
                <w:highlight w:val="none"/>
                <w:u w:val="single"/>
                <w:lang w:val="en-US" w:eastAsia="zh-CN"/>
                <w14:textFill>
                  <w14:solidFill>
                    <w14:schemeClr w14:val="tx1"/>
                  </w14:solidFill>
                </w14:textFill>
              </w:rPr>
              <w:t>7</w:t>
            </w:r>
            <w:r>
              <w:rPr>
                <w:rFonts w:hint="eastAsia" w:ascii="Times New Roman" w:hAnsi="Times New Roman" w:eastAsia="宋体" w:cs="宋体"/>
                <w:color w:val="000000" w:themeColor="text1"/>
                <w:sz w:val="21"/>
                <w:szCs w:val="21"/>
                <w:highlight w:val="none"/>
                <w14:textFill>
                  <w14:solidFill>
                    <w14:schemeClr w14:val="tx1"/>
                  </w14:solidFill>
                </w14:textFill>
              </w:rPr>
              <w:t>时</w:t>
            </w:r>
            <w:r>
              <w:rPr>
                <w:rFonts w:hint="eastAsia" w:ascii="Times New Roman" w:hAnsi="Times New Roman" w:eastAsia="宋体" w:cs="宋体"/>
                <w:color w:val="000000" w:themeColor="text1"/>
                <w:sz w:val="21"/>
                <w:szCs w:val="21"/>
                <w:highlight w:val="none"/>
                <w:u w:val="single"/>
                <w14:textFill>
                  <w14:solidFill>
                    <w14:schemeClr w14:val="tx1"/>
                  </w14:solidFill>
                </w14:textFill>
              </w:rPr>
              <w:t>00</w:t>
            </w:r>
            <w:r>
              <w:rPr>
                <w:rFonts w:hint="eastAsia" w:ascii="Times New Roman" w:hAnsi="Times New Roman" w:eastAsia="宋体" w:cs="宋体"/>
                <w:color w:val="000000" w:themeColor="text1"/>
                <w:sz w:val="21"/>
                <w:szCs w:val="21"/>
                <w:highlight w:val="none"/>
                <w14:textFill>
                  <w14:solidFill>
                    <w14:schemeClr w14:val="tx1"/>
                  </w14:solidFill>
                </w14:textFill>
              </w:rPr>
              <w:t>分。</w:t>
            </w:r>
          </w:p>
        </w:tc>
      </w:tr>
      <w:tr w14:paraId="3AC4A9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963" w:type="dxa"/>
            <w:noWrap w:val="0"/>
            <w:vAlign w:val="center"/>
          </w:tcPr>
          <w:p w14:paraId="6F6B453D">
            <w:pPr>
              <w:keepNext w:val="0"/>
              <w:keepLines w:val="0"/>
              <w:pageBreakBefore w:val="0"/>
              <w:widowControl w:val="0"/>
              <w:kinsoku/>
              <w:wordWrap/>
              <w:overflowPunct/>
              <w:topLinePunct w:val="0"/>
              <w:bidi w:val="0"/>
              <w:adjustRightInd/>
              <w:spacing w:line="390" w:lineRule="exact"/>
              <w:jc w:val="center"/>
              <w:rPr>
                <w:rFonts w:hint="eastAsia" w:ascii="Times New Roman" w:hAnsi="Times New Roman" w:eastAsia="宋体" w:cs="宋体"/>
                <w:color w:val="000000" w:themeColor="text1"/>
                <w:sz w:val="21"/>
                <w:szCs w:val="21"/>
                <w:highlight w:val="none"/>
                <w14:textFill>
                  <w14:solidFill>
                    <w14:schemeClr w14:val="tx1"/>
                  </w14:solidFill>
                </w14:textFill>
              </w:rPr>
            </w:pPr>
            <w:r>
              <w:rPr>
                <w:rFonts w:hint="eastAsia" w:ascii="Times New Roman" w:hAnsi="Times New Roman" w:eastAsia="宋体" w:cs="宋体"/>
                <w:color w:val="000000" w:themeColor="text1"/>
                <w:sz w:val="21"/>
                <w:szCs w:val="21"/>
                <w:highlight w:val="none"/>
                <w14:textFill>
                  <w14:solidFill>
                    <w14:schemeClr w14:val="tx1"/>
                  </w14:solidFill>
                </w14:textFill>
              </w:rPr>
              <w:t>3</w:t>
            </w: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0</w:t>
            </w:r>
            <w:r>
              <w:rPr>
                <w:rFonts w:hint="eastAsia" w:ascii="Times New Roman" w:hAnsi="Times New Roman" w:eastAsia="宋体" w:cs="宋体"/>
                <w:color w:val="000000" w:themeColor="text1"/>
                <w:sz w:val="21"/>
                <w:szCs w:val="21"/>
                <w:highlight w:val="none"/>
                <w14:textFill>
                  <w14:solidFill>
                    <w14:schemeClr w14:val="tx1"/>
                  </w14:solidFill>
                </w14:textFill>
              </w:rPr>
              <w:t>.6</w:t>
            </w:r>
          </w:p>
        </w:tc>
        <w:tc>
          <w:tcPr>
            <w:tcW w:w="2321" w:type="dxa"/>
            <w:noWrap w:val="0"/>
            <w:vAlign w:val="center"/>
          </w:tcPr>
          <w:p w14:paraId="247A82AA">
            <w:pPr>
              <w:keepNext w:val="0"/>
              <w:keepLines w:val="0"/>
              <w:pageBreakBefore w:val="0"/>
              <w:widowControl w:val="0"/>
              <w:kinsoku/>
              <w:wordWrap/>
              <w:overflowPunct/>
              <w:topLinePunct w:val="0"/>
              <w:bidi w:val="0"/>
              <w:adjustRightInd/>
              <w:spacing w:line="390" w:lineRule="exact"/>
              <w:jc w:val="center"/>
              <w:rPr>
                <w:rFonts w:hint="eastAsia" w:ascii="Times New Roman" w:hAnsi="Times New Roman" w:eastAsia="宋体" w:cs="宋体"/>
                <w:b w:val="0"/>
                <w:bCs/>
                <w:color w:val="000000" w:themeColor="text1"/>
                <w:sz w:val="21"/>
                <w:szCs w:val="21"/>
                <w:highlight w:val="none"/>
                <w14:textFill>
                  <w14:solidFill>
                    <w14:schemeClr w14:val="tx1"/>
                  </w14:solidFill>
                </w14:textFill>
              </w:rPr>
            </w:pPr>
            <w:r>
              <w:rPr>
                <w:rFonts w:hint="eastAsia" w:ascii="Times New Roman" w:hAnsi="Times New Roman" w:eastAsia="宋体" w:cs="宋体"/>
                <w:b w:val="0"/>
                <w:bCs/>
                <w:color w:val="000000" w:themeColor="text1"/>
                <w:sz w:val="21"/>
                <w:szCs w:val="21"/>
                <w:highlight w:val="none"/>
                <w14:textFill>
                  <w14:solidFill>
                    <w14:schemeClr w14:val="tx1"/>
                  </w14:solidFill>
                </w14:textFill>
              </w:rPr>
              <w:t>受理投诉方式</w:t>
            </w:r>
          </w:p>
        </w:tc>
        <w:tc>
          <w:tcPr>
            <w:tcW w:w="6466" w:type="dxa"/>
            <w:noWrap w:val="0"/>
            <w:vAlign w:val="center"/>
          </w:tcPr>
          <w:p w14:paraId="57631853">
            <w:pPr>
              <w:keepNext w:val="0"/>
              <w:keepLines w:val="0"/>
              <w:pageBreakBefore w:val="0"/>
              <w:widowControl w:val="0"/>
              <w:kinsoku/>
              <w:wordWrap/>
              <w:overflowPunct/>
              <w:topLinePunct w:val="0"/>
              <w:bidi w:val="0"/>
              <w:adjustRightInd/>
              <w:snapToGrid w:val="0"/>
              <w:spacing w:line="390" w:lineRule="exact"/>
              <w:jc w:val="both"/>
              <w:rPr>
                <w:rFonts w:hint="eastAsia" w:ascii="Times New Roman" w:hAnsi="Times New Roman" w:eastAsia="宋体" w:cs="宋体"/>
                <w:color w:val="000000" w:themeColor="text1"/>
                <w:sz w:val="21"/>
                <w:szCs w:val="21"/>
                <w:highlight w:val="none"/>
                <w14:textFill>
                  <w14:solidFill>
                    <w14:schemeClr w14:val="tx1"/>
                  </w14:solidFill>
                </w14:textFill>
              </w:rPr>
            </w:pPr>
            <w:r>
              <w:rPr>
                <w:rFonts w:hint="eastAsia" w:ascii="Times New Roman" w:hAnsi="Times New Roman" w:eastAsia="宋体" w:cs="宋体"/>
                <w:color w:val="000000" w:themeColor="text1"/>
                <w:sz w:val="21"/>
                <w:szCs w:val="21"/>
                <w:highlight w:val="none"/>
                <w14:textFill>
                  <w14:solidFill>
                    <w14:schemeClr w14:val="tx1"/>
                  </w14:solidFill>
                </w14:textFill>
              </w:rPr>
              <w:t>1、受理方式：纸质方式受理，投诉书正、副本（经过质疑的事项才可投诉）。</w:t>
            </w:r>
          </w:p>
          <w:p w14:paraId="27E41C16">
            <w:pPr>
              <w:keepNext w:val="0"/>
              <w:keepLines w:val="0"/>
              <w:pageBreakBefore w:val="0"/>
              <w:widowControl w:val="0"/>
              <w:kinsoku/>
              <w:wordWrap/>
              <w:overflowPunct/>
              <w:topLinePunct w:val="0"/>
              <w:bidi w:val="0"/>
              <w:adjustRightInd/>
              <w:snapToGrid w:val="0"/>
              <w:spacing w:line="390" w:lineRule="exact"/>
              <w:jc w:val="both"/>
              <w:rPr>
                <w:rFonts w:hint="eastAsia" w:ascii="Times New Roman" w:hAnsi="Times New Roman" w:eastAsia="宋体" w:cs="宋体"/>
                <w:color w:val="000000" w:themeColor="text1"/>
                <w:sz w:val="21"/>
                <w:szCs w:val="21"/>
                <w:highlight w:val="none"/>
                <w14:textFill>
                  <w14:solidFill>
                    <w14:schemeClr w14:val="tx1"/>
                  </w14:solidFill>
                </w14:textFill>
              </w:rPr>
            </w:pPr>
            <w:r>
              <w:rPr>
                <w:rFonts w:hint="eastAsia" w:ascii="Times New Roman" w:hAnsi="Times New Roman" w:eastAsia="宋体" w:cs="宋体"/>
                <w:color w:val="000000" w:themeColor="text1"/>
                <w:sz w:val="21"/>
                <w:szCs w:val="21"/>
                <w:highlight w:val="none"/>
                <w14:textFill>
                  <w14:solidFill>
                    <w14:schemeClr w14:val="tx1"/>
                  </w14:solidFill>
                </w14:textFill>
              </w:rPr>
              <w:t>2、通讯方式</w:t>
            </w:r>
          </w:p>
          <w:p w14:paraId="1FFC277B">
            <w:pPr>
              <w:snapToGrid w:val="0"/>
              <w:spacing w:line="380" w:lineRule="exact"/>
              <w:rPr>
                <w:rFonts w:hint="eastAsia"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名称：</w:t>
            </w:r>
            <w:bookmarkStart w:id="75" w:name="PO_3000001867_PM036"/>
            <w:r>
              <w:rPr>
                <w:rFonts w:hint="eastAsia" w:ascii="宋体" w:hAnsi="宋体" w:cs="宋体"/>
                <w:color w:val="000000" w:themeColor="text1"/>
                <w:kern w:val="0"/>
                <w:szCs w:val="21"/>
                <w14:textFill>
                  <w14:solidFill>
                    <w14:schemeClr w14:val="tx1"/>
                  </w14:solidFill>
                </w14:textFill>
              </w:rPr>
              <w:t>桂林市财政局</w:t>
            </w:r>
            <w:bookmarkEnd w:id="75"/>
          </w:p>
          <w:p w14:paraId="3C5D5949">
            <w:pPr>
              <w:snapToGrid w:val="0"/>
              <w:spacing w:line="380" w:lineRule="exact"/>
              <w:rPr>
                <w:rFonts w:hint="eastAsia"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地址：</w:t>
            </w:r>
            <w:bookmarkStart w:id="76" w:name="PO_3000001867_PM039"/>
            <w:r>
              <w:rPr>
                <w:rFonts w:hint="eastAsia" w:ascii="宋体" w:hAnsi="宋体" w:cs="宋体"/>
                <w:color w:val="000000" w:themeColor="text1"/>
                <w14:textFill>
                  <w14:solidFill>
                    <w14:schemeClr w14:val="tx1"/>
                  </w14:solidFill>
                </w14:textFill>
              </w:rPr>
              <w:t>桂林市临桂区平桂西路金融大厦18</w:t>
            </w:r>
            <w:r>
              <w:rPr>
                <w:color w:val="000000" w:themeColor="text1"/>
                <w14:textFill>
                  <w14:solidFill>
                    <w14:schemeClr w14:val="tx1"/>
                  </w14:solidFill>
                </w14:textFill>
              </w:rPr>
              <w:t>~</w:t>
            </w:r>
            <w:r>
              <w:rPr>
                <w:rFonts w:hint="eastAsia" w:ascii="宋体" w:hAnsi="宋体" w:cs="宋体"/>
                <w:color w:val="000000" w:themeColor="text1"/>
                <w14:textFill>
                  <w14:solidFill>
                    <w14:schemeClr w14:val="tx1"/>
                  </w14:solidFill>
                </w14:textFill>
              </w:rPr>
              <w:t xml:space="preserve">24层 </w:t>
            </w:r>
            <w:bookmarkEnd w:id="76"/>
            <w:r>
              <w:rPr>
                <w:rFonts w:hint="eastAsia" w:ascii="宋体" w:hAnsi="宋体" w:cs="宋体"/>
                <w:color w:val="000000" w:themeColor="text1"/>
                <w14:textFill>
                  <w14:solidFill>
                    <w14:schemeClr w14:val="tx1"/>
                  </w14:solidFill>
                </w14:textFill>
              </w:rPr>
              <w:t xml:space="preserve"> </w:t>
            </w:r>
          </w:p>
          <w:p w14:paraId="6ABCACC0">
            <w:pPr>
              <w:keepNext w:val="0"/>
              <w:keepLines w:val="0"/>
              <w:pageBreakBefore w:val="0"/>
              <w:widowControl w:val="0"/>
              <w:kinsoku/>
              <w:wordWrap/>
              <w:overflowPunct/>
              <w:topLinePunct w:val="0"/>
              <w:bidi w:val="0"/>
              <w:adjustRightInd/>
              <w:snapToGrid w:val="0"/>
              <w:spacing w:line="390" w:lineRule="exact"/>
              <w:jc w:val="both"/>
              <w:rPr>
                <w:rFonts w:hint="eastAsia" w:ascii="Times New Roman" w:hAnsi="Times New Roman" w:eastAsia="宋体" w:cs="宋体"/>
                <w:color w:val="000000" w:themeColor="text1"/>
                <w:sz w:val="21"/>
                <w:szCs w:val="21"/>
                <w:highlight w:val="none"/>
                <w:lang w:eastAsia="zh-CN"/>
                <w14:textFill>
                  <w14:solidFill>
                    <w14:schemeClr w14:val="tx1"/>
                  </w14:solidFill>
                </w14:textFill>
              </w:rPr>
            </w:pPr>
            <w:r>
              <w:rPr>
                <w:rFonts w:hint="eastAsia" w:ascii="宋体" w:hAnsi="宋体" w:cs="宋体"/>
                <w:color w:val="000000" w:themeColor="text1"/>
                <w14:textFill>
                  <w14:solidFill>
                    <w14:schemeClr w14:val="tx1"/>
                  </w14:solidFill>
                </w14:textFill>
              </w:rPr>
              <w:t>联系电话：</w:t>
            </w:r>
            <w:bookmarkStart w:id="77" w:name="PO_3000001867_PM038"/>
            <w:r>
              <w:rPr>
                <w:rFonts w:hint="eastAsia" w:ascii="宋体" w:hAnsi="宋体" w:cs="宋体"/>
                <w:color w:val="000000" w:themeColor="text1"/>
                <w:kern w:val="0"/>
                <w:szCs w:val="21"/>
                <w14:textFill>
                  <w14:solidFill>
                    <w14:schemeClr w14:val="tx1"/>
                  </w14:solidFill>
                </w14:textFill>
              </w:rPr>
              <w:t>0773-2862142</w:t>
            </w:r>
            <w:r>
              <w:rPr>
                <w:rFonts w:hint="eastAsia" w:ascii="宋体" w:hAnsi="宋体" w:cs="宋体"/>
                <w:color w:val="000000" w:themeColor="text1"/>
                <w14:textFill>
                  <w14:solidFill>
                    <w14:schemeClr w14:val="tx1"/>
                  </w14:solidFill>
                </w14:textFill>
              </w:rPr>
              <w:t xml:space="preserve"> </w:t>
            </w:r>
            <w:bookmarkEnd w:id="77"/>
          </w:p>
        </w:tc>
      </w:tr>
      <w:tr w14:paraId="01BDE0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963" w:type="dxa"/>
            <w:noWrap w:val="0"/>
            <w:vAlign w:val="center"/>
          </w:tcPr>
          <w:p w14:paraId="13509444">
            <w:pPr>
              <w:keepNext w:val="0"/>
              <w:keepLines w:val="0"/>
              <w:pageBreakBefore w:val="0"/>
              <w:widowControl w:val="0"/>
              <w:kinsoku/>
              <w:wordWrap/>
              <w:overflowPunct/>
              <w:topLinePunct w:val="0"/>
              <w:bidi w:val="0"/>
              <w:adjustRightInd/>
              <w:spacing w:line="390" w:lineRule="exact"/>
              <w:jc w:val="cente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宋体"/>
                <w:color w:val="000000" w:themeColor="text1"/>
                <w:sz w:val="21"/>
                <w:szCs w:val="21"/>
                <w:highlight w:val="none"/>
                <w14:textFill>
                  <w14:solidFill>
                    <w14:schemeClr w14:val="tx1"/>
                  </w14:solidFill>
                </w14:textFill>
              </w:rPr>
              <w:t>3</w:t>
            </w: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2</w:t>
            </w:r>
          </w:p>
        </w:tc>
        <w:tc>
          <w:tcPr>
            <w:tcW w:w="2321" w:type="dxa"/>
            <w:noWrap w:val="0"/>
            <w:vAlign w:val="center"/>
          </w:tcPr>
          <w:p w14:paraId="242610EA">
            <w:pPr>
              <w:keepNext w:val="0"/>
              <w:keepLines w:val="0"/>
              <w:pageBreakBefore w:val="0"/>
              <w:widowControl w:val="0"/>
              <w:kinsoku/>
              <w:wordWrap/>
              <w:overflowPunct/>
              <w:topLinePunct w:val="0"/>
              <w:bidi w:val="0"/>
              <w:adjustRightInd/>
              <w:spacing w:line="390" w:lineRule="exact"/>
              <w:jc w:val="center"/>
              <w:rPr>
                <w:rFonts w:hint="eastAsia" w:ascii="Times New Roman" w:hAnsi="Times New Roman" w:eastAsia="宋体" w:cs="宋体"/>
                <w:b w:val="0"/>
                <w:bCs/>
                <w:color w:val="000000" w:themeColor="text1"/>
                <w:sz w:val="21"/>
                <w:szCs w:val="21"/>
                <w:highlight w:val="none"/>
                <w14:textFill>
                  <w14:solidFill>
                    <w14:schemeClr w14:val="tx1"/>
                  </w14:solidFill>
                </w14:textFill>
              </w:rPr>
            </w:pPr>
            <w:r>
              <w:rPr>
                <w:rFonts w:hint="eastAsia" w:ascii="Times New Roman" w:hAnsi="Times New Roman" w:eastAsia="宋体" w:cs="宋体"/>
                <w:b w:val="0"/>
                <w:bCs/>
                <w:color w:val="000000" w:themeColor="text1"/>
                <w:sz w:val="21"/>
                <w:szCs w:val="21"/>
                <w:highlight w:val="none"/>
                <w14:textFill>
                  <w14:solidFill>
                    <w14:schemeClr w14:val="tx1"/>
                  </w14:solidFill>
                </w14:textFill>
              </w:rPr>
              <w:t>采购代理服务费</w:t>
            </w:r>
          </w:p>
        </w:tc>
        <w:tc>
          <w:tcPr>
            <w:tcW w:w="6466" w:type="dxa"/>
            <w:noWrap w:val="0"/>
            <w:vAlign w:val="center"/>
          </w:tcPr>
          <w:p w14:paraId="0AD6FCD7">
            <w:pPr>
              <w:keepNext w:val="0"/>
              <w:keepLines w:val="0"/>
              <w:pageBreakBefore w:val="0"/>
              <w:widowControl w:val="0"/>
              <w:numPr>
                <w:ilvl w:val="0"/>
                <w:numId w:val="0"/>
              </w:numPr>
              <w:kinsoku/>
              <w:wordWrap/>
              <w:overflowPunct/>
              <w:topLinePunct w:val="0"/>
              <w:bidi w:val="0"/>
              <w:adjustRightInd/>
              <w:snapToGrid w:val="0"/>
              <w:spacing w:line="390" w:lineRule="exact"/>
              <w:jc w:val="both"/>
              <w:rPr>
                <w:rFonts w:hint="eastAsia" w:ascii="Times New Roman" w:hAnsi="Times New Roman" w:eastAsia="宋体" w:cs="宋体"/>
                <w:color w:val="000000" w:themeColor="text1"/>
                <w:kern w:val="0"/>
                <w:sz w:val="21"/>
                <w:szCs w:val="21"/>
                <w:highlight w:val="none"/>
                <w:lang w:eastAsia="zh-CN"/>
                <w14:textFill>
                  <w14:solidFill>
                    <w14:schemeClr w14:val="tx1"/>
                  </w14:solidFill>
                </w14:textFill>
              </w:rPr>
            </w:pPr>
            <w:r>
              <w:rPr>
                <w:rFonts w:hint="eastAsia" w:ascii="Times New Roman" w:hAnsi="Times New Roman" w:eastAsia="宋体" w:cs="宋体"/>
                <w:color w:val="000000" w:themeColor="text1"/>
                <w:kern w:val="0"/>
                <w:sz w:val="21"/>
                <w:szCs w:val="21"/>
                <w:highlight w:val="none"/>
                <w:lang w:val="en-US" w:eastAsia="zh-CN"/>
                <w14:textFill>
                  <w14:solidFill>
                    <w14:schemeClr w14:val="tx1"/>
                  </w14:solidFill>
                </w14:textFill>
              </w:rPr>
              <w:t>1.</w:t>
            </w:r>
            <w:r>
              <w:rPr>
                <w:rFonts w:hint="eastAsia" w:ascii="Times New Roman" w:hAnsi="Times New Roman" w:eastAsia="宋体" w:cs="宋体"/>
                <w:color w:val="000000" w:themeColor="text1"/>
                <w:kern w:val="0"/>
                <w:sz w:val="21"/>
                <w:szCs w:val="21"/>
                <w:highlight w:val="none"/>
                <w14:textFill>
                  <w14:solidFill>
                    <w14:schemeClr w14:val="tx1"/>
                  </w14:solidFill>
                </w14:textFill>
              </w:rPr>
              <w:t>是否收取采购代</w:t>
            </w:r>
            <w:r>
              <w:rPr>
                <w:rFonts w:hint="eastAsia" w:ascii="Times New Roman" w:hAnsi="Times New Roman" w:eastAsia="宋体" w:cs="宋体"/>
                <w:color w:val="000000" w:themeColor="text1"/>
                <w:kern w:val="0"/>
                <w:sz w:val="21"/>
                <w:szCs w:val="21"/>
                <w:highlight w:val="none"/>
                <w:lang w:eastAsia="zh-CN"/>
                <w14:textFill>
                  <w14:solidFill>
                    <w14:schemeClr w14:val="tx1"/>
                  </w14:solidFill>
                </w14:textFill>
              </w:rPr>
              <w:t>理</w:t>
            </w:r>
            <w:r>
              <w:rPr>
                <w:rFonts w:hint="eastAsia" w:ascii="Times New Roman" w:hAnsi="Times New Roman" w:eastAsia="宋体" w:cs="宋体"/>
                <w:color w:val="000000" w:themeColor="text1"/>
                <w:kern w:val="0"/>
                <w:sz w:val="21"/>
                <w:szCs w:val="21"/>
                <w:highlight w:val="none"/>
                <w14:textFill>
                  <w14:solidFill>
                    <w14:schemeClr w14:val="tx1"/>
                  </w14:solidFill>
                </w14:textFill>
              </w:rPr>
              <w:t>服务费：是</w:t>
            </w:r>
            <w:r>
              <w:rPr>
                <w:rFonts w:hint="eastAsia" w:ascii="Times New Roman" w:hAnsi="Times New Roman" w:cs="宋体"/>
                <w:color w:val="000000" w:themeColor="text1"/>
                <w:kern w:val="0"/>
                <w:sz w:val="21"/>
                <w:szCs w:val="21"/>
                <w:highlight w:val="none"/>
                <w:lang w:eastAsia="zh-CN"/>
                <w14:textFill>
                  <w14:solidFill>
                    <w14:schemeClr w14:val="tx1"/>
                  </w14:solidFill>
                </w14:textFill>
              </w:rPr>
              <w:t>。</w:t>
            </w:r>
          </w:p>
          <w:p w14:paraId="678CFE4D">
            <w:pPr>
              <w:keepNext w:val="0"/>
              <w:keepLines w:val="0"/>
              <w:pageBreakBefore w:val="0"/>
              <w:widowControl w:val="0"/>
              <w:numPr>
                <w:ilvl w:val="0"/>
                <w:numId w:val="0"/>
              </w:numPr>
              <w:kinsoku/>
              <w:wordWrap/>
              <w:overflowPunct/>
              <w:topLinePunct w:val="0"/>
              <w:bidi w:val="0"/>
              <w:adjustRightInd/>
              <w:snapToGrid w:val="0"/>
              <w:spacing w:line="390" w:lineRule="exact"/>
              <w:jc w:val="both"/>
              <w:rPr>
                <w:rFonts w:hint="eastAsia" w:ascii="Times New Roman" w:hAnsi="Times New Roman" w:eastAsia="宋体" w:cs="宋体"/>
                <w:color w:val="000000" w:themeColor="text1"/>
                <w:kern w:val="0"/>
                <w:sz w:val="21"/>
                <w:szCs w:val="21"/>
                <w:highlight w:val="none"/>
                <w14:textFill>
                  <w14:solidFill>
                    <w14:schemeClr w14:val="tx1"/>
                  </w14:solidFill>
                </w14:textFill>
              </w:rPr>
            </w:pPr>
            <w:r>
              <w:rPr>
                <w:rFonts w:hint="eastAsia" w:ascii="Times New Roman" w:hAnsi="Times New Roman" w:eastAsia="宋体" w:cs="宋体"/>
                <w:color w:val="000000" w:themeColor="text1"/>
                <w:kern w:val="0"/>
                <w:sz w:val="21"/>
                <w:szCs w:val="21"/>
                <w:highlight w:val="none"/>
                <w14:textFill>
                  <w14:solidFill>
                    <w14:schemeClr w14:val="tx1"/>
                  </w14:solidFill>
                </w14:textFill>
              </w:rPr>
              <w:t>2.采购代理服务费支付方式：</w:t>
            </w:r>
          </w:p>
          <w:p w14:paraId="6288803A">
            <w:pPr>
              <w:keepNext w:val="0"/>
              <w:keepLines w:val="0"/>
              <w:pageBreakBefore w:val="0"/>
              <w:widowControl w:val="0"/>
              <w:kinsoku/>
              <w:wordWrap/>
              <w:overflowPunct/>
              <w:topLinePunct w:val="0"/>
              <w:bidi w:val="0"/>
              <w:adjustRightInd/>
              <w:snapToGrid w:val="0"/>
              <w:spacing w:line="390" w:lineRule="exact"/>
              <w:jc w:val="both"/>
              <w:rPr>
                <w:rFonts w:hint="eastAsia" w:ascii="Times New Roman" w:hAnsi="Times New Roman" w:eastAsia="宋体" w:cs="宋体"/>
                <w:color w:val="000000" w:themeColor="text1"/>
                <w:kern w:val="0"/>
                <w:sz w:val="21"/>
                <w:szCs w:val="21"/>
                <w:highlight w:val="none"/>
                <w14:textFill>
                  <w14:solidFill>
                    <w14:schemeClr w14:val="tx1"/>
                  </w14:solidFill>
                </w14:textFill>
              </w:rPr>
            </w:pPr>
            <w:r>
              <w:rPr>
                <w:rFonts w:hint="eastAsia" w:ascii="Times New Roman" w:hAnsi="Times New Roman" w:eastAsia="宋体" w:cs="宋体"/>
                <w:color w:val="000000" w:themeColor="text1"/>
                <w:kern w:val="0"/>
                <w:sz w:val="21"/>
                <w:szCs w:val="21"/>
                <w:highlight w:val="none"/>
                <w14:textFill>
                  <w14:solidFill>
                    <w14:schemeClr w14:val="tx1"/>
                  </w14:solidFill>
                </w14:textFill>
              </w:rPr>
              <w:t>本项目采购代理服务费由成交供应商在签订合同前，</w:t>
            </w:r>
            <w:r>
              <w:rPr>
                <w:rFonts w:hint="eastAsia" w:ascii="Times New Roman" w:hAnsi="Times New Roman" w:eastAsia="宋体" w:cs="宋体"/>
                <w:color w:val="000000" w:themeColor="text1"/>
                <w:sz w:val="21"/>
                <w:szCs w:val="21"/>
                <w:highlight w:val="none"/>
                <w14:textFill>
                  <w14:solidFill>
                    <w14:schemeClr w14:val="tx1"/>
                  </w14:solidFill>
                </w14:textFill>
              </w:rPr>
              <w:t>以银行转账、电汇等方式</w:t>
            </w:r>
            <w:r>
              <w:rPr>
                <w:rFonts w:hint="eastAsia" w:ascii="Times New Roman" w:hAnsi="Times New Roman" w:eastAsia="宋体" w:cs="宋体"/>
                <w:color w:val="000000" w:themeColor="text1"/>
                <w:kern w:val="0"/>
                <w:sz w:val="21"/>
                <w:szCs w:val="21"/>
                <w:highlight w:val="none"/>
                <w14:textFill>
                  <w14:solidFill>
                    <w14:schemeClr w14:val="tx1"/>
                  </w14:solidFill>
                </w14:textFill>
              </w:rPr>
              <w:t>一次性向采购代理机构支付。</w:t>
            </w:r>
          </w:p>
          <w:p w14:paraId="4FB074A9">
            <w:pPr>
              <w:keepNext w:val="0"/>
              <w:keepLines w:val="0"/>
              <w:pageBreakBefore w:val="0"/>
              <w:widowControl w:val="0"/>
              <w:kinsoku/>
              <w:wordWrap/>
              <w:overflowPunct/>
              <w:topLinePunct w:val="0"/>
              <w:bidi w:val="0"/>
              <w:adjustRightInd/>
              <w:snapToGrid w:val="0"/>
              <w:spacing w:line="390" w:lineRule="exact"/>
              <w:jc w:val="both"/>
              <w:rPr>
                <w:rFonts w:hint="eastAsia" w:ascii="Times New Roman" w:hAnsi="Times New Roman" w:eastAsia="宋体" w:cs="宋体"/>
                <w:color w:val="000000" w:themeColor="text1"/>
                <w:kern w:val="0"/>
                <w:sz w:val="21"/>
                <w:szCs w:val="21"/>
                <w:highlight w:val="none"/>
                <w14:textFill>
                  <w14:solidFill>
                    <w14:schemeClr w14:val="tx1"/>
                  </w14:solidFill>
                </w14:textFill>
              </w:rPr>
            </w:pPr>
            <w:r>
              <w:rPr>
                <w:rFonts w:hint="eastAsia" w:ascii="Times New Roman" w:hAnsi="Times New Roman" w:eastAsia="宋体" w:cs="宋体"/>
                <w:color w:val="000000" w:themeColor="text1"/>
                <w:kern w:val="0"/>
                <w:sz w:val="21"/>
                <w:szCs w:val="21"/>
                <w:highlight w:val="none"/>
                <w14:textFill>
                  <w14:solidFill>
                    <w14:schemeClr w14:val="tx1"/>
                  </w14:solidFill>
                </w14:textFill>
              </w:rPr>
              <w:t>3.采购代理服务费收取标准：</w:t>
            </w:r>
          </w:p>
          <w:p w14:paraId="770E251E">
            <w:pPr>
              <w:keepNext w:val="0"/>
              <w:keepLines w:val="0"/>
              <w:pageBreakBefore w:val="0"/>
              <w:widowControl w:val="0"/>
              <w:kinsoku/>
              <w:wordWrap/>
              <w:overflowPunct/>
              <w:topLinePunct w:val="0"/>
              <w:bidi w:val="0"/>
              <w:adjustRightInd/>
              <w:snapToGrid w:val="0"/>
              <w:spacing w:line="390" w:lineRule="exact"/>
              <w:jc w:val="both"/>
              <w:rPr>
                <w:rFonts w:hint="eastAsia" w:ascii="Times New Roman" w:hAnsi="Times New Roman" w:eastAsia="宋体" w:cs="宋体"/>
                <w:color w:val="000000" w:themeColor="text1"/>
                <w:kern w:val="0"/>
                <w:sz w:val="21"/>
                <w:szCs w:val="21"/>
                <w:highlight w:val="none"/>
                <w:lang w:eastAsia="zh-CN"/>
                <w14:textFill>
                  <w14:solidFill>
                    <w14:schemeClr w14:val="tx1"/>
                  </w14:solidFill>
                </w14:textFill>
              </w:rPr>
            </w:pPr>
            <w:r>
              <w:rPr>
                <w:rFonts w:hint="eastAsia" w:ascii="Times New Roman" w:hAnsi="Times New Roman" w:eastAsia="宋体" w:cs="宋体"/>
                <w:color w:val="000000" w:themeColor="text1"/>
                <w:kern w:val="0"/>
                <w:sz w:val="21"/>
                <w:szCs w:val="21"/>
                <w:highlight w:val="none"/>
                <w14:textFill>
                  <w14:solidFill>
                    <w14:schemeClr w14:val="tx1"/>
                  </w14:solidFill>
                </w14:textFill>
              </w:rPr>
              <w:t>☑以项目（☑成交总金额/□采购预算/□暂定成交金额/□其他</w:t>
            </w:r>
            <w:r>
              <w:rPr>
                <w:rFonts w:hint="eastAsia" w:ascii="Times New Roman" w:hAnsi="Times New Roman" w:eastAsia="宋体" w:cs="宋体"/>
                <w:color w:val="000000" w:themeColor="text1"/>
                <w:kern w:val="0"/>
                <w:sz w:val="21"/>
                <w:szCs w:val="21"/>
                <w:highlight w:val="none"/>
                <w:u w:val="single"/>
                <w14:textFill>
                  <w14:solidFill>
                    <w14:schemeClr w14:val="tx1"/>
                  </w14:solidFill>
                </w14:textFill>
              </w:rPr>
              <w:t xml:space="preserve"> </w:t>
            </w:r>
            <w:r>
              <w:rPr>
                <w:rFonts w:hint="eastAsia" w:ascii="Times New Roman" w:hAnsi="Times New Roman" w:eastAsia="宋体" w:cs="宋体"/>
                <w:color w:val="000000" w:themeColor="text1"/>
                <w:kern w:val="0"/>
                <w:sz w:val="21"/>
                <w:szCs w:val="21"/>
                <w:highlight w:val="none"/>
                <w:u w:val="single"/>
                <w:lang w:val="en-US" w:eastAsia="zh-CN"/>
                <w14:textFill>
                  <w14:solidFill>
                    <w14:schemeClr w14:val="tx1"/>
                  </w14:solidFill>
                </w14:textFill>
              </w:rPr>
              <w:t>/</w:t>
            </w:r>
            <w:r>
              <w:rPr>
                <w:rFonts w:hint="eastAsia" w:ascii="Times New Roman" w:hAnsi="Times New Roman" w:eastAsia="宋体" w:cs="宋体"/>
                <w:color w:val="000000" w:themeColor="text1"/>
                <w:kern w:val="0"/>
                <w:sz w:val="21"/>
                <w:szCs w:val="21"/>
                <w:highlight w:val="none"/>
                <w:u w:val="single"/>
                <w14:textFill>
                  <w14:solidFill>
                    <w14:schemeClr w14:val="tx1"/>
                  </w14:solidFill>
                </w14:textFill>
              </w:rPr>
              <w:t xml:space="preserve"> </w:t>
            </w:r>
            <w:r>
              <w:rPr>
                <w:rFonts w:hint="eastAsia" w:ascii="Times New Roman" w:hAnsi="Times New Roman" w:eastAsia="宋体" w:cs="宋体"/>
                <w:color w:val="000000" w:themeColor="text1"/>
                <w:kern w:val="0"/>
                <w:sz w:val="21"/>
                <w:szCs w:val="21"/>
                <w:highlight w:val="none"/>
                <w14:textFill>
                  <w14:solidFill>
                    <w14:schemeClr w14:val="tx1"/>
                  </w14:solidFill>
                </w14:textFill>
              </w:rPr>
              <w:t>）为计费额，按</w:t>
            </w:r>
            <w:r>
              <w:rPr>
                <w:rFonts w:hint="eastAsia" w:ascii="Times New Roman" w:hAnsi="Times New Roman" w:eastAsia="宋体" w:cs="宋体"/>
                <w:color w:val="000000" w:themeColor="text1"/>
                <w:sz w:val="21"/>
                <w:szCs w:val="21"/>
                <w:highlight w:val="none"/>
                <w14:textFill>
                  <w14:solidFill>
                    <w14:schemeClr w14:val="tx1"/>
                  </w14:solidFill>
                </w14:textFill>
              </w:rPr>
              <w:t>本须知正文第3</w:t>
            </w: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2</w:t>
            </w:r>
            <w:r>
              <w:rPr>
                <w:rFonts w:hint="eastAsia" w:ascii="Times New Roman" w:hAnsi="Times New Roman" w:eastAsia="宋体" w:cs="宋体"/>
                <w:color w:val="000000" w:themeColor="text1"/>
                <w:sz w:val="21"/>
                <w:szCs w:val="21"/>
                <w:highlight w:val="none"/>
                <w14:textFill>
                  <w14:solidFill>
                    <w14:schemeClr w14:val="tx1"/>
                  </w14:solidFill>
                </w14:textFill>
              </w:rPr>
              <w:t>.2条规定的收费计算标准（</w:t>
            </w:r>
            <w:r>
              <w:rPr>
                <w:rFonts w:hint="eastAsia" w:ascii="Times New Roman" w:hAnsi="Times New Roman" w:eastAsia="宋体" w:cs="宋体"/>
                <w:b/>
                <w:bCs/>
                <w:color w:val="000000" w:themeColor="text1"/>
                <w:kern w:val="0"/>
                <w:sz w:val="21"/>
                <w:szCs w:val="21"/>
                <w:highlight w:val="none"/>
                <w:u w:val="single"/>
                <w14:textFill>
                  <w14:solidFill>
                    <w14:schemeClr w14:val="tx1"/>
                  </w14:solidFill>
                </w14:textFill>
              </w:rPr>
              <w:t>工程类</w:t>
            </w:r>
            <w:r>
              <w:rPr>
                <w:rFonts w:hint="eastAsia" w:ascii="Times New Roman" w:hAnsi="Times New Roman" w:eastAsia="宋体" w:cs="宋体"/>
                <w:color w:val="000000" w:themeColor="text1"/>
                <w:sz w:val="21"/>
                <w:szCs w:val="21"/>
                <w:highlight w:val="none"/>
                <w14:textFill>
                  <w14:solidFill>
                    <w14:schemeClr w14:val="tx1"/>
                  </w14:solidFill>
                </w14:textFill>
              </w:rPr>
              <w:t>）</w:t>
            </w:r>
            <w:r>
              <w:rPr>
                <w:rFonts w:hint="eastAsia" w:ascii="Times New Roman" w:hAnsi="Times New Roman" w:eastAsia="宋体" w:cs="宋体"/>
                <w:color w:val="000000" w:themeColor="text1"/>
                <w:kern w:val="0"/>
                <w:sz w:val="21"/>
                <w:szCs w:val="21"/>
                <w:highlight w:val="none"/>
                <w14:textFill>
                  <w14:solidFill>
                    <w14:schemeClr w14:val="tx1"/>
                  </w14:solidFill>
                </w14:textFill>
              </w:rPr>
              <w:t>采用差额定率累进法计算出收费基准价格，采购代理机构收费以（</w:t>
            </w:r>
            <w:r>
              <w:rPr>
                <w:rFonts w:hint="eastAsia" w:ascii="Times New Roman" w:hAnsi="Times New Roman" w:eastAsia="宋体" w:cs="宋体"/>
                <w:color w:val="000000" w:themeColor="text1"/>
                <w:kern w:val="0"/>
                <w:sz w:val="21"/>
                <w:szCs w:val="21"/>
                <w:highlight w:val="none"/>
                <w:lang w:eastAsia="zh-CN"/>
                <w14:textFill>
                  <w14:solidFill>
                    <w14:schemeClr w14:val="tx1"/>
                  </w14:solidFill>
                </w14:textFill>
              </w:rPr>
              <w:t>□</w:t>
            </w:r>
            <w:r>
              <w:rPr>
                <w:rFonts w:hint="eastAsia" w:ascii="Times New Roman" w:hAnsi="Times New Roman" w:eastAsia="宋体" w:cs="宋体"/>
                <w:color w:val="000000" w:themeColor="text1"/>
                <w:kern w:val="0"/>
                <w:sz w:val="21"/>
                <w:szCs w:val="21"/>
                <w:highlight w:val="none"/>
                <w14:textFill>
                  <w14:solidFill>
                    <w14:schemeClr w14:val="tx1"/>
                  </w14:solidFill>
                </w14:textFill>
              </w:rPr>
              <w:t>收费基准价格/</w:t>
            </w:r>
            <w:r>
              <w:rPr>
                <w:rFonts w:hint="eastAsia" w:ascii="Times New Roman" w:hAnsi="Times New Roman" w:eastAsia="宋体" w:cs="宋体"/>
                <w:color w:val="000000" w:themeColor="text1"/>
                <w:kern w:val="0"/>
                <w:sz w:val="21"/>
                <w:szCs w:val="21"/>
                <w:highlight w:val="none"/>
                <w:lang w:eastAsia="zh-CN"/>
                <w14:textFill>
                  <w14:solidFill>
                    <w14:schemeClr w14:val="tx1"/>
                  </w14:solidFill>
                </w14:textFill>
              </w:rPr>
              <w:t>☑</w:t>
            </w:r>
            <w:r>
              <w:rPr>
                <w:rFonts w:hint="eastAsia" w:ascii="Times New Roman" w:hAnsi="Times New Roman" w:eastAsia="宋体" w:cs="宋体"/>
                <w:color w:val="000000" w:themeColor="text1"/>
                <w:kern w:val="0"/>
                <w:sz w:val="21"/>
                <w:szCs w:val="21"/>
                <w:highlight w:val="none"/>
                <w14:textFill>
                  <w14:solidFill>
                    <w14:schemeClr w14:val="tx1"/>
                  </w14:solidFill>
                </w14:textFill>
              </w:rPr>
              <w:t>收费基准价格下浮</w:t>
            </w:r>
            <w:r>
              <w:rPr>
                <w:rFonts w:hint="eastAsia" w:cs="宋体"/>
                <w:color w:val="000000" w:themeColor="text1"/>
                <w:kern w:val="0"/>
                <w:sz w:val="21"/>
                <w:szCs w:val="21"/>
                <w:highlight w:val="none"/>
                <w:u w:val="single"/>
                <w:lang w:val="en-US" w:eastAsia="zh-CN"/>
                <w14:textFill>
                  <w14:solidFill>
                    <w14:schemeClr w14:val="tx1"/>
                  </w14:solidFill>
                </w14:textFill>
              </w:rPr>
              <w:t>50</w:t>
            </w:r>
            <w:r>
              <w:rPr>
                <w:rFonts w:hint="eastAsia" w:ascii="Times New Roman" w:hAnsi="Times New Roman" w:eastAsia="宋体" w:cs="宋体"/>
                <w:color w:val="000000" w:themeColor="text1"/>
                <w:kern w:val="0"/>
                <w:sz w:val="21"/>
                <w:szCs w:val="21"/>
                <w:highlight w:val="none"/>
                <w:u w:val="single"/>
                <w14:textFill>
                  <w14:solidFill>
                    <w14:schemeClr w14:val="tx1"/>
                  </w14:solidFill>
                </w14:textFill>
              </w:rPr>
              <w:t>%</w:t>
            </w:r>
            <w:r>
              <w:rPr>
                <w:rFonts w:hint="eastAsia" w:ascii="Times New Roman" w:hAnsi="Times New Roman" w:eastAsia="宋体" w:cs="宋体"/>
                <w:color w:val="000000" w:themeColor="text1"/>
                <w:kern w:val="0"/>
                <w:sz w:val="21"/>
                <w:szCs w:val="21"/>
                <w:highlight w:val="none"/>
                <w14:textFill>
                  <w14:solidFill>
                    <w14:schemeClr w14:val="tx1"/>
                  </w14:solidFill>
                </w14:textFill>
              </w:rPr>
              <w:t>/□收费基准价格上浮</w:t>
            </w:r>
            <w:r>
              <w:rPr>
                <w:rFonts w:hint="eastAsia" w:ascii="Times New Roman" w:hAnsi="Times New Roman" w:eastAsia="宋体" w:cs="宋体"/>
                <w:color w:val="000000" w:themeColor="text1"/>
                <w:kern w:val="0"/>
                <w:sz w:val="21"/>
                <w:szCs w:val="21"/>
                <w:highlight w:val="none"/>
                <w:u w:val="single"/>
                <w14:textFill>
                  <w14:solidFill>
                    <w14:schemeClr w14:val="tx1"/>
                  </w14:solidFill>
                </w14:textFill>
              </w:rPr>
              <w:t xml:space="preserve"> </w:t>
            </w:r>
            <w:r>
              <w:rPr>
                <w:rFonts w:hint="eastAsia" w:ascii="Times New Roman" w:hAnsi="Times New Roman" w:eastAsia="宋体" w:cs="宋体"/>
                <w:color w:val="000000" w:themeColor="text1"/>
                <w:kern w:val="0"/>
                <w:sz w:val="21"/>
                <w:szCs w:val="21"/>
                <w:highlight w:val="none"/>
                <w:u w:val="single"/>
                <w:lang w:val="en-US" w:eastAsia="zh-CN"/>
                <w14:textFill>
                  <w14:solidFill>
                    <w14:schemeClr w14:val="tx1"/>
                  </w14:solidFill>
                </w14:textFill>
              </w:rPr>
              <w:t>/</w:t>
            </w:r>
            <w:r>
              <w:rPr>
                <w:rFonts w:hint="eastAsia" w:ascii="Times New Roman" w:hAnsi="Times New Roman" w:eastAsia="宋体" w:cs="宋体"/>
                <w:color w:val="000000" w:themeColor="text1"/>
                <w:kern w:val="0"/>
                <w:sz w:val="21"/>
                <w:szCs w:val="21"/>
                <w:highlight w:val="none"/>
                <w:u w:val="single"/>
                <w14:textFill>
                  <w14:solidFill>
                    <w14:schemeClr w14:val="tx1"/>
                  </w14:solidFill>
                </w14:textFill>
              </w:rPr>
              <w:t xml:space="preserve"> %</w:t>
            </w:r>
            <w:r>
              <w:rPr>
                <w:rFonts w:hint="eastAsia" w:ascii="Times New Roman" w:hAnsi="Times New Roman" w:eastAsia="宋体" w:cs="宋体"/>
                <w:color w:val="000000" w:themeColor="text1"/>
                <w:kern w:val="0"/>
                <w:sz w:val="21"/>
                <w:szCs w:val="21"/>
                <w:highlight w:val="none"/>
                <w14:textFill>
                  <w14:solidFill>
                    <w14:schemeClr w14:val="tx1"/>
                  </w14:solidFill>
                </w14:textFill>
              </w:rPr>
              <w:t>）收取。</w:t>
            </w:r>
            <w:r>
              <w:rPr>
                <w:rFonts w:hint="eastAsia" w:ascii="Times New Roman" w:hAnsi="Times New Roman" w:cs="宋体"/>
                <w:color w:val="000000" w:themeColor="text1"/>
                <w:kern w:val="0"/>
                <w:sz w:val="21"/>
                <w:szCs w:val="21"/>
                <w:highlight w:val="none"/>
                <w:lang w:eastAsia="zh-CN"/>
                <w14:textFill>
                  <w14:solidFill>
                    <w14:schemeClr w14:val="tx1"/>
                  </w14:solidFill>
                </w14:textFill>
              </w:rPr>
              <w:t>（以此标准计算不足人民币</w:t>
            </w:r>
            <w:r>
              <w:rPr>
                <w:rFonts w:hint="eastAsia" w:ascii="Times New Roman" w:hAnsi="Times New Roman" w:cs="宋体"/>
                <w:color w:val="000000" w:themeColor="text1"/>
                <w:kern w:val="0"/>
                <w:sz w:val="21"/>
                <w:szCs w:val="21"/>
                <w:highlight w:val="none"/>
                <w:lang w:val="en-US" w:eastAsia="zh-CN"/>
                <w14:textFill>
                  <w14:solidFill>
                    <w14:schemeClr w14:val="tx1"/>
                  </w14:solidFill>
                </w14:textFill>
              </w:rPr>
              <w:t>5000元的按5000元收取</w:t>
            </w:r>
            <w:r>
              <w:rPr>
                <w:rFonts w:hint="eastAsia" w:ascii="Times New Roman" w:hAnsi="Times New Roman" w:cs="宋体"/>
                <w:color w:val="000000" w:themeColor="text1"/>
                <w:kern w:val="0"/>
                <w:sz w:val="21"/>
                <w:szCs w:val="21"/>
                <w:highlight w:val="none"/>
                <w:lang w:eastAsia="zh-CN"/>
                <w14:textFill>
                  <w14:solidFill>
                    <w14:schemeClr w14:val="tx1"/>
                  </w14:solidFill>
                </w14:textFill>
              </w:rPr>
              <w:t>）</w:t>
            </w:r>
          </w:p>
          <w:p w14:paraId="325C01FD">
            <w:pPr>
              <w:keepNext w:val="0"/>
              <w:keepLines w:val="0"/>
              <w:pageBreakBefore w:val="0"/>
              <w:widowControl w:val="0"/>
              <w:kinsoku/>
              <w:wordWrap/>
              <w:overflowPunct/>
              <w:topLinePunct w:val="0"/>
              <w:bidi w:val="0"/>
              <w:adjustRightInd/>
              <w:snapToGrid w:val="0"/>
              <w:spacing w:line="390" w:lineRule="exact"/>
              <w:jc w:val="both"/>
              <w:rPr>
                <w:rFonts w:hint="eastAsia" w:ascii="Times New Roman" w:hAnsi="Times New Roman" w:eastAsia="宋体" w:cs="宋体"/>
                <w:color w:val="000000" w:themeColor="text1"/>
                <w:kern w:val="0"/>
                <w:sz w:val="21"/>
                <w:szCs w:val="21"/>
                <w:highlight w:val="none"/>
                <w14:textFill>
                  <w14:solidFill>
                    <w14:schemeClr w14:val="tx1"/>
                  </w14:solidFill>
                </w14:textFill>
              </w:rPr>
            </w:pPr>
            <w:r>
              <w:rPr>
                <w:rFonts w:hint="eastAsia" w:ascii="Times New Roman" w:hAnsi="Times New Roman" w:eastAsia="宋体" w:cs="宋体"/>
                <w:color w:val="000000" w:themeColor="text1"/>
                <w:kern w:val="0"/>
                <w:sz w:val="21"/>
                <w:szCs w:val="21"/>
                <w:highlight w:val="none"/>
                <w14:textFill>
                  <w14:solidFill>
                    <w14:schemeClr w14:val="tx1"/>
                  </w14:solidFill>
                </w14:textFill>
              </w:rPr>
              <w:t>4. 采购代理服务费收取银行账户的信息</w:t>
            </w:r>
          </w:p>
          <w:p w14:paraId="0ECC7DFD">
            <w:pPr>
              <w:keepNext w:val="0"/>
              <w:keepLines w:val="0"/>
              <w:pageBreakBefore w:val="0"/>
              <w:widowControl w:val="0"/>
              <w:kinsoku/>
              <w:wordWrap/>
              <w:overflowPunct/>
              <w:topLinePunct w:val="0"/>
              <w:bidi w:val="0"/>
              <w:adjustRightInd/>
              <w:snapToGrid w:val="0"/>
              <w:spacing w:line="390" w:lineRule="exact"/>
              <w:jc w:val="both"/>
              <w:rPr>
                <w:rFonts w:hint="eastAsia" w:ascii="Times New Roman" w:hAnsi="Times New Roman" w:eastAsia="宋体" w:cs="宋体"/>
                <w:color w:val="000000" w:themeColor="text1"/>
                <w:kern w:val="0"/>
                <w:sz w:val="21"/>
                <w:szCs w:val="21"/>
                <w:highlight w:val="none"/>
                <w:lang w:eastAsia="zh-CN"/>
                <w14:textFill>
                  <w14:solidFill>
                    <w14:schemeClr w14:val="tx1"/>
                  </w14:solidFill>
                </w14:textFill>
              </w:rPr>
            </w:pPr>
            <w:r>
              <w:rPr>
                <w:rFonts w:hint="eastAsia" w:ascii="Times New Roman" w:hAnsi="Times New Roman" w:cs="宋体"/>
                <w:color w:val="000000" w:themeColor="text1"/>
                <w:kern w:val="0"/>
                <w:sz w:val="21"/>
                <w:szCs w:val="21"/>
                <w:highlight w:val="none"/>
                <w:lang w:eastAsia="zh-CN"/>
                <w14:textFill>
                  <w14:solidFill>
                    <w14:schemeClr w14:val="tx1"/>
                  </w14:solidFill>
                </w14:textFill>
              </w:rPr>
              <w:t>开户户名：广西科联招标中心有限公司桂林分公司</w:t>
            </w:r>
          </w:p>
          <w:p w14:paraId="3BF1A287">
            <w:pPr>
              <w:keepNext w:val="0"/>
              <w:keepLines w:val="0"/>
              <w:pageBreakBefore w:val="0"/>
              <w:widowControl w:val="0"/>
              <w:kinsoku/>
              <w:wordWrap/>
              <w:overflowPunct/>
              <w:topLinePunct w:val="0"/>
              <w:bidi w:val="0"/>
              <w:adjustRightInd/>
              <w:snapToGrid w:val="0"/>
              <w:spacing w:line="390" w:lineRule="exact"/>
              <w:jc w:val="both"/>
              <w:rPr>
                <w:rFonts w:hint="eastAsia" w:ascii="Times New Roman" w:hAnsi="Times New Roman" w:eastAsia="宋体" w:cs="宋体"/>
                <w:color w:val="000000" w:themeColor="text1"/>
                <w:kern w:val="0"/>
                <w:sz w:val="21"/>
                <w:szCs w:val="21"/>
                <w:highlight w:val="none"/>
                <w:lang w:eastAsia="zh-CN"/>
                <w14:textFill>
                  <w14:solidFill>
                    <w14:schemeClr w14:val="tx1"/>
                  </w14:solidFill>
                </w14:textFill>
              </w:rPr>
            </w:pPr>
            <w:r>
              <w:rPr>
                <w:rFonts w:hint="eastAsia" w:ascii="Times New Roman" w:hAnsi="Times New Roman" w:cs="宋体"/>
                <w:color w:val="000000" w:themeColor="text1"/>
                <w:kern w:val="0"/>
                <w:sz w:val="21"/>
                <w:szCs w:val="21"/>
                <w:highlight w:val="none"/>
                <w:lang w:eastAsia="zh-CN"/>
                <w14:textFill>
                  <w14:solidFill>
                    <w14:schemeClr w14:val="tx1"/>
                  </w14:solidFill>
                </w14:textFill>
              </w:rPr>
              <w:t>开户银行：中国工商银行股份有限公司桂林市桂湖支行</w:t>
            </w:r>
          </w:p>
          <w:p w14:paraId="3C8374A1">
            <w:pPr>
              <w:keepNext w:val="0"/>
              <w:keepLines w:val="0"/>
              <w:pageBreakBefore w:val="0"/>
              <w:widowControl w:val="0"/>
              <w:kinsoku/>
              <w:wordWrap/>
              <w:overflowPunct/>
              <w:topLinePunct w:val="0"/>
              <w:bidi w:val="0"/>
              <w:adjustRightInd/>
              <w:snapToGrid w:val="0"/>
              <w:spacing w:line="390" w:lineRule="exact"/>
              <w:jc w:val="both"/>
              <w:rPr>
                <w:rFonts w:hint="eastAsia" w:ascii="Times New Roman" w:hAnsi="Times New Roman" w:eastAsia="宋体" w:cs="宋体"/>
                <w:color w:val="000000" w:themeColor="text1"/>
                <w:kern w:val="0"/>
                <w:sz w:val="21"/>
                <w:szCs w:val="21"/>
                <w:highlight w:val="none"/>
                <w:lang w:eastAsia="zh-CN"/>
                <w14:textFill>
                  <w14:solidFill>
                    <w14:schemeClr w14:val="tx1"/>
                  </w14:solidFill>
                </w14:textFill>
              </w:rPr>
            </w:pPr>
            <w:r>
              <w:rPr>
                <w:rFonts w:hint="eastAsia" w:ascii="Times New Roman" w:hAnsi="Times New Roman" w:cs="宋体"/>
                <w:color w:val="000000" w:themeColor="text1"/>
                <w:kern w:val="0"/>
                <w:sz w:val="21"/>
                <w:szCs w:val="21"/>
                <w:highlight w:val="none"/>
                <w:lang w:eastAsia="zh-CN"/>
                <w14:textFill>
                  <w14:solidFill>
                    <w14:schemeClr w14:val="tx1"/>
                  </w14:solidFill>
                </w14:textFill>
              </w:rPr>
              <w:t>银行账号：2103260229201002537</w:t>
            </w:r>
          </w:p>
        </w:tc>
      </w:tr>
      <w:tr w14:paraId="6A71FD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963" w:type="dxa"/>
            <w:noWrap w:val="0"/>
            <w:vAlign w:val="center"/>
          </w:tcPr>
          <w:p w14:paraId="3D6811C8">
            <w:pPr>
              <w:keepNext w:val="0"/>
              <w:keepLines w:val="0"/>
              <w:pageBreakBefore w:val="0"/>
              <w:widowControl w:val="0"/>
              <w:kinsoku/>
              <w:wordWrap/>
              <w:overflowPunct/>
              <w:topLinePunct w:val="0"/>
              <w:bidi w:val="0"/>
              <w:adjustRightInd/>
              <w:spacing w:line="390" w:lineRule="exact"/>
              <w:jc w:val="center"/>
              <w:rPr>
                <w:rFonts w:hint="eastAsia" w:ascii="Times New Roman" w:hAnsi="Times New Roman" w:eastAsia="宋体" w:cs="宋体"/>
                <w:color w:val="000000" w:themeColor="text1"/>
                <w:sz w:val="21"/>
                <w:szCs w:val="21"/>
                <w:highlight w:val="none"/>
                <w14:textFill>
                  <w14:solidFill>
                    <w14:schemeClr w14:val="tx1"/>
                  </w14:solidFill>
                </w14:textFill>
              </w:rPr>
            </w:pPr>
            <w:r>
              <w:rPr>
                <w:rFonts w:hint="eastAsia" w:ascii="Times New Roman" w:hAnsi="Times New Roman" w:eastAsia="宋体" w:cs="宋体"/>
                <w:color w:val="000000" w:themeColor="text1"/>
                <w:sz w:val="21"/>
                <w:szCs w:val="21"/>
                <w:highlight w:val="none"/>
                <w14:textFill>
                  <w14:solidFill>
                    <w14:schemeClr w14:val="tx1"/>
                  </w14:solidFill>
                </w14:textFill>
              </w:rPr>
              <w:t>3</w:t>
            </w: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3</w:t>
            </w:r>
            <w:r>
              <w:rPr>
                <w:rFonts w:hint="eastAsia" w:ascii="Times New Roman" w:hAnsi="Times New Roman" w:eastAsia="宋体" w:cs="宋体"/>
                <w:color w:val="000000" w:themeColor="text1"/>
                <w:sz w:val="21"/>
                <w:szCs w:val="21"/>
                <w:highlight w:val="none"/>
                <w14:textFill>
                  <w14:solidFill>
                    <w14:schemeClr w14:val="tx1"/>
                  </w14:solidFill>
                </w14:textFill>
              </w:rPr>
              <w:t>.1</w:t>
            </w:r>
          </w:p>
        </w:tc>
        <w:tc>
          <w:tcPr>
            <w:tcW w:w="2321" w:type="dxa"/>
            <w:noWrap w:val="0"/>
            <w:vAlign w:val="center"/>
          </w:tcPr>
          <w:p w14:paraId="511248F9">
            <w:pPr>
              <w:keepNext w:val="0"/>
              <w:keepLines w:val="0"/>
              <w:pageBreakBefore w:val="0"/>
              <w:widowControl w:val="0"/>
              <w:kinsoku/>
              <w:wordWrap/>
              <w:overflowPunct/>
              <w:topLinePunct w:val="0"/>
              <w:bidi w:val="0"/>
              <w:adjustRightInd/>
              <w:spacing w:line="390" w:lineRule="exact"/>
              <w:jc w:val="center"/>
              <w:rPr>
                <w:rFonts w:hint="eastAsia" w:ascii="Times New Roman" w:hAnsi="Times New Roman" w:eastAsia="宋体" w:cs="宋体"/>
                <w:b w:val="0"/>
                <w:bCs/>
                <w:color w:val="000000" w:themeColor="text1"/>
                <w:sz w:val="21"/>
                <w:szCs w:val="21"/>
                <w:highlight w:val="none"/>
                <w14:textFill>
                  <w14:solidFill>
                    <w14:schemeClr w14:val="tx1"/>
                  </w14:solidFill>
                </w14:textFill>
              </w:rPr>
            </w:pPr>
            <w:r>
              <w:rPr>
                <w:rFonts w:hint="eastAsia" w:ascii="Times New Roman" w:hAnsi="Times New Roman" w:eastAsia="宋体" w:cs="宋体"/>
                <w:b w:val="0"/>
                <w:bCs/>
                <w:color w:val="000000" w:themeColor="text1"/>
                <w:sz w:val="21"/>
                <w:szCs w:val="21"/>
                <w:highlight w:val="none"/>
                <w14:textFill>
                  <w14:solidFill>
                    <w14:schemeClr w14:val="tx1"/>
                  </w14:solidFill>
                </w14:textFill>
              </w:rPr>
              <w:t>解释</w:t>
            </w:r>
          </w:p>
        </w:tc>
        <w:tc>
          <w:tcPr>
            <w:tcW w:w="6466" w:type="dxa"/>
            <w:noWrap w:val="0"/>
            <w:vAlign w:val="center"/>
          </w:tcPr>
          <w:p w14:paraId="3C074734">
            <w:pPr>
              <w:keepNext w:val="0"/>
              <w:keepLines w:val="0"/>
              <w:pageBreakBefore w:val="0"/>
              <w:widowControl w:val="0"/>
              <w:kinsoku/>
              <w:wordWrap/>
              <w:overflowPunct/>
              <w:topLinePunct w:val="0"/>
              <w:bidi w:val="0"/>
              <w:adjustRightInd/>
              <w:snapToGrid w:val="0"/>
              <w:spacing w:line="390" w:lineRule="exact"/>
              <w:jc w:val="both"/>
              <w:rPr>
                <w:rFonts w:hint="eastAsia" w:ascii="Times New Roman" w:hAnsi="Times New Roman" w:eastAsia="宋体" w:cs="宋体"/>
                <w:b/>
                <w:color w:val="000000" w:themeColor="text1"/>
                <w:kern w:val="0"/>
                <w:sz w:val="21"/>
                <w:szCs w:val="21"/>
                <w:highlight w:val="none"/>
                <w14:textFill>
                  <w14:solidFill>
                    <w14:schemeClr w14:val="tx1"/>
                  </w14:solidFill>
                </w14:textFill>
              </w:rPr>
            </w:pPr>
            <w:r>
              <w:rPr>
                <w:rFonts w:hint="eastAsia" w:ascii="Times New Roman" w:hAnsi="Times New Roman" w:eastAsia="宋体" w:cs="宋体"/>
                <w:b/>
                <w:color w:val="000000" w:themeColor="text1"/>
                <w:kern w:val="0"/>
                <w:sz w:val="21"/>
                <w:szCs w:val="21"/>
                <w:highlight w:val="none"/>
                <w14:textFill>
                  <w14:solidFill>
                    <w14:schemeClr w14:val="tx1"/>
                  </w14:solidFill>
                </w14:textFill>
              </w:rPr>
              <w:t>解释：</w:t>
            </w:r>
            <w:r>
              <w:rPr>
                <w:rFonts w:hint="eastAsia" w:ascii="Times New Roman" w:hAnsi="Times New Roman" w:eastAsia="宋体" w:cs="宋体"/>
                <w:color w:val="000000" w:themeColor="text1"/>
                <w:kern w:val="0"/>
                <w:sz w:val="21"/>
                <w:szCs w:val="21"/>
                <w:highlight w:val="none"/>
                <w14:textFill>
                  <w14:solidFill>
                    <w14:schemeClr w14:val="tx1"/>
                  </w14:solidFill>
                </w14:textFill>
              </w:rPr>
              <w:t>构成本竞争性磋商文件的各个组成文件应互为解释，互为说明；除竞争性磋商文件中有特别规定外，仅适用于竞标阶段的规定，按更正公告（澄清公告）、竞争性磋商公告、采购需求、供应商须知、评审程序、评审方法和评审标准、响应文件格式、合同文本的先后顺序解释；同一组成文件中就同一事项的规定或者约定不一致的，以编排顺序在后者为准；同一组成文件不同版本之间有不一致的，以形成时间在后者为准；更正公告（澄清公告）与同步更新的磋商文件不一致时以更正公告（澄清公告）为准。按本款前述规定仍不能形成结论的，</w:t>
            </w:r>
            <w:r>
              <w:rPr>
                <w:rFonts w:hint="eastAsia" w:ascii="Times New Roman" w:hAnsi="Times New Roman" w:eastAsia="宋体" w:cs="宋体"/>
                <w:b/>
                <w:color w:val="000000" w:themeColor="text1"/>
                <w:kern w:val="0"/>
                <w:sz w:val="21"/>
                <w:szCs w:val="21"/>
                <w:highlight w:val="none"/>
                <w14:textFill>
                  <w14:solidFill>
                    <w14:schemeClr w14:val="tx1"/>
                  </w14:solidFill>
                </w14:textFill>
              </w:rPr>
              <w:t>由采购人或者采购代理机构负责解释。</w:t>
            </w:r>
          </w:p>
          <w:p w14:paraId="4A7D0688">
            <w:pPr>
              <w:keepNext w:val="0"/>
              <w:keepLines w:val="0"/>
              <w:pageBreakBefore w:val="0"/>
              <w:widowControl w:val="0"/>
              <w:kinsoku/>
              <w:wordWrap/>
              <w:overflowPunct/>
              <w:topLinePunct w:val="0"/>
              <w:bidi w:val="0"/>
              <w:adjustRightInd/>
              <w:snapToGrid w:val="0"/>
              <w:spacing w:line="390" w:lineRule="exact"/>
              <w:jc w:val="both"/>
              <w:rPr>
                <w:rFonts w:hint="eastAsia" w:ascii="Times New Roman" w:hAnsi="Times New Roman" w:eastAsia="宋体" w:cs="宋体"/>
                <w:color w:val="000000" w:themeColor="text1"/>
                <w:kern w:val="0"/>
                <w:sz w:val="21"/>
                <w:szCs w:val="21"/>
                <w:highlight w:val="none"/>
                <w14:textFill>
                  <w14:solidFill>
                    <w14:schemeClr w14:val="tx1"/>
                  </w14:solidFill>
                </w14:textFill>
              </w:rPr>
            </w:pPr>
            <w:r>
              <w:rPr>
                <w:rFonts w:hint="eastAsia" w:ascii="Times New Roman" w:hAnsi="Times New Roman" w:eastAsia="宋体" w:cs="宋体"/>
                <w:b/>
                <w:color w:val="000000" w:themeColor="text1"/>
                <w:kern w:val="0"/>
                <w:sz w:val="21"/>
                <w:szCs w:val="21"/>
                <w:highlight w:val="none"/>
                <w14:textFill>
                  <w14:solidFill>
                    <w14:schemeClr w14:val="tx1"/>
                  </w14:solidFill>
                </w14:textFill>
              </w:rPr>
              <w:t>法律责任：</w:t>
            </w:r>
            <w:r>
              <w:rPr>
                <w:rFonts w:hint="eastAsia" w:ascii="Times New Roman" w:hAnsi="Times New Roman" w:eastAsia="宋体" w:cs="宋体"/>
                <w:color w:val="000000" w:themeColor="text1"/>
                <w:kern w:val="0"/>
                <w:sz w:val="21"/>
                <w:szCs w:val="21"/>
                <w:highlight w:val="none"/>
                <w14:textFill>
                  <w14:solidFill>
                    <w14:schemeClr w14:val="tx1"/>
                  </w14:solidFill>
                </w14:textFill>
              </w:rPr>
              <w:t>本采购文件根据《中华人民共和国政府采购法》、《中华人民共和国民法典》</w:t>
            </w:r>
            <w:r>
              <w:rPr>
                <w:rFonts w:hint="eastAsia" w:ascii="Times New Roman" w:hAnsi="Times New Roman" w:eastAsia="宋体" w:cs="宋体"/>
                <w:color w:val="000000" w:themeColor="text1"/>
                <w:kern w:val="0"/>
                <w:sz w:val="21"/>
                <w:szCs w:val="21"/>
                <w:highlight w:val="none"/>
                <w:lang w:eastAsia="zh-CN"/>
                <w14:textFill>
                  <w14:solidFill>
                    <w14:schemeClr w14:val="tx1"/>
                  </w14:solidFill>
                </w14:textFill>
              </w:rPr>
              <w:t>、</w:t>
            </w:r>
            <w:r>
              <w:rPr>
                <w:rFonts w:hint="eastAsia" w:ascii="Times New Roman" w:hAnsi="Times New Roman" w:eastAsia="宋体" w:cs="宋体"/>
                <w:color w:val="000000" w:themeColor="text1"/>
                <w:kern w:val="0"/>
                <w:sz w:val="21"/>
                <w:szCs w:val="21"/>
                <w:highlight w:val="none"/>
                <w14:textFill>
                  <w14:solidFill>
                    <w14:schemeClr w14:val="tx1"/>
                  </w14:solidFill>
                </w14:textFill>
              </w:rPr>
              <w:t>《中华人民共和国政府采购法实施条例》、《政府采购竞争性磋商采购方式管理暂行办法》等有关法律、法规编制，参与本项目的各政府采购当事人依法享有上述法律法规所赋予的权利与义务。</w:t>
            </w:r>
          </w:p>
        </w:tc>
      </w:tr>
      <w:tr w14:paraId="28A8E0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963" w:type="dxa"/>
            <w:noWrap w:val="0"/>
            <w:vAlign w:val="center"/>
          </w:tcPr>
          <w:p w14:paraId="46AF9A6D">
            <w:pPr>
              <w:keepNext w:val="0"/>
              <w:keepLines w:val="0"/>
              <w:pageBreakBefore w:val="0"/>
              <w:widowControl w:val="0"/>
              <w:kinsoku/>
              <w:wordWrap/>
              <w:overflowPunct/>
              <w:topLinePunct w:val="0"/>
              <w:bidi w:val="0"/>
              <w:adjustRightInd/>
              <w:spacing w:line="390" w:lineRule="exact"/>
              <w:jc w:val="center"/>
              <w:rPr>
                <w:rFonts w:hint="eastAsia" w:ascii="Times New Roman" w:hAnsi="Times New Roman" w:eastAsia="宋体" w:cs="宋体"/>
                <w:color w:val="000000" w:themeColor="text1"/>
                <w:sz w:val="21"/>
                <w:szCs w:val="21"/>
                <w:highlight w:val="none"/>
                <w14:textFill>
                  <w14:solidFill>
                    <w14:schemeClr w14:val="tx1"/>
                  </w14:solidFill>
                </w14:textFill>
              </w:rPr>
            </w:pPr>
            <w:r>
              <w:rPr>
                <w:rFonts w:hint="eastAsia" w:ascii="Times New Roman" w:hAnsi="Times New Roman" w:eastAsia="宋体" w:cs="宋体"/>
                <w:color w:val="000000" w:themeColor="text1"/>
                <w:sz w:val="21"/>
                <w:szCs w:val="21"/>
                <w:highlight w:val="none"/>
                <w14:textFill>
                  <w14:solidFill>
                    <w14:schemeClr w14:val="tx1"/>
                  </w14:solidFill>
                </w14:textFill>
              </w:rPr>
              <w:t>3</w:t>
            </w: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3</w:t>
            </w:r>
            <w:r>
              <w:rPr>
                <w:rFonts w:hint="eastAsia" w:ascii="Times New Roman" w:hAnsi="Times New Roman" w:eastAsia="宋体" w:cs="宋体"/>
                <w:color w:val="000000" w:themeColor="text1"/>
                <w:sz w:val="21"/>
                <w:szCs w:val="21"/>
                <w:highlight w:val="none"/>
                <w14:textFill>
                  <w14:solidFill>
                    <w14:schemeClr w14:val="tx1"/>
                  </w14:solidFill>
                </w14:textFill>
              </w:rPr>
              <w:t>.2</w:t>
            </w:r>
          </w:p>
        </w:tc>
        <w:tc>
          <w:tcPr>
            <w:tcW w:w="2321" w:type="dxa"/>
            <w:noWrap w:val="0"/>
            <w:vAlign w:val="center"/>
          </w:tcPr>
          <w:p w14:paraId="502AECBF">
            <w:pPr>
              <w:keepNext w:val="0"/>
              <w:keepLines w:val="0"/>
              <w:pageBreakBefore w:val="0"/>
              <w:widowControl w:val="0"/>
              <w:kinsoku/>
              <w:wordWrap/>
              <w:overflowPunct/>
              <w:topLinePunct w:val="0"/>
              <w:bidi w:val="0"/>
              <w:adjustRightInd/>
              <w:spacing w:line="390" w:lineRule="exact"/>
              <w:jc w:val="center"/>
              <w:rPr>
                <w:rFonts w:hint="eastAsia" w:ascii="Times New Roman" w:hAnsi="Times New Roman" w:eastAsia="宋体" w:cs="宋体"/>
                <w:b w:val="0"/>
                <w:bCs/>
                <w:color w:val="000000" w:themeColor="text1"/>
                <w:sz w:val="21"/>
                <w:szCs w:val="21"/>
                <w:highlight w:val="none"/>
                <w14:textFill>
                  <w14:solidFill>
                    <w14:schemeClr w14:val="tx1"/>
                  </w14:solidFill>
                </w14:textFill>
              </w:rPr>
            </w:pPr>
            <w:r>
              <w:rPr>
                <w:rFonts w:hint="eastAsia" w:ascii="Times New Roman" w:hAnsi="Times New Roman" w:eastAsia="宋体" w:cs="宋体"/>
                <w:b w:val="0"/>
                <w:bCs/>
                <w:color w:val="000000" w:themeColor="text1"/>
                <w:sz w:val="21"/>
                <w:szCs w:val="21"/>
                <w:highlight w:val="none"/>
                <w14:textFill>
                  <w14:solidFill>
                    <w14:schemeClr w14:val="tx1"/>
                  </w14:solidFill>
                </w14:textFill>
              </w:rPr>
              <w:t>其他</w:t>
            </w:r>
          </w:p>
        </w:tc>
        <w:tc>
          <w:tcPr>
            <w:tcW w:w="6466" w:type="dxa"/>
            <w:noWrap w:val="0"/>
            <w:vAlign w:val="center"/>
          </w:tcPr>
          <w:p w14:paraId="7CB2AAD4">
            <w:pPr>
              <w:pStyle w:val="12"/>
              <w:keepNext w:val="0"/>
              <w:keepLines w:val="0"/>
              <w:pageBreakBefore w:val="0"/>
              <w:widowControl w:val="0"/>
              <w:kinsoku/>
              <w:wordWrap/>
              <w:overflowPunct/>
              <w:topLinePunct w:val="0"/>
              <w:bidi w:val="0"/>
              <w:adjustRightInd/>
              <w:spacing w:line="390" w:lineRule="exact"/>
              <w:ind w:firstLine="420" w:firstLineChars="200"/>
              <w:jc w:val="both"/>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1.本竞争性磋商文件中描述供应商的“公章”是指根据我国对公章的管理规定，用供应商法定主体行为名称制作的实物印章或供应商通过指定电子化政府采购平台办理数字证书（CA认证）获得的以法定主体行为名称制作的电子印章。除本竞争性磋商文件有特殊规定外，供应商的财务章、部门章、分公司章、工会章、合同章、投标专用章、业务专用章及银行的转账章、现金收讫章、现金付讫章等其他形式印章均不能代替公章。</w:t>
            </w:r>
          </w:p>
          <w:p w14:paraId="5DB01ECE">
            <w:pPr>
              <w:pStyle w:val="12"/>
              <w:keepNext w:val="0"/>
              <w:keepLines w:val="0"/>
              <w:pageBreakBefore w:val="0"/>
              <w:widowControl w:val="0"/>
              <w:kinsoku/>
              <w:wordWrap/>
              <w:overflowPunct/>
              <w:topLinePunct w:val="0"/>
              <w:bidi w:val="0"/>
              <w:adjustRightInd/>
              <w:spacing w:line="390" w:lineRule="exact"/>
              <w:ind w:firstLine="420" w:firstLineChars="200"/>
              <w:jc w:val="both"/>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2.本竞争性磋商文件中描述供应商的“签字”是指供应商通过指定电子化政府采购平台办理数字证书（CA认证）获得的以供应商法定代表人或者委托代理人姓名制作的电子印章或手写签字。</w:t>
            </w:r>
          </w:p>
          <w:p w14:paraId="36DABEFF">
            <w:pPr>
              <w:pStyle w:val="12"/>
              <w:keepNext w:val="0"/>
              <w:keepLines w:val="0"/>
              <w:pageBreakBefore w:val="0"/>
              <w:widowControl w:val="0"/>
              <w:tabs>
                <w:tab w:val="center" w:pos="4153"/>
                <w:tab w:val="right" w:pos="8306"/>
              </w:tabs>
              <w:kinsoku/>
              <w:wordWrap/>
              <w:overflowPunct/>
              <w:topLinePunct w:val="0"/>
              <w:bidi w:val="0"/>
              <w:adjustRightInd/>
              <w:spacing w:line="390" w:lineRule="exact"/>
              <w:ind w:firstLine="420" w:firstLineChars="200"/>
              <w:jc w:val="both"/>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3.</w:t>
            </w:r>
            <w:r>
              <w:rPr>
                <w:rFonts w:hint="eastAsia" w:ascii="Times New Roman" w:hAnsi="Times New Roman" w:eastAsia="宋体" w:cs="宋体"/>
                <w:color w:val="000000" w:themeColor="text1"/>
                <w:kern w:val="2"/>
                <w:sz w:val="21"/>
                <w:szCs w:val="21"/>
                <w:highlight w:val="none"/>
                <w:lang w:val="en-US" w:eastAsia="zh-CN"/>
                <w14:textFill>
                  <w14:solidFill>
                    <w14:schemeClr w14:val="tx1"/>
                  </w14:solidFill>
                </w14:textFill>
              </w:rPr>
              <w:t>本竞争性磋商文件所称的“电子签章”“电子签名”，是指经</w:t>
            </w:r>
            <w:r>
              <w:rPr>
                <w:rFonts w:hint="eastAsia" w:ascii="Times New Roman" w:hAnsi="Times New Roman" w:eastAsia="宋体" w:cs="宋体"/>
                <w:b w:val="0"/>
                <w:bCs w:val="0"/>
                <w:color w:val="000000" w:themeColor="text1"/>
                <w:sz w:val="21"/>
                <w:szCs w:val="21"/>
                <w:highlight w:val="none"/>
                <w:lang w:val="en-US" w:eastAsia="zh-CN"/>
                <w14:textFill>
                  <w14:solidFill>
                    <w14:schemeClr w14:val="tx1"/>
                  </w14:solidFill>
                </w14:textFill>
              </w:rPr>
              <w:t>广西政府采购云平台</w:t>
            </w:r>
            <w:r>
              <w:rPr>
                <w:rFonts w:hint="eastAsia" w:ascii="Times New Roman" w:hAnsi="Times New Roman" w:eastAsia="宋体" w:cs="宋体"/>
                <w:color w:val="000000" w:themeColor="text1"/>
                <w:kern w:val="2"/>
                <w:sz w:val="21"/>
                <w:szCs w:val="21"/>
                <w:highlight w:val="none"/>
                <w:lang w:val="en-US" w:eastAsia="zh-CN"/>
                <w14:textFill>
                  <w14:solidFill>
                    <w14:schemeClr w14:val="tx1"/>
                  </w14:solidFill>
                </w14:textFill>
              </w:rPr>
              <w:t>认可的CA认证的电子签名数据为表现形式的印章，可用于签署电子响应文件，电子印章与实物印章具有同等法律效力，不因其采用电子化表现形式而否定其法律效力</w:t>
            </w: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w:t>
            </w:r>
          </w:p>
          <w:p w14:paraId="3A51616A">
            <w:pPr>
              <w:pStyle w:val="12"/>
              <w:keepNext w:val="0"/>
              <w:keepLines w:val="0"/>
              <w:pageBreakBefore w:val="0"/>
              <w:widowControl w:val="0"/>
              <w:kinsoku/>
              <w:wordWrap/>
              <w:overflowPunct/>
              <w:topLinePunct w:val="0"/>
              <w:bidi w:val="0"/>
              <w:adjustRightInd/>
              <w:spacing w:line="390" w:lineRule="exact"/>
              <w:ind w:firstLine="420" w:firstLineChars="200"/>
              <w:jc w:val="both"/>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4.供应商为其他组织或者自然人时，本竞争性磋商文件规定的法定代表人指负责人或者自然人。本竞争性磋商文件所称负责人是指参加竞标的其他组织营业执照上的负责人，本竞争性磋商文件所称自然人指参与竞标的自然人本人。</w:t>
            </w:r>
          </w:p>
          <w:p w14:paraId="119E42A3">
            <w:pPr>
              <w:pStyle w:val="12"/>
              <w:keepNext w:val="0"/>
              <w:keepLines w:val="0"/>
              <w:pageBreakBefore w:val="0"/>
              <w:widowControl w:val="0"/>
              <w:kinsoku/>
              <w:wordWrap/>
              <w:overflowPunct/>
              <w:topLinePunct w:val="0"/>
              <w:bidi w:val="0"/>
              <w:adjustRightInd/>
              <w:spacing w:line="390" w:lineRule="exact"/>
              <w:ind w:firstLine="420" w:firstLineChars="200"/>
              <w:jc w:val="both"/>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5.自然人竞标的，竞争性磋商文件规定盖公章处由自然人摁手指指印。</w:t>
            </w:r>
          </w:p>
          <w:p w14:paraId="216991A6">
            <w:pPr>
              <w:pStyle w:val="12"/>
              <w:keepNext w:val="0"/>
              <w:keepLines w:val="0"/>
              <w:pageBreakBefore w:val="0"/>
              <w:widowControl w:val="0"/>
              <w:kinsoku/>
              <w:wordWrap/>
              <w:overflowPunct/>
              <w:topLinePunct w:val="0"/>
              <w:bidi w:val="0"/>
              <w:adjustRightInd/>
              <w:spacing w:line="390" w:lineRule="exact"/>
              <w:ind w:firstLine="420" w:firstLineChars="200"/>
              <w:jc w:val="both"/>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6.同义词语：构成竞争性磋商采购文件组成部分的“通用合同条款”、“专用合同条款”、“技术标准和要求”和“工程量清单”等章节中出现的措辞“发包人”和“承包人”，在采购阶段应当分别按“采购人”和“供应商”进行理解。</w:t>
            </w:r>
          </w:p>
          <w:p w14:paraId="4B55D4D7">
            <w:pPr>
              <w:pStyle w:val="12"/>
              <w:keepNext w:val="0"/>
              <w:keepLines w:val="0"/>
              <w:pageBreakBefore w:val="0"/>
              <w:widowControl w:val="0"/>
              <w:kinsoku/>
              <w:wordWrap/>
              <w:overflowPunct/>
              <w:topLinePunct w:val="0"/>
              <w:bidi w:val="0"/>
              <w:adjustRightInd/>
              <w:spacing w:line="390" w:lineRule="exact"/>
              <w:ind w:firstLine="420" w:firstLineChars="200"/>
              <w:jc w:val="both"/>
              <w:rPr>
                <w:rFonts w:hint="eastAsia" w:ascii="Times New Roman" w:hAnsi="Times New Roman" w:eastAsia="宋体" w:cs="宋体"/>
                <w:color w:val="000000" w:themeColor="text1"/>
                <w:kern w:val="0"/>
                <w:sz w:val="21"/>
                <w:szCs w:val="21"/>
                <w:highlight w:val="none"/>
                <w14:textFill>
                  <w14:solidFill>
                    <w14:schemeClr w14:val="tx1"/>
                  </w14:solidFill>
                </w14:textFill>
              </w:rPr>
            </w:pPr>
            <w:r>
              <w:rPr>
                <w:rFonts w:hint="eastAsia" w:ascii="Times New Roman" w:hAnsi="Times New Roman" w:eastAsia="宋体" w:cs="宋体"/>
                <w:color w:val="000000" w:themeColor="text1"/>
                <w:sz w:val="21"/>
                <w:szCs w:val="21"/>
                <w:highlight w:val="none"/>
                <w14:textFill>
                  <w14:solidFill>
                    <w14:schemeClr w14:val="tx1"/>
                  </w14:solidFill>
                </w14:textFill>
              </w:rPr>
              <w:t>7.本竞争性磋商文件所称的</w:t>
            </w: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w:t>
            </w:r>
            <w:r>
              <w:rPr>
                <w:rFonts w:hint="eastAsia" w:ascii="Times New Roman" w:hAnsi="Times New Roman" w:eastAsia="宋体" w:cs="宋体"/>
                <w:color w:val="000000" w:themeColor="text1"/>
                <w:sz w:val="21"/>
                <w:szCs w:val="21"/>
                <w:highlight w:val="none"/>
                <w14:textFill>
                  <w14:solidFill>
                    <w14:schemeClr w14:val="tx1"/>
                  </w14:solidFill>
                </w14:textFill>
              </w:rPr>
              <w:t>以上</w:t>
            </w: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w:t>
            </w:r>
            <w:r>
              <w:rPr>
                <w:rFonts w:hint="eastAsia" w:ascii="Times New Roman" w:hAnsi="Times New Roman" w:eastAsia="宋体" w:cs="宋体"/>
                <w:color w:val="000000" w:themeColor="text1"/>
                <w:sz w:val="21"/>
                <w:szCs w:val="21"/>
                <w:highlight w:val="none"/>
                <w14:textFill>
                  <w14:solidFill>
                    <w14:schemeClr w14:val="tx1"/>
                  </w14:solidFill>
                </w14:textFill>
              </w:rPr>
              <w:t>以下</w:t>
            </w: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w:t>
            </w:r>
            <w:r>
              <w:rPr>
                <w:rFonts w:hint="eastAsia" w:ascii="Times New Roman" w:hAnsi="Times New Roman" w:eastAsia="宋体" w:cs="宋体"/>
                <w:color w:val="000000" w:themeColor="text1"/>
                <w:sz w:val="21"/>
                <w:szCs w:val="21"/>
                <w:highlight w:val="none"/>
                <w14:textFill>
                  <w14:solidFill>
                    <w14:schemeClr w14:val="tx1"/>
                  </w14:solidFill>
                </w14:textFill>
              </w:rPr>
              <w:t>以内</w:t>
            </w: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w:t>
            </w:r>
            <w:r>
              <w:rPr>
                <w:rFonts w:hint="eastAsia" w:ascii="Times New Roman" w:hAnsi="Times New Roman" w:eastAsia="宋体" w:cs="宋体"/>
                <w:color w:val="000000" w:themeColor="text1"/>
                <w:sz w:val="21"/>
                <w:szCs w:val="21"/>
                <w:highlight w:val="none"/>
                <w14:textFill>
                  <w14:solidFill>
                    <w14:schemeClr w14:val="tx1"/>
                  </w14:solidFill>
                </w14:textFill>
              </w:rPr>
              <w:t>届满</w:t>
            </w: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w:t>
            </w:r>
            <w:r>
              <w:rPr>
                <w:rFonts w:hint="eastAsia" w:ascii="Times New Roman" w:hAnsi="Times New Roman" w:eastAsia="宋体" w:cs="宋体"/>
                <w:color w:val="000000" w:themeColor="text1"/>
                <w:sz w:val="21"/>
                <w:szCs w:val="21"/>
                <w:highlight w:val="none"/>
                <w14:textFill>
                  <w14:solidFill>
                    <w14:schemeClr w14:val="tx1"/>
                  </w14:solidFill>
                </w14:textFill>
              </w:rPr>
              <w:t>，包括本数；所称的</w:t>
            </w: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w:t>
            </w:r>
            <w:r>
              <w:rPr>
                <w:rFonts w:hint="eastAsia" w:ascii="Times New Roman" w:hAnsi="Times New Roman" w:eastAsia="宋体" w:cs="宋体"/>
                <w:color w:val="000000" w:themeColor="text1"/>
                <w:sz w:val="21"/>
                <w:szCs w:val="21"/>
                <w:highlight w:val="none"/>
                <w14:textFill>
                  <w14:solidFill>
                    <w14:schemeClr w14:val="tx1"/>
                  </w14:solidFill>
                </w14:textFill>
              </w:rPr>
              <w:t>不满</w:t>
            </w: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w:t>
            </w:r>
            <w:r>
              <w:rPr>
                <w:rFonts w:hint="eastAsia" w:ascii="Times New Roman" w:hAnsi="Times New Roman" w:eastAsia="宋体" w:cs="宋体"/>
                <w:color w:val="000000" w:themeColor="text1"/>
                <w:sz w:val="21"/>
                <w:szCs w:val="21"/>
                <w:highlight w:val="none"/>
                <w14:textFill>
                  <w14:solidFill>
                    <w14:schemeClr w14:val="tx1"/>
                  </w14:solidFill>
                </w14:textFill>
              </w:rPr>
              <w:t>超过</w:t>
            </w: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w:t>
            </w:r>
            <w:r>
              <w:rPr>
                <w:rFonts w:hint="eastAsia" w:ascii="Times New Roman" w:hAnsi="Times New Roman" w:eastAsia="宋体" w:cs="宋体"/>
                <w:color w:val="000000" w:themeColor="text1"/>
                <w:sz w:val="21"/>
                <w:szCs w:val="21"/>
                <w:highlight w:val="none"/>
                <w14:textFill>
                  <w14:solidFill>
                    <w14:schemeClr w14:val="tx1"/>
                  </w14:solidFill>
                </w14:textFill>
              </w:rPr>
              <w:t>以外</w:t>
            </w: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w:t>
            </w:r>
            <w:r>
              <w:rPr>
                <w:rFonts w:hint="eastAsia" w:ascii="Times New Roman" w:hAnsi="Times New Roman" w:eastAsia="宋体" w:cs="宋体"/>
                <w:color w:val="000000" w:themeColor="text1"/>
                <w:sz w:val="21"/>
                <w:szCs w:val="21"/>
                <w:highlight w:val="none"/>
                <w14:textFill>
                  <w14:solidFill>
                    <w14:schemeClr w14:val="tx1"/>
                  </w14:solidFill>
                </w14:textFill>
              </w:rPr>
              <w:t>，不包括本数。</w:t>
            </w:r>
          </w:p>
        </w:tc>
      </w:tr>
    </w:tbl>
    <w:p w14:paraId="51E433EA">
      <w:pPr>
        <w:pStyle w:val="4"/>
        <w:keepNext/>
        <w:keepLines/>
        <w:pageBreakBefore w:val="0"/>
        <w:widowControl w:val="0"/>
        <w:kinsoku/>
        <w:wordWrap/>
        <w:overflowPunct/>
        <w:topLinePunct w:val="0"/>
        <w:autoSpaceDE/>
        <w:autoSpaceDN/>
        <w:bidi w:val="0"/>
        <w:adjustRightInd/>
        <w:snapToGrid/>
        <w:spacing w:before="0" w:after="0" w:line="360" w:lineRule="auto"/>
        <w:jc w:val="center"/>
        <w:textAlignment w:val="auto"/>
        <w:outlineLvl w:val="1"/>
        <w:rPr>
          <w:rFonts w:hint="eastAsia" w:ascii="Times New Roman" w:hAnsi="Times New Roman" w:eastAsia="宋体" w:cs="宋体"/>
          <w:b/>
          <w:bCs/>
          <w:color w:val="000000" w:themeColor="text1"/>
          <w:spacing w:val="0"/>
          <w:sz w:val="30"/>
          <w:szCs w:val="30"/>
          <w:highlight w:val="none"/>
          <w14:textFill>
            <w14:solidFill>
              <w14:schemeClr w14:val="tx1"/>
            </w14:solidFill>
          </w14:textFill>
        </w:rPr>
      </w:pPr>
      <w:r>
        <w:rPr>
          <w:rFonts w:ascii="Times New Roman" w:hAnsi="Times New Roman"/>
          <w:b w:val="0"/>
          <w:color w:val="000000" w:themeColor="text1"/>
          <w:highlight w:val="none"/>
          <w14:textFill>
            <w14:solidFill>
              <w14:schemeClr w14:val="tx1"/>
            </w14:solidFill>
          </w14:textFill>
        </w:rPr>
        <w:br w:type="page"/>
      </w:r>
      <w:bookmarkStart w:id="78" w:name="_Toc80886929"/>
      <w:bookmarkStart w:id="79" w:name="_Toc27094"/>
      <w:bookmarkStart w:id="80" w:name="_Toc30957"/>
      <w:bookmarkStart w:id="81" w:name="_Toc25106"/>
      <w:r>
        <w:rPr>
          <w:rFonts w:hint="eastAsia" w:ascii="Times New Roman" w:hAnsi="Times New Roman" w:eastAsia="宋体" w:cs="宋体"/>
          <w:b/>
          <w:bCs/>
          <w:color w:val="000000" w:themeColor="text1"/>
          <w:spacing w:val="0"/>
          <w:sz w:val="30"/>
          <w:szCs w:val="30"/>
          <w:highlight w:val="none"/>
          <w:lang w:val="en-US" w:eastAsia="zh-CN"/>
          <w14:textFill>
            <w14:solidFill>
              <w14:schemeClr w14:val="tx1"/>
            </w14:solidFill>
          </w14:textFill>
        </w:rPr>
        <w:t>第二节  供应商须知正文</w:t>
      </w:r>
      <w:bookmarkEnd w:id="78"/>
      <w:bookmarkEnd w:id="79"/>
      <w:bookmarkEnd w:id="80"/>
      <w:bookmarkEnd w:id="81"/>
    </w:p>
    <w:p w14:paraId="3E59932A">
      <w:pPr>
        <w:pStyle w:val="5"/>
        <w:keepNext/>
        <w:keepLines/>
        <w:pageBreakBefore w:val="0"/>
        <w:widowControl w:val="0"/>
        <w:kinsoku/>
        <w:wordWrap/>
        <w:overflowPunct/>
        <w:topLinePunct w:val="0"/>
        <w:autoSpaceDE/>
        <w:autoSpaceDN/>
        <w:bidi w:val="0"/>
        <w:adjustRightInd/>
        <w:snapToGrid/>
        <w:spacing w:before="0" w:after="0" w:line="360" w:lineRule="auto"/>
        <w:jc w:val="center"/>
        <w:textAlignment w:val="auto"/>
        <w:rPr>
          <w:rFonts w:hint="eastAsia" w:ascii="Times New Roman" w:hAnsi="Times New Roman" w:eastAsia="宋体" w:cs="宋体"/>
          <w:bCs w:val="0"/>
          <w:color w:val="000000" w:themeColor="text1"/>
          <w:spacing w:val="0"/>
          <w:sz w:val="24"/>
          <w:szCs w:val="24"/>
          <w:highlight w:val="none"/>
          <w14:textFill>
            <w14:solidFill>
              <w14:schemeClr w14:val="tx1"/>
            </w14:solidFill>
          </w14:textFill>
        </w:rPr>
      </w:pPr>
      <w:bookmarkStart w:id="82" w:name="_Toc26166"/>
      <w:bookmarkStart w:id="83" w:name="_Toc80886930"/>
      <w:bookmarkStart w:id="84" w:name="_Toc6457"/>
      <w:bookmarkStart w:id="85" w:name="_Toc26491"/>
      <w:r>
        <w:rPr>
          <w:rFonts w:hint="eastAsia" w:ascii="Times New Roman" w:hAnsi="Times New Roman" w:eastAsia="宋体" w:cs="宋体"/>
          <w:bCs w:val="0"/>
          <w:color w:val="000000" w:themeColor="text1"/>
          <w:spacing w:val="0"/>
          <w:sz w:val="24"/>
          <w:szCs w:val="24"/>
          <w:highlight w:val="none"/>
          <w14:textFill>
            <w14:solidFill>
              <w14:schemeClr w14:val="tx1"/>
            </w14:solidFill>
          </w14:textFill>
        </w:rPr>
        <w:t>一、总则</w:t>
      </w:r>
      <w:bookmarkEnd w:id="82"/>
      <w:bookmarkEnd w:id="83"/>
      <w:bookmarkEnd w:id="84"/>
      <w:bookmarkEnd w:id="85"/>
    </w:p>
    <w:p w14:paraId="1A24AAAA">
      <w:pPr>
        <w:pageBreakBefore w:val="0"/>
        <w:widowControl w:val="0"/>
        <w:kinsoku/>
        <w:wordWrap/>
        <w:overflowPunct/>
        <w:topLinePunct w:val="0"/>
        <w:autoSpaceDE/>
        <w:autoSpaceDN/>
        <w:bidi w:val="0"/>
        <w:spacing w:line="360" w:lineRule="auto"/>
        <w:outlineLvl w:val="2"/>
        <w:rPr>
          <w:rFonts w:hint="eastAsia" w:ascii="Times New Roman" w:hAnsi="Times New Roman" w:eastAsia="宋体" w:cs="宋体"/>
          <w:b/>
          <w:bCs/>
          <w:color w:val="000000" w:themeColor="text1"/>
          <w:spacing w:val="0"/>
          <w:sz w:val="21"/>
          <w:szCs w:val="21"/>
          <w:highlight w:val="none"/>
          <w14:textFill>
            <w14:solidFill>
              <w14:schemeClr w14:val="tx1"/>
            </w14:solidFill>
          </w14:textFill>
        </w:rPr>
      </w:pPr>
      <w:bookmarkStart w:id="86" w:name="_Toc21204"/>
      <w:r>
        <w:rPr>
          <w:rFonts w:hint="eastAsia" w:ascii="Times New Roman" w:hAnsi="Times New Roman" w:eastAsia="宋体" w:cs="宋体"/>
          <w:b/>
          <w:bCs/>
          <w:color w:val="000000" w:themeColor="text1"/>
          <w:spacing w:val="0"/>
          <w:sz w:val="21"/>
          <w:szCs w:val="21"/>
          <w:highlight w:val="none"/>
          <w14:textFill>
            <w14:solidFill>
              <w14:schemeClr w14:val="tx1"/>
            </w14:solidFill>
          </w14:textFill>
        </w:rPr>
        <w:t>1.适用范围</w:t>
      </w:r>
      <w:bookmarkEnd w:id="86"/>
    </w:p>
    <w:p w14:paraId="01C90708">
      <w:pPr>
        <w:pageBreakBefore w:val="0"/>
        <w:widowControl w:val="0"/>
        <w:kinsoku/>
        <w:wordWrap/>
        <w:overflowPunct/>
        <w:topLinePunct w:val="0"/>
        <w:autoSpaceDE/>
        <w:autoSpaceDN/>
        <w:bidi w:val="0"/>
        <w:spacing w:line="360" w:lineRule="auto"/>
        <w:ind w:firstLine="420" w:firstLineChars="200"/>
        <w:rPr>
          <w:rFonts w:hint="eastAsia" w:ascii="Times New Roman" w:hAnsi="Times New Roman" w:eastAsia="宋体" w:cs="宋体"/>
          <w:color w:val="000000" w:themeColor="text1"/>
          <w:spacing w:val="0"/>
          <w:szCs w:val="21"/>
          <w:highlight w:val="none"/>
          <w14:textFill>
            <w14:solidFill>
              <w14:schemeClr w14:val="tx1"/>
            </w14:solidFill>
          </w14:textFill>
        </w:rPr>
      </w:pPr>
      <w:r>
        <w:rPr>
          <w:rFonts w:hint="eastAsia" w:ascii="Times New Roman" w:hAnsi="Times New Roman" w:eastAsia="宋体" w:cs="宋体"/>
          <w:color w:val="000000" w:themeColor="text1"/>
          <w:spacing w:val="0"/>
          <w:szCs w:val="21"/>
          <w:highlight w:val="none"/>
          <w14:textFill>
            <w14:solidFill>
              <w14:schemeClr w14:val="tx1"/>
            </w14:solidFill>
          </w14:textFill>
        </w:rPr>
        <w:t>1.1本项目采购人、采购代理机构、供应商、磋商小组的相关行为均受《中华人民共和国政府采购法》《中华人民共和国政府采购法实施条例》《政府采购竞争性磋商采购方式管理暂行办法》《财政部关于政府采购竞争性磋商采购方式管理暂行办法有关问题的补充通知》及本项目本级和上级财政部门政府采购有关规定的约束和保护。</w:t>
      </w:r>
    </w:p>
    <w:p w14:paraId="11C6E808">
      <w:pPr>
        <w:pageBreakBefore w:val="0"/>
        <w:widowControl w:val="0"/>
        <w:kinsoku/>
        <w:wordWrap/>
        <w:overflowPunct/>
        <w:topLinePunct w:val="0"/>
        <w:autoSpaceDE/>
        <w:autoSpaceDN/>
        <w:bidi w:val="0"/>
        <w:spacing w:line="360" w:lineRule="auto"/>
        <w:ind w:firstLine="420" w:firstLineChars="200"/>
        <w:rPr>
          <w:rFonts w:hint="eastAsia" w:ascii="Times New Roman" w:hAnsi="Times New Roman" w:eastAsia="宋体" w:cs="宋体"/>
          <w:color w:val="000000" w:themeColor="text1"/>
          <w:spacing w:val="0"/>
          <w:szCs w:val="21"/>
          <w:highlight w:val="none"/>
          <w14:textFill>
            <w14:solidFill>
              <w14:schemeClr w14:val="tx1"/>
            </w14:solidFill>
          </w14:textFill>
        </w:rPr>
      </w:pPr>
      <w:r>
        <w:rPr>
          <w:rFonts w:hint="eastAsia" w:ascii="Times New Roman" w:hAnsi="Times New Roman" w:eastAsia="宋体" w:cs="宋体"/>
          <w:color w:val="000000" w:themeColor="text1"/>
          <w:spacing w:val="0"/>
          <w:szCs w:val="21"/>
          <w:highlight w:val="none"/>
          <w14:textFill>
            <w14:solidFill>
              <w14:schemeClr w14:val="tx1"/>
            </w14:solidFill>
          </w14:textFill>
        </w:rPr>
        <w:t>1.2本竞争性磋商文件（以下简称磋商文件）适用于本项目的所有采购程序和环节（法律、法规另有规定的，从其规定）。</w:t>
      </w:r>
    </w:p>
    <w:p w14:paraId="2CFF8B70">
      <w:pPr>
        <w:pageBreakBefore w:val="0"/>
        <w:widowControl w:val="0"/>
        <w:kinsoku/>
        <w:wordWrap/>
        <w:overflowPunct/>
        <w:topLinePunct w:val="0"/>
        <w:autoSpaceDE/>
        <w:autoSpaceDN/>
        <w:bidi w:val="0"/>
        <w:spacing w:line="360" w:lineRule="auto"/>
        <w:outlineLvl w:val="2"/>
        <w:rPr>
          <w:rFonts w:hint="eastAsia" w:ascii="Times New Roman" w:hAnsi="Times New Roman" w:eastAsia="宋体" w:cs="宋体"/>
          <w:b/>
          <w:bCs/>
          <w:color w:val="000000" w:themeColor="text1"/>
          <w:spacing w:val="0"/>
          <w:sz w:val="21"/>
          <w:szCs w:val="21"/>
          <w:highlight w:val="none"/>
          <w14:textFill>
            <w14:solidFill>
              <w14:schemeClr w14:val="tx1"/>
            </w14:solidFill>
          </w14:textFill>
        </w:rPr>
      </w:pPr>
      <w:bookmarkStart w:id="87" w:name="_Toc31489"/>
      <w:r>
        <w:rPr>
          <w:rFonts w:hint="eastAsia" w:ascii="Times New Roman" w:hAnsi="Times New Roman" w:eastAsia="宋体" w:cs="宋体"/>
          <w:b/>
          <w:bCs/>
          <w:color w:val="000000" w:themeColor="text1"/>
          <w:spacing w:val="0"/>
          <w:sz w:val="21"/>
          <w:szCs w:val="21"/>
          <w:highlight w:val="none"/>
          <w14:textFill>
            <w14:solidFill>
              <w14:schemeClr w14:val="tx1"/>
            </w14:solidFill>
          </w14:textFill>
        </w:rPr>
        <w:t>2.定义</w:t>
      </w:r>
      <w:bookmarkEnd w:id="87"/>
    </w:p>
    <w:p w14:paraId="7AF769B2">
      <w:pPr>
        <w:pageBreakBefore w:val="0"/>
        <w:widowControl w:val="0"/>
        <w:kinsoku/>
        <w:wordWrap/>
        <w:overflowPunct/>
        <w:topLinePunct w:val="0"/>
        <w:autoSpaceDE/>
        <w:autoSpaceDN/>
        <w:bidi w:val="0"/>
        <w:spacing w:line="360" w:lineRule="auto"/>
        <w:ind w:firstLine="420" w:firstLineChars="200"/>
        <w:rPr>
          <w:rFonts w:hint="eastAsia" w:ascii="Times New Roman" w:hAnsi="Times New Roman" w:eastAsia="宋体" w:cs="宋体"/>
          <w:color w:val="000000" w:themeColor="text1"/>
          <w:spacing w:val="0"/>
          <w:szCs w:val="21"/>
          <w:highlight w:val="none"/>
          <w14:textFill>
            <w14:solidFill>
              <w14:schemeClr w14:val="tx1"/>
            </w14:solidFill>
          </w14:textFill>
        </w:rPr>
      </w:pPr>
      <w:r>
        <w:rPr>
          <w:rFonts w:hint="eastAsia" w:ascii="Times New Roman" w:hAnsi="Times New Roman" w:eastAsia="宋体" w:cs="宋体"/>
          <w:color w:val="000000" w:themeColor="text1"/>
          <w:spacing w:val="0"/>
          <w:szCs w:val="21"/>
          <w:highlight w:val="none"/>
          <w14:textFill>
            <w14:solidFill>
              <w14:schemeClr w14:val="tx1"/>
            </w14:solidFill>
          </w14:textFill>
        </w:rPr>
        <w:t>2.1</w:t>
      </w:r>
      <w:r>
        <w:rPr>
          <w:rFonts w:hint="eastAsia" w:ascii="Times New Roman" w:hAnsi="Times New Roman" w:eastAsia="宋体" w:cs="宋体"/>
          <w:color w:val="000000" w:themeColor="text1"/>
          <w:spacing w:val="0"/>
          <w:szCs w:val="21"/>
          <w:highlight w:val="none"/>
          <w:lang w:eastAsia="zh-CN"/>
          <w14:textFill>
            <w14:solidFill>
              <w14:schemeClr w14:val="tx1"/>
            </w14:solidFill>
          </w14:textFill>
        </w:rPr>
        <w:t>“</w:t>
      </w:r>
      <w:r>
        <w:rPr>
          <w:rFonts w:hint="eastAsia" w:ascii="Times New Roman" w:hAnsi="Times New Roman" w:eastAsia="宋体" w:cs="宋体"/>
          <w:color w:val="000000" w:themeColor="text1"/>
          <w:spacing w:val="0"/>
          <w:szCs w:val="21"/>
          <w:highlight w:val="none"/>
          <w14:textFill>
            <w14:solidFill>
              <w14:schemeClr w14:val="tx1"/>
            </w14:solidFill>
          </w14:textFill>
        </w:rPr>
        <w:t>采购人</w:t>
      </w:r>
      <w:r>
        <w:rPr>
          <w:rFonts w:hint="eastAsia" w:ascii="Times New Roman" w:hAnsi="Times New Roman" w:eastAsia="宋体" w:cs="宋体"/>
          <w:color w:val="000000" w:themeColor="text1"/>
          <w:spacing w:val="0"/>
          <w:highlight w:val="none"/>
          <w:lang w:val="en-US" w:eastAsia="zh-CN"/>
          <w14:textFill>
            <w14:solidFill>
              <w14:schemeClr w14:val="tx1"/>
            </w14:solidFill>
          </w14:textFill>
        </w:rPr>
        <w:t>”</w:t>
      </w:r>
      <w:r>
        <w:rPr>
          <w:rFonts w:hint="eastAsia" w:ascii="Times New Roman" w:hAnsi="Times New Roman" w:eastAsia="宋体" w:cs="宋体"/>
          <w:color w:val="000000" w:themeColor="text1"/>
          <w:spacing w:val="0"/>
          <w:szCs w:val="21"/>
          <w:highlight w:val="none"/>
          <w14:textFill>
            <w14:solidFill>
              <w14:schemeClr w14:val="tx1"/>
            </w14:solidFill>
          </w14:textFill>
        </w:rPr>
        <w:t>是指依法进行政府采购的国家机关、事业单位、团体组织。</w:t>
      </w:r>
    </w:p>
    <w:p w14:paraId="09C8563B">
      <w:pPr>
        <w:pageBreakBefore w:val="0"/>
        <w:widowControl w:val="0"/>
        <w:kinsoku/>
        <w:wordWrap/>
        <w:overflowPunct/>
        <w:topLinePunct w:val="0"/>
        <w:autoSpaceDE/>
        <w:autoSpaceDN/>
        <w:bidi w:val="0"/>
        <w:spacing w:line="360" w:lineRule="auto"/>
        <w:ind w:firstLine="420" w:firstLineChars="200"/>
        <w:rPr>
          <w:rFonts w:hint="eastAsia" w:ascii="Times New Roman" w:hAnsi="Times New Roman" w:eastAsia="宋体" w:cs="宋体"/>
          <w:color w:val="000000" w:themeColor="text1"/>
          <w:spacing w:val="0"/>
          <w:szCs w:val="21"/>
          <w:highlight w:val="none"/>
          <w:u w:val="single"/>
          <w14:textFill>
            <w14:solidFill>
              <w14:schemeClr w14:val="tx1"/>
            </w14:solidFill>
          </w14:textFill>
        </w:rPr>
      </w:pPr>
      <w:r>
        <w:rPr>
          <w:rFonts w:hint="eastAsia" w:ascii="Times New Roman" w:hAnsi="Times New Roman" w:eastAsia="宋体" w:cs="宋体"/>
          <w:color w:val="000000" w:themeColor="text1"/>
          <w:spacing w:val="0"/>
          <w:szCs w:val="21"/>
          <w:highlight w:val="none"/>
          <w14:textFill>
            <w14:solidFill>
              <w14:schemeClr w14:val="tx1"/>
            </w14:solidFill>
          </w14:textFill>
        </w:rPr>
        <w:t>2.2</w:t>
      </w:r>
      <w:r>
        <w:rPr>
          <w:rFonts w:hint="eastAsia" w:ascii="Times New Roman" w:hAnsi="Times New Roman" w:eastAsia="宋体" w:cs="宋体"/>
          <w:color w:val="000000" w:themeColor="text1"/>
          <w:spacing w:val="0"/>
          <w:szCs w:val="21"/>
          <w:highlight w:val="none"/>
          <w:lang w:eastAsia="zh-CN"/>
          <w14:textFill>
            <w14:solidFill>
              <w14:schemeClr w14:val="tx1"/>
            </w14:solidFill>
          </w14:textFill>
        </w:rPr>
        <w:t>“</w:t>
      </w:r>
      <w:r>
        <w:rPr>
          <w:rFonts w:hint="eastAsia" w:ascii="Times New Roman" w:hAnsi="Times New Roman" w:eastAsia="宋体" w:cs="宋体"/>
          <w:color w:val="000000" w:themeColor="text1"/>
          <w:spacing w:val="0"/>
          <w:szCs w:val="21"/>
          <w:highlight w:val="none"/>
          <w14:textFill>
            <w14:solidFill>
              <w14:schemeClr w14:val="tx1"/>
            </w14:solidFill>
          </w14:textFill>
        </w:rPr>
        <w:t>采购代理机构</w:t>
      </w:r>
      <w:r>
        <w:rPr>
          <w:rFonts w:hint="eastAsia" w:ascii="Times New Roman" w:hAnsi="Times New Roman" w:eastAsia="宋体" w:cs="宋体"/>
          <w:color w:val="000000" w:themeColor="text1"/>
          <w:spacing w:val="0"/>
          <w:highlight w:val="none"/>
          <w:lang w:val="en-US" w:eastAsia="zh-CN"/>
          <w14:textFill>
            <w14:solidFill>
              <w14:schemeClr w14:val="tx1"/>
            </w14:solidFill>
          </w14:textFill>
        </w:rPr>
        <w:t>”</w:t>
      </w:r>
      <w:r>
        <w:rPr>
          <w:rFonts w:hint="eastAsia" w:ascii="Times New Roman" w:hAnsi="Times New Roman" w:eastAsia="宋体" w:cs="宋体"/>
          <w:color w:val="000000" w:themeColor="text1"/>
          <w:spacing w:val="0"/>
          <w:szCs w:val="21"/>
          <w:highlight w:val="none"/>
          <w14:textFill>
            <w14:solidFill>
              <w14:schemeClr w14:val="tx1"/>
            </w14:solidFill>
          </w14:textFill>
        </w:rPr>
        <w:t>是指政府采购集中采购机构和集中采购机构以外的采购代理机构。</w:t>
      </w:r>
    </w:p>
    <w:p w14:paraId="7B568FFB">
      <w:pPr>
        <w:pageBreakBefore w:val="0"/>
        <w:widowControl w:val="0"/>
        <w:kinsoku/>
        <w:wordWrap/>
        <w:overflowPunct/>
        <w:topLinePunct w:val="0"/>
        <w:autoSpaceDE/>
        <w:autoSpaceDN/>
        <w:bidi w:val="0"/>
        <w:spacing w:line="360" w:lineRule="auto"/>
        <w:ind w:firstLine="420" w:firstLineChars="200"/>
        <w:rPr>
          <w:rFonts w:hint="eastAsia" w:ascii="Times New Roman" w:hAnsi="Times New Roman" w:eastAsia="宋体" w:cs="宋体"/>
          <w:color w:val="000000" w:themeColor="text1"/>
          <w:spacing w:val="0"/>
          <w:szCs w:val="21"/>
          <w:highlight w:val="none"/>
          <w14:textFill>
            <w14:solidFill>
              <w14:schemeClr w14:val="tx1"/>
            </w14:solidFill>
          </w14:textFill>
        </w:rPr>
      </w:pPr>
      <w:r>
        <w:rPr>
          <w:rFonts w:hint="eastAsia" w:ascii="Times New Roman" w:hAnsi="Times New Roman" w:eastAsia="宋体" w:cs="宋体"/>
          <w:color w:val="000000" w:themeColor="text1"/>
          <w:spacing w:val="0"/>
          <w:szCs w:val="21"/>
          <w:highlight w:val="none"/>
          <w14:textFill>
            <w14:solidFill>
              <w14:schemeClr w14:val="tx1"/>
            </w14:solidFill>
          </w14:textFill>
        </w:rPr>
        <w:t>2.3</w:t>
      </w:r>
      <w:r>
        <w:rPr>
          <w:rFonts w:hint="eastAsia" w:ascii="Times New Roman" w:hAnsi="Times New Roman" w:eastAsia="宋体" w:cs="宋体"/>
          <w:color w:val="000000" w:themeColor="text1"/>
          <w:spacing w:val="0"/>
          <w:szCs w:val="21"/>
          <w:highlight w:val="none"/>
          <w:lang w:eastAsia="zh-CN"/>
          <w14:textFill>
            <w14:solidFill>
              <w14:schemeClr w14:val="tx1"/>
            </w14:solidFill>
          </w14:textFill>
        </w:rPr>
        <w:t>“</w:t>
      </w:r>
      <w:r>
        <w:rPr>
          <w:rFonts w:hint="eastAsia" w:ascii="Times New Roman" w:hAnsi="Times New Roman" w:eastAsia="宋体" w:cs="宋体"/>
          <w:color w:val="000000" w:themeColor="text1"/>
          <w:spacing w:val="0"/>
          <w:szCs w:val="21"/>
          <w:highlight w:val="none"/>
          <w14:textFill>
            <w14:solidFill>
              <w14:schemeClr w14:val="tx1"/>
            </w14:solidFill>
          </w14:textFill>
        </w:rPr>
        <w:t>供应商</w:t>
      </w:r>
      <w:r>
        <w:rPr>
          <w:rFonts w:hint="eastAsia" w:ascii="Times New Roman" w:hAnsi="Times New Roman" w:eastAsia="宋体" w:cs="宋体"/>
          <w:color w:val="000000" w:themeColor="text1"/>
          <w:spacing w:val="0"/>
          <w:highlight w:val="none"/>
          <w:lang w:val="en-US" w:eastAsia="zh-CN"/>
          <w14:textFill>
            <w14:solidFill>
              <w14:schemeClr w14:val="tx1"/>
            </w14:solidFill>
          </w14:textFill>
        </w:rPr>
        <w:t>”</w:t>
      </w:r>
      <w:r>
        <w:rPr>
          <w:rFonts w:hint="eastAsia" w:ascii="Times New Roman" w:hAnsi="Times New Roman" w:eastAsia="宋体" w:cs="宋体"/>
          <w:color w:val="000000" w:themeColor="text1"/>
          <w:spacing w:val="0"/>
          <w:szCs w:val="21"/>
          <w:highlight w:val="none"/>
          <w14:textFill>
            <w14:solidFill>
              <w14:schemeClr w14:val="tx1"/>
            </w14:solidFill>
          </w14:textFill>
        </w:rPr>
        <w:t>是指向采购人提供货物、工程或者服务的法人、其他组织或者自然人。</w:t>
      </w:r>
    </w:p>
    <w:p w14:paraId="2252CA36">
      <w:pPr>
        <w:pageBreakBefore w:val="0"/>
        <w:widowControl w:val="0"/>
        <w:kinsoku/>
        <w:wordWrap/>
        <w:overflowPunct/>
        <w:topLinePunct w:val="0"/>
        <w:autoSpaceDE/>
        <w:autoSpaceDN/>
        <w:bidi w:val="0"/>
        <w:spacing w:line="360" w:lineRule="auto"/>
        <w:ind w:firstLine="420" w:firstLineChars="200"/>
        <w:rPr>
          <w:rFonts w:hint="eastAsia" w:ascii="Times New Roman" w:hAnsi="Times New Roman" w:eastAsia="宋体" w:cs="宋体"/>
          <w:color w:val="000000" w:themeColor="text1"/>
          <w:spacing w:val="0"/>
          <w:szCs w:val="21"/>
          <w:highlight w:val="none"/>
          <w14:textFill>
            <w14:solidFill>
              <w14:schemeClr w14:val="tx1"/>
            </w14:solidFill>
          </w14:textFill>
        </w:rPr>
      </w:pPr>
      <w:r>
        <w:rPr>
          <w:rFonts w:hint="eastAsia" w:ascii="Times New Roman" w:hAnsi="Times New Roman" w:eastAsia="宋体" w:cs="宋体"/>
          <w:color w:val="000000" w:themeColor="text1"/>
          <w:spacing w:val="0"/>
          <w:szCs w:val="21"/>
          <w:highlight w:val="none"/>
          <w14:textFill>
            <w14:solidFill>
              <w14:schemeClr w14:val="tx1"/>
            </w14:solidFill>
          </w14:textFill>
        </w:rPr>
        <w:t>2.4</w:t>
      </w:r>
      <w:r>
        <w:rPr>
          <w:rFonts w:hint="eastAsia" w:ascii="Times New Roman" w:hAnsi="Times New Roman" w:eastAsia="宋体" w:cs="宋体"/>
          <w:color w:val="000000" w:themeColor="text1"/>
          <w:spacing w:val="0"/>
          <w:szCs w:val="21"/>
          <w:highlight w:val="none"/>
          <w:lang w:eastAsia="zh-CN"/>
          <w14:textFill>
            <w14:solidFill>
              <w14:schemeClr w14:val="tx1"/>
            </w14:solidFill>
          </w14:textFill>
        </w:rPr>
        <w:t>“</w:t>
      </w:r>
      <w:r>
        <w:rPr>
          <w:rFonts w:hint="eastAsia" w:ascii="Times New Roman" w:hAnsi="Times New Roman" w:eastAsia="宋体" w:cs="宋体"/>
          <w:color w:val="000000" w:themeColor="text1"/>
          <w:spacing w:val="0"/>
          <w:szCs w:val="21"/>
          <w:highlight w:val="none"/>
          <w14:textFill>
            <w14:solidFill>
              <w14:schemeClr w14:val="tx1"/>
            </w14:solidFill>
          </w14:textFill>
        </w:rPr>
        <w:t>服务</w:t>
      </w:r>
      <w:r>
        <w:rPr>
          <w:rFonts w:hint="eastAsia" w:ascii="Times New Roman" w:hAnsi="Times New Roman" w:eastAsia="宋体" w:cs="宋体"/>
          <w:color w:val="000000" w:themeColor="text1"/>
          <w:spacing w:val="0"/>
          <w:highlight w:val="none"/>
          <w:lang w:val="en-US" w:eastAsia="zh-CN"/>
          <w14:textFill>
            <w14:solidFill>
              <w14:schemeClr w14:val="tx1"/>
            </w14:solidFill>
          </w14:textFill>
        </w:rPr>
        <w:t>”</w:t>
      </w:r>
      <w:r>
        <w:rPr>
          <w:rFonts w:hint="eastAsia" w:ascii="Times New Roman" w:hAnsi="Times New Roman" w:eastAsia="宋体" w:cs="宋体"/>
          <w:color w:val="000000" w:themeColor="text1"/>
          <w:spacing w:val="0"/>
          <w:szCs w:val="21"/>
          <w:highlight w:val="none"/>
          <w14:textFill>
            <w14:solidFill>
              <w14:schemeClr w14:val="tx1"/>
            </w14:solidFill>
          </w14:textFill>
        </w:rPr>
        <w:t>是指除货物和工程以外的其他政府采购对象。</w:t>
      </w:r>
    </w:p>
    <w:p w14:paraId="0A3858BD">
      <w:pPr>
        <w:pageBreakBefore w:val="0"/>
        <w:widowControl w:val="0"/>
        <w:kinsoku/>
        <w:wordWrap/>
        <w:overflowPunct/>
        <w:topLinePunct w:val="0"/>
        <w:autoSpaceDE/>
        <w:autoSpaceDN/>
        <w:bidi w:val="0"/>
        <w:spacing w:line="360" w:lineRule="auto"/>
        <w:ind w:firstLine="420" w:firstLineChars="200"/>
        <w:rPr>
          <w:rFonts w:hint="eastAsia" w:ascii="Times New Roman" w:hAnsi="Times New Roman" w:eastAsia="宋体" w:cs="宋体"/>
          <w:color w:val="000000" w:themeColor="text1"/>
          <w:spacing w:val="0"/>
          <w:szCs w:val="21"/>
          <w:highlight w:val="none"/>
          <w14:textFill>
            <w14:solidFill>
              <w14:schemeClr w14:val="tx1"/>
            </w14:solidFill>
          </w14:textFill>
        </w:rPr>
      </w:pPr>
      <w:r>
        <w:rPr>
          <w:rFonts w:hint="eastAsia" w:ascii="Times New Roman" w:hAnsi="Times New Roman" w:eastAsia="宋体" w:cs="宋体"/>
          <w:color w:val="000000" w:themeColor="text1"/>
          <w:spacing w:val="0"/>
          <w:szCs w:val="21"/>
          <w:highlight w:val="none"/>
          <w14:textFill>
            <w14:solidFill>
              <w14:schemeClr w14:val="tx1"/>
            </w14:solidFill>
          </w14:textFill>
        </w:rPr>
        <w:t>2.5</w:t>
      </w:r>
      <w:r>
        <w:rPr>
          <w:rFonts w:hint="eastAsia" w:ascii="Times New Roman" w:hAnsi="Times New Roman" w:eastAsia="宋体" w:cs="宋体"/>
          <w:color w:val="000000" w:themeColor="text1"/>
          <w:spacing w:val="0"/>
          <w:szCs w:val="21"/>
          <w:highlight w:val="none"/>
          <w:lang w:eastAsia="zh-CN"/>
          <w14:textFill>
            <w14:solidFill>
              <w14:schemeClr w14:val="tx1"/>
            </w14:solidFill>
          </w14:textFill>
        </w:rPr>
        <w:t>“</w:t>
      </w:r>
      <w:r>
        <w:rPr>
          <w:rFonts w:hint="eastAsia" w:ascii="Times New Roman" w:hAnsi="Times New Roman" w:eastAsia="宋体" w:cs="宋体"/>
          <w:color w:val="000000" w:themeColor="text1"/>
          <w:spacing w:val="0"/>
          <w:szCs w:val="21"/>
          <w:highlight w:val="none"/>
          <w14:textFill>
            <w14:solidFill>
              <w14:schemeClr w14:val="tx1"/>
            </w14:solidFill>
          </w14:textFill>
        </w:rPr>
        <w:t>竞标</w:t>
      </w:r>
      <w:r>
        <w:rPr>
          <w:rFonts w:hint="eastAsia" w:ascii="Times New Roman" w:hAnsi="Times New Roman" w:eastAsia="宋体" w:cs="宋体"/>
          <w:color w:val="000000" w:themeColor="text1"/>
          <w:spacing w:val="0"/>
          <w:highlight w:val="none"/>
          <w:lang w:val="en-US" w:eastAsia="zh-CN"/>
          <w14:textFill>
            <w14:solidFill>
              <w14:schemeClr w14:val="tx1"/>
            </w14:solidFill>
          </w14:textFill>
        </w:rPr>
        <w:t>”</w:t>
      </w:r>
      <w:r>
        <w:rPr>
          <w:rFonts w:hint="eastAsia" w:ascii="Times New Roman" w:hAnsi="Times New Roman" w:eastAsia="宋体" w:cs="宋体"/>
          <w:color w:val="000000" w:themeColor="text1"/>
          <w:spacing w:val="0"/>
          <w:szCs w:val="21"/>
          <w:highlight w:val="none"/>
          <w14:textFill>
            <w14:solidFill>
              <w14:schemeClr w14:val="tx1"/>
            </w14:solidFill>
          </w14:textFill>
        </w:rPr>
        <w:t>是指供应商按照本项目竞争性磋商公告规定的方式获取磋商文件、提交响应文件并希望获得标的的行为。</w:t>
      </w:r>
    </w:p>
    <w:p w14:paraId="36F5EA27">
      <w:pPr>
        <w:pageBreakBefore w:val="0"/>
        <w:widowControl w:val="0"/>
        <w:kinsoku/>
        <w:wordWrap/>
        <w:overflowPunct/>
        <w:topLinePunct w:val="0"/>
        <w:autoSpaceDE/>
        <w:autoSpaceDN/>
        <w:bidi w:val="0"/>
        <w:spacing w:line="360" w:lineRule="auto"/>
        <w:ind w:firstLine="420" w:firstLineChars="200"/>
        <w:rPr>
          <w:rFonts w:hint="eastAsia" w:ascii="Times New Roman" w:hAnsi="Times New Roman" w:eastAsia="宋体" w:cs="宋体"/>
          <w:color w:val="000000" w:themeColor="text1"/>
          <w:spacing w:val="0"/>
          <w:szCs w:val="21"/>
          <w:highlight w:val="none"/>
          <w14:textFill>
            <w14:solidFill>
              <w14:schemeClr w14:val="tx1"/>
            </w14:solidFill>
          </w14:textFill>
        </w:rPr>
      </w:pPr>
      <w:r>
        <w:rPr>
          <w:rFonts w:hint="eastAsia" w:ascii="Times New Roman" w:hAnsi="Times New Roman" w:eastAsia="宋体" w:cs="宋体"/>
          <w:color w:val="000000" w:themeColor="text1"/>
          <w:spacing w:val="0"/>
          <w:szCs w:val="21"/>
          <w:highlight w:val="none"/>
          <w14:textFill>
            <w14:solidFill>
              <w14:schemeClr w14:val="tx1"/>
            </w14:solidFill>
          </w14:textFill>
        </w:rPr>
        <w:t>2.6</w:t>
      </w:r>
      <w:r>
        <w:rPr>
          <w:rFonts w:hint="eastAsia" w:ascii="Times New Roman" w:hAnsi="Times New Roman" w:eastAsia="宋体" w:cs="宋体"/>
          <w:color w:val="000000" w:themeColor="text1"/>
          <w:spacing w:val="0"/>
          <w:szCs w:val="21"/>
          <w:highlight w:val="none"/>
          <w:lang w:eastAsia="zh-CN"/>
          <w14:textFill>
            <w14:solidFill>
              <w14:schemeClr w14:val="tx1"/>
            </w14:solidFill>
          </w14:textFill>
        </w:rPr>
        <w:t>“</w:t>
      </w:r>
      <w:r>
        <w:rPr>
          <w:rFonts w:hint="eastAsia" w:ascii="Times New Roman" w:hAnsi="Times New Roman" w:eastAsia="宋体" w:cs="宋体"/>
          <w:color w:val="000000" w:themeColor="text1"/>
          <w:spacing w:val="0"/>
          <w:szCs w:val="21"/>
          <w:highlight w:val="none"/>
          <w14:textFill>
            <w14:solidFill>
              <w14:schemeClr w14:val="tx1"/>
            </w14:solidFill>
          </w14:textFill>
        </w:rPr>
        <w:t>响应文件</w:t>
      </w:r>
      <w:r>
        <w:rPr>
          <w:rFonts w:hint="eastAsia" w:ascii="Times New Roman" w:hAnsi="Times New Roman" w:eastAsia="宋体" w:cs="宋体"/>
          <w:color w:val="000000" w:themeColor="text1"/>
          <w:spacing w:val="0"/>
          <w:highlight w:val="none"/>
          <w:lang w:val="en-US" w:eastAsia="zh-CN"/>
          <w14:textFill>
            <w14:solidFill>
              <w14:schemeClr w14:val="tx1"/>
            </w14:solidFill>
          </w14:textFill>
        </w:rPr>
        <w:t>”</w:t>
      </w:r>
      <w:r>
        <w:rPr>
          <w:rFonts w:hint="eastAsia" w:ascii="Times New Roman" w:hAnsi="Times New Roman" w:eastAsia="宋体" w:cs="宋体"/>
          <w:color w:val="000000" w:themeColor="text1"/>
          <w:spacing w:val="0"/>
          <w:szCs w:val="21"/>
          <w:highlight w:val="none"/>
          <w14:textFill>
            <w14:solidFill>
              <w14:schemeClr w14:val="tx1"/>
            </w14:solidFill>
          </w14:textFill>
        </w:rPr>
        <w:t>是指：供应商根据本磋商文件要求，编制包含资格证明、报价文件、商务和技术文件等所有内容的文件。</w:t>
      </w:r>
    </w:p>
    <w:p w14:paraId="4D5D777A">
      <w:pPr>
        <w:pageBreakBefore w:val="0"/>
        <w:widowControl w:val="0"/>
        <w:kinsoku/>
        <w:wordWrap/>
        <w:overflowPunct/>
        <w:topLinePunct w:val="0"/>
        <w:autoSpaceDE/>
        <w:autoSpaceDN/>
        <w:bidi w:val="0"/>
        <w:spacing w:line="360" w:lineRule="auto"/>
        <w:ind w:firstLine="422" w:firstLineChars="200"/>
        <w:rPr>
          <w:rFonts w:hint="eastAsia" w:ascii="Times New Roman" w:hAnsi="Times New Roman" w:eastAsia="宋体" w:cs="宋体"/>
          <w:b/>
          <w:bCs/>
          <w:color w:val="000000" w:themeColor="text1"/>
          <w:spacing w:val="0"/>
          <w:szCs w:val="21"/>
          <w:highlight w:val="none"/>
          <w:u w:val="single"/>
          <w14:textFill>
            <w14:solidFill>
              <w14:schemeClr w14:val="tx1"/>
            </w14:solidFill>
          </w14:textFill>
        </w:rPr>
      </w:pPr>
      <w:r>
        <w:rPr>
          <w:rFonts w:hint="eastAsia" w:ascii="Times New Roman" w:hAnsi="Times New Roman" w:eastAsia="宋体" w:cs="宋体"/>
          <w:b/>
          <w:bCs/>
          <w:color w:val="000000" w:themeColor="text1"/>
          <w:spacing w:val="0"/>
          <w:szCs w:val="21"/>
          <w:highlight w:val="none"/>
          <w:u w:val="single"/>
          <w14:textFill>
            <w14:solidFill>
              <w14:schemeClr w14:val="tx1"/>
            </w14:solidFill>
          </w14:textFill>
        </w:rPr>
        <w:t>2.7</w:t>
      </w:r>
      <w:r>
        <w:rPr>
          <w:rFonts w:hint="eastAsia" w:ascii="Times New Roman" w:hAnsi="Times New Roman" w:eastAsia="宋体" w:cs="宋体"/>
          <w:b/>
          <w:bCs/>
          <w:color w:val="000000" w:themeColor="text1"/>
          <w:spacing w:val="0"/>
          <w:szCs w:val="21"/>
          <w:highlight w:val="none"/>
          <w:u w:val="single"/>
          <w:lang w:eastAsia="zh-CN"/>
          <w14:textFill>
            <w14:solidFill>
              <w14:schemeClr w14:val="tx1"/>
            </w14:solidFill>
          </w14:textFill>
        </w:rPr>
        <w:t>“</w:t>
      </w:r>
      <w:r>
        <w:rPr>
          <w:rFonts w:hint="eastAsia" w:ascii="Times New Roman" w:hAnsi="Times New Roman" w:eastAsia="宋体" w:cs="宋体"/>
          <w:b/>
          <w:bCs/>
          <w:color w:val="000000" w:themeColor="text1"/>
          <w:spacing w:val="0"/>
          <w:szCs w:val="21"/>
          <w:highlight w:val="none"/>
          <w:u w:val="single"/>
          <w14:textFill>
            <w14:solidFill>
              <w14:schemeClr w14:val="tx1"/>
            </w14:solidFill>
          </w14:textFill>
        </w:rPr>
        <w:t>实质性要求</w:t>
      </w:r>
      <w:r>
        <w:rPr>
          <w:rFonts w:hint="eastAsia" w:ascii="Times New Roman" w:hAnsi="Times New Roman" w:eastAsia="宋体" w:cs="宋体"/>
          <w:b/>
          <w:bCs/>
          <w:color w:val="000000" w:themeColor="text1"/>
          <w:spacing w:val="0"/>
          <w:highlight w:val="none"/>
          <w:u w:val="single"/>
          <w:lang w:val="en-US" w:eastAsia="zh-CN"/>
          <w14:textFill>
            <w14:solidFill>
              <w14:schemeClr w14:val="tx1"/>
            </w14:solidFill>
          </w14:textFill>
        </w:rPr>
        <w:t>”</w:t>
      </w:r>
      <w:r>
        <w:rPr>
          <w:rFonts w:hint="eastAsia" w:ascii="Times New Roman" w:hAnsi="Times New Roman" w:eastAsia="宋体" w:cs="宋体"/>
          <w:b/>
          <w:bCs/>
          <w:color w:val="000000" w:themeColor="text1"/>
          <w:spacing w:val="0"/>
          <w:szCs w:val="21"/>
          <w:highlight w:val="none"/>
          <w:u w:val="single"/>
          <w14:textFill>
            <w14:solidFill>
              <w14:schemeClr w14:val="tx1"/>
            </w14:solidFill>
          </w14:textFill>
        </w:rPr>
        <w:t>是指磋商文件中已经指明不满足则响应文件按无效响应处理的条款，或者不能负偏离的条款，或者采购需求中带</w:t>
      </w:r>
      <w:r>
        <w:rPr>
          <w:rFonts w:hint="eastAsia" w:ascii="Times New Roman" w:hAnsi="Times New Roman" w:eastAsia="宋体" w:cs="宋体"/>
          <w:b/>
          <w:bCs/>
          <w:color w:val="000000" w:themeColor="text1"/>
          <w:spacing w:val="0"/>
          <w:szCs w:val="21"/>
          <w:highlight w:val="none"/>
          <w:u w:val="single"/>
          <w:lang w:eastAsia="zh-CN"/>
          <w14:textFill>
            <w14:solidFill>
              <w14:schemeClr w14:val="tx1"/>
            </w14:solidFill>
          </w14:textFill>
        </w:rPr>
        <w:t>“</w:t>
      </w:r>
      <w:r>
        <w:rPr>
          <w:rFonts w:hint="eastAsia" w:ascii="Times New Roman" w:hAnsi="Times New Roman" w:eastAsia="宋体" w:cs="宋体"/>
          <w:b/>
          <w:bCs/>
          <w:color w:val="000000" w:themeColor="text1"/>
          <w:spacing w:val="0"/>
          <w:szCs w:val="21"/>
          <w:highlight w:val="none"/>
          <w:u w:val="single"/>
          <w14:textFill>
            <w14:solidFill>
              <w14:schemeClr w14:val="tx1"/>
            </w14:solidFill>
          </w14:textFill>
        </w:rPr>
        <w:t>▲</w:t>
      </w:r>
      <w:r>
        <w:rPr>
          <w:rFonts w:hint="eastAsia" w:ascii="Times New Roman" w:hAnsi="Times New Roman" w:eastAsia="宋体" w:cs="宋体"/>
          <w:b/>
          <w:bCs/>
          <w:color w:val="000000" w:themeColor="text1"/>
          <w:spacing w:val="0"/>
          <w:szCs w:val="21"/>
          <w:highlight w:val="none"/>
          <w:u w:val="single"/>
          <w:lang w:eastAsia="zh-CN"/>
          <w14:textFill>
            <w14:solidFill>
              <w14:schemeClr w14:val="tx1"/>
            </w14:solidFill>
          </w14:textFill>
        </w:rPr>
        <w:t>”</w:t>
      </w:r>
      <w:r>
        <w:rPr>
          <w:rFonts w:hint="eastAsia" w:ascii="Times New Roman" w:hAnsi="Times New Roman" w:eastAsia="宋体" w:cs="宋体"/>
          <w:b/>
          <w:bCs/>
          <w:color w:val="000000" w:themeColor="text1"/>
          <w:spacing w:val="0"/>
          <w:szCs w:val="21"/>
          <w:highlight w:val="none"/>
          <w:u w:val="single"/>
          <w14:textFill>
            <w14:solidFill>
              <w14:schemeClr w14:val="tx1"/>
            </w14:solidFill>
          </w14:textFill>
        </w:rPr>
        <w:t>的条款。</w:t>
      </w:r>
    </w:p>
    <w:p w14:paraId="17DCB047">
      <w:pPr>
        <w:pageBreakBefore w:val="0"/>
        <w:widowControl w:val="0"/>
        <w:kinsoku/>
        <w:wordWrap/>
        <w:overflowPunct/>
        <w:topLinePunct w:val="0"/>
        <w:autoSpaceDE/>
        <w:autoSpaceDN/>
        <w:bidi w:val="0"/>
        <w:spacing w:line="360" w:lineRule="auto"/>
        <w:ind w:firstLine="420" w:firstLineChars="200"/>
        <w:rPr>
          <w:rFonts w:hint="eastAsia" w:ascii="Times New Roman" w:hAnsi="Times New Roman" w:eastAsia="宋体" w:cs="宋体"/>
          <w:color w:val="000000" w:themeColor="text1"/>
          <w:spacing w:val="0"/>
          <w:szCs w:val="21"/>
          <w:highlight w:val="none"/>
          <w14:textFill>
            <w14:solidFill>
              <w14:schemeClr w14:val="tx1"/>
            </w14:solidFill>
          </w14:textFill>
        </w:rPr>
      </w:pPr>
      <w:r>
        <w:rPr>
          <w:rFonts w:hint="eastAsia" w:ascii="Times New Roman" w:hAnsi="Times New Roman" w:eastAsia="宋体" w:cs="宋体"/>
          <w:color w:val="000000" w:themeColor="text1"/>
          <w:spacing w:val="0"/>
          <w:szCs w:val="21"/>
          <w:highlight w:val="none"/>
          <w14:textFill>
            <w14:solidFill>
              <w14:schemeClr w14:val="tx1"/>
            </w14:solidFill>
          </w14:textFill>
        </w:rPr>
        <w:t>2.8</w:t>
      </w:r>
      <w:r>
        <w:rPr>
          <w:rFonts w:hint="eastAsia" w:ascii="Times New Roman" w:hAnsi="Times New Roman" w:eastAsia="宋体" w:cs="宋体"/>
          <w:color w:val="000000" w:themeColor="text1"/>
          <w:spacing w:val="0"/>
          <w:szCs w:val="21"/>
          <w:highlight w:val="none"/>
          <w:lang w:eastAsia="zh-CN"/>
          <w14:textFill>
            <w14:solidFill>
              <w14:schemeClr w14:val="tx1"/>
            </w14:solidFill>
          </w14:textFill>
        </w:rPr>
        <w:t>“</w:t>
      </w:r>
      <w:r>
        <w:rPr>
          <w:rFonts w:hint="eastAsia" w:ascii="Times New Roman" w:hAnsi="Times New Roman" w:eastAsia="宋体" w:cs="宋体"/>
          <w:color w:val="000000" w:themeColor="text1"/>
          <w:spacing w:val="0"/>
          <w:szCs w:val="21"/>
          <w:highlight w:val="none"/>
          <w14:textFill>
            <w14:solidFill>
              <w14:schemeClr w14:val="tx1"/>
            </w14:solidFill>
          </w14:textFill>
        </w:rPr>
        <w:t>正偏离</w:t>
      </w:r>
      <w:r>
        <w:rPr>
          <w:rFonts w:hint="eastAsia" w:ascii="Times New Roman" w:hAnsi="Times New Roman" w:eastAsia="宋体" w:cs="宋体"/>
          <w:color w:val="000000" w:themeColor="text1"/>
          <w:spacing w:val="0"/>
          <w:highlight w:val="none"/>
          <w:lang w:val="en-US" w:eastAsia="zh-CN"/>
          <w14:textFill>
            <w14:solidFill>
              <w14:schemeClr w14:val="tx1"/>
            </w14:solidFill>
          </w14:textFill>
        </w:rPr>
        <w:t>”</w:t>
      </w:r>
      <w:r>
        <w:rPr>
          <w:rFonts w:hint="eastAsia" w:ascii="Times New Roman" w:hAnsi="Times New Roman" w:eastAsia="宋体" w:cs="宋体"/>
          <w:color w:val="000000" w:themeColor="text1"/>
          <w:spacing w:val="0"/>
          <w:szCs w:val="21"/>
          <w:highlight w:val="none"/>
          <w14:textFill>
            <w14:solidFill>
              <w14:schemeClr w14:val="tx1"/>
            </w14:solidFill>
          </w14:textFill>
        </w:rPr>
        <w:t>，是指响应文件对磋商文件</w:t>
      </w:r>
      <w:r>
        <w:rPr>
          <w:rFonts w:hint="eastAsia" w:ascii="Times New Roman" w:hAnsi="Times New Roman" w:eastAsia="宋体" w:cs="宋体"/>
          <w:color w:val="000000" w:themeColor="text1"/>
          <w:spacing w:val="0"/>
          <w:szCs w:val="21"/>
          <w:highlight w:val="none"/>
          <w:lang w:eastAsia="zh-CN"/>
          <w14:textFill>
            <w14:solidFill>
              <w14:schemeClr w14:val="tx1"/>
            </w14:solidFill>
          </w14:textFill>
        </w:rPr>
        <w:t>“</w:t>
      </w:r>
      <w:r>
        <w:rPr>
          <w:rFonts w:hint="eastAsia" w:ascii="Times New Roman" w:hAnsi="Times New Roman" w:eastAsia="宋体" w:cs="宋体"/>
          <w:color w:val="000000" w:themeColor="text1"/>
          <w:spacing w:val="0"/>
          <w:szCs w:val="21"/>
          <w:highlight w:val="none"/>
          <w14:textFill>
            <w14:solidFill>
              <w14:schemeClr w14:val="tx1"/>
            </w14:solidFill>
          </w14:textFill>
        </w:rPr>
        <w:t>采购需求</w:t>
      </w:r>
      <w:r>
        <w:rPr>
          <w:rFonts w:hint="eastAsia" w:ascii="Times New Roman" w:hAnsi="Times New Roman" w:eastAsia="宋体" w:cs="宋体"/>
          <w:color w:val="000000" w:themeColor="text1"/>
          <w:spacing w:val="0"/>
          <w:highlight w:val="none"/>
          <w:lang w:val="en-US" w:eastAsia="zh-CN"/>
          <w14:textFill>
            <w14:solidFill>
              <w14:schemeClr w14:val="tx1"/>
            </w14:solidFill>
          </w14:textFill>
        </w:rPr>
        <w:t>”</w:t>
      </w:r>
      <w:r>
        <w:rPr>
          <w:rFonts w:hint="eastAsia" w:ascii="Times New Roman" w:hAnsi="Times New Roman" w:eastAsia="宋体" w:cs="宋体"/>
          <w:color w:val="000000" w:themeColor="text1"/>
          <w:spacing w:val="0"/>
          <w:szCs w:val="21"/>
          <w:highlight w:val="none"/>
          <w14:textFill>
            <w14:solidFill>
              <w14:schemeClr w14:val="tx1"/>
            </w14:solidFill>
          </w14:textFill>
        </w:rPr>
        <w:t>中有关条款作出的响应优于条款要求并有利于采购人的情形。</w:t>
      </w:r>
    </w:p>
    <w:p w14:paraId="19173029">
      <w:pPr>
        <w:pageBreakBefore w:val="0"/>
        <w:widowControl w:val="0"/>
        <w:kinsoku/>
        <w:wordWrap/>
        <w:overflowPunct/>
        <w:topLinePunct w:val="0"/>
        <w:autoSpaceDE/>
        <w:autoSpaceDN/>
        <w:bidi w:val="0"/>
        <w:spacing w:line="360" w:lineRule="auto"/>
        <w:ind w:firstLine="420" w:firstLineChars="200"/>
        <w:rPr>
          <w:rFonts w:hint="eastAsia" w:ascii="Times New Roman" w:hAnsi="Times New Roman" w:eastAsia="宋体" w:cs="宋体"/>
          <w:color w:val="000000" w:themeColor="text1"/>
          <w:spacing w:val="0"/>
          <w:szCs w:val="21"/>
          <w:highlight w:val="none"/>
          <w14:textFill>
            <w14:solidFill>
              <w14:schemeClr w14:val="tx1"/>
            </w14:solidFill>
          </w14:textFill>
        </w:rPr>
      </w:pPr>
      <w:r>
        <w:rPr>
          <w:rFonts w:hint="eastAsia" w:ascii="Times New Roman" w:hAnsi="Times New Roman" w:eastAsia="宋体" w:cs="宋体"/>
          <w:color w:val="000000" w:themeColor="text1"/>
          <w:spacing w:val="0"/>
          <w:szCs w:val="21"/>
          <w:highlight w:val="none"/>
          <w14:textFill>
            <w14:solidFill>
              <w14:schemeClr w14:val="tx1"/>
            </w14:solidFill>
          </w14:textFill>
        </w:rPr>
        <w:t>2.9</w:t>
      </w:r>
      <w:r>
        <w:rPr>
          <w:rFonts w:hint="eastAsia" w:ascii="Times New Roman" w:hAnsi="Times New Roman" w:eastAsia="宋体" w:cs="宋体"/>
          <w:color w:val="000000" w:themeColor="text1"/>
          <w:spacing w:val="0"/>
          <w:szCs w:val="21"/>
          <w:highlight w:val="none"/>
          <w:lang w:eastAsia="zh-CN"/>
          <w14:textFill>
            <w14:solidFill>
              <w14:schemeClr w14:val="tx1"/>
            </w14:solidFill>
          </w14:textFill>
        </w:rPr>
        <w:t>“</w:t>
      </w:r>
      <w:r>
        <w:rPr>
          <w:rFonts w:hint="eastAsia" w:ascii="Times New Roman" w:hAnsi="Times New Roman" w:eastAsia="宋体" w:cs="宋体"/>
          <w:color w:val="000000" w:themeColor="text1"/>
          <w:spacing w:val="0"/>
          <w:szCs w:val="21"/>
          <w:highlight w:val="none"/>
          <w14:textFill>
            <w14:solidFill>
              <w14:schemeClr w14:val="tx1"/>
            </w14:solidFill>
          </w14:textFill>
        </w:rPr>
        <w:t>负偏离</w:t>
      </w:r>
      <w:r>
        <w:rPr>
          <w:rFonts w:hint="eastAsia" w:ascii="Times New Roman" w:hAnsi="Times New Roman" w:eastAsia="宋体" w:cs="宋体"/>
          <w:color w:val="000000" w:themeColor="text1"/>
          <w:spacing w:val="0"/>
          <w:highlight w:val="none"/>
          <w:lang w:val="en-US" w:eastAsia="zh-CN"/>
          <w14:textFill>
            <w14:solidFill>
              <w14:schemeClr w14:val="tx1"/>
            </w14:solidFill>
          </w14:textFill>
        </w:rPr>
        <w:t>”</w:t>
      </w:r>
      <w:r>
        <w:rPr>
          <w:rFonts w:hint="eastAsia" w:ascii="Times New Roman" w:hAnsi="Times New Roman" w:eastAsia="宋体" w:cs="宋体"/>
          <w:color w:val="000000" w:themeColor="text1"/>
          <w:spacing w:val="0"/>
          <w:szCs w:val="21"/>
          <w:highlight w:val="none"/>
          <w14:textFill>
            <w14:solidFill>
              <w14:schemeClr w14:val="tx1"/>
            </w14:solidFill>
          </w14:textFill>
        </w:rPr>
        <w:t>，是指响应文件对磋商文件</w:t>
      </w:r>
      <w:r>
        <w:rPr>
          <w:rFonts w:hint="eastAsia" w:ascii="Times New Roman" w:hAnsi="Times New Roman" w:eastAsia="宋体" w:cs="宋体"/>
          <w:color w:val="000000" w:themeColor="text1"/>
          <w:spacing w:val="0"/>
          <w:szCs w:val="21"/>
          <w:highlight w:val="none"/>
          <w:lang w:eastAsia="zh-CN"/>
          <w14:textFill>
            <w14:solidFill>
              <w14:schemeClr w14:val="tx1"/>
            </w14:solidFill>
          </w14:textFill>
        </w:rPr>
        <w:t>“</w:t>
      </w:r>
      <w:r>
        <w:rPr>
          <w:rFonts w:hint="eastAsia" w:ascii="Times New Roman" w:hAnsi="Times New Roman" w:eastAsia="宋体" w:cs="宋体"/>
          <w:color w:val="000000" w:themeColor="text1"/>
          <w:spacing w:val="0"/>
          <w:szCs w:val="21"/>
          <w:highlight w:val="none"/>
          <w14:textFill>
            <w14:solidFill>
              <w14:schemeClr w14:val="tx1"/>
            </w14:solidFill>
          </w14:textFill>
        </w:rPr>
        <w:t>采购需求</w:t>
      </w:r>
      <w:r>
        <w:rPr>
          <w:rFonts w:hint="eastAsia" w:ascii="Times New Roman" w:hAnsi="Times New Roman" w:eastAsia="宋体" w:cs="宋体"/>
          <w:color w:val="000000" w:themeColor="text1"/>
          <w:spacing w:val="0"/>
          <w:highlight w:val="none"/>
          <w:lang w:val="en-US" w:eastAsia="zh-CN"/>
          <w14:textFill>
            <w14:solidFill>
              <w14:schemeClr w14:val="tx1"/>
            </w14:solidFill>
          </w14:textFill>
        </w:rPr>
        <w:t>”</w:t>
      </w:r>
      <w:r>
        <w:rPr>
          <w:rFonts w:hint="eastAsia" w:ascii="Times New Roman" w:hAnsi="Times New Roman" w:eastAsia="宋体" w:cs="宋体"/>
          <w:color w:val="000000" w:themeColor="text1"/>
          <w:spacing w:val="0"/>
          <w:szCs w:val="21"/>
          <w:highlight w:val="none"/>
          <w14:textFill>
            <w14:solidFill>
              <w14:schemeClr w14:val="tx1"/>
            </w14:solidFill>
          </w14:textFill>
        </w:rPr>
        <w:t>中有关条款作出的响应不满足条款要求，导致采购人要求不能得到满足的情形。</w:t>
      </w:r>
    </w:p>
    <w:p w14:paraId="219BE85C">
      <w:pPr>
        <w:pageBreakBefore w:val="0"/>
        <w:widowControl w:val="0"/>
        <w:kinsoku/>
        <w:wordWrap/>
        <w:overflowPunct/>
        <w:topLinePunct w:val="0"/>
        <w:autoSpaceDE/>
        <w:autoSpaceDN/>
        <w:bidi w:val="0"/>
        <w:spacing w:line="360" w:lineRule="auto"/>
        <w:ind w:firstLine="420" w:firstLineChars="200"/>
        <w:rPr>
          <w:rFonts w:hint="eastAsia" w:ascii="Times New Roman" w:hAnsi="Times New Roman" w:eastAsia="宋体" w:cs="宋体"/>
          <w:color w:val="000000" w:themeColor="text1"/>
          <w:spacing w:val="0"/>
          <w:szCs w:val="21"/>
          <w:highlight w:val="none"/>
          <w14:textFill>
            <w14:solidFill>
              <w14:schemeClr w14:val="tx1"/>
            </w14:solidFill>
          </w14:textFill>
        </w:rPr>
      </w:pPr>
      <w:r>
        <w:rPr>
          <w:rFonts w:hint="eastAsia" w:ascii="Times New Roman" w:hAnsi="Times New Roman" w:eastAsia="宋体" w:cs="宋体"/>
          <w:color w:val="000000" w:themeColor="text1"/>
          <w:spacing w:val="0"/>
          <w:szCs w:val="21"/>
          <w:highlight w:val="none"/>
          <w14:textFill>
            <w14:solidFill>
              <w14:schemeClr w14:val="tx1"/>
            </w14:solidFill>
          </w14:textFill>
        </w:rPr>
        <w:t>2.10</w:t>
      </w:r>
      <w:r>
        <w:rPr>
          <w:rFonts w:hint="eastAsia" w:ascii="Times New Roman" w:hAnsi="Times New Roman" w:eastAsia="宋体" w:cs="宋体"/>
          <w:color w:val="000000" w:themeColor="text1"/>
          <w:spacing w:val="0"/>
          <w:szCs w:val="21"/>
          <w:highlight w:val="none"/>
          <w:lang w:eastAsia="zh-CN"/>
          <w14:textFill>
            <w14:solidFill>
              <w14:schemeClr w14:val="tx1"/>
            </w14:solidFill>
          </w14:textFill>
        </w:rPr>
        <w:t>“</w:t>
      </w:r>
      <w:r>
        <w:rPr>
          <w:rFonts w:hint="eastAsia" w:ascii="Times New Roman" w:hAnsi="Times New Roman" w:eastAsia="宋体" w:cs="宋体"/>
          <w:color w:val="000000" w:themeColor="text1"/>
          <w:spacing w:val="0"/>
          <w:szCs w:val="21"/>
          <w:highlight w:val="none"/>
          <w14:textFill>
            <w14:solidFill>
              <w14:schemeClr w14:val="tx1"/>
            </w14:solidFill>
          </w14:textFill>
        </w:rPr>
        <w:t>允许负偏离的条款</w:t>
      </w:r>
      <w:r>
        <w:rPr>
          <w:rFonts w:hint="eastAsia" w:ascii="Times New Roman" w:hAnsi="Times New Roman" w:eastAsia="宋体" w:cs="宋体"/>
          <w:color w:val="000000" w:themeColor="text1"/>
          <w:spacing w:val="0"/>
          <w:highlight w:val="none"/>
          <w:lang w:val="en-US" w:eastAsia="zh-CN"/>
          <w14:textFill>
            <w14:solidFill>
              <w14:schemeClr w14:val="tx1"/>
            </w14:solidFill>
          </w14:textFill>
        </w:rPr>
        <w:t>”</w:t>
      </w:r>
      <w:r>
        <w:rPr>
          <w:rFonts w:hint="eastAsia" w:ascii="Times New Roman" w:hAnsi="Times New Roman" w:eastAsia="宋体" w:cs="宋体"/>
          <w:color w:val="000000" w:themeColor="text1"/>
          <w:spacing w:val="0"/>
          <w:szCs w:val="21"/>
          <w:highlight w:val="none"/>
          <w14:textFill>
            <w14:solidFill>
              <w14:schemeClr w14:val="tx1"/>
            </w14:solidFill>
          </w14:textFill>
        </w:rPr>
        <w:t>是指采购需求中的不属于</w:t>
      </w:r>
      <w:r>
        <w:rPr>
          <w:rFonts w:hint="eastAsia" w:ascii="Times New Roman" w:hAnsi="Times New Roman" w:eastAsia="宋体" w:cs="宋体"/>
          <w:color w:val="000000" w:themeColor="text1"/>
          <w:spacing w:val="0"/>
          <w:szCs w:val="21"/>
          <w:highlight w:val="none"/>
          <w:lang w:eastAsia="zh-CN"/>
          <w14:textFill>
            <w14:solidFill>
              <w14:schemeClr w14:val="tx1"/>
            </w14:solidFill>
          </w14:textFill>
        </w:rPr>
        <w:t>“</w:t>
      </w:r>
      <w:r>
        <w:rPr>
          <w:rFonts w:hint="eastAsia" w:ascii="Times New Roman" w:hAnsi="Times New Roman" w:eastAsia="宋体" w:cs="宋体"/>
          <w:color w:val="000000" w:themeColor="text1"/>
          <w:spacing w:val="0"/>
          <w:szCs w:val="21"/>
          <w:highlight w:val="none"/>
          <w14:textFill>
            <w14:solidFill>
              <w14:schemeClr w14:val="tx1"/>
            </w14:solidFill>
          </w14:textFill>
        </w:rPr>
        <w:t>实质性要求</w:t>
      </w:r>
      <w:r>
        <w:rPr>
          <w:rFonts w:hint="eastAsia" w:ascii="Times New Roman" w:hAnsi="Times New Roman" w:eastAsia="宋体" w:cs="宋体"/>
          <w:color w:val="000000" w:themeColor="text1"/>
          <w:spacing w:val="0"/>
          <w:highlight w:val="none"/>
          <w:lang w:val="en-US" w:eastAsia="zh-CN"/>
          <w14:textFill>
            <w14:solidFill>
              <w14:schemeClr w14:val="tx1"/>
            </w14:solidFill>
          </w14:textFill>
        </w:rPr>
        <w:t>”</w:t>
      </w:r>
      <w:r>
        <w:rPr>
          <w:rFonts w:hint="eastAsia" w:ascii="Times New Roman" w:hAnsi="Times New Roman" w:eastAsia="宋体" w:cs="宋体"/>
          <w:color w:val="000000" w:themeColor="text1"/>
          <w:spacing w:val="0"/>
          <w:szCs w:val="21"/>
          <w:highlight w:val="none"/>
          <w14:textFill>
            <w14:solidFill>
              <w14:schemeClr w14:val="tx1"/>
            </w14:solidFill>
          </w14:textFill>
        </w:rPr>
        <w:t>的条款。</w:t>
      </w:r>
    </w:p>
    <w:p w14:paraId="03289965">
      <w:pPr>
        <w:pageBreakBefore w:val="0"/>
        <w:widowControl w:val="0"/>
        <w:kinsoku/>
        <w:wordWrap/>
        <w:overflowPunct/>
        <w:topLinePunct w:val="0"/>
        <w:autoSpaceDE/>
        <w:autoSpaceDN/>
        <w:bidi w:val="0"/>
        <w:spacing w:line="360" w:lineRule="auto"/>
        <w:ind w:firstLine="420" w:firstLineChars="200"/>
        <w:rPr>
          <w:rFonts w:hint="eastAsia" w:ascii="Times New Roman" w:hAnsi="Times New Roman" w:eastAsia="宋体" w:cs="宋体"/>
          <w:color w:val="000000" w:themeColor="text1"/>
          <w:spacing w:val="0"/>
          <w:szCs w:val="21"/>
          <w:highlight w:val="none"/>
          <w14:textFill>
            <w14:solidFill>
              <w14:schemeClr w14:val="tx1"/>
            </w14:solidFill>
          </w14:textFill>
        </w:rPr>
      </w:pPr>
      <w:r>
        <w:rPr>
          <w:rFonts w:hint="eastAsia" w:ascii="Times New Roman" w:hAnsi="Times New Roman" w:eastAsia="宋体" w:cs="宋体"/>
          <w:color w:val="000000" w:themeColor="text1"/>
          <w:spacing w:val="0"/>
          <w:szCs w:val="21"/>
          <w:highlight w:val="none"/>
          <w14:textFill>
            <w14:solidFill>
              <w14:schemeClr w14:val="tx1"/>
            </w14:solidFill>
          </w14:textFill>
        </w:rPr>
        <w:t>2.11</w:t>
      </w:r>
      <w:r>
        <w:rPr>
          <w:rFonts w:hint="eastAsia" w:ascii="Times New Roman" w:hAnsi="Times New Roman" w:eastAsia="宋体" w:cs="宋体"/>
          <w:color w:val="000000" w:themeColor="text1"/>
          <w:spacing w:val="0"/>
          <w:szCs w:val="21"/>
          <w:highlight w:val="none"/>
          <w:lang w:eastAsia="zh-CN"/>
          <w14:textFill>
            <w14:solidFill>
              <w14:schemeClr w14:val="tx1"/>
            </w14:solidFill>
          </w14:textFill>
        </w:rPr>
        <w:t>“</w:t>
      </w:r>
      <w:r>
        <w:rPr>
          <w:rFonts w:hint="eastAsia" w:ascii="Times New Roman" w:hAnsi="Times New Roman" w:eastAsia="宋体" w:cs="宋体"/>
          <w:color w:val="000000" w:themeColor="text1"/>
          <w:spacing w:val="0"/>
          <w:szCs w:val="21"/>
          <w:highlight w:val="none"/>
          <w14:textFill>
            <w14:solidFill>
              <w14:schemeClr w14:val="tx1"/>
            </w14:solidFill>
          </w14:textFill>
        </w:rPr>
        <w:t>书面形式</w:t>
      </w:r>
      <w:r>
        <w:rPr>
          <w:rFonts w:hint="eastAsia" w:ascii="Times New Roman" w:hAnsi="Times New Roman" w:eastAsia="宋体" w:cs="宋体"/>
          <w:color w:val="000000" w:themeColor="text1"/>
          <w:spacing w:val="0"/>
          <w:highlight w:val="none"/>
          <w:lang w:val="en-US" w:eastAsia="zh-CN"/>
          <w14:textFill>
            <w14:solidFill>
              <w14:schemeClr w14:val="tx1"/>
            </w14:solidFill>
          </w14:textFill>
        </w:rPr>
        <w:t>”</w:t>
      </w:r>
      <w:r>
        <w:rPr>
          <w:rFonts w:hint="eastAsia" w:ascii="Times New Roman" w:hAnsi="Times New Roman" w:eastAsia="宋体" w:cs="宋体"/>
          <w:color w:val="000000" w:themeColor="text1"/>
          <w:spacing w:val="0"/>
          <w:szCs w:val="21"/>
          <w:highlight w:val="none"/>
          <w14:textFill>
            <w14:solidFill>
              <w14:schemeClr w14:val="tx1"/>
            </w14:solidFill>
          </w14:textFill>
        </w:rPr>
        <w:t>是指合同书、信件和数据电文（包括电报、电传、传真、电子数据交换和电子邮件）等可以有形地表现所载内容的形式。</w:t>
      </w:r>
    </w:p>
    <w:p w14:paraId="5353F751">
      <w:pPr>
        <w:pageBreakBefore w:val="0"/>
        <w:widowControl w:val="0"/>
        <w:kinsoku/>
        <w:wordWrap/>
        <w:overflowPunct/>
        <w:topLinePunct w:val="0"/>
        <w:autoSpaceDE/>
        <w:autoSpaceDN/>
        <w:bidi w:val="0"/>
        <w:spacing w:line="360" w:lineRule="auto"/>
        <w:ind w:firstLine="420" w:firstLineChars="200"/>
        <w:rPr>
          <w:rFonts w:hint="eastAsia" w:ascii="Times New Roman" w:hAnsi="Times New Roman" w:eastAsia="宋体" w:cs="宋体"/>
          <w:color w:val="000000" w:themeColor="text1"/>
          <w:spacing w:val="0"/>
          <w:szCs w:val="21"/>
          <w:highlight w:val="none"/>
          <w14:textFill>
            <w14:solidFill>
              <w14:schemeClr w14:val="tx1"/>
            </w14:solidFill>
          </w14:textFill>
        </w:rPr>
      </w:pPr>
      <w:r>
        <w:rPr>
          <w:rFonts w:hint="eastAsia" w:ascii="Times New Roman" w:hAnsi="Times New Roman" w:eastAsia="宋体" w:cs="宋体"/>
          <w:color w:val="000000" w:themeColor="text1"/>
          <w:spacing w:val="0"/>
          <w:szCs w:val="21"/>
          <w:highlight w:val="none"/>
          <w14:textFill>
            <w14:solidFill>
              <w14:schemeClr w14:val="tx1"/>
            </w14:solidFill>
          </w14:textFill>
        </w:rPr>
        <w:t>2.12</w:t>
      </w:r>
      <w:r>
        <w:rPr>
          <w:rFonts w:hint="eastAsia" w:ascii="Times New Roman" w:hAnsi="Times New Roman" w:eastAsia="宋体" w:cs="宋体"/>
          <w:color w:val="000000" w:themeColor="text1"/>
          <w:spacing w:val="0"/>
          <w:szCs w:val="21"/>
          <w:highlight w:val="none"/>
          <w:lang w:eastAsia="zh-CN"/>
          <w14:textFill>
            <w14:solidFill>
              <w14:schemeClr w14:val="tx1"/>
            </w14:solidFill>
          </w14:textFill>
        </w:rPr>
        <w:t>“</w:t>
      </w:r>
      <w:r>
        <w:rPr>
          <w:rFonts w:hint="eastAsia" w:ascii="Times New Roman" w:hAnsi="Times New Roman" w:eastAsia="宋体" w:cs="宋体"/>
          <w:color w:val="000000" w:themeColor="text1"/>
          <w:spacing w:val="0"/>
          <w:szCs w:val="21"/>
          <w:highlight w:val="none"/>
          <w14:textFill>
            <w14:solidFill>
              <w14:schemeClr w14:val="tx1"/>
            </w14:solidFill>
          </w14:textFill>
        </w:rPr>
        <w:t>首次报价</w:t>
      </w:r>
      <w:r>
        <w:rPr>
          <w:rFonts w:hint="eastAsia" w:ascii="Times New Roman" w:hAnsi="Times New Roman" w:eastAsia="宋体" w:cs="宋体"/>
          <w:color w:val="000000" w:themeColor="text1"/>
          <w:spacing w:val="0"/>
          <w:highlight w:val="none"/>
          <w:lang w:val="en-US" w:eastAsia="zh-CN"/>
          <w14:textFill>
            <w14:solidFill>
              <w14:schemeClr w14:val="tx1"/>
            </w14:solidFill>
          </w14:textFill>
        </w:rPr>
        <w:t>”</w:t>
      </w:r>
      <w:r>
        <w:rPr>
          <w:rFonts w:hint="eastAsia" w:ascii="Times New Roman" w:hAnsi="Times New Roman" w:eastAsia="宋体" w:cs="宋体"/>
          <w:color w:val="000000" w:themeColor="text1"/>
          <w:spacing w:val="0"/>
          <w:szCs w:val="21"/>
          <w:highlight w:val="none"/>
          <w14:textFill>
            <w14:solidFill>
              <w14:schemeClr w14:val="tx1"/>
            </w14:solidFill>
          </w14:textFill>
        </w:rPr>
        <w:t>是指供应商提交的首次响应文件中的报价。</w:t>
      </w:r>
    </w:p>
    <w:p w14:paraId="2510752F">
      <w:pPr>
        <w:pageBreakBefore w:val="0"/>
        <w:widowControl w:val="0"/>
        <w:kinsoku/>
        <w:wordWrap/>
        <w:overflowPunct/>
        <w:topLinePunct w:val="0"/>
        <w:autoSpaceDE/>
        <w:autoSpaceDN/>
        <w:bidi w:val="0"/>
        <w:spacing w:line="360" w:lineRule="auto"/>
        <w:ind w:firstLine="420" w:firstLineChars="200"/>
        <w:rPr>
          <w:rFonts w:hint="eastAsia" w:ascii="Times New Roman" w:hAnsi="Times New Roman" w:eastAsia="宋体" w:cs="宋体"/>
          <w:color w:val="000000" w:themeColor="text1"/>
          <w:spacing w:val="0"/>
          <w:szCs w:val="21"/>
          <w:highlight w:val="none"/>
          <w14:textFill>
            <w14:solidFill>
              <w14:schemeClr w14:val="tx1"/>
            </w14:solidFill>
          </w14:textFill>
        </w:rPr>
      </w:pPr>
      <w:r>
        <w:rPr>
          <w:rFonts w:hint="eastAsia" w:ascii="Times New Roman" w:hAnsi="Times New Roman" w:eastAsia="宋体" w:cs="宋体"/>
          <w:color w:val="000000" w:themeColor="text1"/>
          <w:spacing w:val="0"/>
          <w:szCs w:val="21"/>
          <w:highlight w:val="none"/>
          <w14:textFill>
            <w14:solidFill>
              <w14:schemeClr w14:val="tx1"/>
            </w14:solidFill>
          </w14:textFill>
        </w:rPr>
        <w:t>2.13</w:t>
      </w:r>
      <w:r>
        <w:rPr>
          <w:rFonts w:hint="eastAsia" w:ascii="Times New Roman" w:hAnsi="Times New Roman" w:eastAsia="宋体" w:cs="宋体"/>
          <w:color w:val="000000" w:themeColor="text1"/>
          <w:spacing w:val="0"/>
          <w:szCs w:val="21"/>
          <w:highlight w:val="none"/>
          <w:lang w:eastAsia="zh-CN"/>
          <w14:textFill>
            <w14:solidFill>
              <w14:schemeClr w14:val="tx1"/>
            </w14:solidFill>
          </w14:textFill>
        </w:rPr>
        <w:t>“</w:t>
      </w:r>
      <w:r>
        <w:rPr>
          <w:rFonts w:hint="eastAsia" w:ascii="Times New Roman" w:hAnsi="Times New Roman" w:eastAsia="宋体" w:cs="宋体"/>
          <w:color w:val="000000" w:themeColor="text1"/>
          <w:spacing w:val="0"/>
          <w:szCs w:val="21"/>
          <w:highlight w:val="none"/>
          <w14:textFill>
            <w14:solidFill>
              <w14:schemeClr w14:val="tx1"/>
            </w14:solidFill>
          </w14:textFill>
        </w:rPr>
        <w:t>评审报价</w:t>
      </w:r>
      <w:r>
        <w:rPr>
          <w:rFonts w:hint="eastAsia" w:ascii="Times New Roman" w:hAnsi="Times New Roman" w:eastAsia="宋体" w:cs="宋体"/>
          <w:color w:val="000000" w:themeColor="text1"/>
          <w:spacing w:val="0"/>
          <w:highlight w:val="none"/>
          <w:lang w:val="en-US" w:eastAsia="zh-CN"/>
          <w14:textFill>
            <w14:solidFill>
              <w14:schemeClr w14:val="tx1"/>
            </w14:solidFill>
          </w14:textFill>
        </w:rPr>
        <w:t>”</w:t>
      </w:r>
      <w:r>
        <w:rPr>
          <w:rFonts w:hint="eastAsia" w:ascii="Times New Roman" w:hAnsi="Times New Roman" w:eastAsia="宋体" w:cs="宋体"/>
          <w:color w:val="000000" w:themeColor="text1"/>
          <w:spacing w:val="0"/>
          <w:szCs w:val="21"/>
          <w:highlight w:val="none"/>
          <w14:textFill>
            <w14:solidFill>
              <w14:schemeClr w14:val="tx1"/>
            </w14:solidFill>
          </w14:textFill>
        </w:rPr>
        <w:t>是指供应商提交的最后报价并经修正（如有）和政策功能价格扣除（如有）后的价格。</w:t>
      </w:r>
    </w:p>
    <w:p w14:paraId="3AF46DC2">
      <w:pPr>
        <w:pageBreakBefore w:val="0"/>
        <w:widowControl w:val="0"/>
        <w:kinsoku/>
        <w:wordWrap/>
        <w:overflowPunct/>
        <w:topLinePunct w:val="0"/>
        <w:autoSpaceDE/>
        <w:autoSpaceDN/>
        <w:bidi w:val="0"/>
        <w:spacing w:line="360" w:lineRule="auto"/>
        <w:outlineLvl w:val="2"/>
        <w:rPr>
          <w:rFonts w:hint="eastAsia" w:ascii="Times New Roman" w:hAnsi="Times New Roman" w:eastAsia="宋体" w:cs="宋体"/>
          <w:b/>
          <w:bCs/>
          <w:color w:val="000000" w:themeColor="text1"/>
          <w:spacing w:val="0"/>
          <w:sz w:val="21"/>
          <w:szCs w:val="21"/>
          <w:highlight w:val="none"/>
          <w14:textFill>
            <w14:solidFill>
              <w14:schemeClr w14:val="tx1"/>
            </w14:solidFill>
          </w14:textFill>
        </w:rPr>
      </w:pPr>
      <w:bookmarkStart w:id="88" w:name="_Toc27905"/>
      <w:r>
        <w:rPr>
          <w:rFonts w:hint="eastAsia" w:ascii="Times New Roman" w:hAnsi="Times New Roman" w:eastAsia="宋体" w:cs="宋体"/>
          <w:b/>
          <w:bCs/>
          <w:color w:val="000000" w:themeColor="text1"/>
          <w:spacing w:val="0"/>
          <w:sz w:val="21"/>
          <w:szCs w:val="21"/>
          <w:highlight w:val="none"/>
          <w14:textFill>
            <w14:solidFill>
              <w14:schemeClr w14:val="tx1"/>
            </w14:solidFill>
          </w14:textFill>
        </w:rPr>
        <w:t>3.供应商的资格条件</w:t>
      </w:r>
      <w:bookmarkEnd w:id="88"/>
    </w:p>
    <w:p w14:paraId="6EF4C55E">
      <w:pPr>
        <w:pageBreakBefore w:val="0"/>
        <w:widowControl w:val="0"/>
        <w:kinsoku/>
        <w:wordWrap/>
        <w:overflowPunct/>
        <w:topLinePunct w:val="0"/>
        <w:autoSpaceDE/>
        <w:autoSpaceDN/>
        <w:bidi w:val="0"/>
        <w:spacing w:line="360" w:lineRule="auto"/>
        <w:ind w:firstLine="420" w:firstLineChars="200"/>
        <w:rPr>
          <w:rFonts w:hint="eastAsia" w:ascii="Times New Roman" w:hAnsi="Times New Roman" w:eastAsia="宋体" w:cs="宋体"/>
          <w:color w:val="000000" w:themeColor="text1"/>
          <w:spacing w:val="0"/>
          <w:szCs w:val="21"/>
          <w:highlight w:val="none"/>
          <w14:textFill>
            <w14:solidFill>
              <w14:schemeClr w14:val="tx1"/>
            </w14:solidFill>
          </w14:textFill>
        </w:rPr>
      </w:pPr>
      <w:r>
        <w:rPr>
          <w:rFonts w:hint="eastAsia" w:ascii="Times New Roman" w:hAnsi="Times New Roman" w:eastAsia="宋体" w:cs="宋体"/>
          <w:color w:val="000000" w:themeColor="text1"/>
          <w:spacing w:val="0"/>
          <w:szCs w:val="21"/>
          <w:highlight w:val="none"/>
          <w14:textFill>
            <w14:solidFill>
              <w14:schemeClr w14:val="tx1"/>
            </w14:solidFill>
          </w14:textFill>
        </w:rPr>
        <w:t>供应商的资格条件详见</w:t>
      </w:r>
      <w:r>
        <w:rPr>
          <w:rFonts w:hint="eastAsia" w:ascii="Times New Roman" w:hAnsi="Times New Roman" w:eastAsia="宋体" w:cs="宋体"/>
          <w:color w:val="000000" w:themeColor="text1"/>
          <w:spacing w:val="0"/>
          <w:szCs w:val="21"/>
          <w:highlight w:val="none"/>
          <w:lang w:eastAsia="zh-CN"/>
          <w14:textFill>
            <w14:solidFill>
              <w14:schemeClr w14:val="tx1"/>
            </w14:solidFill>
          </w14:textFill>
        </w:rPr>
        <w:t>“</w:t>
      </w:r>
      <w:r>
        <w:rPr>
          <w:rFonts w:hint="eastAsia" w:ascii="Times New Roman" w:hAnsi="Times New Roman" w:eastAsia="宋体" w:cs="宋体"/>
          <w:color w:val="000000" w:themeColor="text1"/>
          <w:spacing w:val="0"/>
          <w:szCs w:val="21"/>
          <w:highlight w:val="none"/>
          <w14:textFill>
            <w14:solidFill>
              <w14:schemeClr w14:val="tx1"/>
            </w14:solidFill>
          </w14:textFill>
        </w:rPr>
        <w:t>供应商须知前附表</w:t>
      </w:r>
      <w:r>
        <w:rPr>
          <w:rFonts w:hint="eastAsia" w:ascii="Times New Roman" w:hAnsi="Times New Roman" w:eastAsia="宋体" w:cs="宋体"/>
          <w:color w:val="000000" w:themeColor="text1"/>
          <w:spacing w:val="0"/>
          <w:highlight w:val="none"/>
          <w:lang w:val="en-US" w:eastAsia="zh-CN"/>
          <w14:textFill>
            <w14:solidFill>
              <w14:schemeClr w14:val="tx1"/>
            </w14:solidFill>
          </w14:textFill>
        </w:rPr>
        <w:t>”</w:t>
      </w:r>
      <w:r>
        <w:rPr>
          <w:rFonts w:hint="eastAsia" w:ascii="Times New Roman" w:hAnsi="Times New Roman" w:eastAsia="宋体" w:cs="宋体"/>
          <w:color w:val="000000" w:themeColor="text1"/>
          <w:spacing w:val="0"/>
          <w:szCs w:val="21"/>
          <w:highlight w:val="none"/>
          <w14:textFill>
            <w14:solidFill>
              <w14:schemeClr w14:val="tx1"/>
            </w14:solidFill>
          </w14:textFill>
        </w:rPr>
        <w:t>。</w:t>
      </w:r>
    </w:p>
    <w:p w14:paraId="4A3D117B">
      <w:pPr>
        <w:pageBreakBefore w:val="0"/>
        <w:widowControl w:val="0"/>
        <w:kinsoku/>
        <w:wordWrap/>
        <w:overflowPunct/>
        <w:topLinePunct w:val="0"/>
        <w:autoSpaceDE/>
        <w:autoSpaceDN/>
        <w:bidi w:val="0"/>
        <w:spacing w:line="360" w:lineRule="auto"/>
        <w:outlineLvl w:val="2"/>
        <w:rPr>
          <w:rFonts w:hint="eastAsia" w:ascii="Times New Roman" w:hAnsi="Times New Roman" w:eastAsia="宋体" w:cs="宋体"/>
          <w:b/>
          <w:bCs/>
          <w:color w:val="000000" w:themeColor="text1"/>
          <w:spacing w:val="0"/>
          <w:sz w:val="21"/>
          <w:szCs w:val="21"/>
          <w:highlight w:val="none"/>
          <w14:textFill>
            <w14:solidFill>
              <w14:schemeClr w14:val="tx1"/>
            </w14:solidFill>
          </w14:textFill>
        </w:rPr>
      </w:pPr>
      <w:bookmarkStart w:id="89" w:name="_Toc7134"/>
      <w:r>
        <w:rPr>
          <w:rFonts w:hint="eastAsia" w:ascii="Times New Roman" w:hAnsi="Times New Roman" w:eastAsia="宋体" w:cs="宋体"/>
          <w:b/>
          <w:bCs/>
          <w:color w:val="000000" w:themeColor="text1"/>
          <w:spacing w:val="0"/>
          <w:sz w:val="21"/>
          <w:szCs w:val="21"/>
          <w:highlight w:val="none"/>
          <w14:textFill>
            <w14:solidFill>
              <w14:schemeClr w14:val="tx1"/>
            </w14:solidFill>
          </w14:textFill>
        </w:rPr>
        <w:t>4.磋商费用</w:t>
      </w:r>
      <w:bookmarkEnd w:id="89"/>
    </w:p>
    <w:p w14:paraId="125CB0C3">
      <w:pPr>
        <w:pageBreakBefore w:val="0"/>
        <w:widowControl w:val="0"/>
        <w:kinsoku/>
        <w:wordWrap/>
        <w:overflowPunct/>
        <w:topLinePunct w:val="0"/>
        <w:autoSpaceDE/>
        <w:autoSpaceDN/>
        <w:bidi w:val="0"/>
        <w:spacing w:line="360" w:lineRule="auto"/>
        <w:ind w:firstLine="420" w:firstLineChars="200"/>
        <w:rPr>
          <w:rFonts w:hint="eastAsia" w:ascii="Times New Roman" w:hAnsi="Times New Roman" w:eastAsia="宋体" w:cs="宋体"/>
          <w:color w:val="000000" w:themeColor="text1"/>
          <w:spacing w:val="0"/>
          <w:szCs w:val="21"/>
          <w:highlight w:val="none"/>
          <w14:textFill>
            <w14:solidFill>
              <w14:schemeClr w14:val="tx1"/>
            </w14:solidFill>
          </w14:textFill>
        </w:rPr>
      </w:pPr>
      <w:r>
        <w:rPr>
          <w:rFonts w:hint="eastAsia" w:ascii="Times New Roman" w:hAnsi="Times New Roman" w:eastAsia="宋体" w:cs="宋体"/>
          <w:color w:val="000000" w:themeColor="text1"/>
          <w:spacing w:val="0"/>
          <w:szCs w:val="21"/>
          <w:highlight w:val="none"/>
          <w14:textFill>
            <w14:solidFill>
              <w14:schemeClr w14:val="tx1"/>
            </w14:solidFill>
          </w14:textFill>
        </w:rPr>
        <w:t>供应商应承担参与本次采购活动有关的所有费用，包括但不限于勘查现场、编制和提交响应文件、参加磋商与应答、签订合同等，不论竞标结果如何，均应自行承担。</w:t>
      </w:r>
    </w:p>
    <w:p w14:paraId="216A4AF1">
      <w:pPr>
        <w:pageBreakBefore w:val="0"/>
        <w:widowControl w:val="0"/>
        <w:kinsoku/>
        <w:wordWrap/>
        <w:overflowPunct/>
        <w:topLinePunct w:val="0"/>
        <w:autoSpaceDE/>
        <w:autoSpaceDN/>
        <w:bidi w:val="0"/>
        <w:spacing w:line="360" w:lineRule="auto"/>
        <w:outlineLvl w:val="2"/>
        <w:rPr>
          <w:rFonts w:hint="eastAsia" w:ascii="Times New Roman" w:hAnsi="Times New Roman" w:eastAsia="宋体" w:cs="宋体"/>
          <w:b/>
          <w:bCs/>
          <w:color w:val="000000" w:themeColor="text1"/>
          <w:spacing w:val="0"/>
          <w:sz w:val="21"/>
          <w:szCs w:val="21"/>
          <w:highlight w:val="none"/>
          <w14:textFill>
            <w14:solidFill>
              <w14:schemeClr w14:val="tx1"/>
            </w14:solidFill>
          </w14:textFill>
        </w:rPr>
      </w:pPr>
      <w:bookmarkStart w:id="90" w:name="_Toc29535"/>
      <w:r>
        <w:rPr>
          <w:rFonts w:hint="eastAsia" w:ascii="Times New Roman" w:hAnsi="Times New Roman" w:eastAsia="宋体" w:cs="宋体"/>
          <w:b/>
          <w:bCs/>
          <w:color w:val="000000" w:themeColor="text1"/>
          <w:spacing w:val="0"/>
          <w:sz w:val="21"/>
          <w:szCs w:val="21"/>
          <w:highlight w:val="none"/>
          <w14:textFill>
            <w14:solidFill>
              <w14:schemeClr w14:val="tx1"/>
            </w14:solidFill>
          </w14:textFill>
        </w:rPr>
        <w:t>5.联合体竞标</w:t>
      </w:r>
      <w:bookmarkEnd w:id="90"/>
    </w:p>
    <w:p w14:paraId="1B359961">
      <w:pPr>
        <w:pageBreakBefore w:val="0"/>
        <w:widowControl w:val="0"/>
        <w:kinsoku/>
        <w:wordWrap/>
        <w:overflowPunct/>
        <w:topLinePunct w:val="0"/>
        <w:autoSpaceDE/>
        <w:autoSpaceDN/>
        <w:bidi w:val="0"/>
        <w:spacing w:line="360" w:lineRule="auto"/>
        <w:ind w:firstLine="420" w:firstLineChars="200"/>
        <w:rPr>
          <w:rFonts w:hint="eastAsia" w:ascii="Times New Roman" w:hAnsi="Times New Roman" w:eastAsia="宋体" w:cs="宋体"/>
          <w:color w:val="000000" w:themeColor="text1"/>
          <w:spacing w:val="0"/>
          <w:szCs w:val="21"/>
          <w:highlight w:val="none"/>
          <w14:textFill>
            <w14:solidFill>
              <w14:schemeClr w14:val="tx1"/>
            </w14:solidFill>
          </w14:textFill>
        </w:rPr>
      </w:pPr>
      <w:r>
        <w:rPr>
          <w:rFonts w:hint="eastAsia" w:ascii="Times New Roman" w:hAnsi="Times New Roman" w:eastAsia="宋体" w:cs="宋体"/>
          <w:color w:val="000000" w:themeColor="text1"/>
          <w:spacing w:val="0"/>
          <w:szCs w:val="21"/>
          <w:highlight w:val="none"/>
          <w14:textFill>
            <w14:solidFill>
              <w14:schemeClr w14:val="tx1"/>
            </w14:solidFill>
          </w14:textFill>
        </w:rPr>
        <w:t>5.1本项目是否接受联合体竞标，详见</w:t>
      </w:r>
      <w:r>
        <w:rPr>
          <w:rFonts w:hint="eastAsia" w:ascii="Times New Roman" w:hAnsi="Times New Roman" w:eastAsia="宋体" w:cs="宋体"/>
          <w:color w:val="000000" w:themeColor="text1"/>
          <w:spacing w:val="0"/>
          <w:szCs w:val="21"/>
          <w:highlight w:val="none"/>
          <w:lang w:eastAsia="zh-CN"/>
          <w14:textFill>
            <w14:solidFill>
              <w14:schemeClr w14:val="tx1"/>
            </w14:solidFill>
          </w14:textFill>
        </w:rPr>
        <w:t>“</w:t>
      </w:r>
      <w:r>
        <w:rPr>
          <w:rFonts w:hint="eastAsia" w:ascii="Times New Roman" w:hAnsi="Times New Roman" w:eastAsia="宋体" w:cs="宋体"/>
          <w:color w:val="000000" w:themeColor="text1"/>
          <w:spacing w:val="0"/>
          <w:szCs w:val="21"/>
          <w:highlight w:val="none"/>
          <w14:textFill>
            <w14:solidFill>
              <w14:schemeClr w14:val="tx1"/>
            </w14:solidFill>
          </w14:textFill>
        </w:rPr>
        <w:t>供应商须知前附表</w:t>
      </w:r>
      <w:r>
        <w:rPr>
          <w:rFonts w:hint="eastAsia" w:ascii="Times New Roman" w:hAnsi="Times New Roman" w:eastAsia="宋体" w:cs="宋体"/>
          <w:color w:val="000000" w:themeColor="text1"/>
          <w:spacing w:val="0"/>
          <w:szCs w:val="21"/>
          <w:highlight w:val="none"/>
          <w:lang w:eastAsia="zh-CN"/>
          <w14:textFill>
            <w14:solidFill>
              <w14:schemeClr w14:val="tx1"/>
            </w14:solidFill>
          </w14:textFill>
        </w:rPr>
        <w:t>”</w:t>
      </w:r>
      <w:r>
        <w:rPr>
          <w:rFonts w:hint="eastAsia" w:ascii="Times New Roman" w:hAnsi="Times New Roman" w:eastAsia="宋体" w:cs="宋体"/>
          <w:color w:val="000000" w:themeColor="text1"/>
          <w:spacing w:val="0"/>
          <w:szCs w:val="21"/>
          <w:highlight w:val="none"/>
          <w14:textFill>
            <w14:solidFill>
              <w14:schemeClr w14:val="tx1"/>
            </w14:solidFill>
          </w14:textFill>
        </w:rPr>
        <w:t>。</w:t>
      </w:r>
    </w:p>
    <w:p w14:paraId="079F439A">
      <w:pPr>
        <w:pageBreakBefore w:val="0"/>
        <w:widowControl w:val="0"/>
        <w:kinsoku/>
        <w:wordWrap/>
        <w:overflowPunct/>
        <w:topLinePunct w:val="0"/>
        <w:autoSpaceDE/>
        <w:autoSpaceDN/>
        <w:bidi w:val="0"/>
        <w:spacing w:line="360" w:lineRule="auto"/>
        <w:ind w:firstLine="420" w:firstLineChars="200"/>
        <w:rPr>
          <w:rFonts w:hint="eastAsia" w:ascii="Times New Roman" w:hAnsi="Times New Roman" w:eastAsia="宋体" w:cs="宋体"/>
          <w:color w:val="000000" w:themeColor="text1"/>
          <w:spacing w:val="0"/>
          <w:szCs w:val="21"/>
          <w:highlight w:val="none"/>
          <w14:textFill>
            <w14:solidFill>
              <w14:schemeClr w14:val="tx1"/>
            </w14:solidFill>
          </w14:textFill>
        </w:rPr>
      </w:pPr>
      <w:r>
        <w:rPr>
          <w:rFonts w:hint="eastAsia" w:ascii="Times New Roman" w:hAnsi="Times New Roman" w:eastAsia="宋体" w:cs="宋体"/>
          <w:color w:val="000000" w:themeColor="text1"/>
          <w:spacing w:val="0"/>
          <w:szCs w:val="21"/>
          <w:highlight w:val="none"/>
          <w14:textFill>
            <w14:solidFill>
              <w14:schemeClr w14:val="tx1"/>
            </w14:solidFill>
          </w14:textFill>
        </w:rPr>
        <w:t>5.2</w:t>
      </w:r>
      <w:r>
        <w:rPr>
          <w:rFonts w:hint="eastAsia" w:ascii="Times New Roman" w:hAnsi="Times New Roman" w:eastAsia="宋体" w:cs="宋体"/>
          <w:color w:val="000000" w:themeColor="text1"/>
          <w:spacing w:val="0"/>
          <w:highlight w:val="none"/>
          <w14:textFill>
            <w14:solidFill>
              <w14:schemeClr w14:val="tx1"/>
            </w14:solidFill>
          </w14:textFill>
        </w:rPr>
        <w:t>如接受联合体竞标，</w:t>
      </w:r>
      <w:r>
        <w:rPr>
          <w:rFonts w:hint="eastAsia" w:ascii="Times New Roman" w:hAnsi="Times New Roman" w:eastAsia="宋体" w:cs="宋体"/>
          <w:color w:val="000000" w:themeColor="text1"/>
          <w:spacing w:val="0"/>
          <w:szCs w:val="21"/>
          <w:highlight w:val="none"/>
          <w14:textFill>
            <w14:solidFill>
              <w14:schemeClr w14:val="tx1"/>
            </w14:solidFill>
          </w14:textFill>
        </w:rPr>
        <w:t>联合体竞标要求详见</w:t>
      </w:r>
      <w:r>
        <w:rPr>
          <w:rFonts w:hint="eastAsia" w:ascii="Times New Roman" w:hAnsi="Times New Roman" w:eastAsia="宋体" w:cs="宋体"/>
          <w:color w:val="000000" w:themeColor="text1"/>
          <w:spacing w:val="0"/>
          <w:szCs w:val="21"/>
          <w:highlight w:val="none"/>
          <w:lang w:eastAsia="zh-CN"/>
          <w14:textFill>
            <w14:solidFill>
              <w14:schemeClr w14:val="tx1"/>
            </w14:solidFill>
          </w14:textFill>
        </w:rPr>
        <w:t>“</w:t>
      </w:r>
      <w:r>
        <w:rPr>
          <w:rFonts w:hint="eastAsia" w:ascii="Times New Roman" w:hAnsi="Times New Roman" w:eastAsia="宋体" w:cs="宋体"/>
          <w:color w:val="000000" w:themeColor="text1"/>
          <w:spacing w:val="0"/>
          <w:szCs w:val="21"/>
          <w:highlight w:val="none"/>
          <w14:textFill>
            <w14:solidFill>
              <w14:schemeClr w14:val="tx1"/>
            </w14:solidFill>
          </w14:textFill>
        </w:rPr>
        <w:t>供应商须知前附表</w:t>
      </w:r>
      <w:r>
        <w:rPr>
          <w:rFonts w:hint="eastAsia" w:ascii="Times New Roman" w:hAnsi="Times New Roman" w:eastAsia="宋体" w:cs="宋体"/>
          <w:color w:val="000000" w:themeColor="text1"/>
          <w:spacing w:val="0"/>
          <w:szCs w:val="21"/>
          <w:highlight w:val="none"/>
          <w:lang w:eastAsia="zh-CN"/>
          <w14:textFill>
            <w14:solidFill>
              <w14:schemeClr w14:val="tx1"/>
            </w14:solidFill>
          </w14:textFill>
        </w:rPr>
        <w:t>”</w:t>
      </w:r>
      <w:r>
        <w:rPr>
          <w:rFonts w:hint="eastAsia" w:ascii="Times New Roman" w:hAnsi="Times New Roman" w:eastAsia="宋体" w:cs="宋体"/>
          <w:color w:val="000000" w:themeColor="text1"/>
          <w:spacing w:val="0"/>
          <w:szCs w:val="21"/>
          <w:highlight w:val="none"/>
          <w14:textFill>
            <w14:solidFill>
              <w14:schemeClr w14:val="tx1"/>
            </w14:solidFill>
          </w14:textFill>
        </w:rPr>
        <w:t>。</w:t>
      </w:r>
    </w:p>
    <w:p w14:paraId="4933224E">
      <w:pPr>
        <w:pageBreakBefore w:val="0"/>
        <w:widowControl w:val="0"/>
        <w:kinsoku/>
        <w:wordWrap/>
        <w:overflowPunct/>
        <w:topLinePunct w:val="0"/>
        <w:autoSpaceDE/>
        <w:autoSpaceDN/>
        <w:bidi w:val="0"/>
        <w:spacing w:line="360" w:lineRule="auto"/>
        <w:ind w:firstLine="420" w:firstLineChars="200"/>
        <w:rPr>
          <w:rFonts w:hint="eastAsia" w:ascii="Times New Roman" w:hAnsi="Times New Roman" w:eastAsia="宋体" w:cs="宋体"/>
          <w:bCs/>
          <w:color w:val="000000" w:themeColor="text1"/>
          <w:spacing w:val="0"/>
          <w:szCs w:val="21"/>
          <w:highlight w:val="none"/>
          <w14:textFill>
            <w14:solidFill>
              <w14:schemeClr w14:val="tx1"/>
            </w14:solidFill>
          </w14:textFill>
        </w:rPr>
      </w:pPr>
      <w:r>
        <w:rPr>
          <w:rFonts w:hint="eastAsia" w:ascii="Times New Roman" w:hAnsi="Times New Roman" w:eastAsia="宋体" w:cs="宋体"/>
          <w:color w:val="000000" w:themeColor="text1"/>
          <w:spacing w:val="0"/>
          <w:szCs w:val="21"/>
          <w:highlight w:val="none"/>
          <w14:textFill>
            <w14:solidFill>
              <w14:schemeClr w14:val="tx1"/>
            </w14:solidFill>
          </w14:textFill>
        </w:rPr>
        <w:t xml:space="preserve">5.3根据《政府采购促进中小企业发展管理办法》（财库[2020]46号）第九条及《广西壮族自治区财政厅关于贯彻落实政府采购支持中小企业发展政策的通知》（桂财采〔2022〕31号）规定，接受大中型企业与小微企业组成联合体的采购项目，对于联合协议约定小微企业的合同份额占到合同总金额 30%以上的，采购人、采购代理机构应当对联合体的报价给予 </w:t>
      </w:r>
      <w:r>
        <w:rPr>
          <w:rFonts w:hint="eastAsia" w:ascii="Times New Roman" w:hAnsi="Times New Roman" w:eastAsia="宋体" w:cs="宋体"/>
          <w:color w:val="000000" w:themeColor="text1"/>
          <w:spacing w:val="0"/>
          <w:szCs w:val="21"/>
          <w:highlight w:val="none"/>
          <w:lang w:val="en-US" w:eastAsia="zh-CN"/>
          <w14:textFill>
            <w14:solidFill>
              <w14:schemeClr w14:val="tx1"/>
            </w14:solidFill>
          </w14:textFill>
        </w:rPr>
        <w:t>1</w:t>
      </w:r>
      <w:r>
        <w:rPr>
          <w:rFonts w:hint="eastAsia" w:ascii="Times New Roman" w:hAnsi="Times New Roman" w:eastAsia="宋体" w:cs="宋体"/>
          <w:color w:val="000000" w:themeColor="text1"/>
          <w:spacing w:val="0"/>
          <w:szCs w:val="21"/>
          <w:highlight w:val="none"/>
          <w14:textFill>
            <w14:solidFill>
              <w14:schemeClr w14:val="tx1"/>
            </w14:solidFill>
          </w14:textFill>
        </w:rPr>
        <w:t>%-</w:t>
      </w:r>
      <w:r>
        <w:rPr>
          <w:rFonts w:hint="eastAsia" w:ascii="Times New Roman" w:hAnsi="Times New Roman" w:eastAsia="宋体" w:cs="宋体"/>
          <w:color w:val="000000" w:themeColor="text1"/>
          <w:spacing w:val="0"/>
          <w:szCs w:val="21"/>
          <w:highlight w:val="none"/>
          <w:lang w:val="en-US" w:eastAsia="zh-CN"/>
          <w14:textFill>
            <w14:solidFill>
              <w14:schemeClr w14:val="tx1"/>
            </w14:solidFill>
          </w14:textFill>
        </w:rPr>
        <w:t>2</w:t>
      </w:r>
      <w:r>
        <w:rPr>
          <w:rFonts w:hint="eastAsia" w:ascii="Times New Roman" w:hAnsi="Times New Roman" w:eastAsia="宋体" w:cs="宋体"/>
          <w:color w:val="000000" w:themeColor="text1"/>
          <w:spacing w:val="0"/>
          <w:szCs w:val="21"/>
          <w:highlight w:val="none"/>
          <w14:textFill>
            <w14:solidFill>
              <w14:schemeClr w14:val="tx1"/>
            </w14:solidFill>
          </w14:textFill>
        </w:rPr>
        <w:t>%的扣除，用扣除后的价格参加评审。组成联合体的小微企业与联合体内其他企业、分包企业之间存在直接控股、管理关系的，不享受价格扣除优惠政策。</w:t>
      </w:r>
    </w:p>
    <w:p w14:paraId="3E235CF9">
      <w:pPr>
        <w:pageBreakBefore w:val="0"/>
        <w:widowControl w:val="0"/>
        <w:kinsoku/>
        <w:wordWrap/>
        <w:overflowPunct/>
        <w:topLinePunct w:val="0"/>
        <w:autoSpaceDE/>
        <w:autoSpaceDN/>
        <w:bidi w:val="0"/>
        <w:spacing w:line="360" w:lineRule="auto"/>
        <w:outlineLvl w:val="2"/>
        <w:rPr>
          <w:rFonts w:hint="eastAsia" w:ascii="Times New Roman" w:hAnsi="Times New Roman" w:eastAsia="宋体" w:cs="宋体"/>
          <w:b/>
          <w:bCs/>
          <w:color w:val="000000" w:themeColor="text1"/>
          <w:spacing w:val="0"/>
          <w:sz w:val="21"/>
          <w:szCs w:val="21"/>
          <w:highlight w:val="none"/>
          <w14:textFill>
            <w14:solidFill>
              <w14:schemeClr w14:val="tx1"/>
            </w14:solidFill>
          </w14:textFill>
        </w:rPr>
      </w:pPr>
      <w:bookmarkStart w:id="91" w:name="_Toc10368"/>
      <w:r>
        <w:rPr>
          <w:rFonts w:hint="eastAsia" w:ascii="Times New Roman" w:hAnsi="Times New Roman" w:eastAsia="宋体" w:cs="宋体"/>
          <w:b/>
          <w:bCs/>
          <w:color w:val="000000" w:themeColor="text1"/>
          <w:spacing w:val="0"/>
          <w:sz w:val="21"/>
          <w:szCs w:val="21"/>
          <w:highlight w:val="none"/>
          <w14:textFill>
            <w14:solidFill>
              <w14:schemeClr w14:val="tx1"/>
            </w14:solidFill>
          </w14:textFill>
        </w:rPr>
        <w:t>6.转包与分包</w:t>
      </w:r>
      <w:bookmarkEnd w:id="91"/>
    </w:p>
    <w:p w14:paraId="7256B5BB">
      <w:pPr>
        <w:pageBreakBefore w:val="0"/>
        <w:widowControl w:val="0"/>
        <w:kinsoku/>
        <w:wordWrap/>
        <w:overflowPunct/>
        <w:topLinePunct w:val="0"/>
        <w:autoSpaceDE/>
        <w:autoSpaceDN/>
        <w:bidi w:val="0"/>
        <w:spacing w:line="360" w:lineRule="auto"/>
        <w:ind w:firstLine="420" w:firstLineChars="200"/>
        <w:rPr>
          <w:rFonts w:hint="eastAsia" w:ascii="Times New Roman" w:hAnsi="Times New Roman" w:eastAsia="宋体" w:cs="宋体"/>
          <w:color w:val="000000" w:themeColor="text1"/>
          <w:spacing w:val="0"/>
          <w:szCs w:val="21"/>
          <w:highlight w:val="none"/>
          <w14:textFill>
            <w14:solidFill>
              <w14:schemeClr w14:val="tx1"/>
            </w14:solidFill>
          </w14:textFill>
        </w:rPr>
      </w:pPr>
      <w:r>
        <w:rPr>
          <w:rFonts w:hint="eastAsia" w:ascii="Times New Roman" w:hAnsi="Times New Roman" w:eastAsia="宋体" w:cs="宋体"/>
          <w:color w:val="000000" w:themeColor="text1"/>
          <w:spacing w:val="0"/>
          <w:szCs w:val="21"/>
          <w:highlight w:val="none"/>
          <w14:textFill>
            <w14:solidFill>
              <w14:schemeClr w14:val="tx1"/>
            </w14:solidFill>
          </w14:textFill>
        </w:rPr>
        <w:t>6.1本项目不允许转包。</w:t>
      </w:r>
    </w:p>
    <w:p w14:paraId="39464DB2">
      <w:pPr>
        <w:pageBreakBefore w:val="0"/>
        <w:widowControl w:val="0"/>
        <w:kinsoku/>
        <w:wordWrap/>
        <w:overflowPunct/>
        <w:topLinePunct w:val="0"/>
        <w:autoSpaceDE/>
        <w:autoSpaceDN/>
        <w:bidi w:val="0"/>
        <w:spacing w:line="360" w:lineRule="auto"/>
        <w:ind w:firstLine="420" w:firstLineChars="200"/>
        <w:rPr>
          <w:rFonts w:hint="eastAsia" w:ascii="Times New Roman" w:hAnsi="Times New Roman" w:eastAsia="宋体" w:cs="宋体"/>
          <w:color w:val="000000" w:themeColor="text1"/>
          <w:spacing w:val="0"/>
          <w:szCs w:val="21"/>
          <w:highlight w:val="none"/>
          <w14:textFill>
            <w14:solidFill>
              <w14:schemeClr w14:val="tx1"/>
            </w14:solidFill>
          </w14:textFill>
        </w:rPr>
      </w:pPr>
      <w:r>
        <w:rPr>
          <w:rFonts w:hint="eastAsia" w:ascii="Times New Roman" w:hAnsi="Times New Roman" w:eastAsia="宋体" w:cs="宋体"/>
          <w:color w:val="000000" w:themeColor="text1"/>
          <w:spacing w:val="0"/>
          <w:szCs w:val="21"/>
          <w:highlight w:val="none"/>
          <w14:textFill>
            <w14:solidFill>
              <w14:schemeClr w14:val="tx1"/>
            </w14:solidFill>
          </w14:textFill>
        </w:rPr>
        <w:t>6.2本项目是否允许分包详见</w:t>
      </w:r>
      <w:r>
        <w:rPr>
          <w:rFonts w:hint="eastAsia" w:ascii="Times New Roman" w:hAnsi="Times New Roman" w:eastAsia="宋体" w:cs="宋体"/>
          <w:color w:val="000000" w:themeColor="text1"/>
          <w:spacing w:val="0"/>
          <w:szCs w:val="21"/>
          <w:highlight w:val="none"/>
          <w:lang w:eastAsia="zh-CN"/>
          <w14:textFill>
            <w14:solidFill>
              <w14:schemeClr w14:val="tx1"/>
            </w14:solidFill>
          </w14:textFill>
        </w:rPr>
        <w:t>“</w:t>
      </w:r>
      <w:r>
        <w:rPr>
          <w:rFonts w:hint="eastAsia" w:ascii="Times New Roman" w:hAnsi="Times New Roman" w:eastAsia="宋体" w:cs="宋体"/>
          <w:color w:val="000000" w:themeColor="text1"/>
          <w:spacing w:val="0"/>
          <w:szCs w:val="21"/>
          <w:highlight w:val="none"/>
          <w14:textFill>
            <w14:solidFill>
              <w14:schemeClr w14:val="tx1"/>
            </w14:solidFill>
          </w14:textFill>
        </w:rPr>
        <w:t>供应商须知前附表</w:t>
      </w:r>
      <w:r>
        <w:rPr>
          <w:rFonts w:hint="eastAsia" w:ascii="Times New Roman" w:hAnsi="Times New Roman" w:eastAsia="宋体" w:cs="宋体"/>
          <w:color w:val="000000" w:themeColor="text1"/>
          <w:spacing w:val="0"/>
          <w:szCs w:val="21"/>
          <w:highlight w:val="none"/>
          <w:lang w:eastAsia="zh-CN"/>
          <w14:textFill>
            <w14:solidFill>
              <w14:schemeClr w14:val="tx1"/>
            </w14:solidFill>
          </w14:textFill>
        </w:rPr>
        <w:t>”</w:t>
      </w:r>
      <w:r>
        <w:rPr>
          <w:rFonts w:hint="eastAsia" w:ascii="Times New Roman" w:hAnsi="Times New Roman" w:eastAsia="宋体" w:cs="宋体"/>
          <w:color w:val="000000" w:themeColor="text1"/>
          <w:spacing w:val="0"/>
          <w:szCs w:val="21"/>
          <w:highlight w:val="none"/>
          <w14:textFill>
            <w14:solidFill>
              <w14:schemeClr w14:val="tx1"/>
            </w14:solidFill>
          </w14:textFill>
        </w:rPr>
        <w:t>，本项目不允许违法分包。</w:t>
      </w:r>
    </w:p>
    <w:p w14:paraId="57CA652F">
      <w:pPr>
        <w:pageBreakBefore w:val="0"/>
        <w:widowControl w:val="0"/>
        <w:kinsoku/>
        <w:wordWrap/>
        <w:overflowPunct/>
        <w:topLinePunct w:val="0"/>
        <w:autoSpaceDE/>
        <w:autoSpaceDN/>
        <w:bidi w:val="0"/>
        <w:spacing w:line="360" w:lineRule="auto"/>
        <w:ind w:firstLine="420" w:firstLineChars="200"/>
        <w:rPr>
          <w:rFonts w:hint="eastAsia" w:ascii="Times New Roman" w:hAnsi="Times New Roman" w:eastAsia="宋体" w:cs="宋体"/>
          <w:color w:val="000000" w:themeColor="text1"/>
          <w:spacing w:val="0"/>
          <w:szCs w:val="21"/>
          <w:highlight w:val="none"/>
          <w14:textFill>
            <w14:solidFill>
              <w14:schemeClr w14:val="tx1"/>
            </w14:solidFill>
          </w14:textFill>
        </w:rPr>
      </w:pPr>
      <w:r>
        <w:rPr>
          <w:rFonts w:hint="eastAsia" w:ascii="Times New Roman" w:hAnsi="Times New Roman" w:eastAsia="宋体" w:cs="宋体"/>
          <w:color w:val="000000" w:themeColor="text1"/>
          <w:spacing w:val="0"/>
          <w:szCs w:val="21"/>
          <w:highlight w:val="none"/>
          <w14:textFill>
            <w14:solidFill>
              <w14:schemeClr w14:val="tx1"/>
            </w14:solidFill>
          </w14:textFill>
        </w:rPr>
        <w:t xml:space="preserve">6.3根据《政府采购促进中小企业发展管理办法》（财库[2020]46号）第九条及《广西壮族自治区财政厅关于贯彻落实政府采购支持中小企业发展政策的通知》（桂财采〔2022〕31号）规定，允许大中型企业向一家或者多家小微企业分包的采购项目，对于分包意向协议约定小微企业的合同份额占到合同总金额 30%以上的，采购人、采购代理机构应当对大中型企业的报价给予 </w:t>
      </w:r>
      <w:r>
        <w:rPr>
          <w:rFonts w:hint="eastAsia" w:ascii="Times New Roman" w:hAnsi="Times New Roman" w:eastAsia="宋体" w:cs="宋体"/>
          <w:color w:val="000000" w:themeColor="text1"/>
          <w:spacing w:val="0"/>
          <w:szCs w:val="21"/>
          <w:highlight w:val="none"/>
          <w:lang w:val="en-US" w:eastAsia="zh-CN"/>
          <w14:textFill>
            <w14:solidFill>
              <w14:schemeClr w14:val="tx1"/>
            </w14:solidFill>
          </w14:textFill>
        </w:rPr>
        <w:t>1</w:t>
      </w:r>
      <w:r>
        <w:rPr>
          <w:rFonts w:hint="eastAsia" w:ascii="Times New Roman" w:hAnsi="Times New Roman" w:eastAsia="宋体" w:cs="宋体"/>
          <w:color w:val="000000" w:themeColor="text1"/>
          <w:spacing w:val="0"/>
          <w:szCs w:val="21"/>
          <w:highlight w:val="none"/>
          <w14:textFill>
            <w14:solidFill>
              <w14:schemeClr w14:val="tx1"/>
            </w14:solidFill>
          </w14:textFill>
        </w:rPr>
        <w:t>%-</w:t>
      </w:r>
      <w:r>
        <w:rPr>
          <w:rFonts w:hint="eastAsia" w:ascii="Times New Roman" w:hAnsi="Times New Roman" w:eastAsia="宋体" w:cs="宋体"/>
          <w:color w:val="000000" w:themeColor="text1"/>
          <w:spacing w:val="0"/>
          <w:szCs w:val="21"/>
          <w:highlight w:val="none"/>
          <w:lang w:val="en-US" w:eastAsia="zh-CN"/>
          <w14:textFill>
            <w14:solidFill>
              <w14:schemeClr w14:val="tx1"/>
            </w14:solidFill>
          </w14:textFill>
        </w:rPr>
        <w:t>2</w:t>
      </w:r>
      <w:r>
        <w:rPr>
          <w:rFonts w:hint="eastAsia" w:ascii="Times New Roman" w:hAnsi="Times New Roman" w:eastAsia="宋体" w:cs="宋体"/>
          <w:color w:val="000000" w:themeColor="text1"/>
          <w:spacing w:val="0"/>
          <w:szCs w:val="21"/>
          <w:highlight w:val="none"/>
          <w14:textFill>
            <w14:solidFill>
              <w14:schemeClr w14:val="tx1"/>
            </w14:solidFill>
          </w14:textFill>
        </w:rPr>
        <w:t>%的扣除，用扣除后的价格参加评审。接受分包的小微企业与分包企业之间存在直接控股、管理关系的，不享受价格扣除优惠政策</w:t>
      </w:r>
      <w:r>
        <w:rPr>
          <w:rFonts w:hint="eastAsia" w:ascii="Times New Roman" w:hAnsi="Times New Roman" w:eastAsia="宋体" w:cs="宋体"/>
          <w:bCs/>
          <w:color w:val="000000" w:themeColor="text1"/>
          <w:spacing w:val="0"/>
          <w:szCs w:val="21"/>
          <w:highlight w:val="none"/>
          <w14:textFill>
            <w14:solidFill>
              <w14:schemeClr w14:val="tx1"/>
            </w14:solidFill>
          </w14:textFill>
        </w:rPr>
        <w:t>。</w:t>
      </w:r>
    </w:p>
    <w:p w14:paraId="5AF1F5DF">
      <w:pPr>
        <w:pageBreakBefore w:val="0"/>
        <w:widowControl w:val="0"/>
        <w:kinsoku/>
        <w:wordWrap/>
        <w:overflowPunct/>
        <w:topLinePunct w:val="0"/>
        <w:autoSpaceDE/>
        <w:autoSpaceDN/>
        <w:bidi w:val="0"/>
        <w:spacing w:line="360" w:lineRule="auto"/>
        <w:outlineLvl w:val="2"/>
        <w:rPr>
          <w:rFonts w:hint="eastAsia" w:ascii="Times New Roman" w:hAnsi="Times New Roman" w:eastAsia="宋体" w:cs="宋体"/>
          <w:b/>
          <w:bCs/>
          <w:color w:val="000000" w:themeColor="text1"/>
          <w:spacing w:val="0"/>
          <w:sz w:val="21"/>
          <w:szCs w:val="21"/>
          <w:highlight w:val="none"/>
          <w14:textFill>
            <w14:solidFill>
              <w14:schemeClr w14:val="tx1"/>
            </w14:solidFill>
          </w14:textFill>
        </w:rPr>
      </w:pPr>
      <w:bookmarkStart w:id="92" w:name="_Toc24160"/>
      <w:bookmarkStart w:id="93" w:name="_Toc254970532"/>
      <w:bookmarkStart w:id="94" w:name="_Toc254970673"/>
      <w:r>
        <w:rPr>
          <w:rFonts w:hint="eastAsia" w:ascii="Times New Roman" w:hAnsi="Times New Roman" w:eastAsia="宋体" w:cs="宋体"/>
          <w:b/>
          <w:bCs/>
          <w:color w:val="000000" w:themeColor="text1"/>
          <w:spacing w:val="0"/>
          <w:sz w:val="21"/>
          <w:szCs w:val="21"/>
          <w:highlight w:val="none"/>
          <w14:textFill>
            <w14:solidFill>
              <w14:schemeClr w14:val="tx1"/>
            </w14:solidFill>
          </w14:textFill>
        </w:rPr>
        <w:t>7.特别说明</w:t>
      </w:r>
      <w:bookmarkEnd w:id="92"/>
      <w:bookmarkEnd w:id="93"/>
      <w:bookmarkEnd w:id="94"/>
    </w:p>
    <w:p w14:paraId="7DBA9BD6">
      <w:pPr>
        <w:pageBreakBefore w:val="0"/>
        <w:widowControl w:val="0"/>
        <w:kinsoku/>
        <w:wordWrap/>
        <w:overflowPunct/>
        <w:topLinePunct w:val="0"/>
        <w:autoSpaceDE/>
        <w:autoSpaceDN/>
        <w:bidi w:val="0"/>
        <w:spacing w:line="360" w:lineRule="auto"/>
        <w:ind w:firstLine="420" w:firstLineChars="200"/>
        <w:rPr>
          <w:rFonts w:hint="eastAsia" w:ascii="Times New Roman" w:hAnsi="Times New Roman" w:eastAsia="宋体" w:cs="宋体"/>
          <w:color w:val="000000" w:themeColor="text1"/>
          <w:spacing w:val="0"/>
          <w:szCs w:val="21"/>
          <w:highlight w:val="none"/>
          <w14:textFill>
            <w14:solidFill>
              <w14:schemeClr w14:val="tx1"/>
            </w14:solidFill>
          </w14:textFill>
        </w:rPr>
      </w:pPr>
      <w:bookmarkStart w:id="95" w:name="_8.1提供相同品牌产品且通过资格审查、符合性审查的不同投标人参加同一合"/>
      <w:bookmarkEnd w:id="95"/>
      <w:r>
        <w:rPr>
          <w:rFonts w:hint="eastAsia" w:ascii="Times New Roman" w:hAnsi="Times New Roman" w:eastAsia="宋体" w:cs="宋体"/>
          <w:color w:val="000000" w:themeColor="text1"/>
          <w:spacing w:val="0"/>
          <w:szCs w:val="21"/>
          <w:highlight w:val="none"/>
          <w14:textFill>
            <w14:solidFill>
              <w14:schemeClr w14:val="tx1"/>
            </w14:solidFill>
          </w14:textFill>
        </w:rPr>
        <w:t>7.1</w:t>
      </w:r>
      <w:bookmarkStart w:id="96" w:name="_Hlk65832145"/>
      <w:r>
        <w:rPr>
          <w:rFonts w:hint="eastAsia" w:ascii="Times New Roman" w:hAnsi="Times New Roman" w:eastAsia="宋体" w:cs="宋体"/>
          <w:color w:val="000000" w:themeColor="text1"/>
          <w:spacing w:val="0"/>
          <w:szCs w:val="21"/>
          <w:highlight w:val="none"/>
          <w14:textFill>
            <w14:solidFill>
              <w14:schemeClr w14:val="tx1"/>
            </w14:solidFill>
          </w14:textFill>
        </w:rPr>
        <w:t>如果本磋商文件要求提供供应商或制造商的资格、信誉、荣誉、业绩与企业认证等材料的，资格、信誉、荣誉、业绩与企业认证等必须为供应商或者制造商所拥有或自身获得 。</w:t>
      </w:r>
    </w:p>
    <w:bookmarkEnd w:id="96"/>
    <w:p w14:paraId="44AAC0D9">
      <w:pPr>
        <w:pageBreakBefore w:val="0"/>
        <w:widowControl w:val="0"/>
        <w:kinsoku/>
        <w:wordWrap/>
        <w:overflowPunct/>
        <w:topLinePunct w:val="0"/>
        <w:autoSpaceDE/>
        <w:autoSpaceDN/>
        <w:bidi w:val="0"/>
        <w:spacing w:line="360" w:lineRule="auto"/>
        <w:ind w:firstLine="420" w:firstLineChars="200"/>
        <w:rPr>
          <w:rFonts w:hint="eastAsia" w:ascii="Times New Roman" w:hAnsi="Times New Roman" w:eastAsia="宋体" w:cs="宋体"/>
          <w:color w:val="000000" w:themeColor="text1"/>
          <w:spacing w:val="0"/>
          <w:szCs w:val="21"/>
          <w:highlight w:val="none"/>
          <w14:textFill>
            <w14:solidFill>
              <w14:schemeClr w14:val="tx1"/>
            </w14:solidFill>
          </w14:textFill>
        </w:rPr>
      </w:pPr>
      <w:r>
        <w:rPr>
          <w:rFonts w:hint="eastAsia" w:ascii="Times New Roman" w:hAnsi="Times New Roman" w:eastAsia="宋体" w:cs="宋体"/>
          <w:color w:val="000000" w:themeColor="text1"/>
          <w:spacing w:val="0"/>
          <w:szCs w:val="21"/>
          <w:highlight w:val="none"/>
          <w14:textFill>
            <w14:solidFill>
              <w14:schemeClr w14:val="tx1"/>
            </w14:solidFill>
          </w14:textFill>
        </w:rPr>
        <w:t>7.2供应商应仔细阅读磋商文件的所有内容，按照磋商文件的要求提交响应文件，并对所提供的全部资料的真实性承担法律责任。</w:t>
      </w:r>
    </w:p>
    <w:p w14:paraId="1D4D4338">
      <w:pPr>
        <w:pageBreakBefore w:val="0"/>
        <w:widowControl w:val="0"/>
        <w:kinsoku/>
        <w:wordWrap/>
        <w:overflowPunct/>
        <w:topLinePunct w:val="0"/>
        <w:autoSpaceDE/>
        <w:autoSpaceDN/>
        <w:bidi w:val="0"/>
        <w:spacing w:line="360" w:lineRule="auto"/>
        <w:ind w:firstLine="420" w:firstLineChars="200"/>
        <w:rPr>
          <w:rFonts w:hint="eastAsia" w:ascii="Times New Roman" w:hAnsi="Times New Roman" w:eastAsia="宋体" w:cs="宋体"/>
          <w:color w:val="000000" w:themeColor="text1"/>
          <w:spacing w:val="0"/>
          <w:szCs w:val="21"/>
          <w:highlight w:val="none"/>
          <w14:textFill>
            <w14:solidFill>
              <w14:schemeClr w14:val="tx1"/>
            </w14:solidFill>
          </w14:textFill>
        </w:rPr>
      </w:pPr>
      <w:r>
        <w:rPr>
          <w:rFonts w:hint="eastAsia" w:ascii="Times New Roman" w:hAnsi="Times New Roman" w:eastAsia="宋体" w:cs="宋体"/>
          <w:color w:val="000000" w:themeColor="text1"/>
          <w:spacing w:val="0"/>
          <w:szCs w:val="21"/>
          <w:highlight w:val="none"/>
          <w14:textFill>
            <w14:solidFill>
              <w14:schemeClr w14:val="tx1"/>
            </w14:solidFill>
          </w14:textFill>
        </w:rPr>
        <w:t>7.3供应商在竞标活动中提供任何疑似虚假材料，将报监管部门查处；签订合同后发现的，成交供应商须依照《中华人民共和国消费者权益保护法》规定赔偿采购人，且民事赔偿并不免除违法供应商的行政与刑事责任。</w:t>
      </w:r>
    </w:p>
    <w:p w14:paraId="544F6B87">
      <w:pPr>
        <w:pageBreakBefore w:val="0"/>
        <w:widowControl w:val="0"/>
        <w:kinsoku/>
        <w:wordWrap/>
        <w:overflowPunct/>
        <w:topLinePunct w:val="0"/>
        <w:autoSpaceDE/>
        <w:autoSpaceDN/>
        <w:bidi w:val="0"/>
        <w:spacing w:line="360" w:lineRule="auto"/>
        <w:ind w:firstLine="422" w:firstLineChars="200"/>
        <w:rPr>
          <w:rFonts w:hint="eastAsia" w:ascii="Times New Roman" w:hAnsi="Times New Roman" w:eastAsia="宋体" w:cs="宋体"/>
          <w:b/>
          <w:bCs/>
          <w:color w:val="000000" w:themeColor="text1"/>
          <w:spacing w:val="0"/>
          <w:szCs w:val="21"/>
          <w:highlight w:val="none"/>
          <w14:textFill>
            <w14:solidFill>
              <w14:schemeClr w14:val="tx1"/>
            </w14:solidFill>
          </w14:textFill>
        </w:rPr>
      </w:pPr>
      <w:r>
        <w:rPr>
          <w:rFonts w:hint="eastAsia" w:ascii="Times New Roman" w:hAnsi="Times New Roman" w:eastAsia="宋体" w:cs="宋体"/>
          <w:b/>
          <w:bCs/>
          <w:color w:val="000000" w:themeColor="text1"/>
          <w:spacing w:val="0"/>
          <w:szCs w:val="21"/>
          <w:highlight w:val="none"/>
          <w14:textFill>
            <w14:solidFill>
              <w14:schemeClr w14:val="tx1"/>
            </w14:solidFill>
          </w14:textFill>
        </w:rPr>
        <w:t>7.4在政府采购活动中，采购人员及相关人员与供应商有下列利害关系之一的，应当回避：</w:t>
      </w:r>
    </w:p>
    <w:p w14:paraId="6F5AD102">
      <w:pPr>
        <w:pageBreakBefore w:val="0"/>
        <w:widowControl w:val="0"/>
        <w:kinsoku/>
        <w:wordWrap/>
        <w:overflowPunct/>
        <w:topLinePunct w:val="0"/>
        <w:autoSpaceDE/>
        <w:autoSpaceDN/>
        <w:bidi w:val="0"/>
        <w:spacing w:line="360" w:lineRule="auto"/>
        <w:ind w:firstLine="422" w:firstLineChars="200"/>
        <w:rPr>
          <w:rFonts w:hint="eastAsia" w:ascii="Times New Roman" w:hAnsi="Times New Roman" w:eastAsia="宋体" w:cs="宋体"/>
          <w:b/>
          <w:bCs/>
          <w:color w:val="000000" w:themeColor="text1"/>
          <w:spacing w:val="0"/>
          <w:szCs w:val="21"/>
          <w:highlight w:val="none"/>
          <w14:textFill>
            <w14:solidFill>
              <w14:schemeClr w14:val="tx1"/>
            </w14:solidFill>
          </w14:textFill>
        </w:rPr>
      </w:pPr>
      <w:r>
        <w:rPr>
          <w:rFonts w:hint="eastAsia" w:ascii="Times New Roman" w:hAnsi="Times New Roman" w:eastAsia="宋体" w:cs="宋体"/>
          <w:b/>
          <w:bCs/>
          <w:color w:val="000000" w:themeColor="text1"/>
          <w:spacing w:val="0"/>
          <w:szCs w:val="21"/>
          <w:highlight w:val="none"/>
          <w14:textFill>
            <w14:solidFill>
              <w14:schemeClr w14:val="tx1"/>
            </w14:solidFill>
          </w14:textFill>
        </w:rPr>
        <w:t>（1）参加采购活动前3年内与供应商存在劳动关系；</w:t>
      </w:r>
    </w:p>
    <w:p w14:paraId="17D2357D">
      <w:pPr>
        <w:pageBreakBefore w:val="0"/>
        <w:widowControl w:val="0"/>
        <w:kinsoku/>
        <w:wordWrap/>
        <w:overflowPunct/>
        <w:topLinePunct w:val="0"/>
        <w:autoSpaceDE/>
        <w:autoSpaceDN/>
        <w:bidi w:val="0"/>
        <w:spacing w:line="360" w:lineRule="auto"/>
        <w:ind w:firstLine="422" w:firstLineChars="200"/>
        <w:rPr>
          <w:rFonts w:hint="eastAsia" w:ascii="Times New Roman" w:hAnsi="Times New Roman" w:eastAsia="宋体" w:cs="宋体"/>
          <w:b/>
          <w:bCs/>
          <w:color w:val="000000" w:themeColor="text1"/>
          <w:spacing w:val="0"/>
          <w:szCs w:val="21"/>
          <w:highlight w:val="none"/>
          <w14:textFill>
            <w14:solidFill>
              <w14:schemeClr w14:val="tx1"/>
            </w14:solidFill>
          </w14:textFill>
        </w:rPr>
      </w:pPr>
      <w:r>
        <w:rPr>
          <w:rFonts w:hint="eastAsia" w:ascii="Times New Roman" w:hAnsi="Times New Roman" w:eastAsia="宋体" w:cs="宋体"/>
          <w:b/>
          <w:bCs/>
          <w:color w:val="000000" w:themeColor="text1"/>
          <w:spacing w:val="0"/>
          <w:szCs w:val="21"/>
          <w:highlight w:val="none"/>
          <w14:textFill>
            <w14:solidFill>
              <w14:schemeClr w14:val="tx1"/>
            </w14:solidFill>
          </w14:textFill>
        </w:rPr>
        <w:t>（2）参加采购活动前3年内担任供应商的董事、监事；</w:t>
      </w:r>
    </w:p>
    <w:p w14:paraId="53AF4589">
      <w:pPr>
        <w:pageBreakBefore w:val="0"/>
        <w:widowControl w:val="0"/>
        <w:kinsoku/>
        <w:wordWrap/>
        <w:overflowPunct/>
        <w:topLinePunct w:val="0"/>
        <w:autoSpaceDE/>
        <w:autoSpaceDN/>
        <w:bidi w:val="0"/>
        <w:spacing w:line="360" w:lineRule="auto"/>
        <w:ind w:firstLine="422" w:firstLineChars="200"/>
        <w:rPr>
          <w:rFonts w:hint="eastAsia" w:ascii="Times New Roman" w:hAnsi="Times New Roman" w:eastAsia="宋体" w:cs="宋体"/>
          <w:b/>
          <w:bCs/>
          <w:color w:val="000000" w:themeColor="text1"/>
          <w:spacing w:val="0"/>
          <w:szCs w:val="21"/>
          <w:highlight w:val="none"/>
          <w14:textFill>
            <w14:solidFill>
              <w14:schemeClr w14:val="tx1"/>
            </w14:solidFill>
          </w14:textFill>
        </w:rPr>
      </w:pPr>
      <w:r>
        <w:rPr>
          <w:rFonts w:hint="eastAsia" w:ascii="Times New Roman" w:hAnsi="Times New Roman" w:eastAsia="宋体" w:cs="宋体"/>
          <w:b/>
          <w:bCs/>
          <w:color w:val="000000" w:themeColor="text1"/>
          <w:spacing w:val="0"/>
          <w:szCs w:val="21"/>
          <w:highlight w:val="none"/>
          <w14:textFill>
            <w14:solidFill>
              <w14:schemeClr w14:val="tx1"/>
            </w14:solidFill>
          </w14:textFill>
        </w:rPr>
        <w:t>（3）参加采购活动前3年内是供应商的控股股东或者实际控制人；</w:t>
      </w:r>
    </w:p>
    <w:p w14:paraId="490D4E69">
      <w:pPr>
        <w:pageBreakBefore w:val="0"/>
        <w:widowControl w:val="0"/>
        <w:kinsoku/>
        <w:wordWrap/>
        <w:overflowPunct/>
        <w:topLinePunct w:val="0"/>
        <w:autoSpaceDE/>
        <w:autoSpaceDN/>
        <w:bidi w:val="0"/>
        <w:spacing w:line="360" w:lineRule="auto"/>
        <w:ind w:firstLine="422" w:firstLineChars="200"/>
        <w:rPr>
          <w:rFonts w:hint="eastAsia" w:ascii="Times New Roman" w:hAnsi="Times New Roman" w:eastAsia="宋体" w:cs="宋体"/>
          <w:b/>
          <w:bCs/>
          <w:color w:val="000000" w:themeColor="text1"/>
          <w:spacing w:val="0"/>
          <w:szCs w:val="21"/>
          <w:highlight w:val="none"/>
          <w14:textFill>
            <w14:solidFill>
              <w14:schemeClr w14:val="tx1"/>
            </w14:solidFill>
          </w14:textFill>
        </w:rPr>
      </w:pPr>
      <w:r>
        <w:rPr>
          <w:rFonts w:hint="eastAsia" w:ascii="Times New Roman" w:hAnsi="Times New Roman" w:eastAsia="宋体" w:cs="宋体"/>
          <w:b/>
          <w:bCs/>
          <w:color w:val="000000" w:themeColor="text1"/>
          <w:spacing w:val="0"/>
          <w:szCs w:val="21"/>
          <w:highlight w:val="none"/>
          <w14:textFill>
            <w14:solidFill>
              <w14:schemeClr w14:val="tx1"/>
            </w14:solidFill>
          </w14:textFill>
        </w:rPr>
        <w:t>（4）与供应商的法定代表人或者负责人有夫妻、直系血亲、三代以内旁系血亲或者近姻亲关系；</w:t>
      </w:r>
    </w:p>
    <w:p w14:paraId="296F524A">
      <w:pPr>
        <w:pageBreakBefore w:val="0"/>
        <w:widowControl w:val="0"/>
        <w:kinsoku/>
        <w:wordWrap/>
        <w:overflowPunct/>
        <w:topLinePunct w:val="0"/>
        <w:autoSpaceDE/>
        <w:autoSpaceDN/>
        <w:bidi w:val="0"/>
        <w:spacing w:line="360" w:lineRule="auto"/>
        <w:ind w:firstLine="422" w:firstLineChars="200"/>
        <w:rPr>
          <w:rFonts w:hint="eastAsia" w:ascii="Times New Roman" w:hAnsi="Times New Roman" w:eastAsia="宋体" w:cs="宋体"/>
          <w:b/>
          <w:bCs/>
          <w:color w:val="000000" w:themeColor="text1"/>
          <w:spacing w:val="0"/>
          <w:szCs w:val="21"/>
          <w:highlight w:val="none"/>
          <w14:textFill>
            <w14:solidFill>
              <w14:schemeClr w14:val="tx1"/>
            </w14:solidFill>
          </w14:textFill>
        </w:rPr>
      </w:pPr>
      <w:r>
        <w:rPr>
          <w:rFonts w:hint="eastAsia" w:ascii="Times New Roman" w:hAnsi="Times New Roman" w:eastAsia="宋体" w:cs="宋体"/>
          <w:b/>
          <w:bCs/>
          <w:color w:val="000000" w:themeColor="text1"/>
          <w:spacing w:val="0"/>
          <w:szCs w:val="21"/>
          <w:highlight w:val="none"/>
          <w14:textFill>
            <w14:solidFill>
              <w14:schemeClr w14:val="tx1"/>
            </w14:solidFill>
          </w14:textFill>
        </w:rPr>
        <w:t>（5）与供应商有其他可能影响政府采购活动公平、公正进行的关系。</w:t>
      </w:r>
    </w:p>
    <w:p w14:paraId="6E5DB929">
      <w:pPr>
        <w:pageBreakBefore w:val="0"/>
        <w:widowControl w:val="0"/>
        <w:kinsoku/>
        <w:wordWrap/>
        <w:overflowPunct/>
        <w:topLinePunct w:val="0"/>
        <w:autoSpaceDE/>
        <w:autoSpaceDN/>
        <w:bidi w:val="0"/>
        <w:spacing w:line="360" w:lineRule="auto"/>
        <w:ind w:firstLine="422" w:firstLineChars="200"/>
        <w:rPr>
          <w:rFonts w:hint="eastAsia" w:ascii="Times New Roman" w:hAnsi="Times New Roman" w:eastAsia="宋体" w:cs="宋体"/>
          <w:b/>
          <w:bCs/>
          <w:color w:val="000000" w:themeColor="text1"/>
          <w:spacing w:val="0"/>
          <w:szCs w:val="21"/>
          <w:highlight w:val="none"/>
          <w14:textFill>
            <w14:solidFill>
              <w14:schemeClr w14:val="tx1"/>
            </w14:solidFill>
          </w14:textFill>
        </w:rPr>
      </w:pPr>
      <w:r>
        <w:rPr>
          <w:rFonts w:hint="eastAsia" w:ascii="Times New Roman" w:hAnsi="Times New Roman" w:eastAsia="宋体" w:cs="宋体"/>
          <w:b/>
          <w:bCs/>
          <w:color w:val="000000" w:themeColor="text1"/>
          <w:spacing w:val="0"/>
          <w:szCs w:val="21"/>
          <w:highlight w:val="none"/>
          <w14:textFill>
            <w14:solidFill>
              <w14:schemeClr w14:val="tx1"/>
            </w14:solidFill>
          </w14:textFill>
        </w:rPr>
        <w:t>供应商认为采购人员及相关人员与其他供应商有利害关系的，可以向采购人或者采购代理机构书面提出回避申请，并说明理由。采购人或者采购代理机构应当及时询问被申请回避人员，有利害关系的被申请回避人员应当回避。</w:t>
      </w:r>
    </w:p>
    <w:p w14:paraId="6D471EC2">
      <w:pPr>
        <w:pageBreakBefore w:val="0"/>
        <w:widowControl w:val="0"/>
        <w:kinsoku/>
        <w:wordWrap/>
        <w:overflowPunct/>
        <w:topLinePunct w:val="0"/>
        <w:autoSpaceDE/>
        <w:autoSpaceDN/>
        <w:bidi w:val="0"/>
        <w:spacing w:line="360" w:lineRule="auto"/>
        <w:ind w:firstLine="422" w:firstLineChars="200"/>
        <w:rPr>
          <w:rFonts w:hint="eastAsia" w:ascii="Times New Roman" w:hAnsi="Times New Roman" w:eastAsia="宋体" w:cs="宋体"/>
          <w:b/>
          <w:bCs/>
          <w:color w:val="000000" w:themeColor="text1"/>
          <w:spacing w:val="0"/>
          <w:szCs w:val="21"/>
          <w:highlight w:val="none"/>
          <w14:textFill>
            <w14:solidFill>
              <w14:schemeClr w14:val="tx1"/>
            </w14:solidFill>
          </w14:textFill>
        </w:rPr>
      </w:pPr>
      <w:r>
        <w:rPr>
          <w:rFonts w:hint="eastAsia" w:ascii="Times New Roman" w:hAnsi="Times New Roman" w:eastAsia="宋体" w:cs="宋体"/>
          <w:b/>
          <w:bCs/>
          <w:color w:val="000000" w:themeColor="text1"/>
          <w:spacing w:val="0"/>
          <w:szCs w:val="21"/>
          <w:highlight w:val="none"/>
          <w14:textFill>
            <w14:solidFill>
              <w14:schemeClr w14:val="tx1"/>
            </w14:solidFill>
          </w14:textFill>
        </w:rPr>
        <w:t>7.5有下列情形之一的视为供应商相互串通竞标，响应文件将被视为无效：</w:t>
      </w:r>
    </w:p>
    <w:p w14:paraId="4F4E2E0F">
      <w:pPr>
        <w:pageBreakBefore w:val="0"/>
        <w:widowControl w:val="0"/>
        <w:kinsoku/>
        <w:wordWrap/>
        <w:overflowPunct/>
        <w:topLinePunct w:val="0"/>
        <w:autoSpaceDE/>
        <w:autoSpaceDN/>
        <w:bidi w:val="0"/>
        <w:spacing w:line="360" w:lineRule="auto"/>
        <w:ind w:firstLine="422" w:firstLineChars="200"/>
        <w:rPr>
          <w:rFonts w:hint="eastAsia" w:ascii="Times New Roman" w:hAnsi="Times New Roman" w:eastAsia="宋体" w:cs="宋体"/>
          <w:b/>
          <w:bCs/>
          <w:color w:val="000000" w:themeColor="text1"/>
          <w:spacing w:val="0"/>
          <w:szCs w:val="21"/>
          <w:highlight w:val="none"/>
          <w14:textFill>
            <w14:solidFill>
              <w14:schemeClr w14:val="tx1"/>
            </w14:solidFill>
          </w14:textFill>
        </w:rPr>
      </w:pPr>
      <w:r>
        <w:rPr>
          <w:rFonts w:hint="eastAsia" w:ascii="Times New Roman" w:hAnsi="Times New Roman" w:eastAsia="宋体" w:cs="宋体"/>
          <w:b/>
          <w:bCs/>
          <w:color w:val="000000" w:themeColor="text1"/>
          <w:spacing w:val="0"/>
          <w:szCs w:val="21"/>
          <w:highlight w:val="none"/>
          <w14:textFill>
            <w14:solidFill>
              <w14:schemeClr w14:val="tx1"/>
            </w14:solidFill>
          </w14:textFill>
        </w:rPr>
        <w:t>（1）不同供应商的响应文件由同一单位或者个人编制；或者不同供应商报名的IP地址一致的；</w:t>
      </w:r>
    </w:p>
    <w:p w14:paraId="15CB3D56">
      <w:pPr>
        <w:pageBreakBefore w:val="0"/>
        <w:widowControl w:val="0"/>
        <w:kinsoku/>
        <w:wordWrap/>
        <w:overflowPunct/>
        <w:topLinePunct w:val="0"/>
        <w:autoSpaceDE/>
        <w:autoSpaceDN/>
        <w:bidi w:val="0"/>
        <w:spacing w:line="360" w:lineRule="auto"/>
        <w:ind w:firstLine="422" w:firstLineChars="200"/>
        <w:rPr>
          <w:rFonts w:hint="eastAsia" w:ascii="Times New Roman" w:hAnsi="Times New Roman" w:eastAsia="宋体" w:cs="宋体"/>
          <w:b/>
          <w:bCs/>
          <w:color w:val="000000" w:themeColor="text1"/>
          <w:spacing w:val="0"/>
          <w:szCs w:val="21"/>
          <w:highlight w:val="none"/>
          <w14:textFill>
            <w14:solidFill>
              <w14:schemeClr w14:val="tx1"/>
            </w14:solidFill>
          </w14:textFill>
        </w:rPr>
      </w:pPr>
      <w:r>
        <w:rPr>
          <w:rFonts w:hint="eastAsia" w:ascii="Times New Roman" w:hAnsi="Times New Roman" w:eastAsia="宋体" w:cs="宋体"/>
          <w:b/>
          <w:bCs/>
          <w:color w:val="000000" w:themeColor="text1"/>
          <w:spacing w:val="0"/>
          <w:szCs w:val="21"/>
          <w:highlight w:val="none"/>
          <w14:textFill>
            <w14:solidFill>
              <w14:schemeClr w14:val="tx1"/>
            </w14:solidFill>
          </w14:textFill>
        </w:rPr>
        <w:t>（2）不同供应商委托同一单位或者个人办理竞标事宜；</w:t>
      </w:r>
    </w:p>
    <w:p w14:paraId="2AE47987">
      <w:pPr>
        <w:pageBreakBefore w:val="0"/>
        <w:widowControl w:val="0"/>
        <w:kinsoku/>
        <w:wordWrap/>
        <w:overflowPunct/>
        <w:topLinePunct w:val="0"/>
        <w:autoSpaceDE/>
        <w:autoSpaceDN/>
        <w:bidi w:val="0"/>
        <w:spacing w:line="360" w:lineRule="auto"/>
        <w:ind w:firstLine="422" w:firstLineChars="200"/>
        <w:rPr>
          <w:rFonts w:hint="eastAsia" w:ascii="Times New Roman" w:hAnsi="Times New Roman" w:eastAsia="宋体" w:cs="宋体"/>
          <w:b/>
          <w:bCs/>
          <w:color w:val="000000" w:themeColor="text1"/>
          <w:spacing w:val="0"/>
          <w:szCs w:val="21"/>
          <w:highlight w:val="none"/>
          <w14:textFill>
            <w14:solidFill>
              <w14:schemeClr w14:val="tx1"/>
            </w14:solidFill>
          </w14:textFill>
        </w:rPr>
      </w:pPr>
      <w:r>
        <w:rPr>
          <w:rFonts w:hint="eastAsia" w:ascii="Times New Roman" w:hAnsi="Times New Roman" w:eastAsia="宋体" w:cs="宋体"/>
          <w:b/>
          <w:bCs/>
          <w:color w:val="000000" w:themeColor="text1"/>
          <w:spacing w:val="0"/>
          <w:szCs w:val="21"/>
          <w:highlight w:val="none"/>
          <w14:textFill>
            <w14:solidFill>
              <w14:schemeClr w14:val="tx1"/>
            </w14:solidFill>
          </w14:textFill>
        </w:rPr>
        <w:t>（3）不同的供应商的响应文件载明的项目管理员为同一个人；</w:t>
      </w:r>
    </w:p>
    <w:p w14:paraId="416F46B3">
      <w:pPr>
        <w:pageBreakBefore w:val="0"/>
        <w:widowControl w:val="0"/>
        <w:kinsoku/>
        <w:wordWrap/>
        <w:overflowPunct/>
        <w:topLinePunct w:val="0"/>
        <w:autoSpaceDE/>
        <w:autoSpaceDN/>
        <w:bidi w:val="0"/>
        <w:spacing w:line="360" w:lineRule="auto"/>
        <w:ind w:firstLine="422" w:firstLineChars="200"/>
        <w:rPr>
          <w:rFonts w:hint="eastAsia" w:ascii="Times New Roman" w:hAnsi="Times New Roman" w:eastAsia="宋体" w:cs="宋体"/>
          <w:b/>
          <w:bCs/>
          <w:color w:val="000000" w:themeColor="text1"/>
          <w:spacing w:val="0"/>
          <w:szCs w:val="21"/>
          <w:highlight w:val="none"/>
          <w14:textFill>
            <w14:solidFill>
              <w14:schemeClr w14:val="tx1"/>
            </w14:solidFill>
          </w14:textFill>
        </w:rPr>
      </w:pPr>
      <w:r>
        <w:rPr>
          <w:rFonts w:hint="eastAsia" w:ascii="Times New Roman" w:hAnsi="Times New Roman" w:eastAsia="宋体" w:cs="宋体"/>
          <w:b/>
          <w:bCs/>
          <w:color w:val="000000" w:themeColor="text1"/>
          <w:spacing w:val="0"/>
          <w:szCs w:val="21"/>
          <w:highlight w:val="none"/>
          <w14:textFill>
            <w14:solidFill>
              <w14:schemeClr w14:val="tx1"/>
            </w14:solidFill>
          </w14:textFill>
        </w:rPr>
        <w:t>（4）不同供应商的响应文件异常一致或者报价呈规律性差异；</w:t>
      </w:r>
    </w:p>
    <w:p w14:paraId="641AA1B5">
      <w:pPr>
        <w:pageBreakBefore w:val="0"/>
        <w:widowControl w:val="0"/>
        <w:kinsoku/>
        <w:wordWrap/>
        <w:overflowPunct/>
        <w:topLinePunct w:val="0"/>
        <w:autoSpaceDE/>
        <w:autoSpaceDN/>
        <w:bidi w:val="0"/>
        <w:spacing w:line="360" w:lineRule="auto"/>
        <w:ind w:firstLine="422" w:firstLineChars="200"/>
        <w:rPr>
          <w:rFonts w:hint="eastAsia" w:ascii="Times New Roman" w:hAnsi="Times New Roman" w:eastAsia="宋体" w:cs="宋体"/>
          <w:b/>
          <w:bCs/>
          <w:color w:val="000000" w:themeColor="text1"/>
          <w:spacing w:val="0"/>
          <w:szCs w:val="21"/>
          <w:highlight w:val="none"/>
          <w14:textFill>
            <w14:solidFill>
              <w14:schemeClr w14:val="tx1"/>
            </w14:solidFill>
          </w14:textFill>
        </w:rPr>
      </w:pPr>
      <w:r>
        <w:rPr>
          <w:rFonts w:hint="eastAsia" w:ascii="Times New Roman" w:hAnsi="Times New Roman" w:eastAsia="宋体" w:cs="宋体"/>
          <w:b/>
          <w:bCs/>
          <w:color w:val="000000" w:themeColor="text1"/>
          <w:spacing w:val="0"/>
          <w:szCs w:val="21"/>
          <w:highlight w:val="none"/>
          <w14:textFill>
            <w14:solidFill>
              <w14:schemeClr w14:val="tx1"/>
            </w14:solidFill>
          </w14:textFill>
        </w:rPr>
        <w:t>（5）不同供应商的响应文件相互混装；</w:t>
      </w:r>
    </w:p>
    <w:p w14:paraId="0EAF0FB4">
      <w:pPr>
        <w:pageBreakBefore w:val="0"/>
        <w:widowControl w:val="0"/>
        <w:tabs>
          <w:tab w:val="left" w:pos="6931"/>
        </w:tabs>
        <w:kinsoku/>
        <w:wordWrap/>
        <w:overflowPunct/>
        <w:topLinePunct w:val="0"/>
        <w:autoSpaceDE/>
        <w:autoSpaceDN/>
        <w:bidi w:val="0"/>
        <w:spacing w:line="360" w:lineRule="auto"/>
        <w:ind w:firstLine="422" w:firstLineChars="200"/>
        <w:rPr>
          <w:rFonts w:hint="eastAsia" w:ascii="Times New Roman" w:hAnsi="Times New Roman" w:eastAsia="宋体" w:cs="宋体"/>
          <w:b/>
          <w:bCs/>
          <w:color w:val="000000" w:themeColor="text1"/>
          <w:spacing w:val="0"/>
          <w:szCs w:val="21"/>
          <w:highlight w:val="none"/>
          <w14:textFill>
            <w14:solidFill>
              <w14:schemeClr w14:val="tx1"/>
            </w14:solidFill>
          </w14:textFill>
        </w:rPr>
      </w:pPr>
      <w:r>
        <w:rPr>
          <w:rFonts w:hint="eastAsia" w:ascii="Times New Roman" w:hAnsi="Times New Roman" w:eastAsia="宋体" w:cs="宋体"/>
          <w:b/>
          <w:bCs/>
          <w:color w:val="000000" w:themeColor="text1"/>
          <w:spacing w:val="0"/>
          <w:szCs w:val="21"/>
          <w:highlight w:val="none"/>
          <w14:textFill>
            <w14:solidFill>
              <w14:schemeClr w14:val="tx1"/>
            </w14:solidFill>
          </w14:textFill>
        </w:rPr>
        <w:t>（6）不同供应商的磋商保证金从同一单位或者个人账户转出。</w:t>
      </w:r>
      <w:r>
        <w:rPr>
          <w:rFonts w:hint="eastAsia" w:ascii="Times New Roman" w:hAnsi="Times New Roman" w:eastAsia="宋体" w:cs="宋体"/>
          <w:b/>
          <w:bCs/>
          <w:color w:val="000000" w:themeColor="text1"/>
          <w:spacing w:val="0"/>
          <w:szCs w:val="21"/>
          <w:highlight w:val="none"/>
          <w14:textFill>
            <w14:solidFill>
              <w14:schemeClr w14:val="tx1"/>
            </w14:solidFill>
          </w14:textFill>
        </w:rPr>
        <w:tab/>
      </w:r>
    </w:p>
    <w:p w14:paraId="6FE158E5">
      <w:pPr>
        <w:pageBreakBefore w:val="0"/>
        <w:widowControl w:val="0"/>
        <w:kinsoku/>
        <w:wordWrap/>
        <w:overflowPunct/>
        <w:topLinePunct w:val="0"/>
        <w:autoSpaceDE/>
        <w:autoSpaceDN/>
        <w:bidi w:val="0"/>
        <w:spacing w:line="360" w:lineRule="auto"/>
        <w:ind w:firstLine="422" w:firstLineChars="200"/>
        <w:rPr>
          <w:rFonts w:hint="eastAsia" w:ascii="Times New Roman" w:hAnsi="Times New Roman" w:eastAsia="宋体" w:cs="宋体"/>
          <w:b/>
          <w:bCs/>
          <w:color w:val="000000" w:themeColor="text1"/>
          <w:spacing w:val="0"/>
          <w:szCs w:val="21"/>
          <w:highlight w:val="none"/>
          <w14:textFill>
            <w14:solidFill>
              <w14:schemeClr w14:val="tx1"/>
            </w14:solidFill>
          </w14:textFill>
        </w:rPr>
      </w:pPr>
      <w:r>
        <w:rPr>
          <w:rFonts w:hint="eastAsia" w:ascii="Times New Roman" w:hAnsi="Times New Roman" w:eastAsia="宋体" w:cs="宋体"/>
          <w:b/>
          <w:bCs/>
          <w:color w:val="000000" w:themeColor="text1"/>
          <w:spacing w:val="0"/>
          <w:szCs w:val="21"/>
          <w:highlight w:val="none"/>
          <w14:textFill>
            <w14:solidFill>
              <w14:schemeClr w14:val="tx1"/>
            </w14:solidFill>
          </w14:textFill>
        </w:rPr>
        <w:t>7.6供应商有下列情形之一的，属于恶意串通行为，将报同级监督管理部门：</w:t>
      </w:r>
    </w:p>
    <w:p w14:paraId="1F8E2057">
      <w:pPr>
        <w:pageBreakBefore w:val="0"/>
        <w:widowControl w:val="0"/>
        <w:kinsoku/>
        <w:wordWrap/>
        <w:overflowPunct/>
        <w:topLinePunct w:val="0"/>
        <w:autoSpaceDE/>
        <w:autoSpaceDN/>
        <w:bidi w:val="0"/>
        <w:spacing w:line="360" w:lineRule="auto"/>
        <w:ind w:firstLine="422" w:firstLineChars="200"/>
        <w:rPr>
          <w:rFonts w:hint="eastAsia" w:ascii="Times New Roman" w:hAnsi="Times New Roman" w:eastAsia="宋体" w:cs="宋体"/>
          <w:b/>
          <w:bCs/>
          <w:color w:val="000000" w:themeColor="text1"/>
          <w:spacing w:val="0"/>
          <w:szCs w:val="21"/>
          <w:highlight w:val="none"/>
          <w14:textFill>
            <w14:solidFill>
              <w14:schemeClr w14:val="tx1"/>
            </w14:solidFill>
          </w14:textFill>
        </w:rPr>
      </w:pPr>
      <w:r>
        <w:rPr>
          <w:rFonts w:hint="eastAsia" w:ascii="Times New Roman" w:hAnsi="Times New Roman" w:eastAsia="宋体" w:cs="宋体"/>
          <w:b/>
          <w:bCs/>
          <w:color w:val="000000" w:themeColor="text1"/>
          <w:spacing w:val="0"/>
          <w:szCs w:val="21"/>
          <w:highlight w:val="none"/>
          <w14:textFill>
            <w14:solidFill>
              <w14:schemeClr w14:val="tx1"/>
            </w14:solidFill>
          </w14:textFill>
        </w:rPr>
        <w:t>（1）供应商直接或者间接从采购人或者采购代理机构处获得其他供应商的相关信息并修改其响应文件；</w:t>
      </w:r>
    </w:p>
    <w:p w14:paraId="7D7EFE9F">
      <w:pPr>
        <w:pageBreakBefore w:val="0"/>
        <w:widowControl w:val="0"/>
        <w:kinsoku/>
        <w:wordWrap/>
        <w:overflowPunct/>
        <w:topLinePunct w:val="0"/>
        <w:autoSpaceDE/>
        <w:autoSpaceDN/>
        <w:bidi w:val="0"/>
        <w:spacing w:line="360" w:lineRule="auto"/>
        <w:ind w:firstLine="422" w:firstLineChars="200"/>
        <w:rPr>
          <w:rFonts w:hint="eastAsia" w:ascii="Times New Roman" w:hAnsi="Times New Roman" w:eastAsia="宋体" w:cs="宋体"/>
          <w:b/>
          <w:bCs/>
          <w:color w:val="000000" w:themeColor="text1"/>
          <w:spacing w:val="0"/>
          <w:szCs w:val="21"/>
          <w:highlight w:val="none"/>
          <w14:textFill>
            <w14:solidFill>
              <w14:schemeClr w14:val="tx1"/>
            </w14:solidFill>
          </w14:textFill>
        </w:rPr>
      </w:pPr>
      <w:r>
        <w:rPr>
          <w:rFonts w:hint="eastAsia" w:ascii="Times New Roman" w:hAnsi="Times New Roman" w:eastAsia="宋体" w:cs="宋体"/>
          <w:b/>
          <w:bCs/>
          <w:color w:val="000000" w:themeColor="text1"/>
          <w:spacing w:val="0"/>
          <w:szCs w:val="21"/>
          <w:highlight w:val="none"/>
          <w14:textFill>
            <w14:solidFill>
              <w14:schemeClr w14:val="tx1"/>
            </w14:solidFill>
          </w14:textFill>
        </w:rPr>
        <w:t>（2）供应商按照采购人或者采购代理机构的授意撤换、修改响应文件；</w:t>
      </w:r>
    </w:p>
    <w:p w14:paraId="3815F7B7">
      <w:pPr>
        <w:pageBreakBefore w:val="0"/>
        <w:widowControl w:val="0"/>
        <w:kinsoku/>
        <w:wordWrap/>
        <w:overflowPunct/>
        <w:topLinePunct w:val="0"/>
        <w:autoSpaceDE/>
        <w:autoSpaceDN/>
        <w:bidi w:val="0"/>
        <w:spacing w:line="360" w:lineRule="auto"/>
        <w:ind w:firstLine="422" w:firstLineChars="200"/>
        <w:rPr>
          <w:rFonts w:hint="eastAsia" w:ascii="Times New Roman" w:hAnsi="Times New Roman" w:eastAsia="宋体" w:cs="宋体"/>
          <w:b/>
          <w:bCs/>
          <w:color w:val="000000" w:themeColor="text1"/>
          <w:spacing w:val="0"/>
          <w:szCs w:val="21"/>
          <w:highlight w:val="none"/>
          <w14:textFill>
            <w14:solidFill>
              <w14:schemeClr w14:val="tx1"/>
            </w14:solidFill>
          </w14:textFill>
        </w:rPr>
      </w:pPr>
      <w:r>
        <w:rPr>
          <w:rFonts w:hint="eastAsia" w:ascii="Times New Roman" w:hAnsi="Times New Roman" w:eastAsia="宋体" w:cs="宋体"/>
          <w:b/>
          <w:bCs/>
          <w:color w:val="000000" w:themeColor="text1"/>
          <w:spacing w:val="0"/>
          <w:szCs w:val="21"/>
          <w:highlight w:val="none"/>
          <w14:textFill>
            <w14:solidFill>
              <w14:schemeClr w14:val="tx1"/>
            </w14:solidFill>
          </w14:textFill>
        </w:rPr>
        <w:t>（3）供应商之间协商报价、技术方案等响应文件的实质性内容；</w:t>
      </w:r>
    </w:p>
    <w:p w14:paraId="7ABC932F">
      <w:pPr>
        <w:pageBreakBefore w:val="0"/>
        <w:widowControl w:val="0"/>
        <w:kinsoku/>
        <w:wordWrap/>
        <w:overflowPunct/>
        <w:topLinePunct w:val="0"/>
        <w:autoSpaceDE/>
        <w:autoSpaceDN/>
        <w:bidi w:val="0"/>
        <w:spacing w:line="360" w:lineRule="auto"/>
        <w:ind w:firstLine="422" w:firstLineChars="200"/>
        <w:rPr>
          <w:rFonts w:hint="eastAsia" w:ascii="Times New Roman" w:hAnsi="Times New Roman" w:eastAsia="宋体" w:cs="宋体"/>
          <w:b/>
          <w:bCs/>
          <w:color w:val="000000" w:themeColor="text1"/>
          <w:spacing w:val="0"/>
          <w:szCs w:val="21"/>
          <w:highlight w:val="none"/>
          <w14:textFill>
            <w14:solidFill>
              <w14:schemeClr w14:val="tx1"/>
            </w14:solidFill>
          </w14:textFill>
        </w:rPr>
      </w:pPr>
      <w:r>
        <w:rPr>
          <w:rFonts w:hint="eastAsia" w:ascii="Times New Roman" w:hAnsi="Times New Roman" w:eastAsia="宋体" w:cs="宋体"/>
          <w:b/>
          <w:bCs/>
          <w:color w:val="000000" w:themeColor="text1"/>
          <w:spacing w:val="0"/>
          <w:szCs w:val="21"/>
          <w:highlight w:val="none"/>
          <w14:textFill>
            <w14:solidFill>
              <w14:schemeClr w14:val="tx1"/>
            </w14:solidFill>
          </w14:textFill>
        </w:rPr>
        <w:t>（4）属于同一集团、协会、商会等组织成员的供应商按照该组织要求协同参加政府采购活动；</w:t>
      </w:r>
    </w:p>
    <w:p w14:paraId="5683732D">
      <w:pPr>
        <w:pageBreakBefore w:val="0"/>
        <w:widowControl w:val="0"/>
        <w:kinsoku/>
        <w:wordWrap/>
        <w:overflowPunct/>
        <w:topLinePunct w:val="0"/>
        <w:autoSpaceDE/>
        <w:autoSpaceDN/>
        <w:bidi w:val="0"/>
        <w:spacing w:line="360" w:lineRule="auto"/>
        <w:ind w:firstLine="422" w:firstLineChars="200"/>
        <w:rPr>
          <w:rFonts w:hint="eastAsia" w:ascii="Times New Roman" w:hAnsi="Times New Roman" w:eastAsia="宋体" w:cs="宋体"/>
          <w:b/>
          <w:bCs/>
          <w:color w:val="000000" w:themeColor="text1"/>
          <w:spacing w:val="0"/>
          <w:szCs w:val="21"/>
          <w:highlight w:val="none"/>
          <w14:textFill>
            <w14:solidFill>
              <w14:schemeClr w14:val="tx1"/>
            </w14:solidFill>
          </w14:textFill>
        </w:rPr>
      </w:pPr>
      <w:r>
        <w:rPr>
          <w:rFonts w:hint="eastAsia" w:ascii="Times New Roman" w:hAnsi="Times New Roman" w:eastAsia="宋体" w:cs="宋体"/>
          <w:b/>
          <w:bCs/>
          <w:color w:val="000000" w:themeColor="text1"/>
          <w:spacing w:val="0"/>
          <w:szCs w:val="21"/>
          <w:highlight w:val="none"/>
          <w14:textFill>
            <w14:solidFill>
              <w14:schemeClr w14:val="tx1"/>
            </w14:solidFill>
          </w14:textFill>
        </w:rPr>
        <w:t>（5）供应商之间事先约定一致抬高或者压低报价，或者在政府采购活动中事先约定轮流以高价位或者低价位成交，或者事先约定由某一特定供应商成交，然后再参加竞标；</w:t>
      </w:r>
    </w:p>
    <w:p w14:paraId="3532F7B3">
      <w:pPr>
        <w:pageBreakBefore w:val="0"/>
        <w:widowControl w:val="0"/>
        <w:kinsoku/>
        <w:wordWrap/>
        <w:overflowPunct/>
        <w:topLinePunct w:val="0"/>
        <w:autoSpaceDE/>
        <w:autoSpaceDN/>
        <w:bidi w:val="0"/>
        <w:spacing w:line="360" w:lineRule="auto"/>
        <w:ind w:firstLine="422" w:firstLineChars="200"/>
        <w:rPr>
          <w:rFonts w:hint="eastAsia" w:ascii="Times New Roman" w:hAnsi="Times New Roman" w:eastAsia="宋体" w:cs="宋体"/>
          <w:b/>
          <w:bCs/>
          <w:color w:val="000000" w:themeColor="text1"/>
          <w:spacing w:val="0"/>
          <w:szCs w:val="21"/>
          <w:highlight w:val="none"/>
          <w14:textFill>
            <w14:solidFill>
              <w14:schemeClr w14:val="tx1"/>
            </w14:solidFill>
          </w14:textFill>
        </w:rPr>
      </w:pPr>
      <w:r>
        <w:rPr>
          <w:rFonts w:hint="eastAsia" w:ascii="Times New Roman" w:hAnsi="Times New Roman" w:eastAsia="宋体" w:cs="宋体"/>
          <w:b/>
          <w:bCs/>
          <w:color w:val="000000" w:themeColor="text1"/>
          <w:spacing w:val="0"/>
          <w:szCs w:val="21"/>
          <w:highlight w:val="none"/>
          <w14:textFill>
            <w14:solidFill>
              <w14:schemeClr w14:val="tx1"/>
            </w14:solidFill>
          </w14:textFill>
        </w:rPr>
        <w:t>（6）供应商之间商定部分供应商放弃参加政府采购活动或者放弃成交；</w:t>
      </w:r>
    </w:p>
    <w:p w14:paraId="1F2A7052">
      <w:pPr>
        <w:pageBreakBefore w:val="0"/>
        <w:widowControl w:val="0"/>
        <w:kinsoku/>
        <w:wordWrap/>
        <w:overflowPunct/>
        <w:topLinePunct w:val="0"/>
        <w:autoSpaceDE/>
        <w:autoSpaceDN/>
        <w:bidi w:val="0"/>
        <w:spacing w:line="360" w:lineRule="auto"/>
        <w:ind w:firstLine="422" w:firstLineChars="200"/>
        <w:rPr>
          <w:rFonts w:hint="eastAsia" w:ascii="Times New Roman" w:hAnsi="Times New Roman" w:eastAsia="宋体" w:cs="宋体"/>
          <w:b/>
          <w:bCs/>
          <w:color w:val="000000" w:themeColor="text1"/>
          <w:spacing w:val="0"/>
          <w:szCs w:val="21"/>
          <w:highlight w:val="none"/>
          <w14:textFill>
            <w14:solidFill>
              <w14:schemeClr w14:val="tx1"/>
            </w14:solidFill>
          </w14:textFill>
        </w:rPr>
      </w:pPr>
      <w:r>
        <w:rPr>
          <w:rFonts w:hint="eastAsia" w:ascii="Times New Roman" w:hAnsi="Times New Roman" w:eastAsia="宋体" w:cs="宋体"/>
          <w:b/>
          <w:bCs/>
          <w:color w:val="000000" w:themeColor="text1"/>
          <w:spacing w:val="0"/>
          <w:szCs w:val="21"/>
          <w:highlight w:val="none"/>
          <w14:textFill>
            <w14:solidFill>
              <w14:schemeClr w14:val="tx1"/>
            </w14:solidFill>
          </w14:textFill>
        </w:rPr>
        <w:t>（7）供应商与采购人或者采购代理机构之间、供应商相互之间，为谋求特定供应商成交或者排斥其他供应商的其他串通行为。</w:t>
      </w:r>
    </w:p>
    <w:p w14:paraId="627B7321">
      <w:pPr>
        <w:pStyle w:val="5"/>
        <w:keepNext/>
        <w:keepLines/>
        <w:pageBreakBefore w:val="0"/>
        <w:widowControl w:val="0"/>
        <w:kinsoku/>
        <w:wordWrap/>
        <w:overflowPunct/>
        <w:topLinePunct w:val="0"/>
        <w:autoSpaceDE/>
        <w:autoSpaceDN/>
        <w:bidi w:val="0"/>
        <w:adjustRightInd/>
        <w:snapToGrid/>
        <w:spacing w:before="0" w:beforeLines="50" w:after="0" w:line="360" w:lineRule="auto"/>
        <w:jc w:val="center"/>
        <w:textAlignment w:val="auto"/>
        <w:rPr>
          <w:rFonts w:hint="eastAsia" w:ascii="Times New Roman" w:hAnsi="Times New Roman" w:eastAsia="宋体" w:cs="宋体"/>
          <w:bCs w:val="0"/>
          <w:color w:val="000000" w:themeColor="text1"/>
          <w:spacing w:val="0"/>
          <w:sz w:val="24"/>
          <w:szCs w:val="24"/>
          <w:highlight w:val="none"/>
          <w14:textFill>
            <w14:solidFill>
              <w14:schemeClr w14:val="tx1"/>
            </w14:solidFill>
          </w14:textFill>
        </w:rPr>
      </w:pPr>
      <w:bookmarkStart w:id="97" w:name="_Toc254970675"/>
      <w:bookmarkStart w:id="98" w:name="_Toc12713"/>
      <w:bookmarkStart w:id="99" w:name="_Toc254970534"/>
      <w:bookmarkStart w:id="100" w:name="_Toc25702"/>
      <w:bookmarkStart w:id="101" w:name="_Toc27583"/>
      <w:bookmarkStart w:id="102" w:name="_Toc80886931"/>
      <w:r>
        <w:rPr>
          <w:rFonts w:hint="eastAsia" w:ascii="Times New Roman" w:hAnsi="Times New Roman" w:eastAsia="宋体" w:cs="宋体"/>
          <w:bCs w:val="0"/>
          <w:color w:val="000000" w:themeColor="text1"/>
          <w:spacing w:val="0"/>
          <w:sz w:val="24"/>
          <w:szCs w:val="24"/>
          <w:highlight w:val="none"/>
          <w14:textFill>
            <w14:solidFill>
              <w14:schemeClr w14:val="tx1"/>
            </w14:solidFill>
          </w14:textFill>
        </w:rPr>
        <w:t>二、磋商文件</w:t>
      </w:r>
      <w:bookmarkEnd w:id="97"/>
      <w:bookmarkEnd w:id="98"/>
      <w:bookmarkEnd w:id="99"/>
      <w:bookmarkEnd w:id="100"/>
      <w:bookmarkEnd w:id="101"/>
      <w:bookmarkEnd w:id="102"/>
    </w:p>
    <w:p w14:paraId="1AA45CA1">
      <w:pPr>
        <w:pageBreakBefore w:val="0"/>
        <w:widowControl w:val="0"/>
        <w:kinsoku/>
        <w:wordWrap/>
        <w:overflowPunct/>
        <w:topLinePunct w:val="0"/>
        <w:autoSpaceDE/>
        <w:autoSpaceDN/>
        <w:bidi w:val="0"/>
        <w:spacing w:line="360" w:lineRule="auto"/>
        <w:outlineLvl w:val="2"/>
        <w:rPr>
          <w:rFonts w:hint="eastAsia" w:ascii="Times New Roman" w:hAnsi="Times New Roman" w:eastAsia="宋体" w:cs="宋体"/>
          <w:b/>
          <w:bCs/>
          <w:color w:val="000000" w:themeColor="text1"/>
          <w:spacing w:val="0"/>
          <w:sz w:val="21"/>
          <w:szCs w:val="21"/>
          <w:highlight w:val="none"/>
          <w14:textFill>
            <w14:solidFill>
              <w14:schemeClr w14:val="tx1"/>
            </w14:solidFill>
          </w14:textFill>
        </w:rPr>
      </w:pPr>
      <w:bookmarkStart w:id="103" w:name="_Toc9490"/>
      <w:r>
        <w:rPr>
          <w:rFonts w:hint="eastAsia" w:ascii="Times New Roman" w:hAnsi="Times New Roman" w:eastAsia="宋体" w:cs="宋体"/>
          <w:b/>
          <w:bCs/>
          <w:color w:val="000000" w:themeColor="text1"/>
          <w:spacing w:val="0"/>
          <w:sz w:val="21"/>
          <w:szCs w:val="21"/>
          <w:highlight w:val="none"/>
          <w14:textFill>
            <w14:solidFill>
              <w14:schemeClr w14:val="tx1"/>
            </w14:solidFill>
          </w14:textFill>
        </w:rPr>
        <w:t>8.磋商文件的构成</w:t>
      </w:r>
      <w:bookmarkEnd w:id="103"/>
    </w:p>
    <w:p w14:paraId="68778969">
      <w:pPr>
        <w:pageBreakBefore w:val="0"/>
        <w:widowControl w:val="0"/>
        <w:kinsoku/>
        <w:wordWrap/>
        <w:overflowPunct/>
        <w:topLinePunct w:val="0"/>
        <w:autoSpaceDE/>
        <w:autoSpaceDN/>
        <w:bidi w:val="0"/>
        <w:spacing w:line="360" w:lineRule="auto"/>
        <w:ind w:firstLine="420" w:firstLineChars="200"/>
        <w:jc w:val="left"/>
        <w:rPr>
          <w:rFonts w:hint="eastAsia" w:ascii="Times New Roman" w:hAnsi="Times New Roman" w:eastAsia="宋体" w:cs="宋体"/>
          <w:color w:val="000000" w:themeColor="text1"/>
          <w:spacing w:val="0"/>
          <w:szCs w:val="21"/>
          <w:highlight w:val="none"/>
          <w14:textFill>
            <w14:solidFill>
              <w14:schemeClr w14:val="tx1"/>
            </w14:solidFill>
          </w14:textFill>
        </w:rPr>
      </w:pPr>
      <w:r>
        <w:rPr>
          <w:rFonts w:hint="eastAsia" w:ascii="Times New Roman" w:hAnsi="Times New Roman" w:eastAsia="宋体" w:cs="宋体"/>
          <w:color w:val="000000" w:themeColor="text1"/>
          <w:spacing w:val="0"/>
          <w:szCs w:val="21"/>
          <w:highlight w:val="none"/>
          <w14:textFill>
            <w14:solidFill>
              <w14:schemeClr w14:val="tx1"/>
            </w14:solidFill>
          </w14:textFill>
        </w:rPr>
        <w:t>第一章 竞争性磋商公告；</w:t>
      </w:r>
    </w:p>
    <w:p w14:paraId="3BEC16E7">
      <w:pPr>
        <w:pageBreakBefore w:val="0"/>
        <w:widowControl w:val="0"/>
        <w:kinsoku/>
        <w:wordWrap/>
        <w:overflowPunct/>
        <w:topLinePunct w:val="0"/>
        <w:autoSpaceDE/>
        <w:autoSpaceDN/>
        <w:bidi w:val="0"/>
        <w:spacing w:line="360" w:lineRule="auto"/>
        <w:ind w:firstLine="420" w:firstLineChars="200"/>
        <w:jc w:val="left"/>
        <w:rPr>
          <w:rFonts w:hint="eastAsia" w:ascii="Times New Roman" w:hAnsi="Times New Roman" w:eastAsia="宋体" w:cs="宋体"/>
          <w:color w:val="000000" w:themeColor="text1"/>
          <w:spacing w:val="0"/>
          <w:szCs w:val="21"/>
          <w:highlight w:val="none"/>
          <w14:textFill>
            <w14:solidFill>
              <w14:schemeClr w14:val="tx1"/>
            </w14:solidFill>
          </w14:textFill>
        </w:rPr>
      </w:pPr>
      <w:r>
        <w:rPr>
          <w:rFonts w:hint="eastAsia" w:ascii="Times New Roman" w:hAnsi="Times New Roman" w:eastAsia="宋体" w:cs="宋体"/>
          <w:color w:val="000000" w:themeColor="text1"/>
          <w:spacing w:val="0"/>
          <w:szCs w:val="21"/>
          <w:highlight w:val="none"/>
          <w14:textFill>
            <w14:solidFill>
              <w14:schemeClr w14:val="tx1"/>
            </w14:solidFill>
          </w14:textFill>
        </w:rPr>
        <w:t>第二章 采购需求；</w:t>
      </w:r>
    </w:p>
    <w:p w14:paraId="287AE23F">
      <w:pPr>
        <w:pageBreakBefore w:val="0"/>
        <w:widowControl w:val="0"/>
        <w:kinsoku/>
        <w:wordWrap/>
        <w:overflowPunct/>
        <w:topLinePunct w:val="0"/>
        <w:autoSpaceDE/>
        <w:autoSpaceDN/>
        <w:bidi w:val="0"/>
        <w:spacing w:line="360" w:lineRule="auto"/>
        <w:ind w:firstLine="420" w:firstLineChars="200"/>
        <w:jc w:val="left"/>
        <w:rPr>
          <w:rFonts w:hint="eastAsia" w:ascii="Times New Roman" w:hAnsi="Times New Roman" w:eastAsia="宋体" w:cs="宋体"/>
          <w:color w:val="000000" w:themeColor="text1"/>
          <w:spacing w:val="0"/>
          <w:szCs w:val="21"/>
          <w:highlight w:val="none"/>
          <w14:textFill>
            <w14:solidFill>
              <w14:schemeClr w14:val="tx1"/>
            </w14:solidFill>
          </w14:textFill>
        </w:rPr>
      </w:pPr>
      <w:r>
        <w:rPr>
          <w:rFonts w:hint="eastAsia" w:ascii="Times New Roman" w:hAnsi="Times New Roman" w:eastAsia="宋体" w:cs="宋体"/>
          <w:color w:val="000000" w:themeColor="text1"/>
          <w:spacing w:val="0"/>
          <w:szCs w:val="21"/>
          <w:highlight w:val="none"/>
          <w14:textFill>
            <w14:solidFill>
              <w14:schemeClr w14:val="tx1"/>
            </w14:solidFill>
          </w14:textFill>
        </w:rPr>
        <w:t>第三章 供应商须知；</w:t>
      </w:r>
    </w:p>
    <w:p w14:paraId="36C74414">
      <w:pPr>
        <w:pageBreakBefore w:val="0"/>
        <w:widowControl w:val="0"/>
        <w:kinsoku/>
        <w:wordWrap/>
        <w:overflowPunct/>
        <w:topLinePunct w:val="0"/>
        <w:autoSpaceDE/>
        <w:autoSpaceDN/>
        <w:bidi w:val="0"/>
        <w:spacing w:line="360" w:lineRule="auto"/>
        <w:ind w:firstLine="420" w:firstLineChars="200"/>
        <w:jc w:val="left"/>
        <w:rPr>
          <w:rFonts w:hint="eastAsia" w:ascii="Times New Roman" w:hAnsi="Times New Roman" w:eastAsia="宋体" w:cs="宋体"/>
          <w:color w:val="000000" w:themeColor="text1"/>
          <w:spacing w:val="0"/>
          <w:szCs w:val="21"/>
          <w:highlight w:val="none"/>
          <w14:textFill>
            <w14:solidFill>
              <w14:schemeClr w14:val="tx1"/>
            </w14:solidFill>
          </w14:textFill>
        </w:rPr>
      </w:pPr>
      <w:r>
        <w:rPr>
          <w:rFonts w:hint="eastAsia" w:ascii="Times New Roman" w:hAnsi="Times New Roman" w:eastAsia="宋体" w:cs="宋体"/>
          <w:color w:val="000000" w:themeColor="text1"/>
          <w:spacing w:val="0"/>
          <w:szCs w:val="21"/>
          <w:highlight w:val="none"/>
          <w14:textFill>
            <w14:solidFill>
              <w14:schemeClr w14:val="tx1"/>
            </w14:solidFill>
          </w14:textFill>
        </w:rPr>
        <w:t>第四章 评审程序、评审方法和评审标准；</w:t>
      </w:r>
    </w:p>
    <w:p w14:paraId="51234478">
      <w:pPr>
        <w:pageBreakBefore w:val="0"/>
        <w:widowControl w:val="0"/>
        <w:kinsoku/>
        <w:wordWrap/>
        <w:overflowPunct/>
        <w:topLinePunct w:val="0"/>
        <w:autoSpaceDE/>
        <w:autoSpaceDN/>
        <w:bidi w:val="0"/>
        <w:spacing w:line="360" w:lineRule="auto"/>
        <w:ind w:firstLine="420" w:firstLineChars="200"/>
        <w:jc w:val="left"/>
        <w:rPr>
          <w:rFonts w:hint="eastAsia" w:ascii="Times New Roman" w:hAnsi="Times New Roman" w:eastAsia="宋体" w:cs="宋体"/>
          <w:color w:val="000000" w:themeColor="text1"/>
          <w:spacing w:val="0"/>
          <w:szCs w:val="21"/>
          <w:highlight w:val="none"/>
          <w14:textFill>
            <w14:solidFill>
              <w14:schemeClr w14:val="tx1"/>
            </w14:solidFill>
          </w14:textFill>
        </w:rPr>
      </w:pPr>
      <w:r>
        <w:rPr>
          <w:rFonts w:hint="eastAsia" w:ascii="Times New Roman" w:hAnsi="Times New Roman" w:eastAsia="宋体" w:cs="宋体"/>
          <w:color w:val="000000" w:themeColor="text1"/>
          <w:spacing w:val="0"/>
          <w:szCs w:val="21"/>
          <w:highlight w:val="none"/>
          <w14:textFill>
            <w14:solidFill>
              <w14:schemeClr w14:val="tx1"/>
            </w14:solidFill>
          </w14:textFill>
        </w:rPr>
        <w:t>第五章 响应文件格式；</w:t>
      </w:r>
    </w:p>
    <w:p w14:paraId="3E4B88B3">
      <w:pPr>
        <w:pageBreakBefore w:val="0"/>
        <w:widowControl w:val="0"/>
        <w:kinsoku/>
        <w:wordWrap/>
        <w:overflowPunct/>
        <w:topLinePunct w:val="0"/>
        <w:autoSpaceDE/>
        <w:autoSpaceDN/>
        <w:bidi w:val="0"/>
        <w:spacing w:line="360" w:lineRule="auto"/>
        <w:ind w:firstLine="420" w:firstLineChars="200"/>
        <w:jc w:val="left"/>
        <w:rPr>
          <w:rFonts w:hint="eastAsia" w:ascii="Times New Roman" w:hAnsi="Times New Roman" w:eastAsia="宋体" w:cs="宋体"/>
          <w:color w:val="000000" w:themeColor="text1"/>
          <w:spacing w:val="0"/>
          <w:szCs w:val="21"/>
          <w:highlight w:val="none"/>
          <w14:textFill>
            <w14:solidFill>
              <w14:schemeClr w14:val="tx1"/>
            </w14:solidFill>
          </w14:textFill>
        </w:rPr>
      </w:pPr>
      <w:r>
        <w:rPr>
          <w:rFonts w:hint="eastAsia" w:ascii="Times New Roman" w:hAnsi="Times New Roman" w:eastAsia="宋体" w:cs="宋体"/>
          <w:color w:val="000000" w:themeColor="text1"/>
          <w:spacing w:val="0"/>
          <w:szCs w:val="21"/>
          <w:highlight w:val="none"/>
          <w14:textFill>
            <w14:solidFill>
              <w14:schemeClr w14:val="tx1"/>
            </w14:solidFill>
          </w14:textFill>
        </w:rPr>
        <w:t>第六章 合同文本；</w:t>
      </w:r>
    </w:p>
    <w:p w14:paraId="4D372412">
      <w:pPr>
        <w:pageBreakBefore w:val="0"/>
        <w:widowControl w:val="0"/>
        <w:kinsoku/>
        <w:wordWrap/>
        <w:overflowPunct/>
        <w:topLinePunct w:val="0"/>
        <w:autoSpaceDE/>
        <w:autoSpaceDN/>
        <w:bidi w:val="0"/>
        <w:spacing w:line="360" w:lineRule="auto"/>
        <w:ind w:firstLine="420" w:firstLineChars="200"/>
        <w:jc w:val="left"/>
        <w:rPr>
          <w:rFonts w:hint="eastAsia" w:ascii="Times New Roman" w:hAnsi="Times New Roman" w:eastAsia="宋体" w:cs="宋体"/>
          <w:color w:val="000000" w:themeColor="text1"/>
          <w:spacing w:val="0"/>
          <w:szCs w:val="21"/>
          <w:highlight w:val="none"/>
          <w:lang w:eastAsia="zh-CN"/>
          <w14:textFill>
            <w14:solidFill>
              <w14:schemeClr w14:val="tx1"/>
            </w14:solidFill>
          </w14:textFill>
        </w:rPr>
      </w:pPr>
      <w:r>
        <w:rPr>
          <w:rFonts w:hint="eastAsia" w:ascii="Times New Roman" w:hAnsi="Times New Roman" w:eastAsia="宋体" w:cs="宋体"/>
          <w:color w:val="000000" w:themeColor="text1"/>
          <w:spacing w:val="0"/>
          <w:szCs w:val="21"/>
          <w:highlight w:val="none"/>
          <w14:textFill>
            <w14:solidFill>
              <w14:schemeClr w14:val="tx1"/>
            </w14:solidFill>
          </w14:textFill>
        </w:rPr>
        <w:t>第七章 工程量清单、图纸</w:t>
      </w:r>
      <w:r>
        <w:rPr>
          <w:rFonts w:hint="eastAsia" w:ascii="Times New Roman" w:hAnsi="Times New Roman" w:eastAsia="宋体" w:cs="宋体"/>
          <w:color w:val="000000" w:themeColor="text1"/>
          <w:spacing w:val="0"/>
          <w:szCs w:val="21"/>
          <w:highlight w:val="none"/>
          <w:lang w:eastAsia="zh-CN"/>
          <w14:textFill>
            <w14:solidFill>
              <w14:schemeClr w14:val="tx1"/>
            </w14:solidFill>
          </w14:textFill>
        </w:rPr>
        <w:t>；</w:t>
      </w:r>
    </w:p>
    <w:p w14:paraId="612F53CA">
      <w:pPr>
        <w:pageBreakBefore w:val="0"/>
        <w:widowControl w:val="0"/>
        <w:kinsoku/>
        <w:wordWrap/>
        <w:overflowPunct/>
        <w:topLinePunct w:val="0"/>
        <w:autoSpaceDE/>
        <w:autoSpaceDN/>
        <w:bidi w:val="0"/>
        <w:spacing w:line="360" w:lineRule="auto"/>
        <w:ind w:firstLine="420" w:firstLineChars="200"/>
        <w:jc w:val="left"/>
        <w:rPr>
          <w:rFonts w:hint="eastAsia" w:ascii="Times New Roman" w:hAnsi="Times New Roman" w:eastAsia="宋体" w:cs="宋体"/>
          <w:color w:val="000000" w:themeColor="text1"/>
          <w:spacing w:val="0"/>
          <w:szCs w:val="21"/>
          <w:highlight w:val="none"/>
          <w14:textFill>
            <w14:solidFill>
              <w14:schemeClr w14:val="tx1"/>
            </w14:solidFill>
          </w14:textFill>
        </w:rPr>
      </w:pPr>
      <w:r>
        <w:rPr>
          <w:rFonts w:hint="eastAsia" w:ascii="Times New Roman" w:hAnsi="Times New Roman" w:eastAsia="宋体" w:cs="宋体"/>
          <w:color w:val="000000" w:themeColor="text1"/>
          <w:spacing w:val="0"/>
          <w:szCs w:val="21"/>
          <w:highlight w:val="none"/>
          <w14:textFill>
            <w14:solidFill>
              <w14:schemeClr w14:val="tx1"/>
            </w14:solidFill>
          </w14:textFill>
        </w:rPr>
        <w:t>第八章 质疑、投诉材料格式。</w:t>
      </w:r>
    </w:p>
    <w:p w14:paraId="30C696E8">
      <w:pPr>
        <w:pageBreakBefore w:val="0"/>
        <w:widowControl w:val="0"/>
        <w:kinsoku/>
        <w:wordWrap/>
        <w:overflowPunct/>
        <w:topLinePunct w:val="0"/>
        <w:autoSpaceDE/>
        <w:autoSpaceDN/>
        <w:bidi w:val="0"/>
        <w:spacing w:line="360" w:lineRule="auto"/>
        <w:outlineLvl w:val="2"/>
        <w:rPr>
          <w:rFonts w:hint="eastAsia" w:ascii="Times New Roman" w:hAnsi="Times New Roman" w:eastAsia="宋体" w:cs="宋体"/>
          <w:b/>
          <w:bCs/>
          <w:color w:val="000000" w:themeColor="text1"/>
          <w:spacing w:val="0"/>
          <w:sz w:val="21"/>
          <w:szCs w:val="21"/>
          <w:highlight w:val="none"/>
          <w14:textFill>
            <w14:solidFill>
              <w14:schemeClr w14:val="tx1"/>
            </w14:solidFill>
          </w14:textFill>
        </w:rPr>
      </w:pPr>
      <w:bookmarkStart w:id="104" w:name="_Toc19913"/>
      <w:r>
        <w:rPr>
          <w:rFonts w:hint="eastAsia" w:ascii="Times New Roman" w:hAnsi="Times New Roman" w:eastAsia="宋体" w:cs="宋体"/>
          <w:b/>
          <w:bCs/>
          <w:color w:val="000000" w:themeColor="text1"/>
          <w:spacing w:val="0"/>
          <w:sz w:val="21"/>
          <w:szCs w:val="21"/>
          <w:highlight w:val="none"/>
          <w14:textFill>
            <w14:solidFill>
              <w14:schemeClr w14:val="tx1"/>
            </w14:solidFill>
          </w14:textFill>
        </w:rPr>
        <w:t>9.供应商的询问</w:t>
      </w:r>
      <w:bookmarkEnd w:id="104"/>
    </w:p>
    <w:p w14:paraId="69A89A16">
      <w:pPr>
        <w:pageBreakBefore w:val="0"/>
        <w:widowControl w:val="0"/>
        <w:kinsoku/>
        <w:wordWrap/>
        <w:overflowPunct/>
        <w:topLinePunct w:val="0"/>
        <w:autoSpaceDE/>
        <w:autoSpaceDN/>
        <w:bidi w:val="0"/>
        <w:spacing w:line="360" w:lineRule="auto"/>
        <w:ind w:firstLine="420" w:firstLineChars="200"/>
        <w:rPr>
          <w:rFonts w:hint="eastAsia" w:ascii="Times New Roman" w:hAnsi="Times New Roman" w:eastAsia="宋体" w:cs="宋体"/>
          <w:color w:val="000000" w:themeColor="text1"/>
          <w:spacing w:val="0"/>
          <w:szCs w:val="21"/>
          <w:highlight w:val="none"/>
          <w14:textFill>
            <w14:solidFill>
              <w14:schemeClr w14:val="tx1"/>
            </w14:solidFill>
          </w14:textFill>
        </w:rPr>
      </w:pPr>
      <w:r>
        <w:rPr>
          <w:rFonts w:hint="eastAsia" w:ascii="Times New Roman" w:hAnsi="Times New Roman" w:eastAsia="宋体" w:cs="宋体"/>
          <w:color w:val="000000" w:themeColor="text1"/>
          <w:spacing w:val="0"/>
          <w:szCs w:val="21"/>
          <w:highlight w:val="none"/>
          <w14:textFill>
            <w14:solidFill>
              <w14:schemeClr w14:val="tx1"/>
            </w14:solidFill>
          </w14:textFill>
        </w:rPr>
        <w:t>供应商应认真阅读磋商文件的采购需求，如供应商对磋商文件有疑问的，如要求采购人作出澄清或者修改的，供应商尽应在提交首次响应文件截止之日前，以书面形式向采购人、采购代理机构提出。</w:t>
      </w:r>
    </w:p>
    <w:p w14:paraId="49F0DD24">
      <w:pPr>
        <w:pageBreakBefore w:val="0"/>
        <w:widowControl w:val="0"/>
        <w:kinsoku/>
        <w:wordWrap/>
        <w:overflowPunct/>
        <w:topLinePunct w:val="0"/>
        <w:autoSpaceDE/>
        <w:autoSpaceDN/>
        <w:bidi w:val="0"/>
        <w:spacing w:line="360" w:lineRule="auto"/>
        <w:outlineLvl w:val="2"/>
        <w:rPr>
          <w:rFonts w:hint="eastAsia" w:ascii="Times New Roman" w:hAnsi="Times New Roman" w:eastAsia="宋体" w:cs="宋体"/>
          <w:b/>
          <w:bCs/>
          <w:color w:val="000000" w:themeColor="text1"/>
          <w:spacing w:val="0"/>
          <w:sz w:val="21"/>
          <w:szCs w:val="21"/>
          <w:highlight w:val="none"/>
          <w14:textFill>
            <w14:solidFill>
              <w14:schemeClr w14:val="tx1"/>
            </w14:solidFill>
          </w14:textFill>
        </w:rPr>
      </w:pPr>
      <w:bookmarkStart w:id="105" w:name="_Toc2452"/>
      <w:r>
        <w:rPr>
          <w:rFonts w:hint="eastAsia" w:ascii="Times New Roman" w:hAnsi="Times New Roman" w:eastAsia="宋体" w:cs="宋体"/>
          <w:b/>
          <w:bCs/>
          <w:color w:val="000000" w:themeColor="text1"/>
          <w:spacing w:val="0"/>
          <w:sz w:val="21"/>
          <w:szCs w:val="21"/>
          <w:highlight w:val="none"/>
          <w14:textFill>
            <w14:solidFill>
              <w14:schemeClr w14:val="tx1"/>
            </w14:solidFill>
          </w14:textFill>
        </w:rPr>
        <w:t>10.磋商文件的澄清和修改</w:t>
      </w:r>
      <w:bookmarkEnd w:id="105"/>
    </w:p>
    <w:p w14:paraId="4A57CC53">
      <w:pPr>
        <w:pageBreakBefore w:val="0"/>
        <w:widowControl w:val="0"/>
        <w:kinsoku/>
        <w:wordWrap/>
        <w:overflowPunct/>
        <w:topLinePunct w:val="0"/>
        <w:autoSpaceDE/>
        <w:autoSpaceDN/>
        <w:bidi w:val="0"/>
        <w:spacing w:line="360" w:lineRule="auto"/>
        <w:ind w:firstLine="420" w:firstLineChars="200"/>
        <w:rPr>
          <w:rFonts w:hint="eastAsia" w:ascii="Times New Roman" w:hAnsi="Times New Roman" w:eastAsia="宋体" w:cs="宋体"/>
          <w:color w:val="000000" w:themeColor="text1"/>
          <w:spacing w:val="0"/>
          <w:szCs w:val="21"/>
          <w:highlight w:val="none"/>
          <w14:textFill>
            <w14:solidFill>
              <w14:schemeClr w14:val="tx1"/>
            </w14:solidFill>
          </w14:textFill>
        </w:rPr>
      </w:pPr>
      <w:r>
        <w:rPr>
          <w:rFonts w:hint="eastAsia" w:ascii="Times New Roman" w:hAnsi="Times New Roman" w:eastAsia="宋体" w:cs="宋体"/>
          <w:color w:val="000000" w:themeColor="text1"/>
          <w:spacing w:val="0"/>
          <w:szCs w:val="21"/>
          <w:highlight w:val="none"/>
          <w14:textFill>
            <w14:solidFill>
              <w14:schemeClr w14:val="tx1"/>
            </w14:solidFill>
          </w14:textFill>
        </w:rPr>
        <w:t>10.1已获取磋商文件的潜在供应商，若有问题需要澄清，应于应标截止时间前，以书面形式向采购代理机构提出，采购代理机构与采购人研究后，对认为有必要回答的问题，按照本章10.3的内容处理。</w:t>
      </w:r>
    </w:p>
    <w:p w14:paraId="03EF11D0">
      <w:pPr>
        <w:pageBreakBefore w:val="0"/>
        <w:widowControl w:val="0"/>
        <w:kinsoku/>
        <w:wordWrap/>
        <w:overflowPunct/>
        <w:topLinePunct w:val="0"/>
        <w:autoSpaceDE/>
        <w:autoSpaceDN/>
        <w:bidi w:val="0"/>
        <w:spacing w:line="360" w:lineRule="auto"/>
        <w:ind w:firstLine="422" w:firstLineChars="200"/>
        <w:rPr>
          <w:rFonts w:hint="eastAsia" w:ascii="Times New Roman" w:hAnsi="Times New Roman" w:eastAsia="宋体" w:cs="宋体"/>
          <w:b/>
          <w:color w:val="000000" w:themeColor="text1"/>
          <w:spacing w:val="0"/>
          <w:szCs w:val="21"/>
          <w:highlight w:val="none"/>
          <w14:textFill>
            <w14:solidFill>
              <w14:schemeClr w14:val="tx1"/>
            </w14:solidFill>
          </w14:textFill>
        </w:rPr>
      </w:pPr>
      <w:r>
        <w:rPr>
          <w:rFonts w:hint="eastAsia" w:ascii="Times New Roman" w:hAnsi="Times New Roman" w:eastAsia="宋体" w:cs="宋体"/>
          <w:b/>
          <w:color w:val="000000" w:themeColor="text1"/>
          <w:spacing w:val="0"/>
          <w:szCs w:val="21"/>
          <w:highlight w:val="none"/>
          <w14:textFill>
            <w14:solidFill>
              <w14:schemeClr w14:val="tx1"/>
            </w14:solidFill>
          </w14:textFill>
        </w:rPr>
        <w:t>10.2采购人或者采购代理机构可以对已发出的磋商文件进行必要的澄清或者修改，但不得改变采购标的和资格条件。澄清或者修改应当在原公告发布媒体上发布澄清公告。澄清或者修改的内容为磋商文件的组成部分。</w:t>
      </w:r>
    </w:p>
    <w:p w14:paraId="323F136F">
      <w:pPr>
        <w:pageBreakBefore w:val="0"/>
        <w:widowControl w:val="0"/>
        <w:kinsoku/>
        <w:wordWrap/>
        <w:overflowPunct/>
        <w:topLinePunct w:val="0"/>
        <w:autoSpaceDE/>
        <w:autoSpaceDN/>
        <w:bidi w:val="0"/>
        <w:spacing w:line="360" w:lineRule="auto"/>
        <w:ind w:firstLine="420" w:firstLineChars="200"/>
        <w:rPr>
          <w:rFonts w:hint="eastAsia" w:ascii="Times New Roman" w:hAnsi="Times New Roman" w:eastAsia="宋体" w:cs="宋体"/>
          <w:color w:val="000000" w:themeColor="text1"/>
          <w:spacing w:val="0"/>
          <w:szCs w:val="21"/>
          <w:highlight w:val="none"/>
          <w14:textFill>
            <w14:solidFill>
              <w14:schemeClr w14:val="tx1"/>
            </w14:solidFill>
          </w14:textFill>
        </w:rPr>
      </w:pPr>
      <w:r>
        <w:rPr>
          <w:rFonts w:hint="eastAsia" w:ascii="Times New Roman" w:hAnsi="Times New Roman" w:eastAsia="宋体" w:cs="宋体"/>
          <w:color w:val="000000" w:themeColor="text1"/>
          <w:spacing w:val="0"/>
          <w:szCs w:val="21"/>
          <w:highlight w:val="none"/>
          <w14:textFill>
            <w14:solidFill>
              <w14:schemeClr w14:val="tx1"/>
            </w14:solidFill>
          </w14:textFill>
        </w:rPr>
        <w:t>10.3提交首次响应文件截止之日前，采购人、采购代理机构或者磋商小组可以对已发出的磋商文件进行必要的澄清或者修改，澄清或者修改的内容作为磋商文件的组成部分。澄清或者修改的内容可能影响响应文件编制的，采购人、采购代理机构或者磋商小组在提交首次响应文件截止之日5日前，以书面形式（目前为网上公告和系统短信等形式）通知所有获取磋商文件的供应商，不足5日的，应当顺延提交首次响应文件截止时间。澄清或者更正公告在竞争性磋商公告发布媒体上发布，一经发布，视作已以书面形式通知所有获取竞争性磋商文件的潜在供应商，不再另行通知，所有潜在供应商应密切关注竞争性磋商公告发布媒体，因未能及时获知，由此产生的后果均应自行承担。</w:t>
      </w:r>
    </w:p>
    <w:p w14:paraId="447F3E20">
      <w:pPr>
        <w:pageBreakBefore w:val="0"/>
        <w:widowControl w:val="0"/>
        <w:kinsoku/>
        <w:wordWrap/>
        <w:overflowPunct/>
        <w:topLinePunct w:val="0"/>
        <w:autoSpaceDE/>
        <w:autoSpaceDN/>
        <w:bidi w:val="0"/>
        <w:spacing w:line="360" w:lineRule="auto"/>
        <w:ind w:firstLine="420" w:firstLineChars="200"/>
        <w:rPr>
          <w:rFonts w:hint="eastAsia" w:ascii="Times New Roman" w:hAnsi="Times New Roman" w:eastAsia="宋体" w:cs="宋体"/>
          <w:color w:val="000000" w:themeColor="text1"/>
          <w:spacing w:val="0"/>
          <w:szCs w:val="21"/>
          <w:highlight w:val="none"/>
          <w14:textFill>
            <w14:solidFill>
              <w14:schemeClr w14:val="tx1"/>
            </w14:solidFill>
          </w14:textFill>
        </w:rPr>
      </w:pPr>
      <w:r>
        <w:rPr>
          <w:rFonts w:hint="eastAsia" w:ascii="Times New Roman" w:hAnsi="Times New Roman" w:eastAsia="宋体" w:cs="宋体"/>
          <w:color w:val="000000" w:themeColor="text1"/>
          <w:spacing w:val="0"/>
          <w:szCs w:val="21"/>
          <w:highlight w:val="none"/>
          <w14:textFill>
            <w14:solidFill>
              <w14:schemeClr w14:val="tx1"/>
            </w14:solidFill>
          </w14:textFill>
        </w:rPr>
        <w:t>10.4</w:t>
      </w:r>
      <w:r>
        <w:rPr>
          <w:rFonts w:hint="eastAsia" w:ascii="Times New Roman" w:hAnsi="Times New Roman" w:eastAsia="宋体" w:cs="宋体"/>
          <w:color w:val="000000" w:themeColor="text1"/>
          <w:spacing w:val="0"/>
          <w:highlight w:val="none"/>
          <w:shd w:val="clear" w:color="auto" w:fill="FFFFFF"/>
          <w14:textFill>
            <w14:solidFill>
              <w14:schemeClr w14:val="tx1"/>
            </w14:solidFill>
          </w14:textFill>
        </w:rPr>
        <w:t>采购信息更正公告的内容应当包括采购人和采购代理机构名称、地址、联系方式，原公告的采购项目名称及首次公告日期，更正事项、内容及日期，采购项目联系人和电话。</w:t>
      </w:r>
    </w:p>
    <w:p w14:paraId="458114D4">
      <w:pPr>
        <w:pageBreakBefore w:val="0"/>
        <w:widowControl w:val="0"/>
        <w:kinsoku/>
        <w:wordWrap/>
        <w:overflowPunct/>
        <w:topLinePunct w:val="0"/>
        <w:autoSpaceDE/>
        <w:autoSpaceDN/>
        <w:bidi w:val="0"/>
        <w:spacing w:line="360" w:lineRule="auto"/>
        <w:ind w:firstLine="420" w:firstLineChars="200"/>
        <w:rPr>
          <w:rFonts w:hint="eastAsia" w:ascii="Times New Roman" w:hAnsi="Times New Roman" w:eastAsia="宋体" w:cs="宋体"/>
          <w:color w:val="000000" w:themeColor="text1"/>
          <w:spacing w:val="0"/>
          <w:highlight w:val="none"/>
          <w14:textFill>
            <w14:solidFill>
              <w14:schemeClr w14:val="tx1"/>
            </w14:solidFill>
          </w14:textFill>
        </w:rPr>
      </w:pPr>
      <w:r>
        <w:rPr>
          <w:rFonts w:hint="eastAsia" w:ascii="Times New Roman" w:hAnsi="Times New Roman" w:eastAsia="宋体" w:cs="宋体"/>
          <w:color w:val="000000" w:themeColor="text1"/>
          <w:spacing w:val="0"/>
          <w:highlight w:val="none"/>
          <w14:textFill>
            <w14:solidFill>
              <w14:schemeClr w14:val="tx1"/>
            </w14:solidFill>
          </w14:textFill>
        </w:rPr>
        <w:t>10.5  采购人和采购代理机构可以视采购具体情况，变更提交首次响应文件截止时间和竞谈时间，将变更时间将在竞争性磋商公告中</w:t>
      </w:r>
      <w:r>
        <w:rPr>
          <w:rFonts w:hint="eastAsia" w:ascii="Times New Roman" w:hAnsi="Times New Roman" w:eastAsia="宋体" w:cs="宋体"/>
          <w:color w:val="000000" w:themeColor="text1"/>
          <w:spacing w:val="0"/>
          <w:highlight w:val="none"/>
          <w:lang w:eastAsia="zh-CN"/>
          <w14:textFill>
            <w14:solidFill>
              <w14:schemeClr w14:val="tx1"/>
            </w14:solidFill>
          </w14:textFill>
        </w:rPr>
        <w:t>“</w:t>
      </w:r>
      <w:r>
        <w:rPr>
          <w:rFonts w:hint="eastAsia" w:ascii="Times New Roman" w:hAnsi="Times New Roman" w:eastAsia="宋体" w:cs="宋体"/>
          <w:color w:val="000000" w:themeColor="text1"/>
          <w:spacing w:val="0"/>
          <w:highlight w:val="none"/>
          <w14:textFill>
            <w14:solidFill>
              <w14:schemeClr w14:val="tx1"/>
            </w14:solidFill>
          </w14:textFill>
        </w:rPr>
        <w:t>七、其他补充事宜2.网上查询地址</w:t>
      </w:r>
      <w:r>
        <w:rPr>
          <w:rFonts w:hint="eastAsia" w:ascii="Times New Roman" w:hAnsi="Times New Roman" w:eastAsia="宋体" w:cs="宋体"/>
          <w:color w:val="000000" w:themeColor="text1"/>
          <w:spacing w:val="0"/>
          <w:highlight w:val="none"/>
          <w:lang w:eastAsia="zh-CN"/>
          <w14:textFill>
            <w14:solidFill>
              <w14:schemeClr w14:val="tx1"/>
            </w14:solidFill>
          </w14:textFill>
        </w:rPr>
        <w:t>”</w:t>
      </w:r>
      <w:r>
        <w:rPr>
          <w:rFonts w:hint="eastAsia" w:ascii="Times New Roman" w:hAnsi="Times New Roman" w:eastAsia="宋体" w:cs="宋体"/>
          <w:color w:val="000000" w:themeColor="text1"/>
          <w:spacing w:val="0"/>
          <w:highlight w:val="none"/>
          <w14:textFill>
            <w14:solidFill>
              <w14:schemeClr w14:val="tx1"/>
            </w14:solidFill>
          </w14:textFill>
        </w:rPr>
        <w:t>规定的政府采购信息发布媒体上发布更正公告。</w:t>
      </w:r>
    </w:p>
    <w:p w14:paraId="65AC8954">
      <w:pPr>
        <w:pageBreakBefore w:val="0"/>
        <w:widowControl w:val="0"/>
        <w:kinsoku/>
        <w:wordWrap/>
        <w:overflowPunct/>
        <w:topLinePunct w:val="0"/>
        <w:autoSpaceDE/>
        <w:autoSpaceDN/>
        <w:bidi w:val="0"/>
        <w:spacing w:line="360" w:lineRule="auto"/>
        <w:ind w:firstLine="400" w:firstLineChars="200"/>
        <w:rPr>
          <w:rFonts w:hint="eastAsia" w:ascii="Times New Roman" w:hAnsi="Times New Roman" w:eastAsia="宋体" w:cs="宋体"/>
          <w:color w:val="000000" w:themeColor="text1"/>
          <w:spacing w:val="0"/>
          <w:kern w:val="0"/>
          <w:sz w:val="20"/>
          <w:szCs w:val="21"/>
          <w:highlight w:val="none"/>
          <w14:textFill>
            <w14:solidFill>
              <w14:schemeClr w14:val="tx1"/>
            </w14:solidFill>
          </w14:textFill>
        </w:rPr>
      </w:pPr>
      <w:r>
        <w:rPr>
          <w:rFonts w:hint="eastAsia" w:ascii="Times New Roman" w:hAnsi="Times New Roman" w:eastAsia="宋体" w:cs="宋体"/>
          <w:color w:val="000000" w:themeColor="text1"/>
          <w:spacing w:val="0"/>
          <w:kern w:val="0"/>
          <w:sz w:val="20"/>
          <w:szCs w:val="21"/>
          <w:highlight w:val="none"/>
          <w14:textFill>
            <w14:solidFill>
              <w14:schemeClr w14:val="tx1"/>
            </w14:solidFill>
          </w14:textFill>
        </w:rPr>
        <w:t>▲</w:t>
      </w:r>
      <w:r>
        <w:rPr>
          <w:rFonts w:hint="eastAsia" w:ascii="Times New Roman" w:hAnsi="Times New Roman" w:eastAsia="宋体" w:cs="宋体"/>
          <w:b/>
          <w:color w:val="000000" w:themeColor="text1"/>
          <w:spacing w:val="0"/>
          <w:kern w:val="0"/>
          <w:sz w:val="20"/>
          <w:szCs w:val="21"/>
          <w:highlight w:val="none"/>
          <w14:textFill>
            <w14:solidFill>
              <w14:schemeClr w14:val="tx1"/>
            </w14:solidFill>
          </w14:textFill>
        </w:rPr>
        <w:t>响应文件未按磋商文件的澄清、修改的内容编制，又不符合实质性要求的，其响应文件按无效处理。</w:t>
      </w:r>
    </w:p>
    <w:p w14:paraId="10ACCA10">
      <w:pPr>
        <w:pStyle w:val="5"/>
        <w:keepNext/>
        <w:keepLines/>
        <w:pageBreakBefore w:val="0"/>
        <w:widowControl w:val="0"/>
        <w:kinsoku/>
        <w:wordWrap/>
        <w:overflowPunct/>
        <w:topLinePunct w:val="0"/>
        <w:autoSpaceDE/>
        <w:autoSpaceDN/>
        <w:bidi w:val="0"/>
        <w:adjustRightInd/>
        <w:snapToGrid/>
        <w:spacing w:before="0" w:beforeLines="50" w:after="0" w:line="360" w:lineRule="auto"/>
        <w:jc w:val="center"/>
        <w:textAlignment w:val="auto"/>
        <w:rPr>
          <w:rFonts w:hint="eastAsia" w:ascii="Times New Roman" w:hAnsi="Times New Roman" w:eastAsia="宋体" w:cs="宋体"/>
          <w:bCs w:val="0"/>
          <w:color w:val="000000" w:themeColor="text1"/>
          <w:spacing w:val="0"/>
          <w:sz w:val="24"/>
          <w:szCs w:val="24"/>
          <w:highlight w:val="none"/>
          <w14:textFill>
            <w14:solidFill>
              <w14:schemeClr w14:val="tx1"/>
            </w14:solidFill>
          </w14:textFill>
        </w:rPr>
      </w:pPr>
      <w:bookmarkStart w:id="106" w:name="_Toc21480"/>
      <w:bookmarkStart w:id="107" w:name="_Toc80886932"/>
      <w:bookmarkStart w:id="108" w:name="_Toc23798"/>
      <w:bookmarkStart w:id="109" w:name="_Toc21690"/>
      <w:r>
        <w:rPr>
          <w:rFonts w:hint="eastAsia" w:ascii="Times New Roman" w:hAnsi="Times New Roman" w:eastAsia="宋体" w:cs="宋体"/>
          <w:bCs w:val="0"/>
          <w:color w:val="000000" w:themeColor="text1"/>
          <w:spacing w:val="0"/>
          <w:sz w:val="24"/>
          <w:szCs w:val="24"/>
          <w:highlight w:val="none"/>
          <w14:textFill>
            <w14:solidFill>
              <w14:schemeClr w14:val="tx1"/>
            </w14:solidFill>
          </w14:textFill>
        </w:rPr>
        <w:t>三、响应文件的编制</w:t>
      </w:r>
      <w:bookmarkEnd w:id="106"/>
      <w:bookmarkEnd w:id="107"/>
      <w:bookmarkEnd w:id="108"/>
      <w:bookmarkEnd w:id="109"/>
    </w:p>
    <w:p w14:paraId="0147ADF1">
      <w:pPr>
        <w:pageBreakBefore w:val="0"/>
        <w:widowControl w:val="0"/>
        <w:kinsoku/>
        <w:wordWrap/>
        <w:overflowPunct/>
        <w:topLinePunct w:val="0"/>
        <w:autoSpaceDE/>
        <w:autoSpaceDN/>
        <w:bidi w:val="0"/>
        <w:spacing w:line="360" w:lineRule="auto"/>
        <w:outlineLvl w:val="2"/>
        <w:rPr>
          <w:rFonts w:hint="eastAsia" w:ascii="Times New Roman" w:hAnsi="Times New Roman" w:eastAsia="宋体" w:cs="宋体"/>
          <w:b/>
          <w:bCs/>
          <w:color w:val="000000" w:themeColor="text1"/>
          <w:spacing w:val="0"/>
          <w:sz w:val="21"/>
          <w:szCs w:val="21"/>
          <w:highlight w:val="none"/>
          <w14:textFill>
            <w14:solidFill>
              <w14:schemeClr w14:val="tx1"/>
            </w14:solidFill>
          </w14:textFill>
        </w:rPr>
      </w:pPr>
      <w:bookmarkStart w:id="110" w:name="_Toc24592"/>
      <w:r>
        <w:rPr>
          <w:rFonts w:hint="eastAsia" w:ascii="Times New Roman" w:hAnsi="Times New Roman" w:eastAsia="宋体" w:cs="宋体"/>
          <w:b/>
          <w:bCs/>
          <w:color w:val="000000" w:themeColor="text1"/>
          <w:spacing w:val="0"/>
          <w:sz w:val="21"/>
          <w:szCs w:val="21"/>
          <w:highlight w:val="none"/>
          <w14:textFill>
            <w14:solidFill>
              <w14:schemeClr w14:val="tx1"/>
            </w14:solidFill>
          </w14:textFill>
        </w:rPr>
        <w:t>11.响应文件的编制原则</w:t>
      </w:r>
      <w:bookmarkEnd w:id="110"/>
    </w:p>
    <w:p w14:paraId="58B33756">
      <w:pPr>
        <w:pageBreakBefore w:val="0"/>
        <w:widowControl w:val="0"/>
        <w:kinsoku/>
        <w:wordWrap/>
        <w:overflowPunct/>
        <w:topLinePunct w:val="0"/>
        <w:autoSpaceDE/>
        <w:autoSpaceDN/>
        <w:bidi w:val="0"/>
        <w:spacing w:line="360" w:lineRule="auto"/>
        <w:ind w:firstLine="420" w:firstLineChars="200"/>
        <w:rPr>
          <w:rFonts w:hint="eastAsia" w:ascii="Times New Roman" w:hAnsi="Times New Roman" w:eastAsia="宋体" w:cs="宋体"/>
          <w:color w:val="000000" w:themeColor="text1"/>
          <w:spacing w:val="0"/>
          <w:szCs w:val="21"/>
          <w:highlight w:val="none"/>
          <w14:textFill>
            <w14:solidFill>
              <w14:schemeClr w14:val="tx1"/>
            </w14:solidFill>
          </w14:textFill>
        </w:rPr>
      </w:pPr>
      <w:r>
        <w:rPr>
          <w:rFonts w:hint="eastAsia" w:ascii="Times New Roman" w:hAnsi="Times New Roman" w:eastAsia="宋体" w:cs="宋体"/>
          <w:color w:val="000000" w:themeColor="text1"/>
          <w:spacing w:val="0"/>
          <w:szCs w:val="21"/>
          <w:highlight w:val="none"/>
          <w14:textFill>
            <w14:solidFill>
              <w14:schemeClr w14:val="tx1"/>
            </w14:solidFill>
          </w14:textFill>
        </w:rPr>
        <w:t>供应商必须按照磋商文件的要求编制响应文件，并对其提交的响应文件的真实性、合法性承担法律责任。响应文件必须对磋商文件作出实质性响应。</w:t>
      </w:r>
    </w:p>
    <w:p w14:paraId="1744975A">
      <w:pPr>
        <w:pageBreakBefore w:val="0"/>
        <w:widowControl w:val="0"/>
        <w:kinsoku/>
        <w:wordWrap/>
        <w:overflowPunct/>
        <w:topLinePunct w:val="0"/>
        <w:autoSpaceDE/>
        <w:autoSpaceDN/>
        <w:bidi w:val="0"/>
        <w:spacing w:line="360" w:lineRule="auto"/>
        <w:outlineLvl w:val="2"/>
        <w:rPr>
          <w:rFonts w:hint="eastAsia" w:ascii="Times New Roman" w:hAnsi="Times New Roman" w:eastAsia="宋体" w:cs="宋体"/>
          <w:b/>
          <w:bCs/>
          <w:color w:val="000000" w:themeColor="text1"/>
          <w:spacing w:val="0"/>
          <w:sz w:val="21"/>
          <w:szCs w:val="21"/>
          <w:highlight w:val="none"/>
          <w14:textFill>
            <w14:solidFill>
              <w14:schemeClr w14:val="tx1"/>
            </w14:solidFill>
          </w14:textFill>
        </w:rPr>
      </w:pPr>
      <w:bookmarkStart w:id="111" w:name="_Toc13618"/>
      <w:r>
        <w:rPr>
          <w:rFonts w:hint="eastAsia" w:ascii="Times New Roman" w:hAnsi="Times New Roman" w:eastAsia="宋体" w:cs="宋体"/>
          <w:b/>
          <w:bCs/>
          <w:color w:val="000000" w:themeColor="text1"/>
          <w:spacing w:val="0"/>
          <w:sz w:val="21"/>
          <w:szCs w:val="21"/>
          <w:highlight w:val="none"/>
          <w14:textFill>
            <w14:solidFill>
              <w14:schemeClr w14:val="tx1"/>
            </w14:solidFill>
          </w14:textFill>
        </w:rPr>
        <w:t>12.响应文件的组成</w:t>
      </w:r>
      <w:bookmarkEnd w:id="111"/>
    </w:p>
    <w:p w14:paraId="2F000D48">
      <w:pPr>
        <w:pageBreakBefore w:val="0"/>
        <w:widowControl w:val="0"/>
        <w:kinsoku/>
        <w:wordWrap/>
        <w:overflowPunct/>
        <w:topLinePunct w:val="0"/>
        <w:autoSpaceDE/>
        <w:autoSpaceDN/>
        <w:bidi w:val="0"/>
        <w:spacing w:line="360" w:lineRule="auto"/>
        <w:ind w:firstLine="420" w:firstLineChars="200"/>
        <w:rPr>
          <w:rFonts w:hint="eastAsia" w:ascii="Times New Roman" w:hAnsi="Times New Roman" w:eastAsia="宋体" w:cs="宋体"/>
          <w:color w:val="000000" w:themeColor="text1"/>
          <w:spacing w:val="0"/>
          <w:szCs w:val="21"/>
          <w:highlight w:val="none"/>
          <w14:textFill>
            <w14:solidFill>
              <w14:schemeClr w14:val="tx1"/>
            </w14:solidFill>
          </w14:textFill>
        </w:rPr>
      </w:pPr>
      <w:r>
        <w:rPr>
          <w:rFonts w:hint="eastAsia" w:ascii="Times New Roman" w:hAnsi="Times New Roman" w:eastAsia="宋体" w:cs="宋体"/>
          <w:color w:val="000000" w:themeColor="text1"/>
          <w:spacing w:val="0"/>
          <w:szCs w:val="21"/>
          <w:highlight w:val="none"/>
          <w14:textFill>
            <w14:solidFill>
              <w14:schemeClr w14:val="tx1"/>
            </w14:solidFill>
          </w14:textFill>
        </w:rPr>
        <w:t>12.1响应文件由资格证明文件、报价文件、商务和技术文件三部分组成。</w:t>
      </w:r>
    </w:p>
    <w:p w14:paraId="4D64F733">
      <w:pPr>
        <w:pageBreakBefore w:val="0"/>
        <w:widowControl w:val="0"/>
        <w:kinsoku/>
        <w:wordWrap/>
        <w:overflowPunct/>
        <w:topLinePunct w:val="0"/>
        <w:autoSpaceDE/>
        <w:autoSpaceDN/>
        <w:bidi w:val="0"/>
        <w:spacing w:line="360" w:lineRule="auto"/>
        <w:ind w:firstLine="420" w:firstLineChars="200"/>
        <w:rPr>
          <w:rFonts w:hint="eastAsia" w:ascii="Times New Roman" w:hAnsi="Times New Roman" w:eastAsia="宋体" w:cs="宋体"/>
          <w:color w:val="000000" w:themeColor="text1"/>
          <w:spacing w:val="0"/>
          <w:szCs w:val="21"/>
          <w:highlight w:val="none"/>
          <w14:textFill>
            <w14:solidFill>
              <w14:schemeClr w14:val="tx1"/>
            </w14:solidFill>
          </w14:textFill>
        </w:rPr>
      </w:pPr>
      <w:r>
        <w:rPr>
          <w:rFonts w:hint="eastAsia" w:ascii="Times New Roman" w:hAnsi="Times New Roman" w:eastAsia="宋体" w:cs="宋体"/>
          <w:color w:val="000000" w:themeColor="text1"/>
          <w:spacing w:val="0"/>
          <w:szCs w:val="21"/>
          <w:highlight w:val="none"/>
          <w14:textFill>
            <w14:solidFill>
              <w14:schemeClr w14:val="tx1"/>
            </w14:solidFill>
          </w14:textFill>
        </w:rPr>
        <w:t>12.1.1资格证明文件：详见供应商须知前附表</w:t>
      </w:r>
    </w:p>
    <w:p w14:paraId="1A1C353D">
      <w:pPr>
        <w:pageBreakBefore w:val="0"/>
        <w:widowControl w:val="0"/>
        <w:kinsoku/>
        <w:wordWrap/>
        <w:overflowPunct/>
        <w:topLinePunct w:val="0"/>
        <w:autoSpaceDE/>
        <w:autoSpaceDN/>
        <w:bidi w:val="0"/>
        <w:spacing w:line="360" w:lineRule="auto"/>
        <w:ind w:firstLine="420" w:firstLineChars="200"/>
        <w:rPr>
          <w:rFonts w:hint="eastAsia" w:ascii="Times New Roman" w:hAnsi="Times New Roman" w:eastAsia="宋体" w:cs="宋体"/>
          <w:color w:val="000000" w:themeColor="text1"/>
          <w:spacing w:val="0"/>
          <w:szCs w:val="21"/>
          <w:highlight w:val="none"/>
          <w14:textFill>
            <w14:solidFill>
              <w14:schemeClr w14:val="tx1"/>
            </w14:solidFill>
          </w14:textFill>
        </w:rPr>
      </w:pPr>
      <w:r>
        <w:rPr>
          <w:rFonts w:hint="eastAsia" w:ascii="Times New Roman" w:hAnsi="Times New Roman" w:eastAsia="宋体" w:cs="宋体"/>
          <w:color w:val="000000" w:themeColor="text1"/>
          <w:spacing w:val="0"/>
          <w:szCs w:val="21"/>
          <w:highlight w:val="none"/>
          <w14:textFill>
            <w14:solidFill>
              <w14:schemeClr w14:val="tx1"/>
            </w14:solidFill>
          </w14:textFill>
        </w:rPr>
        <w:t>12.1.2商务技术文件：详见供应商须知前附表</w:t>
      </w:r>
    </w:p>
    <w:p w14:paraId="58891125">
      <w:pPr>
        <w:pageBreakBefore w:val="0"/>
        <w:widowControl w:val="0"/>
        <w:kinsoku/>
        <w:wordWrap/>
        <w:overflowPunct/>
        <w:topLinePunct w:val="0"/>
        <w:autoSpaceDE/>
        <w:autoSpaceDN/>
        <w:bidi w:val="0"/>
        <w:spacing w:line="360" w:lineRule="auto"/>
        <w:ind w:firstLine="420" w:firstLineChars="200"/>
        <w:rPr>
          <w:rFonts w:hint="eastAsia" w:ascii="Times New Roman" w:hAnsi="Times New Roman" w:eastAsia="宋体" w:cs="宋体"/>
          <w:color w:val="000000" w:themeColor="text1"/>
          <w:spacing w:val="0"/>
          <w:szCs w:val="21"/>
          <w:highlight w:val="none"/>
          <w14:textFill>
            <w14:solidFill>
              <w14:schemeClr w14:val="tx1"/>
            </w14:solidFill>
          </w14:textFill>
        </w:rPr>
      </w:pPr>
      <w:r>
        <w:rPr>
          <w:rFonts w:hint="eastAsia" w:ascii="Times New Roman" w:hAnsi="Times New Roman" w:eastAsia="宋体" w:cs="宋体"/>
          <w:color w:val="000000" w:themeColor="text1"/>
          <w:spacing w:val="0"/>
          <w:szCs w:val="21"/>
          <w:highlight w:val="none"/>
          <w14:textFill>
            <w14:solidFill>
              <w14:schemeClr w14:val="tx1"/>
            </w14:solidFill>
          </w14:textFill>
        </w:rPr>
        <w:t>12.1.3报价文件：详见供应商须知前附表</w:t>
      </w:r>
    </w:p>
    <w:p w14:paraId="355D2D62">
      <w:pPr>
        <w:pageBreakBefore w:val="0"/>
        <w:widowControl w:val="0"/>
        <w:kinsoku/>
        <w:wordWrap/>
        <w:overflowPunct/>
        <w:topLinePunct w:val="0"/>
        <w:autoSpaceDE/>
        <w:autoSpaceDN/>
        <w:bidi w:val="0"/>
        <w:spacing w:line="360" w:lineRule="auto"/>
        <w:ind w:firstLine="420" w:firstLineChars="200"/>
        <w:rPr>
          <w:rFonts w:hint="eastAsia" w:ascii="Times New Roman" w:hAnsi="Times New Roman" w:eastAsia="宋体" w:cs="宋体"/>
          <w:color w:val="000000" w:themeColor="text1"/>
          <w:spacing w:val="0"/>
          <w:szCs w:val="21"/>
          <w:highlight w:val="none"/>
          <w14:textFill>
            <w14:solidFill>
              <w14:schemeClr w14:val="tx1"/>
            </w14:solidFill>
          </w14:textFill>
        </w:rPr>
      </w:pPr>
      <w:r>
        <w:rPr>
          <w:rFonts w:hint="eastAsia" w:ascii="Times New Roman" w:hAnsi="Times New Roman" w:eastAsia="宋体" w:cs="宋体"/>
          <w:color w:val="000000" w:themeColor="text1"/>
          <w:spacing w:val="0"/>
          <w:szCs w:val="21"/>
          <w:highlight w:val="none"/>
          <w14:textFill>
            <w14:solidFill>
              <w14:schemeClr w14:val="tx1"/>
            </w14:solidFill>
          </w14:textFill>
        </w:rPr>
        <w:t>12.2响应文件电子版：详见供应商须知前附表</w:t>
      </w:r>
    </w:p>
    <w:p w14:paraId="49AFA08A">
      <w:pPr>
        <w:pageBreakBefore w:val="0"/>
        <w:widowControl w:val="0"/>
        <w:kinsoku/>
        <w:wordWrap/>
        <w:overflowPunct/>
        <w:topLinePunct w:val="0"/>
        <w:autoSpaceDE/>
        <w:autoSpaceDN/>
        <w:bidi w:val="0"/>
        <w:spacing w:line="360" w:lineRule="auto"/>
        <w:outlineLvl w:val="2"/>
        <w:rPr>
          <w:rFonts w:hint="eastAsia" w:ascii="Times New Roman" w:hAnsi="Times New Roman" w:eastAsia="宋体" w:cs="宋体"/>
          <w:b/>
          <w:bCs/>
          <w:color w:val="000000" w:themeColor="text1"/>
          <w:spacing w:val="0"/>
          <w:sz w:val="21"/>
          <w:szCs w:val="21"/>
          <w:highlight w:val="none"/>
          <w14:textFill>
            <w14:solidFill>
              <w14:schemeClr w14:val="tx1"/>
            </w14:solidFill>
          </w14:textFill>
        </w:rPr>
      </w:pPr>
      <w:bookmarkStart w:id="112" w:name="_Toc22507"/>
      <w:r>
        <w:rPr>
          <w:rFonts w:hint="eastAsia" w:ascii="Times New Roman" w:hAnsi="Times New Roman" w:eastAsia="宋体" w:cs="宋体"/>
          <w:b/>
          <w:bCs/>
          <w:color w:val="000000" w:themeColor="text1"/>
          <w:spacing w:val="0"/>
          <w:sz w:val="21"/>
          <w:szCs w:val="21"/>
          <w:highlight w:val="none"/>
          <w14:textFill>
            <w14:solidFill>
              <w14:schemeClr w14:val="tx1"/>
            </w14:solidFill>
          </w14:textFill>
        </w:rPr>
        <w:t>13.计量单位</w:t>
      </w:r>
      <w:bookmarkEnd w:id="112"/>
    </w:p>
    <w:p w14:paraId="5E55198D">
      <w:pPr>
        <w:pageBreakBefore w:val="0"/>
        <w:widowControl w:val="0"/>
        <w:kinsoku/>
        <w:wordWrap/>
        <w:overflowPunct/>
        <w:topLinePunct w:val="0"/>
        <w:autoSpaceDE/>
        <w:autoSpaceDN/>
        <w:bidi w:val="0"/>
        <w:spacing w:line="360" w:lineRule="auto"/>
        <w:ind w:firstLine="420" w:firstLineChars="200"/>
        <w:rPr>
          <w:rFonts w:hint="eastAsia" w:ascii="Times New Roman" w:hAnsi="Times New Roman" w:eastAsia="宋体" w:cs="宋体"/>
          <w:color w:val="000000" w:themeColor="text1"/>
          <w:spacing w:val="0"/>
          <w:szCs w:val="21"/>
          <w:highlight w:val="none"/>
          <w14:textFill>
            <w14:solidFill>
              <w14:schemeClr w14:val="tx1"/>
            </w14:solidFill>
          </w14:textFill>
        </w:rPr>
      </w:pPr>
      <w:r>
        <w:rPr>
          <w:rFonts w:hint="eastAsia" w:ascii="Times New Roman" w:hAnsi="Times New Roman" w:eastAsia="宋体" w:cs="宋体"/>
          <w:color w:val="000000" w:themeColor="text1"/>
          <w:spacing w:val="0"/>
          <w:szCs w:val="21"/>
          <w:highlight w:val="none"/>
          <w14:textFill>
            <w14:solidFill>
              <w14:schemeClr w14:val="tx1"/>
            </w14:solidFill>
          </w14:textFill>
        </w:rPr>
        <w:t>磋商文件已有明确规定的，使用磋商文件规定的计量单位；磋商文件没有规定的，应采用中华人民共和国法定计量单位，货币种类为人民币，否则视同未响应。</w:t>
      </w:r>
    </w:p>
    <w:p w14:paraId="4979FFE7">
      <w:pPr>
        <w:pageBreakBefore w:val="0"/>
        <w:widowControl w:val="0"/>
        <w:kinsoku/>
        <w:wordWrap/>
        <w:overflowPunct/>
        <w:topLinePunct w:val="0"/>
        <w:autoSpaceDE/>
        <w:autoSpaceDN/>
        <w:bidi w:val="0"/>
        <w:spacing w:line="360" w:lineRule="auto"/>
        <w:outlineLvl w:val="2"/>
        <w:rPr>
          <w:rFonts w:hint="eastAsia" w:ascii="Times New Roman" w:hAnsi="Times New Roman" w:eastAsia="宋体" w:cs="宋体"/>
          <w:b/>
          <w:bCs/>
          <w:color w:val="000000" w:themeColor="text1"/>
          <w:spacing w:val="0"/>
          <w:sz w:val="21"/>
          <w:szCs w:val="21"/>
          <w:highlight w:val="none"/>
          <w14:textFill>
            <w14:solidFill>
              <w14:schemeClr w14:val="tx1"/>
            </w14:solidFill>
          </w14:textFill>
        </w:rPr>
      </w:pPr>
      <w:bookmarkStart w:id="113" w:name="_Toc4373"/>
      <w:r>
        <w:rPr>
          <w:rFonts w:hint="eastAsia" w:ascii="Times New Roman" w:hAnsi="Times New Roman" w:eastAsia="宋体" w:cs="宋体"/>
          <w:b/>
          <w:bCs/>
          <w:color w:val="000000" w:themeColor="text1"/>
          <w:spacing w:val="0"/>
          <w:sz w:val="21"/>
          <w:szCs w:val="21"/>
          <w:highlight w:val="none"/>
          <w14:textFill>
            <w14:solidFill>
              <w14:schemeClr w14:val="tx1"/>
            </w14:solidFill>
          </w14:textFill>
        </w:rPr>
        <w:t>14.竞标的风险</w:t>
      </w:r>
      <w:bookmarkEnd w:id="113"/>
    </w:p>
    <w:p w14:paraId="358F18C4">
      <w:pPr>
        <w:pageBreakBefore w:val="0"/>
        <w:widowControl w:val="0"/>
        <w:kinsoku/>
        <w:wordWrap/>
        <w:overflowPunct/>
        <w:topLinePunct w:val="0"/>
        <w:autoSpaceDE/>
        <w:autoSpaceDN/>
        <w:bidi w:val="0"/>
        <w:spacing w:line="360" w:lineRule="auto"/>
        <w:ind w:firstLine="420" w:firstLineChars="200"/>
        <w:rPr>
          <w:rFonts w:hint="eastAsia" w:ascii="Times New Roman" w:hAnsi="Times New Roman" w:eastAsia="宋体" w:cs="宋体"/>
          <w:color w:val="000000" w:themeColor="text1"/>
          <w:spacing w:val="0"/>
          <w:szCs w:val="21"/>
          <w:highlight w:val="none"/>
          <w14:textFill>
            <w14:solidFill>
              <w14:schemeClr w14:val="tx1"/>
            </w14:solidFill>
          </w14:textFill>
        </w:rPr>
      </w:pPr>
      <w:r>
        <w:rPr>
          <w:rFonts w:hint="eastAsia" w:ascii="Times New Roman" w:hAnsi="Times New Roman" w:eastAsia="宋体" w:cs="宋体"/>
          <w:color w:val="000000" w:themeColor="text1"/>
          <w:spacing w:val="0"/>
          <w:szCs w:val="21"/>
          <w:highlight w:val="none"/>
          <w14:textFill>
            <w14:solidFill>
              <w14:schemeClr w14:val="tx1"/>
            </w14:solidFill>
          </w14:textFill>
        </w:rPr>
        <w:t>供应商没有按照磋商文件要求提供全部资料，或者供应商没有对磋商文件在各方面作出实质性响应可能导致其响应无效，是供应商应当考虑的风险。</w:t>
      </w:r>
    </w:p>
    <w:p w14:paraId="5BA6F87A">
      <w:pPr>
        <w:pageBreakBefore w:val="0"/>
        <w:widowControl w:val="0"/>
        <w:kinsoku/>
        <w:wordWrap/>
        <w:overflowPunct/>
        <w:topLinePunct w:val="0"/>
        <w:autoSpaceDE/>
        <w:autoSpaceDN/>
        <w:bidi w:val="0"/>
        <w:spacing w:line="360" w:lineRule="auto"/>
        <w:outlineLvl w:val="2"/>
        <w:rPr>
          <w:rFonts w:hint="eastAsia" w:ascii="Times New Roman" w:hAnsi="Times New Roman" w:eastAsia="宋体" w:cs="宋体"/>
          <w:b/>
          <w:bCs/>
          <w:color w:val="000000" w:themeColor="text1"/>
          <w:spacing w:val="0"/>
          <w:sz w:val="21"/>
          <w:szCs w:val="21"/>
          <w:highlight w:val="none"/>
          <w14:textFill>
            <w14:solidFill>
              <w14:schemeClr w14:val="tx1"/>
            </w14:solidFill>
          </w14:textFill>
        </w:rPr>
      </w:pPr>
      <w:bookmarkStart w:id="114" w:name="_Toc10885"/>
      <w:r>
        <w:rPr>
          <w:rFonts w:hint="eastAsia" w:ascii="Times New Roman" w:hAnsi="Times New Roman" w:eastAsia="宋体" w:cs="宋体"/>
          <w:b/>
          <w:bCs/>
          <w:color w:val="000000" w:themeColor="text1"/>
          <w:spacing w:val="0"/>
          <w:sz w:val="21"/>
          <w:szCs w:val="21"/>
          <w:highlight w:val="none"/>
          <w14:textFill>
            <w14:solidFill>
              <w14:schemeClr w14:val="tx1"/>
            </w14:solidFill>
          </w14:textFill>
        </w:rPr>
        <w:t>15.响应报价要求和构成</w:t>
      </w:r>
      <w:bookmarkEnd w:id="114"/>
    </w:p>
    <w:p w14:paraId="781EC247">
      <w:pPr>
        <w:pageBreakBefore w:val="0"/>
        <w:widowControl w:val="0"/>
        <w:tabs>
          <w:tab w:val="left" w:pos="2492"/>
        </w:tabs>
        <w:kinsoku/>
        <w:wordWrap/>
        <w:overflowPunct/>
        <w:topLinePunct w:val="0"/>
        <w:autoSpaceDE/>
        <w:autoSpaceDN/>
        <w:bidi w:val="0"/>
        <w:spacing w:line="360" w:lineRule="auto"/>
        <w:ind w:firstLine="420" w:firstLineChars="200"/>
        <w:rPr>
          <w:rFonts w:hint="eastAsia" w:ascii="Times New Roman" w:hAnsi="Times New Roman" w:eastAsia="宋体" w:cs="宋体"/>
          <w:color w:val="000000" w:themeColor="text1"/>
          <w:spacing w:val="0"/>
          <w:szCs w:val="21"/>
          <w:highlight w:val="none"/>
          <w14:textFill>
            <w14:solidFill>
              <w14:schemeClr w14:val="tx1"/>
            </w14:solidFill>
          </w14:textFill>
        </w:rPr>
      </w:pPr>
      <w:r>
        <w:rPr>
          <w:rFonts w:hint="eastAsia" w:ascii="Times New Roman" w:hAnsi="Times New Roman" w:eastAsia="宋体" w:cs="宋体"/>
          <w:color w:val="000000" w:themeColor="text1"/>
          <w:spacing w:val="0"/>
          <w:szCs w:val="21"/>
          <w:highlight w:val="none"/>
          <w14:textFill>
            <w14:solidFill>
              <w14:schemeClr w14:val="tx1"/>
            </w14:solidFill>
          </w14:textFill>
        </w:rPr>
        <w:t>15.1响应报价应按</w:t>
      </w:r>
      <w:r>
        <w:rPr>
          <w:rFonts w:hint="eastAsia" w:ascii="Times New Roman" w:hAnsi="Times New Roman" w:eastAsia="宋体" w:cs="宋体"/>
          <w:color w:val="000000" w:themeColor="text1"/>
          <w:spacing w:val="0"/>
          <w:szCs w:val="21"/>
          <w:highlight w:val="none"/>
          <w:lang w:eastAsia="zh-CN"/>
          <w14:textFill>
            <w14:solidFill>
              <w14:schemeClr w14:val="tx1"/>
            </w14:solidFill>
          </w14:textFill>
        </w:rPr>
        <w:t>“</w:t>
      </w:r>
      <w:r>
        <w:rPr>
          <w:rFonts w:hint="eastAsia" w:ascii="Times New Roman" w:hAnsi="Times New Roman" w:eastAsia="宋体" w:cs="宋体"/>
          <w:color w:val="000000" w:themeColor="text1"/>
          <w:spacing w:val="0"/>
          <w:szCs w:val="21"/>
          <w:highlight w:val="none"/>
          <w14:textFill>
            <w14:solidFill>
              <w14:schemeClr w14:val="tx1"/>
            </w14:solidFill>
          </w14:textFill>
        </w:rPr>
        <w:t>第五章 响应文件格式</w:t>
      </w:r>
      <w:r>
        <w:rPr>
          <w:rFonts w:hint="eastAsia" w:ascii="Times New Roman" w:hAnsi="Times New Roman" w:eastAsia="宋体" w:cs="宋体"/>
          <w:color w:val="000000" w:themeColor="text1"/>
          <w:spacing w:val="0"/>
          <w:szCs w:val="21"/>
          <w:highlight w:val="none"/>
          <w:lang w:eastAsia="zh-CN"/>
          <w14:textFill>
            <w14:solidFill>
              <w14:schemeClr w14:val="tx1"/>
            </w14:solidFill>
          </w14:textFill>
        </w:rPr>
        <w:t>”</w:t>
      </w:r>
      <w:r>
        <w:rPr>
          <w:rFonts w:hint="eastAsia" w:ascii="Times New Roman" w:hAnsi="Times New Roman" w:eastAsia="宋体" w:cs="宋体"/>
          <w:color w:val="000000" w:themeColor="text1"/>
          <w:spacing w:val="0"/>
          <w:szCs w:val="21"/>
          <w:highlight w:val="none"/>
          <w14:textFill>
            <w14:solidFill>
              <w14:schemeClr w14:val="tx1"/>
            </w14:solidFill>
          </w14:textFill>
        </w:rPr>
        <w:t>中</w:t>
      </w:r>
      <w:r>
        <w:rPr>
          <w:rFonts w:hint="eastAsia" w:ascii="Times New Roman" w:hAnsi="Times New Roman" w:eastAsia="宋体" w:cs="宋体"/>
          <w:color w:val="000000" w:themeColor="text1"/>
          <w:spacing w:val="0"/>
          <w:szCs w:val="21"/>
          <w:highlight w:val="none"/>
          <w:lang w:eastAsia="zh-CN"/>
          <w14:textFill>
            <w14:solidFill>
              <w14:schemeClr w14:val="tx1"/>
            </w14:solidFill>
          </w14:textFill>
        </w:rPr>
        <w:t>“</w:t>
      </w:r>
      <w:r>
        <w:rPr>
          <w:rFonts w:hint="eastAsia" w:ascii="Times New Roman" w:hAnsi="Times New Roman" w:eastAsia="宋体" w:cs="宋体"/>
          <w:color w:val="000000" w:themeColor="text1"/>
          <w:spacing w:val="0"/>
          <w:szCs w:val="21"/>
          <w:highlight w:val="none"/>
          <w14:textFill>
            <w14:solidFill>
              <w14:schemeClr w14:val="tx1"/>
            </w14:solidFill>
          </w14:textFill>
        </w:rPr>
        <w:t>响应报价表</w:t>
      </w:r>
      <w:r>
        <w:rPr>
          <w:rFonts w:hint="eastAsia" w:ascii="Times New Roman" w:hAnsi="Times New Roman" w:eastAsia="宋体" w:cs="宋体"/>
          <w:color w:val="000000" w:themeColor="text1"/>
          <w:spacing w:val="0"/>
          <w:szCs w:val="21"/>
          <w:highlight w:val="none"/>
          <w:lang w:eastAsia="zh-CN"/>
          <w14:textFill>
            <w14:solidFill>
              <w14:schemeClr w14:val="tx1"/>
            </w14:solidFill>
          </w14:textFill>
        </w:rPr>
        <w:t>”</w:t>
      </w:r>
      <w:r>
        <w:rPr>
          <w:rFonts w:hint="eastAsia" w:ascii="Times New Roman" w:hAnsi="Times New Roman" w:eastAsia="宋体" w:cs="宋体"/>
          <w:color w:val="000000" w:themeColor="text1"/>
          <w:spacing w:val="0"/>
          <w:szCs w:val="21"/>
          <w:highlight w:val="none"/>
          <w14:textFill>
            <w14:solidFill>
              <w14:schemeClr w14:val="tx1"/>
            </w14:solidFill>
          </w14:textFill>
        </w:rPr>
        <w:t>格式填写。</w:t>
      </w:r>
    </w:p>
    <w:p w14:paraId="5B573C83">
      <w:pPr>
        <w:pageBreakBefore w:val="0"/>
        <w:widowControl w:val="0"/>
        <w:tabs>
          <w:tab w:val="left" w:pos="2492"/>
        </w:tabs>
        <w:kinsoku/>
        <w:wordWrap/>
        <w:overflowPunct/>
        <w:topLinePunct w:val="0"/>
        <w:autoSpaceDE/>
        <w:autoSpaceDN/>
        <w:bidi w:val="0"/>
        <w:spacing w:line="360" w:lineRule="auto"/>
        <w:ind w:firstLine="420" w:firstLineChars="200"/>
        <w:rPr>
          <w:rFonts w:hint="eastAsia" w:ascii="Times New Roman" w:hAnsi="Times New Roman" w:eastAsia="宋体" w:cs="宋体"/>
          <w:color w:val="000000" w:themeColor="text1"/>
          <w:spacing w:val="0"/>
          <w:szCs w:val="21"/>
          <w:highlight w:val="none"/>
          <w14:textFill>
            <w14:solidFill>
              <w14:schemeClr w14:val="tx1"/>
            </w14:solidFill>
          </w14:textFill>
        </w:rPr>
      </w:pPr>
      <w:r>
        <w:rPr>
          <w:rFonts w:hint="eastAsia" w:ascii="Times New Roman" w:hAnsi="Times New Roman" w:eastAsia="宋体" w:cs="宋体"/>
          <w:color w:val="000000" w:themeColor="text1"/>
          <w:spacing w:val="0"/>
          <w:szCs w:val="21"/>
          <w:highlight w:val="none"/>
          <w14:textFill>
            <w14:solidFill>
              <w14:schemeClr w14:val="tx1"/>
            </w14:solidFill>
          </w14:textFill>
        </w:rPr>
        <w:t>15.2响应报价的价格构成见</w:t>
      </w:r>
      <w:r>
        <w:rPr>
          <w:rFonts w:hint="eastAsia" w:ascii="Times New Roman" w:hAnsi="Times New Roman" w:eastAsia="宋体" w:cs="宋体"/>
          <w:color w:val="000000" w:themeColor="text1"/>
          <w:spacing w:val="0"/>
          <w:szCs w:val="21"/>
          <w:highlight w:val="none"/>
          <w:lang w:eastAsia="zh-CN"/>
          <w14:textFill>
            <w14:solidFill>
              <w14:schemeClr w14:val="tx1"/>
            </w14:solidFill>
          </w14:textFill>
        </w:rPr>
        <w:t>“</w:t>
      </w:r>
      <w:r>
        <w:rPr>
          <w:rFonts w:hint="eastAsia" w:ascii="Times New Roman" w:hAnsi="Times New Roman" w:eastAsia="宋体" w:cs="宋体"/>
          <w:color w:val="000000" w:themeColor="text1"/>
          <w:spacing w:val="0"/>
          <w:szCs w:val="21"/>
          <w:highlight w:val="none"/>
          <w14:textFill>
            <w14:solidFill>
              <w14:schemeClr w14:val="tx1"/>
            </w14:solidFill>
          </w14:textFill>
        </w:rPr>
        <w:t>供应商须知前附表</w:t>
      </w:r>
      <w:r>
        <w:rPr>
          <w:rFonts w:hint="eastAsia" w:ascii="Times New Roman" w:hAnsi="Times New Roman" w:eastAsia="宋体" w:cs="宋体"/>
          <w:color w:val="000000" w:themeColor="text1"/>
          <w:spacing w:val="0"/>
          <w:szCs w:val="21"/>
          <w:highlight w:val="none"/>
          <w:lang w:eastAsia="zh-CN"/>
          <w14:textFill>
            <w14:solidFill>
              <w14:schemeClr w14:val="tx1"/>
            </w14:solidFill>
          </w14:textFill>
        </w:rPr>
        <w:t>”</w:t>
      </w:r>
      <w:r>
        <w:rPr>
          <w:rFonts w:hint="eastAsia" w:ascii="Times New Roman" w:hAnsi="Times New Roman" w:eastAsia="宋体" w:cs="宋体"/>
          <w:color w:val="000000" w:themeColor="text1"/>
          <w:spacing w:val="0"/>
          <w:szCs w:val="21"/>
          <w:highlight w:val="none"/>
          <w14:textFill>
            <w14:solidFill>
              <w14:schemeClr w14:val="tx1"/>
            </w14:solidFill>
          </w14:textFill>
        </w:rPr>
        <w:t>。</w:t>
      </w:r>
    </w:p>
    <w:p w14:paraId="0AAA47F4">
      <w:pPr>
        <w:pageBreakBefore w:val="0"/>
        <w:widowControl w:val="0"/>
        <w:kinsoku/>
        <w:wordWrap/>
        <w:overflowPunct/>
        <w:topLinePunct w:val="0"/>
        <w:autoSpaceDE/>
        <w:autoSpaceDN/>
        <w:bidi w:val="0"/>
        <w:spacing w:line="360" w:lineRule="auto"/>
        <w:ind w:firstLine="420" w:firstLineChars="200"/>
        <w:rPr>
          <w:rFonts w:hint="eastAsia" w:ascii="Times New Roman" w:hAnsi="Times New Roman" w:eastAsia="宋体" w:cs="宋体"/>
          <w:color w:val="000000" w:themeColor="text1"/>
          <w:spacing w:val="0"/>
          <w:szCs w:val="21"/>
          <w:highlight w:val="none"/>
          <w14:textFill>
            <w14:solidFill>
              <w14:schemeClr w14:val="tx1"/>
            </w14:solidFill>
          </w14:textFill>
        </w:rPr>
      </w:pPr>
      <w:r>
        <w:rPr>
          <w:rFonts w:hint="eastAsia" w:ascii="Times New Roman" w:hAnsi="Times New Roman" w:eastAsia="宋体" w:cs="宋体"/>
          <w:color w:val="000000" w:themeColor="text1"/>
          <w:spacing w:val="0"/>
          <w:szCs w:val="21"/>
          <w:highlight w:val="none"/>
          <w14:textFill>
            <w14:solidFill>
              <w14:schemeClr w14:val="tx1"/>
            </w14:solidFill>
          </w14:textFill>
        </w:rPr>
        <w:t>15.3响应报价</w:t>
      </w:r>
      <w:r>
        <w:rPr>
          <w:rFonts w:hint="eastAsia" w:cs="宋体"/>
          <w:color w:val="000000" w:themeColor="text1"/>
          <w:spacing w:val="0"/>
          <w:szCs w:val="21"/>
          <w:highlight w:val="none"/>
          <w:lang w:eastAsia="zh-CN"/>
          <w14:textFill>
            <w14:solidFill>
              <w14:schemeClr w14:val="tx1"/>
            </w14:solidFill>
          </w14:textFill>
        </w:rPr>
        <w:t>和工程量清单报价</w:t>
      </w:r>
      <w:r>
        <w:rPr>
          <w:rFonts w:hint="eastAsia" w:ascii="Times New Roman" w:hAnsi="Times New Roman" w:eastAsia="宋体" w:cs="宋体"/>
          <w:color w:val="000000" w:themeColor="text1"/>
          <w:spacing w:val="0"/>
          <w:szCs w:val="21"/>
          <w:highlight w:val="none"/>
          <w14:textFill>
            <w14:solidFill>
              <w14:schemeClr w14:val="tx1"/>
            </w14:solidFill>
          </w14:textFill>
        </w:rPr>
        <w:t>要求</w:t>
      </w:r>
    </w:p>
    <w:p w14:paraId="0FEFBDA3">
      <w:pPr>
        <w:pageBreakBefore w:val="0"/>
        <w:widowControl w:val="0"/>
        <w:kinsoku/>
        <w:wordWrap/>
        <w:overflowPunct/>
        <w:topLinePunct w:val="0"/>
        <w:autoSpaceDE/>
        <w:autoSpaceDN/>
        <w:bidi w:val="0"/>
        <w:spacing w:line="360" w:lineRule="auto"/>
        <w:ind w:firstLine="420" w:firstLineChars="200"/>
        <w:rPr>
          <w:rFonts w:hint="eastAsia" w:ascii="Times New Roman" w:hAnsi="Times New Roman" w:eastAsia="宋体" w:cs="宋体"/>
          <w:color w:val="000000" w:themeColor="text1"/>
          <w:spacing w:val="0"/>
          <w:szCs w:val="21"/>
          <w:highlight w:val="none"/>
          <w14:textFill>
            <w14:solidFill>
              <w14:schemeClr w14:val="tx1"/>
            </w14:solidFill>
          </w14:textFill>
        </w:rPr>
      </w:pPr>
      <w:r>
        <w:rPr>
          <w:rFonts w:hint="eastAsia" w:ascii="Times New Roman" w:hAnsi="Times New Roman" w:eastAsia="宋体" w:cs="宋体"/>
          <w:color w:val="000000" w:themeColor="text1"/>
          <w:spacing w:val="0"/>
          <w:szCs w:val="21"/>
          <w:highlight w:val="none"/>
          <w14:textFill>
            <w14:solidFill>
              <w14:schemeClr w14:val="tx1"/>
            </w14:solidFill>
          </w14:textFill>
        </w:rPr>
        <w:t>15.3.1供应商的响应报价</w:t>
      </w:r>
      <w:r>
        <w:rPr>
          <w:rFonts w:hint="eastAsia" w:cs="宋体"/>
          <w:color w:val="000000" w:themeColor="text1"/>
          <w:spacing w:val="0"/>
          <w:szCs w:val="21"/>
          <w:highlight w:val="none"/>
          <w:lang w:eastAsia="zh-CN"/>
          <w14:textFill>
            <w14:solidFill>
              <w14:schemeClr w14:val="tx1"/>
            </w14:solidFill>
          </w14:textFill>
        </w:rPr>
        <w:t>和工程量清单报价</w:t>
      </w:r>
      <w:r>
        <w:rPr>
          <w:rFonts w:hint="eastAsia" w:ascii="Times New Roman" w:hAnsi="Times New Roman" w:eastAsia="宋体" w:cs="宋体"/>
          <w:color w:val="000000" w:themeColor="text1"/>
          <w:spacing w:val="0"/>
          <w:szCs w:val="21"/>
          <w:highlight w:val="none"/>
          <w14:textFill>
            <w14:solidFill>
              <w14:schemeClr w14:val="tx1"/>
            </w14:solidFill>
          </w14:textFill>
        </w:rPr>
        <w:t>要求见</w:t>
      </w:r>
      <w:r>
        <w:rPr>
          <w:rFonts w:hint="eastAsia" w:ascii="Times New Roman" w:hAnsi="Times New Roman" w:eastAsia="宋体" w:cs="宋体"/>
          <w:color w:val="000000" w:themeColor="text1"/>
          <w:spacing w:val="0"/>
          <w:szCs w:val="21"/>
          <w:highlight w:val="none"/>
          <w:lang w:eastAsia="zh-CN"/>
          <w14:textFill>
            <w14:solidFill>
              <w14:schemeClr w14:val="tx1"/>
            </w14:solidFill>
          </w14:textFill>
        </w:rPr>
        <w:t>“</w:t>
      </w:r>
      <w:r>
        <w:rPr>
          <w:rFonts w:hint="eastAsia" w:ascii="Times New Roman" w:hAnsi="Times New Roman" w:eastAsia="宋体" w:cs="宋体"/>
          <w:color w:val="000000" w:themeColor="text1"/>
          <w:spacing w:val="0"/>
          <w:szCs w:val="21"/>
          <w:highlight w:val="none"/>
          <w14:textFill>
            <w14:solidFill>
              <w14:schemeClr w14:val="tx1"/>
            </w14:solidFill>
          </w14:textFill>
        </w:rPr>
        <w:t>供应商须知前附表</w:t>
      </w:r>
      <w:r>
        <w:rPr>
          <w:rFonts w:hint="eastAsia" w:ascii="Times New Roman" w:hAnsi="Times New Roman" w:eastAsia="宋体" w:cs="宋体"/>
          <w:color w:val="000000" w:themeColor="text1"/>
          <w:spacing w:val="0"/>
          <w:szCs w:val="21"/>
          <w:highlight w:val="none"/>
          <w:lang w:eastAsia="zh-CN"/>
          <w14:textFill>
            <w14:solidFill>
              <w14:schemeClr w14:val="tx1"/>
            </w14:solidFill>
          </w14:textFill>
        </w:rPr>
        <w:t>”</w:t>
      </w:r>
      <w:r>
        <w:rPr>
          <w:rFonts w:hint="eastAsia" w:ascii="Times New Roman" w:hAnsi="Times New Roman" w:eastAsia="宋体" w:cs="宋体"/>
          <w:color w:val="000000" w:themeColor="text1"/>
          <w:spacing w:val="0"/>
          <w:szCs w:val="21"/>
          <w:highlight w:val="none"/>
          <w14:textFill>
            <w14:solidFill>
              <w14:schemeClr w14:val="tx1"/>
            </w14:solidFill>
          </w14:textFill>
        </w:rPr>
        <w:t>。</w:t>
      </w:r>
    </w:p>
    <w:p w14:paraId="4689E98F">
      <w:pPr>
        <w:pageBreakBefore w:val="0"/>
        <w:widowControl w:val="0"/>
        <w:kinsoku/>
        <w:wordWrap/>
        <w:overflowPunct/>
        <w:topLinePunct w:val="0"/>
        <w:autoSpaceDE/>
        <w:autoSpaceDN/>
        <w:bidi w:val="0"/>
        <w:spacing w:line="360" w:lineRule="auto"/>
        <w:ind w:firstLine="422" w:firstLineChars="200"/>
        <w:rPr>
          <w:rFonts w:hint="eastAsia" w:ascii="Times New Roman" w:hAnsi="Times New Roman" w:eastAsia="宋体" w:cs="宋体"/>
          <w:b/>
          <w:bCs/>
          <w:color w:val="000000" w:themeColor="text1"/>
          <w:spacing w:val="0"/>
          <w:szCs w:val="21"/>
          <w:highlight w:val="none"/>
          <w14:textFill>
            <w14:solidFill>
              <w14:schemeClr w14:val="tx1"/>
            </w14:solidFill>
          </w14:textFill>
        </w:rPr>
      </w:pPr>
      <w:r>
        <w:rPr>
          <w:rFonts w:hint="eastAsia" w:ascii="Times New Roman" w:hAnsi="Times New Roman" w:eastAsia="宋体" w:cs="宋体"/>
          <w:b/>
          <w:bCs/>
          <w:color w:val="000000" w:themeColor="text1"/>
          <w:spacing w:val="0"/>
          <w:szCs w:val="21"/>
          <w:highlight w:val="none"/>
          <w14:textFill>
            <w14:solidFill>
              <w14:schemeClr w14:val="tx1"/>
            </w14:solidFill>
          </w14:textFill>
        </w:rPr>
        <w:t>15.3.2供应商的响应报价应符合以下要求，否则响应文件按无效响应处理：</w:t>
      </w:r>
    </w:p>
    <w:p w14:paraId="1468D27D">
      <w:pPr>
        <w:pageBreakBefore w:val="0"/>
        <w:widowControl w:val="0"/>
        <w:kinsoku/>
        <w:wordWrap/>
        <w:overflowPunct/>
        <w:topLinePunct w:val="0"/>
        <w:autoSpaceDE/>
        <w:autoSpaceDN/>
        <w:bidi w:val="0"/>
        <w:spacing w:line="360" w:lineRule="auto"/>
        <w:ind w:firstLine="420" w:firstLineChars="200"/>
        <w:rPr>
          <w:rFonts w:hint="eastAsia" w:ascii="Times New Roman" w:hAnsi="Times New Roman" w:eastAsia="宋体" w:cs="宋体"/>
          <w:color w:val="000000" w:themeColor="text1"/>
          <w:spacing w:val="0"/>
          <w:szCs w:val="21"/>
          <w:highlight w:val="none"/>
          <w14:textFill>
            <w14:solidFill>
              <w14:schemeClr w14:val="tx1"/>
            </w14:solidFill>
          </w14:textFill>
        </w:rPr>
      </w:pPr>
      <w:r>
        <w:rPr>
          <w:rFonts w:hint="eastAsia" w:ascii="Times New Roman" w:hAnsi="Times New Roman" w:eastAsia="宋体" w:cs="宋体"/>
          <w:color w:val="000000" w:themeColor="text1"/>
          <w:spacing w:val="0"/>
          <w:szCs w:val="21"/>
          <w:highlight w:val="none"/>
          <w14:textFill>
            <w14:solidFill>
              <w14:schemeClr w14:val="tx1"/>
            </w14:solidFill>
          </w14:textFill>
        </w:rPr>
        <w:t>（1）供应商必须就</w:t>
      </w:r>
      <w:r>
        <w:rPr>
          <w:rFonts w:hint="eastAsia" w:ascii="Times New Roman" w:hAnsi="Times New Roman" w:eastAsia="宋体" w:cs="宋体"/>
          <w:color w:val="000000" w:themeColor="text1"/>
          <w:spacing w:val="0"/>
          <w:szCs w:val="21"/>
          <w:highlight w:val="none"/>
          <w:lang w:eastAsia="zh-CN"/>
          <w14:textFill>
            <w14:solidFill>
              <w14:schemeClr w14:val="tx1"/>
            </w14:solidFill>
          </w14:textFill>
        </w:rPr>
        <w:t>“</w:t>
      </w:r>
      <w:r>
        <w:rPr>
          <w:rFonts w:hint="eastAsia" w:ascii="Times New Roman" w:hAnsi="Times New Roman" w:eastAsia="宋体" w:cs="宋体"/>
          <w:color w:val="000000" w:themeColor="text1"/>
          <w:spacing w:val="0"/>
          <w:szCs w:val="21"/>
          <w:highlight w:val="none"/>
          <w14:textFill>
            <w14:solidFill>
              <w14:schemeClr w14:val="tx1"/>
            </w14:solidFill>
          </w14:textFill>
        </w:rPr>
        <w:t>采购需求</w:t>
      </w:r>
      <w:r>
        <w:rPr>
          <w:rFonts w:hint="eastAsia" w:ascii="Times New Roman" w:hAnsi="Times New Roman" w:eastAsia="宋体" w:cs="宋体"/>
          <w:color w:val="000000" w:themeColor="text1"/>
          <w:spacing w:val="0"/>
          <w:szCs w:val="21"/>
          <w:highlight w:val="none"/>
          <w:lang w:eastAsia="zh-CN"/>
          <w14:textFill>
            <w14:solidFill>
              <w14:schemeClr w14:val="tx1"/>
            </w14:solidFill>
          </w14:textFill>
        </w:rPr>
        <w:t>”</w:t>
      </w:r>
      <w:r>
        <w:rPr>
          <w:rFonts w:hint="eastAsia" w:ascii="Times New Roman" w:hAnsi="Times New Roman" w:eastAsia="宋体" w:cs="宋体"/>
          <w:color w:val="000000" w:themeColor="text1"/>
          <w:spacing w:val="0"/>
          <w:szCs w:val="21"/>
          <w:highlight w:val="none"/>
          <w14:textFill>
            <w14:solidFill>
              <w14:schemeClr w14:val="tx1"/>
            </w14:solidFill>
          </w14:textFill>
        </w:rPr>
        <w:t>中所竞标的项目的全部内容分别作完整唯一总价报价，不得存在漏项报价；</w:t>
      </w:r>
    </w:p>
    <w:p w14:paraId="2A05408A">
      <w:pPr>
        <w:pageBreakBefore w:val="0"/>
        <w:widowControl w:val="0"/>
        <w:kinsoku/>
        <w:wordWrap/>
        <w:overflowPunct/>
        <w:topLinePunct w:val="0"/>
        <w:autoSpaceDE/>
        <w:autoSpaceDN/>
        <w:bidi w:val="0"/>
        <w:spacing w:line="360" w:lineRule="auto"/>
        <w:ind w:firstLine="420" w:firstLineChars="200"/>
        <w:rPr>
          <w:rFonts w:hint="eastAsia" w:ascii="Times New Roman" w:hAnsi="Times New Roman" w:eastAsia="宋体" w:cs="宋体"/>
          <w:color w:val="000000" w:themeColor="text1"/>
          <w:spacing w:val="0"/>
          <w:szCs w:val="21"/>
          <w:highlight w:val="none"/>
          <w14:textFill>
            <w14:solidFill>
              <w14:schemeClr w14:val="tx1"/>
            </w14:solidFill>
          </w14:textFill>
        </w:rPr>
      </w:pPr>
      <w:r>
        <w:rPr>
          <w:rFonts w:hint="eastAsia" w:ascii="Times New Roman" w:hAnsi="Times New Roman" w:eastAsia="宋体" w:cs="宋体"/>
          <w:color w:val="000000" w:themeColor="text1"/>
          <w:spacing w:val="0"/>
          <w:szCs w:val="21"/>
          <w:highlight w:val="none"/>
          <w14:textFill>
            <w14:solidFill>
              <w14:schemeClr w14:val="tx1"/>
            </w14:solidFill>
          </w14:textFill>
        </w:rPr>
        <w:t>（2）供应商必须就所竞标的项目的单项内容作唯一报价。</w:t>
      </w:r>
    </w:p>
    <w:p w14:paraId="30926FDE">
      <w:pPr>
        <w:pageBreakBefore w:val="0"/>
        <w:widowControl w:val="0"/>
        <w:kinsoku/>
        <w:wordWrap/>
        <w:overflowPunct/>
        <w:topLinePunct w:val="0"/>
        <w:autoSpaceDE/>
        <w:autoSpaceDN/>
        <w:bidi w:val="0"/>
        <w:spacing w:line="360" w:lineRule="auto"/>
        <w:ind w:firstLine="420" w:firstLineChars="200"/>
        <w:rPr>
          <w:rFonts w:hint="eastAsia" w:ascii="Times New Roman" w:hAnsi="Times New Roman" w:eastAsia="宋体" w:cs="宋体"/>
          <w:color w:val="000000" w:themeColor="text1"/>
          <w:spacing w:val="0"/>
          <w:szCs w:val="21"/>
          <w:highlight w:val="none"/>
          <w14:textFill>
            <w14:solidFill>
              <w14:schemeClr w14:val="tx1"/>
            </w14:solidFill>
          </w14:textFill>
        </w:rPr>
      </w:pPr>
      <w:r>
        <w:rPr>
          <w:rFonts w:hint="eastAsia" w:ascii="Times New Roman" w:hAnsi="Times New Roman" w:eastAsia="宋体" w:cs="宋体"/>
          <w:color w:val="000000" w:themeColor="text1"/>
          <w:spacing w:val="0"/>
          <w:szCs w:val="21"/>
          <w:highlight w:val="none"/>
          <w14:textFill>
            <w14:solidFill>
              <w14:schemeClr w14:val="tx1"/>
            </w14:solidFill>
          </w14:textFill>
        </w:rPr>
        <w:t>15.3.3响应报价（包含首次报价、最后报价）超过所竞标项目规定的采购预算金额或者最高限价的（如本项目公布了最高限价），其响应文件将按无效处理。</w:t>
      </w:r>
    </w:p>
    <w:p w14:paraId="40D45BF2">
      <w:pPr>
        <w:pageBreakBefore w:val="0"/>
        <w:widowControl w:val="0"/>
        <w:kinsoku/>
        <w:wordWrap/>
        <w:overflowPunct/>
        <w:topLinePunct w:val="0"/>
        <w:autoSpaceDE/>
        <w:autoSpaceDN/>
        <w:bidi w:val="0"/>
        <w:spacing w:line="360" w:lineRule="auto"/>
        <w:ind w:firstLine="420" w:firstLineChars="200"/>
        <w:rPr>
          <w:rFonts w:hint="eastAsia" w:ascii="Times New Roman" w:hAnsi="Times New Roman" w:eastAsia="宋体" w:cs="宋体"/>
          <w:color w:val="000000" w:themeColor="text1"/>
          <w:spacing w:val="0"/>
          <w:szCs w:val="21"/>
          <w:highlight w:val="none"/>
          <w14:textFill>
            <w14:solidFill>
              <w14:schemeClr w14:val="tx1"/>
            </w14:solidFill>
          </w14:textFill>
        </w:rPr>
      </w:pPr>
      <w:r>
        <w:rPr>
          <w:rFonts w:hint="eastAsia" w:ascii="Times New Roman" w:hAnsi="Times New Roman" w:eastAsia="宋体" w:cs="宋体"/>
          <w:color w:val="000000" w:themeColor="text1"/>
          <w:spacing w:val="0"/>
          <w:szCs w:val="21"/>
          <w:highlight w:val="none"/>
          <w14:textFill>
            <w14:solidFill>
              <w14:schemeClr w14:val="tx1"/>
            </w14:solidFill>
          </w14:textFill>
        </w:rPr>
        <w:t>15.3.</w:t>
      </w:r>
      <w:bookmarkStart w:id="115" w:name="_Hlk42592874"/>
      <w:r>
        <w:rPr>
          <w:rFonts w:hint="eastAsia" w:ascii="Times New Roman" w:hAnsi="Times New Roman" w:eastAsia="宋体" w:cs="宋体"/>
          <w:color w:val="000000" w:themeColor="text1"/>
          <w:spacing w:val="0"/>
          <w:szCs w:val="21"/>
          <w:highlight w:val="none"/>
          <w14:textFill>
            <w14:solidFill>
              <w14:schemeClr w14:val="tx1"/>
            </w14:solidFill>
          </w14:textFill>
        </w:rPr>
        <w:t>4响应报价（包含首次报价、最后报价）超过分项采购预算金额或者最高限价的（如本项目公布了最高限价），其响应文件将按无效处理。</w:t>
      </w:r>
    </w:p>
    <w:bookmarkEnd w:id="115"/>
    <w:p w14:paraId="38D9131F">
      <w:pPr>
        <w:pageBreakBefore w:val="0"/>
        <w:widowControl w:val="0"/>
        <w:kinsoku/>
        <w:wordWrap/>
        <w:overflowPunct/>
        <w:topLinePunct w:val="0"/>
        <w:autoSpaceDE/>
        <w:autoSpaceDN/>
        <w:bidi w:val="0"/>
        <w:spacing w:line="360" w:lineRule="auto"/>
        <w:outlineLvl w:val="2"/>
        <w:rPr>
          <w:rFonts w:hint="eastAsia" w:ascii="Times New Roman" w:hAnsi="Times New Roman" w:eastAsia="宋体" w:cs="宋体"/>
          <w:b/>
          <w:bCs/>
          <w:color w:val="000000" w:themeColor="text1"/>
          <w:spacing w:val="0"/>
          <w:sz w:val="21"/>
          <w:szCs w:val="21"/>
          <w:highlight w:val="none"/>
          <w14:textFill>
            <w14:solidFill>
              <w14:schemeClr w14:val="tx1"/>
            </w14:solidFill>
          </w14:textFill>
        </w:rPr>
      </w:pPr>
      <w:bookmarkStart w:id="116" w:name="_Toc21655"/>
      <w:r>
        <w:rPr>
          <w:rFonts w:hint="eastAsia" w:ascii="Times New Roman" w:hAnsi="Times New Roman" w:eastAsia="宋体" w:cs="宋体"/>
          <w:b/>
          <w:bCs/>
          <w:color w:val="000000" w:themeColor="text1"/>
          <w:spacing w:val="0"/>
          <w:sz w:val="21"/>
          <w:szCs w:val="21"/>
          <w:highlight w:val="none"/>
          <w14:textFill>
            <w14:solidFill>
              <w14:schemeClr w14:val="tx1"/>
            </w14:solidFill>
          </w14:textFill>
        </w:rPr>
        <w:t>16.竞标有效期</w:t>
      </w:r>
      <w:bookmarkEnd w:id="116"/>
    </w:p>
    <w:p w14:paraId="1531CCDF">
      <w:pPr>
        <w:pageBreakBefore w:val="0"/>
        <w:widowControl w:val="0"/>
        <w:kinsoku/>
        <w:wordWrap/>
        <w:overflowPunct/>
        <w:topLinePunct w:val="0"/>
        <w:autoSpaceDE/>
        <w:autoSpaceDN/>
        <w:bidi w:val="0"/>
        <w:spacing w:line="360" w:lineRule="auto"/>
        <w:ind w:firstLine="420" w:firstLineChars="200"/>
        <w:rPr>
          <w:rFonts w:hint="eastAsia" w:ascii="Times New Roman" w:hAnsi="Times New Roman" w:eastAsia="宋体" w:cs="宋体"/>
          <w:color w:val="000000" w:themeColor="text1"/>
          <w:spacing w:val="0"/>
          <w:szCs w:val="21"/>
          <w:highlight w:val="none"/>
          <w14:textFill>
            <w14:solidFill>
              <w14:schemeClr w14:val="tx1"/>
            </w14:solidFill>
          </w14:textFill>
        </w:rPr>
      </w:pPr>
      <w:r>
        <w:rPr>
          <w:rFonts w:hint="eastAsia" w:ascii="Times New Roman" w:hAnsi="Times New Roman" w:eastAsia="宋体" w:cs="宋体"/>
          <w:color w:val="000000" w:themeColor="text1"/>
          <w:spacing w:val="0"/>
          <w:szCs w:val="21"/>
          <w:highlight w:val="none"/>
          <w14:textFill>
            <w14:solidFill>
              <w14:schemeClr w14:val="tx1"/>
            </w14:solidFill>
          </w14:textFill>
        </w:rPr>
        <w:t>16.1竞标有效期是指为保证采购人有足够的时间在提交响应文件后完成评审、确定成交供应商、合同签订等工作而要求供应商提交的响应文件在一定时间内保持有效的期限。</w:t>
      </w:r>
    </w:p>
    <w:p w14:paraId="6F215981">
      <w:pPr>
        <w:pageBreakBefore w:val="0"/>
        <w:widowControl w:val="0"/>
        <w:kinsoku/>
        <w:wordWrap/>
        <w:overflowPunct/>
        <w:topLinePunct w:val="0"/>
        <w:autoSpaceDE/>
        <w:autoSpaceDN/>
        <w:bidi w:val="0"/>
        <w:spacing w:line="360" w:lineRule="auto"/>
        <w:ind w:firstLine="420" w:firstLineChars="200"/>
        <w:rPr>
          <w:rFonts w:hint="eastAsia" w:ascii="Times New Roman" w:hAnsi="Times New Roman" w:eastAsia="宋体" w:cs="宋体"/>
          <w:color w:val="000000" w:themeColor="text1"/>
          <w:spacing w:val="0"/>
          <w:szCs w:val="21"/>
          <w:highlight w:val="none"/>
          <w14:textFill>
            <w14:solidFill>
              <w14:schemeClr w14:val="tx1"/>
            </w14:solidFill>
          </w14:textFill>
        </w:rPr>
      </w:pPr>
      <w:r>
        <w:rPr>
          <w:rFonts w:hint="eastAsia" w:ascii="Times New Roman" w:hAnsi="Times New Roman" w:eastAsia="宋体" w:cs="宋体"/>
          <w:color w:val="000000" w:themeColor="text1"/>
          <w:spacing w:val="0"/>
          <w:szCs w:val="21"/>
          <w:highlight w:val="none"/>
          <w14:textFill>
            <w14:solidFill>
              <w14:schemeClr w14:val="tx1"/>
            </w14:solidFill>
          </w14:textFill>
        </w:rPr>
        <w:t>16.2 竞标有效期应由供应商按</w:t>
      </w:r>
      <w:r>
        <w:rPr>
          <w:rFonts w:hint="eastAsia" w:ascii="Times New Roman" w:hAnsi="Times New Roman" w:eastAsia="宋体" w:cs="宋体"/>
          <w:color w:val="000000" w:themeColor="text1"/>
          <w:spacing w:val="0"/>
          <w:szCs w:val="21"/>
          <w:highlight w:val="none"/>
          <w:lang w:eastAsia="zh-CN"/>
          <w14:textFill>
            <w14:solidFill>
              <w14:schemeClr w14:val="tx1"/>
            </w14:solidFill>
          </w14:textFill>
        </w:rPr>
        <w:t>“</w:t>
      </w:r>
      <w:r>
        <w:rPr>
          <w:rFonts w:hint="eastAsia" w:ascii="Times New Roman" w:hAnsi="Times New Roman" w:eastAsia="宋体" w:cs="宋体"/>
          <w:color w:val="000000" w:themeColor="text1"/>
          <w:spacing w:val="0"/>
          <w:szCs w:val="21"/>
          <w:highlight w:val="none"/>
          <w14:textFill>
            <w14:solidFill>
              <w14:schemeClr w14:val="tx1"/>
            </w14:solidFill>
          </w14:textFill>
        </w:rPr>
        <w:t>供应商须知前附表</w:t>
      </w:r>
      <w:r>
        <w:rPr>
          <w:rFonts w:hint="eastAsia" w:ascii="Times New Roman" w:hAnsi="Times New Roman" w:eastAsia="宋体" w:cs="宋体"/>
          <w:color w:val="000000" w:themeColor="text1"/>
          <w:spacing w:val="0"/>
          <w:szCs w:val="21"/>
          <w:highlight w:val="none"/>
          <w:lang w:eastAsia="zh-CN"/>
          <w14:textFill>
            <w14:solidFill>
              <w14:schemeClr w14:val="tx1"/>
            </w14:solidFill>
          </w14:textFill>
        </w:rPr>
        <w:t>”</w:t>
      </w:r>
      <w:r>
        <w:rPr>
          <w:rFonts w:hint="eastAsia" w:ascii="Times New Roman" w:hAnsi="Times New Roman" w:eastAsia="宋体" w:cs="宋体"/>
          <w:color w:val="000000" w:themeColor="text1"/>
          <w:spacing w:val="0"/>
          <w:szCs w:val="21"/>
          <w:highlight w:val="none"/>
          <w14:textFill>
            <w14:solidFill>
              <w14:schemeClr w14:val="tx1"/>
            </w14:solidFill>
          </w14:textFill>
        </w:rPr>
        <w:t>规定的期限作出响应。</w:t>
      </w:r>
    </w:p>
    <w:p w14:paraId="3B508DD7">
      <w:pPr>
        <w:pageBreakBefore w:val="0"/>
        <w:widowControl w:val="0"/>
        <w:kinsoku/>
        <w:wordWrap/>
        <w:overflowPunct/>
        <w:topLinePunct w:val="0"/>
        <w:autoSpaceDE/>
        <w:autoSpaceDN/>
        <w:bidi w:val="0"/>
        <w:spacing w:line="360" w:lineRule="auto"/>
        <w:ind w:firstLine="420" w:firstLineChars="200"/>
        <w:rPr>
          <w:rFonts w:hint="eastAsia" w:ascii="Times New Roman" w:hAnsi="Times New Roman" w:eastAsia="宋体" w:cs="宋体"/>
          <w:color w:val="000000" w:themeColor="text1"/>
          <w:spacing w:val="0"/>
          <w:szCs w:val="21"/>
          <w:highlight w:val="none"/>
          <w14:textFill>
            <w14:solidFill>
              <w14:schemeClr w14:val="tx1"/>
            </w14:solidFill>
          </w14:textFill>
        </w:rPr>
      </w:pPr>
      <w:r>
        <w:rPr>
          <w:rFonts w:hint="eastAsia" w:ascii="Times New Roman" w:hAnsi="Times New Roman" w:eastAsia="宋体" w:cs="宋体"/>
          <w:color w:val="000000" w:themeColor="text1"/>
          <w:spacing w:val="0"/>
          <w:szCs w:val="21"/>
          <w:highlight w:val="none"/>
          <w14:textFill>
            <w14:solidFill>
              <w14:schemeClr w14:val="tx1"/>
            </w14:solidFill>
          </w14:textFill>
        </w:rPr>
        <w:t>16.3供应商的响应文件在竞标有效期内均保持有效。</w:t>
      </w:r>
    </w:p>
    <w:p w14:paraId="7FC9FAC6">
      <w:pPr>
        <w:pageBreakBefore w:val="0"/>
        <w:widowControl w:val="0"/>
        <w:kinsoku/>
        <w:wordWrap/>
        <w:overflowPunct/>
        <w:topLinePunct w:val="0"/>
        <w:autoSpaceDE/>
        <w:autoSpaceDN/>
        <w:bidi w:val="0"/>
        <w:spacing w:line="360" w:lineRule="auto"/>
        <w:outlineLvl w:val="2"/>
        <w:rPr>
          <w:rFonts w:hint="eastAsia" w:ascii="Times New Roman" w:hAnsi="Times New Roman" w:eastAsia="宋体" w:cs="宋体"/>
          <w:b/>
          <w:bCs/>
          <w:color w:val="000000" w:themeColor="text1"/>
          <w:spacing w:val="0"/>
          <w:sz w:val="21"/>
          <w:szCs w:val="21"/>
          <w:highlight w:val="none"/>
          <w14:textFill>
            <w14:solidFill>
              <w14:schemeClr w14:val="tx1"/>
            </w14:solidFill>
          </w14:textFill>
        </w:rPr>
      </w:pPr>
      <w:bookmarkStart w:id="117" w:name="_Toc25519"/>
      <w:r>
        <w:rPr>
          <w:rFonts w:hint="eastAsia" w:ascii="Times New Roman" w:hAnsi="Times New Roman" w:eastAsia="宋体" w:cs="宋体"/>
          <w:b/>
          <w:bCs/>
          <w:color w:val="000000" w:themeColor="text1"/>
          <w:spacing w:val="0"/>
          <w:sz w:val="21"/>
          <w:szCs w:val="21"/>
          <w:highlight w:val="none"/>
          <w14:textFill>
            <w14:solidFill>
              <w14:schemeClr w14:val="tx1"/>
            </w14:solidFill>
          </w14:textFill>
        </w:rPr>
        <w:t>17.磋商保证金</w:t>
      </w:r>
      <w:bookmarkEnd w:id="117"/>
    </w:p>
    <w:p w14:paraId="339FCCA7">
      <w:pPr>
        <w:pageBreakBefore w:val="0"/>
        <w:widowControl w:val="0"/>
        <w:kinsoku/>
        <w:wordWrap/>
        <w:overflowPunct/>
        <w:topLinePunct w:val="0"/>
        <w:autoSpaceDE/>
        <w:autoSpaceDN/>
        <w:bidi w:val="0"/>
        <w:spacing w:line="360" w:lineRule="auto"/>
        <w:ind w:left="420" w:leftChars="200"/>
        <w:rPr>
          <w:rFonts w:hint="eastAsia" w:ascii="Times New Roman" w:hAnsi="Times New Roman" w:eastAsia="宋体" w:cs="宋体"/>
          <w:color w:val="000000" w:themeColor="text1"/>
          <w:spacing w:val="0"/>
          <w:szCs w:val="21"/>
          <w:highlight w:val="none"/>
          <w14:textFill>
            <w14:solidFill>
              <w14:schemeClr w14:val="tx1"/>
            </w14:solidFill>
          </w14:textFill>
        </w:rPr>
      </w:pPr>
      <w:r>
        <w:rPr>
          <w:rFonts w:hint="eastAsia" w:ascii="Times New Roman" w:hAnsi="Times New Roman" w:eastAsia="宋体" w:cs="宋体"/>
          <w:color w:val="000000" w:themeColor="text1"/>
          <w:spacing w:val="0"/>
          <w:szCs w:val="21"/>
          <w:highlight w:val="none"/>
          <w14:textFill>
            <w14:solidFill>
              <w14:schemeClr w14:val="tx1"/>
            </w14:solidFill>
          </w14:textFill>
        </w:rPr>
        <w:t>17.1供应商须按</w:t>
      </w:r>
      <w:r>
        <w:rPr>
          <w:rFonts w:hint="eastAsia" w:ascii="Times New Roman" w:hAnsi="Times New Roman" w:eastAsia="宋体" w:cs="宋体"/>
          <w:color w:val="000000" w:themeColor="text1"/>
          <w:spacing w:val="0"/>
          <w:szCs w:val="21"/>
          <w:highlight w:val="none"/>
          <w:lang w:eastAsia="zh-CN"/>
          <w14:textFill>
            <w14:solidFill>
              <w14:schemeClr w14:val="tx1"/>
            </w14:solidFill>
          </w14:textFill>
        </w:rPr>
        <w:t>“</w:t>
      </w:r>
      <w:r>
        <w:rPr>
          <w:rFonts w:hint="eastAsia" w:ascii="Times New Roman" w:hAnsi="Times New Roman" w:eastAsia="宋体" w:cs="宋体"/>
          <w:color w:val="000000" w:themeColor="text1"/>
          <w:spacing w:val="0"/>
          <w:szCs w:val="21"/>
          <w:highlight w:val="none"/>
          <w14:textFill>
            <w14:solidFill>
              <w14:schemeClr w14:val="tx1"/>
            </w14:solidFill>
          </w14:textFill>
        </w:rPr>
        <w:t>供应商须知前附表</w:t>
      </w:r>
      <w:r>
        <w:rPr>
          <w:rFonts w:hint="eastAsia" w:ascii="Times New Roman" w:hAnsi="Times New Roman" w:eastAsia="宋体" w:cs="宋体"/>
          <w:color w:val="000000" w:themeColor="text1"/>
          <w:spacing w:val="0"/>
          <w:szCs w:val="21"/>
          <w:highlight w:val="none"/>
          <w:lang w:eastAsia="zh-CN"/>
          <w14:textFill>
            <w14:solidFill>
              <w14:schemeClr w14:val="tx1"/>
            </w14:solidFill>
          </w14:textFill>
        </w:rPr>
        <w:t>”</w:t>
      </w:r>
      <w:r>
        <w:rPr>
          <w:rFonts w:hint="eastAsia" w:ascii="Times New Roman" w:hAnsi="Times New Roman" w:eastAsia="宋体" w:cs="宋体"/>
          <w:color w:val="000000" w:themeColor="text1"/>
          <w:spacing w:val="0"/>
          <w:szCs w:val="21"/>
          <w:highlight w:val="none"/>
          <w14:textFill>
            <w14:solidFill>
              <w14:schemeClr w14:val="tx1"/>
            </w14:solidFill>
          </w14:textFill>
        </w:rPr>
        <w:t>的规定提交磋商保证金。</w:t>
      </w:r>
    </w:p>
    <w:p w14:paraId="1B035461">
      <w:pPr>
        <w:pageBreakBefore w:val="0"/>
        <w:widowControl w:val="0"/>
        <w:kinsoku/>
        <w:wordWrap/>
        <w:overflowPunct/>
        <w:topLinePunct w:val="0"/>
        <w:autoSpaceDE/>
        <w:autoSpaceDN/>
        <w:bidi w:val="0"/>
        <w:spacing w:line="360" w:lineRule="auto"/>
        <w:ind w:left="420" w:leftChars="200"/>
        <w:rPr>
          <w:rFonts w:hint="eastAsia" w:ascii="Times New Roman" w:hAnsi="Times New Roman" w:eastAsia="宋体" w:cs="宋体"/>
          <w:color w:val="000000" w:themeColor="text1"/>
          <w:spacing w:val="0"/>
          <w:szCs w:val="21"/>
          <w:highlight w:val="none"/>
          <w14:textFill>
            <w14:solidFill>
              <w14:schemeClr w14:val="tx1"/>
            </w14:solidFill>
          </w14:textFill>
        </w:rPr>
      </w:pPr>
      <w:r>
        <w:rPr>
          <w:rFonts w:hint="eastAsia" w:ascii="Times New Roman" w:hAnsi="Times New Roman" w:eastAsia="宋体" w:cs="宋体"/>
          <w:color w:val="000000" w:themeColor="text1"/>
          <w:spacing w:val="0"/>
          <w:szCs w:val="21"/>
          <w:highlight w:val="none"/>
          <w14:textFill>
            <w14:solidFill>
              <w14:schemeClr w14:val="tx1"/>
            </w14:solidFill>
          </w14:textFill>
        </w:rPr>
        <w:t>17.2磋商保证金的退还</w:t>
      </w:r>
    </w:p>
    <w:p w14:paraId="38186EB1">
      <w:pPr>
        <w:pageBreakBefore w:val="0"/>
        <w:widowControl w:val="0"/>
        <w:kinsoku/>
        <w:wordWrap/>
        <w:overflowPunct/>
        <w:topLinePunct w:val="0"/>
        <w:autoSpaceDE/>
        <w:autoSpaceDN/>
        <w:bidi w:val="0"/>
        <w:spacing w:line="360" w:lineRule="auto"/>
        <w:ind w:firstLine="420" w:firstLineChars="200"/>
        <w:rPr>
          <w:rFonts w:hint="eastAsia" w:ascii="Times New Roman" w:hAnsi="Times New Roman" w:eastAsia="宋体" w:cs="宋体"/>
          <w:color w:val="000000" w:themeColor="text1"/>
          <w:spacing w:val="0"/>
          <w:szCs w:val="21"/>
          <w:highlight w:val="none"/>
          <w14:textFill>
            <w14:solidFill>
              <w14:schemeClr w14:val="tx1"/>
            </w14:solidFill>
          </w14:textFill>
        </w:rPr>
      </w:pPr>
      <w:r>
        <w:rPr>
          <w:rFonts w:hint="eastAsia" w:ascii="Times New Roman" w:hAnsi="Times New Roman" w:eastAsia="宋体" w:cs="宋体"/>
          <w:color w:val="000000" w:themeColor="text1"/>
          <w:spacing w:val="0"/>
          <w:szCs w:val="21"/>
          <w:highlight w:val="none"/>
          <w14:textFill>
            <w14:solidFill>
              <w14:schemeClr w14:val="tx1"/>
            </w14:solidFill>
          </w14:textFill>
        </w:rPr>
        <w:t>17.2.1未成交供应商的磋商保证金自成交通知书发出之日起</w:t>
      </w:r>
      <w:r>
        <w:rPr>
          <w:rFonts w:hint="eastAsia" w:ascii="Times New Roman" w:hAnsi="Times New Roman" w:eastAsia="宋体" w:cs="宋体"/>
          <w:color w:val="000000" w:themeColor="text1"/>
          <w:spacing w:val="0"/>
          <w:szCs w:val="21"/>
          <w:highlight w:val="none"/>
          <w:lang w:val="en-US" w:eastAsia="zh-CN"/>
          <w14:textFill>
            <w14:solidFill>
              <w14:schemeClr w14:val="tx1"/>
            </w14:solidFill>
          </w14:textFill>
        </w:rPr>
        <w:t>5</w:t>
      </w:r>
      <w:r>
        <w:rPr>
          <w:rFonts w:hint="eastAsia" w:ascii="Times New Roman" w:hAnsi="Times New Roman" w:eastAsia="宋体" w:cs="宋体"/>
          <w:color w:val="000000" w:themeColor="text1"/>
          <w:spacing w:val="0"/>
          <w:szCs w:val="21"/>
          <w:highlight w:val="none"/>
          <w14:textFill>
            <w14:solidFill>
              <w14:schemeClr w14:val="tx1"/>
            </w14:solidFill>
          </w14:textFill>
        </w:rPr>
        <w:t>个工作日内退还，退还方式如下：</w:t>
      </w:r>
    </w:p>
    <w:p w14:paraId="5EC803E8">
      <w:pPr>
        <w:pageBreakBefore w:val="0"/>
        <w:widowControl w:val="0"/>
        <w:kinsoku/>
        <w:wordWrap/>
        <w:overflowPunct/>
        <w:topLinePunct w:val="0"/>
        <w:autoSpaceDE/>
        <w:autoSpaceDN/>
        <w:bidi w:val="0"/>
        <w:spacing w:line="360" w:lineRule="auto"/>
        <w:ind w:firstLine="420" w:firstLineChars="200"/>
        <w:rPr>
          <w:rFonts w:hint="eastAsia" w:ascii="Times New Roman" w:hAnsi="Times New Roman" w:eastAsia="宋体" w:cs="宋体"/>
          <w:color w:val="000000" w:themeColor="text1"/>
          <w:spacing w:val="0"/>
          <w:szCs w:val="21"/>
          <w:highlight w:val="none"/>
          <w14:textFill>
            <w14:solidFill>
              <w14:schemeClr w14:val="tx1"/>
            </w14:solidFill>
          </w14:textFill>
        </w:rPr>
      </w:pPr>
      <w:r>
        <w:rPr>
          <w:rFonts w:hint="eastAsia" w:ascii="Times New Roman" w:hAnsi="Times New Roman" w:eastAsia="宋体" w:cs="宋体"/>
          <w:color w:val="000000" w:themeColor="text1"/>
          <w:spacing w:val="0"/>
          <w:szCs w:val="21"/>
          <w:highlight w:val="none"/>
          <w14:textFill>
            <w14:solidFill>
              <w14:schemeClr w14:val="tx1"/>
            </w14:solidFill>
          </w14:textFill>
        </w:rPr>
        <w:t>（1）采用银行转账方式的，以转账方式退回到供应商银行账户。</w:t>
      </w:r>
    </w:p>
    <w:p w14:paraId="4DE93B3A">
      <w:pPr>
        <w:pStyle w:val="11"/>
        <w:pageBreakBefore w:val="0"/>
        <w:widowControl w:val="0"/>
        <w:kinsoku/>
        <w:wordWrap/>
        <w:overflowPunct/>
        <w:topLinePunct w:val="0"/>
        <w:autoSpaceDE/>
        <w:autoSpaceDN/>
        <w:bidi w:val="0"/>
        <w:spacing w:line="360" w:lineRule="auto"/>
        <w:ind w:firstLine="315" w:firstLineChars="150"/>
        <w:rPr>
          <w:rFonts w:hint="eastAsia" w:ascii="Times New Roman" w:hAnsi="Times New Roman" w:eastAsia="宋体" w:cs="宋体"/>
          <w:color w:val="000000" w:themeColor="text1"/>
          <w:spacing w:val="0"/>
          <w:szCs w:val="21"/>
          <w:highlight w:val="none"/>
          <w14:textFill>
            <w14:solidFill>
              <w14:schemeClr w14:val="tx1"/>
            </w14:solidFill>
          </w14:textFill>
        </w:rPr>
      </w:pPr>
      <w:r>
        <w:rPr>
          <w:rFonts w:hint="eastAsia" w:ascii="Times New Roman" w:hAnsi="Times New Roman" w:eastAsia="宋体" w:cs="宋体"/>
          <w:color w:val="000000" w:themeColor="text1"/>
          <w:spacing w:val="0"/>
          <w:szCs w:val="21"/>
          <w:highlight w:val="none"/>
          <w14:textFill>
            <w14:solidFill>
              <w14:schemeClr w14:val="tx1"/>
            </w14:solidFill>
          </w14:textFill>
        </w:rPr>
        <w:t>（2）采用支票、汇票、本票或者金融机构、担保机构出具的保函等方式的，由供应商代表持相关授权证明材料至采购代理机构办理支票、汇票、本票或者金融机构、担保机构出具的保函等原件退还手续。</w:t>
      </w:r>
    </w:p>
    <w:p w14:paraId="03FB9943">
      <w:pPr>
        <w:pageBreakBefore w:val="0"/>
        <w:widowControl w:val="0"/>
        <w:kinsoku/>
        <w:wordWrap/>
        <w:overflowPunct/>
        <w:topLinePunct w:val="0"/>
        <w:autoSpaceDE/>
        <w:autoSpaceDN/>
        <w:bidi w:val="0"/>
        <w:spacing w:line="360" w:lineRule="auto"/>
        <w:ind w:firstLine="420" w:firstLineChars="200"/>
        <w:rPr>
          <w:rFonts w:hint="eastAsia" w:ascii="Times New Roman" w:hAnsi="Times New Roman" w:eastAsia="宋体" w:cs="宋体"/>
          <w:color w:val="000000" w:themeColor="text1"/>
          <w:spacing w:val="0"/>
          <w:szCs w:val="21"/>
          <w:highlight w:val="none"/>
          <w14:textFill>
            <w14:solidFill>
              <w14:schemeClr w14:val="tx1"/>
            </w14:solidFill>
          </w14:textFill>
        </w:rPr>
      </w:pPr>
      <w:r>
        <w:rPr>
          <w:rFonts w:hint="eastAsia" w:ascii="Times New Roman" w:hAnsi="Times New Roman" w:eastAsia="宋体" w:cs="宋体"/>
          <w:color w:val="000000" w:themeColor="text1"/>
          <w:spacing w:val="0"/>
          <w:szCs w:val="21"/>
          <w:highlight w:val="none"/>
          <w14:textFill>
            <w14:solidFill>
              <w14:schemeClr w14:val="tx1"/>
            </w14:solidFill>
          </w14:textFill>
        </w:rPr>
        <w:t>17.2.2成交供应商的磋商保证金自签订合同之日起</w:t>
      </w:r>
      <w:r>
        <w:rPr>
          <w:rFonts w:hint="eastAsia" w:ascii="Times New Roman" w:hAnsi="Times New Roman" w:eastAsia="宋体" w:cs="宋体"/>
          <w:color w:val="000000" w:themeColor="text1"/>
          <w:spacing w:val="0"/>
          <w:szCs w:val="21"/>
          <w:highlight w:val="none"/>
          <w:lang w:val="en-US" w:eastAsia="zh-CN"/>
          <w14:textFill>
            <w14:solidFill>
              <w14:schemeClr w14:val="tx1"/>
            </w14:solidFill>
          </w14:textFill>
        </w:rPr>
        <w:t>5</w:t>
      </w:r>
      <w:r>
        <w:rPr>
          <w:rFonts w:hint="eastAsia" w:ascii="Times New Roman" w:hAnsi="Times New Roman" w:eastAsia="宋体" w:cs="宋体"/>
          <w:color w:val="000000" w:themeColor="text1"/>
          <w:spacing w:val="0"/>
          <w:szCs w:val="21"/>
          <w:highlight w:val="none"/>
          <w14:textFill>
            <w14:solidFill>
              <w14:schemeClr w14:val="tx1"/>
            </w14:solidFill>
          </w14:textFill>
        </w:rPr>
        <w:t xml:space="preserve">个工作日内退还，退还方式同未成交供应商的磋商保证金的退还方式。 </w:t>
      </w:r>
    </w:p>
    <w:p w14:paraId="2062490F">
      <w:pPr>
        <w:pageBreakBefore w:val="0"/>
        <w:widowControl w:val="0"/>
        <w:kinsoku/>
        <w:wordWrap/>
        <w:overflowPunct/>
        <w:topLinePunct w:val="0"/>
        <w:autoSpaceDE/>
        <w:autoSpaceDN/>
        <w:bidi w:val="0"/>
        <w:spacing w:line="360" w:lineRule="auto"/>
        <w:ind w:left="420" w:leftChars="200"/>
        <w:rPr>
          <w:rFonts w:hint="eastAsia" w:ascii="Times New Roman" w:hAnsi="Times New Roman" w:eastAsia="宋体" w:cs="宋体"/>
          <w:color w:val="000000" w:themeColor="text1"/>
          <w:spacing w:val="0"/>
          <w:szCs w:val="21"/>
          <w:highlight w:val="none"/>
          <w14:textFill>
            <w14:solidFill>
              <w14:schemeClr w14:val="tx1"/>
            </w14:solidFill>
          </w14:textFill>
        </w:rPr>
      </w:pPr>
      <w:r>
        <w:rPr>
          <w:rFonts w:hint="eastAsia" w:ascii="Times New Roman" w:hAnsi="Times New Roman" w:eastAsia="宋体" w:cs="宋体"/>
          <w:color w:val="000000" w:themeColor="text1"/>
          <w:spacing w:val="0"/>
          <w:szCs w:val="21"/>
          <w:highlight w:val="none"/>
          <w14:textFill>
            <w14:solidFill>
              <w14:schemeClr w14:val="tx1"/>
            </w14:solidFill>
          </w14:textFill>
        </w:rPr>
        <w:t>17.3磋商保证金不计息。</w:t>
      </w:r>
    </w:p>
    <w:p w14:paraId="1450CF9D">
      <w:pPr>
        <w:pageBreakBefore w:val="0"/>
        <w:widowControl w:val="0"/>
        <w:kinsoku/>
        <w:wordWrap/>
        <w:overflowPunct/>
        <w:topLinePunct w:val="0"/>
        <w:autoSpaceDE/>
        <w:autoSpaceDN/>
        <w:bidi w:val="0"/>
        <w:spacing w:line="360" w:lineRule="auto"/>
        <w:ind w:left="420" w:leftChars="200"/>
        <w:rPr>
          <w:rFonts w:hint="eastAsia" w:ascii="Times New Roman" w:hAnsi="Times New Roman" w:eastAsia="宋体" w:cs="宋体"/>
          <w:color w:val="000000" w:themeColor="text1"/>
          <w:spacing w:val="0"/>
          <w:szCs w:val="21"/>
          <w:highlight w:val="none"/>
          <w14:textFill>
            <w14:solidFill>
              <w14:schemeClr w14:val="tx1"/>
            </w14:solidFill>
          </w14:textFill>
        </w:rPr>
      </w:pPr>
      <w:r>
        <w:rPr>
          <w:rFonts w:hint="eastAsia" w:ascii="Times New Roman" w:hAnsi="Times New Roman" w:eastAsia="宋体" w:cs="宋体"/>
          <w:color w:val="000000" w:themeColor="text1"/>
          <w:spacing w:val="0"/>
          <w:szCs w:val="21"/>
          <w:highlight w:val="none"/>
          <w14:textFill>
            <w14:solidFill>
              <w14:schemeClr w14:val="tx1"/>
            </w14:solidFill>
          </w14:textFill>
        </w:rPr>
        <w:t xml:space="preserve">17.4供应商有下列情形之一的，磋商保证金将不予退还： </w:t>
      </w:r>
    </w:p>
    <w:p w14:paraId="17D9BFDD">
      <w:pPr>
        <w:pageBreakBefore w:val="0"/>
        <w:widowControl w:val="0"/>
        <w:kinsoku/>
        <w:wordWrap/>
        <w:overflowPunct/>
        <w:topLinePunct w:val="0"/>
        <w:autoSpaceDE/>
        <w:autoSpaceDN/>
        <w:bidi w:val="0"/>
        <w:spacing w:line="360" w:lineRule="auto"/>
        <w:ind w:left="420" w:leftChars="200"/>
        <w:rPr>
          <w:rFonts w:hint="eastAsia" w:ascii="Times New Roman" w:hAnsi="Times New Roman" w:eastAsia="宋体" w:cs="宋体"/>
          <w:color w:val="000000" w:themeColor="text1"/>
          <w:spacing w:val="0"/>
          <w:szCs w:val="21"/>
          <w:highlight w:val="none"/>
          <w14:textFill>
            <w14:solidFill>
              <w14:schemeClr w14:val="tx1"/>
            </w14:solidFill>
          </w14:textFill>
        </w:rPr>
      </w:pPr>
      <w:r>
        <w:rPr>
          <w:rFonts w:hint="eastAsia" w:ascii="Times New Roman" w:hAnsi="Times New Roman" w:eastAsia="宋体" w:cs="宋体"/>
          <w:color w:val="000000" w:themeColor="text1"/>
          <w:spacing w:val="0"/>
          <w:szCs w:val="21"/>
          <w:highlight w:val="none"/>
          <w14:textFill>
            <w14:solidFill>
              <w14:schemeClr w14:val="tx1"/>
            </w14:solidFill>
          </w14:textFill>
        </w:rPr>
        <w:t>（1）供应商在提交响应文件截止时间后撤回响应文件的；</w:t>
      </w:r>
    </w:p>
    <w:p w14:paraId="08ABDCD5">
      <w:pPr>
        <w:pageBreakBefore w:val="0"/>
        <w:widowControl w:val="0"/>
        <w:kinsoku/>
        <w:wordWrap/>
        <w:overflowPunct/>
        <w:topLinePunct w:val="0"/>
        <w:autoSpaceDE/>
        <w:autoSpaceDN/>
        <w:bidi w:val="0"/>
        <w:spacing w:line="360" w:lineRule="auto"/>
        <w:ind w:left="420" w:leftChars="200"/>
        <w:rPr>
          <w:rFonts w:hint="eastAsia" w:ascii="Times New Roman" w:hAnsi="Times New Roman" w:eastAsia="宋体" w:cs="宋体"/>
          <w:color w:val="000000" w:themeColor="text1"/>
          <w:spacing w:val="0"/>
          <w:szCs w:val="21"/>
          <w:highlight w:val="none"/>
          <w14:textFill>
            <w14:solidFill>
              <w14:schemeClr w14:val="tx1"/>
            </w14:solidFill>
          </w14:textFill>
        </w:rPr>
      </w:pPr>
      <w:r>
        <w:rPr>
          <w:rFonts w:hint="eastAsia" w:ascii="Times New Roman" w:hAnsi="Times New Roman" w:eastAsia="宋体" w:cs="宋体"/>
          <w:color w:val="000000" w:themeColor="text1"/>
          <w:spacing w:val="0"/>
          <w:szCs w:val="21"/>
          <w:highlight w:val="none"/>
          <w14:textFill>
            <w14:solidFill>
              <w14:schemeClr w14:val="tx1"/>
            </w14:solidFill>
          </w14:textFill>
        </w:rPr>
        <w:t>（2）供应商在响应文件中提供虚假材料的；</w:t>
      </w:r>
    </w:p>
    <w:p w14:paraId="4B521904">
      <w:pPr>
        <w:pageBreakBefore w:val="0"/>
        <w:widowControl w:val="0"/>
        <w:kinsoku/>
        <w:wordWrap/>
        <w:overflowPunct/>
        <w:topLinePunct w:val="0"/>
        <w:autoSpaceDE/>
        <w:autoSpaceDN/>
        <w:bidi w:val="0"/>
        <w:spacing w:line="360" w:lineRule="auto"/>
        <w:ind w:firstLine="420" w:firstLineChars="200"/>
        <w:rPr>
          <w:rFonts w:hint="eastAsia" w:ascii="Times New Roman" w:hAnsi="Times New Roman" w:eastAsia="宋体" w:cs="宋体"/>
          <w:color w:val="000000" w:themeColor="text1"/>
          <w:spacing w:val="0"/>
          <w:szCs w:val="21"/>
          <w:highlight w:val="none"/>
          <w14:textFill>
            <w14:solidFill>
              <w14:schemeClr w14:val="tx1"/>
            </w14:solidFill>
          </w14:textFill>
        </w:rPr>
      </w:pPr>
      <w:r>
        <w:rPr>
          <w:rFonts w:hint="eastAsia" w:ascii="Times New Roman" w:hAnsi="Times New Roman" w:eastAsia="宋体" w:cs="宋体"/>
          <w:color w:val="000000" w:themeColor="text1"/>
          <w:spacing w:val="0"/>
          <w:szCs w:val="21"/>
          <w:highlight w:val="none"/>
          <w14:textFill>
            <w14:solidFill>
              <w14:schemeClr w14:val="tx1"/>
            </w14:solidFill>
          </w14:textFill>
        </w:rPr>
        <w:t>（3）除因不可抗力或者磋商文件认可的情形以外，成交供应商不与采购人签订合同的；</w:t>
      </w:r>
    </w:p>
    <w:p w14:paraId="080EA7B4">
      <w:pPr>
        <w:pageBreakBefore w:val="0"/>
        <w:widowControl w:val="0"/>
        <w:kinsoku/>
        <w:wordWrap/>
        <w:overflowPunct/>
        <w:topLinePunct w:val="0"/>
        <w:autoSpaceDE/>
        <w:autoSpaceDN/>
        <w:bidi w:val="0"/>
        <w:spacing w:line="360" w:lineRule="auto"/>
        <w:ind w:left="420" w:leftChars="200"/>
        <w:rPr>
          <w:rFonts w:hint="eastAsia" w:ascii="Times New Roman" w:hAnsi="Times New Roman" w:eastAsia="宋体" w:cs="宋体"/>
          <w:color w:val="000000" w:themeColor="text1"/>
          <w:spacing w:val="0"/>
          <w:szCs w:val="21"/>
          <w:highlight w:val="none"/>
          <w14:textFill>
            <w14:solidFill>
              <w14:schemeClr w14:val="tx1"/>
            </w14:solidFill>
          </w14:textFill>
        </w:rPr>
      </w:pPr>
      <w:r>
        <w:rPr>
          <w:rFonts w:hint="eastAsia" w:ascii="Times New Roman" w:hAnsi="Times New Roman" w:eastAsia="宋体" w:cs="宋体"/>
          <w:color w:val="000000" w:themeColor="text1"/>
          <w:spacing w:val="0"/>
          <w:szCs w:val="21"/>
          <w:highlight w:val="none"/>
          <w14:textFill>
            <w14:solidFill>
              <w14:schemeClr w14:val="tx1"/>
            </w14:solidFill>
          </w14:textFill>
        </w:rPr>
        <w:t>（4）供应商与采购人、其他供应商或者采购代理机构恶意串通的；</w:t>
      </w:r>
    </w:p>
    <w:p w14:paraId="40AC7941">
      <w:pPr>
        <w:pageBreakBefore w:val="0"/>
        <w:widowControl w:val="0"/>
        <w:kinsoku/>
        <w:wordWrap/>
        <w:overflowPunct/>
        <w:topLinePunct w:val="0"/>
        <w:autoSpaceDE/>
        <w:autoSpaceDN/>
        <w:bidi w:val="0"/>
        <w:spacing w:line="360" w:lineRule="auto"/>
        <w:ind w:left="420" w:leftChars="200"/>
        <w:rPr>
          <w:rFonts w:hint="eastAsia" w:ascii="Times New Roman" w:hAnsi="Times New Roman" w:eastAsia="宋体" w:cs="宋体"/>
          <w:color w:val="000000" w:themeColor="text1"/>
          <w:spacing w:val="0"/>
          <w:szCs w:val="21"/>
          <w:highlight w:val="none"/>
          <w14:textFill>
            <w14:solidFill>
              <w14:schemeClr w14:val="tx1"/>
            </w14:solidFill>
          </w14:textFill>
        </w:rPr>
      </w:pPr>
      <w:r>
        <w:rPr>
          <w:rFonts w:hint="eastAsia" w:ascii="Times New Roman" w:hAnsi="Times New Roman" w:eastAsia="宋体" w:cs="宋体"/>
          <w:color w:val="000000" w:themeColor="text1"/>
          <w:spacing w:val="0"/>
          <w:szCs w:val="21"/>
          <w:highlight w:val="none"/>
          <w14:textFill>
            <w14:solidFill>
              <w14:schemeClr w14:val="tx1"/>
            </w14:solidFill>
          </w14:textFill>
        </w:rPr>
        <w:t>（5）磋商文件规定的其他情形。</w:t>
      </w:r>
    </w:p>
    <w:p w14:paraId="3FDE8B2B">
      <w:pPr>
        <w:pageBreakBefore w:val="0"/>
        <w:widowControl w:val="0"/>
        <w:kinsoku/>
        <w:wordWrap/>
        <w:overflowPunct/>
        <w:topLinePunct w:val="0"/>
        <w:autoSpaceDE/>
        <w:autoSpaceDN/>
        <w:bidi w:val="0"/>
        <w:spacing w:line="360" w:lineRule="auto"/>
        <w:outlineLvl w:val="2"/>
        <w:rPr>
          <w:rFonts w:hint="eastAsia" w:ascii="Times New Roman" w:hAnsi="Times New Roman" w:eastAsia="宋体" w:cs="宋体"/>
          <w:b/>
          <w:bCs/>
          <w:color w:val="000000" w:themeColor="text1"/>
          <w:spacing w:val="0"/>
          <w:sz w:val="21"/>
          <w:szCs w:val="21"/>
          <w:highlight w:val="none"/>
          <w14:textFill>
            <w14:solidFill>
              <w14:schemeClr w14:val="tx1"/>
            </w14:solidFill>
          </w14:textFill>
        </w:rPr>
      </w:pPr>
      <w:bookmarkStart w:id="118" w:name="_Toc32050"/>
      <w:r>
        <w:rPr>
          <w:rFonts w:hint="eastAsia" w:ascii="Times New Roman" w:hAnsi="Times New Roman" w:eastAsia="宋体" w:cs="宋体"/>
          <w:b/>
          <w:bCs/>
          <w:color w:val="000000" w:themeColor="text1"/>
          <w:spacing w:val="0"/>
          <w:sz w:val="21"/>
          <w:szCs w:val="21"/>
          <w:highlight w:val="none"/>
          <w14:textFill>
            <w14:solidFill>
              <w14:schemeClr w14:val="tx1"/>
            </w14:solidFill>
          </w14:textFill>
        </w:rPr>
        <w:t>18.响应文件编制的要求</w:t>
      </w:r>
      <w:bookmarkEnd w:id="118"/>
    </w:p>
    <w:p w14:paraId="1B9C4593">
      <w:pPr>
        <w:pageBreakBefore w:val="0"/>
        <w:widowControl w:val="0"/>
        <w:kinsoku/>
        <w:wordWrap/>
        <w:overflowPunct/>
        <w:topLinePunct w:val="0"/>
        <w:autoSpaceDE/>
        <w:autoSpaceDN/>
        <w:bidi w:val="0"/>
        <w:spacing w:line="360" w:lineRule="auto"/>
        <w:ind w:firstLine="420" w:firstLineChars="200"/>
        <w:rPr>
          <w:rFonts w:hint="eastAsia" w:ascii="Times New Roman" w:hAnsi="Times New Roman" w:eastAsia="宋体" w:cs="宋体"/>
          <w:color w:val="000000" w:themeColor="text1"/>
          <w:spacing w:val="0"/>
          <w:szCs w:val="21"/>
          <w:highlight w:val="none"/>
          <w14:textFill>
            <w14:solidFill>
              <w14:schemeClr w14:val="tx1"/>
            </w14:solidFill>
          </w14:textFill>
        </w:rPr>
      </w:pPr>
      <w:r>
        <w:rPr>
          <w:rFonts w:hint="eastAsia" w:ascii="Times New Roman" w:hAnsi="Times New Roman" w:eastAsia="宋体" w:cs="宋体"/>
          <w:color w:val="000000" w:themeColor="text1"/>
          <w:spacing w:val="0"/>
          <w:szCs w:val="21"/>
          <w:highlight w:val="none"/>
          <w14:textFill>
            <w14:solidFill>
              <w14:schemeClr w14:val="tx1"/>
            </w14:solidFill>
          </w14:textFill>
        </w:rPr>
        <w:t>18.1各供应商在编制响应文件时请按照磋商文件</w:t>
      </w:r>
      <w:r>
        <w:rPr>
          <w:rFonts w:hint="eastAsia" w:ascii="Times New Roman" w:hAnsi="Times New Roman" w:eastAsia="宋体" w:cs="宋体"/>
          <w:color w:val="000000" w:themeColor="text1"/>
          <w:spacing w:val="0"/>
          <w:szCs w:val="21"/>
          <w:highlight w:val="none"/>
          <w:lang w:eastAsia="zh-CN"/>
          <w14:textFill>
            <w14:solidFill>
              <w14:schemeClr w14:val="tx1"/>
            </w14:solidFill>
          </w14:textFill>
        </w:rPr>
        <w:t>“</w:t>
      </w:r>
      <w:r>
        <w:rPr>
          <w:rFonts w:hint="eastAsia" w:ascii="Times New Roman" w:hAnsi="Times New Roman" w:eastAsia="宋体" w:cs="宋体"/>
          <w:color w:val="000000" w:themeColor="text1"/>
          <w:spacing w:val="0"/>
          <w:szCs w:val="21"/>
          <w:highlight w:val="none"/>
          <w14:textFill>
            <w14:solidFill>
              <w14:schemeClr w14:val="tx1"/>
            </w14:solidFill>
          </w14:textFill>
        </w:rPr>
        <w:t>第五章 响应文件格式</w:t>
      </w:r>
      <w:r>
        <w:rPr>
          <w:rFonts w:hint="eastAsia" w:ascii="Times New Roman" w:hAnsi="Times New Roman" w:eastAsia="宋体" w:cs="宋体"/>
          <w:color w:val="000000" w:themeColor="text1"/>
          <w:spacing w:val="0"/>
          <w:szCs w:val="21"/>
          <w:highlight w:val="none"/>
          <w:lang w:eastAsia="zh-CN"/>
          <w14:textFill>
            <w14:solidFill>
              <w14:schemeClr w14:val="tx1"/>
            </w14:solidFill>
          </w14:textFill>
        </w:rPr>
        <w:t>”</w:t>
      </w:r>
      <w:r>
        <w:rPr>
          <w:rFonts w:hint="eastAsia" w:ascii="Times New Roman" w:hAnsi="Times New Roman" w:eastAsia="宋体" w:cs="宋体"/>
          <w:color w:val="000000" w:themeColor="text1"/>
          <w:spacing w:val="0"/>
          <w:szCs w:val="21"/>
          <w:highlight w:val="none"/>
          <w14:textFill>
            <w14:solidFill>
              <w14:schemeClr w14:val="tx1"/>
            </w14:solidFill>
          </w14:textFill>
        </w:rPr>
        <w:t>规定的格式进行，混乱的编排导致响应文件被误读或磋商小组查找不到有效文件是供应商的风险。不完整、编排混乱导致响应文件被误读、漏读或者查找不到相关内容的，</w:t>
      </w:r>
      <w:r>
        <w:rPr>
          <w:rFonts w:hint="eastAsia" w:ascii="Times New Roman" w:hAnsi="Times New Roman" w:eastAsia="宋体" w:cs="宋体"/>
          <w:color w:val="000000" w:themeColor="text1"/>
          <w:spacing w:val="0"/>
          <w:highlight w:val="none"/>
          <w14:textFill>
            <w14:solidFill>
              <w14:schemeClr w14:val="tx1"/>
            </w14:solidFill>
          </w14:textFill>
        </w:rPr>
        <w:t>由此引发的</w:t>
      </w:r>
      <w:r>
        <w:rPr>
          <w:rFonts w:hint="eastAsia" w:ascii="Times New Roman" w:hAnsi="Times New Roman" w:eastAsia="宋体" w:cs="宋体"/>
          <w:color w:val="000000" w:themeColor="text1"/>
          <w:spacing w:val="0"/>
          <w:szCs w:val="21"/>
          <w:highlight w:val="none"/>
          <w14:textFill>
            <w14:solidFill>
              <w14:schemeClr w14:val="tx1"/>
            </w14:solidFill>
          </w14:textFill>
        </w:rPr>
        <w:t>后果由供应商承担。</w:t>
      </w:r>
    </w:p>
    <w:p w14:paraId="2FD31D7D">
      <w:pPr>
        <w:pageBreakBefore w:val="0"/>
        <w:widowControl w:val="0"/>
        <w:kinsoku/>
        <w:wordWrap/>
        <w:overflowPunct/>
        <w:topLinePunct w:val="0"/>
        <w:autoSpaceDE/>
        <w:autoSpaceDN/>
        <w:bidi w:val="0"/>
        <w:spacing w:line="360" w:lineRule="auto"/>
        <w:ind w:firstLine="420" w:firstLineChars="200"/>
        <w:rPr>
          <w:rFonts w:hint="eastAsia" w:ascii="Times New Roman" w:hAnsi="Times New Roman" w:eastAsia="宋体" w:cs="宋体"/>
          <w:color w:val="000000" w:themeColor="text1"/>
          <w:spacing w:val="0"/>
          <w:szCs w:val="21"/>
          <w:highlight w:val="none"/>
          <w14:textFill>
            <w14:solidFill>
              <w14:schemeClr w14:val="tx1"/>
            </w14:solidFill>
          </w14:textFill>
        </w:rPr>
      </w:pPr>
      <w:r>
        <w:rPr>
          <w:rFonts w:hint="eastAsia" w:ascii="Times New Roman" w:hAnsi="Times New Roman" w:eastAsia="宋体" w:cs="宋体"/>
          <w:color w:val="000000" w:themeColor="text1"/>
          <w:spacing w:val="0"/>
          <w:szCs w:val="21"/>
          <w:highlight w:val="none"/>
          <w14:textFill>
            <w14:solidFill>
              <w14:schemeClr w14:val="tx1"/>
            </w14:solidFill>
          </w14:textFill>
        </w:rPr>
        <w:t>18.2响应文件应按资格证明文件、报价文件分别编制，商务技术文件合并编制，本磋商只接受电子版响应文件，要求见本章</w:t>
      </w:r>
      <w:r>
        <w:rPr>
          <w:rFonts w:hint="eastAsia" w:ascii="Times New Roman" w:hAnsi="Times New Roman" w:eastAsia="宋体" w:cs="宋体"/>
          <w:color w:val="000000" w:themeColor="text1"/>
          <w:spacing w:val="0"/>
          <w:szCs w:val="21"/>
          <w:highlight w:val="none"/>
          <w:lang w:eastAsia="zh-CN"/>
          <w14:textFill>
            <w14:solidFill>
              <w14:schemeClr w14:val="tx1"/>
            </w14:solidFill>
          </w14:textFill>
        </w:rPr>
        <w:t>“</w:t>
      </w:r>
      <w:r>
        <w:rPr>
          <w:rFonts w:hint="eastAsia" w:ascii="Times New Roman" w:hAnsi="Times New Roman" w:eastAsia="宋体" w:cs="宋体"/>
          <w:color w:val="000000" w:themeColor="text1"/>
          <w:spacing w:val="0"/>
          <w:szCs w:val="21"/>
          <w:highlight w:val="none"/>
          <w14:textFill>
            <w14:solidFill>
              <w14:schemeClr w14:val="tx1"/>
            </w14:solidFill>
          </w14:textFill>
        </w:rPr>
        <w:t>12.2响应文件电子版要求</w:t>
      </w:r>
      <w:r>
        <w:rPr>
          <w:rFonts w:hint="eastAsia" w:ascii="Times New Roman" w:hAnsi="Times New Roman" w:eastAsia="宋体" w:cs="宋体"/>
          <w:color w:val="000000" w:themeColor="text1"/>
          <w:spacing w:val="0"/>
          <w:szCs w:val="21"/>
          <w:highlight w:val="none"/>
          <w:lang w:eastAsia="zh-CN"/>
          <w14:textFill>
            <w14:solidFill>
              <w14:schemeClr w14:val="tx1"/>
            </w14:solidFill>
          </w14:textFill>
        </w:rPr>
        <w:t>”</w:t>
      </w:r>
      <w:r>
        <w:rPr>
          <w:rFonts w:hint="eastAsia" w:ascii="Times New Roman" w:hAnsi="Times New Roman" w:eastAsia="宋体" w:cs="宋体"/>
          <w:color w:val="000000" w:themeColor="text1"/>
          <w:spacing w:val="0"/>
          <w:szCs w:val="21"/>
          <w:highlight w:val="none"/>
          <w14:textFill>
            <w14:solidFill>
              <w14:schemeClr w14:val="tx1"/>
            </w14:solidFill>
          </w14:textFill>
        </w:rPr>
        <w:t>。</w:t>
      </w:r>
    </w:p>
    <w:p w14:paraId="098DE8C0">
      <w:pPr>
        <w:pageBreakBefore w:val="0"/>
        <w:widowControl w:val="0"/>
        <w:kinsoku/>
        <w:wordWrap/>
        <w:overflowPunct/>
        <w:topLinePunct w:val="0"/>
        <w:autoSpaceDE/>
        <w:autoSpaceDN/>
        <w:bidi w:val="0"/>
        <w:spacing w:line="360" w:lineRule="auto"/>
        <w:ind w:firstLine="420" w:firstLineChars="200"/>
        <w:rPr>
          <w:rFonts w:hint="eastAsia" w:ascii="Times New Roman" w:hAnsi="Times New Roman" w:eastAsia="宋体" w:cs="宋体"/>
          <w:color w:val="000000" w:themeColor="text1"/>
          <w:spacing w:val="0"/>
          <w:szCs w:val="21"/>
          <w:highlight w:val="none"/>
          <w14:textFill>
            <w14:solidFill>
              <w14:schemeClr w14:val="tx1"/>
            </w14:solidFill>
          </w14:textFill>
        </w:rPr>
      </w:pPr>
      <w:r>
        <w:rPr>
          <w:rFonts w:hint="eastAsia" w:ascii="Times New Roman" w:hAnsi="Times New Roman" w:eastAsia="宋体" w:cs="宋体"/>
          <w:color w:val="000000" w:themeColor="text1"/>
          <w:spacing w:val="0"/>
          <w:szCs w:val="21"/>
          <w:highlight w:val="none"/>
          <w14:textFill>
            <w14:solidFill>
              <w14:schemeClr w14:val="tx1"/>
            </w14:solidFill>
          </w14:textFill>
        </w:rPr>
        <w:t>18.</w:t>
      </w:r>
      <w:bookmarkStart w:id="119" w:name="_Hlk65832699"/>
      <w:r>
        <w:rPr>
          <w:rFonts w:hint="eastAsia" w:ascii="Times New Roman" w:hAnsi="Times New Roman" w:eastAsia="宋体" w:cs="宋体"/>
          <w:color w:val="000000" w:themeColor="text1"/>
          <w:spacing w:val="0"/>
          <w:szCs w:val="21"/>
          <w:highlight w:val="none"/>
          <w14:textFill>
            <w14:solidFill>
              <w14:schemeClr w14:val="tx1"/>
            </w14:solidFill>
          </w14:textFill>
        </w:rPr>
        <w:t>3响应文件须由供应商</w:t>
      </w:r>
      <w:bookmarkEnd w:id="119"/>
      <w:r>
        <w:rPr>
          <w:rFonts w:hint="eastAsia" w:ascii="Times New Roman" w:hAnsi="Times New Roman" w:eastAsia="宋体" w:cs="宋体"/>
          <w:color w:val="000000" w:themeColor="text1"/>
          <w:spacing w:val="0"/>
          <w:highlight w:val="none"/>
          <w:lang w:eastAsia="zh-CN"/>
          <w14:textFill>
            <w14:solidFill>
              <w14:schemeClr w14:val="tx1"/>
            </w14:solidFill>
          </w14:textFill>
        </w:rPr>
        <w:t>按“第五章 响应文件格式”要求进行签署、盖章，否则其响应文件按无效响应处理</w:t>
      </w:r>
      <w:r>
        <w:rPr>
          <w:rFonts w:hint="eastAsia" w:ascii="Times New Roman" w:hAnsi="Times New Roman" w:eastAsia="宋体" w:cs="宋体"/>
          <w:color w:val="000000" w:themeColor="text1"/>
          <w:spacing w:val="0"/>
          <w:szCs w:val="21"/>
          <w:highlight w:val="none"/>
          <w14:textFill>
            <w14:solidFill>
              <w14:schemeClr w14:val="tx1"/>
            </w14:solidFill>
          </w14:textFill>
        </w:rPr>
        <w:t>。</w:t>
      </w:r>
    </w:p>
    <w:p w14:paraId="63C3F983">
      <w:pPr>
        <w:pageBreakBefore w:val="0"/>
        <w:widowControl w:val="0"/>
        <w:kinsoku/>
        <w:wordWrap/>
        <w:overflowPunct/>
        <w:topLinePunct w:val="0"/>
        <w:autoSpaceDE/>
        <w:autoSpaceDN/>
        <w:bidi w:val="0"/>
        <w:spacing w:line="360" w:lineRule="auto"/>
        <w:ind w:firstLine="420" w:firstLineChars="200"/>
        <w:rPr>
          <w:rFonts w:hint="eastAsia" w:ascii="Times New Roman" w:hAnsi="Times New Roman" w:eastAsia="宋体" w:cs="宋体"/>
          <w:color w:val="000000" w:themeColor="text1"/>
          <w:spacing w:val="0"/>
          <w:szCs w:val="21"/>
          <w:highlight w:val="none"/>
          <w14:textFill>
            <w14:solidFill>
              <w14:schemeClr w14:val="tx1"/>
            </w14:solidFill>
          </w14:textFill>
        </w:rPr>
      </w:pPr>
      <w:r>
        <w:rPr>
          <w:rFonts w:hint="eastAsia" w:ascii="Times New Roman" w:hAnsi="Times New Roman" w:eastAsia="宋体" w:cs="宋体"/>
          <w:color w:val="000000" w:themeColor="text1"/>
          <w:spacing w:val="0"/>
          <w:szCs w:val="21"/>
          <w:highlight w:val="none"/>
          <w14:textFill>
            <w14:solidFill>
              <w14:schemeClr w14:val="tx1"/>
            </w14:solidFill>
          </w14:textFill>
        </w:rPr>
        <w:t>18.4响应文件中标注的供应商名称应与营业执照（事业单位法人证书、执业许可证、自然人身份证）及供应商公章一致，</w:t>
      </w:r>
      <w:r>
        <w:rPr>
          <w:rFonts w:hint="eastAsia" w:ascii="Times New Roman" w:hAnsi="Times New Roman" w:eastAsia="宋体" w:cs="宋体"/>
          <w:b/>
          <w:bCs/>
          <w:color w:val="000000" w:themeColor="text1"/>
          <w:spacing w:val="0"/>
          <w:szCs w:val="21"/>
          <w:highlight w:val="none"/>
          <w14:textFill>
            <w14:solidFill>
              <w14:schemeClr w14:val="tx1"/>
            </w14:solidFill>
          </w14:textFill>
        </w:rPr>
        <w:t>否则其响应文件按无效响应处理。</w:t>
      </w:r>
    </w:p>
    <w:p w14:paraId="64F63044">
      <w:pPr>
        <w:pageBreakBefore w:val="0"/>
        <w:widowControl w:val="0"/>
        <w:kinsoku/>
        <w:wordWrap/>
        <w:overflowPunct/>
        <w:topLinePunct w:val="0"/>
        <w:autoSpaceDE/>
        <w:autoSpaceDN/>
        <w:bidi w:val="0"/>
        <w:spacing w:line="360" w:lineRule="auto"/>
        <w:ind w:firstLine="420" w:firstLineChars="200"/>
        <w:rPr>
          <w:rFonts w:hint="eastAsia" w:ascii="Times New Roman" w:hAnsi="Times New Roman" w:eastAsia="宋体" w:cs="宋体"/>
          <w:color w:val="000000" w:themeColor="text1"/>
          <w:spacing w:val="0"/>
          <w:szCs w:val="21"/>
          <w:highlight w:val="none"/>
          <w14:textFill>
            <w14:solidFill>
              <w14:schemeClr w14:val="tx1"/>
            </w14:solidFill>
          </w14:textFill>
        </w:rPr>
      </w:pPr>
      <w:r>
        <w:rPr>
          <w:rFonts w:hint="eastAsia" w:ascii="Times New Roman" w:hAnsi="Times New Roman" w:eastAsia="宋体" w:cs="宋体"/>
          <w:color w:val="000000" w:themeColor="text1"/>
          <w:spacing w:val="0"/>
          <w:szCs w:val="21"/>
          <w:highlight w:val="none"/>
          <w14:textFill>
            <w14:solidFill>
              <w14:schemeClr w14:val="tx1"/>
            </w14:solidFill>
          </w14:textFill>
        </w:rPr>
        <w:t>18.5响应文件应避免涂改、行间插字或者删除。</w:t>
      </w:r>
    </w:p>
    <w:p w14:paraId="79055B04">
      <w:pPr>
        <w:pageBreakBefore w:val="0"/>
        <w:widowControl w:val="0"/>
        <w:kinsoku/>
        <w:wordWrap/>
        <w:overflowPunct/>
        <w:topLinePunct w:val="0"/>
        <w:autoSpaceDE/>
        <w:autoSpaceDN/>
        <w:bidi w:val="0"/>
        <w:spacing w:line="360" w:lineRule="auto"/>
        <w:outlineLvl w:val="2"/>
        <w:rPr>
          <w:rFonts w:hint="eastAsia" w:ascii="Times New Roman" w:hAnsi="Times New Roman" w:eastAsia="宋体" w:cs="宋体"/>
          <w:b/>
          <w:bCs/>
          <w:color w:val="000000" w:themeColor="text1"/>
          <w:spacing w:val="0"/>
          <w:sz w:val="21"/>
          <w:szCs w:val="21"/>
          <w:highlight w:val="none"/>
          <w14:textFill>
            <w14:solidFill>
              <w14:schemeClr w14:val="tx1"/>
            </w14:solidFill>
          </w14:textFill>
        </w:rPr>
      </w:pPr>
      <w:bookmarkStart w:id="120" w:name="_Toc20532"/>
      <w:r>
        <w:rPr>
          <w:rFonts w:hint="eastAsia" w:ascii="Times New Roman" w:hAnsi="Times New Roman" w:eastAsia="宋体" w:cs="宋体"/>
          <w:b/>
          <w:bCs/>
          <w:color w:val="000000" w:themeColor="text1"/>
          <w:spacing w:val="0"/>
          <w:sz w:val="21"/>
          <w:szCs w:val="21"/>
          <w:highlight w:val="none"/>
          <w14:textFill>
            <w14:solidFill>
              <w14:schemeClr w14:val="tx1"/>
            </w14:solidFill>
          </w14:textFill>
        </w:rPr>
        <w:t>19.响应文件的密封和标记</w:t>
      </w:r>
      <w:bookmarkEnd w:id="120"/>
    </w:p>
    <w:p w14:paraId="523DB547">
      <w:pPr>
        <w:pageBreakBefore w:val="0"/>
        <w:widowControl w:val="0"/>
        <w:kinsoku/>
        <w:wordWrap/>
        <w:overflowPunct/>
        <w:topLinePunct w:val="0"/>
        <w:autoSpaceDE/>
        <w:autoSpaceDN/>
        <w:bidi w:val="0"/>
        <w:spacing w:line="360" w:lineRule="auto"/>
        <w:ind w:firstLine="420" w:firstLineChars="200"/>
        <w:rPr>
          <w:rFonts w:hint="eastAsia" w:ascii="Times New Roman" w:hAnsi="Times New Roman" w:eastAsia="宋体" w:cs="宋体"/>
          <w:color w:val="000000" w:themeColor="text1"/>
          <w:spacing w:val="0"/>
          <w:kern w:val="0"/>
          <w:szCs w:val="21"/>
          <w:highlight w:val="none"/>
          <w:lang w:val="zh-CN"/>
          <w14:textFill>
            <w14:solidFill>
              <w14:schemeClr w14:val="tx1"/>
            </w14:solidFill>
          </w14:textFill>
        </w:rPr>
      </w:pPr>
      <w:r>
        <w:rPr>
          <w:rFonts w:hint="eastAsia" w:ascii="Times New Roman" w:hAnsi="Times New Roman" w:eastAsia="宋体" w:cs="宋体"/>
          <w:color w:val="000000" w:themeColor="text1"/>
          <w:spacing w:val="0"/>
          <w:kern w:val="0"/>
          <w:szCs w:val="21"/>
          <w:highlight w:val="none"/>
          <w:lang w:val="zh-CN"/>
          <w14:textFill>
            <w14:solidFill>
              <w14:schemeClr w14:val="tx1"/>
            </w14:solidFill>
          </w14:textFill>
        </w:rPr>
        <w:t>19.1供应商进行电子交易应安装客户端软件—“</w:t>
      </w:r>
      <w:r>
        <w:rPr>
          <w:rFonts w:hint="eastAsia" w:ascii="Times New Roman" w:hAnsi="Times New Roman" w:eastAsia="宋体" w:cs="宋体"/>
          <w:b w:val="0"/>
          <w:bCs w:val="0"/>
          <w:color w:val="000000" w:themeColor="text1"/>
          <w:spacing w:val="0"/>
          <w:sz w:val="21"/>
          <w:szCs w:val="21"/>
          <w:highlight w:val="none"/>
          <w:lang w:val="en-US" w:eastAsia="zh-CN"/>
          <w14:textFill>
            <w14:solidFill>
              <w14:schemeClr w14:val="tx1"/>
            </w14:solidFill>
          </w14:textFill>
        </w:rPr>
        <w:t>广西政府采购云平台新版客户端”</w:t>
      </w:r>
      <w:r>
        <w:rPr>
          <w:rFonts w:hint="eastAsia" w:ascii="Times New Roman" w:hAnsi="Times New Roman" w:eastAsia="宋体" w:cs="宋体"/>
          <w:color w:val="000000" w:themeColor="text1"/>
          <w:spacing w:val="0"/>
          <w:kern w:val="0"/>
          <w:szCs w:val="21"/>
          <w:highlight w:val="none"/>
          <w:lang w:val="zh-CN"/>
          <w14:textFill>
            <w14:solidFill>
              <w14:schemeClr w14:val="tx1"/>
            </w14:solidFill>
          </w14:textFill>
        </w:rPr>
        <w:t>，并按照磋商文件和电子交易平台的要求编制并加密响应文件。供应商未按规定加密的响应文件，电子交易平台将拒收并提示。</w:t>
      </w:r>
    </w:p>
    <w:p w14:paraId="6B524D2B">
      <w:pPr>
        <w:pageBreakBefore w:val="0"/>
        <w:widowControl w:val="0"/>
        <w:kinsoku/>
        <w:wordWrap/>
        <w:overflowPunct/>
        <w:topLinePunct w:val="0"/>
        <w:autoSpaceDE/>
        <w:autoSpaceDN/>
        <w:bidi w:val="0"/>
        <w:spacing w:line="360" w:lineRule="auto"/>
        <w:ind w:firstLine="420" w:firstLineChars="200"/>
        <w:rPr>
          <w:rFonts w:hint="eastAsia" w:ascii="Times New Roman" w:hAnsi="Times New Roman" w:eastAsia="宋体" w:cs="宋体"/>
          <w:color w:val="000000" w:themeColor="text1"/>
          <w:spacing w:val="0"/>
          <w:kern w:val="0"/>
          <w:szCs w:val="21"/>
          <w:highlight w:val="none"/>
          <w:lang w:val="zh-CN"/>
          <w14:textFill>
            <w14:solidFill>
              <w14:schemeClr w14:val="tx1"/>
            </w14:solidFill>
          </w14:textFill>
        </w:rPr>
      </w:pPr>
      <w:r>
        <w:rPr>
          <w:rFonts w:hint="eastAsia" w:ascii="Times New Roman" w:hAnsi="Times New Roman" w:eastAsia="宋体" w:cs="宋体"/>
          <w:color w:val="000000" w:themeColor="text1"/>
          <w:spacing w:val="0"/>
          <w:kern w:val="0"/>
          <w:szCs w:val="21"/>
          <w:highlight w:val="none"/>
          <w:lang w:val="zh-CN"/>
          <w14:textFill>
            <w14:solidFill>
              <w14:schemeClr w14:val="tx1"/>
            </w14:solidFill>
          </w14:textFill>
        </w:rPr>
        <w:t>19.2使用“</w:t>
      </w:r>
      <w:r>
        <w:rPr>
          <w:rFonts w:hint="eastAsia" w:ascii="Times New Roman" w:hAnsi="Times New Roman" w:eastAsia="宋体" w:cs="宋体"/>
          <w:color w:val="000000" w:themeColor="text1"/>
          <w:spacing w:val="0"/>
          <w:kern w:val="0"/>
          <w:szCs w:val="21"/>
          <w:highlight w:val="none"/>
          <w:lang w:val="en-US" w:eastAsia="zh-CN"/>
          <w14:textFill>
            <w14:solidFill>
              <w14:schemeClr w14:val="tx1"/>
            </w14:solidFill>
          </w14:textFill>
        </w:rPr>
        <w:t>广西政府采购云平台</w:t>
      </w:r>
      <w:r>
        <w:rPr>
          <w:rFonts w:hint="eastAsia" w:ascii="Times New Roman" w:hAnsi="Times New Roman" w:eastAsia="宋体" w:cs="宋体"/>
          <w:color w:val="000000" w:themeColor="text1"/>
          <w:spacing w:val="0"/>
          <w:kern w:val="0"/>
          <w:szCs w:val="21"/>
          <w:highlight w:val="none"/>
          <w:lang w:val="zh-CN"/>
          <w14:textFill>
            <w14:solidFill>
              <w14:schemeClr w14:val="tx1"/>
            </w14:solidFill>
          </w14:textFill>
        </w:rPr>
        <w:t>电子交易客户端”需要提前申领CA数字证书。</w:t>
      </w:r>
    </w:p>
    <w:p w14:paraId="543E8C67">
      <w:pPr>
        <w:pageBreakBefore w:val="0"/>
        <w:widowControl w:val="0"/>
        <w:kinsoku/>
        <w:wordWrap/>
        <w:overflowPunct/>
        <w:topLinePunct w:val="0"/>
        <w:autoSpaceDE/>
        <w:autoSpaceDN/>
        <w:bidi w:val="0"/>
        <w:spacing w:line="360" w:lineRule="auto"/>
        <w:ind w:firstLine="420" w:firstLineChars="200"/>
        <w:rPr>
          <w:rFonts w:hint="eastAsia" w:ascii="Times New Roman" w:hAnsi="Times New Roman" w:eastAsia="宋体" w:cs="宋体"/>
          <w:color w:val="000000" w:themeColor="text1"/>
          <w:spacing w:val="0"/>
          <w:kern w:val="0"/>
          <w:szCs w:val="21"/>
          <w:highlight w:val="none"/>
          <w14:textFill>
            <w14:solidFill>
              <w14:schemeClr w14:val="tx1"/>
            </w14:solidFill>
          </w14:textFill>
        </w:rPr>
      </w:pPr>
      <w:r>
        <w:rPr>
          <w:rFonts w:hint="eastAsia" w:ascii="Times New Roman" w:hAnsi="Times New Roman" w:eastAsia="宋体" w:cs="宋体"/>
          <w:color w:val="000000" w:themeColor="text1"/>
          <w:spacing w:val="0"/>
          <w:kern w:val="0"/>
          <w:szCs w:val="21"/>
          <w:highlight w:val="none"/>
          <w14:textFill>
            <w14:solidFill>
              <w14:schemeClr w14:val="tx1"/>
            </w14:solidFill>
          </w14:textFill>
        </w:rPr>
        <w:t>19.3为确保网上操作合法、有效和安全，供应商应当在响应文件提交截止时间前完成在“</w:t>
      </w:r>
      <w:r>
        <w:rPr>
          <w:rFonts w:hint="eastAsia" w:ascii="Times New Roman" w:hAnsi="Times New Roman" w:eastAsia="宋体" w:cs="宋体"/>
          <w:b w:val="0"/>
          <w:bCs w:val="0"/>
          <w:color w:val="000000" w:themeColor="text1"/>
          <w:spacing w:val="0"/>
          <w:sz w:val="21"/>
          <w:szCs w:val="21"/>
          <w:highlight w:val="none"/>
          <w:lang w:val="en-US" w:eastAsia="zh-CN"/>
          <w14:textFill>
            <w14:solidFill>
              <w14:schemeClr w14:val="tx1"/>
            </w14:solidFill>
          </w14:textFill>
        </w:rPr>
        <w:t>广西政府采购云平台</w:t>
      </w:r>
      <w:r>
        <w:rPr>
          <w:rFonts w:hint="eastAsia" w:ascii="Times New Roman" w:hAnsi="Times New Roman" w:eastAsia="宋体" w:cs="宋体"/>
          <w:color w:val="000000" w:themeColor="text1"/>
          <w:spacing w:val="0"/>
          <w:kern w:val="0"/>
          <w:szCs w:val="21"/>
          <w:highlight w:val="none"/>
          <w14:textFill>
            <w14:solidFill>
              <w14:schemeClr w14:val="tx1"/>
            </w14:solidFill>
          </w14:textFill>
        </w:rPr>
        <w:t>”的身份认证，确保在电子交易过程中能够对相关数据电文进行加密和使用电子签名。</w:t>
      </w:r>
    </w:p>
    <w:p w14:paraId="1F756B63">
      <w:pPr>
        <w:pageBreakBefore w:val="0"/>
        <w:widowControl w:val="0"/>
        <w:kinsoku/>
        <w:wordWrap/>
        <w:overflowPunct/>
        <w:topLinePunct w:val="0"/>
        <w:autoSpaceDE/>
        <w:autoSpaceDN/>
        <w:bidi w:val="0"/>
        <w:spacing w:line="360" w:lineRule="auto"/>
        <w:outlineLvl w:val="2"/>
        <w:rPr>
          <w:rFonts w:hint="eastAsia" w:ascii="Times New Roman" w:hAnsi="Times New Roman" w:eastAsia="宋体" w:cs="宋体"/>
          <w:b/>
          <w:bCs/>
          <w:color w:val="000000" w:themeColor="text1"/>
          <w:spacing w:val="0"/>
          <w:sz w:val="21"/>
          <w:szCs w:val="21"/>
          <w:highlight w:val="none"/>
          <w14:textFill>
            <w14:solidFill>
              <w14:schemeClr w14:val="tx1"/>
            </w14:solidFill>
          </w14:textFill>
        </w:rPr>
      </w:pPr>
      <w:bookmarkStart w:id="121" w:name="_Toc23739"/>
      <w:r>
        <w:rPr>
          <w:rFonts w:hint="eastAsia" w:ascii="Times New Roman" w:hAnsi="Times New Roman" w:eastAsia="宋体" w:cs="宋体"/>
          <w:b/>
          <w:bCs/>
          <w:color w:val="000000" w:themeColor="text1"/>
          <w:spacing w:val="0"/>
          <w:sz w:val="21"/>
          <w:szCs w:val="21"/>
          <w:highlight w:val="none"/>
          <w14:textFill>
            <w14:solidFill>
              <w14:schemeClr w14:val="tx1"/>
            </w14:solidFill>
          </w14:textFill>
        </w:rPr>
        <w:t>20.响应文件的提交</w:t>
      </w:r>
      <w:bookmarkEnd w:id="121"/>
    </w:p>
    <w:p w14:paraId="3890AAEF">
      <w:pPr>
        <w:pageBreakBefore w:val="0"/>
        <w:widowControl w:val="0"/>
        <w:kinsoku/>
        <w:wordWrap/>
        <w:overflowPunct/>
        <w:topLinePunct w:val="0"/>
        <w:autoSpaceDE/>
        <w:autoSpaceDN/>
        <w:bidi w:val="0"/>
        <w:spacing w:line="360" w:lineRule="auto"/>
        <w:ind w:firstLine="420" w:firstLineChars="200"/>
        <w:rPr>
          <w:rFonts w:hint="eastAsia" w:ascii="Times New Roman" w:hAnsi="Times New Roman" w:eastAsia="宋体" w:cs="宋体"/>
          <w:color w:val="000000" w:themeColor="text1"/>
          <w:spacing w:val="0"/>
          <w:szCs w:val="21"/>
          <w:highlight w:val="none"/>
          <w14:textFill>
            <w14:solidFill>
              <w14:schemeClr w14:val="tx1"/>
            </w14:solidFill>
          </w14:textFill>
        </w:rPr>
      </w:pPr>
      <w:r>
        <w:rPr>
          <w:rFonts w:hint="eastAsia" w:ascii="Times New Roman" w:hAnsi="Times New Roman" w:eastAsia="宋体" w:cs="宋体"/>
          <w:color w:val="000000" w:themeColor="text1"/>
          <w:spacing w:val="0"/>
          <w:szCs w:val="21"/>
          <w:highlight w:val="none"/>
          <w14:textFill>
            <w14:solidFill>
              <w14:schemeClr w14:val="tx1"/>
            </w14:solidFill>
          </w14:textFill>
        </w:rPr>
        <w:t>20.1供应商必须在</w:t>
      </w:r>
      <w:r>
        <w:rPr>
          <w:rFonts w:hint="eastAsia" w:ascii="Times New Roman" w:hAnsi="Times New Roman" w:eastAsia="宋体" w:cs="宋体"/>
          <w:color w:val="000000" w:themeColor="text1"/>
          <w:spacing w:val="0"/>
          <w:szCs w:val="21"/>
          <w:highlight w:val="none"/>
          <w:lang w:eastAsia="zh-CN"/>
          <w14:textFill>
            <w14:solidFill>
              <w14:schemeClr w14:val="tx1"/>
            </w14:solidFill>
          </w14:textFill>
        </w:rPr>
        <w:t>“</w:t>
      </w:r>
      <w:r>
        <w:rPr>
          <w:rFonts w:hint="eastAsia" w:ascii="Times New Roman" w:hAnsi="Times New Roman" w:eastAsia="宋体" w:cs="宋体"/>
          <w:color w:val="000000" w:themeColor="text1"/>
          <w:spacing w:val="0"/>
          <w:szCs w:val="21"/>
          <w:highlight w:val="none"/>
          <w14:textFill>
            <w14:solidFill>
              <w14:schemeClr w14:val="tx1"/>
            </w14:solidFill>
          </w14:textFill>
        </w:rPr>
        <w:t>供应商须知前附表</w:t>
      </w:r>
      <w:r>
        <w:rPr>
          <w:rFonts w:hint="eastAsia" w:ascii="Times New Roman" w:hAnsi="Times New Roman" w:eastAsia="宋体" w:cs="宋体"/>
          <w:color w:val="000000" w:themeColor="text1"/>
          <w:spacing w:val="0"/>
          <w:szCs w:val="21"/>
          <w:highlight w:val="none"/>
          <w:lang w:eastAsia="zh-CN"/>
          <w14:textFill>
            <w14:solidFill>
              <w14:schemeClr w14:val="tx1"/>
            </w14:solidFill>
          </w14:textFill>
        </w:rPr>
        <w:t>”</w:t>
      </w:r>
      <w:r>
        <w:rPr>
          <w:rFonts w:hint="eastAsia" w:ascii="Times New Roman" w:hAnsi="Times New Roman" w:eastAsia="宋体" w:cs="宋体"/>
          <w:color w:val="000000" w:themeColor="text1"/>
          <w:spacing w:val="0"/>
          <w:szCs w:val="21"/>
          <w:highlight w:val="none"/>
          <w14:textFill>
            <w14:solidFill>
              <w14:schemeClr w14:val="tx1"/>
            </w14:solidFill>
          </w14:textFill>
        </w:rPr>
        <w:t>规定的时间和地点提交响应文件。</w:t>
      </w:r>
    </w:p>
    <w:p w14:paraId="6AFB89B5">
      <w:pPr>
        <w:pageBreakBefore w:val="0"/>
        <w:widowControl w:val="0"/>
        <w:kinsoku/>
        <w:wordWrap/>
        <w:overflowPunct/>
        <w:topLinePunct w:val="0"/>
        <w:autoSpaceDE/>
        <w:autoSpaceDN/>
        <w:bidi w:val="0"/>
        <w:spacing w:line="360" w:lineRule="auto"/>
        <w:ind w:firstLine="420" w:firstLineChars="200"/>
        <w:rPr>
          <w:rFonts w:hint="eastAsia" w:ascii="Times New Roman" w:hAnsi="Times New Roman" w:eastAsia="宋体" w:cs="宋体"/>
          <w:color w:val="000000" w:themeColor="text1"/>
          <w:spacing w:val="0"/>
          <w:szCs w:val="21"/>
          <w:highlight w:val="none"/>
          <w14:textFill>
            <w14:solidFill>
              <w14:schemeClr w14:val="tx1"/>
            </w14:solidFill>
          </w14:textFill>
        </w:rPr>
      </w:pPr>
      <w:r>
        <w:rPr>
          <w:rFonts w:hint="eastAsia" w:ascii="Times New Roman" w:hAnsi="Times New Roman" w:eastAsia="宋体" w:cs="宋体"/>
          <w:color w:val="000000" w:themeColor="text1"/>
          <w:spacing w:val="0"/>
          <w:szCs w:val="21"/>
          <w:highlight w:val="none"/>
          <w14:textFill>
            <w14:solidFill>
              <w14:schemeClr w14:val="tx1"/>
            </w14:solidFill>
          </w14:textFill>
        </w:rPr>
        <w:t>20.2 在响应文件提交截止时间以后，不能补充、修改响应文件。</w:t>
      </w:r>
    </w:p>
    <w:p w14:paraId="183711C8">
      <w:pPr>
        <w:pageBreakBefore w:val="0"/>
        <w:widowControl w:val="0"/>
        <w:kinsoku/>
        <w:wordWrap/>
        <w:overflowPunct/>
        <w:topLinePunct w:val="0"/>
        <w:autoSpaceDE/>
        <w:autoSpaceDN/>
        <w:bidi w:val="0"/>
        <w:spacing w:line="360" w:lineRule="auto"/>
        <w:ind w:firstLine="420" w:firstLineChars="200"/>
        <w:rPr>
          <w:rFonts w:hint="eastAsia" w:ascii="Times New Roman" w:hAnsi="Times New Roman" w:eastAsia="宋体" w:cs="宋体"/>
          <w:color w:val="000000" w:themeColor="text1"/>
          <w:spacing w:val="0"/>
          <w:szCs w:val="21"/>
          <w:highlight w:val="none"/>
          <w14:textFill>
            <w14:solidFill>
              <w14:schemeClr w14:val="tx1"/>
            </w14:solidFill>
          </w14:textFill>
        </w:rPr>
      </w:pPr>
      <w:r>
        <w:rPr>
          <w:rFonts w:hint="eastAsia" w:ascii="Times New Roman" w:hAnsi="Times New Roman" w:eastAsia="宋体" w:cs="宋体"/>
          <w:color w:val="000000" w:themeColor="text1"/>
          <w:spacing w:val="0"/>
          <w:szCs w:val="21"/>
          <w:highlight w:val="none"/>
          <w14:textFill>
            <w14:solidFill>
              <w14:schemeClr w14:val="tx1"/>
            </w14:solidFill>
          </w14:textFill>
        </w:rPr>
        <w:t>20.3 在提交</w:t>
      </w:r>
      <w:r>
        <w:rPr>
          <w:rFonts w:hint="eastAsia" w:ascii="Times New Roman" w:hAnsi="Times New Roman" w:eastAsia="宋体" w:cs="宋体"/>
          <w:color w:val="000000" w:themeColor="text1"/>
          <w:spacing w:val="0"/>
          <w:szCs w:val="21"/>
          <w:highlight w:val="none"/>
          <w:lang w:eastAsia="zh-CN"/>
          <w14:textFill>
            <w14:solidFill>
              <w14:schemeClr w14:val="tx1"/>
            </w14:solidFill>
          </w14:textFill>
        </w:rPr>
        <w:t>“</w:t>
      </w:r>
      <w:r>
        <w:rPr>
          <w:rFonts w:hint="eastAsia" w:ascii="Times New Roman" w:hAnsi="Times New Roman" w:eastAsia="宋体" w:cs="宋体"/>
          <w:color w:val="000000" w:themeColor="text1"/>
          <w:spacing w:val="0"/>
          <w:szCs w:val="21"/>
          <w:highlight w:val="none"/>
          <w14:textFill>
            <w14:solidFill>
              <w14:schemeClr w14:val="tx1"/>
            </w14:solidFill>
          </w14:textFill>
        </w:rPr>
        <w:t>最后报价</w:t>
      </w:r>
      <w:r>
        <w:rPr>
          <w:rFonts w:hint="eastAsia" w:ascii="Times New Roman" w:hAnsi="Times New Roman" w:eastAsia="宋体" w:cs="宋体"/>
          <w:color w:val="000000" w:themeColor="text1"/>
          <w:spacing w:val="0"/>
          <w:szCs w:val="21"/>
          <w:highlight w:val="none"/>
          <w:lang w:eastAsia="zh-CN"/>
          <w14:textFill>
            <w14:solidFill>
              <w14:schemeClr w14:val="tx1"/>
            </w14:solidFill>
          </w14:textFill>
        </w:rPr>
        <w:t>”</w:t>
      </w:r>
      <w:r>
        <w:rPr>
          <w:rFonts w:hint="eastAsia" w:ascii="Times New Roman" w:hAnsi="Times New Roman" w:eastAsia="宋体" w:cs="宋体"/>
          <w:color w:val="000000" w:themeColor="text1"/>
          <w:spacing w:val="0"/>
          <w:szCs w:val="21"/>
          <w:highlight w:val="none"/>
          <w14:textFill>
            <w14:solidFill>
              <w14:schemeClr w14:val="tx1"/>
            </w14:solidFill>
          </w14:textFill>
        </w:rPr>
        <w:t>后，供应商不能退出磋商。</w:t>
      </w:r>
    </w:p>
    <w:p w14:paraId="3C69E9FC">
      <w:pPr>
        <w:pageBreakBefore w:val="0"/>
        <w:widowControl w:val="0"/>
        <w:kinsoku/>
        <w:wordWrap/>
        <w:overflowPunct/>
        <w:topLinePunct w:val="0"/>
        <w:autoSpaceDE/>
        <w:autoSpaceDN/>
        <w:bidi w:val="0"/>
        <w:spacing w:line="360" w:lineRule="auto"/>
        <w:ind w:firstLine="420" w:firstLineChars="200"/>
        <w:rPr>
          <w:rFonts w:hint="eastAsia" w:ascii="Times New Roman" w:hAnsi="Times New Roman" w:eastAsia="宋体" w:cs="宋体"/>
          <w:color w:val="000000" w:themeColor="text1"/>
          <w:spacing w:val="0"/>
          <w:szCs w:val="21"/>
          <w:highlight w:val="none"/>
          <w14:textFill>
            <w14:solidFill>
              <w14:schemeClr w14:val="tx1"/>
            </w14:solidFill>
          </w14:textFill>
        </w:rPr>
      </w:pPr>
      <w:r>
        <w:rPr>
          <w:rFonts w:hint="eastAsia" w:ascii="Times New Roman" w:hAnsi="Times New Roman" w:eastAsia="宋体" w:cs="宋体"/>
          <w:color w:val="000000" w:themeColor="text1"/>
          <w:spacing w:val="0"/>
          <w:szCs w:val="21"/>
          <w:highlight w:val="none"/>
          <w14:textFill>
            <w14:solidFill>
              <w14:schemeClr w14:val="tx1"/>
            </w14:solidFill>
          </w14:textFill>
        </w:rPr>
        <w:t>20.4 电子交易平台收到响应文件，将妥善保存并即时向供应商发出确认回执通知。在响应文件提交截止时间前，除供应商补充、修改或者撤回响应文件外，任何单位和个人不得解密或提取响应文件。</w:t>
      </w:r>
    </w:p>
    <w:p w14:paraId="6C3BB33C">
      <w:pPr>
        <w:pageBreakBefore w:val="0"/>
        <w:widowControl w:val="0"/>
        <w:kinsoku/>
        <w:wordWrap/>
        <w:overflowPunct/>
        <w:topLinePunct w:val="0"/>
        <w:autoSpaceDE/>
        <w:autoSpaceDN/>
        <w:bidi w:val="0"/>
        <w:spacing w:line="360" w:lineRule="auto"/>
        <w:ind w:firstLine="420" w:firstLineChars="200"/>
        <w:rPr>
          <w:rFonts w:hint="eastAsia" w:ascii="Times New Roman" w:hAnsi="Times New Roman" w:eastAsia="宋体" w:cs="宋体"/>
          <w:color w:val="000000" w:themeColor="text1"/>
          <w:spacing w:val="0"/>
          <w:szCs w:val="21"/>
          <w:highlight w:val="none"/>
          <w14:textFill>
            <w14:solidFill>
              <w14:schemeClr w14:val="tx1"/>
            </w14:solidFill>
          </w14:textFill>
        </w:rPr>
      </w:pPr>
      <w:r>
        <w:rPr>
          <w:rFonts w:hint="eastAsia" w:ascii="Times New Roman" w:hAnsi="Times New Roman" w:eastAsia="宋体" w:cs="宋体"/>
          <w:color w:val="000000" w:themeColor="text1"/>
          <w:spacing w:val="0"/>
          <w:szCs w:val="21"/>
          <w:highlight w:val="none"/>
          <w14:textFill>
            <w14:solidFill>
              <w14:schemeClr w14:val="tx1"/>
            </w14:solidFill>
          </w14:textFill>
        </w:rPr>
        <w:t>20.5 采购机构不可视情况延长提交响应文件的截止时间。</w:t>
      </w:r>
    </w:p>
    <w:p w14:paraId="6B3A4329">
      <w:pPr>
        <w:pageBreakBefore w:val="0"/>
        <w:widowControl w:val="0"/>
        <w:kinsoku/>
        <w:wordWrap/>
        <w:overflowPunct/>
        <w:topLinePunct w:val="0"/>
        <w:autoSpaceDE/>
        <w:autoSpaceDN/>
        <w:bidi w:val="0"/>
        <w:spacing w:line="360" w:lineRule="auto"/>
        <w:ind w:firstLine="420" w:firstLineChars="200"/>
        <w:rPr>
          <w:rFonts w:hint="eastAsia" w:ascii="Times New Roman" w:hAnsi="Times New Roman" w:eastAsia="宋体" w:cs="宋体"/>
          <w:color w:val="000000" w:themeColor="text1"/>
          <w:spacing w:val="0"/>
          <w:sz w:val="24"/>
          <w:highlight w:val="none"/>
          <w14:textFill>
            <w14:solidFill>
              <w14:schemeClr w14:val="tx1"/>
            </w14:solidFill>
          </w14:textFill>
        </w:rPr>
      </w:pPr>
      <w:r>
        <w:rPr>
          <w:rFonts w:hint="eastAsia" w:ascii="Times New Roman" w:hAnsi="Times New Roman" w:eastAsia="宋体" w:cs="宋体"/>
          <w:color w:val="000000" w:themeColor="text1"/>
          <w:spacing w:val="0"/>
          <w:szCs w:val="21"/>
          <w:highlight w:val="none"/>
          <w14:textFill>
            <w14:solidFill>
              <w14:schemeClr w14:val="tx1"/>
            </w14:solidFill>
          </w14:textFill>
        </w:rPr>
        <w:t>20.6备份响应文件。</w:t>
      </w:r>
      <w:r>
        <w:rPr>
          <w:rFonts w:hint="eastAsia" w:ascii="Times New Roman" w:hAnsi="Times New Roman" w:eastAsia="宋体" w:cs="宋体"/>
          <w:bCs/>
          <w:color w:val="000000" w:themeColor="text1"/>
          <w:spacing w:val="0"/>
          <w:szCs w:val="21"/>
          <w:highlight w:val="none"/>
          <w14:textFill>
            <w14:solidFill>
              <w14:schemeClr w14:val="tx1"/>
            </w14:solidFill>
          </w14:textFill>
        </w:rPr>
        <w:t>详见</w:t>
      </w:r>
      <w:r>
        <w:rPr>
          <w:rFonts w:hint="eastAsia" w:ascii="Times New Roman" w:hAnsi="Times New Roman" w:eastAsia="宋体" w:cs="宋体"/>
          <w:bCs/>
          <w:color w:val="000000" w:themeColor="text1"/>
          <w:spacing w:val="0"/>
          <w:szCs w:val="21"/>
          <w:highlight w:val="none"/>
          <w:lang w:eastAsia="zh-CN"/>
          <w14:textFill>
            <w14:solidFill>
              <w14:schemeClr w14:val="tx1"/>
            </w14:solidFill>
          </w14:textFill>
        </w:rPr>
        <w:t>“</w:t>
      </w:r>
      <w:r>
        <w:rPr>
          <w:rFonts w:hint="eastAsia" w:ascii="Times New Roman" w:hAnsi="Times New Roman" w:eastAsia="宋体" w:cs="宋体"/>
          <w:bCs/>
          <w:color w:val="000000" w:themeColor="text1"/>
          <w:spacing w:val="0"/>
          <w:szCs w:val="21"/>
          <w:highlight w:val="none"/>
          <w14:textFill>
            <w14:solidFill>
              <w14:schemeClr w14:val="tx1"/>
            </w14:solidFill>
          </w14:textFill>
        </w:rPr>
        <w:t>供应商须知前附表</w:t>
      </w:r>
      <w:r>
        <w:rPr>
          <w:rFonts w:hint="eastAsia" w:ascii="Times New Roman" w:hAnsi="Times New Roman" w:eastAsia="宋体" w:cs="宋体"/>
          <w:bCs/>
          <w:color w:val="000000" w:themeColor="text1"/>
          <w:spacing w:val="0"/>
          <w:szCs w:val="21"/>
          <w:highlight w:val="none"/>
          <w:lang w:eastAsia="zh-CN"/>
          <w14:textFill>
            <w14:solidFill>
              <w14:schemeClr w14:val="tx1"/>
            </w14:solidFill>
          </w14:textFill>
        </w:rPr>
        <w:t>”</w:t>
      </w:r>
      <w:r>
        <w:rPr>
          <w:rFonts w:hint="eastAsia" w:ascii="Times New Roman" w:hAnsi="Times New Roman" w:eastAsia="宋体" w:cs="宋体"/>
          <w:bCs/>
          <w:color w:val="000000" w:themeColor="text1"/>
          <w:spacing w:val="0"/>
          <w:szCs w:val="21"/>
          <w:highlight w:val="none"/>
          <w14:textFill>
            <w14:solidFill>
              <w14:schemeClr w14:val="tx1"/>
            </w14:solidFill>
          </w14:textFill>
        </w:rPr>
        <w:t>。</w:t>
      </w:r>
    </w:p>
    <w:p w14:paraId="2AEF7923">
      <w:pPr>
        <w:pageBreakBefore w:val="0"/>
        <w:widowControl w:val="0"/>
        <w:kinsoku/>
        <w:wordWrap/>
        <w:overflowPunct/>
        <w:topLinePunct w:val="0"/>
        <w:autoSpaceDE/>
        <w:autoSpaceDN/>
        <w:bidi w:val="0"/>
        <w:spacing w:line="360" w:lineRule="auto"/>
        <w:outlineLvl w:val="2"/>
        <w:rPr>
          <w:rFonts w:hint="eastAsia" w:ascii="Times New Roman" w:hAnsi="Times New Roman" w:eastAsia="宋体" w:cs="宋体"/>
          <w:b/>
          <w:bCs/>
          <w:color w:val="000000" w:themeColor="text1"/>
          <w:spacing w:val="0"/>
          <w:sz w:val="21"/>
          <w:szCs w:val="21"/>
          <w:highlight w:val="none"/>
          <w14:textFill>
            <w14:solidFill>
              <w14:schemeClr w14:val="tx1"/>
            </w14:solidFill>
          </w14:textFill>
        </w:rPr>
      </w:pPr>
      <w:bookmarkStart w:id="122" w:name="_Toc14829"/>
      <w:r>
        <w:rPr>
          <w:rFonts w:hint="eastAsia" w:ascii="Times New Roman" w:hAnsi="Times New Roman" w:eastAsia="宋体" w:cs="宋体"/>
          <w:b/>
          <w:bCs/>
          <w:color w:val="000000" w:themeColor="text1"/>
          <w:spacing w:val="0"/>
          <w:sz w:val="21"/>
          <w:szCs w:val="21"/>
          <w:highlight w:val="none"/>
          <w14:textFill>
            <w14:solidFill>
              <w14:schemeClr w14:val="tx1"/>
            </w14:solidFill>
          </w14:textFill>
        </w:rPr>
        <w:t>21.首次响应文件的补充、修改与撤回</w:t>
      </w:r>
      <w:bookmarkEnd w:id="122"/>
    </w:p>
    <w:p w14:paraId="7FA9344A">
      <w:pPr>
        <w:pageBreakBefore w:val="0"/>
        <w:widowControl w:val="0"/>
        <w:kinsoku/>
        <w:wordWrap/>
        <w:overflowPunct/>
        <w:topLinePunct w:val="0"/>
        <w:autoSpaceDE/>
        <w:autoSpaceDN/>
        <w:bidi w:val="0"/>
        <w:spacing w:line="360" w:lineRule="auto"/>
        <w:ind w:firstLine="420" w:firstLineChars="200"/>
        <w:rPr>
          <w:rFonts w:hint="eastAsia" w:ascii="Times New Roman" w:hAnsi="Times New Roman" w:eastAsia="宋体" w:cs="宋体"/>
          <w:color w:val="000000" w:themeColor="text1"/>
          <w:spacing w:val="0"/>
          <w:szCs w:val="21"/>
          <w:highlight w:val="none"/>
          <w14:textFill>
            <w14:solidFill>
              <w14:schemeClr w14:val="tx1"/>
            </w14:solidFill>
          </w14:textFill>
        </w:rPr>
      </w:pPr>
      <w:r>
        <w:rPr>
          <w:rFonts w:hint="eastAsia" w:ascii="Times New Roman" w:hAnsi="Times New Roman" w:eastAsia="宋体" w:cs="宋体"/>
          <w:color w:val="000000" w:themeColor="text1"/>
          <w:spacing w:val="0"/>
          <w:kern w:val="0"/>
          <w:szCs w:val="21"/>
          <w:highlight w:val="none"/>
          <w14:textFill>
            <w14:solidFill>
              <w14:schemeClr w14:val="tx1"/>
            </w14:solidFill>
          </w14:textFill>
        </w:rPr>
        <w:t>供应商应当在提交响应文件截止时间前完成响应文件的传输提交，并可以补充、修改或者撤回响应文件。补充或者修改响应文件的，应当先行撤回原文件，补充、修改后重新传输提交。提交响应文件截止时间前未完成传输的，视为撤回响应文件。响应文件提交截止时间后提交的响应文件，电子交易平台将拒收</w:t>
      </w:r>
      <w:r>
        <w:rPr>
          <w:rFonts w:hint="eastAsia" w:ascii="Times New Roman" w:hAnsi="Times New Roman" w:eastAsia="宋体" w:cs="宋体"/>
          <w:color w:val="000000" w:themeColor="text1"/>
          <w:spacing w:val="0"/>
          <w:szCs w:val="21"/>
          <w:highlight w:val="none"/>
          <w14:textFill>
            <w14:solidFill>
              <w14:schemeClr w14:val="tx1"/>
            </w14:solidFill>
          </w14:textFill>
        </w:rPr>
        <w:t>。</w:t>
      </w:r>
    </w:p>
    <w:p w14:paraId="47F7A4CA">
      <w:pPr>
        <w:pageBreakBefore w:val="0"/>
        <w:widowControl w:val="0"/>
        <w:kinsoku/>
        <w:wordWrap/>
        <w:overflowPunct/>
        <w:topLinePunct w:val="0"/>
        <w:autoSpaceDE/>
        <w:autoSpaceDN/>
        <w:bidi w:val="0"/>
        <w:spacing w:line="360" w:lineRule="auto"/>
        <w:outlineLvl w:val="2"/>
        <w:rPr>
          <w:rFonts w:hint="eastAsia" w:ascii="Times New Roman" w:hAnsi="Times New Roman" w:eastAsia="宋体" w:cs="宋体"/>
          <w:b/>
          <w:bCs/>
          <w:color w:val="000000" w:themeColor="text1"/>
          <w:spacing w:val="0"/>
          <w:sz w:val="21"/>
          <w:szCs w:val="21"/>
          <w:highlight w:val="none"/>
          <w14:textFill>
            <w14:solidFill>
              <w14:schemeClr w14:val="tx1"/>
            </w14:solidFill>
          </w14:textFill>
        </w:rPr>
      </w:pPr>
      <w:bookmarkStart w:id="123" w:name="_Toc8119"/>
      <w:bookmarkStart w:id="124" w:name="_Hlk45702405"/>
      <w:r>
        <w:rPr>
          <w:rFonts w:hint="eastAsia" w:ascii="Times New Roman" w:hAnsi="Times New Roman" w:eastAsia="宋体" w:cs="宋体"/>
          <w:b/>
          <w:bCs/>
          <w:color w:val="000000" w:themeColor="text1"/>
          <w:spacing w:val="0"/>
          <w:sz w:val="21"/>
          <w:szCs w:val="21"/>
          <w:highlight w:val="none"/>
          <w14:textFill>
            <w14:solidFill>
              <w14:schemeClr w14:val="tx1"/>
            </w14:solidFill>
          </w14:textFill>
        </w:rPr>
        <w:t>2</w:t>
      </w:r>
      <w:r>
        <w:rPr>
          <w:rFonts w:hint="eastAsia" w:ascii="Times New Roman" w:hAnsi="Times New Roman" w:eastAsia="宋体" w:cs="宋体"/>
          <w:b/>
          <w:bCs/>
          <w:color w:val="000000" w:themeColor="text1"/>
          <w:spacing w:val="0"/>
          <w:sz w:val="21"/>
          <w:szCs w:val="21"/>
          <w:highlight w:val="none"/>
          <w:lang w:val="en-US" w:eastAsia="zh-CN"/>
          <w14:textFill>
            <w14:solidFill>
              <w14:schemeClr w14:val="tx1"/>
            </w14:solidFill>
          </w14:textFill>
        </w:rPr>
        <w:t>2</w:t>
      </w:r>
      <w:r>
        <w:rPr>
          <w:rFonts w:hint="eastAsia" w:ascii="Times New Roman" w:hAnsi="Times New Roman" w:eastAsia="宋体" w:cs="宋体"/>
          <w:b/>
          <w:bCs/>
          <w:color w:val="000000" w:themeColor="text1"/>
          <w:spacing w:val="0"/>
          <w:sz w:val="21"/>
          <w:szCs w:val="21"/>
          <w:highlight w:val="none"/>
          <w14:textFill>
            <w14:solidFill>
              <w14:schemeClr w14:val="tx1"/>
            </w14:solidFill>
          </w14:textFill>
        </w:rPr>
        <w:t>.截止时间后的撤回</w:t>
      </w:r>
      <w:bookmarkEnd w:id="123"/>
    </w:p>
    <w:bookmarkEnd w:id="124"/>
    <w:p w14:paraId="773EEEE0">
      <w:pPr>
        <w:pStyle w:val="14"/>
        <w:pageBreakBefore w:val="0"/>
        <w:widowControl w:val="0"/>
        <w:kinsoku/>
        <w:wordWrap/>
        <w:overflowPunct/>
        <w:topLinePunct w:val="0"/>
        <w:autoSpaceDE/>
        <w:autoSpaceDN/>
        <w:bidi w:val="0"/>
        <w:spacing w:line="360" w:lineRule="auto"/>
        <w:ind w:firstLine="420" w:firstLineChars="200"/>
        <w:rPr>
          <w:rFonts w:hint="eastAsia" w:ascii="Times New Roman" w:hAnsi="Times New Roman" w:eastAsia="宋体" w:cs="宋体"/>
          <w:i/>
          <w:iCs/>
          <w:color w:val="000000" w:themeColor="text1"/>
          <w:spacing w:val="0"/>
          <w:szCs w:val="21"/>
          <w:highlight w:val="none"/>
          <w:lang w:eastAsia="zh-CN"/>
          <w14:textFill>
            <w14:solidFill>
              <w14:schemeClr w14:val="tx1"/>
            </w14:solidFill>
          </w14:textFill>
        </w:rPr>
      </w:pPr>
      <w:r>
        <w:rPr>
          <w:rFonts w:hint="eastAsia" w:ascii="Times New Roman" w:hAnsi="Times New Roman" w:eastAsia="宋体" w:cs="宋体"/>
          <w:color w:val="000000" w:themeColor="text1"/>
          <w:spacing w:val="0"/>
          <w:highlight w:val="none"/>
          <w14:textFill>
            <w14:solidFill>
              <w14:schemeClr w14:val="tx1"/>
            </w14:solidFill>
          </w14:textFill>
        </w:rPr>
        <w:t>供应商在首次响应文件提交截止时间后向采购人、采购代理机构书面申请撤回</w:t>
      </w:r>
      <w:r>
        <w:rPr>
          <w:rFonts w:hint="eastAsia" w:ascii="Times New Roman" w:hAnsi="Times New Roman" w:eastAsia="宋体" w:cs="宋体"/>
          <w:color w:val="000000" w:themeColor="text1"/>
          <w:spacing w:val="0"/>
          <w:highlight w:val="none"/>
          <w:lang w:eastAsia="zh-CN"/>
          <w14:textFill>
            <w14:solidFill>
              <w14:schemeClr w14:val="tx1"/>
            </w14:solidFill>
          </w14:textFill>
        </w:rPr>
        <w:t>电子</w:t>
      </w:r>
      <w:r>
        <w:rPr>
          <w:rFonts w:hint="eastAsia" w:ascii="Times New Roman" w:hAnsi="Times New Roman" w:eastAsia="宋体" w:cs="宋体"/>
          <w:color w:val="000000" w:themeColor="text1"/>
          <w:spacing w:val="0"/>
          <w:highlight w:val="none"/>
          <w14:textFill>
            <w14:solidFill>
              <w14:schemeClr w14:val="tx1"/>
            </w14:solidFill>
          </w14:textFill>
        </w:rPr>
        <w:t>响应文件的，将根据本须知正文17.4的规定不予退还其磋商保证金</w:t>
      </w:r>
      <w:r>
        <w:rPr>
          <w:rFonts w:hint="eastAsia" w:ascii="Times New Roman" w:hAnsi="Times New Roman" w:eastAsia="宋体" w:cs="宋体"/>
          <w:color w:val="000000" w:themeColor="text1"/>
          <w:spacing w:val="0"/>
          <w:highlight w:val="none"/>
          <w:lang w:eastAsia="zh-CN"/>
          <w14:textFill>
            <w14:solidFill>
              <w14:schemeClr w14:val="tx1"/>
            </w14:solidFill>
          </w14:textFill>
        </w:rPr>
        <w:t>（</w:t>
      </w:r>
      <w:r>
        <w:rPr>
          <w:rFonts w:hint="eastAsia" w:ascii="Times New Roman" w:hAnsi="Times New Roman" w:eastAsia="宋体" w:cs="宋体"/>
          <w:color w:val="000000" w:themeColor="text1"/>
          <w:spacing w:val="0"/>
          <w:highlight w:val="none"/>
          <w:lang w:val="en-US" w:eastAsia="zh-CN"/>
          <w14:textFill>
            <w14:solidFill>
              <w14:schemeClr w14:val="tx1"/>
            </w14:solidFill>
          </w14:textFill>
        </w:rPr>
        <w:t>如有</w:t>
      </w:r>
      <w:r>
        <w:rPr>
          <w:rFonts w:hint="eastAsia" w:ascii="Times New Roman" w:hAnsi="Times New Roman" w:eastAsia="宋体" w:cs="宋体"/>
          <w:color w:val="000000" w:themeColor="text1"/>
          <w:spacing w:val="0"/>
          <w:highlight w:val="none"/>
          <w:lang w:eastAsia="zh-CN"/>
          <w14:textFill>
            <w14:solidFill>
              <w14:schemeClr w14:val="tx1"/>
            </w14:solidFill>
          </w14:textFill>
        </w:rPr>
        <w:t>）</w:t>
      </w:r>
      <w:r>
        <w:rPr>
          <w:rFonts w:hint="eastAsia" w:ascii="Times New Roman" w:hAnsi="Times New Roman" w:eastAsia="宋体" w:cs="宋体"/>
          <w:color w:val="000000" w:themeColor="text1"/>
          <w:spacing w:val="0"/>
          <w:highlight w:val="none"/>
          <w14:textFill>
            <w14:solidFill>
              <w14:schemeClr w14:val="tx1"/>
            </w14:solidFill>
          </w14:textFill>
        </w:rPr>
        <w:t>。</w:t>
      </w:r>
    </w:p>
    <w:p w14:paraId="09AB99A6">
      <w:pPr>
        <w:pStyle w:val="5"/>
        <w:keepNext/>
        <w:keepLines/>
        <w:pageBreakBefore w:val="0"/>
        <w:widowControl w:val="0"/>
        <w:kinsoku/>
        <w:wordWrap/>
        <w:overflowPunct/>
        <w:topLinePunct w:val="0"/>
        <w:autoSpaceDE/>
        <w:autoSpaceDN/>
        <w:bidi w:val="0"/>
        <w:adjustRightInd/>
        <w:snapToGrid/>
        <w:spacing w:before="0" w:beforeLines="50" w:after="0" w:line="360" w:lineRule="auto"/>
        <w:jc w:val="center"/>
        <w:textAlignment w:val="auto"/>
        <w:rPr>
          <w:rFonts w:hint="eastAsia" w:ascii="Times New Roman" w:hAnsi="Times New Roman" w:eastAsia="宋体" w:cs="宋体"/>
          <w:bCs w:val="0"/>
          <w:color w:val="000000" w:themeColor="text1"/>
          <w:spacing w:val="0"/>
          <w:sz w:val="24"/>
          <w:szCs w:val="24"/>
          <w:highlight w:val="none"/>
          <w14:textFill>
            <w14:solidFill>
              <w14:schemeClr w14:val="tx1"/>
            </w14:solidFill>
          </w14:textFill>
        </w:rPr>
      </w:pPr>
      <w:bookmarkStart w:id="125" w:name="_Toc17876"/>
      <w:bookmarkStart w:id="126" w:name="_Toc80886933"/>
      <w:bookmarkStart w:id="127" w:name="_Toc20044"/>
      <w:bookmarkStart w:id="128" w:name="_Toc9514"/>
      <w:r>
        <w:rPr>
          <w:rFonts w:hint="eastAsia" w:ascii="Times New Roman" w:hAnsi="Times New Roman" w:eastAsia="宋体" w:cs="宋体"/>
          <w:bCs w:val="0"/>
          <w:color w:val="000000" w:themeColor="text1"/>
          <w:spacing w:val="0"/>
          <w:sz w:val="24"/>
          <w:szCs w:val="24"/>
          <w:highlight w:val="none"/>
          <w14:textFill>
            <w14:solidFill>
              <w14:schemeClr w14:val="tx1"/>
            </w14:solidFill>
          </w14:textFill>
        </w:rPr>
        <w:t>四、评审及磋商</w:t>
      </w:r>
      <w:bookmarkEnd w:id="125"/>
      <w:bookmarkEnd w:id="126"/>
      <w:bookmarkEnd w:id="127"/>
      <w:bookmarkEnd w:id="128"/>
    </w:p>
    <w:p w14:paraId="1EE169A2">
      <w:pPr>
        <w:pageBreakBefore w:val="0"/>
        <w:widowControl w:val="0"/>
        <w:kinsoku/>
        <w:wordWrap/>
        <w:overflowPunct/>
        <w:topLinePunct w:val="0"/>
        <w:autoSpaceDE/>
        <w:autoSpaceDN/>
        <w:bidi w:val="0"/>
        <w:spacing w:line="360" w:lineRule="auto"/>
        <w:outlineLvl w:val="2"/>
        <w:rPr>
          <w:rFonts w:hint="eastAsia" w:ascii="Times New Roman" w:hAnsi="Times New Roman" w:eastAsia="宋体" w:cs="宋体"/>
          <w:b/>
          <w:bCs/>
          <w:color w:val="000000" w:themeColor="text1"/>
          <w:spacing w:val="0"/>
          <w:sz w:val="21"/>
          <w:szCs w:val="21"/>
          <w:highlight w:val="none"/>
          <w14:textFill>
            <w14:solidFill>
              <w14:schemeClr w14:val="tx1"/>
            </w14:solidFill>
          </w14:textFill>
        </w:rPr>
      </w:pPr>
      <w:bookmarkStart w:id="129" w:name="_Toc9096"/>
      <w:r>
        <w:rPr>
          <w:rFonts w:hint="eastAsia" w:ascii="Times New Roman" w:hAnsi="Times New Roman" w:eastAsia="宋体" w:cs="宋体"/>
          <w:b/>
          <w:bCs/>
          <w:color w:val="000000" w:themeColor="text1"/>
          <w:spacing w:val="0"/>
          <w:sz w:val="21"/>
          <w:szCs w:val="21"/>
          <w:highlight w:val="none"/>
          <w14:textFill>
            <w14:solidFill>
              <w14:schemeClr w14:val="tx1"/>
            </w14:solidFill>
          </w14:textFill>
        </w:rPr>
        <w:t>2</w:t>
      </w:r>
      <w:r>
        <w:rPr>
          <w:rFonts w:hint="eastAsia" w:ascii="Times New Roman" w:hAnsi="Times New Roman" w:eastAsia="宋体" w:cs="宋体"/>
          <w:b/>
          <w:bCs/>
          <w:color w:val="000000" w:themeColor="text1"/>
          <w:spacing w:val="0"/>
          <w:sz w:val="21"/>
          <w:szCs w:val="21"/>
          <w:highlight w:val="none"/>
          <w:lang w:val="en-US" w:eastAsia="zh-CN"/>
          <w14:textFill>
            <w14:solidFill>
              <w14:schemeClr w14:val="tx1"/>
            </w14:solidFill>
          </w14:textFill>
        </w:rPr>
        <w:t>3</w:t>
      </w:r>
      <w:r>
        <w:rPr>
          <w:rFonts w:hint="eastAsia" w:ascii="Times New Roman" w:hAnsi="Times New Roman" w:eastAsia="宋体" w:cs="宋体"/>
          <w:b/>
          <w:bCs/>
          <w:color w:val="000000" w:themeColor="text1"/>
          <w:spacing w:val="0"/>
          <w:sz w:val="21"/>
          <w:szCs w:val="21"/>
          <w:highlight w:val="none"/>
          <w14:textFill>
            <w14:solidFill>
              <w14:schemeClr w14:val="tx1"/>
            </w14:solidFill>
          </w14:textFill>
        </w:rPr>
        <w:t>.磋商小组成立</w:t>
      </w:r>
      <w:bookmarkEnd w:id="129"/>
    </w:p>
    <w:p w14:paraId="3B90D6B0">
      <w:pPr>
        <w:pageBreakBefore w:val="0"/>
        <w:widowControl w:val="0"/>
        <w:kinsoku/>
        <w:wordWrap/>
        <w:overflowPunct/>
        <w:topLinePunct w:val="0"/>
        <w:autoSpaceDE/>
        <w:autoSpaceDN/>
        <w:bidi w:val="0"/>
        <w:spacing w:line="360" w:lineRule="auto"/>
        <w:ind w:firstLine="420" w:firstLineChars="200"/>
        <w:rPr>
          <w:rFonts w:hint="eastAsia" w:ascii="Times New Roman" w:hAnsi="Times New Roman" w:eastAsia="宋体" w:cs="宋体"/>
          <w:color w:val="000000" w:themeColor="text1"/>
          <w:spacing w:val="0"/>
          <w:szCs w:val="21"/>
          <w:highlight w:val="none"/>
          <w14:textFill>
            <w14:solidFill>
              <w14:schemeClr w14:val="tx1"/>
            </w14:solidFill>
          </w14:textFill>
        </w:rPr>
      </w:pPr>
      <w:r>
        <w:rPr>
          <w:rFonts w:hint="eastAsia" w:ascii="Times New Roman" w:hAnsi="Times New Roman" w:eastAsia="宋体" w:cs="宋体"/>
          <w:color w:val="000000" w:themeColor="text1"/>
          <w:spacing w:val="0"/>
          <w:szCs w:val="21"/>
          <w:highlight w:val="none"/>
          <w14:textFill>
            <w14:solidFill>
              <w14:schemeClr w14:val="tx1"/>
            </w14:solidFill>
          </w14:textFill>
        </w:rPr>
        <w:t>2</w:t>
      </w:r>
      <w:r>
        <w:rPr>
          <w:rFonts w:hint="eastAsia" w:ascii="Times New Roman" w:hAnsi="Times New Roman" w:eastAsia="宋体" w:cs="宋体"/>
          <w:color w:val="000000" w:themeColor="text1"/>
          <w:spacing w:val="0"/>
          <w:szCs w:val="21"/>
          <w:highlight w:val="none"/>
          <w:lang w:val="en-US" w:eastAsia="zh-CN"/>
          <w14:textFill>
            <w14:solidFill>
              <w14:schemeClr w14:val="tx1"/>
            </w14:solidFill>
          </w14:textFill>
        </w:rPr>
        <w:t>3</w:t>
      </w:r>
      <w:r>
        <w:rPr>
          <w:rFonts w:hint="eastAsia" w:ascii="Times New Roman" w:hAnsi="Times New Roman" w:eastAsia="宋体" w:cs="宋体"/>
          <w:color w:val="000000" w:themeColor="text1"/>
          <w:spacing w:val="0"/>
          <w:szCs w:val="21"/>
          <w:highlight w:val="none"/>
          <w14:textFill>
            <w14:solidFill>
              <w14:schemeClr w14:val="tx1"/>
            </w14:solidFill>
          </w14:textFill>
        </w:rPr>
        <w:t>.1磋商小组由采购人代表和评审专家共3人以上单数组成，其中评审专家人数不得少于磋商小组成员总数的2/3。采购人代表不得以评审专家身份参加本部门或者本单位采购项目的评审。采购代理机构人员不得参加本机构代理的采购项目的评审。达到公开招标数额标准的货物或者服务采购项目，或者达到公开招标规模标准的政府采购工程，经批准采用竞争性磋商方式采购的，磋商小组由5人以上单数组成。</w:t>
      </w:r>
    </w:p>
    <w:p w14:paraId="3C86D604">
      <w:pPr>
        <w:pageBreakBefore w:val="0"/>
        <w:widowControl w:val="0"/>
        <w:kinsoku/>
        <w:wordWrap/>
        <w:overflowPunct/>
        <w:topLinePunct w:val="0"/>
        <w:autoSpaceDE/>
        <w:autoSpaceDN/>
        <w:bidi w:val="0"/>
        <w:spacing w:line="360" w:lineRule="auto"/>
        <w:ind w:firstLine="420" w:firstLineChars="200"/>
        <w:rPr>
          <w:rFonts w:hint="eastAsia" w:ascii="Times New Roman" w:hAnsi="Times New Roman" w:eastAsia="宋体" w:cs="宋体"/>
          <w:color w:val="000000" w:themeColor="text1"/>
          <w:spacing w:val="0"/>
          <w:szCs w:val="21"/>
          <w:highlight w:val="none"/>
          <w14:textFill>
            <w14:solidFill>
              <w14:schemeClr w14:val="tx1"/>
            </w14:solidFill>
          </w14:textFill>
        </w:rPr>
      </w:pPr>
      <w:r>
        <w:rPr>
          <w:rFonts w:hint="eastAsia" w:ascii="Times New Roman" w:hAnsi="Times New Roman" w:eastAsia="宋体" w:cs="宋体"/>
          <w:color w:val="000000" w:themeColor="text1"/>
          <w:spacing w:val="0"/>
          <w:szCs w:val="21"/>
          <w:highlight w:val="none"/>
          <w14:textFill>
            <w14:solidFill>
              <w14:schemeClr w14:val="tx1"/>
            </w14:solidFill>
          </w14:textFill>
        </w:rPr>
        <w:t>2</w:t>
      </w:r>
      <w:r>
        <w:rPr>
          <w:rFonts w:hint="eastAsia" w:ascii="Times New Roman" w:hAnsi="Times New Roman" w:eastAsia="宋体" w:cs="宋体"/>
          <w:color w:val="000000" w:themeColor="text1"/>
          <w:spacing w:val="0"/>
          <w:szCs w:val="21"/>
          <w:highlight w:val="none"/>
          <w:lang w:val="en-US" w:eastAsia="zh-CN"/>
          <w14:textFill>
            <w14:solidFill>
              <w14:schemeClr w14:val="tx1"/>
            </w14:solidFill>
          </w14:textFill>
        </w:rPr>
        <w:t>3</w:t>
      </w:r>
      <w:r>
        <w:rPr>
          <w:rFonts w:hint="eastAsia" w:ascii="Times New Roman" w:hAnsi="Times New Roman" w:eastAsia="宋体" w:cs="宋体"/>
          <w:color w:val="000000" w:themeColor="text1"/>
          <w:spacing w:val="0"/>
          <w:szCs w:val="21"/>
          <w:highlight w:val="none"/>
          <w14:textFill>
            <w14:solidFill>
              <w14:schemeClr w14:val="tx1"/>
            </w14:solidFill>
          </w14:textFill>
        </w:rPr>
        <w:t>.2评审专家应当从政府采购评审专家库内相关专业的专家名单中随机抽取。市场竞争不充分的科研项目，以及需要扶持的科技成果转化项目，以及情况特殊、通过随机方式难以确定合适的评审专家的项目，经主管预算单位同意，可以自行选定评审专家。</w:t>
      </w:r>
    </w:p>
    <w:p w14:paraId="2C11FDB8">
      <w:pPr>
        <w:pageBreakBefore w:val="0"/>
        <w:widowControl w:val="0"/>
        <w:kinsoku/>
        <w:wordWrap/>
        <w:overflowPunct/>
        <w:topLinePunct w:val="0"/>
        <w:autoSpaceDE/>
        <w:autoSpaceDN/>
        <w:bidi w:val="0"/>
        <w:spacing w:line="360" w:lineRule="auto"/>
        <w:outlineLvl w:val="2"/>
        <w:rPr>
          <w:rFonts w:hint="eastAsia" w:ascii="Times New Roman" w:hAnsi="Times New Roman" w:eastAsia="宋体" w:cs="宋体"/>
          <w:b/>
          <w:bCs/>
          <w:color w:val="000000" w:themeColor="text1"/>
          <w:spacing w:val="0"/>
          <w:sz w:val="21"/>
          <w:szCs w:val="21"/>
          <w:highlight w:val="none"/>
          <w14:textFill>
            <w14:solidFill>
              <w14:schemeClr w14:val="tx1"/>
            </w14:solidFill>
          </w14:textFill>
        </w:rPr>
      </w:pPr>
      <w:bookmarkStart w:id="130" w:name="_Toc8891"/>
      <w:r>
        <w:rPr>
          <w:rFonts w:hint="eastAsia" w:ascii="Times New Roman" w:hAnsi="Times New Roman" w:eastAsia="宋体" w:cs="宋体"/>
          <w:b/>
          <w:bCs/>
          <w:color w:val="000000" w:themeColor="text1"/>
          <w:spacing w:val="0"/>
          <w:sz w:val="21"/>
          <w:szCs w:val="21"/>
          <w:highlight w:val="none"/>
          <w14:textFill>
            <w14:solidFill>
              <w14:schemeClr w14:val="tx1"/>
            </w14:solidFill>
          </w14:textFill>
        </w:rPr>
        <w:t>2</w:t>
      </w:r>
      <w:r>
        <w:rPr>
          <w:rFonts w:hint="eastAsia" w:ascii="Times New Roman" w:hAnsi="Times New Roman" w:eastAsia="宋体" w:cs="宋体"/>
          <w:b/>
          <w:bCs/>
          <w:color w:val="000000" w:themeColor="text1"/>
          <w:spacing w:val="0"/>
          <w:sz w:val="21"/>
          <w:szCs w:val="21"/>
          <w:highlight w:val="none"/>
          <w:lang w:val="en-US" w:eastAsia="zh-CN"/>
          <w14:textFill>
            <w14:solidFill>
              <w14:schemeClr w14:val="tx1"/>
            </w14:solidFill>
          </w14:textFill>
        </w:rPr>
        <w:t>4</w:t>
      </w:r>
      <w:r>
        <w:rPr>
          <w:rFonts w:hint="eastAsia" w:ascii="Times New Roman" w:hAnsi="Times New Roman" w:eastAsia="宋体" w:cs="宋体"/>
          <w:b/>
          <w:bCs/>
          <w:color w:val="000000" w:themeColor="text1"/>
          <w:spacing w:val="0"/>
          <w:sz w:val="21"/>
          <w:szCs w:val="21"/>
          <w:highlight w:val="none"/>
          <w14:textFill>
            <w14:solidFill>
              <w14:schemeClr w14:val="tx1"/>
            </w14:solidFill>
          </w14:textFill>
        </w:rPr>
        <w:t>.首次响应文件的开启</w:t>
      </w:r>
      <w:bookmarkEnd w:id="130"/>
    </w:p>
    <w:p w14:paraId="06E23547">
      <w:pPr>
        <w:pageBreakBefore w:val="0"/>
        <w:widowControl w:val="0"/>
        <w:kinsoku/>
        <w:wordWrap/>
        <w:overflowPunct/>
        <w:topLinePunct w:val="0"/>
        <w:autoSpaceDE/>
        <w:autoSpaceDN/>
        <w:bidi w:val="0"/>
        <w:spacing w:line="360" w:lineRule="auto"/>
        <w:ind w:firstLine="420" w:firstLineChars="200"/>
        <w:rPr>
          <w:rFonts w:hint="eastAsia" w:ascii="Times New Roman" w:hAnsi="Times New Roman" w:eastAsia="宋体" w:cs="宋体"/>
          <w:color w:val="000000" w:themeColor="text1"/>
          <w:spacing w:val="0"/>
          <w:szCs w:val="21"/>
          <w:highlight w:val="none"/>
          <w14:textFill>
            <w14:solidFill>
              <w14:schemeClr w14:val="tx1"/>
            </w14:solidFill>
          </w14:textFill>
        </w:rPr>
      </w:pPr>
      <w:r>
        <w:rPr>
          <w:rFonts w:hint="eastAsia" w:ascii="Times New Roman" w:hAnsi="Times New Roman" w:eastAsia="宋体" w:cs="宋体"/>
          <w:color w:val="000000" w:themeColor="text1"/>
          <w:spacing w:val="0"/>
          <w:szCs w:val="21"/>
          <w:highlight w:val="none"/>
          <w14:textFill>
            <w14:solidFill>
              <w14:schemeClr w14:val="tx1"/>
            </w14:solidFill>
          </w14:textFill>
        </w:rPr>
        <w:t>2</w:t>
      </w:r>
      <w:r>
        <w:rPr>
          <w:rFonts w:hint="eastAsia" w:ascii="Times New Roman" w:hAnsi="Times New Roman" w:eastAsia="宋体" w:cs="宋体"/>
          <w:color w:val="000000" w:themeColor="text1"/>
          <w:spacing w:val="0"/>
          <w:szCs w:val="21"/>
          <w:highlight w:val="none"/>
          <w:lang w:val="en-US" w:eastAsia="zh-CN"/>
          <w14:textFill>
            <w14:solidFill>
              <w14:schemeClr w14:val="tx1"/>
            </w14:solidFill>
          </w14:textFill>
        </w:rPr>
        <w:t>4</w:t>
      </w:r>
      <w:r>
        <w:rPr>
          <w:rFonts w:hint="eastAsia" w:ascii="Times New Roman" w:hAnsi="Times New Roman" w:eastAsia="宋体" w:cs="宋体"/>
          <w:color w:val="000000" w:themeColor="text1"/>
          <w:spacing w:val="0"/>
          <w:szCs w:val="21"/>
          <w:highlight w:val="none"/>
          <w14:textFill>
            <w14:solidFill>
              <w14:schemeClr w14:val="tx1"/>
            </w14:solidFill>
          </w14:textFill>
        </w:rPr>
        <w:t>.1首次响应文件由磋商小组或者采购代理机构在</w:t>
      </w:r>
      <w:r>
        <w:rPr>
          <w:rFonts w:hint="eastAsia" w:ascii="Times New Roman" w:hAnsi="Times New Roman" w:eastAsia="宋体" w:cs="宋体"/>
          <w:color w:val="000000" w:themeColor="text1"/>
          <w:spacing w:val="0"/>
          <w:szCs w:val="21"/>
          <w:highlight w:val="none"/>
          <w:lang w:eastAsia="zh-CN"/>
          <w14:textFill>
            <w14:solidFill>
              <w14:schemeClr w14:val="tx1"/>
            </w14:solidFill>
          </w14:textFill>
        </w:rPr>
        <w:t>“</w:t>
      </w:r>
      <w:r>
        <w:rPr>
          <w:rFonts w:hint="eastAsia" w:ascii="Times New Roman" w:hAnsi="Times New Roman" w:eastAsia="宋体" w:cs="宋体"/>
          <w:color w:val="000000" w:themeColor="text1"/>
          <w:spacing w:val="0"/>
          <w:szCs w:val="21"/>
          <w:highlight w:val="none"/>
          <w14:textFill>
            <w14:solidFill>
              <w14:schemeClr w14:val="tx1"/>
            </w14:solidFill>
          </w14:textFill>
        </w:rPr>
        <w:t>供应商须知前附表</w:t>
      </w:r>
      <w:r>
        <w:rPr>
          <w:rFonts w:hint="eastAsia" w:ascii="Times New Roman" w:hAnsi="Times New Roman" w:eastAsia="宋体" w:cs="宋体"/>
          <w:color w:val="000000" w:themeColor="text1"/>
          <w:spacing w:val="0"/>
          <w:szCs w:val="21"/>
          <w:highlight w:val="none"/>
          <w:lang w:eastAsia="zh-CN"/>
          <w14:textFill>
            <w14:solidFill>
              <w14:schemeClr w14:val="tx1"/>
            </w14:solidFill>
          </w14:textFill>
        </w:rPr>
        <w:t>”</w:t>
      </w:r>
      <w:r>
        <w:rPr>
          <w:rFonts w:hint="eastAsia" w:ascii="Times New Roman" w:hAnsi="Times New Roman" w:eastAsia="宋体" w:cs="宋体"/>
          <w:color w:val="000000" w:themeColor="text1"/>
          <w:spacing w:val="0"/>
          <w:szCs w:val="21"/>
          <w:highlight w:val="none"/>
          <w14:textFill>
            <w14:solidFill>
              <w14:schemeClr w14:val="tx1"/>
            </w14:solidFill>
          </w14:textFill>
        </w:rPr>
        <w:t>规定的时间开启。</w:t>
      </w:r>
    </w:p>
    <w:p w14:paraId="60E918F6">
      <w:pPr>
        <w:pageBreakBefore w:val="0"/>
        <w:widowControl w:val="0"/>
        <w:kinsoku/>
        <w:wordWrap/>
        <w:overflowPunct/>
        <w:topLinePunct w:val="0"/>
        <w:autoSpaceDE/>
        <w:autoSpaceDN/>
        <w:bidi w:val="0"/>
        <w:spacing w:line="360" w:lineRule="auto"/>
        <w:ind w:firstLine="420" w:firstLineChars="200"/>
        <w:rPr>
          <w:rFonts w:hint="eastAsia" w:ascii="Times New Roman" w:hAnsi="Times New Roman" w:eastAsia="宋体" w:cs="宋体"/>
          <w:bCs/>
          <w:color w:val="000000" w:themeColor="text1"/>
          <w:spacing w:val="0"/>
          <w:kern w:val="0"/>
          <w:szCs w:val="21"/>
          <w:highlight w:val="none"/>
          <w14:textFill>
            <w14:solidFill>
              <w14:schemeClr w14:val="tx1"/>
            </w14:solidFill>
          </w14:textFill>
        </w:rPr>
      </w:pPr>
      <w:r>
        <w:rPr>
          <w:rFonts w:hint="eastAsia" w:ascii="Times New Roman" w:hAnsi="Times New Roman" w:eastAsia="宋体" w:cs="宋体"/>
          <w:color w:val="000000" w:themeColor="text1"/>
          <w:spacing w:val="0"/>
          <w:kern w:val="0"/>
          <w:szCs w:val="21"/>
          <w:highlight w:val="none"/>
          <w14:textFill>
            <w14:solidFill>
              <w14:schemeClr w14:val="tx1"/>
            </w14:solidFill>
          </w14:textFill>
        </w:rPr>
        <w:t>2</w:t>
      </w:r>
      <w:r>
        <w:rPr>
          <w:rFonts w:hint="eastAsia" w:ascii="Times New Roman" w:hAnsi="Times New Roman" w:eastAsia="宋体" w:cs="宋体"/>
          <w:color w:val="000000" w:themeColor="text1"/>
          <w:spacing w:val="0"/>
          <w:kern w:val="0"/>
          <w:szCs w:val="21"/>
          <w:highlight w:val="none"/>
          <w:lang w:val="en-US" w:eastAsia="zh-CN"/>
          <w14:textFill>
            <w14:solidFill>
              <w14:schemeClr w14:val="tx1"/>
            </w14:solidFill>
          </w14:textFill>
        </w:rPr>
        <w:t>4</w:t>
      </w:r>
      <w:r>
        <w:rPr>
          <w:rFonts w:hint="eastAsia" w:ascii="Times New Roman" w:hAnsi="Times New Roman" w:eastAsia="宋体" w:cs="宋体"/>
          <w:color w:val="000000" w:themeColor="text1"/>
          <w:spacing w:val="0"/>
          <w:kern w:val="0"/>
          <w:szCs w:val="21"/>
          <w:highlight w:val="none"/>
          <w14:textFill>
            <w14:solidFill>
              <w14:schemeClr w14:val="tx1"/>
            </w14:solidFill>
          </w14:textFill>
        </w:rPr>
        <w:t xml:space="preserve">.2 </w:t>
      </w:r>
      <w:r>
        <w:rPr>
          <w:rFonts w:hint="eastAsia" w:ascii="Times New Roman" w:hAnsi="Times New Roman" w:eastAsia="宋体" w:cs="宋体"/>
          <w:bCs/>
          <w:color w:val="000000" w:themeColor="text1"/>
          <w:spacing w:val="0"/>
          <w:kern w:val="0"/>
          <w:szCs w:val="21"/>
          <w:highlight w:val="none"/>
          <w14:textFill>
            <w14:solidFill>
              <w14:schemeClr w14:val="tx1"/>
            </w14:solidFill>
          </w14:textFill>
        </w:rPr>
        <w:t>响应文件解密</w:t>
      </w:r>
    </w:p>
    <w:p w14:paraId="1CB10D33">
      <w:pPr>
        <w:pageBreakBefore w:val="0"/>
        <w:widowControl w:val="0"/>
        <w:kinsoku/>
        <w:wordWrap/>
        <w:overflowPunct/>
        <w:topLinePunct w:val="0"/>
        <w:autoSpaceDE/>
        <w:autoSpaceDN/>
        <w:bidi w:val="0"/>
        <w:snapToGrid w:val="0"/>
        <w:spacing w:line="360" w:lineRule="auto"/>
        <w:ind w:firstLine="420" w:firstLineChars="200"/>
        <w:rPr>
          <w:rFonts w:hint="eastAsia" w:ascii="Times New Roman" w:hAnsi="Times New Roman" w:eastAsia="宋体" w:cs="宋体"/>
          <w:color w:val="000000" w:themeColor="text1"/>
          <w:spacing w:val="0"/>
          <w:kern w:val="0"/>
          <w:szCs w:val="21"/>
          <w:highlight w:val="none"/>
          <w14:textFill>
            <w14:solidFill>
              <w14:schemeClr w14:val="tx1"/>
            </w14:solidFill>
          </w14:textFill>
        </w:rPr>
      </w:pPr>
      <w:r>
        <w:rPr>
          <w:rFonts w:hint="eastAsia" w:ascii="Times New Roman" w:hAnsi="Times New Roman" w:eastAsia="宋体" w:cs="宋体"/>
          <w:bCs/>
          <w:color w:val="000000" w:themeColor="text1"/>
          <w:spacing w:val="0"/>
          <w:kern w:val="0"/>
          <w:szCs w:val="21"/>
          <w:highlight w:val="none"/>
          <w14:textFill>
            <w14:solidFill>
              <w14:schemeClr w14:val="tx1"/>
            </w14:solidFill>
          </w14:textFill>
        </w:rPr>
        <w:t>采购代理机构将在“供应商须知前附表”规定的时</w:t>
      </w:r>
      <w:r>
        <w:rPr>
          <w:rFonts w:hint="eastAsia" w:ascii="Times New Roman" w:hAnsi="Times New Roman" w:eastAsia="宋体" w:cs="宋体"/>
          <w:color w:val="000000" w:themeColor="text1"/>
          <w:spacing w:val="0"/>
          <w:kern w:val="0"/>
          <w:szCs w:val="21"/>
          <w:highlight w:val="none"/>
          <w14:textFill>
            <w14:solidFill>
              <w14:schemeClr w14:val="tx1"/>
            </w14:solidFill>
          </w14:textFill>
        </w:rPr>
        <w:t>间通过电子交易平台组织响应文件开启，采购机构依托电子交易平台发起开始解密指令，供应商的法定代表人或其委托代理人</w:t>
      </w:r>
      <w:r>
        <w:rPr>
          <w:rFonts w:hint="eastAsia" w:ascii="Times New Roman" w:hAnsi="Times New Roman" w:eastAsia="宋体" w:cs="宋体"/>
          <w:b/>
          <w:color w:val="000000" w:themeColor="text1"/>
          <w:spacing w:val="0"/>
          <w:kern w:val="0"/>
          <w:szCs w:val="21"/>
          <w:highlight w:val="none"/>
          <w14:textFill>
            <w14:solidFill>
              <w14:schemeClr w14:val="tx1"/>
            </w14:solidFill>
          </w14:textFill>
        </w:rPr>
        <w:t>须携带加密时所用的CA锁按平台提示和采购文件的规定登录到</w:t>
      </w:r>
      <w:r>
        <w:rPr>
          <w:rFonts w:hint="eastAsia" w:ascii="Times New Roman" w:hAnsi="Times New Roman" w:eastAsia="宋体" w:cs="宋体"/>
          <w:b/>
          <w:bCs w:val="0"/>
          <w:color w:val="000000" w:themeColor="text1"/>
          <w:spacing w:val="0"/>
          <w:kern w:val="0"/>
          <w:sz w:val="21"/>
          <w:szCs w:val="21"/>
          <w:highlight w:val="none"/>
          <w:lang w:val="en-US" w:eastAsia="zh-CN"/>
          <w14:textFill>
            <w14:solidFill>
              <w14:schemeClr w14:val="tx1"/>
            </w14:solidFill>
          </w14:textFill>
        </w:rPr>
        <w:t>广西政府采购云平台</w:t>
      </w:r>
      <w:r>
        <w:rPr>
          <w:rFonts w:hint="eastAsia" w:ascii="Times New Roman" w:hAnsi="Times New Roman" w:eastAsia="宋体" w:cs="宋体"/>
          <w:b/>
          <w:color w:val="000000" w:themeColor="text1"/>
          <w:spacing w:val="0"/>
          <w:kern w:val="0"/>
          <w:szCs w:val="21"/>
          <w:highlight w:val="none"/>
          <w14:textFill>
            <w14:solidFill>
              <w14:schemeClr w14:val="tx1"/>
            </w14:solidFill>
          </w14:textFill>
        </w:rPr>
        <w:t>电子开标大厅签到并在规定的时间内完成对电子响应文件在线解密</w:t>
      </w:r>
      <w:r>
        <w:rPr>
          <w:rFonts w:hint="eastAsia" w:ascii="Times New Roman" w:hAnsi="Times New Roman" w:eastAsia="宋体" w:cs="宋体"/>
          <w:color w:val="000000" w:themeColor="text1"/>
          <w:spacing w:val="0"/>
          <w:kern w:val="0"/>
          <w:szCs w:val="21"/>
          <w:highlight w:val="none"/>
          <w14:textFill>
            <w14:solidFill>
              <w14:schemeClr w14:val="tx1"/>
            </w14:solidFill>
          </w14:textFill>
        </w:rPr>
        <w:t>。</w:t>
      </w:r>
      <w:r>
        <w:rPr>
          <w:rFonts w:hint="eastAsia" w:ascii="Times New Roman" w:hAnsi="Times New Roman" w:eastAsia="宋体" w:cs="宋体"/>
          <w:color w:val="000000" w:themeColor="text1"/>
          <w:spacing w:val="0"/>
          <w:kern w:val="1"/>
          <w:szCs w:val="21"/>
          <w:highlight w:val="none"/>
          <w:lang w:eastAsia="zh-CN"/>
          <w14:textFill>
            <w14:solidFill>
              <w14:schemeClr w14:val="tx1"/>
            </w14:solidFill>
          </w14:textFill>
        </w:rPr>
        <w:t>响应</w:t>
      </w:r>
      <w:r>
        <w:rPr>
          <w:rFonts w:hint="eastAsia" w:ascii="Times New Roman" w:hAnsi="Times New Roman" w:eastAsia="宋体" w:cs="宋体"/>
          <w:color w:val="000000" w:themeColor="text1"/>
          <w:spacing w:val="0"/>
          <w:kern w:val="1"/>
          <w:szCs w:val="21"/>
          <w:highlight w:val="none"/>
          <w14:textFill>
            <w14:solidFill>
              <w14:schemeClr w14:val="tx1"/>
            </w14:solidFill>
          </w14:textFill>
        </w:rPr>
        <w:t>文件未按时解密的</w:t>
      </w:r>
      <w:r>
        <w:rPr>
          <w:rFonts w:hint="eastAsia" w:ascii="Times New Roman" w:hAnsi="Times New Roman" w:eastAsia="宋体" w:cs="宋体"/>
          <w:color w:val="000000" w:themeColor="text1"/>
          <w:spacing w:val="0"/>
          <w:kern w:val="0"/>
          <w:szCs w:val="21"/>
          <w:highlight w:val="none"/>
          <w14:textFill>
            <w14:solidFill>
              <w14:schemeClr w14:val="tx1"/>
            </w14:solidFill>
          </w14:textFill>
        </w:rPr>
        <w:t>，</w:t>
      </w:r>
      <w:r>
        <w:rPr>
          <w:rFonts w:hint="eastAsia" w:ascii="Times New Roman" w:hAnsi="Times New Roman" w:eastAsia="宋体" w:cs="宋体"/>
          <w:b/>
          <w:color w:val="000000" w:themeColor="text1"/>
          <w:spacing w:val="0"/>
          <w:kern w:val="0"/>
          <w:szCs w:val="21"/>
          <w:highlight w:val="none"/>
          <w14:textFill>
            <w14:solidFill>
              <w14:schemeClr w14:val="tx1"/>
            </w14:solidFill>
          </w14:textFill>
        </w:rPr>
        <w:t>视为响应文件无效。</w:t>
      </w:r>
      <w:r>
        <w:rPr>
          <w:rFonts w:hint="eastAsia" w:ascii="Times New Roman" w:hAnsi="Times New Roman" w:eastAsia="宋体" w:cs="宋体"/>
          <w:color w:val="000000" w:themeColor="text1"/>
          <w:spacing w:val="0"/>
          <w:kern w:val="0"/>
          <w:szCs w:val="21"/>
          <w:highlight w:val="none"/>
          <w14:textFill>
            <w14:solidFill>
              <w14:schemeClr w14:val="tx1"/>
            </w14:solidFill>
          </w14:textFill>
        </w:rPr>
        <w:t>（解密</w:t>
      </w:r>
      <w:r>
        <w:rPr>
          <w:rFonts w:hint="eastAsia" w:ascii="Times New Roman" w:hAnsi="Times New Roman" w:eastAsia="宋体" w:cs="宋体"/>
          <w:bCs/>
          <w:color w:val="000000" w:themeColor="text1"/>
          <w:spacing w:val="0"/>
          <w:kern w:val="0"/>
          <w:szCs w:val="21"/>
          <w:highlight w:val="none"/>
          <w14:textFill>
            <w14:solidFill>
              <w14:schemeClr w14:val="tx1"/>
            </w14:solidFill>
          </w14:textFill>
        </w:rPr>
        <w:t>异常情况处理：详见本章</w:t>
      </w:r>
      <w:r>
        <w:rPr>
          <w:rFonts w:hint="eastAsia" w:ascii="Times New Roman" w:hAnsi="Times New Roman" w:eastAsia="宋体" w:cs="宋体"/>
          <w:color w:val="000000" w:themeColor="text1"/>
          <w:spacing w:val="0"/>
          <w:kern w:val="0"/>
          <w:szCs w:val="21"/>
          <w:highlight w:val="none"/>
          <w14:textFill>
            <w14:solidFill>
              <w14:schemeClr w14:val="tx1"/>
            </w14:solidFill>
          </w14:textFill>
        </w:rPr>
        <w:t>2</w:t>
      </w:r>
      <w:r>
        <w:rPr>
          <w:rFonts w:hint="eastAsia" w:ascii="Times New Roman" w:hAnsi="Times New Roman" w:eastAsia="宋体" w:cs="宋体"/>
          <w:color w:val="000000" w:themeColor="text1"/>
          <w:spacing w:val="0"/>
          <w:kern w:val="0"/>
          <w:szCs w:val="21"/>
          <w:highlight w:val="none"/>
          <w:lang w:val="en-US" w:eastAsia="zh-CN"/>
          <w14:textFill>
            <w14:solidFill>
              <w14:schemeClr w14:val="tx1"/>
            </w14:solidFill>
          </w14:textFill>
        </w:rPr>
        <w:t>5</w:t>
      </w:r>
      <w:r>
        <w:rPr>
          <w:rFonts w:hint="eastAsia" w:ascii="Times New Roman" w:hAnsi="Times New Roman" w:eastAsia="宋体" w:cs="宋体"/>
          <w:color w:val="000000" w:themeColor="text1"/>
          <w:spacing w:val="0"/>
          <w:kern w:val="0"/>
          <w:szCs w:val="21"/>
          <w:highlight w:val="none"/>
          <w14:textFill>
            <w14:solidFill>
              <w14:schemeClr w14:val="tx1"/>
            </w14:solidFill>
          </w14:textFill>
        </w:rPr>
        <w:t>.</w:t>
      </w:r>
      <w:r>
        <w:rPr>
          <w:rFonts w:hint="eastAsia" w:ascii="Times New Roman" w:hAnsi="Times New Roman" w:eastAsia="宋体" w:cs="宋体"/>
          <w:color w:val="000000" w:themeColor="text1"/>
          <w:spacing w:val="0"/>
          <w:kern w:val="0"/>
          <w:szCs w:val="21"/>
          <w:highlight w:val="none"/>
          <w:lang w:val="en-US" w:eastAsia="zh-CN"/>
          <w14:textFill>
            <w14:solidFill>
              <w14:schemeClr w14:val="tx1"/>
            </w14:solidFill>
          </w14:textFill>
        </w:rPr>
        <w:t>4</w:t>
      </w:r>
      <w:r>
        <w:rPr>
          <w:rFonts w:hint="eastAsia" w:ascii="Times New Roman" w:hAnsi="Times New Roman" w:eastAsia="宋体" w:cs="宋体"/>
          <w:color w:val="000000" w:themeColor="text1"/>
          <w:spacing w:val="0"/>
          <w:kern w:val="0"/>
          <w:szCs w:val="21"/>
          <w:highlight w:val="none"/>
          <w14:textFill>
            <w14:solidFill>
              <w14:schemeClr w14:val="tx1"/>
            </w14:solidFill>
          </w14:textFill>
        </w:rPr>
        <w:t>电子交易活动的中止。）</w:t>
      </w:r>
    </w:p>
    <w:p w14:paraId="4CC21A65">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imes New Roman" w:hAnsi="Times New Roman" w:eastAsia="宋体" w:cs="宋体"/>
          <w:color w:val="000000" w:themeColor="text1"/>
          <w:spacing w:val="0"/>
          <w:kern w:val="0"/>
          <w:szCs w:val="21"/>
          <w:highlight w:val="none"/>
          <w14:textFill>
            <w14:solidFill>
              <w14:schemeClr w14:val="tx1"/>
            </w14:solidFill>
          </w14:textFill>
        </w:rPr>
      </w:pPr>
      <w:r>
        <w:rPr>
          <w:rFonts w:hint="eastAsia" w:ascii="Times New Roman" w:hAnsi="Times New Roman" w:eastAsia="宋体" w:cs="宋体"/>
          <w:color w:val="000000" w:themeColor="text1"/>
          <w:spacing w:val="0"/>
          <w:kern w:val="0"/>
          <w:szCs w:val="21"/>
          <w:highlight w:val="none"/>
          <w14:textFill>
            <w14:solidFill>
              <w14:schemeClr w14:val="tx1"/>
            </w14:solidFill>
          </w14:textFill>
        </w:rPr>
        <w:t>如</w:t>
      </w:r>
      <w:r>
        <w:rPr>
          <w:rFonts w:hint="eastAsia" w:ascii="Times New Roman" w:hAnsi="Times New Roman" w:eastAsia="宋体" w:cs="宋体"/>
          <w:bCs/>
          <w:color w:val="000000" w:themeColor="text1"/>
          <w:spacing w:val="0"/>
          <w:kern w:val="0"/>
          <w:szCs w:val="21"/>
          <w:highlight w:val="none"/>
          <w14:textFill>
            <w14:solidFill>
              <w14:schemeClr w14:val="tx1"/>
            </w14:solidFill>
          </w14:textFill>
        </w:rPr>
        <w:t>供应商成功解密响应文件，但未在“</w:t>
      </w:r>
      <w:r>
        <w:rPr>
          <w:rFonts w:hint="eastAsia" w:ascii="Times New Roman" w:hAnsi="Times New Roman" w:eastAsia="宋体" w:cs="宋体"/>
          <w:b w:val="0"/>
          <w:bCs w:val="0"/>
          <w:color w:val="000000" w:themeColor="text1"/>
          <w:spacing w:val="0"/>
          <w:sz w:val="21"/>
          <w:szCs w:val="21"/>
          <w:highlight w:val="none"/>
          <w:lang w:val="en-US" w:eastAsia="zh-CN"/>
          <w14:textFill>
            <w14:solidFill>
              <w14:schemeClr w14:val="tx1"/>
            </w14:solidFill>
          </w14:textFill>
        </w:rPr>
        <w:t>广西政府采购云平台</w:t>
      </w:r>
      <w:r>
        <w:rPr>
          <w:rFonts w:hint="eastAsia" w:ascii="Times New Roman" w:hAnsi="Times New Roman" w:eastAsia="宋体" w:cs="宋体"/>
          <w:bCs/>
          <w:color w:val="000000" w:themeColor="text1"/>
          <w:spacing w:val="0"/>
          <w:kern w:val="0"/>
          <w:szCs w:val="21"/>
          <w:highlight w:val="none"/>
          <w14:textFill>
            <w14:solidFill>
              <w14:schemeClr w14:val="tx1"/>
            </w14:solidFill>
          </w14:textFill>
        </w:rPr>
        <w:t>”电子开标大厅参加</w:t>
      </w:r>
      <w:r>
        <w:rPr>
          <w:rFonts w:hint="eastAsia" w:ascii="Times New Roman" w:hAnsi="Times New Roman" w:eastAsia="宋体" w:cs="宋体"/>
          <w:bCs/>
          <w:color w:val="000000" w:themeColor="text1"/>
          <w:spacing w:val="0"/>
          <w:kern w:val="0"/>
          <w:szCs w:val="21"/>
          <w:highlight w:val="none"/>
          <w:lang w:eastAsia="zh-CN"/>
          <w14:textFill>
            <w14:solidFill>
              <w14:schemeClr w14:val="tx1"/>
            </w14:solidFill>
          </w14:textFill>
        </w:rPr>
        <w:t>磋商</w:t>
      </w:r>
      <w:r>
        <w:rPr>
          <w:rFonts w:hint="eastAsia" w:ascii="Times New Roman" w:hAnsi="Times New Roman" w:eastAsia="宋体" w:cs="宋体"/>
          <w:bCs/>
          <w:color w:val="000000" w:themeColor="text1"/>
          <w:spacing w:val="0"/>
          <w:kern w:val="0"/>
          <w:szCs w:val="21"/>
          <w:highlight w:val="none"/>
          <w14:textFill>
            <w14:solidFill>
              <w14:schemeClr w14:val="tx1"/>
            </w14:solidFill>
          </w14:textFill>
        </w:rPr>
        <w:t>的，视同认可</w:t>
      </w:r>
      <w:r>
        <w:rPr>
          <w:rFonts w:hint="eastAsia" w:ascii="Times New Roman" w:hAnsi="Times New Roman" w:eastAsia="宋体" w:cs="宋体"/>
          <w:bCs/>
          <w:color w:val="000000" w:themeColor="text1"/>
          <w:spacing w:val="0"/>
          <w:kern w:val="0"/>
          <w:szCs w:val="21"/>
          <w:highlight w:val="none"/>
          <w:lang w:eastAsia="zh-CN"/>
          <w14:textFill>
            <w14:solidFill>
              <w14:schemeClr w14:val="tx1"/>
            </w14:solidFill>
          </w14:textFill>
        </w:rPr>
        <w:t>磋商</w:t>
      </w:r>
      <w:r>
        <w:rPr>
          <w:rFonts w:hint="eastAsia" w:ascii="Times New Roman" w:hAnsi="Times New Roman" w:eastAsia="宋体" w:cs="宋体"/>
          <w:bCs/>
          <w:color w:val="000000" w:themeColor="text1"/>
          <w:spacing w:val="0"/>
          <w:kern w:val="0"/>
          <w:szCs w:val="21"/>
          <w:highlight w:val="none"/>
          <w14:textFill>
            <w14:solidFill>
              <w14:schemeClr w14:val="tx1"/>
            </w14:solidFill>
          </w14:textFill>
        </w:rPr>
        <w:t>过程和结果，</w:t>
      </w:r>
      <w:r>
        <w:rPr>
          <w:rFonts w:hint="eastAsia" w:ascii="Times New Roman" w:hAnsi="Times New Roman" w:eastAsia="宋体" w:cs="宋体"/>
          <w:color w:val="000000" w:themeColor="text1"/>
          <w:spacing w:val="0"/>
          <w:kern w:val="0"/>
          <w:szCs w:val="21"/>
          <w:highlight w:val="none"/>
          <w14:textFill>
            <w14:solidFill>
              <w14:schemeClr w14:val="tx1"/>
            </w14:solidFill>
          </w14:textFill>
        </w:rPr>
        <w:t>由此产生的后果由供应商自行负责。 参与</w:t>
      </w:r>
      <w:r>
        <w:rPr>
          <w:rFonts w:hint="eastAsia" w:ascii="Times New Roman" w:hAnsi="Times New Roman" w:eastAsia="宋体" w:cs="宋体"/>
          <w:color w:val="000000" w:themeColor="text1"/>
          <w:spacing w:val="0"/>
          <w:kern w:val="0"/>
          <w:szCs w:val="21"/>
          <w:highlight w:val="none"/>
          <w:lang w:eastAsia="zh-CN"/>
          <w14:textFill>
            <w14:solidFill>
              <w14:schemeClr w14:val="tx1"/>
            </w14:solidFill>
          </w14:textFill>
        </w:rPr>
        <w:t>磋商</w:t>
      </w:r>
      <w:r>
        <w:rPr>
          <w:rFonts w:hint="eastAsia" w:ascii="Times New Roman" w:hAnsi="Times New Roman" w:eastAsia="宋体" w:cs="宋体"/>
          <w:color w:val="000000" w:themeColor="text1"/>
          <w:spacing w:val="0"/>
          <w:kern w:val="0"/>
          <w:szCs w:val="21"/>
          <w:highlight w:val="none"/>
          <w14:textFill>
            <w14:solidFill>
              <w14:schemeClr w14:val="tx1"/>
            </w14:solidFill>
          </w14:textFill>
        </w:rPr>
        <w:t>的供应商不足3家的，不得</w:t>
      </w:r>
      <w:r>
        <w:rPr>
          <w:rFonts w:hint="eastAsia" w:ascii="Times New Roman" w:hAnsi="Times New Roman" w:eastAsia="宋体" w:cs="宋体"/>
          <w:color w:val="000000" w:themeColor="text1"/>
          <w:spacing w:val="0"/>
          <w:kern w:val="0"/>
          <w:szCs w:val="21"/>
          <w:highlight w:val="none"/>
          <w:lang w:eastAsia="zh-CN"/>
          <w14:textFill>
            <w14:solidFill>
              <w14:schemeClr w14:val="tx1"/>
            </w14:solidFill>
          </w14:textFill>
        </w:rPr>
        <w:t>磋商</w:t>
      </w:r>
      <w:r>
        <w:rPr>
          <w:rFonts w:hint="eastAsia" w:ascii="Times New Roman" w:hAnsi="Times New Roman" w:eastAsia="宋体" w:cs="宋体"/>
          <w:color w:val="000000" w:themeColor="text1"/>
          <w:spacing w:val="0"/>
          <w:kern w:val="0"/>
          <w:szCs w:val="21"/>
          <w:highlight w:val="none"/>
          <w14:textFill>
            <w14:solidFill>
              <w14:schemeClr w14:val="tx1"/>
            </w14:solidFill>
          </w14:textFill>
        </w:rPr>
        <w:t>。</w:t>
      </w:r>
    </w:p>
    <w:p w14:paraId="0062CCD7">
      <w:pPr>
        <w:pageBreakBefore w:val="0"/>
        <w:widowControl w:val="0"/>
        <w:kinsoku/>
        <w:wordWrap/>
        <w:overflowPunct/>
        <w:topLinePunct w:val="0"/>
        <w:autoSpaceDE/>
        <w:autoSpaceDN/>
        <w:bidi w:val="0"/>
        <w:spacing w:line="360" w:lineRule="auto"/>
        <w:outlineLvl w:val="2"/>
        <w:rPr>
          <w:rFonts w:hint="eastAsia" w:ascii="Times New Roman" w:hAnsi="Times New Roman" w:eastAsia="宋体" w:cs="宋体"/>
          <w:b/>
          <w:bCs/>
          <w:color w:val="000000" w:themeColor="text1"/>
          <w:spacing w:val="0"/>
          <w:sz w:val="21"/>
          <w:szCs w:val="21"/>
          <w:highlight w:val="none"/>
          <w14:textFill>
            <w14:solidFill>
              <w14:schemeClr w14:val="tx1"/>
            </w14:solidFill>
          </w14:textFill>
        </w:rPr>
      </w:pPr>
      <w:bookmarkStart w:id="131" w:name="_Toc751"/>
      <w:r>
        <w:rPr>
          <w:rFonts w:hint="eastAsia" w:ascii="Times New Roman" w:hAnsi="Times New Roman" w:eastAsia="宋体" w:cs="宋体"/>
          <w:b/>
          <w:bCs/>
          <w:color w:val="000000" w:themeColor="text1"/>
          <w:spacing w:val="0"/>
          <w:sz w:val="21"/>
          <w:szCs w:val="21"/>
          <w:highlight w:val="none"/>
          <w14:textFill>
            <w14:solidFill>
              <w14:schemeClr w14:val="tx1"/>
            </w14:solidFill>
          </w14:textFill>
        </w:rPr>
        <w:t>2</w:t>
      </w:r>
      <w:r>
        <w:rPr>
          <w:rFonts w:hint="eastAsia" w:ascii="Times New Roman" w:hAnsi="Times New Roman" w:eastAsia="宋体" w:cs="宋体"/>
          <w:b/>
          <w:bCs/>
          <w:color w:val="000000" w:themeColor="text1"/>
          <w:spacing w:val="0"/>
          <w:sz w:val="21"/>
          <w:szCs w:val="21"/>
          <w:highlight w:val="none"/>
          <w:lang w:val="en-US" w:eastAsia="zh-CN"/>
          <w14:textFill>
            <w14:solidFill>
              <w14:schemeClr w14:val="tx1"/>
            </w14:solidFill>
          </w14:textFill>
        </w:rPr>
        <w:t>5</w:t>
      </w:r>
      <w:r>
        <w:rPr>
          <w:rFonts w:hint="eastAsia" w:ascii="Times New Roman" w:hAnsi="Times New Roman" w:eastAsia="宋体" w:cs="宋体"/>
          <w:b/>
          <w:bCs/>
          <w:color w:val="000000" w:themeColor="text1"/>
          <w:spacing w:val="0"/>
          <w:sz w:val="21"/>
          <w:szCs w:val="21"/>
          <w:highlight w:val="none"/>
          <w14:textFill>
            <w14:solidFill>
              <w14:schemeClr w14:val="tx1"/>
            </w14:solidFill>
          </w14:textFill>
        </w:rPr>
        <w:t>.评审程序、评审方法和评审标准</w:t>
      </w:r>
      <w:bookmarkEnd w:id="131"/>
    </w:p>
    <w:p w14:paraId="41A3D631">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imes New Roman" w:hAnsi="Times New Roman" w:eastAsia="宋体" w:cs="宋体"/>
          <w:color w:val="000000" w:themeColor="text1"/>
          <w:spacing w:val="0"/>
          <w:szCs w:val="21"/>
          <w:highlight w:val="none"/>
          <w14:textFill>
            <w14:solidFill>
              <w14:schemeClr w14:val="tx1"/>
            </w14:solidFill>
          </w14:textFill>
        </w:rPr>
      </w:pPr>
      <w:r>
        <w:rPr>
          <w:rFonts w:hint="eastAsia" w:ascii="Times New Roman" w:hAnsi="Times New Roman" w:eastAsia="宋体" w:cs="宋体"/>
          <w:color w:val="000000" w:themeColor="text1"/>
          <w:spacing w:val="0"/>
          <w:szCs w:val="21"/>
          <w:highlight w:val="none"/>
          <w14:textFill>
            <w14:solidFill>
              <w14:schemeClr w14:val="tx1"/>
            </w14:solidFill>
          </w14:textFill>
        </w:rPr>
        <w:t>2</w:t>
      </w:r>
      <w:r>
        <w:rPr>
          <w:rFonts w:hint="eastAsia" w:ascii="Times New Roman" w:hAnsi="Times New Roman" w:eastAsia="宋体" w:cs="宋体"/>
          <w:color w:val="000000" w:themeColor="text1"/>
          <w:spacing w:val="0"/>
          <w:szCs w:val="21"/>
          <w:highlight w:val="none"/>
          <w:lang w:val="en-US" w:eastAsia="zh-CN"/>
          <w14:textFill>
            <w14:solidFill>
              <w14:schemeClr w14:val="tx1"/>
            </w14:solidFill>
          </w14:textFill>
        </w:rPr>
        <w:t>5</w:t>
      </w:r>
      <w:r>
        <w:rPr>
          <w:rFonts w:hint="eastAsia" w:ascii="Times New Roman" w:hAnsi="Times New Roman" w:eastAsia="宋体" w:cs="宋体"/>
          <w:color w:val="000000" w:themeColor="text1"/>
          <w:spacing w:val="0"/>
          <w:szCs w:val="21"/>
          <w:highlight w:val="none"/>
          <w14:textFill>
            <w14:solidFill>
              <w14:schemeClr w14:val="tx1"/>
            </w14:solidFill>
          </w14:textFill>
        </w:rPr>
        <w:t>.1</w:t>
      </w:r>
      <w:r>
        <w:rPr>
          <w:rFonts w:hint="eastAsia" w:ascii="Times New Roman" w:hAnsi="Times New Roman" w:eastAsia="宋体" w:cs="宋体"/>
          <w:color w:val="000000" w:themeColor="text1"/>
          <w:spacing w:val="0"/>
          <w:highlight w:val="none"/>
          <w14:textFill>
            <w14:solidFill>
              <w14:schemeClr w14:val="tx1"/>
            </w14:solidFill>
          </w14:textFill>
        </w:rPr>
        <w:t>本项目的</w:t>
      </w:r>
      <w:r>
        <w:rPr>
          <w:rFonts w:hint="eastAsia" w:ascii="Times New Roman" w:hAnsi="Times New Roman" w:eastAsia="宋体" w:cs="宋体"/>
          <w:color w:val="000000" w:themeColor="text1"/>
          <w:spacing w:val="0"/>
          <w:highlight w:val="none"/>
          <w:lang w:eastAsia="zh-CN"/>
          <w14:textFill>
            <w14:solidFill>
              <w14:schemeClr w14:val="tx1"/>
            </w14:solidFill>
          </w14:textFill>
        </w:rPr>
        <w:t>评审方法</w:t>
      </w:r>
      <w:r>
        <w:rPr>
          <w:rFonts w:hint="eastAsia" w:ascii="Times New Roman" w:hAnsi="Times New Roman" w:eastAsia="宋体" w:cs="宋体"/>
          <w:color w:val="000000" w:themeColor="text1"/>
          <w:spacing w:val="0"/>
          <w:highlight w:val="none"/>
          <w14:textFill>
            <w14:solidFill>
              <w14:schemeClr w14:val="tx1"/>
            </w14:solidFill>
          </w14:textFill>
        </w:rPr>
        <w:t>详见“</w:t>
      </w:r>
      <w:r>
        <w:rPr>
          <w:rFonts w:hint="eastAsia" w:ascii="Times New Roman" w:hAnsi="Times New Roman" w:eastAsia="宋体" w:cs="宋体"/>
          <w:color w:val="000000" w:themeColor="text1"/>
          <w:spacing w:val="0"/>
          <w:highlight w:val="none"/>
          <w:lang w:val="en-US" w:eastAsia="zh-CN"/>
          <w14:textFill>
            <w14:solidFill>
              <w14:schemeClr w14:val="tx1"/>
            </w14:solidFill>
          </w14:textFill>
        </w:rPr>
        <w:t>供应商</w:t>
      </w:r>
      <w:r>
        <w:rPr>
          <w:rFonts w:hint="eastAsia" w:ascii="Times New Roman" w:hAnsi="Times New Roman" w:eastAsia="宋体" w:cs="宋体"/>
          <w:color w:val="000000" w:themeColor="text1"/>
          <w:spacing w:val="0"/>
          <w:highlight w:val="none"/>
          <w14:textFill>
            <w14:solidFill>
              <w14:schemeClr w14:val="tx1"/>
            </w14:solidFill>
          </w14:textFill>
        </w:rPr>
        <w:t>须知前附表”</w:t>
      </w:r>
      <w:r>
        <w:rPr>
          <w:rFonts w:hint="eastAsia" w:ascii="Times New Roman" w:hAnsi="Times New Roman" w:eastAsia="宋体" w:cs="宋体"/>
          <w:color w:val="000000" w:themeColor="text1"/>
          <w:spacing w:val="0"/>
          <w:highlight w:val="none"/>
          <w:lang w:eastAsia="zh-CN"/>
          <w14:textFill>
            <w14:solidFill>
              <w14:schemeClr w14:val="tx1"/>
            </w14:solidFill>
          </w14:textFill>
        </w:rPr>
        <w:t>。</w:t>
      </w:r>
      <w:r>
        <w:rPr>
          <w:rFonts w:hint="eastAsia" w:ascii="Times New Roman" w:hAnsi="Times New Roman" w:eastAsia="宋体" w:cs="宋体"/>
          <w:color w:val="000000" w:themeColor="text1"/>
          <w:spacing w:val="0"/>
          <w:szCs w:val="21"/>
          <w:highlight w:val="none"/>
          <w14:textFill>
            <w14:solidFill>
              <w14:schemeClr w14:val="tx1"/>
            </w14:solidFill>
          </w14:textFill>
        </w:rPr>
        <w:t>磋商小组按照</w:t>
      </w:r>
      <w:r>
        <w:rPr>
          <w:rFonts w:hint="eastAsia" w:ascii="Times New Roman" w:hAnsi="Times New Roman" w:eastAsia="宋体" w:cs="宋体"/>
          <w:color w:val="000000" w:themeColor="text1"/>
          <w:spacing w:val="0"/>
          <w:szCs w:val="21"/>
          <w:highlight w:val="none"/>
          <w:lang w:eastAsia="zh-CN"/>
          <w14:textFill>
            <w14:solidFill>
              <w14:schemeClr w14:val="tx1"/>
            </w14:solidFill>
          </w14:textFill>
        </w:rPr>
        <w:t>“</w:t>
      </w:r>
      <w:r>
        <w:rPr>
          <w:rFonts w:hint="eastAsia" w:ascii="Times New Roman" w:hAnsi="Times New Roman" w:eastAsia="宋体" w:cs="宋体"/>
          <w:color w:val="000000" w:themeColor="text1"/>
          <w:spacing w:val="0"/>
          <w:szCs w:val="21"/>
          <w:highlight w:val="none"/>
          <w14:textFill>
            <w14:solidFill>
              <w14:schemeClr w14:val="tx1"/>
            </w14:solidFill>
          </w14:textFill>
        </w:rPr>
        <w:t>第四章 评审程序、评审方法和评审标准</w:t>
      </w:r>
      <w:r>
        <w:rPr>
          <w:rFonts w:hint="eastAsia" w:ascii="Times New Roman" w:hAnsi="Times New Roman" w:eastAsia="宋体" w:cs="宋体"/>
          <w:color w:val="000000" w:themeColor="text1"/>
          <w:spacing w:val="0"/>
          <w:szCs w:val="21"/>
          <w:highlight w:val="none"/>
          <w:lang w:eastAsia="zh-CN"/>
          <w14:textFill>
            <w14:solidFill>
              <w14:schemeClr w14:val="tx1"/>
            </w14:solidFill>
          </w14:textFill>
        </w:rPr>
        <w:t>”</w:t>
      </w:r>
      <w:r>
        <w:rPr>
          <w:rFonts w:hint="eastAsia" w:ascii="Times New Roman" w:hAnsi="Times New Roman" w:eastAsia="宋体" w:cs="宋体"/>
          <w:color w:val="000000" w:themeColor="text1"/>
          <w:spacing w:val="0"/>
          <w:szCs w:val="21"/>
          <w:highlight w:val="none"/>
          <w14:textFill>
            <w14:solidFill>
              <w14:schemeClr w14:val="tx1"/>
            </w14:solidFill>
          </w14:textFill>
        </w:rPr>
        <w:t>规定的方法、评审因素、标准和程序对响应文件进行评审。</w:t>
      </w:r>
    </w:p>
    <w:p w14:paraId="072DD9DC">
      <w:pPr>
        <w:pStyle w:val="14"/>
        <w:keepNext w:val="0"/>
        <w:keepLines w:val="0"/>
        <w:pageBreakBefore w:val="0"/>
        <w:widowControl w:val="0"/>
        <w:kinsoku/>
        <w:wordWrap/>
        <w:overflowPunct/>
        <w:topLinePunct w:val="0"/>
        <w:autoSpaceDE/>
        <w:autoSpaceDN/>
        <w:bidi w:val="0"/>
        <w:adjustRightInd/>
        <w:snapToGrid/>
        <w:spacing w:after="0" w:line="360" w:lineRule="auto"/>
        <w:ind w:firstLine="420" w:firstLineChars="200"/>
        <w:textAlignment w:val="auto"/>
        <w:rPr>
          <w:rFonts w:hint="eastAsia" w:ascii="Times New Roman" w:hAnsi="Times New Roman" w:eastAsia="宋体" w:cs="宋体"/>
          <w:color w:val="000000" w:themeColor="text1"/>
          <w:spacing w:val="0"/>
          <w:highlight w:val="none"/>
          <w14:textFill>
            <w14:solidFill>
              <w14:schemeClr w14:val="tx1"/>
            </w14:solidFill>
          </w14:textFill>
        </w:rPr>
      </w:pPr>
      <w:r>
        <w:rPr>
          <w:rFonts w:hint="eastAsia" w:ascii="Times New Roman" w:hAnsi="Times New Roman" w:eastAsia="宋体" w:cs="宋体"/>
          <w:color w:val="000000" w:themeColor="text1"/>
          <w:spacing w:val="0"/>
          <w:szCs w:val="21"/>
          <w:highlight w:val="none"/>
          <w14:textFill>
            <w14:solidFill>
              <w14:schemeClr w14:val="tx1"/>
            </w14:solidFill>
          </w14:textFill>
        </w:rPr>
        <w:t>2</w:t>
      </w:r>
      <w:r>
        <w:rPr>
          <w:rFonts w:hint="eastAsia" w:ascii="Times New Roman" w:hAnsi="Times New Roman" w:eastAsia="宋体" w:cs="宋体"/>
          <w:color w:val="000000" w:themeColor="text1"/>
          <w:spacing w:val="0"/>
          <w:szCs w:val="21"/>
          <w:highlight w:val="none"/>
          <w:lang w:val="en-US" w:eastAsia="zh-CN"/>
          <w14:textFill>
            <w14:solidFill>
              <w14:schemeClr w14:val="tx1"/>
            </w14:solidFill>
          </w14:textFill>
        </w:rPr>
        <w:t>5</w:t>
      </w:r>
      <w:r>
        <w:rPr>
          <w:rFonts w:hint="eastAsia" w:ascii="Times New Roman" w:hAnsi="Times New Roman" w:eastAsia="宋体" w:cs="宋体"/>
          <w:color w:val="000000" w:themeColor="text1"/>
          <w:spacing w:val="0"/>
          <w:szCs w:val="21"/>
          <w:highlight w:val="none"/>
          <w14:textFill>
            <w14:solidFill>
              <w14:schemeClr w14:val="tx1"/>
            </w14:solidFill>
          </w14:textFill>
        </w:rPr>
        <w:t>.2磋商文件内容违反国家有关强制性规定的，磋商小组应当停止评审并向采购人或者采购代理机构说明情况，并在评审报告中书面体现。</w:t>
      </w:r>
    </w:p>
    <w:p w14:paraId="5A623B43">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imes New Roman" w:hAnsi="Times New Roman" w:eastAsia="宋体" w:cs="宋体"/>
          <w:color w:val="000000" w:themeColor="text1"/>
          <w:spacing w:val="0"/>
          <w:szCs w:val="21"/>
          <w:highlight w:val="none"/>
          <w14:textFill>
            <w14:solidFill>
              <w14:schemeClr w14:val="tx1"/>
            </w14:solidFill>
          </w14:textFill>
        </w:rPr>
      </w:pPr>
      <w:r>
        <w:rPr>
          <w:rFonts w:hint="eastAsia" w:ascii="Times New Roman" w:hAnsi="Times New Roman" w:eastAsia="宋体" w:cs="宋体"/>
          <w:color w:val="000000" w:themeColor="text1"/>
          <w:spacing w:val="0"/>
          <w:szCs w:val="21"/>
          <w:highlight w:val="none"/>
          <w14:textFill>
            <w14:solidFill>
              <w14:schemeClr w14:val="tx1"/>
            </w14:solidFill>
          </w14:textFill>
        </w:rPr>
        <w:t>2</w:t>
      </w:r>
      <w:r>
        <w:rPr>
          <w:rFonts w:hint="eastAsia" w:ascii="Times New Roman" w:hAnsi="Times New Roman" w:eastAsia="宋体" w:cs="宋体"/>
          <w:color w:val="000000" w:themeColor="text1"/>
          <w:spacing w:val="0"/>
          <w:szCs w:val="21"/>
          <w:highlight w:val="none"/>
          <w:lang w:val="en-US" w:eastAsia="zh-CN"/>
          <w14:textFill>
            <w14:solidFill>
              <w14:schemeClr w14:val="tx1"/>
            </w14:solidFill>
          </w14:textFill>
        </w:rPr>
        <w:t>5</w:t>
      </w:r>
      <w:r>
        <w:rPr>
          <w:rFonts w:hint="eastAsia" w:ascii="Times New Roman" w:hAnsi="Times New Roman" w:eastAsia="宋体" w:cs="宋体"/>
          <w:color w:val="000000" w:themeColor="text1"/>
          <w:spacing w:val="0"/>
          <w:szCs w:val="21"/>
          <w:highlight w:val="none"/>
          <w14:textFill>
            <w14:solidFill>
              <w14:schemeClr w14:val="tx1"/>
            </w14:solidFill>
          </w14:textFill>
        </w:rPr>
        <w:t>.3 采购需求负偏离要求及磋商顺序详见</w:t>
      </w:r>
      <w:r>
        <w:rPr>
          <w:rFonts w:hint="eastAsia" w:ascii="Times New Roman" w:hAnsi="Times New Roman" w:eastAsia="宋体" w:cs="宋体"/>
          <w:color w:val="000000" w:themeColor="text1"/>
          <w:spacing w:val="0"/>
          <w:szCs w:val="21"/>
          <w:highlight w:val="none"/>
          <w:lang w:eastAsia="zh-CN"/>
          <w14:textFill>
            <w14:solidFill>
              <w14:schemeClr w14:val="tx1"/>
            </w14:solidFill>
          </w14:textFill>
        </w:rPr>
        <w:t>“</w:t>
      </w:r>
      <w:r>
        <w:rPr>
          <w:rFonts w:hint="eastAsia" w:ascii="Times New Roman" w:hAnsi="Times New Roman" w:eastAsia="宋体" w:cs="宋体"/>
          <w:color w:val="000000" w:themeColor="text1"/>
          <w:spacing w:val="0"/>
          <w:szCs w:val="21"/>
          <w:highlight w:val="none"/>
          <w14:textFill>
            <w14:solidFill>
              <w14:schemeClr w14:val="tx1"/>
            </w14:solidFill>
          </w14:textFill>
        </w:rPr>
        <w:t>供应商须知前附表</w:t>
      </w:r>
      <w:r>
        <w:rPr>
          <w:rFonts w:hint="eastAsia" w:ascii="Times New Roman" w:hAnsi="Times New Roman" w:eastAsia="宋体" w:cs="宋体"/>
          <w:color w:val="000000" w:themeColor="text1"/>
          <w:spacing w:val="0"/>
          <w:szCs w:val="21"/>
          <w:highlight w:val="none"/>
          <w:lang w:eastAsia="zh-CN"/>
          <w14:textFill>
            <w14:solidFill>
              <w14:schemeClr w14:val="tx1"/>
            </w14:solidFill>
          </w14:textFill>
        </w:rPr>
        <w:t>”</w:t>
      </w:r>
      <w:r>
        <w:rPr>
          <w:rFonts w:hint="eastAsia" w:ascii="Times New Roman" w:hAnsi="Times New Roman" w:eastAsia="宋体" w:cs="宋体"/>
          <w:color w:val="000000" w:themeColor="text1"/>
          <w:spacing w:val="0"/>
          <w:szCs w:val="21"/>
          <w:highlight w:val="none"/>
          <w14:textFill>
            <w14:solidFill>
              <w14:schemeClr w14:val="tx1"/>
            </w14:solidFill>
          </w14:textFill>
        </w:rPr>
        <w:t>。</w:t>
      </w:r>
    </w:p>
    <w:p w14:paraId="76FAD500">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imes New Roman" w:hAnsi="Times New Roman" w:eastAsia="宋体" w:cs="宋体"/>
          <w:color w:val="000000" w:themeColor="text1"/>
          <w:spacing w:val="0"/>
          <w:highlight w:val="none"/>
          <w14:textFill>
            <w14:solidFill>
              <w14:schemeClr w14:val="tx1"/>
            </w14:solidFill>
          </w14:textFill>
        </w:rPr>
      </w:pPr>
      <w:r>
        <w:rPr>
          <w:rFonts w:hint="eastAsia" w:ascii="Times New Roman" w:hAnsi="Times New Roman" w:eastAsia="宋体" w:cs="宋体"/>
          <w:color w:val="000000" w:themeColor="text1"/>
          <w:spacing w:val="0"/>
          <w:highlight w:val="none"/>
          <w14:textFill>
            <w14:solidFill>
              <w14:schemeClr w14:val="tx1"/>
            </w14:solidFill>
          </w14:textFill>
        </w:rPr>
        <w:t>2</w:t>
      </w:r>
      <w:r>
        <w:rPr>
          <w:rFonts w:hint="eastAsia" w:ascii="Times New Roman" w:hAnsi="Times New Roman" w:eastAsia="宋体" w:cs="宋体"/>
          <w:color w:val="000000" w:themeColor="text1"/>
          <w:spacing w:val="0"/>
          <w:highlight w:val="none"/>
          <w:lang w:val="en-US" w:eastAsia="zh-CN"/>
          <w14:textFill>
            <w14:solidFill>
              <w14:schemeClr w14:val="tx1"/>
            </w14:solidFill>
          </w14:textFill>
        </w:rPr>
        <w:t>5</w:t>
      </w:r>
      <w:r>
        <w:rPr>
          <w:rFonts w:hint="eastAsia" w:ascii="Times New Roman" w:hAnsi="Times New Roman" w:eastAsia="宋体" w:cs="宋体"/>
          <w:color w:val="000000" w:themeColor="text1"/>
          <w:spacing w:val="0"/>
          <w:highlight w:val="none"/>
          <w14:textFill>
            <w14:solidFill>
              <w14:schemeClr w14:val="tx1"/>
            </w14:solidFill>
          </w14:textFill>
        </w:rPr>
        <w:t>.4电子交易活动的中止。采购过程中出现以下情形，导致电子交易平台无法正常运行，或者无法保证电子交易的公平、公正和安全时，采购机构可中止电子交易活动：</w:t>
      </w:r>
    </w:p>
    <w:p w14:paraId="7084DD6E">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imes New Roman" w:hAnsi="Times New Roman" w:eastAsia="宋体" w:cs="宋体"/>
          <w:color w:val="000000" w:themeColor="text1"/>
          <w:spacing w:val="0"/>
          <w:highlight w:val="none"/>
          <w14:textFill>
            <w14:solidFill>
              <w14:schemeClr w14:val="tx1"/>
            </w14:solidFill>
          </w14:textFill>
        </w:rPr>
      </w:pPr>
      <w:r>
        <w:rPr>
          <w:rFonts w:hint="eastAsia" w:ascii="Times New Roman" w:hAnsi="Times New Roman" w:eastAsia="宋体" w:cs="宋体"/>
          <w:color w:val="000000" w:themeColor="text1"/>
          <w:spacing w:val="0"/>
          <w:highlight w:val="none"/>
          <w14:textFill>
            <w14:solidFill>
              <w14:schemeClr w14:val="tx1"/>
            </w14:solidFill>
          </w14:textFill>
        </w:rPr>
        <w:t xml:space="preserve">（1）电子交易平台发生故障而无法登录访问的； </w:t>
      </w:r>
    </w:p>
    <w:p w14:paraId="5DD2308A">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imes New Roman" w:hAnsi="Times New Roman" w:eastAsia="宋体" w:cs="宋体"/>
          <w:color w:val="000000" w:themeColor="text1"/>
          <w:spacing w:val="0"/>
          <w:highlight w:val="none"/>
          <w14:textFill>
            <w14:solidFill>
              <w14:schemeClr w14:val="tx1"/>
            </w14:solidFill>
          </w14:textFill>
        </w:rPr>
      </w:pPr>
      <w:r>
        <w:rPr>
          <w:rFonts w:hint="eastAsia" w:ascii="Times New Roman" w:hAnsi="Times New Roman" w:eastAsia="宋体" w:cs="宋体"/>
          <w:color w:val="000000" w:themeColor="text1"/>
          <w:spacing w:val="0"/>
          <w:highlight w:val="none"/>
          <w14:textFill>
            <w14:solidFill>
              <w14:schemeClr w14:val="tx1"/>
            </w14:solidFill>
          </w14:textFill>
        </w:rPr>
        <w:t>（2）电子交易平台应用或数据库出现错误，不能进行正常操作的；</w:t>
      </w:r>
    </w:p>
    <w:p w14:paraId="0C4EF7A8">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imes New Roman" w:hAnsi="Times New Roman" w:eastAsia="宋体" w:cs="宋体"/>
          <w:color w:val="000000" w:themeColor="text1"/>
          <w:spacing w:val="0"/>
          <w:highlight w:val="none"/>
          <w14:textFill>
            <w14:solidFill>
              <w14:schemeClr w14:val="tx1"/>
            </w14:solidFill>
          </w14:textFill>
        </w:rPr>
      </w:pPr>
      <w:r>
        <w:rPr>
          <w:rFonts w:hint="eastAsia" w:ascii="Times New Roman" w:hAnsi="Times New Roman" w:eastAsia="宋体" w:cs="宋体"/>
          <w:color w:val="000000" w:themeColor="text1"/>
          <w:spacing w:val="0"/>
          <w:highlight w:val="none"/>
          <w14:textFill>
            <w14:solidFill>
              <w14:schemeClr w14:val="tx1"/>
            </w14:solidFill>
          </w14:textFill>
        </w:rPr>
        <w:t>（3）电子交易平台发现严重安全漏洞，有潜在泄密危险的；</w:t>
      </w:r>
    </w:p>
    <w:p w14:paraId="111C64DA">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imes New Roman" w:hAnsi="Times New Roman" w:eastAsia="宋体" w:cs="宋体"/>
          <w:color w:val="000000" w:themeColor="text1"/>
          <w:spacing w:val="0"/>
          <w:highlight w:val="none"/>
          <w14:textFill>
            <w14:solidFill>
              <w14:schemeClr w14:val="tx1"/>
            </w14:solidFill>
          </w14:textFill>
        </w:rPr>
      </w:pPr>
      <w:r>
        <w:rPr>
          <w:rFonts w:hint="eastAsia" w:ascii="Times New Roman" w:hAnsi="Times New Roman" w:eastAsia="宋体" w:cs="宋体"/>
          <w:color w:val="000000" w:themeColor="text1"/>
          <w:spacing w:val="0"/>
          <w:highlight w:val="none"/>
          <w14:textFill>
            <w14:solidFill>
              <w14:schemeClr w14:val="tx1"/>
            </w14:solidFill>
          </w14:textFill>
        </w:rPr>
        <w:t xml:space="preserve">（4）病毒发作导致不能进行正常操作的； </w:t>
      </w:r>
    </w:p>
    <w:p w14:paraId="12574D25">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imes New Roman" w:hAnsi="Times New Roman" w:eastAsia="宋体" w:cs="宋体"/>
          <w:color w:val="000000" w:themeColor="text1"/>
          <w:spacing w:val="0"/>
          <w:highlight w:val="none"/>
          <w14:textFill>
            <w14:solidFill>
              <w14:schemeClr w14:val="tx1"/>
            </w14:solidFill>
          </w14:textFill>
        </w:rPr>
      </w:pPr>
      <w:r>
        <w:rPr>
          <w:rFonts w:hint="eastAsia" w:ascii="Times New Roman" w:hAnsi="Times New Roman" w:eastAsia="宋体" w:cs="宋体"/>
          <w:color w:val="000000" w:themeColor="text1"/>
          <w:spacing w:val="0"/>
          <w:highlight w:val="none"/>
          <w14:textFill>
            <w14:solidFill>
              <w14:schemeClr w14:val="tx1"/>
            </w14:solidFill>
          </w14:textFill>
        </w:rPr>
        <w:t>（5）其他无法保证电子交易的公平、公正和安全的情况。</w:t>
      </w:r>
    </w:p>
    <w:p w14:paraId="2DF0422E">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imes New Roman" w:hAnsi="Times New Roman" w:eastAsia="宋体" w:cs="宋体"/>
          <w:color w:val="000000" w:themeColor="text1"/>
          <w:spacing w:val="0"/>
          <w:highlight w:val="none"/>
          <w14:textFill>
            <w14:solidFill>
              <w14:schemeClr w14:val="tx1"/>
            </w14:solidFill>
          </w14:textFill>
        </w:rPr>
      </w:pPr>
      <w:r>
        <w:rPr>
          <w:rFonts w:hint="eastAsia" w:ascii="Times New Roman" w:hAnsi="Times New Roman" w:eastAsia="宋体" w:cs="宋体"/>
          <w:color w:val="000000" w:themeColor="text1"/>
          <w:spacing w:val="0"/>
          <w:highlight w:val="none"/>
          <w14:textFill>
            <w14:solidFill>
              <w14:schemeClr w14:val="tx1"/>
            </w14:solidFill>
          </w14:textFill>
        </w:rPr>
        <w:t>2</w:t>
      </w:r>
      <w:r>
        <w:rPr>
          <w:rFonts w:hint="eastAsia" w:ascii="Times New Roman" w:hAnsi="Times New Roman" w:eastAsia="宋体" w:cs="宋体"/>
          <w:color w:val="000000" w:themeColor="text1"/>
          <w:spacing w:val="0"/>
          <w:highlight w:val="none"/>
          <w:lang w:val="en-US" w:eastAsia="zh-CN"/>
          <w14:textFill>
            <w14:solidFill>
              <w14:schemeClr w14:val="tx1"/>
            </w14:solidFill>
          </w14:textFill>
        </w:rPr>
        <w:t>5</w:t>
      </w:r>
      <w:r>
        <w:rPr>
          <w:rFonts w:hint="eastAsia" w:ascii="Times New Roman" w:hAnsi="Times New Roman" w:eastAsia="宋体" w:cs="宋体"/>
          <w:color w:val="000000" w:themeColor="text1"/>
          <w:spacing w:val="0"/>
          <w:highlight w:val="none"/>
          <w14:textFill>
            <w14:solidFill>
              <w14:schemeClr w14:val="tx1"/>
            </w14:solidFill>
          </w14:textFill>
        </w:rPr>
        <w:t>.5出现以上情形，不影响采购公平、公正性的，采购组织机构可以待上述情形消除后继续组织电子交易活动；影响或可能影响采购公平、公正性的，经采购代理机构确认后，应当重新采购。采购代理机构必须对原有的资料及信息作出妥善保密处理，并报财政部门备案。</w:t>
      </w:r>
    </w:p>
    <w:p w14:paraId="384E5C60">
      <w:pPr>
        <w:pStyle w:val="5"/>
        <w:keepNext/>
        <w:keepLines/>
        <w:pageBreakBefore w:val="0"/>
        <w:widowControl w:val="0"/>
        <w:kinsoku/>
        <w:wordWrap/>
        <w:overflowPunct/>
        <w:topLinePunct w:val="0"/>
        <w:autoSpaceDE/>
        <w:autoSpaceDN/>
        <w:bidi w:val="0"/>
        <w:adjustRightInd/>
        <w:snapToGrid/>
        <w:spacing w:before="0" w:beforeLines="50" w:after="0" w:line="360" w:lineRule="auto"/>
        <w:jc w:val="center"/>
        <w:textAlignment w:val="auto"/>
        <w:rPr>
          <w:rFonts w:hint="eastAsia" w:ascii="Times New Roman" w:hAnsi="Times New Roman" w:eastAsia="宋体" w:cs="宋体"/>
          <w:bCs w:val="0"/>
          <w:color w:val="000000" w:themeColor="text1"/>
          <w:spacing w:val="0"/>
          <w:sz w:val="24"/>
          <w:szCs w:val="24"/>
          <w:highlight w:val="none"/>
          <w14:textFill>
            <w14:solidFill>
              <w14:schemeClr w14:val="tx1"/>
            </w14:solidFill>
          </w14:textFill>
        </w:rPr>
      </w:pPr>
      <w:bookmarkStart w:id="132" w:name="_Toc17745"/>
      <w:bookmarkStart w:id="133" w:name="_Toc80886934"/>
      <w:bookmarkStart w:id="134" w:name="_Toc12018"/>
      <w:bookmarkStart w:id="135" w:name="_Toc8922"/>
      <w:r>
        <w:rPr>
          <w:rFonts w:hint="eastAsia" w:ascii="Times New Roman" w:hAnsi="Times New Roman" w:eastAsia="宋体" w:cs="宋体"/>
          <w:bCs w:val="0"/>
          <w:color w:val="000000" w:themeColor="text1"/>
          <w:spacing w:val="0"/>
          <w:sz w:val="24"/>
          <w:szCs w:val="24"/>
          <w:highlight w:val="none"/>
          <w14:textFill>
            <w14:solidFill>
              <w14:schemeClr w14:val="tx1"/>
            </w14:solidFill>
          </w14:textFill>
        </w:rPr>
        <w:t>五、成交及合同</w:t>
      </w:r>
      <w:bookmarkEnd w:id="132"/>
      <w:bookmarkEnd w:id="133"/>
      <w:bookmarkEnd w:id="134"/>
      <w:bookmarkEnd w:id="135"/>
    </w:p>
    <w:p w14:paraId="5ACE1432">
      <w:pPr>
        <w:pageBreakBefore w:val="0"/>
        <w:widowControl w:val="0"/>
        <w:kinsoku/>
        <w:wordWrap/>
        <w:overflowPunct/>
        <w:topLinePunct w:val="0"/>
        <w:autoSpaceDE/>
        <w:autoSpaceDN/>
        <w:bidi w:val="0"/>
        <w:spacing w:line="360" w:lineRule="auto"/>
        <w:outlineLvl w:val="2"/>
        <w:rPr>
          <w:rFonts w:hint="eastAsia" w:ascii="Times New Roman" w:hAnsi="Times New Roman" w:eastAsia="宋体" w:cs="宋体"/>
          <w:b/>
          <w:bCs/>
          <w:color w:val="000000" w:themeColor="text1"/>
          <w:spacing w:val="0"/>
          <w:sz w:val="21"/>
          <w:szCs w:val="21"/>
          <w:highlight w:val="none"/>
          <w14:textFill>
            <w14:solidFill>
              <w14:schemeClr w14:val="tx1"/>
            </w14:solidFill>
          </w14:textFill>
        </w:rPr>
      </w:pPr>
      <w:bookmarkStart w:id="136" w:name="_Toc13237"/>
      <w:r>
        <w:rPr>
          <w:rFonts w:hint="eastAsia" w:ascii="Times New Roman" w:hAnsi="Times New Roman" w:eastAsia="宋体" w:cs="宋体"/>
          <w:b/>
          <w:bCs/>
          <w:color w:val="000000" w:themeColor="text1"/>
          <w:spacing w:val="0"/>
          <w:sz w:val="21"/>
          <w:szCs w:val="21"/>
          <w:highlight w:val="none"/>
          <w14:textFill>
            <w14:solidFill>
              <w14:schemeClr w14:val="tx1"/>
            </w14:solidFill>
          </w14:textFill>
        </w:rPr>
        <w:t>2</w:t>
      </w:r>
      <w:r>
        <w:rPr>
          <w:rFonts w:hint="eastAsia" w:ascii="Times New Roman" w:hAnsi="Times New Roman" w:eastAsia="宋体" w:cs="宋体"/>
          <w:b/>
          <w:bCs/>
          <w:color w:val="000000" w:themeColor="text1"/>
          <w:spacing w:val="0"/>
          <w:sz w:val="21"/>
          <w:szCs w:val="21"/>
          <w:highlight w:val="none"/>
          <w:lang w:val="en-US" w:eastAsia="zh-CN"/>
          <w14:textFill>
            <w14:solidFill>
              <w14:schemeClr w14:val="tx1"/>
            </w14:solidFill>
          </w14:textFill>
        </w:rPr>
        <w:t>6</w:t>
      </w:r>
      <w:r>
        <w:rPr>
          <w:rFonts w:hint="eastAsia" w:ascii="Times New Roman" w:hAnsi="Times New Roman" w:eastAsia="宋体" w:cs="宋体"/>
          <w:b/>
          <w:bCs/>
          <w:color w:val="000000" w:themeColor="text1"/>
          <w:spacing w:val="0"/>
          <w:sz w:val="21"/>
          <w:szCs w:val="21"/>
          <w:highlight w:val="none"/>
          <w14:textFill>
            <w14:solidFill>
              <w14:schemeClr w14:val="tx1"/>
            </w14:solidFill>
          </w14:textFill>
        </w:rPr>
        <w:t>.确定成交供应商及结果公告</w:t>
      </w:r>
      <w:bookmarkEnd w:id="136"/>
    </w:p>
    <w:p w14:paraId="7E125E3D">
      <w:pPr>
        <w:pageBreakBefore w:val="0"/>
        <w:widowControl w:val="0"/>
        <w:kinsoku/>
        <w:wordWrap/>
        <w:overflowPunct/>
        <w:topLinePunct w:val="0"/>
        <w:autoSpaceDE/>
        <w:autoSpaceDN/>
        <w:bidi w:val="0"/>
        <w:spacing w:line="360" w:lineRule="auto"/>
        <w:ind w:firstLine="420" w:firstLineChars="200"/>
        <w:rPr>
          <w:rFonts w:hint="eastAsia" w:ascii="Times New Roman" w:hAnsi="Times New Roman" w:eastAsia="宋体" w:cs="宋体"/>
          <w:color w:val="000000" w:themeColor="text1"/>
          <w:spacing w:val="0"/>
          <w:szCs w:val="21"/>
          <w:highlight w:val="none"/>
          <w14:textFill>
            <w14:solidFill>
              <w14:schemeClr w14:val="tx1"/>
            </w14:solidFill>
          </w14:textFill>
        </w:rPr>
      </w:pPr>
      <w:r>
        <w:rPr>
          <w:rFonts w:hint="eastAsia" w:ascii="Times New Roman" w:hAnsi="Times New Roman" w:eastAsia="宋体" w:cs="宋体"/>
          <w:color w:val="000000" w:themeColor="text1"/>
          <w:spacing w:val="0"/>
          <w:szCs w:val="21"/>
          <w:highlight w:val="none"/>
          <w14:textFill>
            <w14:solidFill>
              <w14:schemeClr w14:val="tx1"/>
            </w14:solidFill>
          </w14:textFill>
        </w:rPr>
        <w:t>2</w:t>
      </w:r>
      <w:r>
        <w:rPr>
          <w:rFonts w:hint="eastAsia" w:ascii="Times New Roman" w:hAnsi="Times New Roman" w:eastAsia="宋体" w:cs="宋体"/>
          <w:color w:val="000000" w:themeColor="text1"/>
          <w:spacing w:val="0"/>
          <w:szCs w:val="21"/>
          <w:highlight w:val="none"/>
          <w:lang w:val="en-US" w:eastAsia="zh-CN"/>
          <w14:textFill>
            <w14:solidFill>
              <w14:schemeClr w14:val="tx1"/>
            </w14:solidFill>
          </w14:textFill>
        </w:rPr>
        <w:t>6</w:t>
      </w:r>
      <w:r>
        <w:rPr>
          <w:rFonts w:hint="eastAsia" w:ascii="Times New Roman" w:hAnsi="Times New Roman" w:eastAsia="宋体" w:cs="宋体"/>
          <w:color w:val="000000" w:themeColor="text1"/>
          <w:spacing w:val="0"/>
          <w:szCs w:val="21"/>
          <w:highlight w:val="none"/>
          <w14:textFill>
            <w14:solidFill>
              <w14:schemeClr w14:val="tx1"/>
            </w14:solidFill>
          </w14:textFill>
        </w:rPr>
        <w:t>.1确定成交供应商。采购代理机构应当在评审结束后2个工作日内将评审报告送采购人确认。采购人应当在收到评审报告后5个工作日内，从评审报告提出的成交候选供应商中，按照排序由高到低的原则确定成交供应商，也可以书面授权磋商小组直接确定成交供应商。采购人逾期未确定成交供应商且不提出异议的，视为确定评审报告提出的排序第一的供应商为成交供应商。</w:t>
      </w:r>
    </w:p>
    <w:p w14:paraId="523BFB92">
      <w:pPr>
        <w:pageBreakBefore w:val="0"/>
        <w:widowControl w:val="0"/>
        <w:kinsoku/>
        <w:wordWrap/>
        <w:overflowPunct/>
        <w:topLinePunct w:val="0"/>
        <w:autoSpaceDE/>
        <w:autoSpaceDN/>
        <w:bidi w:val="0"/>
        <w:spacing w:line="360" w:lineRule="auto"/>
        <w:ind w:firstLine="420" w:firstLineChars="200"/>
        <w:rPr>
          <w:rFonts w:hint="eastAsia" w:ascii="Times New Roman" w:hAnsi="Times New Roman" w:eastAsia="宋体" w:cs="宋体"/>
          <w:color w:val="000000" w:themeColor="text1"/>
          <w:spacing w:val="0"/>
          <w:szCs w:val="21"/>
          <w:highlight w:val="none"/>
          <w14:textFill>
            <w14:solidFill>
              <w14:schemeClr w14:val="tx1"/>
            </w14:solidFill>
          </w14:textFill>
        </w:rPr>
      </w:pPr>
      <w:r>
        <w:rPr>
          <w:rFonts w:hint="eastAsia" w:ascii="Times New Roman" w:hAnsi="Times New Roman" w:eastAsia="宋体" w:cs="宋体"/>
          <w:color w:val="000000" w:themeColor="text1"/>
          <w:spacing w:val="0"/>
          <w:szCs w:val="21"/>
          <w:highlight w:val="none"/>
          <w14:textFill>
            <w14:solidFill>
              <w14:schemeClr w14:val="tx1"/>
            </w14:solidFill>
          </w14:textFill>
        </w:rPr>
        <w:t>2</w:t>
      </w:r>
      <w:r>
        <w:rPr>
          <w:rFonts w:hint="eastAsia" w:ascii="Times New Roman" w:hAnsi="Times New Roman" w:eastAsia="宋体" w:cs="宋体"/>
          <w:color w:val="000000" w:themeColor="text1"/>
          <w:spacing w:val="0"/>
          <w:szCs w:val="21"/>
          <w:highlight w:val="none"/>
          <w:lang w:val="en-US" w:eastAsia="zh-CN"/>
          <w14:textFill>
            <w14:solidFill>
              <w14:schemeClr w14:val="tx1"/>
            </w14:solidFill>
          </w14:textFill>
        </w:rPr>
        <w:t>6</w:t>
      </w:r>
      <w:r>
        <w:rPr>
          <w:rFonts w:hint="eastAsia" w:ascii="Times New Roman" w:hAnsi="Times New Roman" w:eastAsia="宋体" w:cs="宋体"/>
          <w:color w:val="000000" w:themeColor="text1"/>
          <w:spacing w:val="0"/>
          <w:szCs w:val="21"/>
          <w:highlight w:val="none"/>
          <w14:textFill>
            <w14:solidFill>
              <w14:schemeClr w14:val="tx1"/>
            </w14:solidFill>
          </w14:textFill>
        </w:rPr>
        <w:t>.2成交通知及成交结果公告。采购代理机构应当在</w:t>
      </w:r>
      <w:r>
        <w:rPr>
          <w:rFonts w:hint="eastAsia" w:ascii="Times New Roman" w:hAnsi="Times New Roman" w:eastAsia="宋体" w:cs="宋体"/>
          <w:color w:val="000000" w:themeColor="text1"/>
          <w:spacing w:val="0"/>
          <w:kern w:val="0"/>
          <w:szCs w:val="21"/>
          <w:highlight w:val="none"/>
          <w14:textFill>
            <w14:solidFill>
              <w14:schemeClr w14:val="tx1"/>
            </w14:solidFill>
          </w14:textFill>
        </w:rPr>
        <w:t>成交</w:t>
      </w:r>
      <w:r>
        <w:rPr>
          <w:rFonts w:hint="eastAsia" w:ascii="Times New Roman" w:hAnsi="Times New Roman" w:eastAsia="宋体" w:cs="宋体"/>
          <w:color w:val="000000" w:themeColor="text1"/>
          <w:spacing w:val="0"/>
          <w:szCs w:val="21"/>
          <w:highlight w:val="none"/>
          <w14:textFill>
            <w14:solidFill>
              <w14:schemeClr w14:val="tx1"/>
            </w14:solidFill>
          </w14:textFill>
        </w:rPr>
        <w:t>供应商确定后2个工作日内，在省级以上财政部门指定的媒体上公告成交结果，同时向成交供应商发出成交通知书。</w:t>
      </w:r>
    </w:p>
    <w:p w14:paraId="4B87B206">
      <w:pPr>
        <w:pageBreakBefore w:val="0"/>
        <w:widowControl w:val="0"/>
        <w:kinsoku/>
        <w:wordWrap/>
        <w:overflowPunct/>
        <w:topLinePunct w:val="0"/>
        <w:autoSpaceDE/>
        <w:autoSpaceDN/>
        <w:bidi w:val="0"/>
        <w:spacing w:line="360" w:lineRule="auto"/>
        <w:ind w:firstLine="420" w:firstLineChars="200"/>
        <w:rPr>
          <w:rFonts w:hint="eastAsia" w:ascii="Times New Roman" w:hAnsi="Times New Roman" w:eastAsia="宋体" w:cs="宋体"/>
          <w:color w:val="000000" w:themeColor="text1"/>
          <w:spacing w:val="0"/>
          <w:szCs w:val="21"/>
          <w:highlight w:val="none"/>
          <w14:textFill>
            <w14:solidFill>
              <w14:schemeClr w14:val="tx1"/>
            </w14:solidFill>
          </w14:textFill>
        </w:rPr>
      </w:pPr>
      <w:bookmarkStart w:id="137" w:name="OLE_LINK24"/>
      <w:r>
        <w:rPr>
          <w:rFonts w:hint="eastAsia" w:ascii="Times New Roman" w:hAnsi="Times New Roman" w:eastAsia="宋体" w:cs="宋体"/>
          <w:color w:val="000000" w:themeColor="text1"/>
          <w:spacing w:val="0"/>
          <w:szCs w:val="21"/>
          <w:highlight w:val="none"/>
          <w14:textFill>
            <w14:solidFill>
              <w14:schemeClr w14:val="tx1"/>
            </w14:solidFill>
          </w14:textFill>
        </w:rPr>
        <w:t>2</w:t>
      </w:r>
      <w:r>
        <w:rPr>
          <w:rFonts w:hint="eastAsia" w:ascii="Times New Roman" w:hAnsi="Times New Roman" w:eastAsia="宋体" w:cs="宋体"/>
          <w:color w:val="000000" w:themeColor="text1"/>
          <w:spacing w:val="0"/>
          <w:szCs w:val="21"/>
          <w:highlight w:val="none"/>
          <w:lang w:val="en-US" w:eastAsia="zh-CN"/>
          <w14:textFill>
            <w14:solidFill>
              <w14:schemeClr w14:val="tx1"/>
            </w14:solidFill>
          </w14:textFill>
        </w:rPr>
        <w:t>6</w:t>
      </w:r>
      <w:r>
        <w:rPr>
          <w:rFonts w:hint="eastAsia" w:ascii="Times New Roman" w:hAnsi="Times New Roman" w:eastAsia="宋体" w:cs="宋体"/>
          <w:color w:val="000000" w:themeColor="text1"/>
          <w:spacing w:val="0"/>
          <w:szCs w:val="21"/>
          <w:highlight w:val="none"/>
          <w14:textFill>
            <w14:solidFill>
              <w14:schemeClr w14:val="tx1"/>
            </w14:solidFill>
          </w14:textFill>
        </w:rPr>
        <w:t>.3采购人或者采购代理机构发出成交通知书前，应当对成交供应商信用进行查询核实，对列入失信被执行人、重大税收违法失信主体、政府采购严重违法失信行为记录名单及其他不符合《中华人民共和国政府采购法》第二十二条规定条件的供应商，取消其成交资格，并依法确定排名第二的成交候选人为成交供应商。</w:t>
      </w:r>
      <w:bookmarkEnd w:id="137"/>
      <w:r>
        <w:rPr>
          <w:rFonts w:hint="eastAsia" w:ascii="Times New Roman" w:hAnsi="Times New Roman" w:eastAsia="宋体" w:cs="宋体"/>
          <w:color w:val="000000" w:themeColor="text1"/>
          <w:spacing w:val="0"/>
          <w:szCs w:val="21"/>
          <w:highlight w:val="none"/>
          <w14:textFill>
            <w14:solidFill>
              <w14:schemeClr w14:val="tx1"/>
            </w14:solidFill>
          </w14:textFill>
        </w:rPr>
        <w:t>排名第二的成交候选人因上述规定的同样原因被取消成交资格的，采购人可以依法确定排名第三的成交候选人为成交供应商，以此类推。以上信息查询记录及相关证据与磋商文件一并保存。成交供应商享受《政府采购促进中小企业发展管理办法》（财库〔2020〕46号）规定的中小企业扶持政策的，采购人、采购代理机构应当随成交结果公开成交供应商的《中小企业声明函》。</w:t>
      </w:r>
    </w:p>
    <w:p w14:paraId="557D4541">
      <w:pPr>
        <w:pageBreakBefore w:val="0"/>
        <w:widowControl w:val="0"/>
        <w:kinsoku/>
        <w:wordWrap/>
        <w:overflowPunct/>
        <w:topLinePunct w:val="0"/>
        <w:autoSpaceDE/>
        <w:autoSpaceDN/>
        <w:bidi w:val="0"/>
        <w:spacing w:line="360" w:lineRule="auto"/>
        <w:ind w:firstLine="420" w:firstLineChars="200"/>
        <w:rPr>
          <w:rFonts w:hint="eastAsia" w:ascii="Times New Roman" w:hAnsi="Times New Roman" w:eastAsia="宋体" w:cs="宋体"/>
          <w:color w:val="000000" w:themeColor="text1"/>
          <w:spacing w:val="0"/>
          <w:szCs w:val="21"/>
          <w:highlight w:val="none"/>
          <w14:textFill>
            <w14:solidFill>
              <w14:schemeClr w14:val="tx1"/>
            </w14:solidFill>
          </w14:textFill>
        </w:rPr>
      </w:pPr>
      <w:r>
        <w:rPr>
          <w:rFonts w:hint="eastAsia" w:ascii="Times New Roman" w:hAnsi="Times New Roman" w:eastAsia="宋体" w:cs="宋体"/>
          <w:color w:val="000000" w:themeColor="text1"/>
          <w:spacing w:val="0"/>
          <w:szCs w:val="21"/>
          <w:highlight w:val="none"/>
          <w14:textFill>
            <w14:solidFill>
              <w14:schemeClr w14:val="tx1"/>
            </w14:solidFill>
          </w14:textFill>
        </w:rPr>
        <w:t>2</w:t>
      </w:r>
      <w:r>
        <w:rPr>
          <w:rFonts w:hint="eastAsia" w:ascii="Times New Roman" w:hAnsi="Times New Roman" w:eastAsia="宋体" w:cs="宋体"/>
          <w:color w:val="000000" w:themeColor="text1"/>
          <w:spacing w:val="0"/>
          <w:szCs w:val="21"/>
          <w:highlight w:val="none"/>
          <w:lang w:val="en-US" w:eastAsia="zh-CN"/>
          <w14:textFill>
            <w14:solidFill>
              <w14:schemeClr w14:val="tx1"/>
            </w14:solidFill>
          </w14:textFill>
        </w:rPr>
        <w:t>6</w:t>
      </w:r>
      <w:r>
        <w:rPr>
          <w:rFonts w:hint="eastAsia" w:ascii="Times New Roman" w:hAnsi="Times New Roman" w:eastAsia="宋体" w:cs="宋体"/>
          <w:color w:val="000000" w:themeColor="text1"/>
          <w:spacing w:val="0"/>
          <w:szCs w:val="21"/>
          <w:highlight w:val="none"/>
          <w14:textFill>
            <w14:solidFill>
              <w14:schemeClr w14:val="tx1"/>
            </w14:solidFill>
          </w14:textFill>
        </w:rPr>
        <w:t>.4采购人、采购代理机构认为供应商对采购过程、成交结果提出的质疑成立且影响或者可能影响成交结果的，合格供应商符合法定数量时，可以从合格的成交候选人中另行确定成交供应商的，应当依法另行确定成交供应商；否则应当重新开展采购活动。</w:t>
      </w:r>
    </w:p>
    <w:p w14:paraId="73FAF9E7">
      <w:pPr>
        <w:pageBreakBefore w:val="0"/>
        <w:widowControl w:val="0"/>
        <w:kinsoku/>
        <w:wordWrap/>
        <w:overflowPunct/>
        <w:topLinePunct w:val="0"/>
        <w:autoSpaceDE/>
        <w:autoSpaceDN/>
        <w:bidi w:val="0"/>
        <w:spacing w:line="360" w:lineRule="auto"/>
        <w:ind w:firstLine="420" w:firstLineChars="200"/>
        <w:rPr>
          <w:rFonts w:hint="eastAsia" w:ascii="Times New Roman" w:hAnsi="Times New Roman" w:eastAsia="宋体" w:cs="宋体"/>
          <w:color w:val="000000" w:themeColor="text1"/>
          <w:spacing w:val="0"/>
          <w:szCs w:val="21"/>
          <w:highlight w:val="none"/>
          <w14:textFill>
            <w14:solidFill>
              <w14:schemeClr w14:val="tx1"/>
            </w14:solidFill>
          </w14:textFill>
        </w:rPr>
      </w:pPr>
      <w:r>
        <w:rPr>
          <w:rFonts w:hint="eastAsia" w:ascii="Times New Roman" w:hAnsi="Times New Roman" w:eastAsia="宋体" w:cs="宋体"/>
          <w:bCs/>
          <w:color w:val="000000" w:themeColor="text1"/>
          <w:spacing w:val="0"/>
          <w:szCs w:val="21"/>
          <w:highlight w:val="none"/>
          <w14:textFill>
            <w14:solidFill>
              <w14:schemeClr w14:val="tx1"/>
            </w14:solidFill>
          </w14:textFill>
        </w:rPr>
        <w:t>2</w:t>
      </w:r>
      <w:r>
        <w:rPr>
          <w:rFonts w:hint="eastAsia" w:ascii="Times New Roman" w:hAnsi="Times New Roman" w:eastAsia="宋体" w:cs="宋体"/>
          <w:bCs/>
          <w:color w:val="000000" w:themeColor="text1"/>
          <w:spacing w:val="0"/>
          <w:szCs w:val="21"/>
          <w:highlight w:val="none"/>
          <w:lang w:val="en-US" w:eastAsia="zh-CN"/>
          <w14:textFill>
            <w14:solidFill>
              <w14:schemeClr w14:val="tx1"/>
            </w14:solidFill>
          </w14:textFill>
        </w:rPr>
        <w:t>6</w:t>
      </w:r>
      <w:r>
        <w:rPr>
          <w:rFonts w:hint="eastAsia" w:ascii="Times New Roman" w:hAnsi="Times New Roman" w:eastAsia="宋体" w:cs="宋体"/>
          <w:bCs/>
          <w:color w:val="000000" w:themeColor="text1"/>
          <w:spacing w:val="0"/>
          <w:szCs w:val="21"/>
          <w:highlight w:val="none"/>
          <w14:textFill>
            <w14:solidFill>
              <w14:schemeClr w14:val="tx1"/>
            </w14:solidFill>
          </w14:textFill>
        </w:rPr>
        <w:t>.5排名第一的成交候选人放弃成交，采购人可以按照评审报告推荐的成交候选人名单排序，依法确定下一候选人为成交</w:t>
      </w:r>
      <w:r>
        <w:rPr>
          <w:rFonts w:hint="eastAsia" w:ascii="Times New Roman" w:hAnsi="Times New Roman" w:eastAsia="宋体" w:cs="宋体"/>
          <w:color w:val="000000" w:themeColor="text1"/>
          <w:spacing w:val="0"/>
          <w:szCs w:val="21"/>
          <w:highlight w:val="none"/>
          <w14:textFill>
            <w14:solidFill>
              <w14:schemeClr w14:val="tx1"/>
            </w14:solidFill>
          </w14:textFill>
        </w:rPr>
        <w:t>供应商</w:t>
      </w:r>
      <w:r>
        <w:rPr>
          <w:rFonts w:hint="eastAsia" w:ascii="Times New Roman" w:hAnsi="Times New Roman" w:eastAsia="宋体" w:cs="宋体"/>
          <w:bCs/>
          <w:color w:val="000000" w:themeColor="text1"/>
          <w:spacing w:val="0"/>
          <w:szCs w:val="21"/>
          <w:highlight w:val="none"/>
          <w14:textFill>
            <w14:solidFill>
              <w14:schemeClr w14:val="tx1"/>
            </w14:solidFill>
          </w14:textFill>
        </w:rPr>
        <w:t>，也可以重新开展政府采购活动</w:t>
      </w:r>
      <w:r>
        <w:rPr>
          <w:rFonts w:hint="eastAsia" w:ascii="Times New Roman" w:hAnsi="Times New Roman" w:eastAsia="宋体" w:cs="宋体"/>
          <w:color w:val="000000" w:themeColor="text1"/>
          <w:spacing w:val="0"/>
          <w:szCs w:val="21"/>
          <w:highlight w:val="none"/>
          <w14:textFill>
            <w14:solidFill>
              <w14:schemeClr w14:val="tx1"/>
            </w14:solidFill>
          </w14:textFill>
        </w:rPr>
        <w:t>。</w:t>
      </w:r>
    </w:p>
    <w:p w14:paraId="49AF13D5">
      <w:pPr>
        <w:pageBreakBefore w:val="0"/>
        <w:widowControl w:val="0"/>
        <w:kinsoku/>
        <w:wordWrap/>
        <w:overflowPunct/>
        <w:topLinePunct w:val="0"/>
        <w:autoSpaceDE/>
        <w:autoSpaceDN/>
        <w:bidi w:val="0"/>
        <w:spacing w:line="360" w:lineRule="auto"/>
        <w:outlineLvl w:val="2"/>
        <w:rPr>
          <w:rFonts w:hint="eastAsia" w:ascii="Times New Roman" w:hAnsi="Times New Roman" w:eastAsia="宋体" w:cs="宋体"/>
          <w:b/>
          <w:bCs/>
          <w:color w:val="000000" w:themeColor="text1"/>
          <w:spacing w:val="0"/>
          <w:sz w:val="21"/>
          <w:szCs w:val="21"/>
          <w:highlight w:val="none"/>
          <w14:textFill>
            <w14:solidFill>
              <w14:schemeClr w14:val="tx1"/>
            </w14:solidFill>
          </w14:textFill>
        </w:rPr>
      </w:pPr>
      <w:bookmarkStart w:id="138" w:name="_Toc22721"/>
      <w:r>
        <w:rPr>
          <w:rFonts w:hint="eastAsia" w:ascii="Times New Roman" w:hAnsi="Times New Roman" w:eastAsia="宋体" w:cs="宋体"/>
          <w:b/>
          <w:bCs/>
          <w:color w:val="000000" w:themeColor="text1"/>
          <w:spacing w:val="0"/>
          <w:sz w:val="21"/>
          <w:szCs w:val="21"/>
          <w:highlight w:val="none"/>
          <w14:textFill>
            <w14:solidFill>
              <w14:schemeClr w14:val="tx1"/>
            </w14:solidFill>
          </w14:textFill>
        </w:rPr>
        <w:t>2</w:t>
      </w:r>
      <w:r>
        <w:rPr>
          <w:rFonts w:hint="eastAsia" w:ascii="Times New Roman" w:hAnsi="Times New Roman" w:eastAsia="宋体" w:cs="宋体"/>
          <w:b/>
          <w:bCs/>
          <w:color w:val="000000" w:themeColor="text1"/>
          <w:spacing w:val="0"/>
          <w:sz w:val="21"/>
          <w:szCs w:val="21"/>
          <w:highlight w:val="none"/>
          <w:lang w:val="en-US" w:eastAsia="zh-CN"/>
          <w14:textFill>
            <w14:solidFill>
              <w14:schemeClr w14:val="tx1"/>
            </w14:solidFill>
          </w14:textFill>
        </w:rPr>
        <w:t>7</w:t>
      </w:r>
      <w:r>
        <w:rPr>
          <w:rFonts w:hint="eastAsia" w:ascii="Times New Roman" w:hAnsi="Times New Roman" w:eastAsia="宋体" w:cs="宋体"/>
          <w:b/>
          <w:bCs/>
          <w:color w:val="000000" w:themeColor="text1"/>
          <w:spacing w:val="0"/>
          <w:sz w:val="21"/>
          <w:szCs w:val="21"/>
          <w:highlight w:val="none"/>
          <w14:textFill>
            <w14:solidFill>
              <w14:schemeClr w14:val="tx1"/>
            </w14:solidFill>
          </w14:textFill>
        </w:rPr>
        <w:t>.履约保证金</w:t>
      </w:r>
      <w:bookmarkEnd w:id="138"/>
    </w:p>
    <w:p w14:paraId="3D91F84E">
      <w:pPr>
        <w:pageBreakBefore w:val="0"/>
        <w:widowControl w:val="0"/>
        <w:kinsoku/>
        <w:wordWrap/>
        <w:overflowPunct/>
        <w:topLinePunct w:val="0"/>
        <w:autoSpaceDE/>
        <w:autoSpaceDN/>
        <w:bidi w:val="0"/>
        <w:spacing w:line="360" w:lineRule="auto"/>
        <w:ind w:firstLine="424" w:firstLineChars="202"/>
        <w:rPr>
          <w:rFonts w:hint="eastAsia" w:ascii="Times New Roman" w:hAnsi="Times New Roman" w:eastAsia="宋体" w:cs="宋体"/>
          <w:color w:val="000000" w:themeColor="text1"/>
          <w:spacing w:val="0"/>
          <w:szCs w:val="21"/>
          <w:highlight w:val="none"/>
          <w14:textFill>
            <w14:solidFill>
              <w14:schemeClr w14:val="tx1"/>
            </w14:solidFill>
          </w14:textFill>
        </w:rPr>
      </w:pPr>
      <w:r>
        <w:rPr>
          <w:rFonts w:hint="eastAsia" w:ascii="Times New Roman" w:hAnsi="Times New Roman" w:eastAsia="宋体" w:cs="宋体"/>
          <w:color w:val="000000" w:themeColor="text1"/>
          <w:spacing w:val="0"/>
          <w:szCs w:val="21"/>
          <w:highlight w:val="none"/>
          <w14:textFill>
            <w14:solidFill>
              <w14:schemeClr w14:val="tx1"/>
            </w14:solidFill>
          </w14:textFill>
        </w:rPr>
        <w:t>2</w:t>
      </w:r>
      <w:r>
        <w:rPr>
          <w:rFonts w:hint="eastAsia" w:ascii="Times New Roman" w:hAnsi="Times New Roman" w:eastAsia="宋体" w:cs="宋体"/>
          <w:color w:val="000000" w:themeColor="text1"/>
          <w:spacing w:val="0"/>
          <w:szCs w:val="21"/>
          <w:highlight w:val="none"/>
          <w:lang w:val="en-US" w:eastAsia="zh-CN"/>
          <w14:textFill>
            <w14:solidFill>
              <w14:schemeClr w14:val="tx1"/>
            </w14:solidFill>
          </w14:textFill>
        </w:rPr>
        <w:t>7</w:t>
      </w:r>
      <w:r>
        <w:rPr>
          <w:rFonts w:hint="eastAsia" w:ascii="Times New Roman" w:hAnsi="Times New Roman" w:eastAsia="宋体" w:cs="宋体"/>
          <w:color w:val="000000" w:themeColor="text1"/>
          <w:spacing w:val="0"/>
          <w:szCs w:val="21"/>
          <w:highlight w:val="none"/>
          <w14:textFill>
            <w14:solidFill>
              <w14:schemeClr w14:val="tx1"/>
            </w14:solidFill>
          </w14:textFill>
        </w:rPr>
        <w:t>.1 履约保证金的金额、提交方式、退付的时间和条件详见</w:t>
      </w:r>
      <w:r>
        <w:rPr>
          <w:rFonts w:hint="eastAsia" w:ascii="Times New Roman" w:hAnsi="Times New Roman" w:eastAsia="宋体" w:cs="宋体"/>
          <w:color w:val="000000" w:themeColor="text1"/>
          <w:spacing w:val="0"/>
          <w:szCs w:val="21"/>
          <w:highlight w:val="none"/>
          <w:lang w:eastAsia="zh-CN"/>
          <w14:textFill>
            <w14:solidFill>
              <w14:schemeClr w14:val="tx1"/>
            </w14:solidFill>
          </w14:textFill>
        </w:rPr>
        <w:t>“</w:t>
      </w:r>
      <w:r>
        <w:rPr>
          <w:rFonts w:hint="eastAsia" w:ascii="Times New Roman" w:hAnsi="Times New Roman" w:eastAsia="宋体" w:cs="宋体"/>
          <w:color w:val="000000" w:themeColor="text1"/>
          <w:spacing w:val="0"/>
          <w:szCs w:val="21"/>
          <w:highlight w:val="none"/>
          <w14:textFill>
            <w14:solidFill>
              <w14:schemeClr w14:val="tx1"/>
            </w14:solidFill>
          </w14:textFill>
        </w:rPr>
        <w:t>供应商须知前附表</w:t>
      </w:r>
      <w:r>
        <w:rPr>
          <w:rFonts w:hint="eastAsia" w:ascii="Times New Roman" w:hAnsi="Times New Roman" w:eastAsia="宋体" w:cs="宋体"/>
          <w:color w:val="000000" w:themeColor="text1"/>
          <w:spacing w:val="0"/>
          <w:szCs w:val="21"/>
          <w:highlight w:val="none"/>
          <w:lang w:eastAsia="zh-CN"/>
          <w14:textFill>
            <w14:solidFill>
              <w14:schemeClr w14:val="tx1"/>
            </w14:solidFill>
          </w14:textFill>
        </w:rPr>
        <w:t>”</w:t>
      </w:r>
      <w:r>
        <w:rPr>
          <w:rFonts w:hint="eastAsia" w:ascii="Times New Roman" w:hAnsi="Times New Roman" w:eastAsia="宋体" w:cs="宋体"/>
          <w:color w:val="000000" w:themeColor="text1"/>
          <w:spacing w:val="0"/>
          <w:szCs w:val="21"/>
          <w:highlight w:val="none"/>
          <w14:textFill>
            <w14:solidFill>
              <w14:schemeClr w14:val="tx1"/>
            </w14:solidFill>
          </w14:textFill>
        </w:rPr>
        <w:t>。成交供应商未按规定提交履约保证金的，视为拒绝</w:t>
      </w:r>
      <w:r>
        <w:rPr>
          <w:rFonts w:hint="eastAsia" w:ascii="Times New Roman" w:hAnsi="Times New Roman" w:eastAsia="宋体" w:cs="宋体"/>
          <w:color w:val="000000" w:themeColor="text1"/>
          <w:spacing w:val="0"/>
          <w:highlight w:val="none"/>
          <w14:textFill>
            <w14:solidFill>
              <w14:schemeClr w14:val="tx1"/>
            </w14:solidFill>
          </w14:textFill>
        </w:rPr>
        <w:t>与采购人</w:t>
      </w:r>
      <w:r>
        <w:rPr>
          <w:rFonts w:hint="eastAsia" w:ascii="Times New Roman" w:hAnsi="Times New Roman" w:eastAsia="宋体" w:cs="宋体"/>
          <w:color w:val="000000" w:themeColor="text1"/>
          <w:spacing w:val="0"/>
          <w:szCs w:val="21"/>
          <w:highlight w:val="none"/>
          <w14:textFill>
            <w14:solidFill>
              <w14:schemeClr w14:val="tx1"/>
            </w14:solidFill>
          </w14:textFill>
        </w:rPr>
        <w:t>签订合同，采购人可以按照评审报告推荐的成交候选人名单排序，依法确定下一候选人为成交供应商，也可以重新开展政府采购活动。</w:t>
      </w:r>
    </w:p>
    <w:p w14:paraId="725534EF">
      <w:pPr>
        <w:pageBreakBefore w:val="0"/>
        <w:widowControl w:val="0"/>
        <w:kinsoku/>
        <w:wordWrap/>
        <w:overflowPunct/>
        <w:topLinePunct w:val="0"/>
        <w:autoSpaceDE/>
        <w:autoSpaceDN/>
        <w:bidi w:val="0"/>
        <w:spacing w:line="360" w:lineRule="auto"/>
        <w:ind w:firstLine="424" w:firstLineChars="202"/>
        <w:rPr>
          <w:rFonts w:hint="eastAsia" w:ascii="Times New Roman" w:hAnsi="Times New Roman" w:eastAsia="宋体" w:cs="宋体"/>
          <w:color w:val="000000" w:themeColor="text1"/>
          <w:spacing w:val="0"/>
          <w:szCs w:val="21"/>
          <w:highlight w:val="none"/>
          <w14:textFill>
            <w14:solidFill>
              <w14:schemeClr w14:val="tx1"/>
            </w14:solidFill>
          </w14:textFill>
        </w:rPr>
      </w:pPr>
      <w:r>
        <w:rPr>
          <w:rFonts w:hint="eastAsia" w:ascii="Times New Roman" w:hAnsi="Times New Roman" w:eastAsia="宋体" w:cs="宋体"/>
          <w:color w:val="000000" w:themeColor="text1"/>
          <w:spacing w:val="0"/>
          <w:szCs w:val="21"/>
          <w:highlight w:val="none"/>
          <w14:textFill>
            <w14:solidFill>
              <w14:schemeClr w14:val="tx1"/>
            </w14:solidFill>
          </w14:textFill>
        </w:rPr>
        <w:t>2</w:t>
      </w:r>
      <w:r>
        <w:rPr>
          <w:rFonts w:hint="eastAsia" w:ascii="Times New Roman" w:hAnsi="Times New Roman" w:eastAsia="宋体" w:cs="宋体"/>
          <w:color w:val="000000" w:themeColor="text1"/>
          <w:spacing w:val="0"/>
          <w:szCs w:val="21"/>
          <w:highlight w:val="none"/>
          <w:lang w:val="en-US" w:eastAsia="zh-CN"/>
          <w14:textFill>
            <w14:solidFill>
              <w14:schemeClr w14:val="tx1"/>
            </w14:solidFill>
          </w14:textFill>
        </w:rPr>
        <w:t>7</w:t>
      </w:r>
      <w:r>
        <w:rPr>
          <w:rFonts w:hint="eastAsia" w:ascii="Times New Roman" w:hAnsi="Times New Roman" w:eastAsia="宋体" w:cs="宋体"/>
          <w:color w:val="000000" w:themeColor="text1"/>
          <w:spacing w:val="0"/>
          <w:szCs w:val="21"/>
          <w:highlight w:val="none"/>
          <w14:textFill>
            <w14:solidFill>
              <w14:schemeClr w14:val="tx1"/>
            </w14:solidFill>
          </w14:textFill>
        </w:rPr>
        <w:t>.2签订合同后，如成交供应商不按双方签订的合同规定履约，则没收其全部履约保证金，履约保证金不足以赔偿损失的，按实际损失赔偿。</w:t>
      </w:r>
    </w:p>
    <w:p w14:paraId="1C6E9AF8">
      <w:pPr>
        <w:pageBreakBefore w:val="0"/>
        <w:widowControl w:val="0"/>
        <w:kinsoku/>
        <w:wordWrap/>
        <w:overflowPunct/>
        <w:topLinePunct w:val="0"/>
        <w:autoSpaceDE/>
        <w:autoSpaceDN/>
        <w:bidi w:val="0"/>
        <w:spacing w:line="360" w:lineRule="auto"/>
        <w:ind w:firstLine="424" w:firstLineChars="202"/>
        <w:rPr>
          <w:rFonts w:hint="eastAsia" w:ascii="Times New Roman" w:hAnsi="Times New Roman" w:eastAsia="宋体" w:cs="宋体"/>
          <w:color w:val="000000" w:themeColor="text1"/>
          <w:spacing w:val="0"/>
          <w:szCs w:val="21"/>
          <w:highlight w:val="none"/>
          <w14:textFill>
            <w14:solidFill>
              <w14:schemeClr w14:val="tx1"/>
            </w14:solidFill>
          </w14:textFill>
        </w:rPr>
      </w:pPr>
      <w:r>
        <w:rPr>
          <w:rFonts w:hint="eastAsia" w:ascii="Times New Roman" w:hAnsi="Times New Roman" w:eastAsia="宋体" w:cs="宋体"/>
          <w:color w:val="000000" w:themeColor="text1"/>
          <w:spacing w:val="0"/>
          <w:szCs w:val="21"/>
          <w:highlight w:val="none"/>
          <w14:textFill>
            <w14:solidFill>
              <w14:schemeClr w14:val="tx1"/>
            </w14:solidFill>
          </w14:textFill>
        </w:rPr>
        <w:t>2</w:t>
      </w:r>
      <w:r>
        <w:rPr>
          <w:rFonts w:hint="eastAsia" w:ascii="Times New Roman" w:hAnsi="Times New Roman" w:eastAsia="宋体" w:cs="宋体"/>
          <w:color w:val="000000" w:themeColor="text1"/>
          <w:spacing w:val="0"/>
          <w:szCs w:val="21"/>
          <w:highlight w:val="none"/>
          <w:lang w:val="en-US" w:eastAsia="zh-CN"/>
          <w14:textFill>
            <w14:solidFill>
              <w14:schemeClr w14:val="tx1"/>
            </w14:solidFill>
          </w14:textFill>
        </w:rPr>
        <w:t>7</w:t>
      </w:r>
      <w:r>
        <w:rPr>
          <w:rFonts w:hint="eastAsia" w:ascii="Times New Roman" w:hAnsi="Times New Roman" w:eastAsia="宋体" w:cs="宋体"/>
          <w:color w:val="000000" w:themeColor="text1"/>
          <w:spacing w:val="0"/>
          <w:szCs w:val="21"/>
          <w:highlight w:val="none"/>
          <w14:textFill>
            <w14:solidFill>
              <w14:schemeClr w14:val="tx1"/>
            </w14:solidFill>
          </w14:textFill>
        </w:rPr>
        <w:t>.3在履约保证金退还日期前，若成交供应商的开户名称、开户银行、账号有变动的，请以书面形式通知履约保证金收取单位，否则由此产生的后果由成交供应商自行承担。</w:t>
      </w:r>
    </w:p>
    <w:p w14:paraId="7F53793D">
      <w:pPr>
        <w:pageBreakBefore w:val="0"/>
        <w:widowControl w:val="0"/>
        <w:kinsoku/>
        <w:wordWrap/>
        <w:overflowPunct/>
        <w:topLinePunct w:val="0"/>
        <w:autoSpaceDE/>
        <w:autoSpaceDN/>
        <w:bidi w:val="0"/>
        <w:spacing w:line="360" w:lineRule="auto"/>
        <w:outlineLvl w:val="2"/>
        <w:rPr>
          <w:rFonts w:hint="eastAsia" w:ascii="Times New Roman" w:hAnsi="Times New Roman" w:eastAsia="宋体" w:cs="宋体"/>
          <w:b/>
          <w:bCs/>
          <w:color w:val="000000" w:themeColor="text1"/>
          <w:spacing w:val="0"/>
          <w:sz w:val="21"/>
          <w:szCs w:val="21"/>
          <w:highlight w:val="none"/>
          <w14:textFill>
            <w14:solidFill>
              <w14:schemeClr w14:val="tx1"/>
            </w14:solidFill>
          </w14:textFill>
        </w:rPr>
      </w:pPr>
      <w:bookmarkStart w:id="139" w:name="_Toc9845"/>
      <w:r>
        <w:rPr>
          <w:rFonts w:hint="eastAsia" w:ascii="Times New Roman" w:hAnsi="Times New Roman" w:eastAsia="宋体" w:cs="宋体"/>
          <w:b/>
          <w:bCs/>
          <w:color w:val="000000" w:themeColor="text1"/>
          <w:spacing w:val="0"/>
          <w:sz w:val="21"/>
          <w:szCs w:val="21"/>
          <w:highlight w:val="none"/>
          <w14:textFill>
            <w14:solidFill>
              <w14:schemeClr w14:val="tx1"/>
            </w14:solidFill>
          </w14:textFill>
        </w:rPr>
        <w:t>2</w:t>
      </w:r>
      <w:r>
        <w:rPr>
          <w:rFonts w:hint="eastAsia" w:ascii="Times New Roman" w:hAnsi="Times New Roman" w:eastAsia="宋体" w:cs="宋体"/>
          <w:b/>
          <w:bCs/>
          <w:color w:val="000000" w:themeColor="text1"/>
          <w:spacing w:val="0"/>
          <w:sz w:val="21"/>
          <w:szCs w:val="21"/>
          <w:highlight w:val="none"/>
          <w:lang w:val="en-US" w:eastAsia="zh-CN"/>
          <w14:textFill>
            <w14:solidFill>
              <w14:schemeClr w14:val="tx1"/>
            </w14:solidFill>
          </w14:textFill>
        </w:rPr>
        <w:t>8</w:t>
      </w:r>
      <w:r>
        <w:rPr>
          <w:rFonts w:hint="eastAsia" w:ascii="Times New Roman" w:hAnsi="Times New Roman" w:eastAsia="宋体" w:cs="宋体"/>
          <w:b/>
          <w:bCs/>
          <w:color w:val="000000" w:themeColor="text1"/>
          <w:spacing w:val="0"/>
          <w:sz w:val="21"/>
          <w:szCs w:val="21"/>
          <w:highlight w:val="none"/>
          <w14:textFill>
            <w14:solidFill>
              <w14:schemeClr w14:val="tx1"/>
            </w14:solidFill>
          </w14:textFill>
        </w:rPr>
        <w:t>.签订合同</w:t>
      </w:r>
      <w:bookmarkEnd w:id="139"/>
    </w:p>
    <w:p w14:paraId="1EDE32A5">
      <w:pPr>
        <w:pStyle w:val="73"/>
        <w:pageBreakBefore w:val="0"/>
        <w:widowControl w:val="0"/>
        <w:kinsoku/>
        <w:wordWrap/>
        <w:overflowPunct/>
        <w:topLinePunct w:val="0"/>
        <w:autoSpaceDE/>
        <w:autoSpaceDN/>
        <w:bidi w:val="0"/>
        <w:snapToGrid w:val="0"/>
        <w:spacing w:before="0" w:line="360" w:lineRule="auto"/>
        <w:ind w:firstLine="420"/>
        <w:rPr>
          <w:rFonts w:hint="eastAsia" w:ascii="Times New Roman" w:hAnsi="Times New Roman" w:eastAsia="宋体" w:cs="宋体"/>
          <w:color w:val="000000" w:themeColor="text1"/>
          <w:spacing w:val="0"/>
          <w:sz w:val="21"/>
          <w:szCs w:val="21"/>
          <w:highlight w:val="none"/>
          <w:lang w:val="zh-CN"/>
          <w14:textFill>
            <w14:solidFill>
              <w14:schemeClr w14:val="tx1"/>
            </w14:solidFill>
          </w14:textFill>
        </w:rPr>
      </w:pPr>
      <w:r>
        <w:rPr>
          <w:rFonts w:hint="eastAsia" w:ascii="Times New Roman" w:hAnsi="Times New Roman" w:eastAsia="宋体" w:cs="宋体"/>
          <w:color w:val="000000" w:themeColor="text1"/>
          <w:spacing w:val="0"/>
          <w:sz w:val="21"/>
          <w:szCs w:val="21"/>
          <w:highlight w:val="none"/>
          <w14:textFill>
            <w14:solidFill>
              <w14:schemeClr w14:val="tx1"/>
            </w14:solidFill>
          </w14:textFill>
        </w:rPr>
        <w:t>2</w:t>
      </w:r>
      <w:r>
        <w:rPr>
          <w:rFonts w:hint="eastAsia" w:ascii="Times New Roman" w:hAnsi="Times New Roman" w:eastAsia="宋体" w:cs="宋体"/>
          <w:color w:val="000000" w:themeColor="text1"/>
          <w:spacing w:val="0"/>
          <w:sz w:val="21"/>
          <w:szCs w:val="21"/>
          <w:highlight w:val="none"/>
          <w:lang w:val="en-US" w:eastAsia="zh-CN"/>
          <w14:textFill>
            <w14:solidFill>
              <w14:schemeClr w14:val="tx1"/>
            </w14:solidFill>
          </w14:textFill>
        </w:rPr>
        <w:t>8</w:t>
      </w:r>
      <w:r>
        <w:rPr>
          <w:rFonts w:hint="eastAsia" w:ascii="Times New Roman" w:hAnsi="Times New Roman" w:eastAsia="宋体" w:cs="宋体"/>
          <w:color w:val="000000" w:themeColor="text1"/>
          <w:spacing w:val="0"/>
          <w:sz w:val="21"/>
          <w:szCs w:val="21"/>
          <w:highlight w:val="none"/>
          <w14:textFill>
            <w14:solidFill>
              <w14:schemeClr w14:val="tx1"/>
            </w14:solidFill>
          </w14:textFill>
        </w:rPr>
        <w:t>.1采购人与成交供应商应当在成交通知书规定的时间内，按照磋商文件确定的合同文本以及采购标的、服务技术、采购金额、采购数量、技术和服务要求等事项签订政府采购合同。</w:t>
      </w:r>
      <w:r>
        <w:rPr>
          <w:rFonts w:hint="eastAsia" w:ascii="Times New Roman" w:hAnsi="Times New Roman" w:eastAsia="宋体" w:cs="宋体"/>
          <w:color w:val="000000" w:themeColor="text1"/>
          <w:spacing w:val="0"/>
          <w:sz w:val="21"/>
          <w:szCs w:val="21"/>
          <w:highlight w:val="none"/>
          <w:lang w:val="zh-CN"/>
          <w14:textFill>
            <w14:solidFill>
              <w14:schemeClr w14:val="tx1"/>
            </w14:solidFill>
          </w14:textFill>
        </w:rPr>
        <w:t>如成交供应商为联合体的，由联合体成员各方法定代表人或其授权代表与采购人代表签订合同。</w:t>
      </w:r>
    </w:p>
    <w:p w14:paraId="24DDD3C5">
      <w:pPr>
        <w:pageBreakBefore w:val="0"/>
        <w:widowControl w:val="0"/>
        <w:kinsoku/>
        <w:wordWrap/>
        <w:overflowPunct/>
        <w:topLinePunct w:val="0"/>
        <w:autoSpaceDE/>
        <w:autoSpaceDN/>
        <w:bidi w:val="0"/>
        <w:spacing w:line="360" w:lineRule="auto"/>
        <w:ind w:firstLine="420" w:firstLineChars="200"/>
        <w:rPr>
          <w:rFonts w:hint="eastAsia" w:ascii="Times New Roman" w:hAnsi="Times New Roman" w:eastAsia="宋体" w:cs="宋体"/>
          <w:color w:val="000000" w:themeColor="text1"/>
          <w:spacing w:val="0"/>
          <w:szCs w:val="21"/>
          <w:highlight w:val="none"/>
          <w14:textFill>
            <w14:solidFill>
              <w14:schemeClr w14:val="tx1"/>
            </w14:solidFill>
          </w14:textFill>
        </w:rPr>
      </w:pPr>
      <w:r>
        <w:rPr>
          <w:rFonts w:hint="eastAsia" w:ascii="Times New Roman" w:hAnsi="Times New Roman" w:eastAsia="宋体" w:cs="宋体"/>
          <w:color w:val="000000" w:themeColor="text1"/>
          <w:spacing w:val="0"/>
          <w:szCs w:val="21"/>
          <w:highlight w:val="none"/>
          <w14:textFill>
            <w14:solidFill>
              <w14:schemeClr w14:val="tx1"/>
            </w14:solidFill>
          </w14:textFill>
        </w:rPr>
        <w:t>2</w:t>
      </w:r>
      <w:r>
        <w:rPr>
          <w:rFonts w:hint="eastAsia" w:ascii="Times New Roman" w:hAnsi="Times New Roman" w:eastAsia="宋体" w:cs="宋体"/>
          <w:color w:val="000000" w:themeColor="text1"/>
          <w:spacing w:val="0"/>
          <w:szCs w:val="21"/>
          <w:highlight w:val="none"/>
          <w:lang w:val="en-US" w:eastAsia="zh-CN"/>
          <w14:textFill>
            <w14:solidFill>
              <w14:schemeClr w14:val="tx1"/>
            </w14:solidFill>
          </w14:textFill>
        </w:rPr>
        <w:t>8</w:t>
      </w:r>
      <w:r>
        <w:rPr>
          <w:rFonts w:hint="eastAsia" w:ascii="Times New Roman" w:hAnsi="Times New Roman" w:eastAsia="宋体" w:cs="宋体"/>
          <w:color w:val="000000" w:themeColor="text1"/>
          <w:spacing w:val="0"/>
          <w:szCs w:val="21"/>
          <w:highlight w:val="none"/>
          <w14:textFill>
            <w14:solidFill>
              <w14:schemeClr w14:val="tx1"/>
            </w14:solidFill>
          </w14:textFill>
        </w:rPr>
        <w:t>.2采购人不得向成交供应商提出超出磋商文件以外的任何要求作为签订合同的条件，不得与成交供应商订立背离磋商文件确定的合同文本以及采购标的、服务技术、采购金额、采购数量、技术和服务要求等实质性内容的协议。</w:t>
      </w:r>
    </w:p>
    <w:p w14:paraId="401B6411">
      <w:pPr>
        <w:pageBreakBefore w:val="0"/>
        <w:widowControl w:val="0"/>
        <w:kinsoku/>
        <w:wordWrap/>
        <w:overflowPunct/>
        <w:topLinePunct w:val="0"/>
        <w:autoSpaceDE/>
        <w:autoSpaceDN/>
        <w:bidi w:val="0"/>
        <w:spacing w:line="360" w:lineRule="auto"/>
        <w:ind w:firstLine="420" w:firstLineChars="200"/>
        <w:rPr>
          <w:rFonts w:hint="eastAsia" w:ascii="Times New Roman" w:hAnsi="Times New Roman" w:eastAsia="宋体" w:cs="宋体"/>
          <w:color w:val="000000" w:themeColor="text1"/>
          <w:spacing w:val="0"/>
          <w:szCs w:val="21"/>
          <w:highlight w:val="none"/>
          <w14:textFill>
            <w14:solidFill>
              <w14:schemeClr w14:val="tx1"/>
            </w14:solidFill>
          </w14:textFill>
        </w:rPr>
      </w:pPr>
      <w:r>
        <w:rPr>
          <w:rFonts w:hint="eastAsia" w:ascii="Times New Roman" w:hAnsi="Times New Roman" w:eastAsia="宋体" w:cs="宋体"/>
          <w:color w:val="000000" w:themeColor="text1"/>
          <w:spacing w:val="0"/>
          <w:szCs w:val="21"/>
          <w:highlight w:val="none"/>
          <w14:textFill>
            <w14:solidFill>
              <w14:schemeClr w14:val="tx1"/>
            </w14:solidFill>
          </w14:textFill>
        </w:rPr>
        <w:t>2</w:t>
      </w:r>
      <w:r>
        <w:rPr>
          <w:rFonts w:hint="eastAsia" w:ascii="Times New Roman" w:hAnsi="Times New Roman" w:eastAsia="宋体" w:cs="宋体"/>
          <w:color w:val="000000" w:themeColor="text1"/>
          <w:spacing w:val="0"/>
          <w:szCs w:val="21"/>
          <w:highlight w:val="none"/>
          <w:lang w:val="en-US" w:eastAsia="zh-CN"/>
          <w14:textFill>
            <w14:solidFill>
              <w14:schemeClr w14:val="tx1"/>
            </w14:solidFill>
          </w14:textFill>
        </w:rPr>
        <w:t>8</w:t>
      </w:r>
      <w:r>
        <w:rPr>
          <w:rFonts w:hint="eastAsia" w:ascii="Times New Roman" w:hAnsi="Times New Roman" w:eastAsia="宋体" w:cs="宋体"/>
          <w:color w:val="000000" w:themeColor="text1"/>
          <w:spacing w:val="0"/>
          <w:szCs w:val="21"/>
          <w:highlight w:val="none"/>
          <w14:textFill>
            <w14:solidFill>
              <w14:schemeClr w14:val="tx1"/>
            </w14:solidFill>
          </w14:textFill>
        </w:rPr>
        <w:t>.3成交供应商拒绝签订政府采购合同的，采购人可以按照评审报告推荐的成交候选人名单排序，依法确定下一候选人为成交供应商，也可以重新开展采购活动。拒绝签订政府采购合同的成交供应商不得参加对该项目重新开展的采购活动。</w:t>
      </w:r>
    </w:p>
    <w:p w14:paraId="5039F21A">
      <w:pPr>
        <w:pageBreakBefore w:val="0"/>
        <w:widowControl w:val="0"/>
        <w:kinsoku/>
        <w:wordWrap/>
        <w:overflowPunct/>
        <w:topLinePunct w:val="0"/>
        <w:autoSpaceDE/>
        <w:autoSpaceDN/>
        <w:bidi w:val="0"/>
        <w:spacing w:line="360" w:lineRule="auto"/>
        <w:ind w:firstLine="420" w:firstLineChars="200"/>
        <w:rPr>
          <w:rFonts w:hint="eastAsia" w:ascii="Times New Roman" w:hAnsi="Times New Roman" w:eastAsia="宋体" w:cs="宋体"/>
          <w:color w:val="000000" w:themeColor="text1"/>
          <w:spacing w:val="0"/>
          <w:szCs w:val="21"/>
          <w:highlight w:val="none"/>
          <w14:textFill>
            <w14:solidFill>
              <w14:schemeClr w14:val="tx1"/>
            </w14:solidFill>
          </w14:textFill>
        </w:rPr>
      </w:pPr>
      <w:r>
        <w:rPr>
          <w:rFonts w:hint="eastAsia" w:ascii="Times New Roman" w:hAnsi="Times New Roman" w:eastAsia="宋体" w:cs="宋体"/>
          <w:color w:val="000000" w:themeColor="text1"/>
          <w:spacing w:val="0"/>
          <w:szCs w:val="21"/>
          <w:highlight w:val="none"/>
          <w14:textFill>
            <w14:solidFill>
              <w14:schemeClr w14:val="tx1"/>
            </w14:solidFill>
          </w14:textFill>
        </w:rPr>
        <w:t>2</w:t>
      </w:r>
      <w:r>
        <w:rPr>
          <w:rFonts w:hint="eastAsia" w:ascii="Times New Roman" w:hAnsi="Times New Roman" w:eastAsia="宋体" w:cs="宋体"/>
          <w:color w:val="000000" w:themeColor="text1"/>
          <w:spacing w:val="0"/>
          <w:szCs w:val="21"/>
          <w:highlight w:val="none"/>
          <w:lang w:val="en-US" w:eastAsia="zh-CN"/>
          <w14:textFill>
            <w14:solidFill>
              <w14:schemeClr w14:val="tx1"/>
            </w14:solidFill>
          </w14:textFill>
        </w:rPr>
        <w:t>8</w:t>
      </w:r>
      <w:r>
        <w:rPr>
          <w:rFonts w:hint="eastAsia" w:ascii="Times New Roman" w:hAnsi="Times New Roman" w:eastAsia="宋体" w:cs="宋体"/>
          <w:color w:val="000000" w:themeColor="text1"/>
          <w:spacing w:val="0"/>
          <w:szCs w:val="21"/>
          <w:highlight w:val="none"/>
          <w14:textFill>
            <w14:solidFill>
              <w14:schemeClr w14:val="tx1"/>
            </w14:solidFill>
          </w14:textFill>
        </w:rPr>
        <w:t>.4如签订合同并生效后，供应商无故拒绝或延期，除按照合同条款处理外，列入不良行为记录，并给予通报。</w:t>
      </w:r>
    </w:p>
    <w:p w14:paraId="480CF059">
      <w:pPr>
        <w:pageBreakBefore w:val="0"/>
        <w:widowControl w:val="0"/>
        <w:kinsoku/>
        <w:wordWrap/>
        <w:overflowPunct/>
        <w:topLinePunct w:val="0"/>
        <w:autoSpaceDE/>
        <w:autoSpaceDN/>
        <w:bidi w:val="0"/>
        <w:spacing w:line="360" w:lineRule="auto"/>
        <w:ind w:firstLine="420" w:firstLineChars="200"/>
        <w:rPr>
          <w:rFonts w:hint="eastAsia" w:ascii="Times New Roman" w:hAnsi="Times New Roman" w:eastAsia="宋体" w:cs="宋体"/>
          <w:color w:val="000000" w:themeColor="text1"/>
          <w:spacing w:val="0"/>
          <w:szCs w:val="21"/>
          <w:highlight w:val="none"/>
          <w14:textFill>
            <w14:solidFill>
              <w14:schemeClr w14:val="tx1"/>
            </w14:solidFill>
          </w14:textFill>
        </w:rPr>
      </w:pPr>
      <w:r>
        <w:rPr>
          <w:rFonts w:hint="eastAsia" w:ascii="Times New Roman" w:hAnsi="Times New Roman" w:eastAsia="宋体" w:cs="宋体"/>
          <w:color w:val="000000" w:themeColor="text1"/>
          <w:spacing w:val="0"/>
          <w:szCs w:val="21"/>
          <w:highlight w:val="none"/>
          <w14:textFill>
            <w14:solidFill>
              <w14:schemeClr w14:val="tx1"/>
            </w14:solidFill>
          </w14:textFill>
        </w:rPr>
        <w:t>2</w:t>
      </w:r>
      <w:r>
        <w:rPr>
          <w:rFonts w:hint="eastAsia" w:ascii="Times New Roman" w:hAnsi="Times New Roman" w:eastAsia="宋体" w:cs="宋体"/>
          <w:color w:val="000000" w:themeColor="text1"/>
          <w:spacing w:val="0"/>
          <w:szCs w:val="21"/>
          <w:highlight w:val="none"/>
          <w:lang w:val="en-US" w:eastAsia="zh-CN"/>
          <w14:textFill>
            <w14:solidFill>
              <w14:schemeClr w14:val="tx1"/>
            </w14:solidFill>
          </w14:textFill>
        </w:rPr>
        <w:t>8</w:t>
      </w:r>
      <w:r>
        <w:rPr>
          <w:rFonts w:hint="eastAsia" w:ascii="Times New Roman" w:hAnsi="Times New Roman" w:eastAsia="宋体" w:cs="宋体"/>
          <w:color w:val="000000" w:themeColor="text1"/>
          <w:spacing w:val="0"/>
          <w:szCs w:val="21"/>
          <w:highlight w:val="none"/>
          <w14:textFill>
            <w14:solidFill>
              <w14:schemeClr w14:val="tx1"/>
            </w14:solidFill>
          </w14:textFill>
        </w:rPr>
        <w:t>.5采购合同由采购人与成交供应商根据磋商文件、响应文件等内容签订，成交供应商应当在签订合同时向采购人出示相关证明材料，具体内容详见 “供应商须知前附表”，经采购人核验合格后方可签订合同</w:t>
      </w:r>
      <w:r>
        <w:rPr>
          <w:rFonts w:hint="eastAsia" w:ascii="Times New Roman" w:hAnsi="Times New Roman" w:eastAsia="宋体" w:cs="宋体"/>
          <w:color w:val="000000" w:themeColor="text1"/>
          <w:spacing w:val="0"/>
          <w:szCs w:val="21"/>
          <w:highlight w:val="none"/>
          <w:lang w:eastAsia="zh-CN"/>
          <w14:textFill>
            <w14:solidFill>
              <w14:schemeClr w14:val="tx1"/>
            </w14:solidFill>
          </w14:textFill>
        </w:rPr>
        <w:t>。</w:t>
      </w:r>
    </w:p>
    <w:p w14:paraId="707F912D">
      <w:pPr>
        <w:pageBreakBefore w:val="0"/>
        <w:widowControl w:val="0"/>
        <w:kinsoku/>
        <w:wordWrap/>
        <w:overflowPunct/>
        <w:topLinePunct w:val="0"/>
        <w:autoSpaceDE/>
        <w:autoSpaceDN/>
        <w:bidi w:val="0"/>
        <w:spacing w:line="360" w:lineRule="auto"/>
        <w:outlineLvl w:val="2"/>
        <w:rPr>
          <w:rFonts w:hint="eastAsia" w:ascii="Times New Roman" w:hAnsi="Times New Roman" w:eastAsia="宋体" w:cs="宋体"/>
          <w:b/>
          <w:bCs/>
          <w:color w:val="000000" w:themeColor="text1"/>
          <w:spacing w:val="0"/>
          <w:sz w:val="21"/>
          <w:szCs w:val="21"/>
          <w:highlight w:val="none"/>
          <w14:textFill>
            <w14:solidFill>
              <w14:schemeClr w14:val="tx1"/>
            </w14:solidFill>
          </w14:textFill>
        </w:rPr>
      </w:pPr>
      <w:bookmarkStart w:id="140" w:name="_Toc31679"/>
      <w:r>
        <w:rPr>
          <w:rFonts w:hint="eastAsia" w:ascii="Times New Roman" w:hAnsi="Times New Roman" w:eastAsia="宋体" w:cs="宋体"/>
          <w:b/>
          <w:bCs/>
          <w:color w:val="000000" w:themeColor="text1"/>
          <w:spacing w:val="0"/>
          <w:sz w:val="21"/>
          <w:szCs w:val="21"/>
          <w:highlight w:val="none"/>
          <w:lang w:val="en-US" w:eastAsia="zh-CN"/>
          <w14:textFill>
            <w14:solidFill>
              <w14:schemeClr w14:val="tx1"/>
            </w14:solidFill>
          </w14:textFill>
        </w:rPr>
        <w:t>29</w:t>
      </w:r>
      <w:r>
        <w:rPr>
          <w:rFonts w:hint="eastAsia" w:ascii="Times New Roman" w:hAnsi="Times New Roman" w:eastAsia="宋体" w:cs="宋体"/>
          <w:b/>
          <w:bCs/>
          <w:color w:val="000000" w:themeColor="text1"/>
          <w:spacing w:val="0"/>
          <w:sz w:val="21"/>
          <w:szCs w:val="21"/>
          <w:highlight w:val="none"/>
          <w14:textFill>
            <w14:solidFill>
              <w14:schemeClr w14:val="tx1"/>
            </w14:solidFill>
          </w14:textFill>
        </w:rPr>
        <w:t>.政府采购合同公告</w:t>
      </w:r>
      <w:bookmarkEnd w:id="140"/>
    </w:p>
    <w:p w14:paraId="3961008E">
      <w:pPr>
        <w:pageBreakBefore w:val="0"/>
        <w:widowControl w:val="0"/>
        <w:kinsoku/>
        <w:wordWrap/>
        <w:overflowPunct/>
        <w:topLinePunct w:val="0"/>
        <w:autoSpaceDE/>
        <w:autoSpaceDN/>
        <w:bidi w:val="0"/>
        <w:spacing w:line="360" w:lineRule="auto"/>
        <w:ind w:firstLine="420" w:firstLineChars="200"/>
        <w:rPr>
          <w:rFonts w:hint="eastAsia" w:ascii="Times New Roman" w:hAnsi="Times New Roman" w:eastAsia="宋体" w:cs="宋体"/>
          <w:color w:val="000000" w:themeColor="text1"/>
          <w:spacing w:val="0"/>
          <w:highlight w:val="none"/>
          <w14:textFill>
            <w14:solidFill>
              <w14:schemeClr w14:val="tx1"/>
            </w14:solidFill>
          </w14:textFill>
        </w:rPr>
      </w:pPr>
      <w:r>
        <w:rPr>
          <w:rFonts w:hint="eastAsia" w:ascii="Times New Roman" w:hAnsi="Times New Roman" w:eastAsia="宋体" w:cs="宋体"/>
          <w:color w:val="000000" w:themeColor="text1"/>
          <w:spacing w:val="0"/>
          <w:szCs w:val="21"/>
          <w:highlight w:val="none"/>
          <w14:textFill>
            <w14:solidFill>
              <w14:schemeClr w14:val="tx1"/>
            </w14:solidFill>
          </w14:textFill>
        </w:rPr>
        <w:t>采购人应当自政府采购合同签订之日起2个工作日内，将政府采购合同在省级以上人民政府财政部门指定的媒体上公告，但政府采购合同中涉及国家秘密、商业秘密的内容除外</w:t>
      </w:r>
      <w:r>
        <w:rPr>
          <w:rFonts w:hint="eastAsia" w:ascii="Times New Roman" w:hAnsi="Times New Roman" w:eastAsia="宋体" w:cs="宋体"/>
          <w:color w:val="000000" w:themeColor="text1"/>
          <w:spacing w:val="0"/>
          <w:highlight w:val="none"/>
          <w14:textFill>
            <w14:solidFill>
              <w14:schemeClr w14:val="tx1"/>
            </w14:solidFill>
          </w14:textFill>
        </w:rPr>
        <w:t>。</w:t>
      </w:r>
    </w:p>
    <w:p w14:paraId="34E707AF">
      <w:pPr>
        <w:pageBreakBefore w:val="0"/>
        <w:widowControl w:val="0"/>
        <w:kinsoku/>
        <w:wordWrap/>
        <w:overflowPunct/>
        <w:topLinePunct w:val="0"/>
        <w:autoSpaceDE/>
        <w:autoSpaceDN/>
        <w:bidi w:val="0"/>
        <w:spacing w:line="360" w:lineRule="auto"/>
        <w:outlineLvl w:val="2"/>
        <w:rPr>
          <w:rFonts w:hint="eastAsia" w:ascii="Times New Roman" w:hAnsi="Times New Roman" w:eastAsia="宋体" w:cs="宋体"/>
          <w:b/>
          <w:bCs/>
          <w:color w:val="000000" w:themeColor="text1"/>
          <w:spacing w:val="0"/>
          <w:sz w:val="21"/>
          <w:szCs w:val="21"/>
          <w:highlight w:val="none"/>
          <w14:textFill>
            <w14:solidFill>
              <w14:schemeClr w14:val="tx1"/>
            </w14:solidFill>
          </w14:textFill>
        </w:rPr>
      </w:pPr>
      <w:bookmarkStart w:id="141" w:name="_Toc8671"/>
      <w:r>
        <w:rPr>
          <w:rFonts w:hint="eastAsia" w:ascii="Times New Roman" w:hAnsi="Times New Roman" w:eastAsia="宋体" w:cs="宋体"/>
          <w:b/>
          <w:bCs/>
          <w:color w:val="000000" w:themeColor="text1"/>
          <w:spacing w:val="0"/>
          <w:sz w:val="21"/>
          <w:szCs w:val="21"/>
          <w:highlight w:val="none"/>
          <w14:textFill>
            <w14:solidFill>
              <w14:schemeClr w14:val="tx1"/>
            </w14:solidFill>
          </w14:textFill>
        </w:rPr>
        <w:t>3</w:t>
      </w:r>
      <w:r>
        <w:rPr>
          <w:rFonts w:hint="eastAsia" w:ascii="Times New Roman" w:hAnsi="Times New Roman" w:eastAsia="宋体" w:cs="宋体"/>
          <w:b/>
          <w:bCs/>
          <w:color w:val="000000" w:themeColor="text1"/>
          <w:spacing w:val="0"/>
          <w:sz w:val="21"/>
          <w:szCs w:val="21"/>
          <w:highlight w:val="none"/>
          <w:lang w:val="en-US" w:eastAsia="zh-CN"/>
          <w14:textFill>
            <w14:solidFill>
              <w14:schemeClr w14:val="tx1"/>
            </w14:solidFill>
          </w14:textFill>
        </w:rPr>
        <w:t>0</w:t>
      </w:r>
      <w:r>
        <w:rPr>
          <w:rFonts w:hint="eastAsia" w:ascii="Times New Roman" w:hAnsi="Times New Roman" w:eastAsia="宋体" w:cs="宋体"/>
          <w:b/>
          <w:bCs/>
          <w:color w:val="000000" w:themeColor="text1"/>
          <w:spacing w:val="0"/>
          <w:sz w:val="21"/>
          <w:szCs w:val="21"/>
          <w:highlight w:val="none"/>
          <w14:textFill>
            <w14:solidFill>
              <w14:schemeClr w14:val="tx1"/>
            </w14:solidFill>
          </w14:textFill>
        </w:rPr>
        <w:t>.询问、质疑和投诉</w:t>
      </w:r>
      <w:bookmarkEnd w:id="141"/>
    </w:p>
    <w:p w14:paraId="1490C960">
      <w:pPr>
        <w:pageBreakBefore w:val="0"/>
        <w:widowControl w:val="0"/>
        <w:kinsoku/>
        <w:wordWrap/>
        <w:overflowPunct/>
        <w:topLinePunct w:val="0"/>
        <w:autoSpaceDE/>
        <w:autoSpaceDN/>
        <w:bidi w:val="0"/>
        <w:spacing w:line="360" w:lineRule="auto"/>
        <w:ind w:firstLine="420" w:firstLineChars="200"/>
        <w:rPr>
          <w:rFonts w:hint="eastAsia" w:ascii="Times New Roman" w:hAnsi="Times New Roman" w:eastAsia="宋体" w:cs="宋体"/>
          <w:color w:val="000000" w:themeColor="text1"/>
          <w:spacing w:val="0"/>
          <w:highlight w:val="none"/>
          <w14:textFill>
            <w14:solidFill>
              <w14:schemeClr w14:val="tx1"/>
            </w14:solidFill>
          </w14:textFill>
        </w:rPr>
      </w:pPr>
      <w:r>
        <w:rPr>
          <w:rFonts w:hint="eastAsia" w:ascii="Times New Roman" w:hAnsi="Times New Roman" w:eastAsia="宋体" w:cs="宋体"/>
          <w:color w:val="000000" w:themeColor="text1"/>
          <w:spacing w:val="0"/>
          <w:highlight w:val="none"/>
          <w14:textFill>
            <w14:solidFill>
              <w14:schemeClr w14:val="tx1"/>
            </w14:solidFill>
          </w14:textFill>
        </w:rPr>
        <w:t>3</w:t>
      </w:r>
      <w:r>
        <w:rPr>
          <w:rFonts w:hint="eastAsia" w:ascii="Times New Roman" w:hAnsi="Times New Roman" w:eastAsia="宋体" w:cs="宋体"/>
          <w:color w:val="000000" w:themeColor="text1"/>
          <w:spacing w:val="0"/>
          <w:highlight w:val="none"/>
          <w:lang w:val="en-US" w:eastAsia="zh-CN"/>
          <w14:textFill>
            <w14:solidFill>
              <w14:schemeClr w14:val="tx1"/>
            </w14:solidFill>
          </w14:textFill>
        </w:rPr>
        <w:t>0</w:t>
      </w:r>
      <w:r>
        <w:rPr>
          <w:rFonts w:hint="eastAsia" w:ascii="Times New Roman" w:hAnsi="Times New Roman" w:eastAsia="宋体" w:cs="宋体"/>
          <w:color w:val="000000" w:themeColor="text1"/>
          <w:spacing w:val="0"/>
          <w:highlight w:val="none"/>
          <w14:textFill>
            <w14:solidFill>
              <w14:schemeClr w14:val="tx1"/>
            </w14:solidFill>
          </w14:textFill>
        </w:rPr>
        <w:t>.1供应商对政府采购活动事项有疑问的，可以向采购人或者采购代理机构提出询问，采购人或者采购代理机构应当在3个工作日内对供应商依法提出的询问作出答复。</w:t>
      </w:r>
    </w:p>
    <w:p w14:paraId="69A015D5">
      <w:pPr>
        <w:pageBreakBefore w:val="0"/>
        <w:widowControl w:val="0"/>
        <w:kinsoku/>
        <w:wordWrap/>
        <w:overflowPunct/>
        <w:topLinePunct w:val="0"/>
        <w:autoSpaceDE/>
        <w:autoSpaceDN/>
        <w:bidi w:val="0"/>
        <w:spacing w:line="360" w:lineRule="auto"/>
        <w:ind w:firstLine="420" w:firstLineChars="200"/>
        <w:rPr>
          <w:rFonts w:hint="eastAsia" w:ascii="Times New Roman" w:hAnsi="Times New Roman" w:eastAsia="宋体" w:cs="宋体"/>
          <w:b/>
          <w:color w:val="000000" w:themeColor="text1"/>
          <w:spacing w:val="0"/>
          <w:szCs w:val="21"/>
          <w:highlight w:val="none"/>
          <w14:textFill>
            <w14:solidFill>
              <w14:schemeClr w14:val="tx1"/>
            </w14:solidFill>
          </w14:textFill>
        </w:rPr>
      </w:pPr>
      <w:r>
        <w:rPr>
          <w:rFonts w:hint="eastAsia" w:ascii="Times New Roman" w:hAnsi="Times New Roman" w:eastAsia="宋体" w:cs="宋体"/>
          <w:color w:val="000000" w:themeColor="text1"/>
          <w:spacing w:val="0"/>
          <w:highlight w:val="none"/>
          <w14:textFill>
            <w14:solidFill>
              <w14:schemeClr w14:val="tx1"/>
            </w14:solidFill>
          </w14:textFill>
        </w:rPr>
        <w:t>3</w:t>
      </w:r>
      <w:r>
        <w:rPr>
          <w:rFonts w:hint="eastAsia" w:ascii="Times New Roman" w:hAnsi="Times New Roman" w:eastAsia="宋体" w:cs="宋体"/>
          <w:color w:val="000000" w:themeColor="text1"/>
          <w:spacing w:val="0"/>
          <w:highlight w:val="none"/>
          <w:lang w:val="en-US" w:eastAsia="zh-CN"/>
          <w14:textFill>
            <w14:solidFill>
              <w14:schemeClr w14:val="tx1"/>
            </w14:solidFill>
          </w14:textFill>
        </w:rPr>
        <w:t>0</w:t>
      </w:r>
      <w:r>
        <w:rPr>
          <w:rFonts w:hint="eastAsia" w:ascii="Times New Roman" w:hAnsi="Times New Roman" w:eastAsia="宋体" w:cs="宋体"/>
          <w:color w:val="000000" w:themeColor="text1"/>
          <w:spacing w:val="0"/>
          <w:highlight w:val="none"/>
          <w14:textFill>
            <w14:solidFill>
              <w14:schemeClr w14:val="tx1"/>
            </w14:solidFill>
          </w14:textFill>
        </w:rPr>
        <w:t>.2供应商认为磋商文件、采购过程或者成交结果使自己的合法权益受到损害的，应当在知道或者应知其权益受到损害之日起7个工作日内，以书面形式向采购人或者采购代理机构提出质疑，</w:t>
      </w:r>
      <w:r>
        <w:rPr>
          <w:rFonts w:hint="eastAsia" w:ascii="Times New Roman" w:hAnsi="Times New Roman" w:eastAsia="宋体" w:cs="宋体"/>
          <w:color w:val="000000" w:themeColor="text1"/>
          <w:spacing w:val="0"/>
          <w:highlight w:val="none"/>
          <w:shd w:val="clear" w:color="auto" w:fill="FFFFFF"/>
          <w14:textFill>
            <w14:solidFill>
              <w14:schemeClr w14:val="tx1"/>
            </w14:solidFill>
          </w14:textFill>
        </w:rPr>
        <w:t>接收质疑函的方式、联系部门、联系电话和通讯地址等信息详见</w:t>
      </w:r>
      <w:r>
        <w:rPr>
          <w:rFonts w:hint="eastAsia" w:ascii="Times New Roman" w:hAnsi="Times New Roman" w:eastAsia="宋体" w:cs="宋体"/>
          <w:color w:val="000000" w:themeColor="text1"/>
          <w:spacing w:val="0"/>
          <w:szCs w:val="21"/>
          <w:highlight w:val="none"/>
          <w:lang w:eastAsia="zh-CN"/>
          <w14:textFill>
            <w14:solidFill>
              <w14:schemeClr w14:val="tx1"/>
            </w14:solidFill>
          </w14:textFill>
        </w:rPr>
        <w:t>“</w:t>
      </w:r>
      <w:r>
        <w:rPr>
          <w:rFonts w:hint="eastAsia" w:ascii="Times New Roman" w:hAnsi="Times New Roman" w:eastAsia="宋体" w:cs="宋体"/>
          <w:color w:val="000000" w:themeColor="text1"/>
          <w:spacing w:val="0"/>
          <w:szCs w:val="21"/>
          <w:highlight w:val="none"/>
          <w14:textFill>
            <w14:solidFill>
              <w14:schemeClr w14:val="tx1"/>
            </w14:solidFill>
          </w14:textFill>
        </w:rPr>
        <w:t>供应商须知前附表</w:t>
      </w:r>
      <w:r>
        <w:rPr>
          <w:rFonts w:hint="eastAsia" w:ascii="Times New Roman" w:hAnsi="Times New Roman" w:eastAsia="宋体" w:cs="宋体"/>
          <w:color w:val="000000" w:themeColor="text1"/>
          <w:spacing w:val="0"/>
          <w:szCs w:val="21"/>
          <w:highlight w:val="none"/>
          <w:lang w:eastAsia="zh-CN"/>
          <w14:textFill>
            <w14:solidFill>
              <w14:schemeClr w14:val="tx1"/>
            </w14:solidFill>
          </w14:textFill>
        </w:rPr>
        <w:t>”</w:t>
      </w:r>
      <w:r>
        <w:rPr>
          <w:rFonts w:hint="eastAsia" w:ascii="Times New Roman" w:hAnsi="Times New Roman" w:eastAsia="宋体" w:cs="宋体"/>
          <w:color w:val="000000" w:themeColor="text1"/>
          <w:spacing w:val="0"/>
          <w:highlight w:val="none"/>
          <w14:textFill>
            <w14:solidFill>
              <w14:schemeClr w14:val="tx1"/>
            </w14:solidFill>
          </w14:textFill>
        </w:rPr>
        <w:t>。</w:t>
      </w:r>
      <w:r>
        <w:rPr>
          <w:rFonts w:hint="eastAsia" w:ascii="Times New Roman" w:hAnsi="Times New Roman" w:eastAsia="宋体" w:cs="宋体"/>
          <w:b/>
          <w:color w:val="000000" w:themeColor="text1"/>
          <w:spacing w:val="0"/>
          <w:szCs w:val="21"/>
          <w:highlight w:val="none"/>
          <w14:textFill>
            <w14:solidFill>
              <w14:schemeClr w14:val="tx1"/>
            </w14:solidFill>
          </w14:textFill>
        </w:rPr>
        <w:t xml:space="preserve">具体质疑起算时间及处理方式如下： </w:t>
      </w:r>
    </w:p>
    <w:p w14:paraId="062C3E73">
      <w:pPr>
        <w:pageBreakBefore w:val="0"/>
        <w:widowControl w:val="0"/>
        <w:kinsoku/>
        <w:wordWrap/>
        <w:overflowPunct/>
        <w:topLinePunct w:val="0"/>
        <w:autoSpaceDE/>
        <w:autoSpaceDN/>
        <w:bidi w:val="0"/>
        <w:spacing w:line="360" w:lineRule="auto"/>
        <w:ind w:firstLine="420" w:firstLineChars="200"/>
        <w:rPr>
          <w:rFonts w:hint="eastAsia" w:ascii="Times New Roman" w:hAnsi="Times New Roman" w:eastAsia="宋体" w:cs="宋体"/>
          <w:bCs/>
          <w:color w:val="000000" w:themeColor="text1"/>
          <w:spacing w:val="0"/>
          <w:highlight w:val="none"/>
          <w14:textFill>
            <w14:solidFill>
              <w14:schemeClr w14:val="tx1"/>
            </w14:solidFill>
          </w14:textFill>
        </w:rPr>
      </w:pPr>
      <w:r>
        <w:rPr>
          <w:rFonts w:hint="eastAsia" w:ascii="Times New Roman" w:hAnsi="Times New Roman" w:eastAsia="宋体" w:cs="宋体"/>
          <w:bCs/>
          <w:color w:val="000000" w:themeColor="text1"/>
          <w:spacing w:val="0"/>
          <w:highlight w:val="none"/>
          <w14:textFill>
            <w14:solidFill>
              <w14:schemeClr w14:val="tx1"/>
            </w14:solidFill>
          </w14:textFill>
        </w:rPr>
        <w:t>（1）潜在供应商依法获取采购文件后，认为采购文件使自己的权益受到损害的，应当在竞争性磋商文件公告期限届满之日起7个工作日内提出质疑。</w:t>
      </w:r>
      <w:r>
        <w:rPr>
          <w:rFonts w:hint="eastAsia" w:ascii="Times New Roman" w:hAnsi="Times New Roman" w:eastAsia="宋体" w:cs="宋体"/>
          <w:color w:val="000000" w:themeColor="text1"/>
          <w:spacing w:val="0"/>
          <w:highlight w:val="none"/>
          <w14:textFill>
            <w14:solidFill>
              <w14:schemeClr w14:val="tx1"/>
            </w14:solidFill>
          </w14:textFill>
        </w:rPr>
        <w:t>委托代理协议无特殊约定的，</w:t>
      </w:r>
      <w:r>
        <w:rPr>
          <w:rFonts w:hint="eastAsia" w:ascii="Times New Roman" w:hAnsi="Times New Roman" w:eastAsia="宋体" w:cs="宋体"/>
          <w:bCs/>
          <w:color w:val="000000" w:themeColor="text1"/>
          <w:spacing w:val="0"/>
          <w:highlight w:val="none"/>
          <w14:textFill>
            <w14:solidFill>
              <w14:schemeClr w14:val="tx1"/>
            </w14:solidFill>
          </w14:textFill>
        </w:rPr>
        <w:t>对竞争性磋商文件中采购需求（含资格要求、采购预算和评分办法）的质疑由采购人受理并负责答复；对竞争性磋商文件中的采购执行程序的质疑由采购代理机构受理并负责答复。</w:t>
      </w:r>
    </w:p>
    <w:p w14:paraId="10B68766">
      <w:pPr>
        <w:pageBreakBefore w:val="0"/>
        <w:widowControl w:val="0"/>
        <w:kinsoku/>
        <w:wordWrap/>
        <w:overflowPunct/>
        <w:topLinePunct w:val="0"/>
        <w:autoSpaceDE/>
        <w:autoSpaceDN/>
        <w:bidi w:val="0"/>
        <w:spacing w:line="360" w:lineRule="auto"/>
        <w:ind w:firstLine="420" w:firstLineChars="200"/>
        <w:rPr>
          <w:rFonts w:hint="eastAsia" w:ascii="Times New Roman" w:hAnsi="Times New Roman" w:eastAsia="宋体" w:cs="宋体"/>
          <w:bCs/>
          <w:color w:val="000000" w:themeColor="text1"/>
          <w:spacing w:val="0"/>
          <w:highlight w:val="none"/>
          <w14:textFill>
            <w14:solidFill>
              <w14:schemeClr w14:val="tx1"/>
            </w14:solidFill>
          </w14:textFill>
        </w:rPr>
      </w:pPr>
      <w:r>
        <w:rPr>
          <w:rFonts w:hint="eastAsia" w:ascii="Times New Roman" w:hAnsi="Times New Roman" w:eastAsia="宋体" w:cs="宋体"/>
          <w:bCs/>
          <w:color w:val="000000" w:themeColor="text1"/>
          <w:spacing w:val="0"/>
          <w:highlight w:val="none"/>
          <w14:textFill>
            <w14:solidFill>
              <w14:schemeClr w14:val="tx1"/>
            </w14:solidFill>
          </w14:textFill>
        </w:rPr>
        <w:t>（2）供应商认为采购过程使自己的权益受到损害的，应当在各采购程序环节结束之日起7个工作日内提出质疑。对采购过程中资格审查、符合性审查等具体评审情况的质疑应向采购人或者采购代理机构提出，由采购人或者采购代理机构受理并负责答复；对采购过程中采购执行程序的质疑由采购代理机构受理并负责答复。</w:t>
      </w:r>
    </w:p>
    <w:p w14:paraId="59F84A0C">
      <w:pPr>
        <w:pageBreakBefore w:val="0"/>
        <w:widowControl w:val="0"/>
        <w:kinsoku/>
        <w:wordWrap/>
        <w:overflowPunct/>
        <w:topLinePunct w:val="0"/>
        <w:autoSpaceDE/>
        <w:autoSpaceDN/>
        <w:bidi w:val="0"/>
        <w:spacing w:line="360" w:lineRule="auto"/>
        <w:ind w:firstLine="420" w:firstLineChars="200"/>
        <w:rPr>
          <w:rFonts w:hint="eastAsia" w:ascii="Times New Roman" w:hAnsi="Times New Roman" w:eastAsia="宋体" w:cs="宋体"/>
          <w:bCs/>
          <w:color w:val="000000" w:themeColor="text1"/>
          <w:spacing w:val="0"/>
          <w:highlight w:val="none"/>
          <w14:textFill>
            <w14:solidFill>
              <w14:schemeClr w14:val="tx1"/>
            </w14:solidFill>
          </w14:textFill>
        </w:rPr>
      </w:pPr>
      <w:r>
        <w:rPr>
          <w:rFonts w:hint="eastAsia" w:ascii="Times New Roman" w:hAnsi="Times New Roman" w:eastAsia="宋体" w:cs="宋体"/>
          <w:bCs/>
          <w:color w:val="000000" w:themeColor="text1"/>
          <w:spacing w:val="0"/>
          <w:highlight w:val="none"/>
          <w14:textFill>
            <w14:solidFill>
              <w14:schemeClr w14:val="tx1"/>
            </w14:solidFill>
          </w14:textFill>
        </w:rPr>
        <w:t>（3）供应商认为成交结果使自己的权益受到损害的，应当在成交结果公告期限届满之日起7个工作日内提出质疑，由采购人受理并负责答复。</w:t>
      </w:r>
    </w:p>
    <w:p w14:paraId="63C920CA">
      <w:pPr>
        <w:pageBreakBefore w:val="0"/>
        <w:widowControl w:val="0"/>
        <w:kinsoku/>
        <w:wordWrap/>
        <w:overflowPunct/>
        <w:topLinePunct w:val="0"/>
        <w:autoSpaceDE/>
        <w:autoSpaceDN/>
        <w:bidi w:val="0"/>
        <w:spacing w:line="360" w:lineRule="auto"/>
        <w:ind w:firstLine="420" w:firstLineChars="200"/>
        <w:rPr>
          <w:rFonts w:hint="eastAsia" w:ascii="Times New Roman" w:hAnsi="Times New Roman" w:eastAsia="宋体" w:cs="宋体"/>
          <w:color w:val="000000" w:themeColor="text1"/>
          <w:spacing w:val="0"/>
          <w:highlight w:val="none"/>
          <w14:textFill>
            <w14:solidFill>
              <w14:schemeClr w14:val="tx1"/>
            </w14:solidFill>
          </w14:textFill>
        </w:rPr>
      </w:pPr>
      <w:r>
        <w:rPr>
          <w:rFonts w:hint="eastAsia" w:ascii="Times New Roman" w:hAnsi="Times New Roman" w:eastAsia="宋体" w:cs="宋体"/>
          <w:color w:val="000000" w:themeColor="text1"/>
          <w:spacing w:val="0"/>
          <w:highlight w:val="none"/>
          <w14:textFill>
            <w14:solidFill>
              <w14:schemeClr w14:val="tx1"/>
            </w14:solidFill>
          </w14:textFill>
        </w:rPr>
        <w:t>3</w:t>
      </w:r>
      <w:r>
        <w:rPr>
          <w:rFonts w:hint="eastAsia" w:ascii="Times New Roman" w:hAnsi="Times New Roman" w:eastAsia="宋体" w:cs="宋体"/>
          <w:color w:val="000000" w:themeColor="text1"/>
          <w:spacing w:val="0"/>
          <w:highlight w:val="none"/>
          <w:lang w:val="en-US" w:eastAsia="zh-CN"/>
          <w14:textFill>
            <w14:solidFill>
              <w14:schemeClr w14:val="tx1"/>
            </w14:solidFill>
          </w14:textFill>
        </w:rPr>
        <w:t>0</w:t>
      </w:r>
      <w:r>
        <w:rPr>
          <w:rFonts w:hint="eastAsia" w:ascii="Times New Roman" w:hAnsi="Times New Roman" w:eastAsia="宋体" w:cs="宋体"/>
          <w:color w:val="000000" w:themeColor="text1"/>
          <w:spacing w:val="0"/>
          <w:highlight w:val="none"/>
          <w14:textFill>
            <w14:solidFill>
              <w14:schemeClr w14:val="tx1"/>
            </w14:solidFill>
          </w14:textFill>
        </w:rPr>
        <w:t>.3供应商提出的询问或者质疑超出采购人对采购代理机构委托授权范围的，采购代理机构应当告知供应商向采购人提出。政府采购评审专家应当配合采购人或者采购代理机构答复供应商的询问和质疑。</w:t>
      </w:r>
    </w:p>
    <w:p w14:paraId="6D200A91">
      <w:pPr>
        <w:pageBreakBefore w:val="0"/>
        <w:widowControl w:val="0"/>
        <w:kinsoku/>
        <w:wordWrap/>
        <w:overflowPunct/>
        <w:topLinePunct w:val="0"/>
        <w:autoSpaceDE/>
        <w:autoSpaceDN/>
        <w:bidi w:val="0"/>
        <w:spacing w:line="360" w:lineRule="auto"/>
        <w:ind w:firstLine="422" w:firstLineChars="200"/>
        <w:rPr>
          <w:rFonts w:hint="eastAsia" w:ascii="Times New Roman" w:hAnsi="Times New Roman" w:eastAsia="宋体" w:cs="宋体"/>
          <w:color w:val="000000" w:themeColor="text1"/>
          <w:spacing w:val="0"/>
          <w:highlight w:val="none"/>
          <w14:textFill>
            <w14:solidFill>
              <w14:schemeClr w14:val="tx1"/>
            </w14:solidFill>
          </w14:textFill>
        </w:rPr>
      </w:pPr>
      <w:r>
        <w:rPr>
          <w:rFonts w:hint="eastAsia" w:ascii="Times New Roman" w:hAnsi="Times New Roman" w:eastAsia="宋体" w:cs="宋体"/>
          <w:b/>
          <w:bCs/>
          <w:color w:val="000000" w:themeColor="text1"/>
          <w:spacing w:val="0"/>
          <w:highlight w:val="none"/>
          <w14:textFill>
            <w14:solidFill>
              <w14:schemeClr w14:val="tx1"/>
            </w14:solidFill>
          </w14:textFill>
        </w:rPr>
        <w:t>3</w:t>
      </w:r>
      <w:r>
        <w:rPr>
          <w:rFonts w:hint="eastAsia" w:ascii="Times New Roman" w:hAnsi="Times New Roman" w:eastAsia="宋体" w:cs="宋体"/>
          <w:b/>
          <w:bCs/>
          <w:color w:val="000000" w:themeColor="text1"/>
          <w:spacing w:val="0"/>
          <w:highlight w:val="none"/>
          <w:lang w:val="en-US" w:eastAsia="zh-CN"/>
          <w14:textFill>
            <w14:solidFill>
              <w14:schemeClr w14:val="tx1"/>
            </w14:solidFill>
          </w14:textFill>
        </w:rPr>
        <w:t>0</w:t>
      </w:r>
      <w:r>
        <w:rPr>
          <w:rFonts w:hint="eastAsia" w:ascii="Times New Roman" w:hAnsi="Times New Roman" w:eastAsia="宋体" w:cs="宋体"/>
          <w:b/>
          <w:bCs/>
          <w:color w:val="000000" w:themeColor="text1"/>
          <w:spacing w:val="0"/>
          <w:highlight w:val="none"/>
          <w14:textFill>
            <w14:solidFill>
              <w14:schemeClr w14:val="tx1"/>
            </w14:solidFill>
          </w14:textFill>
        </w:rPr>
        <w:t>.4 供应商提出质疑应当提交质疑函和必要的证明材料，针对同一采购程序环节的质疑必须在法定质疑期内一次性提出。质疑函应当包括下列内容（质疑函格式后附）：</w:t>
      </w:r>
    </w:p>
    <w:p w14:paraId="3858F7F4">
      <w:pPr>
        <w:pageBreakBefore w:val="0"/>
        <w:widowControl w:val="0"/>
        <w:kinsoku/>
        <w:wordWrap/>
        <w:overflowPunct/>
        <w:topLinePunct w:val="0"/>
        <w:autoSpaceDE/>
        <w:autoSpaceDN/>
        <w:bidi w:val="0"/>
        <w:spacing w:line="360" w:lineRule="auto"/>
        <w:ind w:firstLine="420" w:firstLineChars="200"/>
        <w:rPr>
          <w:rFonts w:hint="eastAsia" w:ascii="Times New Roman" w:hAnsi="Times New Roman" w:eastAsia="宋体" w:cs="宋体"/>
          <w:color w:val="000000" w:themeColor="text1"/>
          <w:spacing w:val="0"/>
          <w:highlight w:val="none"/>
          <w14:textFill>
            <w14:solidFill>
              <w14:schemeClr w14:val="tx1"/>
            </w14:solidFill>
          </w14:textFill>
        </w:rPr>
      </w:pPr>
      <w:r>
        <w:rPr>
          <w:rFonts w:hint="eastAsia" w:ascii="Times New Roman" w:hAnsi="Times New Roman" w:eastAsia="宋体" w:cs="宋体"/>
          <w:color w:val="000000" w:themeColor="text1"/>
          <w:spacing w:val="0"/>
          <w:highlight w:val="none"/>
          <w14:textFill>
            <w14:solidFill>
              <w14:schemeClr w14:val="tx1"/>
            </w14:solidFill>
          </w14:textFill>
        </w:rPr>
        <w:t>（1）供应商的姓名或者名称、地址、邮编、联系人及联系电话；</w:t>
      </w:r>
    </w:p>
    <w:p w14:paraId="76CBB681">
      <w:pPr>
        <w:pageBreakBefore w:val="0"/>
        <w:widowControl w:val="0"/>
        <w:kinsoku/>
        <w:wordWrap/>
        <w:overflowPunct/>
        <w:topLinePunct w:val="0"/>
        <w:autoSpaceDE/>
        <w:autoSpaceDN/>
        <w:bidi w:val="0"/>
        <w:spacing w:line="360" w:lineRule="auto"/>
        <w:ind w:firstLine="420" w:firstLineChars="200"/>
        <w:rPr>
          <w:rFonts w:hint="eastAsia" w:ascii="Times New Roman" w:hAnsi="Times New Roman" w:eastAsia="宋体" w:cs="宋体"/>
          <w:color w:val="000000" w:themeColor="text1"/>
          <w:spacing w:val="0"/>
          <w:highlight w:val="none"/>
          <w14:textFill>
            <w14:solidFill>
              <w14:schemeClr w14:val="tx1"/>
            </w14:solidFill>
          </w14:textFill>
        </w:rPr>
      </w:pPr>
      <w:r>
        <w:rPr>
          <w:rFonts w:hint="eastAsia" w:ascii="Times New Roman" w:hAnsi="Times New Roman" w:eastAsia="宋体" w:cs="宋体"/>
          <w:color w:val="000000" w:themeColor="text1"/>
          <w:spacing w:val="0"/>
          <w:highlight w:val="none"/>
          <w14:textFill>
            <w14:solidFill>
              <w14:schemeClr w14:val="tx1"/>
            </w14:solidFill>
          </w14:textFill>
        </w:rPr>
        <w:t>（2）质疑项目的名称、编号；</w:t>
      </w:r>
    </w:p>
    <w:p w14:paraId="483067AC">
      <w:pPr>
        <w:pageBreakBefore w:val="0"/>
        <w:widowControl w:val="0"/>
        <w:kinsoku/>
        <w:wordWrap/>
        <w:overflowPunct/>
        <w:topLinePunct w:val="0"/>
        <w:autoSpaceDE/>
        <w:autoSpaceDN/>
        <w:bidi w:val="0"/>
        <w:spacing w:line="360" w:lineRule="auto"/>
        <w:ind w:firstLine="420" w:firstLineChars="200"/>
        <w:rPr>
          <w:rFonts w:hint="eastAsia" w:ascii="Times New Roman" w:hAnsi="Times New Roman" w:eastAsia="宋体" w:cs="宋体"/>
          <w:color w:val="000000" w:themeColor="text1"/>
          <w:spacing w:val="0"/>
          <w:highlight w:val="none"/>
          <w14:textFill>
            <w14:solidFill>
              <w14:schemeClr w14:val="tx1"/>
            </w14:solidFill>
          </w14:textFill>
        </w:rPr>
      </w:pPr>
      <w:r>
        <w:rPr>
          <w:rFonts w:hint="eastAsia" w:ascii="Times New Roman" w:hAnsi="Times New Roman" w:eastAsia="宋体" w:cs="宋体"/>
          <w:color w:val="000000" w:themeColor="text1"/>
          <w:spacing w:val="0"/>
          <w:highlight w:val="none"/>
          <w14:textFill>
            <w14:solidFill>
              <w14:schemeClr w14:val="tx1"/>
            </w14:solidFill>
          </w14:textFill>
        </w:rPr>
        <w:t>（3）具体、明确的质疑事项和与质疑事项相关的请求；</w:t>
      </w:r>
    </w:p>
    <w:p w14:paraId="7B41BD76">
      <w:pPr>
        <w:pageBreakBefore w:val="0"/>
        <w:widowControl w:val="0"/>
        <w:kinsoku/>
        <w:wordWrap/>
        <w:overflowPunct/>
        <w:topLinePunct w:val="0"/>
        <w:autoSpaceDE/>
        <w:autoSpaceDN/>
        <w:bidi w:val="0"/>
        <w:spacing w:line="360" w:lineRule="auto"/>
        <w:ind w:firstLine="420" w:firstLineChars="200"/>
        <w:rPr>
          <w:rFonts w:hint="eastAsia" w:ascii="Times New Roman" w:hAnsi="Times New Roman" w:eastAsia="宋体" w:cs="宋体"/>
          <w:color w:val="000000" w:themeColor="text1"/>
          <w:spacing w:val="0"/>
          <w:highlight w:val="none"/>
          <w14:textFill>
            <w14:solidFill>
              <w14:schemeClr w14:val="tx1"/>
            </w14:solidFill>
          </w14:textFill>
        </w:rPr>
      </w:pPr>
      <w:r>
        <w:rPr>
          <w:rFonts w:hint="eastAsia" w:ascii="Times New Roman" w:hAnsi="Times New Roman" w:eastAsia="宋体" w:cs="宋体"/>
          <w:color w:val="000000" w:themeColor="text1"/>
          <w:spacing w:val="0"/>
          <w:highlight w:val="none"/>
          <w14:textFill>
            <w14:solidFill>
              <w14:schemeClr w14:val="tx1"/>
            </w14:solidFill>
          </w14:textFill>
        </w:rPr>
        <w:t>（4）事实依据；</w:t>
      </w:r>
    </w:p>
    <w:p w14:paraId="48333CBA">
      <w:pPr>
        <w:pageBreakBefore w:val="0"/>
        <w:widowControl w:val="0"/>
        <w:kinsoku/>
        <w:wordWrap/>
        <w:overflowPunct/>
        <w:topLinePunct w:val="0"/>
        <w:autoSpaceDE/>
        <w:autoSpaceDN/>
        <w:bidi w:val="0"/>
        <w:spacing w:line="360" w:lineRule="auto"/>
        <w:ind w:firstLine="420" w:firstLineChars="200"/>
        <w:rPr>
          <w:rFonts w:hint="eastAsia" w:ascii="Times New Roman" w:hAnsi="Times New Roman" w:eastAsia="宋体" w:cs="宋体"/>
          <w:color w:val="000000" w:themeColor="text1"/>
          <w:spacing w:val="0"/>
          <w:highlight w:val="none"/>
          <w14:textFill>
            <w14:solidFill>
              <w14:schemeClr w14:val="tx1"/>
            </w14:solidFill>
          </w14:textFill>
        </w:rPr>
      </w:pPr>
      <w:r>
        <w:rPr>
          <w:rFonts w:hint="eastAsia" w:ascii="Times New Roman" w:hAnsi="Times New Roman" w:eastAsia="宋体" w:cs="宋体"/>
          <w:color w:val="000000" w:themeColor="text1"/>
          <w:spacing w:val="0"/>
          <w:highlight w:val="none"/>
          <w14:textFill>
            <w14:solidFill>
              <w14:schemeClr w14:val="tx1"/>
            </w14:solidFill>
          </w14:textFill>
        </w:rPr>
        <w:t>（5）必要的法律依据；</w:t>
      </w:r>
    </w:p>
    <w:p w14:paraId="13625313">
      <w:pPr>
        <w:pageBreakBefore w:val="0"/>
        <w:widowControl w:val="0"/>
        <w:kinsoku/>
        <w:wordWrap/>
        <w:overflowPunct/>
        <w:topLinePunct w:val="0"/>
        <w:autoSpaceDE/>
        <w:autoSpaceDN/>
        <w:bidi w:val="0"/>
        <w:spacing w:line="360" w:lineRule="auto"/>
        <w:ind w:firstLine="420" w:firstLineChars="200"/>
        <w:rPr>
          <w:rFonts w:hint="eastAsia" w:ascii="Times New Roman" w:hAnsi="Times New Roman" w:eastAsia="宋体" w:cs="宋体"/>
          <w:color w:val="000000" w:themeColor="text1"/>
          <w:spacing w:val="0"/>
          <w:highlight w:val="none"/>
          <w14:textFill>
            <w14:solidFill>
              <w14:schemeClr w14:val="tx1"/>
            </w14:solidFill>
          </w14:textFill>
        </w:rPr>
      </w:pPr>
      <w:r>
        <w:rPr>
          <w:rFonts w:hint="eastAsia" w:ascii="Times New Roman" w:hAnsi="Times New Roman" w:eastAsia="宋体" w:cs="宋体"/>
          <w:color w:val="000000" w:themeColor="text1"/>
          <w:spacing w:val="0"/>
          <w:highlight w:val="none"/>
          <w14:textFill>
            <w14:solidFill>
              <w14:schemeClr w14:val="tx1"/>
            </w14:solidFill>
          </w14:textFill>
        </w:rPr>
        <w:t>（6）提出质疑的日期。</w:t>
      </w:r>
    </w:p>
    <w:p w14:paraId="47E6F361">
      <w:pPr>
        <w:pageBreakBefore w:val="0"/>
        <w:widowControl w:val="0"/>
        <w:kinsoku/>
        <w:wordWrap/>
        <w:overflowPunct/>
        <w:topLinePunct w:val="0"/>
        <w:autoSpaceDE/>
        <w:autoSpaceDN/>
        <w:bidi w:val="0"/>
        <w:spacing w:line="360" w:lineRule="auto"/>
        <w:ind w:firstLine="420" w:firstLineChars="200"/>
        <w:rPr>
          <w:rFonts w:hint="eastAsia" w:ascii="Times New Roman" w:hAnsi="Times New Roman" w:eastAsia="宋体" w:cs="宋体"/>
          <w:color w:val="000000" w:themeColor="text1"/>
          <w:spacing w:val="0"/>
          <w:highlight w:val="none"/>
          <w14:textFill>
            <w14:solidFill>
              <w14:schemeClr w14:val="tx1"/>
            </w14:solidFill>
          </w14:textFill>
        </w:rPr>
      </w:pPr>
      <w:r>
        <w:rPr>
          <w:rFonts w:hint="eastAsia" w:ascii="Times New Roman" w:hAnsi="Times New Roman" w:eastAsia="宋体" w:cs="宋体"/>
          <w:color w:val="000000" w:themeColor="text1"/>
          <w:spacing w:val="0"/>
          <w:highlight w:val="none"/>
          <w14:textFill>
            <w14:solidFill>
              <w14:schemeClr w14:val="tx1"/>
            </w14:solidFill>
          </w14:textFill>
        </w:rPr>
        <w:t>供应商为自然人的，应当由本人签字；供应商为法人或者其他组织的，应当由法定代表人、主要负责人，或者其委托代理人签字或者盖章，并加盖公章。</w:t>
      </w:r>
    </w:p>
    <w:p w14:paraId="13F236E5">
      <w:pPr>
        <w:pageBreakBefore w:val="0"/>
        <w:widowControl w:val="0"/>
        <w:kinsoku/>
        <w:wordWrap/>
        <w:overflowPunct/>
        <w:topLinePunct w:val="0"/>
        <w:autoSpaceDE/>
        <w:autoSpaceDN/>
        <w:bidi w:val="0"/>
        <w:spacing w:line="360" w:lineRule="auto"/>
        <w:ind w:firstLine="420" w:firstLineChars="200"/>
        <w:rPr>
          <w:rFonts w:hint="eastAsia" w:ascii="Times New Roman" w:hAnsi="Times New Roman" w:eastAsia="宋体" w:cs="宋体"/>
          <w:color w:val="000000" w:themeColor="text1"/>
          <w:spacing w:val="0"/>
          <w:highlight w:val="none"/>
          <w14:textFill>
            <w14:solidFill>
              <w14:schemeClr w14:val="tx1"/>
            </w14:solidFill>
          </w14:textFill>
        </w:rPr>
      </w:pPr>
      <w:r>
        <w:rPr>
          <w:rFonts w:hint="eastAsia" w:ascii="Times New Roman" w:hAnsi="Times New Roman" w:eastAsia="宋体" w:cs="宋体"/>
          <w:color w:val="000000" w:themeColor="text1"/>
          <w:spacing w:val="0"/>
          <w:highlight w:val="none"/>
          <w14:textFill>
            <w14:solidFill>
              <w14:schemeClr w14:val="tx1"/>
            </w14:solidFill>
          </w14:textFill>
        </w:rPr>
        <w:t>3</w:t>
      </w:r>
      <w:r>
        <w:rPr>
          <w:rFonts w:hint="eastAsia" w:ascii="Times New Roman" w:hAnsi="Times New Roman" w:eastAsia="宋体" w:cs="宋体"/>
          <w:color w:val="000000" w:themeColor="text1"/>
          <w:spacing w:val="0"/>
          <w:highlight w:val="none"/>
          <w:lang w:val="en-US" w:eastAsia="zh-CN"/>
          <w14:textFill>
            <w14:solidFill>
              <w14:schemeClr w14:val="tx1"/>
            </w14:solidFill>
          </w14:textFill>
        </w:rPr>
        <w:t>0</w:t>
      </w:r>
      <w:r>
        <w:rPr>
          <w:rFonts w:hint="eastAsia" w:ascii="Times New Roman" w:hAnsi="Times New Roman" w:eastAsia="宋体" w:cs="宋体"/>
          <w:color w:val="000000" w:themeColor="text1"/>
          <w:spacing w:val="0"/>
          <w:highlight w:val="none"/>
          <w14:textFill>
            <w14:solidFill>
              <w14:schemeClr w14:val="tx1"/>
            </w14:solidFill>
          </w14:textFill>
        </w:rPr>
        <w:t>.5采购人、采购代理机构认为供应商质疑不成立，或者成立但未对成交结果构成影响的，继续开展采购活动；认为供应商质疑成立且影响或者可能影响成交结果的，按照下列情况处理：</w:t>
      </w:r>
    </w:p>
    <w:p w14:paraId="7454E438">
      <w:pPr>
        <w:pageBreakBefore w:val="0"/>
        <w:widowControl w:val="0"/>
        <w:kinsoku/>
        <w:wordWrap/>
        <w:overflowPunct/>
        <w:topLinePunct w:val="0"/>
        <w:autoSpaceDE/>
        <w:autoSpaceDN/>
        <w:bidi w:val="0"/>
        <w:spacing w:line="360" w:lineRule="auto"/>
        <w:ind w:firstLine="420" w:firstLineChars="200"/>
        <w:rPr>
          <w:rFonts w:hint="eastAsia" w:ascii="Times New Roman" w:hAnsi="Times New Roman" w:eastAsia="宋体" w:cs="宋体"/>
          <w:color w:val="000000" w:themeColor="text1"/>
          <w:spacing w:val="0"/>
          <w:highlight w:val="none"/>
          <w14:textFill>
            <w14:solidFill>
              <w14:schemeClr w14:val="tx1"/>
            </w14:solidFill>
          </w14:textFill>
        </w:rPr>
      </w:pPr>
      <w:r>
        <w:rPr>
          <w:rFonts w:hint="eastAsia" w:ascii="Times New Roman" w:hAnsi="Times New Roman" w:eastAsia="宋体" w:cs="宋体"/>
          <w:color w:val="000000" w:themeColor="text1"/>
          <w:spacing w:val="0"/>
          <w:highlight w:val="none"/>
          <w14:textFill>
            <w14:solidFill>
              <w14:schemeClr w14:val="tx1"/>
            </w14:solidFill>
          </w14:textFill>
        </w:rPr>
        <w:t>（一）对采购文件提出的质疑，依法通过澄清或者修改可以继续开展采购活动的，澄清或者修改采购文件后继续开展采购活动；否则应当修改采购文件后重新开展采购活动。</w:t>
      </w:r>
    </w:p>
    <w:p w14:paraId="5D31A7A7">
      <w:pPr>
        <w:pageBreakBefore w:val="0"/>
        <w:widowControl w:val="0"/>
        <w:kinsoku/>
        <w:wordWrap/>
        <w:overflowPunct/>
        <w:topLinePunct w:val="0"/>
        <w:autoSpaceDE/>
        <w:autoSpaceDN/>
        <w:bidi w:val="0"/>
        <w:spacing w:line="360" w:lineRule="auto"/>
        <w:ind w:firstLine="420" w:firstLineChars="200"/>
        <w:rPr>
          <w:rFonts w:hint="eastAsia" w:ascii="Times New Roman" w:hAnsi="Times New Roman" w:eastAsia="宋体" w:cs="宋体"/>
          <w:color w:val="000000" w:themeColor="text1"/>
          <w:spacing w:val="0"/>
          <w:highlight w:val="none"/>
          <w14:textFill>
            <w14:solidFill>
              <w14:schemeClr w14:val="tx1"/>
            </w14:solidFill>
          </w14:textFill>
        </w:rPr>
      </w:pPr>
      <w:r>
        <w:rPr>
          <w:rFonts w:hint="eastAsia" w:ascii="Times New Roman" w:hAnsi="Times New Roman" w:eastAsia="宋体" w:cs="宋体"/>
          <w:color w:val="000000" w:themeColor="text1"/>
          <w:spacing w:val="0"/>
          <w:highlight w:val="none"/>
          <w14:textFill>
            <w14:solidFill>
              <w14:schemeClr w14:val="tx1"/>
            </w14:solidFill>
          </w14:textFill>
        </w:rPr>
        <w:t>（二）对采购过程或者成交结果提出的质疑，合格供应商符合法定数量时，可以从合格的成交候选人中另行确定成交供应商的，应当依法另行确定成交供应商；否则应当重新开展采购活动。</w:t>
      </w:r>
    </w:p>
    <w:p w14:paraId="61E15E23">
      <w:pPr>
        <w:pageBreakBefore w:val="0"/>
        <w:widowControl w:val="0"/>
        <w:kinsoku/>
        <w:wordWrap/>
        <w:overflowPunct/>
        <w:topLinePunct w:val="0"/>
        <w:autoSpaceDE/>
        <w:autoSpaceDN/>
        <w:bidi w:val="0"/>
        <w:spacing w:line="360" w:lineRule="auto"/>
        <w:ind w:firstLine="420" w:firstLineChars="200"/>
        <w:rPr>
          <w:rFonts w:hint="eastAsia" w:ascii="Times New Roman" w:hAnsi="Times New Roman" w:eastAsia="宋体" w:cs="宋体"/>
          <w:color w:val="000000" w:themeColor="text1"/>
          <w:spacing w:val="0"/>
          <w:highlight w:val="none"/>
          <w14:textFill>
            <w14:solidFill>
              <w14:schemeClr w14:val="tx1"/>
            </w14:solidFill>
          </w14:textFill>
        </w:rPr>
      </w:pPr>
      <w:r>
        <w:rPr>
          <w:rFonts w:hint="eastAsia" w:ascii="Times New Roman" w:hAnsi="Times New Roman" w:eastAsia="宋体" w:cs="宋体"/>
          <w:color w:val="000000" w:themeColor="text1"/>
          <w:spacing w:val="0"/>
          <w:highlight w:val="none"/>
          <w14:textFill>
            <w14:solidFill>
              <w14:schemeClr w14:val="tx1"/>
            </w14:solidFill>
          </w14:textFill>
        </w:rPr>
        <w:t>质疑答复导致成交结果改变的，采购人或者采购代理机构应当将有关情况书面报告本级财政部门。</w:t>
      </w:r>
    </w:p>
    <w:p w14:paraId="0510DD8F">
      <w:pPr>
        <w:pageBreakBefore w:val="0"/>
        <w:widowControl w:val="0"/>
        <w:kinsoku/>
        <w:wordWrap/>
        <w:overflowPunct/>
        <w:topLinePunct w:val="0"/>
        <w:autoSpaceDE/>
        <w:autoSpaceDN/>
        <w:bidi w:val="0"/>
        <w:spacing w:line="360" w:lineRule="auto"/>
        <w:ind w:firstLine="422" w:firstLineChars="200"/>
        <w:rPr>
          <w:rFonts w:hint="eastAsia" w:ascii="Times New Roman" w:hAnsi="Times New Roman" w:eastAsia="宋体" w:cs="宋体"/>
          <w:color w:val="000000" w:themeColor="text1"/>
          <w:spacing w:val="0"/>
          <w:highlight w:val="none"/>
          <w14:textFill>
            <w14:solidFill>
              <w14:schemeClr w14:val="tx1"/>
            </w14:solidFill>
          </w14:textFill>
        </w:rPr>
      </w:pPr>
      <w:r>
        <w:rPr>
          <w:rFonts w:hint="eastAsia" w:ascii="Times New Roman" w:hAnsi="Times New Roman" w:eastAsia="宋体" w:cs="宋体"/>
          <w:b/>
          <w:bCs/>
          <w:color w:val="000000" w:themeColor="text1"/>
          <w:spacing w:val="0"/>
          <w:highlight w:val="none"/>
          <w14:textFill>
            <w14:solidFill>
              <w14:schemeClr w14:val="tx1"/>
            </w14:solidFill>
          </w14:textFill>
        </w:rPr>
        <w:t>3</w:t>
      </w:r>
      <w:r>
        <w:rPr>
          <w:rFonts w:hint="eastAsia" w:ascii="Times New Roman" w:hAnsi="Times New Roman" w:eastAsia="宋体" w:cs="宋体"/>
          <w:b/>
          <w:bCs/>
          <w:color w:val="000000" w:themeColor="text1"/>
          <w:spacing w:val="0"/>
          <w:highlight w:val="none"/>
          <w:lang w:val="en-US" w:eastAsia="zh-CN"/>
          <w14:textFill>
            <w14:solidFill>
              <w14:schemeClr w14:val="tx1"/>
            </w14:solidFill>
          </w14:textFill>
        </w:rPr>
        <w:t>0</w:t>
      </w:r>
      <w:r>
        <w:rPr>
          <w:rFonts w:hint="eastAsia" w:ascii="Times New Roman" w:hAnsi="Times New Roman" w:eastAsia="宋体" w:cs="宋体"/>
          <w:b/>
          <w:bCs/>
          <w:color w:val="000000" w:themeColor="text1"/>
          <w:spacing w:val="0"/>
          <w:highlight w:val="none"/>
          <w14:textFill>
            <w14:solidFill>
              <w14:schemeClr w14:val="tx1"/>
            </w14:solidFill>
          </w14:textFill>
        </w:rPr>
        <w:t>.6投诉的权利。质疑供应商对采购人或采购代理机构的答复不满意，或者采购人或采购代理机构未在规定时间内作出答复的，可以在答复期满后15个工作日内向《政府采购质疑和投诉办法》（财政部令第94号）第六条规定的财政部门提起投诉（投诉书格式后附），受理投诉方式见</w:t>
      </w:r>
      <w:r>
        <w:rPr>
          <w:rFonts w:hint="eastAsia" w:ascii="Times New Roman" w:hAnsi="Times New Roman" w:eastAsia="宋体" w:cs="宋体"/>
          <w:b/>
          <w:bCs/>
          <w:color w:val="000000" w:themeColor="text1"/>
          <w:spacing w:val="0"/>
          <w:highlight w:val="none"/>
          <w:lang w:eastAsia="zh-CN"/>
          <w14:textFill>
            <w14:solidFill>
              <w14:schemeClr w14:val="tx1"/>
            </w14:solidFill>
          </w14:textFill>
        </w:rPr>
        <w:t>“</w:t>
      </w:r>
      <w:r>
        <w:rPr>
          <w:rFonts w:hint="eastAsia" w:ascii="Times New Roman" w:hAnsi="Times New Roman" w:eastAsia="宋体" w:cs="宋体"/>
          <w:b/>
          <w:bCs/>
          <w:color w:val="000000" w:themeColor="text1"/>
          <w:spacing w:val="0"/>
          <w:highlight w:val="none"/>
          <w14:textFill>
            <w14:solidFill>
              <w14:schemeClr w14:val="tx1"/>
            </w14:solidFill>
          </w14:textFill>
        </w:rPr>
        <w:t>供应商须知前附表</w:t>
      </w:r>
      <w:r>
        <w:rPr>
          <w:rFonts w:hint="eastAsia" w:ascii="Times New Roman" w:hAnsi="Times New Roman" w:eastAsia="宋体" w:cs="宋体"/>
          <w:b/>
          <w:bCs/>
          <w:color w:val="000000" w:themeColor="text1"/>
          <w:spacing w:val="0"/>
          <w:highlight w:val="none"/>
          <w:lang w:eastAsia="zh-CN"/>
          <w14:textFill>
            <w14:solidFill>
              <w14:schemeClr w14:val="tx1"/>
            </w14:solidFill>
          </w14:textFill>
        </w:rPr>
        <w:t>”</w:t>
      </w:r>
      <w:r>
        <w:rPr>
          <w:rFonts w:hint="eastAsia" w:ascii="Times New Roman" w:hAnsi="Times New Roman" w:eastAsia="宋体" w:cs="宋体"/>
          <w:color w:val="000000" w:themeColor="text1"/>
          <w:spacing w:val="0"/>
          <w:highlight w:val="none"/>
          <w14:textFill>
            <w14:solidFill>
              <w14:schemeClr w14:val="tx1"/>
            </w14:solidFill>
          </w14:textFill>
        </w:rPr>
        <w:t>。</w:t>
      </w:r>
      <w:bookmarkStart w:id="142" w:name="_Toc80205930"/>
    </w:p>
    <w:p w14:paraId="31A1DAF6">
      <w:pPr>
        <w:pStyle w:val="5"/>
        <w:keepNext/>
        <w:keepLines/>
        <w:pageBreakBefore w:val="0"/>
        <w:widowControl w:val="0"/>
        <w:kinsoku/>
        <w:wordWrap/>
        <w:overflowPunct/>
        <w:topLinePunct w:val="0"/>
        <w:autoSpaceDE/>
        <w:autoSpaceDN/>
        <w:bidi w:val="0"/>
        <w:adjustRightInd/>
        <w:snapToGrid/>
        <w:spacing w:before="0" w:beforeLines="50" w:after="0" w:line="360" w:lineRule="auto"/>
        <w:jc w:val="center"/>
        <w:textAlignment w:val="auto"/>
        <w:rPr>
          <w:rFonts w:hint="eastAsia" w:ascii="Times New Roman" w:hAnsi="Times New Roman" w:eastAsia="宋体" w:cs="宋体"/>
          <w:bCs w:val="0"/>
          <w:color w:val="000000" w:themeColor="text1"/>
          <w:spacing w:val="0"/>
          <w:sz w:val="24"/>
          <w:szCs w:val="24"/>
          <w:highlight w:val="none"/>
          <w14:textFill>
            <w14:solidFill>
              <w14:schemeClr w14:val="tx1"/>
            </w14:solidFill>
          </w14:textFill>
        </w:rPr>
      </w:pPr>
      <w:bookmarkStart w:id="143" w:name="_Toc80886935"/>
      <w:bookmarkStart w:id="144" w:name="_Toc26989"/>
      <w:bookmarkStart w:id="145" w:name="_Toc23032"/>
      <w:bookmarkStart w:id="146" w:name="_Toc9275"/>
      <w:r>
        <w:rPr>
          <w:rFonts w:hint="eastAsia" w:ascii="Times New Roman" w:hAnsi="Times New Roman" w:eastAsia="宋体" w:cs="宋体"/>
          <w:bCs w:val="0"/>
          <w:color w:val="000000" w:themeColor="text1"/>
          <w:spacing w:val="0"/>
          <w:sz w:val="24"/>
          <w:szCs w:val="24"/>
          <w:highlight w:val="none"/>
          <w14:textFill>
            <w14:solidFill>
              <w14:schemeClr w14:val="tx1"/>
            </w14:solidFill>
          </w14:textFill>
        </w:rPr>
        <w:t>六、验收</w:t>
      </w:r>
      <w:bookmarkEnd w:id="142"/>
      <w:bookmarkEnd w:id="143"/>
      <w:bookmarkEnd w:id="144"/>
      <w:bookmarkEnd w:id="145"/>
      <w:bookmarkEnd w:id="146"/>
    </w:p>
    <w:p w14:paraId="22D8915B">
      <w:pPr>
        <w:pageBreakBefore w:val="0"/>
        <w:widowControl w:val="0"/>
        <w:kinsoku/>
        <w:wordWrap/>
        <w:overflowPunct/>
        <w:topLinePunct w:val="0"/>
        <w:autoSpaceDE/>
        <w:autoSpaceDN/>
        <w:bidi w:val="0"/>
        <w:spacing w:line="360" w:lineRule="auto"/>
        <w:outlineLvl w:val="2"/>
        <w:rPr>
          <w:rFonts w:hint="eastAsia" w:ascii="Times New Roman" w:hAnsi="Times New Roman" w:eastAsia="宋体" w:cs="宋体"/>
          <w:b/>
          <w:bCs/>
          <w:color w:val="000000" w:themeColor="text1"/>
          <w:spacing w:val="0"/>
          <w:sz w:val="21"/>
          <w:szCs w:val="21"/>
          <w:highlight w:val="none"/>
          <w14:textFill>
            <w14:solidFill>
              <w14:schemeClr w14:val="tx1"/>
            </w14:solidFill>
          </w14:textFill>
        </w:rPr>
      </w:pPr>
      <w:bookmarkStart w:id="147" w:name="_Toc7405"/>
      <w:r>
        <w:rPr>
          <w:rFonts w:hint="eastAsia" w:ascii="Times New Roman" w:hAnsi="Times New Roman" w:eastAsia="宋体" w:cs="宋体"/>
          <w:b/>
          <w:bCs/>
          <w:color w:val="000000" w:themeColor="text1"/>
          <w:spacing w:val="0"/>
          <w:sz w:val="21"/>
          <w:szCs w:val="21"/>
          <w:highlight w:val="none"/>
          <w14:textFill>
            <w14:solidFill>
              <w14:schemeClr w14:val="tx1"/>
            </w14:solidFill>
          </w14:textFill>
        </w:rPr>
        <w:t>3</w:t>
      </w:r>
      <w:r>
        <w:rPr>
          <w:rFonts w:hint="eastAsia" w:ascii="Times New Roman" w:hAnsi="Times New Roman" w:eastAsia="宋体" w:cs="宋体"/>
          <w:b/>
          <w:bCs/>
          <w:color w:val="000000" w:themeColor="text1"/>
          <w:spacing w:val="0"/>
          <w:sz w:val="21"/>
          <w:szCs w:val="21"/>
          <w:highlight w:val="none"/>
          <w:lang w:val="en-US" w:eastAsia="zh-CN"/>
          <w14:textFill>
            <w14:solidFill>
              <w14:schemeClr w14:val="tx1"/>
            </w14:solidFill>
          </w14:textFill>
        </w:rPr>
        <w:t>1</w:t>
      </w:r>
      <w:r>
        <w:rPr>
          <w:rFonts w:hint="eastAsia" w:ascii="Times New Roman" w:hAnsi="Times New Roman" w:eastAsia="宋体" w:cs="宋体"/>
          <w:b/>
          <w:bCs/>
          <w:color w:val="000000" w:themeColor="text1"/>
          <w:spacing w:val="0"/>
          <w:sz w:val="21"/>
          <w:szCs w:val="21"/>
          <w:highlight w:val="none"/>
          <w14:textFill>
            <w14:solidFill>
              <w14:schemeClr w14:val="tx1"/>
            </w14:solidFill>
          </w14:textFill>
        </w:rPr>
        <w:t>.验收</w:t>
      </w:r>
      <w:bookmarkEnd w:id="147"/>
    </w:p>
    <w:p w14:paraId="7ED157C5">
      <w:pPr>
        <w:pageBreakBefore w:val="0"/>
        <w:widowControl w:val="0"/>
        <w:tabs>
          <w:tab w:val="left" w:pos="0"/>
        </w:tabs>
        <w:kinsoku/>
        <w:wordWrap/>
        <w:overflowPunct/>
        <w:topLinePunct w:val="0"/>
        <w:autoSpaceDE/>
        <w:autoSpaceDN/>
        <w:bidi w:val="0"/>
        <w:spacing w:line="360" w:lineRule="auto"/>
        <w:ind w:firstLine="420" w:firstLineChars="200"/>
        <w:rPr>
          <w:rFonts w:hint="eastAsia" w:ascii="Times New Roman" w:hAnsi="Times New Roman" w:eastAsia="宋体" w:cs="宋体"/>
          <w:color w:val="000000" w:themeColor="text1"/>
          <w:spacing w:val="0"/>
          <w:kern w:val="0"/>
          <w:szCs w:val="21"/>
          <w:highlight w:val="none"/>
          <w14:textFill>
            <w14:solidFill>
              <w14:schemeClr w14:val="tx1"/>
            </w14:solidFill>
          </w14:textFill>
        </w:rPr>
      </w:pPr>
      <w:r>
        <w:rPr>
          <w:rFonts w:hint="eastAsia" w:ascii="Times New Roman" w:hAnsi="Times New Roman" w:eastAsia="宋体" w:cs="宋体"/>
          <w:color w:val="000000" w:themeColor="text1"/>
          <w:spacing w:val="0"/>
          <w:kern w:val="0"/>
          <w:szCs w:val="21"/>
          <w:highlight w:val="none"/>
          <w14:textFill>
            <w14:solidFill>
              <w14:schemeClr w14:val="tx1"/>
            </w14:solidFill>
          </w14:textFill>
        </w:rPr>
        <w:t>3</w:t>
      </w:r>
      <w:r>
        <w:rPr>
          <w:rFonts w:hint="eastAsia" w:ascii="Times New Roman" w:hAnsi="Times New Roman" w:eastAsia="宋体" w:cs="宋体"/>
          <w:color w:val="000000" w:themeColor="text1"/>
          <w:spacing w:val="0"/>
          <w:kern w:val="0"/>
          <w:szCs w:val="21"/>
          <w:highlight w:val="none"/>
          <w:lang w:val="en-US" w:eastAsia="zh-CN"/>
          <w14:textFill>
            <w14:solidFill>
              <w14:schemeClr w14:val="tx1"/>
            </w14:solidFill>
          </w14:textFill>
        </w:rPr>
        <w:t>1</w:t>
      </w:r>
      <w:r>
        <w:rPr>
          <w:rFonts w:hint="eastAsia" w:ascii="Times New Roman" w:hAnsi="Times New Roman" w:eastAsia="宋体" w:cs="宋体"/>
          <w:color w:val="000000" w:themeColor="text1"/>
          <w:spacing w:val="0"/>
          <w:kern w:val="0"/>
          <w:szCs w:val="21"/>
          <w:highlight w:val="none"/>
          <w14:textFill>
            <w14:solidFill>
              <w14:schemeClr w14:val="tx1"/>
            </w14:solidFill>
          </w14:textFill>
        </w:rPr>
        <w:t>.1采购人会同实际使用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接受相应的处理。</w:t>
      </w:r>
    </w:p>
    <w:p w14:paraId="18549632">
      <w:pPr>
        <w:pageBreakBefore w:val="0"/>
        <w:widowControl w:val="0"/>
        <w:tabs>
          <w:tab w:val="left" w:pos="0"/>
        </w:tabs>
        <w:kinsoku/>
        <w:wordWrap/>
        <w:overflowPunct/>
        <w:topLinePunct w:val="0"/>
        <w:autoSpaceDE/>
        <w:autoSpaceDN/>
        <w:bidi w:val="0"/>
        <w:spacing w:line="360" w:lineRule="auto"/>
        <w:ind w:firstLine="420" w:firstLineChars="200"/>
        <w:rPr>
          <w:rFonts w:hint="eastAsia" w:ascii="Times New Roman" w:hAnsi="Times New Roman" w:eastAsia="宋体" w:cs="宋体"/>
          <w:color w:val="000000" w:themeColor="text1"/>
          <w:spacing w:val="0"/>
          <w:kern w:val="0"/>
          <w:szCs w:val="21"/>
          <w:highlight w:val="none"/>
          <w14:textFill>
            <w14:solidFill>
              <w14:schemeClr w14:val="tx1"/>
            </w14:solidFill>
          </w14:textFill>
        </w:rPr>
      </w:pPr>
      <w:r>
        <w:rPr>
          <w:rFonts w:hint="eastAsia" w:ascii="Times New Roman" w:hAnsi="Times New Roman" w:eastAsia="宋体" w:cs="宋体"/>
          <w:color w:val="000000" w:themeColor="text1"/>
          <w:spacing w:val="0"/>
          <w:kern w:val="0"/>
          <w:szCs w:val="21"/>
          <w:highlight w:val="none"/>
          <w14:textFill>
            <w14:solidFill>
              <w14:schemeClr w14:val="tx1"/>
            </w14:solidFill>
          </w14:textFill>
        </w:rPr>
        <w:t>3</w:t>
      </w:r>
      <w:r>
        <w:rPr>
          <w:rFonts w:hint="eastAsia" w:ascii="Times New Roman" w:hAnsi="Times New Roman" w:eastAsia="宋体" w:cs="宋体"/>
          <w:color w:val="000000" w:themeColor="text1"/>
          <w:spacing w:val="0"/>
          <w:kern w:val="0"/>
          <w:szCs w:val="21"/>
          <w:highlight w:val="none"/>
          <w:lang w:val="en-US" w:eastAsia="zh-CN"/>
          <w14:textFill>
            <w14:solidFill>
              <w14:schemeClr w14:val="tx1"/>
            </w14:solidFill>
          </w14:textFill>
        </w:rPr>
        <w:t>1</w:t>
      </w:r>
      <w:r>
        <w:rPr>
          <w:rFonts w:hint="eastAsia" w:ascii="Times New Roman" w:hAnsi="Times New Roman" w:eastAsia="宋体" w:cs="宋体"/>
          <w:color w:val="000000" w:themeColor="text1"/>
          <w:spacing w:val="0"/>
          <w:kern w:val="0"/>
          <w:szCs w:val="21"/>
          <w:highlight w:val="none"/>
          <w14:textFill>
            <w14:solidFill>
              <w14:schemeClr w14:val="tx1"/>
            </w14:solidFill>
          </w14:textFill>
        </w:rPr>
        <w:t>.2采购人可以邀请参加本项目的其他供应商或者第三方机构参与验收。参与验收的供应商或者第三方机构的意见作为验收书的参考资料一并存档。</w:t>
      </w:r>
    </w:p>
    <w:p w14:paraId="67F75463">
      <w:pPr>
        <w:pageBreakBefore w:val="0"/>
        <w:widowControl w:val="0"/>
        <w:tabs>
          <w:tab w:val="left" w:pos="0"/>
        </w:tabs>
        <w:kinsoku/>
        <w:wordWrap/>
        <w:overflowPunct/>
        <w:topLinePunct w:val="0"/>
        <w:autoSpaceDE/>
        <w:autoSpaceDN/>
        <w:bidi w:val="0"/>
        <w:spacing w:line="360" w:lineRule="auto"/>
        <w:ind w:firstLine="420" w:firstLineChars="200"/>
        <w:rPr>
          <w:rFonts w:hint="eastAsia" w:ascii="Times New Roman" w:hAnsi="Times New Roman" w:eastAsia="宋体" w:cs="宋体"/>
          <w:color w:val="000000" w:themeColor="text1"/>
          <w:spacing w:val="0"/>
          <w:kern w:val="0"/>
          <w:szCs w:val="21"/>
          <w:highlight w:val="none"/>
          <w14:textFill>
            <w14:solidFill>
              <w14:schemeClr w14:val="tx1"/>
            </w14:solidFill>
          </w14:textFill>
        </w:rPr>
      </w:pPr>
      <w:r>
        <w:rPr>
          <w:rFonts w:hint="eastAsia" w:ascii="Times New Roman" w:hAnsi="Times New Roman" w:eastAsia="宋体" w:cs="宋体"/>
          <w:color w:val="000000" w:themeColor="text1"/>
          <w:spacing w:val="0"/>
          <w:kern w:val="0"/>
          <w:szCs w:val="21"/>
          <w:highlight w:val="none"/>
          <w14:textFill>
            <w14:solidFill>
              <w14:schemeClr w14:val="tx1"/>
            </w14:solidFill>
          </w14:textFill>
        </w:rPr>
        <w:t>3</w:t>
      </w:r>
      <w:r>
        <w:rPr>
          <w:rFonts w:hint="eastAsia" w:ascii="Times New Roman" w:hAnsi="Times New Roman" w:eastAsia="宋体" w:cs="宋体"/>
          <w:color w:val="000000" w:themeColor="text1"/>
          <w:spacing w:val="0"/>
          <w:kern w:val="0"/>
          <w:szCs w:val="21"/>
          <w:highlight w:val="none"/>
          <w:lang w:val="en-US" w:eastAsia="zh-CN"/>
          <w14:textFill>
            <w14:solidFill>
              <w14:schemeClr w14:val="tx1"/>
            </w14:solidFill>
          </w14:textFill>
        </w:rPr>
        <w:t>1</w:t>
      </w:r>
      <w:r>
        <w:rPr>
          <w:rFonts w:hint="eastAsia" w:ascii="Times New Roman" w:hAnsi="Times New Roman" w:eastAsia="宋体" w:cs="宋体"/>
          <w:color w:val="000000" w:themeColor="text1"/>
          <w:spacing w:val="0"/>
          <w:kern w:val="0"/>
          <w:szCs w:val="21"/>
          <w:highlight w:val="none"/>
          <w14:textFill>
            <w14:solidFill>
              <w14:schemeClr w14:val="tx1"/>
            </w14:solidFill>
          </w14:textFill>
        </w:rPr>
        <w:t>.3严格按照采购合同开展履约验收。采购人成立验收小组，按照采购合同的约定对供应商履约情况进行验收。验收时，按照采购合同的约定对每一项技术、服务、安全标准的履约情况进行确认，工程质量应符合国家施工质量验收规范合格标准，达到施工图及变更要求的验收标准。验收结束后，应当出具验收书，列明各项标准的验收情况及项目总体评价，由验收双方共同签署。验收结果与采购合同约定的资金支付及履约保证金返还条件挂钩。履约验收的各项资料应当存档备查。</w:t>
      </w:r>
    </w:p>
    <w:p w14:paraId="4C3132B8">
      <w:pPr>
        <w:pageBreakBefore w:val="0"/>
        <w:widowControl w:val="0"/>
        <w:tabs>
          <w:tab w:val="left" w:pos="0"/>
        </w:tabs>
        <w:kinsoku/>
        <w:wordWrap/>
        <w:overflowPunct/>
        <w:topLinePunct w:val="0"/>
        <w:autoSpaceDE/>
        <w:autoSpaceDN/>
        <w:bidi w:val="0"/>
        <w:spacing w:line="360" w:lineRule="auto"/>
        <w:ind w:firstLine="420" w:firstLineChars="200"/>
        <w:rPr>
          <w:rFonts w:hint="eastAsia" w:ascii="Times New Roman" w:hAnsi="Times New Roman" w:eastAsia="宋体" w:cs="宋体"/>
          <w:color w:val="000000" w:themeColor="text1"/>
          <w:spacing w:val="0"/>
          <w:szCs w:val="21"/>
          <w:highlight w:val="none"/>
          <w14:textFill>
            <w14:solidFill>
              <w14:schemeClr w14:val="tx1"/>
            </w14:solidFill>
          </w14:textFill>
        </w:rPr>
      </w:pPr>
      <w:r>
        <w:rPr>
          <w:rFonts w:hint="eastAsia" w:ascii="Times New Roman" w:hAnsi="Times New Roman" w:eastAsia="宋体" w:cs="宋体"/>
          <w:color w:val="000000" w:themeColor="text1"/>
          <w:spacing w:val="0"/>
          <w:kern w:val="0"/>
          <w:szCs w:val="21"/>
          <w:highlight w:val="none"/>
          <w14:textFill>
            <w14:solidFill>
              <w14:schemeClr w14:val="tx1"/>
            </w14:solidFill>
          </w14:textFill>
        </w:rPr>
        <w:t>3</w:t>
      </w:r>
      <w:r>
        <w:rPr>
          <w:rFonts w:hint="eastAsia" w:ascii="Times New Roman" w:hAnsi="Times New Roman" w:eastAsia="宋体" w:cs="宋体"/>
          <w:color w:val="000000" w:themeColor="text1"/>
          <w:spacing w:val="0"/>
          <w:kern w:val="0"/>
          <w:szCs w:val="21"/>
          <w:highlight w:val="none"/>
          <w:lang w:val="en-US" w:eastAsia="zh-CN"/>
          <w14:textFill>
            <w14:solidFill>
              <w14:schemeClr w14:val="tx1"/>
            </w14:solidFill>
          </w14:textFill>
        </w:rPr>
        <w:t>1</w:t>
      </w:r>
      <w:r>
        <w:rPr>
          <w:rFonts w:hint="eastAsia" w:ascii="Times New Roman" w:hAnsi="Times New Roman" w:eastAsia="宋体" w:cs="宋体"/>
          <w:color w:val="000000" w:themeColor="text1"/>
          <w:spacing w:val="0"/>
          <w:kern w:val="0"/>
          <w:szCs w:val="21"/>
          <w:highlight w:val="none"/>
          <w14:textFill>
            <w14:solidFill>
              <w14:schemeClr w14:val="tx1"/>
            </w14:solidFill>
          </w14:textFill>
        </w:rPr>
        <w:t>.4验收合格的项目，实际使用人将根据采购合同的约定及时向供应商支付采购资金。验收不合格的项目，采购人将依法及时处理。采购合同的履行、违约责任和解决争议的方式等适用《中华人民共和国民法典》。供应商在履约过程中有政府采购法律法规规定的违法违规情形的，采购人应当及时报告本级财政部门。</w:t>
      </w:r>
    </w:p>
    <w:p w14:paraId="12E6E96D">
      <w:pPr>
        <w:pStyle w:val="5"/>
        <w:keepNext/>
        <w:keepLines/>
        <w:pageBreakBefore w:val="0"/>
        <w:widowControl w:val="0"/>
        <w:kinsoku/>
        <w:wordWrap/>
        <w:overflowPunct/>
        <w:topLinePunct w:val="0"/>
        <w:autoSpaceDE/>
        <w:autoSpaceDN/>
        <w:bidi w:val="0"/>
        <w:adjustRightInd/>
        <w:snapToGrid/>
        <w:spacing w:before="0" w:beforeLines="50" w:after="0" w:line="360" w:lineRule="auto"/>
        <w:jc w:val="center"/>
        <w:textAlignment w:val="auto"/>
        <w:rPr>
          <w:rFonts w:hint="eastAsia" w:ascii="Times New Roman" w:hAnsi="Times New Roman" w:eastAsia="宋体" w:cs="宋体"/>
          <w:bCs w:val="0"/>
          <w:color w:val="000000" w:themeColor="text1"/>
          <w:spacing w:val="0"/>
          <w:sz w:val="24"/>
          <w:szCs w:val="24"/>
          <w:highlight w:val="none"/>
          <w14:textFill>
            <w14:solidFill>
              <w14:schemeClr w14:val="tx1"/>
            </w14:solidFill>
          </w14:textFill>
        </w:rPr>
      </w:pPr>
      <w:bookmarkStart w:id="148" w:name="_Toc10913"/>
      <w:bookmarkStart w:id="149" w:name="_Toc80886936"/>
      <w:bookmarkStart w:id="150" w:name="_Toc4674"/>
      <w:bookmarkStart w:id="151" w:name="_Toc1170"/>
      <w:r>
        <w:rPr>
          <w:rFonts w:hint="eastAsia" w:ascii="Times New Roman" w:hAnsi="Times New Roman" w:eastAsia="宋体" w:cs="宋体"/>
          <w:bCs w:val="0"/>
          <w:color w:val="000000" w:themeColor="text1"/>
          <w:spacing w:val="0"/>
          <w:sz w:val="24"/>
          <w:szCs w:val="24"/>
          <w:highlight w:val="none"/>
          <w14:textFill>
            <w14:solidFill>
              <w14:schemeClr w14:val="tx1"/>
            </w14:solidFill>
          </w14:textFill>
        </w:rPr>
        <w:t>七、其他事项</w:t>
      </w:r>
      <w:bookmarkEnd w:id="148"/>
      <w:bookmarkEnd w:id="149"/>
      <w:bookmarkEnd w:id="150"/>
      <w:bookmarkEnd w:id="151"/>
    </w:p>
    <w:p w14:paraId="3D5031CC">
      <w:pPr>
        <w:pageBreakBefore w:val="0"/>
        <w:widowControl w:val="0"/>
        <w:kinsoku/>
        <w:wordWrap/>
        <w:overflowPunct/>
        <w:topLinePunct w:val="0"/>
        <w:autoSpaceDE/>
        <w:autoSpaceDN/>
        <w:bidi w:val="0"/>
        <w:spacing w:line="360" w:lineRule="auto"/>
        <w:outlineLvl w:val="2"/>
        <w:rPr>
          <w:rFonts w:hint="eastAsia" w:ascii="Times New Roman" w:hAnsi="Times New Roman" w:eastAsia="宋体" w:cs="宋体"/>
          <w:b/>
          <w:bCs/>
          <w:color w:val="000000" w:themeColor="text1"/>
          <w:spacing w:val="0"/>
          <w:sz w:val="21"/>
          <w:szCs w:val="21"/>
          <w:highlight w:val="none"/>
          <w14:textFill>
            <w14:solidFill>
              <w14:schemeClr w14:val="tx1"/>
            </w14:solidFill>
          </w14:textFill>
        </w:rPr>
      </w:pPr>
      <w:bookmarkStart w:id="152" w:name="_Toc14300"/>
      <w:r>
        <w:rPr>
          <w:rFonts w:hint="eastAsia" w:ascii="Times New Roman" w:hAnsi="Times New Roman" w:eastAsia="宋体" w:cs="宋体"/>
          <w:b/>
          <w:bCs/>
          <w:color w:val="000000" w:themeColor="text1"/>
          <w:spacing w:val="0"/>
          <w:sz w:val="21"/>
          <w:szCs w:val="21"/>
          <w:highlight w:val="none"/>
          <w14:textFill>
            <w14:solidFill>
              <w14:schemeClr w14:val="tx1"/>
            </w14:solidFill>
          </w14:textFill>
        </w:rPr>
        <w:t>3</w:t>
      </w:r>
      <w:r>
        <w:rPr>
          <w:rFonts w:hint="eastAsia" w:ascii="Times New Roman" w:hAnsi="Times New Roman" w:eastAsia="宋体" w:cs="宋体"/>
          <w:b/>
          <w:bCs/>
          <w:color w:val="000000" w:themeColor="text1"/>
          <w:spacing w:val="0"/>
          <w:sz w:val="21"/>
          <w:szCs w:val="21"/>
          <w:highlight w:val="none"/>
          <w:lang w:val="en-US" w:eastAsia="zh-CN"/>
          <w14:textFill>
            <w14:solidFill>
              <w14:schemeClr w14:val="tx1"/>
            </w14:solidFill>
          </w14:textFill>
        </w:rPr>
        <w:t>2</w:t>
      </w:r>
      <w:r>
        <w:rPr>
          <w:rFonts w:hint="eastAsia" w:ascii="Times New Roman" w:hAnsi="Times New Roman" w:eastAsia="宋体" w:cs="宋体"/>
          <w:b/>
          <w:bCs/>
          <w:color w:val="000000" w:themeColor="text1"/>
          <w:spacing w:val="0"/>
          <w:sz w:val="21"/>
          <w:szCs w:val="21"/>
          <w:highlight w:val="none"/>
          <w14:textFill>
            <w14:solidFill>
              <w14:schemeClr w14:val="tx1"/>
            </w14:solidFill>
          </w14:textFill>
        </w:rPr>
        <w:t>.采购代理服务费</w:t>
      </w:r>
      <w:bookmarkEnd w:id="152"/>
    </w:p>
    <w:p w14:paraId="3391B99F">
      <w:pPr>
        <w:pageBreakBefore w:val="0"/>
        <w:widowControl w:val="0"/>
        <w:kinsoku/>
        <w:wordWrap/>
        <w:overflowPunct/>
        <w:topLinePunct w:val="0"/>
        <w:autoSpaceDE/>
        <w:autoSpaceDN/>
        <w:bidi w:val="0"/>
        <w:spacing w:line="360" w:lineRule="auto"/>
        <w:ind w:firstLine="420" w:firstLineChars="200"/>
        <w:rPr>
          <w:rFonts w:hint="eastAsia" w:ascii="Times New Roman" w:hAnsi="Times New Roman" w:eastAsia="宋体" w:cs="宋体"/>
          <w:color w:val="000000" w:themeColor="text1"/>
          <w:spacing w:val="0"/>
          <w:szCs w:val="21"/>
          <w:highlight w:val="none"/>
          <w14:textFill>
            <w14:solidFill>
              <w14:schemeClr w14:val="tx1"/>
            </w14:solidFill>
          </w14:textFill>
        </w:rPr>
      </w:pPr>
      <w:r>
        <w:rPr>
          <w:rFonts w:hint="eastAsia" w:ascii="Times New Roman" w:hAnsi="Times New Roman" w:eastAsia="宋体" w:cs="宋体"/>
          <w:color w:val="000000" w:themeColor="text1"/>
          <w:spacing w:val="0"/>
          <w:szCs w:val="21"/>
          <w:highlight w:val="none"/>
          <w14:textFill>
            <w14:solidFill>
              <w14:schemeClr w14:val="tx1"/>
            </w14:solidFill>
          </w14:textFill>
        </w:rPr>
        <w:t>3</w:t>
      </w:r>
      <w:r>
        <w:rPr>
          <w:rFonts w:hint="eastAsia" w:ascii="Times New Roman" w:hAnsi="Times New Roman" w:eastAsia="宋体" w:cs="宋体"/>
          <w:color w:val="000000" w:themeColor="text1"/>
          <w:spacing w:val="0"/>
          <w:szCs w:val="21"/>
          <w:highlight w:val="none"/>
          <w:lang w:val="en-US" w:eastAsia="zh-CN"/>
          <w14:textFill>
            <w14:solidFill>
              <w14:schemeClr w14:val="tx1"/>
            </w14:solidFill>
          </w14:textFill>
        </w:rPr>
        <w:t>2</w:t>
      </w:r>
      <w:r>
        <w:rPr>
          <w:rFonts w:hint="eastAsia" w:ascii="Times New Roman" w:hAnsi="Times New Roman" w:eastAsia="宋体" w:cs="宋体"/>
          <w:color w:val="000000" w:themeColor="text1"/>
          <w:spacing w:val="0"/>
          <w:szCs w:val="21"/>
          <w:highlight w:val="none"/>
          <w14:textFill>
            <w14:solidFill>
              <w14:schemeClr w14:val="tx1"/>
            </w14:solidFill>
          </w14:textFill>
        </w:rPr>
        <w:t>.1 采购代理服务费收费标准及缴费账户详见</w:t>
      </w:r>
      <w:r>
        <w:rPr>
          <w:rFonts w:hint="eastAsia" w:ascii="Times New Roman" w:hAnsi="Times New Roman" w:eastAsia="宋体" w:cs="宋体"/>
          <w:color w:val="000000" w:themeColor="text1"/>
          <w:spacing w:val="0"/>
          <w:szCs w:val="21"/>
          <w:highlight w:val="none"/>
          <w:lang w:eastAsia="zh-CN"/>
          <w14:textFill>
            <w14:solidFill>
              <w14:schemeClr w14:val="tx1"/>
            </w14:solidFill>
          </w14:textFill>
        </w:rPr>
        <w:t>“</w:t>
      </w:r>
      <w:r>
        <w:rPr>
          <w:rFonts w:hint="eastAsia" w:ascii="Times New Roman" w:hAnsi="Times New Roman" w:eastAsia="宋体" w:cs="宋体"/>
          <w:color w:val="000000" w:themeColor="text1"/>
          <w:spacing w:val="0"/>
          <w:szCs w:val="21"/>
          <w:highlight w:val="none"/>
          <w14:textFill>
            <w14:solidFill>
              <w14:schemeClr w14:val="tx1"/>
            </w14:solidFill>
          </w14:textFill>
        </w:rPr>
        <w:t>供应商须知前附表</w:t>
      </w:r>
      <w:r>
        <w:rPr>
          <w:rFonts w:hint="eastAsia" w:ascii="Times New Roman" w:hAnsi="Times New Roman" w:eastAsia="宋体" w:cs="宋体"/>
          <w:color w:val="000000" w:themeColor="text1"/>
          <w:spacing w:val="0"/>
          <w:szCs w:val="21"/>
          <w:highlight w:val="none"/>
          <w:lang w:eastAsia="zh-CN"/>
          <w14:textFill>
            <w14:solidFill>
              <w14:schemeClr w14:val="tx1"/>
            </w14:solidFill>
          </w14:textFill>
        </w:rPr>
        <w:t>”</w:t>
      </w:r>
      <w:r>
        <w:rPr>
          <w:rFonts w:hint="eastAsia" w:ascii="Times New Roman" w:hAnsi="Times New Roman" w:eastAsia="宋体" w:cs="宋体"/>
          <w:color w:val="000000" w:themeColor="text1"/>
          <w:spacing w:val="0"/>
          <w:szCs w:val="21"/>
          <w:highlight w:val="none"/>
          <w14:textFill>
            <w14:solidFill>
              <w14:schemeClr w14:val="tx1"/>
            </w14:solidFill>
          </w14:textFill>
        </w:rPr>
        <w:t>，供应商为联合体的，可以由联合体中的一方或者多方共同缴纳采购代理服务费。</w:t>
      </w:r>
    </w:p>
    <w:p w14:paraId="54F318B9">
      <w:pPr>
        <w:pStyle w:val="14"/>
        <w:keepNext w:val="0"/>
        <w:keepLines w:val="0"/>
        <w:pageBreakBefore w:val="0"/>
        <w:widowControl w:val="0"/>
        <w:kinsoku/>
        <w:wordWrap/>
        <w:overflowPunct/>
        <w:topLinePunct w:val="0"/>
        <w:autoSpaceDE/>
        <w:autoSpaceDN/>
        <w:bidi w:val="0"/>
        <w:adjustRightInd/>
        <w:snapToGrid/>
        <w:spacing w:after="0" w:line="360" w:lineRule="auto"/>
        <w:ind w:firstLine="420" w:firstLineChars="200"/>
        <w:textAlignment w:val="auto"/>
        <w:rPr>
          <w:rFonts w:hint="eastAsia" w:ascii="Times New Roman" w:hAnsi="Times New Roman" w:eastAsia="宋体" w:cs="宋体"/>
          <w:color w:val="000000" w:themeColor="text1"/>
          <w:spacing w:val="0"/>
          <w:highlight w:val="none"/>
          <w:lang w:val="en-US" w:eastAsia="zh-CN"/>
          <w14:textFill>
            <w14:solidFill>
              <w14:schemeClr w14:val="tx1"/>
            </w14:solidFill>
          </w14:textFill>
        </w:rPr>
      </w:pPr>
      <w:r>
        <w:rPr>
          <w:rFonts w:hint="eastAsia" w:ascii="Times New Roman" w:hAnsi="Times New Roman" w:eastAsia="宋体" w:cs="宋体"/>
          <w:color w:val="000000" w:themeColor="text1"/>
          <w:spacing w:val="0"/>
          <w:szCs w:val="21"/>
          <w:highlight w:val="none"/>
          <w:lang w:val="en-US" w:eastAsia="zh-CN"/>
          <w14:textFill>
            <w14:solidFill>
              <w14:schemeClr w14:val="tx1"/>
            </w14:solidFill>
          </w14:textFill>
        </w:rPr>
        <w:t>32.2</w:t>
      </w:r>
      <w:r>
        <w:rPr>
          <w:rFonts w:hint="eastAsia" w:ascii="Times New Roman" w:hAnsi="Times New Roman" w:eastAsia="宋体" w:cs="宋体"/>
          <w:color w:val="000000" w:themeColor="text1"/>
          <w:spacing w:val="0"/>
          <w:szCs w:val="21"/>
          <w:highlight w:val="none"/>
          <w:lang w:eastAsia="zh-CN"/>
          <w14:textFill>
            <w14:solidFill>
              <w14:schemeClr w14:val="tx1"/>
            </w14:solidFill>
          </w14:textFill>
        </w:rPr>
        <w:t>采购</w:t>
      </w:r>
      <w:r>
        <w:rPr>
          <w:rFonts w:hint="eastAsia" w:ascii="Times New Roman" w:hAnsi="Times New Roman" w:eastAsia="宋体" w:cs="宋体"/>
          <w:color w:val="000000" w:themeColor="text1"/>
          <w:spacing w:val="0"/>
          <w:szCs w:val="21"/>
          <w:highlight w:val="none"/>
          <w14:textFill>
            <w14:solidFill>
              <w14:schemeClr w14:val="tx1"/>
            </w14:solidFill>
          </w14:textFill>
        </w:rPr>
        <w:t>代理服务费收费计算标准</w:t>
      </w:r>
      <w:r>
        <w:rPr>
          <w:rFonts w:hint="eastAsia" w:ascii="Times New Roman" w:hAnsi="Times New Roman" w:eastAsia="宋体" w:cs="宋体"/>
          <w:color w:val="000000" w:themeColor="text1"/>
          <w:spacing w:val="0"/>
          <w:szCs w:val="21"/>
          <w:highlight w:val="none"/>
          <w:lang w:eastAsia="zh-CN"/>
          <w14:textFill>
            <w14:solidFill>
              <w14:schemeClr w14:val="tx1"/>
            </w14:solidFill>
          </w14:textFill>
        </w:rPr>
        <w:t>：</w:t>
      </w:r>
    </w:p>
    <w:tbl>
      <w:tblPr>
        <w:tblStyle w:val="29"/>
        <w:tblW w:w="820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72"/>
        <w:gridCol w:w="1659"/>
        <w:gridCol w:w="1532"/>
        <w:gridCol w:w="1546"/>
      </w:tblGrid>
      <w:tr w14:paraId="7E8B29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72" w:type="dxa"/>
            <w:tcBorders>
              <w:tl2br w:val="single" w:color="auto" w:sz="4" w:space="0"/>
            </w:tcBorders>
            <w:shd w:val="clear" w:color="auto" w:fill="auto"/>
            <w:noWrap w:val="0"/>
            <w:vAlign w:val="top"/>
          </w:tcPr>
          <w:p w14:paraId="5BDA5FAE">
            <w:pPr>
              <w:pageBreakBefore w:val="0"/>
              <w:widowControl w:val="0"/>
              <w:kinsoku/>
              <w:wordWrap/>
              <w:overflowPunct/>
              <w:topLinePunct w:val="0"/>
              <w:autoSpaceDE/>
              <w:autoSpaceDN/>
              <w:bidi w:val="0"/>
              <w:spacing w:line="360" w:lineRule="auto"/>
              <w:rPr>
                <w:rFonts w:hint="eastAsia" w:ascii="Times New Roman" w:hAnsi="Times New Roman" w:eastAsia="宋体" w:cs="宋体"/>
                <w:b/>
                <w:bCs/>
                <w:color w:val="000000" w:themeColor="text1"/>
                <w:spacing w:val="0"/>
                <w:szCs w:val="21"/>
                <w:highlight w:val="none"/>
                <w14:textFill>
                  <w14:solidFill>
                    <w14:schemeClr w14:val="tx1"/>
                  </w14:solidFill>
                </w14:textFill>
              </w:rPr>
            </w:pPr>
            <w:r>
              <w:rPr>
                <w:rFonts w:hint="eastAsia" w:ascii="Times New Roman" w:hAnsi="Times New Roman" w:eastAsia="宋体" w:cs="宋体"/>
                <w:b/>
                <w:bCs/>
                <w:color w:val="000000" w:themeColor="text1"/>
                <w:spacing w:val="0"/>
                <w:szCs w:val="21"/>
                <w:highlight w:val="none"/>
                <w14:textFill>
                  <w14:solidFill>
                    <w14:schemeClr w14:val="tx1"/>
                  </w14:solidFill>
                </w14:textFill>
              </w:rPr>
              <w:t xml:space="preserve">               费率</w:t>
            </w:r>
          </w:p>
          <w:p w14:paraId="774010C0">
            <w:pPr>
              <w:pageBreakBefore w:val="0"/>
              <w:widowControl w:val="0"/>
              <w:kinsoku/>
              <w:wordWrap/>
              <w:overflowPunct/>
              <w:topLinePunct w:val="0"/>
              <w:autoSpaceDE/>
              <w:autoSpaceDN/>
              <w:bidi w:val="0"/>
              <w:spacing w:line="360" w:lineRule="auto"/>
              <w:rPr>
                <w:rFonts w:hint="eastAsia" w:ascii="Times New Roman" w:hAnsi="Times New Roman" w:eastAsia="宋体" w:cs="宋体"/>
                <w:b/>
                <w:bCs/>
                <w:color w:val="000000" w:themeColor="text1"/>
                <w:spacing w:val="0"/>
                <w:szCs w:val="21"/>
                <w:highlight w:val="none"/>
                <w14:textFill>
                  <w14:solidFill>
                    <w14:schemeClr w14:val="tx1"/>
                  </w14:solidFill>
                </w14:textFill>
              </w:rPr>
            </w:pPr>
            <w:r>
              <w:rPr>
                <w:rFonts w:hint="eastAsia" w:ascii="Times New Roman" w:hAnsi="Times New Roman" w:eastAsia="宋体" w:cs="宋体"/>
                <w:b/>
                <w:bCs/>
                <w:color w:val="000000" w:themeColor="text1"/>
                <w:spacing w:val="0"/>
                <w:szCs w:val="21"/>
                <w:highlight w:val="none"/>
                <w14:textFill>
                  <w14:solidFill>
                    <w14:schemeClr w14:val="tx1"/>
                  </w14:solidFill>
                </w14:textFill>
              </w:rPr>
              <w:t>金额</w:t>
            </w:r>
          </w:p>
        </w:tc>
        <w:tc>
          <w:tcPr>
            <w:tcW w:w="1659" w:type="dxa"/>
            <w:shd w:val="clear" w:color="auto" w:fill="auto"/>
            <w:noWrap w:val="0"/>
            <w:vAlign w:val="center"/>
          </w:tcPr>
          <w:p w14:paraId="45D6D8EC">
            <w:pPr>
              <w:pageBreakBefore w:val="0"/>
              <w:widowControl w:val="0"/>
              <w:kinsoku/>
              <w:wordWrap/>
              <w:overflowPunct/>
              <w:topLinePunct w:val="0"/>
              <w:autoSpaceDE/>
              <w:autoSpaceDN/>
              <w:bidi w:val="0"/>
              <w:spacing w:line="360" w:lineRule="auto"/>
              <w:ind w:firstLine="105" w:firstLineChars="50"/>
              <w:jc w:val="center"/>
              <w:rPr>
                <w:rFonts w:hint="eastAsia" w:ascii="Times New Roman" w:hAnsi="Times New Roman" w:eastAsia="宋体" w:cs="宋体"/>
                <w:b/>
                <w:bCs/>
                <w:color w:val="000000" w:themeColor="text1"/>
                <w:spacing w:val="0"/>
                <w:szCs w:val="21"/>
                <w:highlight w:val="none"/>
                <w14:textFill>
                  <w14:solidFill>
                    <w14:schemeClr w14:val="tx1"/>
                  </w14:solidFill>
                </w14:textFill>
              </w:rPr>
            </w:pPr>
            <w:r>
              <w:rPr>
                <w:rFonts w:hint="eastAsia" w:ascii="Times New Roman" w:hAnsi="Times New Roman" w:eastAsia="宋体" w:cs="宋体"/>
                <w:b/>
                <w:bCs/>
                <w:color w:val="000000" w:themeColor="text1"/>
                <w:spacing w:val="0"/>
                <w:szCs w:val="21"/>
                <w:highlight w:val="none"/>
                <w14:textFill>
                  <w14:solidFill>
                    <w14:schemeClr w14:val="tx1"/>
                  </w14:solidFill>
                </w14:textFill>
              </w:rPr>
              <w:t>货物类</w:t>
            </w:r>
          </w:p>
        </w:tc>
        <w:tc>
          <w:tcPr>
            <w:tcW w:w="1532" w:type="dxa"/>
            <w:shd w:val="clear" w:color="auto" w:fill="auto"/>
            <w:noWrap w:val="0"/>
            <w:vAlign w:val="center"/>
          </w:tcPr>
          <w:p w14:paraId="509BAFEB">
            <w:pPr>
              <w:pageBreakBefore w:val="0"/>
              <w:widowControl w:val="0"/>
              <w:kinsoku/>
              <w:wordWrap/>
              <w:overflowPunct/>
              <w:topLinePunct w:val="0"/>
              <w:autoSpaceDE/>
              <w:autoSpaceDN/>
              <w:bidi w:val="0"/>
              <w:spacing w:line="360" w:lineRule="auto"/>
              <w:jc w:val="center"/>
              <w:rPr>
                <w:rFonts w:hint="eastAsia" w:ascii="Times New Roman" w:hAnsi="Times New Roman" w:eastAsia="宋体" w:cs="宋体"/>
                <w:b/>
                <w:bCs/>
                <w:color w:val="000000" w:themeColor="text1"/>
                <w:spacing w:val="0"/>
                <w:szCs w:val="21"/>
                <w:highlight w:val="none"/>
                <w14:textFill>
                  <w14:solidFill>
                    <w14:schemeClr w14:val="tx1"/>
                  </w14:solidFill>
                </w14:textFill>
              </w:rPr>
            </w:pPr>
            <w:r>
              <w:rPr>
                <w:rFonts w:hint="eastAsia" w:ascii="Times New Roman" w:hAnsi="Times New Roman" w:eastAsia="宋体" w:cs="宋体"/>
                <w:b/>
                <w:bCs/>
                <w:color w:val="000000" w:themeColor="text1"/>
                <w:spacing w:val="0"/>
                <w:szCs w:val="21"/>
                <w:highlight w:val="none"/>
                <w14:textFill>
                  <w14:solidFill>
                    <w14:schemeClr w14:val="tx1"/>
                  </w14:solidFill>
                </w14:textFill>
              </w:rPr>
              <w:t>服务类</w:t>
            </w:r>
          </w:p>
        </w:tc>
        <w:tc>
          <w:tcPr>
            <w:tcW w:w="1546" w:type="dxa"/>
            <w:shd w:val="clear" w:color="auto" w:fill="auto"/>
            <w:noWrap w:val="0"/>
            <w:vAlign w:val="center"/>
          </w:tcPr>
          <w:p w14:paraId="5EBCC96D">
            <w:pPr>
              <w:pageBreakBefore w:val="0"/>
              <w:widowControl w:val="0"/>
              <w:kinsoku/>
              <w:wordWrap/>
              <w:overflowPunct/>
              <w:topLinePunct w:val="0"/>
              <w:autoSpaceDE/>
              <w:autoSpaceDN/>
              <w:bidi w:val="0"/>
              <w:spacing w:line="360" w:lineRule="auto"/>
              <w:jc w:val="center"/>
              <w:rPr>
                <w:rFonts w:hint="eastAsia" w:ascii="Times New Roman" w:hAnsi="Times New Roman" w:eastAsia="宋体" w:cs="宋体"/>
                <w:b/>
                <w:bCs/>
                <w:color w:val="000000" w:themeColor="text1"/>
                <w:spacing w:val="0"/>
                <w:szCs w:val="21"/>
                <w:highlight w:val="none"/>
                <w14:textFill>
                  <w14:solidFill>
                    <w14:schemeClr w14:val="tx1"/>
                  </w14:solidFill>
                </w14:textFill>
              </w:rPr>
            </w:pPr>
            <w:r>
              <w:rPr>
                <w:rFonts w:hint="eastAsia" w:ascii="Times New Roman" w:hAnsi="Times New Roman" w:eastAsia="宋体" w:cs="宋体"/>
                <w:b/>
                <w:bCs/>
                <w:color w:val="000000" w:themeColor="text1"/>
                <w:spacing w:val="0"/>
                <w:szCs w:val="21"/>
                <w:highlight w:val="none"/>
                <w14:textFill>
                  <w14:solidFill>
                    <w14:schemeClr w14:val="tx1"/>
                  </w14:solidFill>
                </w14:textFill>
              </w:rPr>
              <w:t>工程类</w:t>
            </w:r>
          </w:p>
        </w:tc>
      </w:tr>
      <w:tr w14:paraId="176A8F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72" w:type="dxa"/>
            <w:noWrap w:val="0"/>
            <w:vAlign w:val="top"/>
          </w:tcPr>
          <w:p w14:paraId="7A66B17B">
            <w:pPr>
              <w:pageBreakBefore w:val="0"/>
              <w:widowControl w:val="0"/>
              <w:kinsoku/>
              <w:wordWrap/>
              <w:overflowPunct/>
              <w:topLinePunct w:val="0"/>
              <w:autoSpaceDE/>
              <w:autoSpaceDN/>
              <w:bidi w:val="0"/>
              <w:spacing w:line="360" w:lineRule="auto"/>
              <w:rPr>
                <w:rFonts w:hint="eastAsia" w:ascii="Times New Roman" w:hAnsi="Times New Roman" w:eastAsia="宋体" w:cs="宋体"/>
                <w:color w:val="000000" w:themeColor="text1"/>
                <w:spacing w:val="0"/>
                <w:szCs w:val="21"/>
                <w:highlight w:val="none"/>
                <w14:textFill>
                  <w14:solidFill>
                    <w14:schemeClr w14:val="tx1"/>
                  </w14:solidFill>
                </w14:textFill>
              </w:rPr>
            </w:pPr>
            <w:r>
              <w:rPr>
                <w:rFonts w:hint="eastAsia" w:ascii="Times New Roman" w:hAnsi="Times New Roman" w:eastAsia="宋体" w:cs="宋体"/>
                <w:color w:val="000000" w:themeColor="text1"/>
                <w:spacing w:val="0"/>
                <w:szCs w:val="21"/>
                <w:highlight w:val="none"/>
                <w14:textFill>
                  <w14:solidFill>
                    <w14:schemeClr w14:val="tx1"/>
                  </w14:solidFill>
                </w14:textFill>
              </w:rPr>
              <w:t>100万元以下</w:t>
            </w:r>
          </w:p>
        </w:tc>
        <w:tc>
          <w:tcPr>
            <w:tcW w:w="1659" w:type="dxa"/>
            <w:noWrap w:val="0"/>
            <w:vAlign w:val="top"/>
          </w:tcPr>
          <w:p w14:paraId="0B2AD8A7">
            <w:pPr>
              <w:pageBreakBefore w:val="0"/>
              <w:widowControl w:val="0"/>
              <w:kinsoku/>
              <w:wordWrap/>
              <w:overflowPunct/>
              <w:topLinePunct w:val="0"/>
              <w:autoSpaceDE/>
              <w:autoSpaceDN/>
              <w:bidi w:val="0"/>
              <w:spacing w:line="360" w:lineRule="auto"/>
              <w:rPr>
                <w:rFonts w:hint="eastAsia" w:ascii="Times New Roman" w:hAnsi="Times New Roman" w:eastAsia="宋体" w:cs="宋体"/>
                <w:color w:val="000000" w:themeColor="text1"/>
                <w:spacing w:val="0"/>
                <w:szCs w:val="21"/>
                <w:highlight w:val="none"/>
                <w14:textFill>
                  <w14:solidFill>
                    <w14:schemeClr w14:val="tx1"/>
                  </w14:solidFill>
                </w14:textFill>
              </w:rPr>
            </w:pPr>
            <w:r>
              <w:rPr>
                <w:rFonts w:hint="eastAsia" w:ascii="Times New Roman" w:hAnsi="Times New Roman" w:eastAsia="宋体" w:cs="宋体"/>
                <w:color w:val="000000" w:themeColor="text1"/>
                <w:spacing w:val="0"/>
                <w:kern w:val="0"/>
                <w:szCs w:val="21"/>
                <w:highlight w:val="none"/>
                <w14:textFill>
                  <w14:solidFill>
                    <w14:schemeClr w14:val="tx1"/>
                  </w14:solidFill>
                </w14:textFill>
              </w:rPr>
              <w:t xml:space="preserve">  1.5%                </w:t>
            </w:r>
          </w:p>
        </w:tc>
        <w:tc>
          <w:tcPr>
            <w:tcW w:w="1532" w:type="dxa"/>
            <w:noWrap w:val="0"/>
            <w:vAlign w:val="top"/>
          </w:tcPr>
          <w:p w14:paraId="5E8400D6">
            <w:pPr>
              <w:pageBreakBefore w:val="0"/>
              <w:widowControl w:val="0"/>
              <w:kinsoku/>
              <w:wordWrap/>
              <w:overflowPunct/>
              <w:topLinePunct w:val="0"/>
              <w:autoSpaceDE/>
              <w:autoSpaceDN/>
              <w:bidi w:val="0"/>
              <w:spacing w:line="360" w:lineRule="auto"/>
              <w:ind w:firstLine="210" w:firstLineChars="100"/>
              <w:rPr>
                <w:rFonts w:hint="eastAsia" w:ascii="Times New Roman" w:hAnsi="Times New Roman" w:eastAsia="宋体" w:cs="宋体"/>
                <w:color w:val="000000" w:themeColor="text1"/>
                <w:spacing w:val="0"/>
                <w:szCs w:val="21"/>
                <w:highlight w:val="none"/>
                <w14:textFill>
                  <w14:solidFill>
                    <w14:schemeClr w14:val="tx1"/>
                  </w14:solidFill>
                </w14:textFill>
              </w:rPr>
            </w:pPr>
            <w:r>
              <w:rPr>
                <w:rFonts w:hint="eastAsia" w:ascii="Times New Roman" w:hAnsi="Times New Roman" w:eastAsia="宋体" w:cs="宋体"/>
                <w:color w:val="000000" w:themeColor="text1"/>
                <w:spacing w:val="0"/>
                <w:kern w:val="0"/>
                <w:szCs w:val="21"/>
                <w:highlight w:val="none"/>
                <w14:textFill>
                  <w14:solidFill>
                    <w14:schemeClr w14:val="tx1"/>
                  </w14:solidFill>
                </w14:textFill>
              </w:rPr>
              <w:t>1.5%</w:t>
            </w:r>
          </w:p>
        </w:tc>
        <w:tc>
          <w:tcPr>
            <w:tcW w:w="1546" w:type="dxa"/>
            <w:noWrap w:val="0"/>
            <w:vAlign w:val="top"/>
          </w:tcPr>
          <w:p w14:paraId="7946F4EA">
            <w:pPr>
              <w:pageBreakBefore w:val="0"/>
              <w:widowControl w:val="0"/>
              <w:kinsoku/>
              <w:wordWrap/>
              <w:overflowPunct/>
              <w:topLinePunct w:val="0"/>
              <w:autoSpaceDE/>
              <w:autoSpaceDN/>
              <w:bidi w:val="0"/>
              <w:spacing w:line="360" w:lineRule="auto"/>
              <w:ind w:firstLine="210" w:firstLineChars="100"/>
              <w:rPr>
                <w:rFonts w:hint="eastAsia" w:ascii="Times New Roman" w:hAnsi="Times New Roman" w:eastAsia="宋体" w:cs="宋体"/>
                <w:color w:val="000000" w:themeColor="text1"/>
                <w:spacing w:val="0"/>
                <w:szCs w:val="21"/>
                <w:highlight w:val="none"/>
                <w14:textFill>
                  <w14:solidFill>
                    <w14:schemeClr w14:val="tx1"/>
                  </w14:solidFill>
                </w14:textFill>
              </w:rPr>
            </w:pPr>
            <w:r>
              <w:rPr>
                <w:rFonts w:hint="eastAsia" w:ascii="Times New Roman" w:hAnsi="Times New Roman" w:eastAsia="宋体" w:cs="宋体"/>
                <w:color w:val="000000" w:themeColor="text1"/>
                <w:spacing w:val="0"/>
                <w:kern w:val="0"/>
                <w:szCs w:val="21"/>
                <w:highlight w:val="none"/>
                <w14:textFill>
                  <w14:solidFill>
                    <w14:schemeClr w14:val="tx1"/>
                  </w14:solidFill>
                </w14:textFill>
              </w:rPr>
              <w:t xml:space="preserve">1.0% </w:t>
            </w:r>
          </w:p>
        </w:tc>
      </w:tr>
      <w:tr w14:paraId="1E9DB2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72" w:type="dxa"/>
            <w:noWrap w:val="0"/>
            <w:vAlign w:val="top"/>
          </w:tcPr>
          <w:p w14:paraId="21AE171E">
            <w:pPr>
              <w:pageBreakBefore w:val="0"/>
              <w:widowControl w:val="0"/>
              <w:kinsoku/>
              <w:wordWrap/>
              <w:overflowPunct/>
              <w:topLinePunct w:val="0"/>
              <w:autoSpaceDE/>
              <w:autoSpaceDN/>
              <w:bidi w:val="0"/>
              <w:spacing w:line="360" w:lineRule="auto"/>
              <w:rPr>
                <w:rFonts w:hint="eastAsia" w:ascii="Times New Roman" w:hAnsi="Times New Roman" w:eastAsia="宋体" w:cs="宋体"/>
                <w:color w:val="000000" w:themeColor="text1"/>
                <w:spacing w:val="0"/>
                <w:szCs w:val="21"/>
                <w:highlight w:val="none"/>
                <w14:textFill>
                  <w14:solidFill>
                    <w14:schemeClr w14:val="tx1"/>
                  </w14:solidFill>
                </w14:textFill>
              </w:rPr>
            </w:pPr>
            <w:r>
              <w:rPr>
                <w:rFonts w:hint="eastAsia" w:ascii="Times New Roman" w:hAnsi="Times New Roman" w:eastAsia="宋体" w:cs="宋体"/>
                <w:color w:val="000000" w:themeColor="text1"/>
                <w:spacing w:val="0"/>
                <w:szCs w:val="21"/>
                <w:highlight w:val="none"/>
                <w14:textFill>
                  <w14:solidFill>
                    <w14:schemeClr w14:val="tx1"/>
                  </w14:solidFill>
                </w14:textFill>
              </w:rPr>
              <w:t>100～500万元</w:t>
            </w:r>
          </w:p>
        </w:tc>
        <w:tc>
          <w:tcPr>
            <w:tcW w:w="1659" w:type="dxa"/>
            <w:noWrap w:val="0"/>
            <w:vAlign w:val="top"/>
          </w:tcPr>
          <w:p w14:paraId="57D7D37B">
            <w:pPr>
              <w:pageBreakBefore w:val="0"/>
              <w:widowControl w:val="0"/>
              <w:kinsoku/>
              <w:wordWrap/>
              <w:overflowPunct/>
              <w:topLinePunct w:val="0"/>
              <w:autoSpaceDE/>
              <w:autoSpaceDN/>
              <w:bidi w:val="0"/>
              <w:spacing w:line="360" w:lineRule="auto"/>
              <w:ind w:firstLine="210" w:firstLineChars="100"/>
              <w:rPr>
                <w:rFonts w:hint="eastAsia" w:ascii="Times New Roman" w:hAnsi="Times New Roman" w:eastAsia="宋体" w:cs="宋体"/>
                <w:color w:val="000000" w:themeColor="text1"/>
                <w:spacing w:val="0"/>
                <w:szCs w:val="21"/>
                <w:highlight w:val="none"/>
                <w14:textFill>
                  <w14:solidFill>
                    <w14:schemeClr w14:val="tx1"/>
                  </w14:solidFill>
                </w14:textFill>
              </w:rPr>
            </w:pPr>
            <w:r>
              <w:rPr>
                <w:rFonts w:hint="eastAsia" w:ascii="Times New Roman" w:hAnsi="Times New Roman" w:eastAsia="宋体" w:cs="宋体"/>
                <w:color w:val="000000" w:themeColor="text1"/>
                <w:spacing w:val="0"/>
                <w:kern w:val="0"/>
                <w:szCs w:val="21"/>
                <w:highlight w:val="none"/>
                <w14:textFill>
                  <w14:solidFill>
                    <w14:schemeClr w14:val="tx1"/>
                  </w14:solidFill>
                </w14:textFill>
              </w:rPr>
              <w:t xml:space="preserve">1.1%                 </w:t>
            </w:r>
          </w:p>
        </w:tc>
        <w:tc>
          <w:tcPr>
            <w:tcW w:w="1532" w:type="dxa"/>
            <w:noWrap w:val="0"/>
            <w:vAlign w:val="top"/>
          </w:tcPr>
          <w:p w14:paraId="0F1C9E59">
            <w:pPr>
              <w:pageBreakBefore w:val="0"/>
              <w:widowControl w:val="0"/>
              <w:kinsoku/>
              <w:wordWrap/>
              <w:overflowPunct/>
              <w:topLinePunct w:val="0"/>
              <w:autoSpaceDE/>
              <w:autoSpaceDN/>
              <w:bidi w:val="0"/>
              <w:spacing w:line="360" w:lineRule="auto"/>
              <w:ind w:firstLine="210" w:firstLineChars="100"/>
              <w:rPr>
                <w:rFonts w:hint="eastAsia" w:ascii="Times New Roman" w:hAnsi="Times New Roman" w:eastAsia="宋体" w:cs="宋体"/>
                <w:color w:val="000000" w:themeColor="text1"/>
                <w:spacing w:val="0"/>
                <w:szCs w:val="21"/>
                <w:highlight w:val="none"/>
                <w14:textFill>
                  <w14:solidFill>
                    <w14:schemeClr w14:val="tx1"/>
                  </w14:solidFill>
                </w14:textFill>
              </w:rPr>
            </w:pPr>
            <w:r>
              <w:rPr>
                <w:rFonts w:hint="eastAsia" w:ascii="Times New Roman" w:hAnsi="Times New Roman" w:eastAsia="宋体" w:cs="宋体"/>
                <w:color w:val="000000" w:themeColor="text1"/>
                <w:spacing w:val="0"/>
                <w:kern w:val="0"/>
                <w:szCs w:val="21"/>
                <w:highlight w:val="none"/>
                <w14:textFill>
                  <w14:solidFill>
                    <w14:schemeClr w14:val="tx1"/>
                  </w14:solidFill>
                </w14:textFill>
              </w:rPr>
              <w:t>0.8%</w:t>
            </w:r>
          </w:p>
        </w:tc>
        <w:tc>
          <w:tcPr>
            <w:tcW w:w="1546" w:type="dxa"/>
            <w:noWrap w:val="0"/>
            <w:vAlign w:val="top"/>
          </w:tcPr>
          <w:p w14:paraId="43F2C5DD">
            <w:pPr>
              <w:pageBreakBefore w:val="0"/>
              <w:widowControl w:val="0"/>
              <w:kinsoku/>
              <w:wordWrap/>
              <w:overflowPunct/>
              <w:topLinePunct w:val="0"/>
              <w:autoSpaceDE/>
              <w:autoSpaceDN/>
              <w:bidi w:val="0"/>
              <w:spacing w:line="360" w:lineRule="auto"/>
              <w:ind w:firstLine="210" w:firstLineChars="100"/>
              <w:rPr>
                <w:rFonts w:hint="eastAsia" w:ascii="Times New Roman" w:hAnsi="Times New Roman" w:eastAsia="宋体" w:cs="宋体"/>
                <w:color w:val="000000" w:themeColor="text1"/>
                <w:spacing w:val="0"/>
                <w:szCs w:val="21"/>
                <w:highlight w:val="none"/>
                <w14:textFill>
                  <w14:solidFill>
                    <w14:schemeClr w14:val="tx1"/>
                  </w14:solidFill>
                </w14:textFill>
              </w:rPr>
            </w:pPr>
            <w:r>
              <w:rPr>
                <w:rFonts w:hint="eastAsia" w:ascii="Times New Roman" w:hAnsi="Times New Roman" w:eastAsia="宋体" w:cs="宋体"/>
                <w:color w:val="000000" w:themeColor="text1"/>
                <w:spacing w:val="0"/>
                <w:kern w:val="0"/>
                <w:szCs w:val="21"/>
                <w:highlight w:val="none"/>
                <w14:textFill>
                  <w14:solidFill>
                    <w14:schemeClr w14:val="tx1"/>
                  </w14:solidFill>
                </w14:textFill>
              </w:rPr>
              <w:t xml:space="preserve">0.7% </w:t>
            </w:r>
          </w:p>
        </w:tc>
      </w:tr>
      <w:tr w14:paraId="0F5BEF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72" w:type="dxa"/>
            <w:noWrap w:val="0"/>
            <w:vAlign w:val="top"/>
          </w:tcPr>
          <w:p w14:paraId="7C75E2FD">
            <w:pPr>
              <w:pageBreakBefore w:val="0"/>
              <w:widowControl w:val="0"/>
              <w:kinsoku/>
              <w:wordWrap/>
              <w:overflowPunct/>
              <w:topLinePunct w:val="0"/>
              <w:autoSpaceDE/>
              <w:autoSpaceDN/>
              <w:bidi w:val="0"/>
              <w:spacing w:line="360" w:lineRule="auto"/>
              <w:rPr>
                <w:rFonts w:hint="eastAsia" w:ascii="Times New Roman" w:hAnsi="Times New Roman" w:eastAsia="宋体" w:cs="宋体"/>
                <w:color w:val="000000" w:themeColor="text1"/>
                <w:spacing w:val="0"/>
                <w:szCs w:val="21"/>
                <w:highlight w:val="none"/>
                <w14:textFill>
                  <w14:solidFill>
                    <w14:schemeClr w14:val="tx1"/>
                  </w14:solidFill>
                </w14:textFill>
              </w:rPr>
            </w:pPr>
            <w:r>
              <w:rPr>
                <w:rFonts w:hint="eastAsia" w:ascii="Times New Roman" w:hAnsi="Times New Roman" w:eastAsia="宋体" w:cs="宋体"/>
                <w:color w:val="000000" w:themeColor="text1"/>
                <w:spacing w:val="0"/>
                <w:szCs w:val="21"/>
                <w:highlight w:val="none"/>
                <w14:textFill>
                  <w14:solidFill>
                    <w14:schemeClr w14:val="tx1"/>
                  </w14:solidFill>
                </w14:textFill>
              </w:rPr>
              <w:t>500～1000万元</w:t>
            </w:r>
          </w:p>
        </w:tc>
        <w:tc>
          <w:tcPr>
            <w:tcW w:w="1659" w:type="dxa"/>
            <w:noWrap w:val="0"/>
            <w:vAlign w:val="top"/>
          </w:tcPr>
          <w:p w14:paraId="7C066E1C">
            <w:pPr>
              <w:pageBreakBefore w:val="0"/>
              <w:widowControl w:val="0"/>
              <w:kinsoku/>
              <w:wordWrap/>
              <w:overflowPunct/>
              <w:topLinePunct w:val="0"/>
              <w:autoSpaceDE/>
              <w:autoSpaceDN/>
              <w:bidi w:val="0"/>
              <w:spacing w:line="360" w:lineRule="auto"/>
              <w:rPr>
                <w:rFonts w:hint="eastAsia" w:ascii="Times New Roman" w:hAnsi="Times New Roman" w:eastAsia="宋体" w:cs="宋体"/>
                <w:color w:val="000000" w:themeColor="text1"/>
                <w:spacing w:val="0"/>
                <w:szCs w:val="21"/>
                <w:highlight w:val="none"/>
                <w14:textFill>
                  <w14:solidFill>
                    <w14:schemeClr w14:val="tx1"/>
                  </w14:solidFill>
                </w14:textFill>
              </w:rPr>
            </w:pPr>
            <w:r>
              <w:rPr>
                <w:rFonts w:hint="eastAsia" w:ascii="Times New Roman" w:hAnsi="Times New Roman" w:eastAsia="宋体" w:cs="宋体"/>
                <w:color w:val="000000" w:themeColor="text1"/>
                <w:spacing w:val="0"/>
                <w:kern w:val="0"/>
                <w:szCs w:val="21"/>
                <w:highlight w:val="none"/>
                <w14:textFill>
                  <w14:solidFill>
                    <w14:schemeClr w14:val="tx1"/>
                  </w14:solidFill>
                </w14:textFill>
              </w:rPr>
              <w:t xml:space="preserve">  0.8%                </w:t>
            </w:r>
          </w:p>
        </w:tc>
        <w:tc>
          <w:tcPr>
            <w:tcW w:w="1532" w:type="dxa"/>
            <w:noWrap w:val="0"/>
            <w:vAlign w:val="top"/>
          </w:tcPr>
          <w:p w14:paraId="5E9F2D36">
            <w:pPr>
              <w:pageBreakBefore w:val="0"/>
              <w:widowControl w:val="0"/>
              <w:kinsoku/>
              <w:wordWrap/>
              <w:overflowPunct/>
              <w:topLinePunct w:val="0"/>
              <w:autoSpaceDE/>
              <w:autoSpaceDN/>
              <w:bidi w:val="0"/>
              <w:spacing w:line="360" w:lineRule="auto"/>
              <w:ind w:firstLine="210" w:firstLineChars="100"/>
              <w:rPr>
                <w:rFonts w:hint="eastAsia" w:ascii="Times New Roman" w:hAnsi="Times New Roman" w:eastAsia="宋体" w:cs="宋体"/>
                <w:color w:val="000000" w:themeColor="text1"/>
                <w:spacing w:val="0"/>
                <w:szCs w:val="21"/>
                <w:highlight w:val="none"/>
                <w14:textFill>
                  <w14:solidFill>
                    <w14:schemeClr w14:val="tx1"/>
                  </w14:solidFill>
                </w14:textFill>
              </w:rPr>
            </w:pPr>
            <w:r>
              <w:rPr>
                <w:rFonts w:hint="eastAsia" w:ascii="Times New Roman" w:hAnsi="Times New Roman" w:eastAsia="宋体" w:cs="宋体"/>
                <w:color w:val="000000" w:themeColor="text1"/>
                <w:spacing w:val="0"/>
                <w:kern w:val="0"/>
                <w:szCs w:val="21"/>
                <w:highlight w:val="none"/>
                <w14:textFill>
                  <w14:solidFill>
                    <w14:schemeClr w14:val="tx1"/>
                  </w14:solidFill>
                </w14:textFill>
              </w:rPr>
              <w:t>0.45%</w:t>
            </w:r>
          </w:p>
        </w:tc>
        <w:tc>
          <w:tcPr>
            <w:tcW w:w="1546" w:type="dxa"/>
            <w:noWrap w:val="0"/>
            <w:vAlign w:val="top"/>
          </w:tcPr>
          <w:p w14:paraId="4CB1E0AB">
            <w:pPr>
              <w:pageBreakBefore w:val="0"/>
              <w:widowControl w:val="0"/>
              <w:kinsoku/>
              <w:wordWrap/>
              <w:overflowPunct/>
              <w:topLinePunct w:val="0"/>
              <w:autoSpaceDE/>
              <w:autoSpaceDN/>
              <w:bidi w:val="0"/>
              <w:spacing w:line="360" w:lineRule="auto"/>
              <w:ind w:firstLine="210" w:firstLineChars="100"/>
              <w:rPr>
                <w:rFonts w:hint="eastAsia" w:ascii="Times New Roman" w:hAnsi="Times New Roman" w:eastAsia="宋体" w:cs="宋体"/>
                <w:color w:val="000000" w:themeColor="text1"/>
                <w:spacing w:val="0"/>
                <w:szCs w:val="21"/>
                <w:highlight w:val="none"/>
                <w14:textFill>
                  <w14:solidFill>
                    <w14:schemeClr w14:val="tx1"/>
                  </w14:solidFill>
                </w14:textFill>
              </w:rPr>
            </w:pPr>
            <w:r>
              <w:rPr>
                <w:rFonts w:hint="eastAsia" w:ascii="Times New Roman" w:hAnsi="Times New Roman" w:eastAsia="宋体" w:cs="宋体"/>
                <w:color w:val="000000" w:themeColor="text1"/>
                <w:spacing w:val="0"/>
                <w:kern w:val="0"/>
                <w:szCs w:val="21"/>
                <w:highlight w:val="none"/>
                <w14:textFill>
                  <w14:solidFill>
                    <w14:schemeClr w14:val="tx1"/>
                  </w14:solidFill>
                </w14:textFill>
              </w:rPr>
              <w:t>0.55%</w:t>
            </w:r>
          </w:p>
        </w:tc>
      </w:tr>
      <w:tr w14:paraId="5C6D44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72" w:type="dxa"/>
            <w:noWrap w:val="0"/>
            <w:vAlign w:val="top"/>
          </w:tcPr>
          <w:p w14:paraId="25DA2B51">
            <w:pPr>
              <w:pageBreakBefore w:val="0"/>
              <w:widowControl w:val="0"/>
              <w:kinsoku/>
              <w:wordWrap/>
              <w:overflowPunct/>
              <w:topLinePunct w:val="0"/>
              <w:autoSpaceDE/>
              <w:autoSpaceDN/>
              <w:bidi w:val="0"/>
              <w:spacing w:line="360" w:lineRule="auto"/>
              <w:rPr>
                <w:rFonts w:hint="eastAsia" w:ascii="Times New Roman" w:hAnsi="Times New Roman" w:eastAsia="宋体" w:cs="宋体"/>
                <w:color w:val="000000" w:themeColor="text1"/>
                <w:spacing w:val="0"/>
                <w:szCs w:val="21"/>
                <w:highlight w:val="none"/>
                <w14:textFill>
                  <w14:solidFill>
                    <w14:schemeClr w14:val="tx1"/>
                  </w14:solidFill>
                </w14:textFill>
              </w:rPr>
            </w:pPr>
            <w:r>
              <w:rPr>
                <w:rFonts w:hint="eastAsia" w:ascii="Times New Roman" w:hAnsi="Times New Roman" w:eastAsia="宋体" w:cs="宋体"/>
                <w:color w:val="000000" w:themeColor="text1"/>
                <w:spacing w:val="0"/>
                <w:szCs w:val="21"/>
                <w:highlight w:val="none"/>
                <w14:textFill>
                  <w14:solidFill>
                    <w14:schemeClr w14:val="tx1"/>
                  </w14:solidFill>
                </w14:textFill>
              </w:rPr>
              <w:t>1000～5000万元</w:t>
            </w:r>
          </w:p>
        </w:tc>
        <w:tc>
          <w:tcPr>
            <w:tcW w:w="1659" w:type="dxa"/>
            <w:noWrap w:val="0"/>
            <w:vAlign w:val="top"/>
          </w:tcPr>
          <w:p w14:paraId="5DEA01A4">
            <w:pPr>
              <w:pageBreakBefore w:val="0"/>
              <w:widowControl w:val="0"/>
              <w:kinsoku/>
              <w:wordWrap/>
              <w:overflowPunct/>
              <w:topLinePunct w:val="0"/>
              <w:autoSpaceDE/>
              <w:autoSpaceDN/>
              <w:bidi w:val="0"/>
              <w:spacing w:line="360" w:lineRule="auto"/>
              <w:ind w:firstLine="210" w:firstLineChars="100"/>
              <w:rPr>
                <w:rFonts w:hint="eastAsia" w:ascii="Times New Roman" w:hAnsi="Times New Roman" w:eastAsia="宋体" w:cs="宋体"/>
                <w:color w:val="000000" w:themeColor="text1"/>
                <w:spacing w:val="0"/>
                <w:szCs w:val="21"/>
                <w:highlight w:val="none"/>
                <w14:textFill>
                  <w14:solidFill>
                    <w14:schemeClr w14:val="tx1"/>
                  </w14:solidFill>
                </w14:textFill>
              </w:rPr>
            </w:pPr>
            <w:r>
              <w:rPr>
                <w:rFonts w:hint="eastAsia" w:ascii="Times New Roman" w:hAnsi="Times New Roman" w:eastAsia="宋体" w:cs="宋体"/>
                <w:color w:val="000000" w:themeColor="text1"/>
                <w:spacing w:val="0"/>
                <w:kern w:val="0"/>
                <w:szCs w:val="21"/>
                <w:highlight w:val="none"/>
                <w14:textFill>
                  <w14:solidFill>
                    <w14:schemeClr w14:val="tx1"/>
                  </w14:solidFill>
                </w14:textFill>
              </w:rPr>
              <w:t xml:space="preserve">0.5%                </w:t>
            </w:r>
          </w:p>
        </w:tc>
        <w:tc>
          <w:tcPr>
            <w:tcW w:w="1532" w:type="dxa"/>
            <w:noWrap w:val="0"/>
            <w:vAlign w:val="top"/>
          </w:tcPr>
          <w:p w14:paraId="7FA50EDB">
            <w:pPr>
              <w:pageBreakBefore w:val="0"/>
              <w:widowControl w:val="0"/>
              <w:kinsoku/>
              <w:wordWrap/>
              <w:overflowPunct/>
              <w:topLinePunct w:val="0"/>
              <w:autoSpaceDE/>
              <w:autoSpaceDN/>
              <w:bidi w:val="0"/>
              <w:spacing w:line="360" w:lineRule="auto"/>
              <w:ind w:firstLine="210" w:firstLineChars="100"/>
              <w:rPr>
                <w:rFonts w:hint="eastAsia" w:ascii="Times New Roman" w:hAnsi="Times New Roman" w:eastAsia="宋体" w:cs="宋体"/>
                <w:color w:val="000000" w:themeColor="text1"/>
                <w:spacing w:val="0"/>
                <w:szCs w:val="21"/>
                <w:highlight w:val="none"/>
                <w14:textFill>
                  <w14:solidFill>
                    <w14:schemeClr w14:val="tx1"/>
                  </w14:solidFill>
                </w14:textFill>
              </w:rPr>
            </w:pPr>
            <w:r>
              <w:rPr>
                <w:rFonts w:hint="eastAsia" w:ascii="Times New Roman" w:hAnsi="Times New Roman" w:eastAsia="宋体" w:cs="宋体"/>
                <w:color w:val="000000" w:themeColor="text1"/>
                <w:spacing w:val="0"/>
                <w:kern w:val="0"/>
                <w:szCs w:val="21"/>
                <w:highlight w:val="none"/>
                <w14:textFill>
                  <w14:solidFill>
                    <w14:schemeClr w14:val="tx1"/>
                  </w14:solidFill>
                </w14:textFill>
              </w:rPr>
              <w:t>0.25%</w:t>
            </w:r>
          </w:p>
        </w:tc>
        <w:tc>
          <w:tcPr>
            <w:tcW w:w="1546" w:type="dxa"/>
            <w:noWrap w:val="0"/>
            <w:vAlign w:val="top"/>
          </w:tcPr>
          <w:p w14:paraId="1E0E9EE8">
            <w:pPr>
              <w:pageBreakBefore w:val="0"/>
              <w:widowControl w:val="0"/>
              <w:kinsoku/>
              <w:wordWrap/>
              <w:overflowPunct/>
              <w:topLinePunct w:val="0"/>
              <w:autoSpaceDE/>
              <w:autoSpaceDN/>
              <w:bidi w:val="0"/>
              <w:spacing w:line="360" w:lineRule="auto"/>
              <w:ind w:firstLine="210" w:firstLineChars="100"/>
              <w:rPr>
                <w:rFonts w:hint="eastAsia" w:ascii="Times New Roman" w:hAnsi="Times New Roman" w:eastAsia="宋体" w:cs="宋体"/>
                <w:color w:val="000000" w:themeColor="text1"/>
                <w:spacing w:val="0"/>
                <w:szCs w:val="21"/>
                <w:highlight w:val="none"/>
                <w14:textFill>
                  <w14:solidFill>
                    <w14:schemeClr w14:val="tx1"/>
                  </w14:solidFill>
                </w14:textFill>
              </w:rPr>
            </w:pPr>
            <w:r>
              <w:rPr>
                <w:rFonts w:hint="eastAsia" w:ascii="Times New Roman" w:hAnsi="Times New Roman" w:eastAsia="宋体" w:cs="宋体"/>
                <w:color w:val="000000" w:themeColor="text1"/>
                <w:spacing w:val="0"/>
                <w:kern w:val="0"/>
                <w:szCs w:val="21"/>
                <w:highlight w:val="none"/>
                <w14:textFill>
                  <w14:solidFill>
                    <w14:schemeClr w14:val="tx1"/>
                  </w14:solidFill>
                </w14:textFill>
              </w:rPr>
              <w:t xml:space="preserve">0.35% </w:t>
            </w:r>
          </w:p>
        </w:tc>
      </w:tr>
      <w:tr w14:paraId="514AFA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72" w:type="dxa"/>
            <w:noWrap w:val="0"/>
            <w:vAlign w:val="top"/>
          </w:tcPr>
          <w:p w14:paraId="067D02B9">
            <w:pPr>
              <w:pageBreakBefore w:val="0"/>
              <w:widowControl w:val="0"/>
              <w:kinsoku/>
              <w:wordWrap/>
              <w:overflowPunct/>
              <w:topLinePunct w:val="0"/>
              <w:autoSpaceDE/>
              <w:autoSpaceDN/>
              <w:bidi w:val="0"/>
              <w:spacing w:line="360" w:lineRule="auto"/>
              <w:rPr>
                <w:rFonts w:hint="eastAsia" w:ascii="Times New Roman" w:hAnsi="Times New Roman" w:eastAsia="宋体" w:cs="宋体"/>
                <w:color w:val="000000" w:themeColor="text1"/>
                <w:spacing w:val="0"/>
                <w:szCs w:val="21"/>
                <w:highlight w:val="none"/>
                <w14:textFill>
                  <w14:solidFill>
                    <w14:schemeClr w14:val="tx1"/>
                  </w14:solidFill>
                </w14:textFill>
              </w:rPr>
            </w:pPr>
            <w:r>
              <w:rPr>
                <w:rFonts w:hint="eastAsia" w:ascii="Times New Roman" w:hAnsi="Times New Roman" w:eastAsia="宋体" w:cs="宋体"/>
                <w:color w:val="000000" w:themeColor="text1"/>
                <w:spacing w:val="0"/>
                <w:szCs w:val="21"/>
                <w:highlight w:val="none"/>
                <w14:textFill>
                  <w14:solidFill>
                    <w14:schemeClr w14:val="tx1"/>
                  </w14:solidFill>
                </w14:textFill>
              </w:rPr>
              <w:t>5000万元～1亿元</w:t>
            </w:r>
          </w:p>
        </w:tc>
        <w:tc>
          <w:tcPr>
            <w:tcW w:w="1659" w:type="dxa"/>
            <w:noWrap w:val="0"/>
            <w:vAlign w:val="top"/>
          </w:tcPr>
          <w:p w14:paraId="64672ACC">
            <w:pPr>
              <w:pageBreakBefore w:val="0"/>
              <w:widowControl w:val="0"/>
              <w:kinsoku/>
              <w:wordWrap/>
              <w:overflowPunct/>
              <w:topLinePunct w:val="0"/>
              <w:autoSpaceDE/>
              <w:autoSpaceDN/>
              <w:bidi w:val="0"/>
              <w:spacing w:line="360" w:lineRule="auto"/>
              <w:ind w:firstLine="210" w:firstLineChars="100"/>
              <w:rPr>
                <w:rFonts w:hint="eastAsia" w:ascii="Times New Roman" w:hAnsi="Times New Roman" w:eastAsia="宋体" w:cs="宋体"/>
                <w:color w:val="000000" w:themeColor="text1"/>
                <w:spacing w:val="0"/>
                <w:szCs w:val="21"/>
                <w:highlight w:val="none"/>
                <w14:textFill>
                  <w14:solidFill>
                    <w14:schemeClr w14:val="tx1"/>
                  </w14:solidFill>
                </w14:textFill>
              </w:rPr>
            </w:pPr>
            <w:r>
              <w:rPr>
                <w:rFonts w:hint="eastAsia" w:ascii="Times New Roman" w:hAnsi="Times New Roman" w:eastAsia="宋体" w:cs="宋体"/>
                <w:color w:val="000000" w:themeColor="text1"/>
                <w:spacing w:val="0"/>
                <w:kern w:val="0"/>
                <w:szCs w:val="21"/>
                <w:highlight w:val="none"/>
                <w14:textFill>
                  <w14:solidFill>
                    <w14:schemeClr w14:val="tx1"/>
                  </w14:solidFill>
                </w14:textFill>
              </w:rPr>
              <w:t xml:space="preserve">0.25%                 </w:t>
            </w:r>
          </w:p>
        </w:tc>
        <w:tc>
          <w:tcPr>
            <w:tcW w:w="1532" w:type="dxa"/>
            <w:noWrap w:val="0"/>
            <w:vAlign w:val="top"/>
          </w:tcPr>
          <w:p w14:paraId="264D748B">
            <w:pPr>
              <w:pageBreakBefore w:val="0"/>
              <w:widowControl w:val="0"/>
              <w:kinsoku/>
              <w:wordWrap/>
              <w:overflowPunct/>
              <w:topLinePunct w:val="0"/>
              <w:autoSpaceDE/>
              <w:autoSpaceDN/>
              <w:bidi w:val="0"/>
              <w:spacing w:line="360" w:lineRule="auto"/>
              <w:ind w:firstLine="210" w:firstLineChars="100"/>
              <w:rPr>
                <w:rFonts w:hint="eastAsia" w:ascii="Times New Roman" w:hAnsi="Times New Roman" w:eastAsia="宋体" w:cs="宋体"/>
                <w:color w:val="000000" w:themeColor="text1"/>
                <w:spacing w:val="0"/>
                <w:szCs w:val="21"/>
                <w:highlight w:val="none"/>
                <w14:textFill>
                  <w14:solidFill>
                    <w14:schemeClr w14:val="tx1"/>
                  </w14:solidFill>
                </w14:textFill>
              </w:rPr>
            </w:pPr>
            <w:r>
              <w:rPr>
                <w:rFonts w:hint="eastAsia" w:ascii="Times New Roman" w:hAnsi="Times New Roman" w:eastAsia="宋体" w:cs="宋体"/>
                <w:color w:val="000000" w:themeColor="text1"/>
                <w:spacing w:val="0"/>
                <w:kern w:val="0"/>
                <w:szCs w:val="21"/>
                <w:highlight w:val="none"/>
                <w14:textFill>
                  <w14:solidFill>
                    <w14:schemeClr w14:val="tx1"/>
                  </w14:solidFill>
                </w14:textFill>
              </w:rPr>
              <w:t>0.1%</w:t>
            </w:r>
          </w:p>
        </w:tc>
        <w:tc>
          <w:tcPr>
            <w:tcW w:w="1546" w:type="dxa"/>
            <w:noWrap w:val="0"/>
            <w:vAlign w:val="top"/>
          </w:tcPr>
          <w:p w14:paraId="2DBD5221">
            <w:pPr>
              <w:pageBreakBefore w:val="0"/>
              <w:widowControl w:val="0"/>
              <w:kinsoku/>
              <w:wordWrap/>
              <w:overflowPunct/>
              <w:topLinePunct w:val="0"/>
              <w:autoSpaceDE/>
              <w:autoSpaceDN/>
              <w:bidi w:val="0"/>
              <w:spacing w:line="360" w:lineRule="auto"/>
              <w:ind w:firstLine="210" w:firstLineChars="100"/>
              <w:rPr>
                <w:rFonts w:hint="eastAsia" w:ascii="Times New Roman" w:hAnsi="Times New Roman" w:eastAsia="宋体" w:cs="宋体"/>
                <w:color w:val="000000" w:themeColor="text1"/>
                <w:spacing w:val="0"/>
                <w:szCs w:val="21"/>
                <w:highlight w:val="none"/>
                <w14:textFill>
                  <w14:solidFill>
                    <w14:schemeClr w14:val="tx1"/>
                  </w14:solidFill>
                </w14:textFill>
              </w:rPr>
            </w:pPr>
            <w:r>
              <w:rPr>
                <w:rFonts w:hint="eastAsia" w:ascii="Times New Roman" w:hAnsi="Times New Roman" w:eastAsia="宋体" w:cs="宋体"/>
                <w:color w:val="000000" w:themeColor="text1"/>
                <w:spacing w:val="0"/>
                <w:kern w:val="0"/>
                <w:szCs w:val="21"/>
                <w:highlight w:val="none"/>
                <w14:textFill>
                  <w14:solidFill>
                    <w14:schemeClr w14:val="tx1"/>
                  </w14:solidFill>
                </w14:textFill>
              </w:rPr>
              <w:t>0.2%</w:t>
            </w:r>
          </w:p>
        </w:tc>
      </w:tr>
      <w:tr w14:paraId="09EBA2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72" w:type="dxa"/>
            <w:noWrap w:val="0"/>
            <w:vAlign w:val="top"/>
          </w:tcPr>
          <w:p w14:paraId="5D7110D6">
            <w:pPr>
              <w:pageBreakBefore w:val="0"/>
              <w:widowControl w:val="0"/>
              <w:kinsoku/>
              <w:wordWrap/>
              <w:overflowPunct/>
              <w:topLinePunct w:val="0"/>
              <w:autoSpaceDE/>
              <w:autoSpaceDN/>
              <w:bidi w:val="0"/>
              <w:spacing w:line="360" w:lineRule="auto"/>
              <w:rPr>
                <w:rFonts w:hint="eastAsia" w:ascii="Times New Roman" w:hAnsi="Times New Roman" w:eastAsia="宋体" w:cs="宋体"/>
                <w:color w:val="000000" w:themeColor="text1"/>
                <w:spacing w:val="0"/>
                <w:szCs w:val="21"/>
                <w:highlight w:val="none"/>
                <w14:textFill>
                  <w14:solidFill>
                    <w14:schemeClr w14:val="tx1"/>
                  </w14:solidFill>
                </w14:textFill>
              </w:rPr>
            </w:pPr>
            <w:r>
              <w:rPr>
                <w:rFonts w:hint="eastAsia" w:ascii="Times New Roman" w:hAnsi="Times New Roman" w:eastAsia="宋体" w:cs="宋体"/>
                <w:color w:val="000000" w:themeColor="text1"/>
                <w:spacing w:val="0"/>
                <w:szCs w:val="21"/>
                <w:highlight w:val="none"/>
                <w14:textFill>
                  <w14:solidFill>
                    <w14:schemeClr w14:val="tx1"/>
                  </w14:solidFill>
                </w14:textFill>
              </w:rPr>
              <w:t>1～5亿元</w:t>
            </w:r>
          </w:p>
        </w:tc>
        <w:tc>
          <w:tcPr>
            <w:tcW w:w="1659" w:type="dxa"/>
            <w:noWrap w:val="0"/>
            <w:vAlign w:val="top"/>
          </w:tcPr>
          <w:p w14:paraId="3DADB52F">
            <w:pPr>
              <w:pageBreakBefore w:val="0"/>
              <w:widowControl w:val="0"/>
              <w:kinsoku/>
              <w:wordWrap/>
              <w:overflowPunct/>
              <w:topLinePunct w:val="0"/>
              <w:autoSpaceDE/>
              <w:autoSpaceDN/>
              <w:bidi w:val="0"/>
              <w:spacing w:line="360" w:lineRule="auto"/>
              <w:ind w:firstLine="210" w:firstLineChars="100"/>
              <w:rPr>
                <w:rFonts w:hint="eastAsia" w:ascii="Times New Roman" w:hAnsi="Times New Roman" w:eastAsia="宋体" w:cs="宋体"/>
                <w:color w:val="000000" w:themeColor="text1"/>
                <w:spacing w:val="0"/>
                <w:szCs w:val="21"/>
                <w:highlight w:val="none"/>
                <w14:textFill>
                  <w14:solidFill>
                    <w14:schemeClr w14:val="tx1"/>
                  </w14:solidFill>
                </w14:textFill>
              </w:rPr>
            </w:pPr>
            <w:r>
              <w:rPr>
                <w:rFonts w:hint="eastAsia" w:ascii="Times New Roman" w:hAnsi="Times New Roman" w:eastAsia="宋体" w:cs="宋体"/>
                <w:color w:val="000000" w:themeColor="text1"/>
                <w:spacing w:val="0"/>
                <w:szCs w:val="21"/>
                <w:highlight w:val="none"/>
                <w14:textFill>
                  <w14:solidFill>
                    <w14:schemeClr w14:val="tx1"/>
                  </w14:solidFill>
                </w14:textFill>
              </w:rPr>
              <w:t>0.05%</w:t>
            </w:r>
          </w:p>
        </w:tc>
        <w:tc>
          <w:tcPr>
            <w:tcW w:w="1532" w:type="dxa"/>
            <w:noWrap w:val="0"/>
            <w:vAlign w:val="top"/>
          </w:tcPr>
          <w:p w14:paraId="236910E7">
            <w:pPr>
              <w:pageBreakBefore w:val="0"/>
              <w:widowControl w:val="0"/>
              <w:kinsoku/>
              <w:wordWrap/>
              <w:overflowPunct/>
              <w:topLinePunct w:val="0"/>
              <w:autoSpaceDE/>
              <w:autoSpaceDN/>
              <w:bidi w:val="0"/>
              <w:spacing w:line="360" w:lineRule="auto"/>
              <w:rPr>
                <w:rFonts w:hint="eastAsia" w:ascii="Times New Roman" w:hAnsi="Times New Roman" w:eastAsia="宋体" w:cs="宋体"/>
                <w:color w:val="000000" w:themeColor="text1"/>
                <w:spacing w:val="0"/>
                <w:szCs w:val="21"/>
                <w:highlight w:val="none"/>
                <w14:textFill>
                  <w14:solidFill>
                    <w14:schemeClr w14:val="tx1"/>
                  </w14:solidFill>
                </w14:textFill>
              </w:rPr>
            </w:pPr>
            <w:r>
              <w:rPr>
                <w:rFonts w:hint="eastAsia" w:ascii="Times New Roman" w:hAnsi="Times New Roman" w:eastAsia="宋体" w:cs="宋体"/>
                <w:color w:val="000000" w:themeColor="text1"/>
                <w:spacing w:val="0"/>
                <w:szCs w:val="21"/>
                <w:highlight w:val="none"/>
                <w14:textFill>
                  <w14:solidFill>
                    <w14:schemeClr w14:val="tx1"/>
                  </w14:solidFill>
                </w14:textFill>
              </w:rPr>
              <w:t xml:space="preserve">  0.05%</w:t>
            </w:r>
          </w:p>
        </w:tc>
        <w:tc>
          <w:tcPr>
            <w:tcW w:w="1546" w:type="dxa"/>
            <w:noWrap w:val="0"/>
            <w:vAlign w:val="top"/>
          </w:tcPr>
          <w:p w14:paraId="20A23F19">
            <w:pPr>
              <w:pageBreakBefore w:val="0"/>
              <w:widowControl w:val="0"/>
              <w:kinsoku/>
              <w:wordWrap/>
              <w:overflowPunct/>
              <w:topLinePunct w:val="0"/>
              <w:autoSpaceDE/>
              <w:autoSpaceDN/>
              <w:bidi w:val="0"/>
              <w:spacing w:line="360" w:lineRule="auto"/>
              <w:rPr>
                <w:rFonts w:hint="eastAsia" w:ascii="Times New Roman" w:hAnsi="Times New Roman" w:eastAsia="宋体" w:cs="宋体"/>
                <w:color w:val="000000" w:themeColor="text1"/>
                <w:spacing w:val="0"/>
                <w:szCs w:val="21"/>
                <w:highlight w:val="none"/>
                <w14:textFill>
                  <w14:solidFill>
                    <w14:schemeClr w14:val="tx1"/>
                  </w14:solidFill>
                </w14:textFill>
              </w:rPr>
            </w:pPr>
            <w:r>
              <w:rPr>
                <w:rFonts w:hint="eastAsia" w:ascii="Times New Roman" w:hAnsi="Times New Roman" w:eastAsia="宋体" w:cs="宋体"/>
                <w:color w:val="000000" w:themeColor="text1"/>
                <w:spacing w:val="0"/>
                <w:szCs w:val="21"/>
                <w:highlight w:val="none"/>
                <w14:textFill>
                  <w14:solidFill>
                    <w14:schemeClr w14:val="tx1"/>
                  </w14:solidFill>
                </w14:textFill>
              </w:rPr>
              <w:t xml:space="preserve">  0.05%</w:t>
            </w:r>
          </w:p>
        </w:tc>
      </w:tr>
      <w:tr w14:paraId="43B576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72" w:type="dxa"/>
            <w:noWrap w:val="0"/>
            <w:vAlign w:val="top"/>
          </w:tcPr>
          <w:p w14:paraId="21C8D650">
            <w:pPr>
              <w:pageBreakBefore w:val="0"/>
              <w:widowControl w:val="0"/>
              <w:kinsoku/>
              <w:wordWrap/>
              <w:overflowPunct/>
              <w:topLinePunct w:val="0"/>
              <w:autoSpaceDE/>
              <w:autoSpaceDN/>
              <w:bidi w:val="0"/>
              <w:spacing w:line="360" w:lineRule="auto"/>
              <w:rPr>
                <w:rFonts w:hint="eastAsia" w:ascii="Times New Roman" w:hAnsi="Times New Roman" w:eastAsia="宋体" w:cs="宋体"/>
                <w:color w:val="000000" w:themeColor="text1"/>
                <w:spacing w:val="0"/>
                <w:szCs w:val="21"/>
                <w:highlight w:val="none"/>
                <w14:textFill>
                  <w14:solidFill>
                    <w14:schemeClr w14:val="tx1"/>
                  </w14:solidFill>
                </w14:textFill>
              </w:rPr>
            </w:pPr>
            <w:r>
              <w:rPr>
                <w:rFonts w:hint="eastAsia" w:ascii="Times New Roman" w:hAnsi="Times New Roman" w:eastAsia="宋体" w:cs="宋体"/>
                <w:color w:val="000000" w:themeColor="text1"/>
                <w:spacing w:val="0"/>
                <w:szCs w:val="21"/>
                <w:highlight w:val="none"/>
                <w14:textFill>
                  <w14:solidFill>
                    <w14:schemeClr w14:val="tx1"/>
                  </w14:solidFill>
                </w14:textFill>
              </w:rPr>
              <w:t>5～10亿元</w:t>
            </w:r>
          </w:p>
        </w:tc>
        <w:tc>
          <w:tcPr>
            <w:tcW w:w="1659" w:type="dxa"/>
            <w:noWrap w:val="0"/>
            <w:vAlign w:val="top"/>
          </w:tcPr>
          <w:p w14:paraId="73EDF653">
            <w:pPr>
              <w:pageBreakBefore w:val="0"/>
              <w:widowControl w:val="0"/>
              <w:kinsoku/>
              <w:wordWrap/>
              <w:overflowPunct/>
              <w:topLinePunct w:val="0"/>
              <w:autoSpaceDE/>
              <w:autoSpaceDN/>
              <w:bidi w:val="0"/>
              <w:spacing w:line="360" w:lineRule="auto"/>
              <w:ind w:firstLine="105" w:firstLineChars="50"/>
              <w:rPr>
                <w:rFonts w:hint="eastAsia" w:ascii="Times New Roman" w:hAnsi="Times New Roman" w:eastAsia="宋体" w:cs="宋体"/>
                <w:color w:val="000000" w:themeColor="text1"/>
                <w:spacing w:val="0"/>
                <w:szCs w:val="21"/>
                <w:highlight w:val="none"/>
                <w14:textFill>
                  <w14:solidFill>
                    <w14:schemeClr w14:val="tx1"/>
                  </w14:solidFill>
                </w14:textFill>
              </w:rPr>
            </w:pPr>
            <w:r>
              <w:rPr>
                <w:rFonts w:hint="eastAsia" w:ascii="Times New Roman" w:hAnsi="Times New Roman" w:eastAsia="宋体" w:cs="宋体"/>
                <w:color w:val="000000" w:themeColor="text1"/>
                <w:spacing w:val="0"/>
                <w:szCs w:val="21"/>
                <w:highlight w:val="none"/>
                <w14:textFill>
                  <w14:solidFill>
                    <w14:schemeClr w14:val="tx1"/>
                  </w14:solidFill>
                </w14:textFill>
              </w:rPr>
              <w:t>0.035%</w:t>
            </w:r>
          </w:p>
        </w:tc>
        <w:tc>
          <w:tcPr>
            <w:tcW w:w="1532" w:type="dxa"/>
            <w:noWrap w:val="0"/>
            <w:vAlign w:val="top"/>
          </w:tcPr>
          <w:p w14:paraId="6FF6E9C4">
            <w:pPr>
              <w:pageBreakBefore w:val="0"/>
              <w:widowControl w:val="0"/>
              <w:kinsoku/>
              <w:wordWrap/>
              <w:overflowPunct/>
              <w:topLinePunct w:val="0"/>
              <w:autoSpaceDE/>
              <w:autoSpaceDN/>
              <w:bidi w:val="0"/>
              <w:spacing w:line="360" w:lineRule="auto"/>
              <w:rPr>
                <w:rFonts w:hint="eastAsia" w:ascii="Times New Roman" w:hAnsi="Times New Roman" w:eastAsia="宋体" w:cs="宋体"/>
                <w:color w:val="000000" w:themeColor="text1"/>
                <w:spacing w:val="0"/>
                <w:szCs w:val="21"/>
                <w:highlight w:val="none"/>
                <w14:textFill>
                  <w14:solidFill>
                    <w14:schemeClr w14:val="tx1"/>
                  </w14:solidFill>
                </w14:textFill>
              </w:rPr>
            </w:pPr>
            <w:r>
              <w:rPr>
                <w:rFonts w:hint="eastAsia" w:ascii="Times New Roman" w:hAnsi="Times New Roman" w:eastAsia="宋体" w:cs="宋体"/>
                <w:color w:val="000000" w:themeColor="text1"/>
                <w:spacing w:val="0"/>
                <w:szCs w:val="21"/>
                <w:highlight w:val="none"/>
                <w14:textFill>
                  <w14:solidFill>
                    <w14:schemeClr w14:val="tx1"/>
                  </w14:solidFill>
                </w14:textFill>
              </w:rPr>
              <w:t xml:space="preserve">  0.035%</w:t>
            </w:r>
          </w:p>
        </w:tc>
        <w:tc>
          <w:tcPr>
            <w:tcW w:w="1546" w:type="dxa"/>
            <w:noWrap w:val="0"/>
            <w:vAlign w:val="top"/>
          </w:tcPr>
          <w:p w14:paraId="5CD3B6EE">
            <w:pPr>
              <w:pageBreakBefore w:val="0"/>
              <w:widowControl w:val="0"/>
              <w:kinsoku/>
              <w:wordWrap/>
              <w:overflowPunct/>
              <w:topLinePunct w:val="0"/>
              <w:autoSpaceDE/>
              <w:autoSpaceDN/>
              <w:bidi w:val="0"/>
              <w:spacing w:line="360" w:lineRule="auto"/>
              <w:ind w:firstLine="105" w:firstLineChars="50"/>
              <w:rPr>
                <w:rFonts w:hint="eastAsia" w:ascii="Times New Roman" w:hAnsi="Times New Roman" w:eastAsia="宋体" w:cs="宋体"/>
                <w:color w:val="000000" w:themeColor="text1"/>
                <w:spacing w:val="0"/>
                <w:szCs w:val="21"/>
                <w:highlight w:val="none"/>
                <w14:textFill>
                  <w14:solidFill>
                    <w14:schemeClr w14:val="tx1"/>
                  </w14:solidFill>
                </w14:textFill>
              </w:rPr>
            </w:pPr>
            <w:r>
              <w:rPr>
                <w:rFonts w:hint="eastAsia" w:ascii="Times New Roman" w:hAnsi="Times New Roman" w:eastAsia="宋体" w:cs="宋体"/>
                <w:color w:val="000000" w:themeColor="text1"/>
                <w:spacing w:val="0"/>
                <w:szCs w:val="21"/>
                <w:highlight w:val="none"/>
                <w14:textFill>
                  <w14:solidFill>
                    <w14:schemeClr w14:val="tx1"/>
                  </w14:solidFill>
                </w14:textFill>
              </w:rPr>
              <w:t>0.035%</w:t>
            </w:r>
          </w:p>
        </w:tc>
      </w:tr>
      <w:tr w14:paraId="520134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72" w:type="dxa"/>
            <w:noWrap w:val="0"/>
            <w:vAlign w:val="top"/>
          </w:tcPr>
          <w:p w14:paraId="66F43370">
            <w:pPr>
              <w:pageBreakBefore w:val="0"/>
              <w:widowControl w:val="0"/>
              <w:kinsoku/>
              <w:wordWrap/>
              <w:overflowPunct/>
              <w:topLinePunct w:val="0"/>
              <w:autoSpaceDE/>
              <w:autoSpaceDN/>
              <w:bidi w:val="0"/>
              <w:spacing w:line="360" w:lineRule="auto"/>
              <w:rPr>
                <w:rFonts w:hint="eastAsia" w:ascii="Times New Roman" w:hAnsi="Times New Roman" w:eastAsia="宋体" w:cs="宋体"/>
                <w:color w:val="000000" w:themeColor="text1"/>
                <w:spacing w:val="0"/>
                <w:szCs w:val="21"/>
                <w:highlight w:val="none"/>
                <w14:textFill>
                  <w14:solidFill>
                    <w14:schemeClr w14:val="tx1"/>
                  </w14:solidFill>
                </w14:textFill>
              </w:rPr>
            </w:pPr>
            <w:r>
              <w:rPr>
                <w:rFonts w:hint="eastAsia" w:ascii="Times New Roman" w:hAnsi="Times New Roman" w:eastAsia="宋体" w:cs="宋体"/>
                <w:color w:val="000000" w:themeColor="text1"/>
                <w:spacing w:val="0"/>
                <w:szCs w:val="21"/>
                <w:highlight w:val="none"/>
                <w14:textFill>
                  <w14:solidFill>
                    <w14:schemeClr w14:val="tx1"/>
                  </w14:solidFill>
                </w14:textFill>
              </w:rPr>
              <w:t>10～50亿元</w:t>
            </w:r>
          </w:p>
        </w:tc>
        <w:tc>
          <w:tcPr>
            <w:tcW w:w="1659" w:type="dxa"/>
            <w:noWrap w:val="0"/>
            <w:vAlign w:val="top"/>
          </w:tcPr>
          <w:p w14:paraId="3A3EE15A">
            <w:pPr>
              <w:pageBreakBefore w:val="0"/>
              <w:widowControl w:val="0"/>
              <w:kinsoku/>
              <w:wordWrap/>
              <w:overflowPunct/>
              <w:topLinePunct w:val="0"/>
              <w:autoSpaceDE/>
              <w:autoSpaceDN/>
              <w:bidi w:val="0"/>
              <w:spacing w:line="360" w:lineRule="auto"/>
              <w:ind w:firstLine="105" w:firstLineChars="50"/>
              <w:rPr>
                <w:rFonts w:hint="eastAsia" w:ascii="Times New Roman" w:hAnsi="Times New Roman" w:eastAsia="宋体" w:cs="宋体"/>
                <w:color w:val="000000" w:themeColor="text1"/>
                <w:spacing w:val="0"/>
                <w:szCs w:val="21"/>
                <w:highlight w:val="none"/>
                <w14:textFill>
                  <w14:solidFill>
                    <w14:schemeClr w14:val="tx1"/>
                  </w14:solidFill>
                </w14:textFill>
              </w:rPr>
            </w:pPr>
            <w:r>
              <w:rPr>
                <w:rFonts w:hint="eastAsia" w:ascii="Times New Roman" w:hAnsi="Times New Roman" w:eastAsia="宋体" w:cs="宋体"/>
                <w:color w:val="000000" w:themeColor="text1"/>
                <w:spacing w:val="0"/>
                <w:szCs w:val="21"/>
                <w:highlight w:val="none"/>
                <w14:textFill>
                  <w14:solidFill>
                    <w14:schemeClr w14:val="tx1"/>
                  </w14:solidFill>
                </w14:textFill>
              </w:rPr>
              <w:t>0.008%</w:t>
            </w:r>
          </w:p>
        </w:tc>
        <w:tc>
          <w:tcPr>
            <w:tcW w:w="1532" w:type="dxa"/>
            <w:noWrap w:val="0"/>
            <w:vAlign w:val="top"/>
          </w:tcPr>
          <w:p w14:paraId="179DD09B">
            <w:pPr>
              <w:pageBreakBefore w:val="0"/>
              <w:widowControl w:val="0"/>
              <w:kinsoku/>
              <w:wordWrap/>
              <w:overflowPunct/>
              <w:topLinePunct w:val="0"/>
              <w:autoSpaceDE/>
              <w:autoSpaceDN/>
              <w:bidi w:val="0"/>
              <w:spacing w:line="360" w:lineRule="auto"/>
              <w:ind w:firstLine="210" w:firstLineChars="100"/>
              <w:rPr>
                <w:rFonts w:hint="eastAsia" w:ascii="Times New Roman" w:hAnsi="Times New Roman" w:eastAsia="宋体" w:cs="宋体"/>
                <w:color w:val="000000" w:themeColor="text1"/>
                <w:spacing w:val="0"/>
                <w:szCs w:val="21"/>
                <w:highlight w:val="none"/>
                <w14:textFill>
                  <w14:solidFill>
                    <w14:schemeClr w14:val="tx1"/>
                  </w14:solidFill>
                </w14:textFill>
              </w:rPr>
            </w:pPr>
            <w:r>
              <w:rPr>
                <w:rFonts w:hint="eastAsia" w:ascii="Times New Roman" w:hAnsi="Times New Roman" w:eastAsia="宋体" w:cs="宋体"/>
                <w:color w:val="000000" w:themeColor="text1"/>
                <w:spacing w:val="0"/>
                <w:szCs w:val="21"/>
                <w:highlight w:val="none"/>
                <w14:textFill>
                  <w14:solidFill>
                    <w14:schemeClr w14:val="tx1"/>
                  </w14:solidFill>
                </w14:textFill>
              </w:rPr>
              <w:t>0.008%</w:t>
            </w:r>
          </w:p>
        </w:tc>
        <w:tc>
          <w:tcPr>
            <w:tcW w:w="1546" w:type="dxa"/>
            <w:noWrap w:val="0"/>
            <w:vAlign w:val="top"/>
          </w:tcPr>
          <w:p w14:paraId="735E1979">
            <w:pPr>
              <w:pageBreakBefore w:val="0"/>
              <w:widowControl w:val="0"/>
              <w:kinsoku/>
              <w:wordWrap/>
              <w:overflowPunct/>
              <w:topLinePunct w:val="0"/>
              <w:autoSpaceDE/>
              <w:autoSpaceDN/>
              <w:bidi w:val="0"/>
              <w:spacing w:line="360" w:lineRule="auto"/>
              <w:ind w:firstLine="105" w:firstLineChars="50"/>
              <w:rPr>
                <w:rFonts w:hint="eastAsia" w:ascii="Times New Roman" w:hAnsi="Times New Roman" w:eastAsia="宋体" w:cs="宋体"/>
                <w:color w:val="000000" w:themeColor="text1"/>
                <w:spacing w:val="0"/>
                <w:szCs w:val="21"/>
                <w:highlight w:val="none"/>
                <w14:textFill>
                  <w14:solidFill>
                    <w14:schemeClr w14:val="tx1"/>
                  </w14:solidFill>
                </w14:textFill>
              </w:rPr>
            </w:pPr>
            <w:r>
              <w:rPr>
                <w:rFonts w:hint="eastAsia" w:ascii="Times New Roman" w:hAnsi="Times New Roman" w:eastAsia="宋体" w:cs="宋体"/>
                <w:color w:val="000000" w:themeColor="text1"/>
                <w:spacing w:val="0"/>
                <w:szCs w:val="21"/>
                <w:highlight w:val="none"/>
                <w14:textFill>
                  <w14:solidFill>
                    <w14:schemeClr w14:val="tx1"/>
                  </w14:solidFill>
                </w14:textFill>
              </w:rPr>
              <w:t>0.008%</w:t>
            </w:r>
          </w:p>
        </w:tc>
      </w:tr>
      <w:tr w14:paraId="08B15B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72" w:type="dxa"/>
            <w:noWrap w:val="0"/>
            <w:vAlign w:val="top"/>
          </w:tcPr>
          <w:p w14:paraId="281373B6">
            <w:pPr>
              <w:pageBreakBefore w:val="0"/>
              <w:widowControl w:val="0"/>
              <w:kinsoku/>
              <w:wordWrap/>
              <w:overflowPunct/>
              <w:topLinePunct w:val="0"/>
              <w:autoSpaceDE/>
              <w:autoSpaceDN/>
              <w:bidi w:val="0"/>
              <w:spacing w:line="360" w:lineRule="auto"/>
              <w:rPr>
                <w:rFonts w:hint="eastAsia" w:ascii="Times New Roman" w:hAnsi="Times New Roman" w:eastAsia="宋体" w:cs="宋体"/>
                <w:color w:val="000000" w:themeColor="text1"/>
                <w:spacing w:val="0"/>
                <w:szCs w:val="21"/>
                <w:highlight w:val="none"/>
                <w14:textFill>
                  <w14:solidFill>
                    <w14:schemeClr w14:val="tx1"/>
                  </w14:solidFill>
                </w14:textFill>
              </w:rPr>
            </w:pPr>
            <w:r>
              <w:rPr>
                <w:rFonts w:hint="eastAsia" w:ascii="Times New Roman" w:hAnsi="Times New Roman" w:eastAsia="宋体" w:cs="宋体"/>
                <w:color w:val="000000" w:themeColor="text1"/>
                <w:spacing w:val="0"/>
                <w:szCs w:val="21"/>
                <w:highlight w:val="none"/>
                <w14:textFill>
                  <w14:solidFill>
                    <w14:schemeClr w14:val="tx1"/>
                  </w14:solidFill>
                </w14:textFill>
              </w:rPr>
              <w:t>50～100亿元</w:t>
            </w:r>
          </w:p>
        </w:tc>
        <w:tc>
          <w:tcPr>
            <w:tcW w:w="1659" w:type="dxa"/>
            <w:noWrap w:val="0"/>
            <w:vAlign w:val="top"/>
          </w:tcPr>
          <w:p w14:paraId="311AF754">
            <w:pPr>
              <w:pageBreakBefore w:val="0"/>
              <w:widowControl w:val="0"/>
              <w:kinsoku/>
              <w:wordWrap/>
              <w:overflowPunct/>
              <w:topLinePunct w:val="0"/>
              <w:autoSpaceDE/>
              <w:autoSpaceDN/>
              <w:bidi w:val="0"/>
              <w:spacing w:line="360" w:lineRule="auto"/>
              <w:rPr>
                <w:rFonts w:hint="eastAsia" w:ascii="Times New Roman" w:hAnsi="Times New Roman" w:eastAsia="宋体" w:cs="宋体"/>
                <w:color w:val="000000" w:themeColor="text1"/>
                <w:spacing w:val="0"/>
                <w:szCs w:val="21"/>
                <w:highlight w:val="none"/>
                <w14:textFill>
                  <w14:solidFill>
                    <w14:schemeClr w14:val="tx1"/>
                  </w14:solidFill>
                </w14:textFill>
              </w:rPr>
            </w:pPr>
            <w:r>
              <w:rPr>
                <w:rFonts w:hint="eastAsia" w:ascii="Times New Roman" w:hAnsi="Times New Roman" w:eastAsia="宋体" w:cs="宋体"/>
                <w:color w:val="000000" w:themeColor="text1"/>
                <w:spacing w:val="0"/>
                <w:szCs w:val="21"/>
                <w:highlight w:val="none"/>
                <w14:textFill>
                  <w14:solidFill>
                    <w14:schemeClr w14:val="tx1"/>
                  </w14:solidFill>
                </w14:textFill>
              </w:rPr>
              <w:t xml:space="preserve"> 0.006%</w:t>
            </w:r>
          </w:p>
        </w:tc>
        <w:tc>
          <w:tcPr>
            <w:tcW w:w="1532" w:type="dxa"/>
            <w:noWrap w:val="0"/>
            <w:vAlign w:val="top"/>
          </w:tcPr>
          <w:p w14:paraId="4E9470CF">
            <w:pPr>
              <w:pageBreakBefore w:val="0"/>
              <w:widowControl w:val="0"/>
              <w:kinsoku/>
              <w:wordWrap/>
              <w:overflowPunct/>
              <w:topLinePunct w:val="0"/>
              <w:autoSpaceDE/>
              <w:autoSpaceDN/>
              <w:bidi w:val="0"/>
              <w:spacing w:line="360" w:lineRule="auto"/>
              <w:ind w:firstLine="210" w:firstLineChars="100"/>
              <w:rPr>
                <w:rFonts w:hint="eastAsia" w:ascii="Times New Roman" w:hAnsi="Times New Roman" w:eastAsia="宋体" w:cs="宋体"/>
                <w:color w:val="000000" w:themeColor="text1"/>
                <w:spacing w:val="0"/>
                <w:szCs w:val="21"/>
                <w:highlight w:val="none"/>
                <w14:textFill>
                  <w14:solidFill>
                    <w14:schemeClr w14:val="tx1"/>
                  </w14:solidFill>
                </w14:textFill>
              </w:rPr>
            </w:pPr>
            <w:r>
              <w:rPr>
                <w:rFonts w:hint="eastAsia" w:ascii="Times New Roman" w:hAnsi="Times New Roman" w:eastAsia="宋体" w:cs="宋体"/>
                <w:color w:val="000000" w:themeColor="text1"/>
                <w:spacing w:val="0"/>
                <w:szCs w:val="21"/>
                <w:highlight w:val="none"/>
                <w14:textFill>
                  <w14:solidFill>
                    <w14:schemeClr w14:val="tx1"/>
                  </w14:solidFill>
                </w14:textFill>
              </w:rPr>
              <w:t>0.006%</w:t>
            </w:r>
          </w:p>
        </w:tc>
        <w:tc>
          <w:tcPr>
            <w:tcW w:w="1546" w:type="dxa"/>
            <w:noWrap w:val="0"/>
            <w:vAlign w:val="top"/>
          </w:tcPr>
          <w:p w14:paraId="21CA5FEB">
            <w:pPr>
              <w:pageBreakBefore w:val="0"/>
              <w:widowControl w:val="0"/>
              <w:kinsoku/>
              <w:wordWrap/>
              <w:overflowPunct/>
              <w:topLinePunct w:val="0"/>
              <w:autoSpaceDE/>
              <w:autoSpaceDN/>
              <w:bidi w:val="0"/>
              <w:spacing w:line="360" w:lineRule="auto"/>
              <w:ind w:firstLine="105" w:firstLineChars="50"/>
              <w:rPr>
                <w:rFonts w:hint="eastAsia" w:ascii="Times New Roman" w:hAnsi="Times New Roman" w:eastAsia="宋体" w:cs="宋体"/>
                <w:color w:val="000000" w:themeColor="text1"/>
                <w:spacing w:val="0"/>
                <w:szCs w:val="21"/>
                <w:highlight w:val="none"/>
                <w14:textFill>
                  <w14:solidFill>
                    <w14:schemeClr w14:val="tx1"/>
                  </w14:solidFill>
                </w14:textFill>
              </w:rPr>
            </w:pPr>
            <w:r>
              <w:rPr>
                <w:rFonts w:hint="eastAsia" w:ascii="Times New Roman" w:hAnsi="Times New Roman" w:eastAsia="宋体" w:cs="宋体"/>
                <w:color w:val="000000" w:themeColor="text1"/>
                <w:spacing w:val="0"/>
                <w:szCs w:val="21"/>
                <w:highlight w:val="none"/>
                <w14:textFill>
                  <w14:solidFill>
                    <w14:schemeClr w14:val="tx1"/>
                  </w14:solidFill>
                </w14:textFill>
              </w:rPr>
              <w:t>0.006%</w:t>
            </w:r>
          </w:p>
        </w:tc>
      </w:tr>
      <w:tr w14:paraId="0DEB4C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72" w:type="dxa"/>
            <w:noWrap w:val="0"/>
            <w:vAlign w:val="top"/>
          </w:tcPr>
          <w:p w14:paraId="2E3E225E">
            <w:pPr>
              <w:pageBreakBefore w:val="0"/>
              <w:widowControl w:val="0"/>
              <w:kinsoku/>
              <w:wordWrap/>
              <w:overflowPunct/>
              <w:topLinePunct w:val="0"/>
              <w:autoSpaceDE/>
              <w:autoSpaceDN/>
              <w:bidi w:val="0"/>
              <w:spacing w:line="360" w:lineRule="auto"/>
              <w:rPr>
                <w:rFonts w:hint="eastAsia" w:ascii="Times New Roman" w:hAnsi="Times New Roman" w:eastAsia="宋体" w:cs="宋体"/>
                <w:color w:val="000000" w:themeColor="text1"/>
                <w:spacing w:val="0"/>
                <w:szCs w:val="21"/>
                <w:highlight w:val="none"/>
                <w14:textFill>
                  <w14:solidFill>
                    <w14:schemeClr w14:val="tx1"/>
                  </w14:solidFill>
                </w14:textFill>
              </w:rPr>
            </w:pPr>
            <w:r>
              <w:rPr>
                <w:rFonts w:hint="eastAsia" w:ascii="Times New Roman" w:hAnsi="Times New Roman" w:eastAsia="宋体" w:cs="宋体"/>
                <w:color w:val="000000" w:themeColor="text1"/>
                <w:spacing w:val="0"/>
                <w:szCs w:val="21"/>
                <w:highlight w:val="none"/>
                <w14:textFill>
                  <w14:solidFill>
                    <w14:schemeClr w14:val="tx1"/>
                  </w14:solidFill>
                </w14:textFill>
              </w:rPr>
              <w:t>100亿以上</w:t>
            </w:r>
          </w:p>
        </w:tc>
        <w:tc>
          <w:tcPr>
            <w:tcW w:w="1659" w:type="dxa"/>
            <w:noWrap w:val="0"/>
            <w:vAlign w:val="top"/>
          </w:tcPr>
          <w:p w14:paraId="265D8618">
            <w:pPr>
              <w:pageBreakBefore w:val="0"/>
              <w:widowControl w:val="0"/>
              <w:kinsoku/>
              <w:wordWrap/>
              <w:overflowPunct/>
              <w:topLinePunct w:val="0"/>
              <w:autoSpaceDE/>
              <w:autoSpaceDN/>
              <w:bidi w:val="0"/>
              <w:spacing w:line="360" w:lineRule="auto"/>
              <w:rPr>
                <w:rFonts w:hint="eastAsia" w:ascii="Times New Roman" w:hAnsi="Times New Roman" w:eastAsia="宋体" w:cs="宋体"/>
                <w:color w:val="000000" w:themeColor="text1"/>
                <w:spacing w:val="0"/>
                <w:szCs w:val="21"/>
                <w:highlight w:val="none"/>
                <w14:textFill>
                  <w14:solidFill>
                    <w14:schemeClr w14:val="tx1"/>
                  </w14:solidFill>
                </w14:textFill>
              </w:rPr>
            </w:pPr>
            <w:r>
              <w:rPr>
                <w:rFonts w:hint="eastAsia" w:ascii="Times New Roman" w:hAnsi="Times New Roman" w:eastAsia="宋体" w:cs="宋体"/>
                <w:color w:val="000000" w:themeColor="text1"/>
                <w:spacing w:val="0"/>
                <w:szCs w:val="21"/>
                <w:highlight w:val="none"/>
                <w14:textFill>
                  <w14:solidFill>
                    <w14:schemeClr w14:val="tx1"/>
                  </w14:solidFill>
                </w14:textFill>
              </w:rPr>
              <w:t xml:space="preserve"> 0.004%</w:t>
            </w:r>
          </w:p>
        </w:tc>
        <w:tc>
          <w:tcPr>
            <w:tcW w:w="1532" w:type="dxa"/>
            <w:noWrap w:val="0"/>
            <w:vAlign w:val="top"/>
          </w:tcPr>
          <w:p w14:paraId="506907E8">
            <w:pPr>
              <w:pageBreakBefore w:val="0"/>
              <w:widowControl w:val="0"/>
              <w:kinsoku/>
              <w:wordWrap/>
              <w:overflowPunct/>
              <w:topLinePunct w:val="0"/>
              <w:autoSpaceDE/>
              <w:autoSpaceDN/>
              <w:bidi w:val="0"/>
              <w:spacing w:line="360" w:lineRule="auto"/>
              <w:ind w:firstLine="210" w:firstLineChars="100"/>
              <w:rPr>
                <w:rFonts w:hint="eastAsia" w:ascii="Times New Roman" w:hAnsi="Times New Roman" w:eastAsia="宋体" w:cs="宋体"/>
                <w:color w:val="000000" w:themeColor="text1"/>
                <w:spacing w:val="0"/>
                <w:szCs w:val="21"/>
                <w:highlight w:val="none"/>
                <w14:textFill>
                  <w14:solidFill>
                    <w14:schemeClr w14:val="tx1"/>
                  </w14:solidFill>
                </w14:textFill>
              </w:rPr>
            </w:pPr>
            <w:r>
              <w:rPr>
                <w:rFonts w:hint="eastAsia" w:ascii="Times New Roman" w:hAnsi="Times New Roman" w:eastAsia="宋体" w:cs="宋体"/>
                <w:color w:val="000000" w:themeColor="text1"/>
                <w:spacing w:val="0"/>
                <w:szCs w:val="21"/>
                <w:highlight w:val="none"/>
                <w14:textFill>
                  <w14:solidFill>
                    <w14:schemeClr w14:val="tx1"/>
                  </w14:solidFill>
                </w14:textFill>
              </w:rPr>
              <w:t>0.004%</w:t>
            </w:r>
          </w:p>
        </w:tc>
        <w:tc>
          <w:tcPr>
            <w:tcW w:w="1546" w:type="dxa"/>
            <w:noWrap w:val="0"/>
            <w:vAlign w:val="top"/>
          </w:tcPr>
          <w:p w14:paraId="3BEBBFCF">
            <w:pPr>
              <w:pageBreakBefore w:val="0"/>
              <w:widowControl w:val="0"/>
              <w:kinsoku/>
              <w:wordWrap/>
              <w:overflowPunct/>
              <w:topLinePunct w:val="0"/>
              <w:autoSpaceDE/>
              <w:autoSpaceDN/>
              <w:bidi w:val="0"/>
              <w:spacing w:line="360" w:lineRule="auto"/>
              <w:ind w:firstLine="105" w:firstLineChars="50"/>
              <w:rPr>
                <w:rFonts w:hint="eastAsia" w:ascii="Times New Roman" w:hAnsi="Times New Roman" w:eastAsia="宋体" w:cs="宋体"/>
                <w:color w:val="000000" w:themeColor="text1"/>
                <w:spacing w:val="0"/>
                <w:szCs w:val="21"/>
                <w:highlight w:val="none"/>
                <w14:textFill>
                  <w14:solidFill>
                    <w14:schemeClr w14:val="tx1"/>
                  </w14:solidFill>
                </w14:textFill>
              </w:rPr>
            </w:pPr>
            <w:r>
              <w:rPr>
                <w:rFonts w:hint="eastAsia" w:ascii="Times New Roman" w:hAnsi="Times New Roman" w:eastAsia="宋体" w:cs="宋体"/>
                <w:color w:val="000000" w:themeColor="text1"/>
                <w:spacing w:val="0"/>
                <w:szCs w:val="21"/>
                <w:highlight w:val="none"/>
                <w14:textFill>
                  <w14:solidFill>
                    <w14:schemeClr w14:val="tx1"/>
                  </w14:solidFill>
                </w14:textFill>
              </w:rPr>
              <w:t>0.004%</w:t>
            </w:r>
          </w:p>
        </w:tc>
      </w:tr>
    </w:tbl>
    <w:p w14:paraId="6889A647">
      <w:pPr>
        <w:pageBreakBefore w:val="0"/>
        <w:widowControl w:val="0"/>
        <w:kinsoku/>
        <w:wordWrap/>
        <w:overflowPunct/>
        <w:topLinePunct w:val="0"/>
        <w:autoSpaceDE/>
        <w:autoSpaceDN/>
        <w:bidi w:val="0"/>
        <w:spacing w:line="360" w:lineRule="auto"/>
        <w:ind w:firstLine="420" w:firstLineChars="200"/>
        <w:rPr>
          <w:rFonts w:hint="eastAsia" w:ascii="Times New Roman" w:hAnsi="Times New Roman" w:eastAsia="宋体" w:cs="宋体"/>
          <w:color w:val="000000" w:themeColor="text1"/>
          <w:spacing w:val="0"/>
          <w:highlight w:val="none"/>
          <w14:textFill>
            <w14:solidFill>
              <w14:schemeClr w14:val="tx1"/>
            </w14:solidFill>
          </w14:textFill>
        </w:rPr>
      </w:pPr>
      <w:r>
        <w:rPr>
          <w:rFonts w:hint="eastAsia" w:ascii="Times New Roman" w:hAnsi="Times New Roman" w:eastAsia="宋体" w:cs="宋体"/>
          <w:color w:val="000000" w:themeColor="text1"/>
          <w:spacing w:val="0"/>
          <w:highlight w:val="none"/>
          <w14:textFill>
            <w14:solidFill>
              <w14:schemeClr w14:val="tx1"/>
            </w14:solidFill>
          </w14:textFill>
        </w:rPr>
        <w:t>注：</w:t>
      </w:r>
    </w:p>
    <w:p w14:paraId="046A6BBA">
      <w:pPr>
        <w:pageBreakBefore w:val="0"/>
        <w:widowControl w:val="0"/>
        <w:kinsoku/>
        <w:wordWrap/>
        <w:overflowPunct/>
        <w:topLinePunct w:val="0"/>
        <w:autoSpaceDE/>
        <w:autoSpaceDN/>
        <w:bidi w:val="0"/>
        <w:spacing w:line="360" w:lineRule="auto"/>
        <w:ind w:firstLine="420" w:firstLineChars="200"/>
        <w:rPr>
          <w:rFonts w:hint="eastAsia" w:ascii="Times New Roman" w:hAnsi="Times New Roman" w:eastAsia="宋体" w:cs="宋体"/>
          <w:color w:val="000000" w:themeColor="text1"/>
          <w:spacing w:val="0"/>
          <w:highlight w:val="none"/>
          <w14:textFill>
            <w14:solidFill>
              <w14:schemeClr w14:val="tx1"/>
            </w14:solidFill>
          </w14:textFill>
        </w:rPr>
      </w:pPr>
      <w:r>
        <w:rPr>
          <w:rFonts w:hint="eastAsia" w:ascii="Times New Roman" w:hAnsi="Times New Roman" w:eastAsia="宋体" w:cs="宋体"/>
          <w:color w:val="000000" w:themeColor="text1"/>
          <w:spacing w:val="0"/>
          <w:highlight w:val="none"/>
          <w14:textFill>
            <w14:solidFill>
              <w14:schemeClr w14:val="tx1"/>
            </w14:solidFill>
          </w14:textFill>
        </w:rPr>
        <w:t>（1）按本表费率计算的收费为采购代理的收费基准价格；</w:t>
      </w:r>
    </w:p>
    <w:p w14:paraId="4033CC9A">
      <w:pPr>
        <w:pageBreakBefore w:val="0"/>
        <w:widowControl w:val="0"/>
        <w:kinsoku/>
        <w:wordWrap/>
        <w:overflowPunct/>
        <w:topLinePunct w:val="0"/>
        <w:autoSpaceDE/>
        <w:autoSpaceDN/>
        <w:bidi w:val="0"/>
        <w:spacing w:line="360" w:lineRule="auto"/>
        <w:ind w:firstLine="420" w:firstLineChars="200"/>
        <w:rPr>
          <w:rFonts w:hint="eastAsia" w:ascii="Times New Roman" w:hAnsi="Times New Roman" w:eastAsia="宋体" w:cs="宋体"/>
          <w:color w:val="000000" w:themeColor="text1"/>
          <w:spacing w:val="0"/>
          <w:highlight w:val="none"/>
          <w14:textFill>
            <w14:solidFill>
              <w14:schemeClr w14:val="tx1"/>
            </w14:solidFill>
          </w14:textFill>
        </w:rPr>
      </w:pPr>
      <w:r>
        <w:rPr>
          <w:rFonts w:hint="eastAsia" w:ascii="Times New Roman" w:hAnsi="Times New Roman" w:eastAsia="宋体" w:cs="宋体"/>
          <w:color w:val="000000" w:themeColor="text1"/>
          <w:spacing w:val="0"/>
          <w:highlight w:val="none"/>
          <w14:textFill>
            <w14:solidFill>
              <w14:schemeClr w14:val="tx1"/>
            </w14:solidFill>
          </w14:textFill>
        </w:rPr>
        <w:t>（2）采购代理收费按差额定率累进法计算。</w:t>
      </w:r>
    </w:p>
    <w:p w14:paraId="1ECA079A">
      <w:pPr>
        <w:pageBreakBefore w:val="0"/>
        <w:widowControl w:val="0"/>
        <w:kinsoku/>
        <w:wordWrap/>
        <w:overflowPunct/>
        <w:topLinePunct w:val="0"/>
        <w:autoSpaceDE/>
        <w:autoSpaceDN/>
        <w:bidi w:val="0"/>
        <w:spacing w:line="360" w:lineRule="auto"/>
        <w:ind w:firstLine="420" w:firstLineChars="200"/>
        <w:rPr>
          <w:rFonts w:hint="eastAsia" w:ascii="Times New Roman" w:hAnsi="Times New Roman" w:eastAsia="宋体" w:cs="宋体"/>
          <w:color w:val="000000" w:themeColor="text1"/>
          <w:spacing w:val="0"/>
          <w:highlight w:val="none"/>
          <w14:textFill>
            <w14:solidFill>
              <w14:schemeClr w14:val="tx1"/>
            </w14:solidFill>
          </w14:textFill>
        </w:rPr>
      </w:pPr>
      <w:r>
        <w:rPr>
          <w:rFonts w:hint="eastAsia" w:ascii="Times New Roman" w:hAnsi="Times New Roman" w:eastAsia="宋体" w:cs="宋体"/>
          <w:color w:val="000000" w:themeColor="text1"/>
          <w:spacing w:val="0"/>
          <w:highlight w:val="none"/>
          <w14:textFill>
            <w14:solidFill>
              <w14:schemeClr w14:val="tx1"/>
            </w14:solidFill>
          </w14:textFill>
        </w:rPr>
        <w:t>例如：某</w:t>
      </w:r>
      <w:r>
        <w:rPr>
          <w:rFonts w:hint="eastAsia" w:ascii="Times New Roman" w:hAnsi="Times New Roman" w:eastAsia="宋体" w:cs="宋体"/>
          <w:color w:val="000000" w:themeColor="text1"/>
          <w:spacing w:val="0"/>
          <w:highlight w:val="none"/>
          <w:lang w:eastAsia="zh-CN"/>
          <w14:textFill>
            <w14:solidFill>
              <w14:schemeClr w14:val="tx1"/>
            </w14:solidFill>
          </w14:textFill>
        </w:rPr>
        <w:t>工程</w:t>
      </w:r>
      <w:r>
        <w:rPr>
          <w:rFonts w:hint="eastAsia" w:ascii="Times New Roman" w:hAnsi="Times New Roman" w:eastAsia="宋体" w:cs="宋体"/>
          <w:color w:val="000000" w:themeColor="text1"/>
          <w:spacing w:val="0"/>
          <w:highlight w:val="none"/>
          <w14:textFill>
            <w14:solidFill>
              <w14:schemeClr w14:val="tx1"/>
            </w14:solidFill>
          </w14:textFill>
        </w:rPr>
        <w:t>采购代理业务成交金额或者暂定价为150万元，计算采购代理收费额如下：</w:t>
      </w:r>
    </w:p>
    <w:p w14:paraId="2037D3A9">
      <w:pPr>
        <w:pageBreakBefore w:val="0"/>
        <w:widowControl w:val="0"/>
        <w:kinsoku/>
        <w:wordWrap/>
        <w:overflowPunct/>
        <w:topLinePunct w:val="0"/>
        <w:autoSpaceDE/>
        <w:autoSpaceDN/>
        <w:bidi w:val="0"/>
        <w:spacing w:line="360" w:lineRule="auto"/>
        <w:ind w:firstLine="420" w:firstLineChars="200"/>
        <w:rPr>
          <w:rFonts w:hint="eastAsia" w:ascii="Times New Roman" w:hAnsi="Times New Roman" w:eastAsia="宋体" w:cs="宋体"/>
          <w:color w:val="000000" w:themeColor="text1"/>
          <w:spacing w:val="0"/>
          <w:highlight w:val="none"/>
          <w14:textFill>
            <w14:solidFill>
              <w14:schemeClr w14:val="tx1"/>
            </w14:solidFill>
          </w14:textFill>
        </w:rPr>
      </w:pPr>
      <w:r>
        <w:rPr>
          <w:rFonts w:hint="eastAsia" w:ascii="Times New Roman" w:hAnsi="Times New Roman" w:eastAsia="宋体" w:cs="宋体"/>
          <w:color w:val="000000" w:themeColor="text1"/>
          <w:spacing w:val="0"/>
          <w:highlight w:val="none"/>
          <w14:textFill>
            <w14:solidFill>
              <w14:schemeClr w14:val="tx1"/>
            </w14:solidFill>
          </w14:textFill>
        </w:rPr>
        <w:t>100万元×l.</w:t>
      </w:r>
      <w:r>
        <w:rPr>
          <w:rFonts w:hint="eastAsia" w:ascii="Times New Roman" w:hAnsi="Times New Roman" w:eastAsia="宋体" w:cs="宋体"/>
          <w:color w:val="000000" w:themeColor="text1"/>
          <w:spacing w:val="0"/>
          <w:highlight w:val="none"/>
          <w:lang w:val="en-US" w:eastAsia="zh-CN"/>
          <w14:textFill>
            <w14:solidFill>
              <w14:schemeClr w14:val="tx1"/>
            </w14:solidFill>
          </w14:textFill>
        </w:rPr>
        <w:t>0</w:t>
      </w:r>
      <w:r>
        <w:rPr>
          <w:rFonts w:hint="eastAsia" w:ascii="Times New Roman" w:hAnsi="Times New Roman" w:eastAsia="宋体" w:cs="宋体"/>
          <w:color w:val="000000" w:themeColor="text1"/>
          <w:spacing w:val="0"/>
          <w:highlight w:val="none"/>
          <w14:textFill>
            <w14:solidFill>
              <w14:schemeClr w14:val="tx1"/>
            </w14:solidFill>
          </w14:textFill>
        </w:rPr>
        <w:t>％＝1.</w:t>
      </w:r>
      <w:r>
        <w:rPr>
          <w:rFonts w:hint="eastAsia" w:ascii="Times New Roman" w:hAnsi="Times New Roman" w:eastAsia="宋体" w:cs="宋体"/>
          <w:color w:val="000000" w:themeColor="text1"/>
          <w:spacing w:val="0"/>
          <w:highlight w:val="none"/>
          <w:lang w:val="en-US" w:eastAsia="zh-CN"/>
          <w14:textFill>
            <w14:solidFill>
              <w14:schemeClr w14:val="tx1"/>
            </w14:solidFill>
          </w14:textFill>
        </w:rPr>
        <w:t>0</w:t>
      </w:r>
      <w:r>
        <w:rPr>
          <w:rFonts w:hint="eastAsia" w:ascii="Times New Roman" w:hAnsi="Times New Roman" w:eastAsia="宋体" w:cs="宋体"/>
          <w:color w:val="000000" w:themeColor="text1"/>
          <w:spacing w:val="0"/>
          <w:highlight w:val="none"/>
          <w14:textFill>
            <w14:solidFill>
              <w14:schemeClr w14:val="tx1"/>
            </w14:solidFill>
          </w14:textFill>
        </w:rPr>
        <w:t>万元</w:t>
      </w:r>
    </w:p>
    <w:p w14:paraId="102FE060">
      <w:pPr>
        <w:pageBreakBefore w:val="0"/>
        <w:widowControl w:val="0"/>
        <w:kinsoku/>
        <w:wordWrap/>
        <w:overflowPunct/>
        <w:topLinePunct w:val="0"/>
        <w:autoSpaceDE/>
        <w:autoSpaceDN/>
        <w:bidi w:val="0"/>
        <w:spacing w:line="360" w:lineRule="auto"/>
        <w:ind w:firstLine="420" w:firstLineChars="200"/>
        <w:rPr>
          <w:rFonts w:hint="eastAsia" w:ascii="Times New Roman" w:hAnsi="Times New Roman" w:eastAsia="宋体" w:cs="宋体"/>
          <w:color w:val="000000" w:themeColor="text1"/>
          <w:spacing w:val="0"/>
          <w:highlight w:val="none"/>
          <w14:textFill>
            <w14:solidFill>
              <w14:schemeClr w14:val="tx1"/>
            </w14:solidFill>
          </w14:textFill>
        </w:rPr>
      </w:pPr>
      <w:r>
        <w:rPr>
          <w:rFonts w:hint="eastAsia" w:ascii="Times New Roman" w:hAnsi="Times New Roman" w:eastAsia="宋体" w:cs="宋体"/>
          <w:color w:val="000000" w:themeColor="text1"/>
          <w:spacing w:val="0"/>
          <w:highlight w:val="none"/>
          <w14:textFill>
            <w14:solidFill>
              <w14:schemeClr w14:val="tx1"/>
            </w14:solidFill>
          </w14:textFill>
        </w:rPr>
        <w:t>（150－100）万元×0.</w:t>
      </w:r>
      <w:r>
        <w:rPr>
          <w:rFonts w:hint="eastAsia" w:ascii="Times New Roman" w:hAnsi="Times New Roman" w:eastAsia="宋体" w:cs="宋体"/>
          <w:color w:val="000000" w:themeColor="text1"/>
          <w:spacing w:val="0"/>
          <w:highlight w:val="none"/>
          <w:lang w:val="en-US" w:eastAsia="zh-CN"/>
          <w14:textFill>
            <w14:solidFill>
              <w14:schemeClr w14:val="tx1"/>
            </w14:solidFill>
          </w14:textFill>
        </w:rPr>
        <w:t>7</w:t>
      </w:r>
      <w:r>
        <w:rPr>
          <w:rFonts w:hint="eastAsia" w:ascii="Times New Roman" w:hAnsi="Times New Roman" w:eastAsia="宋体" w:cs="宋体"/>
          <w:color w:val="000000" w:themeColor="text1"/>
          <w:spacing w:val="0"/>
          <w:highlight w:val="none"/>
          <w14:textFill>
            <w14:solidFill>
              <w14:schemeClr w14:val="tx1"/>
            </w14:solidFill>
          </w14:textFill>
        </w:rPr>
        <w:t>％＝0.</w:t>
      </w:r>
      <w:r>
        <w:rPr>
          <w:rFonts w:hint="eastAsia" w:ascii="Times New Roman" w:hAnsi="Times New Roman" w:eastAsia="宋体" w:cs="宋体"/>
          <w:color w:val="000000" w:themeColor="text1"/>
          <w:spacing w:val="0"/>
          <w:highlight w:val="none"/>
          <w:lang w:val="en-US" w:eastAsia="zh-CN"/>
          <w14:textFill>
            <w14:solidFill>
              <w14:schemeClr w14:val="tx1"/>
            </w14:solidFill>
          </w14:textFill>
        </w:rPr>
        <w:t>35</w:t>
      </w:r>
      <w:r>
        <w:rPr>
          <w:rFonts w:hint="eastAsia" w:ascii="Times New Roman" w:hAnsi="Times New Roman" w:eastAsia="宋体" w:cs="宋体"/>
          <w:color w:val="000000" w:themeColor="text1"/>
          <w:spacing w:val="0"/>
          <w:highlight w:val="none"/>
          <w14:textFill>
            <w14:solidFill>
              <w14:schemeClr w14:val="tx1"/>
            </w14:solidFill>
          </w14:textFill>
        </w:rPr>
        <w:t>万元</w:t>
      </w:r>
    </w:p>
    <w:p w14:paraId="26570315">
      <w:pPr>
        <w:pageBreakBefore w:val="0"/>
        <w:widowControl w:val="0"/>
        <w:kinsoku/>
        <w:wordWrap/>
        <w:overflowPunct/>
        <w:topLinePunct w:val="0"/>
        <w:autoSpaceDE/>
        <w:autoSpaceDN/>
        <w:bidi w:val="0"/>
        <w:spacing w:line="360" w:lineRule="auto"/>
        <w:ind w:firstLine="420" w:firstLineChars="200"/>
        <w:rPr>
          <w:rFonts w:hint="eastAsia" w:ascii="Times New Roman" w:hAnsi="Times New Roman" w:eastAsia="宋体" w:cs="宋体"/>
          <w:color w:val="000000" w:themeColor="text1"/>
          <w:spacing w:val="0"/>
          <w:highlight w:val="none"/>
          <w14:textFill>
            <w14:solidFill>
              <w14:schemeClr w14:val="tx1"/>
            </w14:solidFill>
          </w14:textFill>
        </w:rPr>
      </w:pPr>
      <w:r>
        <w:rPr>
          <w:rFonts w:hint="eastAsia" w:ascii="Times New Roman" w:hAnsi="Times New Roman" w:eastAsia="宋体" w:cs="宋体"/>
          <w:color w:val="000000" w:themeColor="text1"/>
          <w:spacing w:val="0"/>
          <w:highlight w:val="none"/>
          <w14:textFill>
            <w14:solidFill>
              <w14:schemeClr w14:val="tx1"/>
            </w14:solidFill>
          </w14:textFill>
        </w:rPr>
        <w:t>合计收费＝1.</w:t>
      </w:r>
      <w:r>
        <w:rPr>
          <w:rFonts w:hint="eastAsia" w:ascii="Times New Roman" w:hAnsi="Times New Roman" w:eastAsia="宋体" w:cs="宋体"/>
          <w:color w:val="000000" w:themeColor="text1"/>
          <w:spacing w:val="0"/>
          <w:highlight w:val="none"/>
          <w:lang w:val="en-US" w:eastAsia="zh-CN"/>
          <w14:textFill>
            <w14:solidFill>
              <w14:schemeClr w14:val="tx1"/>
            </w14:solidFill>
          </w14:textFill>
        </w:rPr>
        <w:t>0</w:t>
      </w:r>
      <w:r>
        <w:rPr>
          <w:rFonts w:hint="eastAsia" w:ascii="Times New Roman" w:hAnsi="Times New Roman" w:eastAsia="宋体" w:cs="宋体"/>
          <w:color w:val="000000" w:themeColor="text1"/>
          <w:spacing w:val="0"/>
          <w:highlight w:val="none"/>
          <w14:textFill>
            <w14:solidFill>
              <w14:schemeClr w14:val="tx1"/>
            </w14:solidFill>
          </w14:textFill>
        </w:rPr>
        <w:t>＋0.</w:t>
      </w:r>
      <w:r>
        <w:rPr>
          <w:rFonts w:hint="eastAsia" w:ascii="Times New Roman" w:hAnsi="Times New Roman" w:eastAsia="宋体" w:cs="宋体"/>
          <w:color w:val="000000" w:themeColor="text1"/>
          <w:spacing w:val="0"/>
          <w:highlight w:val="none"/>
          <w:lang w:val="en-US" w:eastAsia="zh-CN"/>
          <w14:textFill>
            <w14:solidFill>
              <w14:schemeClr w14:val="tx1"/>
            </w14:solidFill>
          </w14:textFill>
        </w:rPr>
        <w:t>35</w:t>
      </w:r>
      <w:r>
        <w:rPr>
          <w:rFonts w:hint="eastAsia" w:ascii="Times New Roman" w:hAnsi="Times New Roman" w:eastAsia="宋体" w:cs="宋体"/>
          <w:color w:val="000000" w:themeColor="text1"/>
          <w:spacing w:val="0"/>
          <w:highlight w:val="none"/>
          <w14:textFill>
            <w14:solidFill>
              <w14:schemeClr w14:val="tx1"/>
            </w14:solidFill>
          </w14:textFill>
        </w:rPr>
        <w:t>＝1.</w:t>
      </w:r>
      <w:r>
        <w:rPr>
          <w:rFonts w:hint="eastAsia" w:ascii="Times New Roman" w:hAnsi="Times New Roman" w:eastAsia="宋体" w:cs="宋体"/>
          <w:color w:val="000000" w:themeColor="text1"/>
          <w:spacing w:val="0"/>
          <w:highlight w:val="none"/>
          <w:lang w:val="en-US" w:eastAsia="zh-CN"/>
          <w14:textFill>
            <w14:solidFill>
              <w14:schemeClr w14:val="tx1"/>
            </w14:solidFill>
          </w14:textFill>
        </w:rPr>
        <w:t>35</w:t>
      </w:r>
      <w:r>
        <w:rPr>
          <w:rFonts w:hint="eastAsia" w:ascii="Times New Roman" w:hAnsi="Times New Roman" w:eastAsia="宋体" w:cs="宋体"/>
          <w:color w:val="000000" w:themeColor="text1"/>
          <w:spacing w:val="0"/>
          <w:highlight w:val="none"/>
          <w14:textFill>
            <w14:solidFill>
              <w14:schemeClr w14:val="tx1"/>
            </w14:solidFill>
          </w14:textFill>
        </w:rPr>
        <w:t>万元</w:t>
      </w:r>
    </w:p>
    <w:p w14:paraId="7FEFA674">
      <w:pPr>
        <w:pageBreakBefore w:val="0"/>
        <w:widowControl w:val="0"/>
        <w:kinsoku/>
        <w:wordWrap/>
        <w:overflowPunct/>
        <w:topLinePunct w:val="0"/>
        <w:autoSpaceDE/>
        <w:autoSpaceDN/>
        <w:bidi w:val="0"/>
        <w:spacing w:line="360" w:lineRule="auto"/>
        <w:outlineLvl w:val="2"/>
        <w:rPr>
          <w:rFonts w:hint="eastAsia" w:ascii="Times New Roman" w:hAnsi="Times New Roman" w:eastAsia="宋体" w:cs="宋体"/>
          <w:b/>
          <w:bCs/>
          <w:color w:val="000000" w:themeColor="text1"/>
          <w:spacing w:val="0"/>
          <w:sz w:val="21"/>
          <w:szCs w:val="21"/>
          <w:highlight w:val="none"/>
          <w14:textFill>
            <w14:solidFill>
              <w14:schemeClr w14:val="tx1"/>
            </w14:solidFill>
          </w14:textFill>
        </w:rPr>
      </w:pPr>
      <w:bookmarkStart w:id="153" w:name="_Toc13746"/>
      <w:r>
        <w:rPr>
          <w:rFonts w:hint="eastAsia" w:ascii="Times New Roman" w:hAnsi="Times New Roman" w:eastAsia="宋体" w:cs="宋体"/>
          <w:b/>
          <w:bCs/>
          <w:color w:val="000000" w:themeColor="text1"/>
          <w:spacing w:val="0"/>
          <w:sz w:val="21"/>
          <w:szCs w:val="21"/>
          <w:highlight w:val="none"/>
          <w14:textFill>
            <w14:solidFill>
              <w14:schemeClr w14:val="tx1"/>
            </w14:solidFill>
          </w14:textFill>
        </w:rPr>
        <w:t>3</w:t>
      </w:r>
      <w:r>
        <w:rPr>
          <w:rFonts w:hint="eastAsia" w:ascii="Times New Roman" w:hAnsi="Times New Roman" w:eastAsia="宋体" w:cs="宋体"/>
          <w:b/>
          <w:bCs/>
          <w:color w:val="000000" w:themeColor="text1"/>
          <w:spacing w:val="0"/>
          <w:sz w:val="21"/>
          <w:szCs w:val="21"/>
          <w:highlight w:val="none"/>
          <w:lang w:val="en-US" w:eastAsia="zh-CN"/>
          <w14:textFill>
            <w14:solidFill>
              <w14:schemeClr w14:val="tx1"/>
            </w14:solidFill>
          </w14:textFill>
        </w:rPr>
        <w:t>3</w:t>
      </w:r>
      <w:r>
        <w:rPr>
          <w:rFonts w:hint="eastAsia" w:ascii="Times New Roman" w:hAnsi="Times New Roman" w:eastAsia="宋体" w:cs="宋体"/>
          <w:b/>
          <w:bCs/>
          <w:color w:val="000000" w:themeColor="text1"/>
          <w:spacing w:val="0"/>
          <w:sz w:val="21"/>
          <w:szCs w:val="21"/>
          <w:highlight w:val="none"/>
          <w14:textFill>
            <w14:solidFill>
              <w14:schemeClr w14:val="tx1"/>
            </w14:solidFill>
          </w14:textFill>
        </w:rPr>
        <w:t>.需要补充的其他内容</w:t>
      </w:r>
      <w:bookmarkEnd w:id="153"/>
    </w:p>
    <w:p w14:paraId="408DFC7A">
      <w:pPr>
        <w:pageBreakBefore w:val="0"/>
        <w:widowControl w:val="0"/>
        <w:kinsoku/>
        <w:wordWrap/>
        <w:overflowPunct/>
        <w:topLinePunct w:val="0"/>
        <w:autoSpaceDE/>
        <w:autoSpaceDN/>
        <w:bidi w:val="0"/>
        <w:spacing w:line="360" w:lineRule="auto"/>
        <w:ind w:firstLine="420" w:firstLineChars="200"/>
        <w:textAlignment w:val="center"/>
        <w:rPr>
          <w:rFonts w:hint="eastAsia" w:ascii="Times New Roman" w:hAnsi="Times New Roman" w:eastAsia="宋体" w:cs="宋体"/>
          <w:color w:val="000000" w:themeColor="text1"/>
          <w:spacing w:val="0"/>
          <w:szCs w:val="21"/>
          <w:highlight w:val="none"/>
          <w14:textFill>
            <w14:solidFill>
              <w14:schemeClr w14:val="tx1"/>
            </w14:solidFill>
          </w14:textFill>
        </w:rPr>
      </w:pPr>
      <w:r>
        <w:rPr>
          <w:rFonts w:hint="eastAsia" w:ascii="Times New Roman" w:hAnsi="Times New Roman" w:eastAsia="宋体" w:cs="宋体"/>
          <w:color w:val="000000" w:themeColor="text1"/>
          <w:spacing w:val="0"/>
          <w:szCs w:val="21"/>
          <w:highlight w:val="none"/>
          <w14:textFill>
            <w14:solidFill>
              <w14:schemeClr w14:val="tx1"/>
            </w14:solidFill>
          </w14:textFill>
        </w:rPr>
        <w:t>3</w:t>
      </w:r>
      <w:r>
        <w:rPr>
          <w:rFonts w:hint="eastAsia" w:ascii="Times New Roman" w:hAnsi="Times New Roman" w:eastAsia="宋体" w:cs="宋体"/>
          <w:color w:val="000000" w:themeColor="text1"/>
          <w:spacing w:val="0"/>
          <w:szCs w:val="21"/>
          <w:highlight w:val="none"/>
          <w:lang w:val="en-US" w:eastAsia="zh-CN"/>
          <w14:textFill>
            <w14:solidFill>
              <w14:schemeClr w14:val="tx1"/>
            </w14:solidFill>
          </w14:textFill>
        </w:rPr>
        <w:t>3</w:t>
      </w:r>
      <w:r>
        <w:rPr>
          <w:rFonts w:hint="eastAsia" w:ascii="Times New Roman" w:hAnsi="Times New Roman" w:eastAsia="宋体" w:cs="宋体"/>
          <w:color w:val="000000" w:themeColor="text1"/>
          <w:spacing w:val="0"/>
          <w:szCs w:val="21"/>
          <w:highlight w:val="none"/>
          <w14:textFill>
            <w14:solidFill>
              <w14:schemeClr w14:val="tx1"/>
            </w14:solidFill>
          </w14:textFill>
        </w:rPr>
        <w:t>.1本磋商文件解释规则详见</w:t>
      </w:r>
      <w:r>
        <w:rPr>
          <w:rFonts w:hint="eastAsia" w:ascii="Times New Roman" w:hAnsi="Times New Roman" w:eastAsia="宋体" w:cs="宋体"/>
          <w:color w:val="000000" w:themeColor="text1"/>
          <w:spacing w:val="0"/>
          <w:szCs w:val="21"/>
          <w:highlight w:val="none"/>
          <w:lang w:eastAsia="zh-CN"/>
          <w14:textFill>
            <w14:solidFill>
              <w14:schemeClr w14:val="tx1"/>
            </w14:solidFill>
          </w14:textFill>
        </w:rPr>
        <w:t>“</w:t>
      </w:r>
      <w:r>
        <w:rPr>
          <w:rFonts w:hint="eastAsia" w:ascii="Times New Roman" w:hAnsi="Times New Roman" w:eastAsia="宋体" w:cs="宋体"/>
          <w:color w:val="000000" w:themeColor="text1"/>
          <w:spacing w:val="0"/>
          <w:szCs w:val="21"/>
          <w:highlight w:val="none"/>
          <w14:textFill>
            <w14:solidFill>
              <w14:schemeClr w14:val="tx1"/>
            </w14:solidFill>
          </w14:textFill>
        </w:rPr>
        <w:t>供应商须知前附表</w:t>
      </w:r>
      <w:r>
        <w:rPr>
          <w:rFonts w:hint="eastAsia" w:ascii="Times New Roman" w:hAnsi="Times New Roman" w:eastAsia="宋体" w:cs="宋体"/>
          <w:color w:val="000000" w:themeColor="text1"/>
          <w:spacing w:val="0"/>
          <w:szCs w:val="21"/>
          <w:highlight w:val="none"/>
          <w:lang w:eastAsia="zh-CN"/>
          <w14:textFill>
            <w14:solidFill>
              <w14:schemeClr w14:val="tx1"/>
            </w14:solidFill>
          </w14:textFill>
        </w:rPr>
        <w:t>”</w:t>
      </w:r>
      <w:r>
        <w:rPr>
          <w:rFonts w:hint="eastAsia" w:ascii="Times New Roman" w:hAnsi="Times New Roman" w:eastAsia="宋体" w:cs="宋体"/>
          <w:color w:val="000000" w:themeColor="text1"/>
          <w:spacing w:val="0"/>
          <w:szCs w:val="21"/>
          <w:highlight w:val="none"/>
          <w14:textFill>
            <w14:solidFill>
              <w14:schemeClr w14:val="tx1"/>
            </w14:solidFill>
          </w14:textFill>
        </w:rPr>
        <w:t>。</w:t>
      </w:r>
    </w:p>
    <w:p w14:paraId="1E2FB911">
      <w:pPr>
        <w:pageBreakBefore w:val="0"/>
        <w:widowControl w:val="0"/>
        <w:kinsoku/>
        <w:wordWrap/>
        <w:overflowPunct/>
        <w:topLinePunct w:val="0"/>
        <w:autoSpaceDE/>
        <w:autoSpaceDN/>
        <w:bidi w:val="0"/>
        <w:spacing w:line="360" w:lineRule="auto"/>
        <w:ind w:firstLine="420" w:firstLineChars="200"/>
        <w:textAlignment w:val="center"/>
        <w:rPr>
          <w:rFonts w:hint="eastAsia" w:ascii="Times New Roman" w:hAnsi="Times New Roman" w:eastAsia="宋体" w:cs="宋体"/>
          <w:color w:val="000000" w:themeColor="text1"/>
          <w:spacing w:val="0"/>
          <w:szCs w:val="21"/>
          <w:highlight w:val="none"/>
          <w14:textFill>
            <w14:solidFill>
              <w14:schemeClr w14:val="tx1"/>
            </w14:solidFill>
          </w14:textFill>
        </w:rPr>
      </w:pPr>
      <w:r>
        <w:rPr>
          <w:rFonts w:hint="eastAsia" w:ascii="Times New Roman" w:hAnsi="Times New Roman" w:eastAsia="宋体" w:cs="宋体"/>
          <w:color w:val="000000" w:themeColor="text1"/>
          <w:spacing w:val="0"/>
          <w:szCs w:val="21"/>
          <w:highlight w:val="none"/>
          <w14:textFill>
            <w14:solidFill>
              <w14:schemeClr w14:val="tx1"/>
            </w14:solidFill>
          </w14:textFill>
        </w:rPr>
        <w:t>3</w:t>
      </w:r>
      <w:r>
        <w:rPr>
          <w:rFonts w:hint="eastAsia" w:ascii="Times New Roman" w:hAnsi="Times New Roman" w:eastAsia="宋体" w:cs="宋体"/>
          <w:color w:val="000000" w:themeColor="text1"/>
          <w:spacing w:val="0"/>
          <w:szCs w:val="21"/>
          <w:highlight w:val="none"/>
          <w:lang w:val="en-US" w:eastAsia="zh-CN"/>
          <w14:textFill>
            <w14:solidFill>
              <w14:schemeClr w14:val="tx1"/>
            </w14:solidFill>
          </w14:textFill>
        </w:rPr>
        <w:t>3</w:t>
      </w:r>
      <w:r>
        <w:rPr>
          <w:rFonts w:hint="eastAsia" w:ascii="Times New Roman" w:hAnsi="Times New Roman" w:eastAsia="宋体" w:cs="宋体"/>
          <w:color w:val="000000" w:themeColor="text1"/>
          <w:spacing w:val="0"/>
          <w:szCs w:val="21"/>
          <w:highlight w:val="none"/>
          <w14:textFill>
            <w14:solidFill>
              <w14:schemeClr w14:val="tx1"/>
            </w14:solidFill>
          </w14:textFill>
        </w:rPr>
        <w:t>.2 其他事项详见</w:t>
      </w:r>
      <w:r>
        <w:rPr>
          <w:rFonts w:hint="eastAsia" w:ascii="Times New Roman" w:hAnsi="Times New Roman" w:eastAsia="宋体" w:cs="宋体"/>
          <w:color w:val="000000" w:themeColor="text1"/>
          <w:spacing w:val="0"/>
          <w:szCs w:val="21"/>
          <w:highlight w:val="none"/>
          <w:lang w:eastAsia="zh-CN"/>
          <w14:textFill>
            <w14:solidFill>
              <w14:schemeClr w14:val="tx1"/>
            </w14:solidFill>
          </w14:textFill>
        </w:rPr>
        <w:t>“</w:t>
      </w:r>
      <w:r>
        <w:rPr>
          <w:rFonts w:hint="eastAsia" w:ascii="Times New Roman" w:hAnsi="Times New Roman" w:eastAsia="宋体" w:cs="宋体"/>
          <w:color w:val="000000" w:themeColor="text1"/>
          <w:spacing w:val="0"/>
          <w:szCs w:val="21"/>
          <w:highlight w:val="none"/>
          <w14:textFill>
            <w14:solidFill>
              <w14:schemeClr w14:val="tx1"/>
            </w14:solidFill>
          </w14:textFill>
        </w:rPr>
        <w:t>供应商须知前附表</w:t>
      </w:r>
      <w:r>
        <w:rPr>
          <w:rFonts w:hint="eastAsia" w:ascii="Times New Roman" w:hAnsi="Times New Roman" w:eastAsia="宋体" w:cs="宋体"/>
          <w:color w:val="000000" w:themeColor="text1"/>
          <w:spacing w:val="0"/>
          <w:szCs w:val="21"/>
          <w:highlight w:val="none"/>
          <w:lang w:eastAsia="zh-CN"/>
          <w14:textFill>
            <w14:solidFill>
              <w14:schemeClr w14:val="tx1"/>
            </w14:solidFill>
          </w14:textFill>
        </w:rPr>
        <w:t>”</w:t>
      </w:r>
      <w:r>
        <w:rPr>
          <w:rFonts w:hint="eastAsia" w:ascii="Times New Roman" w:hAnsi="Times New Roman" w:eastAsia="宋体" w:cs="宋体"/>
          <w:color w:val="000000" w:themeColor="text1"/>
          <w:spacing w:val="0"/>
          <w:szCs w:val="21"/>
          <w:highlight w:val="none"/>
          <w14:textFill>
            <w14:solidFill>
              <w14:schemeClr w14:val="tx1"/>
            </w14:solidFill>
          </w14:textFill>
        </w:rPr>
        <w:t>。</w:t>
      </w:r>
    </w:p>
    <w:p w14:paraId="165BECFC">
      <w:pPr>
        <w:pageBreakBefore w:val="0"/>
        <w:widowControl w:val="0"/>
        <w:kinsoku/>
        <w:wordWrap/>
        <w:overflowPunct/>
        <w:topLinePunct w:val="0"/>
        <w:autoSpaceDE/>
        <w:autoSpaceDN/>
        <w:bidi w:val="0"/>
        <w:spacing w:line="360" w:lineRule="auto"/>
        <w:ind w:firstLine="420" w:firstLineChars="200"/>
        <w:textAlignment w:val="center"/>
        <w:rPr>
          <w:rFonts w:hint="eastAsia" w:ascii="Times New Roman" w:hAnsi="Times New Roman" w:eastAsia="宋体" w:cs="宋体"/>
          <w:color w:val="000000" w:themeColor="text1"/>
          <w:spacing w:val="0"/>
          <w:szCs w:val="21"/>
          <w:highlight w:val="none"/>
          <w14:textFill>
            <w14:solidFill>
              <w14:schemeClr w14:val="tx1"/>
            </w14:solidFill>
          </w14:textFill>
        </w:rPr>
      </w:pPr>
      <w:r>
        <w:rPr>
          <w:rFonts w:hint="eastAsia" w:ascii="Times New Roman" w:hAnsi="Times New Roman" w:eastAsia="宋体" w:cs="宋体"/>
          <w:color w:val="000000" w:themeColor="text1"/>
          <w:spacing w:val="0"/>
          <w:szCs w:val="21"/>
          <w:highlight w:val="none"/>
          <w14:textFill>
            <w14:solidFill>
              <w14:schemeClr w14:val="tx1"/>
            </w14:solidFill>
          </w14:textFill>
        </w:rPr>
        <w:t>3</w:t>
      </w:r>
      <w:r>
        <w:rPr>
          <w:rFonts w:hint="eastAsia" w:ascii="Times New Roman" w:hAnsi="Times New Roman" w:eastAsia="宋体" w:cs="宋体"/>
          <w:color w:val="000000" w:themeColor="text1"/>
          <w:spacing w:val="0"/>
          <w:szCs w:val="21"/>
          <w:highlight w:val="none"/>
          <w:lang w:val="en-US" w:eastAsia="zh-CN"/>
          <w14:textFill>
            <w14:solidFill>
              <w14:schemeClr w14:val="tx1"/>
            </w14:solidFill>
          </w14:textFill>
        </w:rPr>
        <w:t>3</w:t>
      </w:r>
      <w:r>
        <w:rPr>
          <w:rFonts w:hint="eastAsia" w:ascii="Times New Roman" w:hAnsi="Times New Roman" w:eastAsia="宋体" w:cs="宋体"/>
          <w:color w:val="000000" w:themeColor="text1"/>
          <w:spacing w:val="0"/>
          <w:szCs w:val="21"/>
          <w:highlight w:val="none"/>
          <w14:textFill>
            <w14:solidFill>
              <w14:schemeClr w14:val="tx1"/>
            </w14:solidFill>
          </w14:textFill>
        </w:rPr>
        <w:t>.3本文件所称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在工程采购项目中，工程由中小企业承建，即工程施工单位为中小企业，不对其中涉及的货物的制造商和服务的承接商作出要求。</w:t>
      </w:r>
    </w:p>
    <w:p w14:paraId="2B834DE3">
      <w:pPr>
        <w:pageBreakBefore w:val="0"/>
        <w:widowControl w:val="0"/>
        <w:kinsoku/>
        <w:wordWrap/>
        <w:overflowPunct/>
        <w:topLinePunct w:val="0"/>
        <w:autoSpaceDE/>
        <w:autoSpaceDN/>
        <w:bidi w:val="0"/>
        <w:spacing w:line="360" w:lineRule="auto"/>
        <w:ind w:firstLine="420" w:firstLineChars="200"/>
        <w:textAlignment w:val="center"/>
        <w:rPr>
          <w:rFonts w:hint="eastAsia" w:ascii="Times New Roman" w:hAnsi="Times New Roman" w:eastAsia="宋体" w:cs="宋体"/>
          <w:color w:val="000000" w:themeColor="text1"/>
          <w:spacing w:val="0"/>
          <w:szCs w:val="21"/>
          <w:highlight w:val="none"/>
          <w14:textFill>
            <w14:solidFill>
              <w14:schemeClr w14:val="tx1"/>
            </w14:solidFill>
          </w14:textFill>
        </w:rPr>
      </w:pPr>
      <w:r>
        <w:rPr>
          <w:rFonts w:hint="eastAsia" w:ascii="Times New Roman" w:hAnsi="Times New Roman" w:eastAsia="宋体" w:cs="宋体"/>
          <w:color w:val="000000" w:themeColor="text1"/>
          <w:spacing w:val="0"/>
          <w:szCs w:val="21"/>
          <w:highlight w:val="none"/>
          <w14:textFill>
            <w14:solidFill>
              <w14:schemeClr w14:val="tx1"/>
            </w14:solidFill>
          </w14:textFill>
        </w:rPr>
        <w:t>以联合体形式参加政府采购活动，联合体各方均为中小企业的，联合体视同中小企业。其中，联合体各方均为小微企业的，联合体视同小微企业。</w:t>
      </w:r>
    </w:p>
    <w:p w14:paraId="513D9516">
      <w:pPr>
        <w:pageBreakBefore w:val="0"/>
        <w:widowControl w:val="0"/>
        <w:kinsoku/>
        <w:wordWrap/>
        <w:overflowPunct/>
        <w:topLinePunct w:val="0"/>
        <w:autoSpaceDE/>
        <w:autoSpaceDN/>
        <w:bidi w:val="0"/>
        <w:spacing w:line="360" w:lineRule="auto"/>
        <w:ind w:firstLine="420" w:firstLineChars="200"/>
        <w:textAlignment w:val="center"/>
        <w:rPr>
          <w:rFonts w:ascii="Times New Roman" w:hAnsi="Times New Roman"/>
          <w:color w:val="000000" w:themeColor="text1"/>
          <w:spacing w:val="0"/>
          <w:szCs w:val="21"/>
          <w:highlight w:val="none"/>
          <w14:textFill>
            <w14:solidFill>
              <w14:schemeClr w14:val="tx1"/>
            </w14:solidFill>
          </w14:textFill>
        </w:rPr>
      </w:pPr>
      <w:r>
        <w:rPr>
          <w:rFonts w:hint="eastAsia" w:ascii="Times New Roman" w:hAnsi="Times New Roman" w:eastAsia="宋体" w:cs="宋体"/>
          <w:color w:val="000000" w:themeColor="text1"/>
          <w:spacing w:val="0"/>
          <w:szCs w:val="21"/>
          <w:highlight w:val="none"/>
          <w14:textFill>
            <w14:solidFill>
              <w14:schemeClr w14:val="tx1"/>
            </w14:solidFill>
          </w14:textFill>
        </w:rPr>
        <w:t>依据本文件规定享受扶持政策获得政府采购合同的，小微企业不得将合同分包给大中型企业，中型企业不得将合同分包给大型企业。</w:t>
      </w:r>
    </w:p>
    <w:p w14:paraId="017BECD9">
      <w:pPr>
        <w:pageBreakBefore w:val="0"/>
        <w:widowControl w:val="0"/>
        <w:kinsoku/>
        <w:wordWrap/>
        <w:overflowPunct/>
        <w:topLinePunct w:val="0"/>
        <w:autoSpaceDE/>
        <w:autoSpaceDN/>
        <w:bidi w:val="0"/>
        <w:spacing w:line="360" w:lineRule="auto"/>
        <w:outlineLvl w:val="2"/>
        <w:rPr>
          <w:rFonts w:hint="eastAsia" w:ascii="Times New Roman" w:hAnsi="Times New Roman" w:eastAsia="宋体" w:cs="宋体"/>
          <w:b/>
          <w:bCs/>
          <w:color w:val="000000" w:themeColor="text1"/>
          <w:spacing w:val="0"/>
          <w:sz w:val="21"/>
          <w:szCs w:val="21"/>
          <w:highlight w:val="none"/>
          <w14:textFill>
            <w14:solidFill>
              <w14:schemeClr w14:val="tx1"/>
            </w14:solidFill>
          </w14:textFill>
        </w:rPr>
      </w:pPr>
      <w:bookmarkStart w:id="154" w:name="_Toc12785"/>
      <w:r>
        <w:rPr>
          <w:rFonts w:hint="eastAsia" w:ascii="Times New Roman" w:hAnsi="Times New Roman" w:eastAsia="宋体" w:cs="宋体"/>
          <w:b/>
          <w:bCs/>
          <w:color w:val="000000" w:themeColor="text1"/>
          <w:spacing w:val="0"/>
          <w:sz w:val="21"/>
          <w:szCs w:val="21"/>
          <w:highlight w:val="none"/>
          <w14:textFill>
            <w14:solidFill>
              <w14:schemeClr w14:val="tx1"/>
            </w14:solidFill>
          </w14:textFill>
        </w:rPr>
        <w:t>3</w:t>
      </w:r>
      <w:r>
        <w:rPr>
          <w:rFonts w:hint="eastAsia" w:ascii="Times New Roman" w:hAnsi="Times New Roman" w:eastAsia="宋体" w:cs="宋体"/>
          <w:b/>
          <w:bCs/>
          <w:color w:val="000000" w:themeColor="text1"/>
          <w:spacing w:val="0"/>
          <w:sz w:val="21"/>
          <w:szCs w:val="21"/>
          <w:highlight w:val="none"/>
          <w:lang w:val="en-US" w:eastAsia="zh-CN"/>
          <w14:textFill>
            <w14:solidFill>
              <w14:schemeClr w14:val="tx1"/>
            </w14:solidFill>
          </w14:textFill>
        </w:rPr>
        <w:t>4</w:t>
      </w:r>
      <w:r>
        <w:rPr>
          <w:rFonts w:hint="eastAsia" w:ascii="Times New Roman" w:hAnsi="Times New Roman" w:eastAsia="宋体" w:cs="宋体"/>
          <w:b/>
          <w:bCs/>
          <w:color w:val="000000" w:themeColor="text1"/>
          <w:spacing w:val="0"/>
          <w:sz w:val="21"/>
          <w:szCs w:val="21"/>
          <w:highlight w:val="none"/>
          <w14:textFill>
            <w14:solidFill>
              <w14:schemeClr w14:val="tx1"/>
            </w14:solidFill>
          </w14:textFill>
        </w:rPr>
        <w:t>.广西线上</w:t>
      </w:r>
      <w:r>
        <w:rPr>
          <w:rFonts w:hint="eastAsia" w:ascii="Times New Roman" w:hAnsi="Times New Roman" w:eastAsia="宋体" w:cs="宋体"/>
          <w:b/>
          <w:bCs/>
          <w:color w:val="000000" w:themeColor="text1"/>
          <w:spacing w:val="0"/>
          <w:sz w:val="21"/>
          <w:szCs w:val="21"/>
          <w:highlight w:val="none"/>
          <w:lang w:eastAsia="zh-CN"/>
          <w14:textFill>
            <w14:solidFill>
              <w14:schemeClr w14:val="tx1"/>
            </w14:solidFill>
          </w14:textFill>
        </w:rPr>
        <w:t>“</w:t>
      </w:r>
      <w:r>
        <w:rPr>
          <w:rFonts w:hint="eastAsia" w:ascii="Times New Roman" w:hAnsi="Times New Roman" w:eastAsia="宋体" w:cs="宋体"/>
          <w:b/>
          <w:bCs/>
          <w:color w:val="000000" w:themeColor="text1"/>
          <w:spacing w:val="0"/>
          <w:sz w:val="21"/>
          <w:szCs w:val="21"/>
          <w:highlight w:val="none"/>
          <w14:textFill>
            <w14:solidFill>
              <w14:schemeClr w14:val="tx1"/>
            </w14:solidFill>
          </w14:textFill>
        </w:rPr>
        <w:t>政采贷</w:t>
      </w:r>
      <w:r>
        <w:rPr>
          <w:rFonts w:hint="eastAsia" w:ascii="Times New Roman" w:hAnsi="Times New Roman" w:eastAsia="宋体" w:cs="宋体"/>
          <w:b/>
          <w:bCs/>
          <w:color w:val="000000" w:themeColor="text1"/>
          <w:spacing w:val="0"/>
          <w:sz w:val="21"/>
          <w:szCs w:val="21"/>
          <w:highlight w:val="none"/>
          <w:lang w:eastAsia="zh-CN"/>
          <w14:textFill>
            <w14:solidFill>
              <w14:schemeClr w14:val="tx1"/>
            </w14:solidFill>
          </w14:textFill>
        </w:rPr>
        <w:t>”</w:t>
      </w:r>
      <w:r>
        <w:rPr>
          <w:rFonts w:hint="eastAsia" w:ascii="Times New Roman" w:hAnsi="Times New Roman" w:eastAsia="宋体" w:cs="宋体"/>
          <w:b/>
          <w:bCs/>
          <w:color w:val="000000" w:themeColor="text1"/>
          <w:spacing w:val="0"/>
          <w:sz w:val="21"/>
          <w:szCs w:val="21"/>
          <w:highlight w:val="none"/>
          <w14:textFill>
            <w14:solidFill>
              <w14:schemeClr w14:val="tx1"/>
            </w14:solidFill>
          </w14:textFill>
        </w:rPr>
        <w:t>政策告知函</w:t>
      </w:r>
      <w:bookmarkEnd w:id="154"/>
    </w:p>
    <w:p w14:paraId="261D61A8">
      <w:pPr>
        <w:spacing w:line="580" w:lineRule="exact"/>
        <w:jc w:val="center"/>
        <w:rPr>
          <w:rFonts w:ascii="Times New Roman" w:hAnsi="Times New Roman"/>
          <w:b/>
          <w:bCs/>
          <w:color w:val="000000" w:themeColor="text1"/>
          <w:spacing w:val="0"/>
          <w:szCs w:val="32"/>
          <w:highlight w:val="none"/>
          <w14:textFill>
            <w14:solidFill>
              <w14:schemeClr w14:val="tx1"/>
            </w14:solidFill>
          </w14:textFill>
        </w:rPr>
      </w:pPr>
      <w:r>
        <w:rPr>
          <w:rFonts w:ascii="Times New Roman" w:hAnsi="Times New Roman"/>
          <w:b/>
          <w:bCs/>
          <w:color w:val="000000" w:themeColor="text1"/>
          <w:spacing w:val="0"/>
          <w:sz w:val="32"/>
          <w:szCs w:val="32"/>
          <w:highlight w:val="none"/>
          <w14:textFill>
            <w14:solidFill>
              <w14:schemeClr w14:val="tx1"/>
            </w14:solidFill>
          </w14:textFill>
        </w:rPr>
        <w:t>广西线上</w:t>
      </w:r>
      <w:r>
        <w:rPr>
          <w:rFonts w:hint="eastAsia" w:ascii="Times New Roman" w:hAnsi="Times New Roman"/>
          <w:b/>
          <w:bCs/>
          <w:color w:val="000000" w:themeColor="text1"/>
          <w:spacing w:val="0"/>
          <w:sz w:val="32"/>
          <w:szCs w:val="32"/>
          <w:highlight w:val="none"/>
          <w:lang w:eastAsia="zh-CN"/>
          <w14:textFill>
            <w14:solidFill>
              <w14:schemeClr w14:val="tx1"/>
            </w14:solidFill>
          </w14:textFill>
        </w:rPr>
        <w:t>“</w:t>
      </w:r>
      <w:r>
        <w:rPr>
          <w:rFonts w:ascii="Times New Roman" w:hAnsi="Times New Roman"/>
          <w:b/>
          <w:bCs/>
          <w:color w:val="000000" w:themeColor="text1"/>
          <w:spacing w:val="0"/>
          <w:sz w:val="32"/>
          <w:szCs w:val="32"/>
          <w:highlight w:val="none"/>
          <w14:textFill>
            <w14:solidFill>
              <w14:schemeClr w14:val="tx1"/>
            </w14:solidFill>
          </w14:textFill>
        </w:rPr>
        <w:t>政采贷</w:t>
      </w:r>
      <w:r>
        <w:rPr>
          <w:rFonts w:hint="eastAsia" w:ascii="Times New Roman" w:hAnsi="Times New Roman"/>
          <w:b/>
          <w:bCs/>
          <w:color w:val="000000" w:themeColor="text1"/>
          <w:spacing w:val="0"/>
          <w:sz w:val="32"/>
          <w:szCs w:val="32"/>
          <w:highlight w:val="none"/>
          <w:lang w:eastAsia="zh-CN"/>
          <w14:textFill>
            <w14:solidFill>
              <w14:schemeClr w14:val="tx1"/>
            </w14:solidFill>
          </w14:textFill>
        </w:rPr>
        <w:t>”</w:t>
      </w:r>
      <w:r>
        <w:rPr>
          <w:rFonts w:ascii="Times New Roman" w:hAnsi="Times New Roman"/>
          <w:b/>
          <w:bCs/>
          <w:color w:val="000000" w:themeColor="text1"/>
          <w:spacing w:val="0"/>
          <w:sz w:val="32"/>
          <w:szCs w:val="32"/>
          <w:highlight w:val="none"/>
          <w14:textFill>
            <w14:solidFill>
              <w14:schemeClr w14:val="tx1"/>
            </w14:solidFill>
          </w14:textFill>
        </w:rPr>
        <w:t>政策告知函</w:t>
      </w:r>
    </w:p>
    <w:p w14:paraId="212F20F4">
      <w:pPr>
        <w:spacing w:line="580" w:lineRule="exact"/>
        <w:rPr>
          <w:rFonts w:ascii="Times New Roman" w:hAnsi="Times New Roman"/>
          <w:color w:val="000000" w:themeColor="text1"/>
          <w:spacing w:val="0"/>
          <w:szCs w:val="21"/>
          <w:highlight w:val="none"/>
          <w14:textFill>
            <w14:solidFill>
              <w14:schemeClr w14:val="tx1"/>
            </w14:solidFill>
          </w14:textFill>
        </w:rPr>
      </w:pPr>
      <w:r>
        <w:rPr>
          <w:rFonts w:ascii="Times New Roman" w:hAnsi="Times New Roman"/>
          <w:color w:val="000000" w:themeColor="text1"/>
          <w:spacing w:val="0"/>
          <w:szCs w:val="21"/>
          <w:highlight w:val="none"/>
          <w14:textFill>
            <w14:solidFill>
              <w14:schemeClr w14:val="tx1"/>
            </w14:solidFill>
          </w14:textFill>
        </w:rPr>
        <w:t>各供应商：</w:t>
      </w:r>
    </w:p>
    <w:p w14:paraId="7FC75548">
      <w:pPr>
        <w:spacing w:line="580" w:lineRule="exact"/>
        <w:ind w:firstLine="420" w:firstLineChars="200"/>
        <w:rPr>
          <w:rFonts w:ascii="Times New Roman" w:hAnsi="Times New Roman"/>
          <w:color w:val="000000" w:themeColor="text1"/>
          <w:spacing w:val="0"/>
          <w:szCs w:val="21"/>
          <w:highlight w:val="none"/>
          <w14:textFill>
            <w14:solidFill>
              <w14:schemeClr w14:val="tx1"/>
            </w14:solidFill>
          </w14:textFill>
        </w:rPr>
      </w:pPr>
      <w:r>
        <w:rPr>
          <w:rFonts w:ascii="Times New Roman" w:hAnsi="Times New Roman"/>
          <w:color w:val="000000" w:themeColor="text1"/>
          <w:spacing w:val="0"/>
          <w:szCs w:val="21"/>
          <w:highlight w:val="none"/>
          <w14:textFill>
            <w14:solidFill>
              <w14:schemeClr w14:val="tx1"/>
            </w14:solidFill>
          </w14:textFill>
        </w:rPr>
        <w:t>欢迎贵公司参与广西政府采购活动！</w:t>
      </w:r>
    </w:p>
    <w:p w14:paraId="5CC5C003">
      <w:pPr>
        <w:spacing w:line="580" w:lineRule="exact"/>
        <w:ind w:firstLine="420" w:firstLineChars="200"/>
        <w:rPr>
          <w:rFonts w:ascii="Times New Roman" w:hAnsi="Times New Roman"/>
          <w:color w:val="000000" w:themeColor="text1"/>
          <w:spacing w:val="0"/>
          <w:szCs w:val="21"/>
          <w:highlight w:val="none"/>
          <w14:textFill>
            <w14:solidFill>
              <w14:schemeClr w14:val="tx1"/>
            </w14:solidFill>
          </w14:textFill>
        </w:rPr>
      </w:pPr>
      <w:r>
        <w:rPr>
          <w:rFonts w:ascii="Times New Roman" w:hAnsi="Times New Roman"/>
          <w:color w:val="000000" w:themeColor="text1"/>
          <w:spacing w:val="0"/>
          <w:szCs w:val="21"/>
          <w:highlight w:val="none"/>
          <w14:textFill>
            <w14:solidFill>
              <w14:schemeClr w14:val="tx1"/>
            </w14:solidFill>
          </w14:textFill>
        </w:rPr>
        <w:t>线上</w:t>
      </w:r>
      <w:r>
        <w:rPr>
          <w:rFonts w:hint="eastAsia" w:ascii="Times New Roman" w:hAnsi="Times New Roman"/>
          <w:color w:val="000000" w:themeColor="text1"/>
          <w:spacing w:val="0"/>
          <w:szCs w:val="21"/>
          <w:highlight w:val="none"/>
          <w:lang w:eastAsia="zh-CN"/>
          <w14:textFill>
            <w14:solidFill>
              <w14:schemeClr w14:val="tx1"/>
            </w14:solidFill>
          </w14:textFill>
        </w:rPr>
        <w:t>“</w:t>
      </w:r>
      <w:r>
        <w:rPr>
          <w:rFonts w:ascii="Times New Roman" w:hAnsi="Times New Roman"/>
          <w:color w:val="000000" w:themeColor="text1"/>
          <w:spacing w:val="0"/>
          <w:szCs w:val="21"/>
          <w:highlight w:val="none"/>
          <w14:textFill>
            <w14:solidFill>
              <w14:schemeClr w14:val="tx1"/>
            </w14:solidFill>
          </w14:textFill>
        </w:rPr>
        <w:t>政采贷</w:t>
      </w:r>
      <w:r>
        <w:rPr>
          <w:rFonts w:hint="eastAsia" w:ascii="Times New Roman" w:hAnsi="Times New Roman"/>
          <w:color w:val="000000" w:themeColor="text1"/>
          <w:spacing w:val="0"/>
          <w:szCs w:val="21"/>
          <w:highlight w:val="none"/>
          <w:lang w:eastAsia="zh-CN"/>
          <w14:textFill>
            <w14:solidFill>
              <w14:schemeClr w14:val="tx1"/>
            </w14:solidFill>
          </w14:textFill>
        </w:rPr>
        <w:t>”</w:t>
      </w:r>
      <w:r>
        <w:rPr>
          <w:rFonts w:ascii="Times New Roman" w:hAnsi="Times New Roman"/>
          <w:color w:val="000000" w:themeColor="text1"/>
          <w:spacing w:val="0"/>
          <w:szCs w:val="21"/>
          <w:highlight w:val="none"/>
          <w14:textFill>
            <w14:solidFill>
              <w14:schemeClr w14:val="tx1"/>
            </w14:solidFill>
          </w14:textFill>
        </w:rPr>
        <w:t>是人民银行南宁中心支行和自治区财政厅共同支持企业发展，针对参与政府采购活动的企业融资难、融资贵、融资慢、融资繁问题推出的一项融资政策。贵公司若成为本次政府采购项目的中标（成交）供应商，可持政府采购合同在线向银行业金融机构申请贷款，融资机构将根据《中国人民银行南宁中心支行 广西壮族自治区财政厅关于推广线上</w:t>
      </w:r>
      <w:r>
        <w:rPr>
          <w:rFonts w:hint="eastAsia" w:ascii="Times New Roman" w:hAnsi="Times New Roman"/>
          <w:color w:val="000000" w:themeColor="text1"/>
          <w:spacing w:val="0"/>
          <w:szCs w:val="21"/>
          <w:highlight w:val="none"/>
          <w:lang w:eastAsia="zh-CN"/>
          <w14:textFill>
            <w14:solidFill>
              <w14:schemeClr w14:val="tx1"/>
            </w14:solidFill>
          </w14:textFill>
        </w:rPr>
        <w:t>“</w:t>
      </w:r>
      <w:r>
        <w:rPr>
          <w:rFonts w:ascii="Times New Roman" w:hAnsi="Times New Roman"/>
          <w:color w:val="000000" w:themeColor="text1"/>
          <w:spacing w:val="0"/>
          <w:szCs w:val="21"/>
          <w:highlight w:val="none"/>
          <w14:textFill>
            <w14:solidFill>
              <w14:schemeClr w14:val="tx1"/>
            </w14:solidFill>
          </w14:textFill>
        </w:rPr>
        <w:t>政采贷</w:t>
      </w:r>
      <w:r>
        <w:rPr>
          <w:rFonts w:hint="eastAsia" w:ascii="Times New Roman" w:hAnsi="Times New Roman"/>
          <w:color w:val="000000" w:themeColor="text1"/>
          <w:spacing w:val="0"/>
          <w:szCs w:val="21"/>
          <w:highlight w:val="none"/>
          <w:lang w:eastAsia="zh-CN"/>
          <w14:textFill>
            <w14:solidFill>
              <w14:schemeClr w14:val="tx1"/>
            </w14:solidFill>
          </w14:textFill>
        </w:rPr>
        <w:t>”</w:t>
      </w:r>
      <w:r>
        <w:rPr>
          <w:rFonts w:ascii="Times New Roman" w:hAnsi="Times New Roman"/>
          <w:color w:val="000000" w:themeColor="text1"/>
          <w:spacing w:val="0"/>
          <w:szCs w:val="21"/>
          <w:highlight w:val="none"/>
          <w14:textFill>
            <w14:solidFill>
              <w14:schemeClr w14:val="tx1"/>
            </w14:solidFill>
          </w14:textFill>
        </w:rPr>
        <w:t>融资模式的通知》（南宁银发〔2021〕258号），按照双方自愿的原则提供便捷、优惠的贷款服务。</w:t>
      </w:r>
    </w:p>
    <w:p w14:paraId="1315B885">
      <w:pPr>
        <w:spacing w:line="580" w:lineRule="exact"/>
        <w:ind w:firstLine="420" w:firstLineChars="200"/>
        <w:rPr>
          <w:rFonts w:hint="eastAsia" w:ascii="Times New Roman" w:hAnsi="Times New Roman" w:cs="宋体"/>
          <w:color w:val="000000" w:themeColor="text1"/>
          <w:spacing w:val="0"/>
          <w:szCs w:val="21"/>
          <w:highlight w:val="none"/>
          <w14:textFill>
            <w14:solidFill>
              <w14:schemeClr w14:val="tx1"/>
            </w14:solidFill>
          </w14:textFill>
        </w:rPr>
      </w:pPr>
      <w:r>
        <w:rPr>
          <w:rFonts w:ascii="Times New Roman" w:hAnsi="Times New Roman"/>
          <w:color w:val="000000" w:themeColor="text1"/>
          <w:spacing w:val="0"/>
          <w:szCs w:val="21"/>
          <w:highlight w:val="none"/>
          <w14:textFill>
            <w14:solidFill>
              <w14:schemeClr w14:val="tx1"/>
            </w14:solidFill>
          </w14:textFill>
        </w:rPr>
        <w:t>相关金融产品和银行业金融机构联系方式，可在中征应收账款融资服务平台查询（网址：</w:t>
      </w:r>
      <w:r>
        <w:rPr>
          <w:rFonts w:ascii="Times New Roman" w:hAnsi="Times New Roman"/>
          <w:color w:val="000000" w:themeColor="text1"/>
          <w:spacing w:val="0"/>
          <w:szCs w:val="21"/>
          <w:highlight w:val="none"/>
          <w14:textFill>
            <w14:solidFill>
              <w14:schemeClr w14:val="tx1"/>
            </w14:solidFill>
          </w14:textFill>
        </w:rPr>
        <w:fldChar w:fldCharType="begin"/>
      </w:r>
      <w:r>
        <w:rPr>
          <w:rFonts w:ascii="Times New Roman" w:hAnsi="Times New Roman"/>
          <w:color w:val="000000" w:themeColor="text1"/>
          <w:spacing w:val="0"/>
          <w:szCs w:val="21"/>
          <w:highlight w:val="none"/>
          <w14:textFill>
            <w14:solidFill>
              <w14:schemeClr w14:val="tx1"/>
            </w14:solidFill>
          </w14:textFill>
        </w:rPr>
        <w:instrText xml:space="preserve"> HYPERLINK "https://www.crcrfsp.com/" </w:instrText>
      </w:r>
      <w:r>
        <w:rPr>
          <w:rFonts w:ascii="Times New Roman" w:hAnsi="Times New Roman"/>
          <w:color w:val="000000" w:themeColor="text1"/>
          <w:spacing w:val="0"/>
          <w:szCs w:val="21"/>
          <w:highlight w:val="none"/>
          <w14:textFill>
            <w14:solidFill>
              <w14:schemeClr w14:val="tx1"/>
            </w14:solidFill>
          </w14:textFill>
        </w:rPr>
        <w:fldChar w:fldCharType="separate"/>
      </w:r>
      <w:r>
        <w:rPr>
          <w:rStyle w:val="35"/>
          <w:rFonts w:ascii="Times New Roman" w:hAnsi="Times New Roman"/>
          <w:color w:val="000000" w:themeColor="text1"/>
          <w:spacing w:val="0"/>
          <w:szCs w:val="21"/>
          <w:highlight w:val="none"/>
          <w14:textFill>
            <w14:solidFill>
              <w14:schemeClr w14:val="tx1"/>
            </w14:solidFill>
          </w14:textFill>
        </w:rPr>
        <w:t>https://www.crcrfsp.com/</w:t>
      </w:r>
      <w:r>
        <w:rPr>
          <w:rFonts w:ascii="Times New Roman" w:hAnsi="Times New Roman"/>
          <w:color w:val="000000" w:themeColor="text1"/>
          <w:spacing w:val="0"/>
          <w:szCs w:val="21"/>
          <w:highlight w:val="none"/>
          <w14:textFill>
            <w14:solidFill>
              <w14:schemeClr w14:val="tx1"/>
            </w14:solidFill>
          </w14:textFill>
        </w:rPr>
        <w:fldChar w:fldCharType="end"/>
      </w:r>
      <w:r>
        <w:rPr>
          <w:rFonts w:ascii="Times New Roman" w:hAnsi="Times New Roman"/>
          <w:color w:val="000000" w:themeColor="text1"/>
          <w:spacing w:val="0"/>
          <w:szCs w:val="21"/>
          <w:highlight w:val="none"/>
          <w14:textFill>
            <w14:solidFill>
              <w14:schemeClr w14:val="tx1"/>
            </w14:solidFill>
          </w14:textFill>
        </w:rPr>
        <w:t>，客服电话：400-009-0001）。</w:t>
      </w:r>
    </w:p>
    <w:p w14:paraId="4EBFBD8D">
      <w:pPr>
        <w:rPr>
          <w:rFonts w:hint="eastAsia" w:ascii="Times New Roman" w:hAnsi="Times New Roman" w:cs="宋体"/>
          <w:color w:val="000000" w:themeColor="text1"/>
          <w:spacing w:val="0"/>
          <w:szCs w:val="21"/>
          <w:highlight w:val="none"/>
          <w:lang w:eastAsia="zh-CN"/>
          <w14:textFill>
            <w14:solidFill>
              <w14:schemeClr w14:val="tx1"/>
            </w14:solidFill>
          </w14:textFill>
        </w:rPr>
      </w:pPr>
    </w:p>
    <w:p w14:paraId="11DDD5DE">
      <w:pPr>
        <w:rPr>
          <w:rFonts w:hint="eastAsia" w:ascii="Times New Roman" w:hAnsi="Times New Roman" w:cs="宋体"/>
          <w:color w:val="000000" w:themeColor="text1"/>
          <w:spacing w:val="0"/>
          <w:szCs w:val="21"/>
          <w:highlight w:val="none"/>
          <w:lang w:eastAsia="zh-CN"/>
          <w14:textFill>
            <w14:solidFill>
              <w14:schemeClr w14:val="tx1"/>
            </w14:solidFill>
          </w14:textFill>
        </w:rPr>
      </w:pPr>
    </w:p>
    <w:p w14:paraId="74C7F698">
      <w:pPr>
        <w:rPr>
          <w:rFonts w:hint="eastAsia" w:ascii="Times New Roman" w:hAnsi="Times New Roman" w:eastAsia="华文中宋" w:cs="华文中宋"/>
          <w:color w:val="000000" w:themeColor="text1"/>
          <w:spacing w:val="0"/>
          <w:sz w:val="32"/>
          <w:szCs w:val="32"/>
          <w14:textFill>
            <w14:solidFill>
              <w14:schemeClr w14:val="tx1"/>
            </w14:solidFill>
          </w14:textFill>
        </w:rPr>
      </w:pPr>
      <w:bookmarkStart w:id="155" w:name="_Toc4028"/>
      <w:bookmarkStart w:id="156" w:name="_Toc80886937"/>
      <w:bookmarkStart w:id="157" w:name="_Toc28979"/>
      <w:bookmarkStart w:id="158" w:name="_Toc3879"/>
      <w:bookmarkStart w:id="159" w:name="_Toc8412"/>
      <w:bookmarkStart w:id="160" w:name="_Toc29100"/>
      <w:bookmarkStart w:id="161" w:name="_Toc17511"/>
      <w:bookmarkStart w:id="162" w:name="_Toc8593"/>
      <w:r>
        <w:rPr>
          <w:rFonts w:hint="eastAsia" w:ascii="Times New Roman" w:hAnsi="Times New Roman" w:eastAsia="华文中宋" w:cs="华文中宋"/>
          <w:color w:val="000000" w:themeColor="text1"/>
          <w:spacing w:val="0"/>
          <w:sz w:val="32"/>
          <w:szCs w:val="32"/>
          <w14:textFill>
            <w14:solidFill>
              <w14:schemeClr w14:val="tx1"/>
            </w14:solidFill>
          </w14:textFill>
        </w:rPr>
        <w:br w:type="page"/>
      </w:r>
    </w:p>
    <w:p w14:paraId="38316075">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Times New Roman" w:hAnsi="Times New Roman" w:eastAsia="华文中宋" w:cs="华文中宋"/>
          <w:color w:val="000000" w:themeColor="text1"/>
          <w:spacing w:val="0"/>
          <w:sz w:val="32"/>
          <w:szCs w:val="32"/>
          <w14:textFill>
            <w14:solidFill>
              <w14:schemeClr w14:val="tx1"/>
            </w14:solidFill>
          </w14:textFill>
        </w:rPr>
      </w:pPr>
      <w:bookmarkStart w:id="163" w:name="_Toc22237"/>
      <w:bookmarkStart w:id="164" w:name="_Toc24530"/>
      <w:r>
        <w:rPr>
          <w:rFonts w:hint="eastAsia" w:ascii="Times New Roman" w:hAnsi="Times New Roman" w:eastAsia="华文中宋" w:cs="华文中宋"/>
          <w:color w:val="000000" w:themeColor="text1"/>
          <w:spacing w:val="0"/>
          <w:sz w:val="32"/>
          <w:szCs w:val="32"/>
          <w14:textFill>
            <w14:solidFill>
              <w14:schemeClr w14:val="tx1"/>
            </w14:solidFill>
          </w14:textFill>
        </w:rPr>
        <w:t>第四章  评审程序、评审方法和评审标准</w:t>
      </w:r>
      <w:bookmarkEnd w:id="155"/>
      <w:bookmarkEnd w:id="156"/>
      <w:bookmarkEnd w:id="157"/>
      <w:bookmarkEnd w:id="158"/>
      <w:bookmarkEnd w:id="159"/>
      <w:bookmarkEnd w:id="160"/>
      <w:bookmarkEnd w:id="161"/>
      <w:bookmarkEnd w:id="162"/>
      <w:bookmarkEnd w:id="163"/>
      <w:bookmarkEnd w:id="164"/>
    </w:p>
    <w:p w14:paraId="134C661F">
      <w:pPr>
        <w:pStyle w:val="4"/>
        <w:keepNext/>
        <w:keepLines/>
        <w:pageBreakBefore w:val="0"/>
        <w:widowControl w:val="0"/>
        <w:kinsoku/>
        <w:wordWrap/>
        <w:overflowPunct/>
        <w:topLinePunct w:val="0"/>
        <w:autoSpaceDE/>
        <w:autoSpaceDN/>
        <w:bidi w:val="0"/>
        <w:adjustRightInd/>
        <w:snapToGrid/>
        <w:spacing w:before="0" w:after="0" w:line="360" w:lineRule="auto"/>
        <w:jc w:val="center"/>
        <w:textAlignment w:val="auto"/>
        <w:outlineLvl w:val="1"/>
        <w:rPr>
          <w:rFonts w:hint="eastAsia" w:ascii="Times New Roman" w:hAnsi="Times New Roman" w:eastAsia="宋体" w:cs="宋体"/>
          <w:b/>
          <w:bCs/>
          <w:color w:val="000000" w:themeColor="text1"/>
          <w:spacing w:val="0"/>
          <w:sz w:val="30"/>
          <w:szCs w:val="30"/>
          <w:highlight w:val="none"/>
          <w14:textFill>
            <w14:solidFill>
              <w14:schemeClr w14:val="tx1"/>
            </w14:solidFill>
          </w14:textFill>
        </w:rPr>
      </w:pPr>
      <w:bookmarkStart w:id="165" w:name="_Toc80886938"/>
      <w:bookmarkStart w:id="166" w:name="_Toc27212"/>
      <w:bookmarkStart w:id="167" w:name="_Toc17424"/>
      <w:bookmarkStart w:id="168" w:name="_Toc11607"/>
      <w:r>
        <w:rPr>
          <w:rFonts w:hint="eastAsia" w:ascii="Times New Roman" w:hAnsi="Times New Roman" w:eastAsia="宋体" w:cs="宋体"/>
          <w:b/>
          <w:bCs/>
          <w:color w:val="000000" w:themeColor="text1"/>
          <w:spacing w:val="0"/>
          <w:sz w:val="30"/>
          <w:szCs w:val="30"/>
          <w:highlight w:val="none"/>
          <w14:textFill>
            <w14:solidFill>
              <w14:schemeClr w14:val="tx1"/>
            </w14:solidFill>
          </w14:textFill>
        </w:rPr>
        <w:t xml:space="preserve">第一节 </w:t>
      </w:r>
      <w:r>
        <w:rPr>
          <w:rFonts w:hint="eastAsia" w:ascii="Times New Roman" w:hAnsi="Times New Roman" w:eastAsia="宋体" w:cs="宋体"/>
          <w:b/>
          <w:bCs/>
          <w:color w:val="000000" w:themeColor="text1"/>
          <w:spacing w:val="0"/>
          <w:sz w:val="30"/>
          <w:szCs w:val="30"/>
          <w:highlight w:val="none"/>
          <w:lang w:val="en-US" w:eastAsia="zh-CN"/>
          <w14:textFill>
            <w14:solidFill>
              <w14:schemeClr w14:val="tx1"/>
            </w14:solidFill>
          </w14:textFill>
        </w:rPr>
        <w:t xml:space="preserve"> </w:t>
      </w:r>
      <w:r>
        <w:rPr>
          <w:rFonts w:hint="eastAsia" w:ascii="Times New Roman" w:hAnsi="Times New Roman" w:eastAsia="宋体" w:cs="宋体"/>
          <w:b/>
          <w:bCs/>
          <w:color w:val="000000" w:themeColor="text1"/>
          <w:spacing w:val="0"/>
          <w:sz w:val="30"/>
          <w:szCs w:val="30"/>
          <w:highlight w:val="none"/>
          <w14:textFill>
            <w14:solidFill>
              <w14:schemeClr w14:val="tx1"/>
            </w14:solidFill>
          </w14:textFill>
        </w:rPr>
        <w:t>评审程序和评审方法</w:t>
      </w:r>
      <w:bookmarkEnd w:id="165"/>
      <w:bookmarkEnd w:id="166"/>
      <w:bookmarkEnd w:id="167"/>
      <w:bookmarkEnd w:id="168"/>
    </w:p>
    <w:p w14:paraId="6BEABE1E">
      <w:pPr>
        <w:pageBreakBefore w:val="0"/>
        <w:kinsoku/>
        <w:wordWrap/>
        <w:overflowPunct/>
        <w:topLinePunct w:val="0"/>
        <w:autoSpaceDE/>
        <w:autoSpaceDN/>
        <w:bidi w:val="0"/>
        <w:spacing w:line="360" w:lineRule="auto"/>
        <w:textAlignment w:val="auto"/>
        <w:outlineLvl w:val="2"/>
        <w:rPr>
          <w:rFonts w:hint="eastAsia" w:ascii="Times New Roman" w:hAnsi="Times New Roman" w:eastAsia="宋体" w:cs="宋体"/>
          <w:b/>
          <w:bCs/>
          <w:color w:val="000000" w:themeColor="text1"/>
          <w:spacing w:val="0"/>
          <w:sz w:val="21"/>
          <w:szCs w:val="21"/>
          <w:highlight w:val="none"/>
          <w14:textFill>
            <w14:solidFill>
              <w14:schemeClr w14:val="tx1"/>
            </w14:solidFill>
          </w14:textFill>
        </w:rPr>
      </w:pPr>
      <w:bookmarkStart w:id="169" w:name="_Toc31707"/>
      <w:r>
        <w:rPr>
          <w:rFonts w:hint="eastAsia" w:ascii="Times New Roman" w:hAnsi="Times New Roman" w:eastAsia="宋体" w:cs="宋体"/>
          <w:b/>
          <w:bCs/>
          <w:color w:val="000000" w:themeColor="text1"/>
          <w:spacing w:val="0"/>
          <w:sz w:val="21"/>
          <w:szCs w:val="21"/>
          <w:highlight w:val="none"/>
          <w14:textFill>
            <w14:solidFill>
              <w14:schemeClr w14:val="tx1"/>
            </w14:solidFill>
          </w14:textFill>
        </w:rPr>
        <w:t>1.确认磋商文件</w:t>
      </w:r>
      <w:bookmarkEnd w:id="169"/>
    </w:p>
    <w:p w14:paraId="6D86F6C9">
      <w:pPr>
        <w:pageBreakBefore w:val="0"/>
        <w:kinsoku/>
        <w:wordWrap/>
        <w:overflowPunct/>
        <w:topLinePunct w:val="0"/>
        <w:autoSpaceDE/>
        <w:autoSpaceDN/>
        <w:bidi w:val="0"/>
        <w:spacing w:line="360" w:lineRule="auto"/>
        <w:ind w:firstLine="420" w:firstLineChars="200"/>
        <w:textAlignment w:val="auto"/>
        <w:rPr>
          <w:rFonts w:hint="eastAsia" w:ascii="Times New Roman" w:hAnsi="Times New Roman" w:eastAsia="宋体" w:cs="宋体"/>
          <w:color w:val="000000" w:themeColor="text1"/>
          <w:spacing w:val="0"/>
          <w:szCs w:val="21"/>
          <w:highlight w:val="none"/>
          <w14:textFill>
            <w14:solidFill>
              <w14:schemeClr w14:val="tx1"/>
            </w14:solidFill>
          </w14:textFill>
        </w:rPr>
      </w:pPr>
      <w:r>
        <w:rPr>
          <w:rFonts w:hint="eastAsia" w:ascii="Times New Roman" w:hAnsi="Times New Roman" w:eastAsia="宋体" w:cs="宋体"/>
          <w:color w:val="000000" w:themeColor="text1"/>
          <w:spacing w:val="0"/>
          <w:szCs w:val="21"/>
          <w:highlight w:val="none"/>
          <w14:textFill>
            <w14:solidFill>
              <w14:schemeClr w14:val="tx1"/>
            </w14:solidFill>
          </w14:textFill>
        </w:rPr>
        <w:t>由磋商小组确认磋商文件。</w:t>
      </w:r>
    </w:p>
    <w:p w14:paraId="60198F6E">
      <w:pPr>
        <w:pageBreakBefore w:val="0"/>
        <w:kinsoku/>
        <w:wordWrap/>
        <w:overflowPunct/>
        <w:topLinePunct w:val="0"/>
        <w:autoSpaceDE/>
        <w:autoSpaceDN/>
        <w:bidi w:val="0"/>
        <w:spacing w:line="360" w:lineRule="auto"/>
        <w:textAlignment w:val="auto"/>
        <w:outlineLvl w:val="2"/>
        <w:rPr>
          <w:rFonts w:hint="eastAsia" w:ascii="Times New Roman" w:hAnsi="Times New Roman" w:eastAsia="宋体" w:cs="宋体"/>
          <w:b/>
          <w:bCs/>
          <w:color w:val="000000" w:themeColor="text1"/>
          <w:spacing w:val="0"/>
          <w:sz w:val="21"/>
          <w:szCs w:val="21"/>
          <w:highlight w:val="none"/>
          <w14:textFill>
            <w14:solidFill>
              <w14:schemeClr w14:val="tx1"/>
            </w14:solidFill>
          </w14:textFill>
        </w:rPr>
      </w:pPr>
      <w:bookmarkStart w:id="170" w:name="_Toc11342"/>
      <w:r>
        <w:rPr>
          <w:rFonts w:hint="eastAsia" w:ascii="Times New Roman" w:hAnsi="Times New Roman" w:eastAsia="宋体" w:cs="宋体"/>
          <w:b/>
          <w:bCs/>
          <w:color w:val="000000" w:themeColor="text1"/>
          <w:spacing w:val="0"/>
          <w:sz w:val="21"/>
          <w:szCs w:val="21"/>
          <w:highlight w:val="none"/>
          <w14:textFill>
            <w14:solidFill>
              <w14:schemeClr w14:val="tx1"/>
            </w14:solidFill>
          </w14:textFill>
        </w:rPr>
        <w:t>2.资格审查</w:t>
      </w:r>
      <w:bookmarkEnd w:id="170"/>
    </w:p>
    <w:p w14:paraId="73917A86">
      <w:pPr>
        <w:pageBreakBefore w:val="0"/>
        <w:kinsoku/>
        <w:wordWrap/>
        <w:overflowPunct/>
        <w:topLinePunct w:val="0"/>
        <w:autoSpaceDE/>
        <w:autoSpaceDN/>
        <w:bidi w:val="0"/>
        <w:snapToGrid w:val="0"/>
        <w:spacing w:line="360" w:lineRule="auto"/>
        <w:ind w:firstLine="420" w:firstLineChars="200"/>
        <w:textAlignment w:val="auto"/>
        <w:rPr>
          <w:rFonts w:hint="eastAsia" w:ascii="Times New Roman" w:hAnsi="Times New Roman" w:eastAsia="宋体" w:cs="宋体"/>
          <w:color w:val="000000" w:themeColor="text1"/>
          <w:spacing w:val="0"/>
          <w:szCs w:val="21"/>
          <w:highlight w:val="none"/>
          <w14:textFill>
            <w14:solidFill>
              <w14:schemeClr w14:val="tx1"/>
            </w14:solidFill>
          </w14:textFill>
        </w:rPr>
      </w:pPr>
      <w:r>
        <w:rPr>
          <w:rFonts w:hint="eastAsia" w:ascii="Times New Roman" w:hAnsi="Times New Roman" w:eastAsia="宋体" w:cs="宋体"/>
          <w:color w:val="000000" w:themeColor="text1"/>
          <w:spacing w:val="0"/>
          <w:szCs w:val="21"/>
          <w:highlight w:val="none"/>
          <w14:textFill>
            <w14:solidFill>
              <w14:schemeClr w14:val="tx1"/>
            </w14:solidFill>
          </w14:textFill>
        </w:rPr>
        <w:t>2.1响应文件开启后，磋商小组依法对供应商的资格证明文件进行审查。</w:t>
      </w:r>
    </w:p>
    <w:p w14:paraId="4F20380A">
      <w:pPr>
        <w:pageBreakBefore w:val="0"/>
        <w:kinsoku/>
        <w:wordWrap/>
        <w:overflowPunct/>
        <w:topLinePunct w:val="0"/>
        <w:autoSpaceDE/>
        <w:autoSpaceDN/>
        <w:bidi w:val="0"/>
        <w:snapToGrid w:val="0"/>
        <w:spacing w:line="360" w:lineRule="auto"/>
        <w:ind w:firstLine="420" w:firstLineChars="200"/>
        <w:textAlignment w:val="auto"/>
        <w:rPr>
          <w:rFonts w:hint="eastAsia" w:ascii="Times New Roman" w:hAnsi="Times New Roman" w:eastAsia="宋体" w:cs="宋体"/>
          <w:color w:val="000000" w:themeColor="text1"/>
          <w:spacing w:val="0"/>
          <w:szCs w:val="21"/>
          <w:highlight w:val="none"/>
          <w14:textFill>
            <w14:solidFill>
              <w14:schemeClr w14:val="tx1"/>
            </w14:solidFill>
          </w14:textFill>
        </w:rPr>
      </w:pPr>
      <w:r>
        <w:rPr>
          <w:rFonts w:hint="eastAsia" w:ascii="Times New Roman" w:hAnsi="Times New Roman" w:eastAsia="宋体" w:cs="宋体"/>
          <w:color w:val="000000" w:themeColor="text1"/>
          <w:spacing w:val="0"/>
          <w:szCs w:val="21"/>
          <w:highlight w:val="none"/>
          <w14:textFill>
            <w14:solidFill>
              <w14:schemeClr w14:val="tx1"/>
            </w14:solidFill>
          </w14:textFill>
        </w:rPr>
        <w:t>注：采购人代表或者采购代理机构在资格审查结束前，对供应商进行信用查询。</w:t>
      </w:r>
    </w:p>
    <w:p w14:paraId="17330A7A">
      <w:pPr>
        <w:pageBreakBefore w:val="0"/>
        <w:kinsoku/>
        <w:wordWrap/>
        <w:overflowPunct/>
        <w:topLinePunct w:val="0"/>
        <w:autoSpaceDE/>
        <w:autoSpaceDN/>
        <w:bidi w:val="0"/>
        <w:snapToGrid w:val="0"/>
        <w:spacing w:line="360" w:lineRule="auto"/>
        <w:ind w:firstLine="420" w:firstLineChars="200"/>
        <w:jc w:val="left"/>
        <w:textAlignment w:val="auto"/>
        <w:rPr>
          <w:rFonts w:hint="eastAsia" w:ascii="Times New Roman" w:hAnsi="Times New Roman" w:eastAsia="宋体" w:cs="宋体"/>
          <w:color w:val="000000" w:themeColor="text1"/>
          <w:spacing w:val="0"/>
          <w:szCs w:val="21"/>
          <w:highlight w:val="none"/>
          <w14:textFill>
            <w14:solidFill>
              <w14:schemeClr w14:val="tx1"/>
            </w14:solidFill>
          </w14:textFill>
        </w:rPr>
      </w:pPr>
      <w:r>
        <w:rPr>
          <w:rFonts w:hint="eastAsia" w:ascii="Times New Roman" w:hAnsi="Times New Roman" w:eastAsia="宋体" w:cs="宋体"/>
          <w:color w:val="000000" w:themeColor="text1"/>
          <w:spacing w:val="0"/>
          <w:szCs w:val="21"/>
          <w:highlight w:val="none"/>
          <w14:textFill>
            <w14:solidFill>
              <w14:schemeClr w14:val="tx1"/>
            </w14:solidFill>
          </w14:textFill>
        </w:rPr>
        <w:t>（1）查询渠道：</w:t>
      </w:r>
      <w:r>
        <w:rPr>
          <w:rFonts w:hint="eastAsia" w:ascii="Times New Roman" w:hAnsi="Times New Roman" w:eastAsia="宋体" w:cs="宋体"/>
          <w:b w:val="0"/>
          <w:bCs w:val="0"/>
          <w:color w:val="000000" w:themeColor="text1"/>
          <w:spacing w:val="0"/>
          <w:sz w:val="21"/>
          <w:szCs w:val="21"/>
          <w:highlight w:val="none"/>
          <w:lang w:val="en-US" w:eastAsia="zh-CN"/>
          <w14:textFill>
            <w14:solidFill>
              <w14:schemeClr w14:val="tx1"/>
            </w14:solidFill>
          </w14:textFill>
        </w:rPr>
        <w:t>广西政府采购云平台</w:t>
      </w:r>
      <w:r>
        <w:rPr>
          <w:rFonts w:hint="eastAsia" w:ascii="Times New Roman" w:hAnsi="Times New Roman" w:eastAsia="宋体" w:cs="宋体"/>
          <w:color w:val="000000" w:themeColor="text1"/>
          <w:spacing w:val="0"/>
          <w:szCs w:val="21"/>
          <w:highlight w:val="none"/>
          <w14:textFill>
            <w14:solidFill>
              <w14:schemeClr w14:val="tx1"/>
            </w14:solidFill>
          </w14:textFill>
        </w:rPr>
        <w:t>“信用中国”网站(</w:t>
      </w:r>
      <w:r>
        <w:rPr>
          <w:rFonts w:hint="eastAsia" w:ascii="Times New Roman" w:hAnsi="Times New Roman" w:eastAsia="宋体" w:cs="宋体"/>
          <w:color w:val="000000" w:themeColor="text1"/>
          <w:spacing w:val="0"/>
          <w:szCs w:val="21"/>
          <w:highlight w:val="none"/>
          <w14:textFill>
            <w14:solidFill>
              <w14:schemeClr w14:val="tx1"/>
            </w14:solidFill>
          </w14:textFill>
        </w:rPr>
        <w:fldChar w:fldCharType="begin"/>
      </w:r>
      <w:r>
        <w:rPr>
          <w:rFonts w:hint="eastAsia" w:ascii="Times New Roman" w:hAnsi="Times New Roman" w:eastAsia="宋体" w:cs="宋体"/>
          <w:color w:val="000000" w:themeColor="text1"/>
          <w:spacing w:val="0"/>
          <w:szCs w:val="21"/>
          <w:highlight w:val="none"/>
          <w14:textFill>
            <w14:solidFill>
              <w14:schemeClr w14:val="tx1"/>
            </w14:solidFill>
          </w14:textFill>
        </w:rPr>
        <w:instrText xml:space="preserve"> HYPERLINK "http://www.creditchina.gov.cn" </w:instrText>
      </w:r>
      <w:r>
        <w:rPr>
          <w:rFonts w:hint="eastAsia" w:ascii="Times New Roman" w:hAnsi="Times New Roman" w:eastAsia="宋体" w:cs="宋体"/>
          <w:color w:val="000000" w:themeColor="text1"/>
          <w:spacing w:val="0"/>
          <w:szCs w:val="21"/>
          <w:highlight w:val="none"/>
          <w14:textFill>
            <w14:solidFill>
              <w14:schemeClr w14:val="tx1"/>
            </w14:solidFill>
          </w14:textFill>
        </w:rPr>
        <w:fldChar w:fldCharType="separate"/>
      </w:r>
      <w:r>
        <w:rPr>
          <w:rStyle w:val="36"/>
          <w:rFonts w:hint="eastAsia" w:ascii="Times New Roman" w:hAnsi="Times New Roman" w:eastAsia="宋体" w:cs="宋体"/>
          <w:color w:val="000000" w:themeColor="text1"/>
          <w:spacing w:val="0"/>
          <w:highlight w:val="none"/>
          <w14:textFill>
            <w14:solidFill>
              <w14:schemeClr w14:val="tx1"/>
            </w14:solidFill>
          </w14:textFill>
        </w:rPr>
        <w:t>www.creditchina.gov.cn</w:t>
      </w:r>
      <w:r>
        <w:rPr>
          <w:rFonts w:hint="eastAsia" w:ascii="Times New Roman" w:hAnsi="Times New Roman" w:eastAsia="宋体" w:cs="宋体"/>
          <w:color w:val="000000" w:themeColor="text1"/>
          <w:spacing w:val="0"/>
          <w:szCs w:val="21"/>
          <w:highlight w:val="none"/>
          <w14:textFill>
            <w14:solidFill>
              <w14:schemeClr w14:val="tx1"/>
            </w14:solidFill>
          </w14:textFill>
        </w:rPr>
        <w:fldChar w:fldCharType="end"/>
      </w:r>
      <w:r>
        <w:rPr>
          <w:rFonts w:hint="eastAsia" w:ascii="Times New Roman" w:hAnsi="Times New Roman" w:eastAsia="宋体" w:cs="宋体"/>
          <w:color w:val="000000" w:themeColor="text1"/>
          <w:spacing w:val="0"/>
          <w:szCs w:val="21"/>
          <w:highlight w:val="none"/>
          <w14:textFill>
            <w14:solidFill>
              <w14:schemeClr w14:val="tx1"/>
            </w14:solidFill>
          </w14:textFill>
        </w:rPr>
        <w:t>)、中国政府采购网(</w:t>
      </w:r>
      <w:r>
        <w:rPr>
          <w:rFonts w:hint="eastAsia" w:ascii="Times New Roman" w:hAnsi="Times New Roman" w:eastAsia="宋体" w:cs="宋体"/>
          <w:color w:val="000000" w:themeColor="text1"/>
          <w:spacing w:val="0"/>
          <w:szCs w:val="21"/>
          <w:highlight w:val="none"/>
          <w14:textFill>
            <w14:solidFill>
              <w14:schemeClr w14:val="tx1"/>
            </w14:solidFill>
          </w14:textFill>
        </w:rPr>
        <w:fldChar w:fldCharType="begin"/>
      </w:r>
      <w:r>
        <w:rPr>
          <w:rFonts w:hint="eastAsia" w:ascii="Times New Roman" w:hAnsi="Times New Roman" w:eastAsia="宋体" w:cs="宋体"/>
          <w:color w:val="000000" w:themeColor="text1"/>
          <w:spacing w:val="0"/>
          <w:szCs w:val="21"/>
          <w:highlight w:val="none"/>
          <w14:textFill>
            <w14:solidFill>
              <w14:schemeClr w14:val="tx1"/>
            </w14:solidFill>
          </w14:textFill>
        </w:rPr>
        <w:instrText xml:space="preserve"> HYPERLINK "http://www.ccgp.gov.cn" </w:instrText>
      </w:r>
      <w:r>
        <w:rPr>
          <w:rFonts w:hint="eastAsia" w:ascii="Times New Roman" w:hAnsi="Times New Roman" w:eastAsia="宋体" w:cs="宋体"/>
          <w:color w:val="000000" w:themeColor="text1"/>
          <w:spacing w:val="0"/>
          <w:szCs w:val="21"/>
          <w:highlight w:val="none"/>
          <w14:textFill>
            <w14:solidFill>
              <w14:schemeClr w14:val="tx1"/>
            </w14:solidFill>
          </w14:textFill>
        </w:rPr>
        <w:fldChar w:fldCharType="separate"/>
      </w:r>
      <w:r>
        <w:rPr>
          <w:rStyle w:val="36"/>
          <w:rFonts w:hint="eastAsia" w:ascii="Times New Roman" w:hAnsi="Times New Roman" w:eastAsia="宋体" w:cs="宋体"/>
          <w:color w:val="000000" w:themeColor="text1"/>
          <w:spacing w:val="0"/>
          <w:highlight w:val="none"/>
          <w14:textFill>
            <w14:solidFill>
              <w14:schemeClr w14:val="tx1"/>
            </w14:solidFill>
          </w14:textFill>
        </w:rPr>
        <w:t>www.ccgp.gov.cn</w:t>
      </w:r>
      <w:r>
        <w:rPr>
          <w:rFonts w:hint="eastAsia" w:ascii="Times New Roman" w:hAnsi="Times New Roman" w:eastAsia="宋体" w:cs="宋体"/>
          <w:color w:val="000000" w:themeColor="text1"/>
          <w:spacing w:val="0"/>
          <w:szCs w:val="21"/>
          <w:highlight w:val="none"/>
          <w14:textFill>
            <w14:solidFill>
              <w14:schemeClr w14:val="tx1"/>
            </w14:solidFill>
          </w14:textFill>
        </w:rPr>
        <w:fldChar w:fldCharType="end"/>
      </w:r>
      <w:r>
        <w:rPr>
          <w:rFonts w:hint="eastAsia" w:ascii="Times New Roman" w:hAnsi="Times New Roman" w:eastAsia="宋体" w:cs="宋体"/>
          <w:color w:val="000000" w:themeColor="text1"/>
          <w:spacing w:val="0"/>
          <w:szCs w:val="21"/>
          <w:highlight w:val="none"/>
          <w14:textFill>
            <w14:solidFill>
              <w14:schemeClr w14:val="tx1"/>
            </w14:solidFill>
          </w14:textFill>
        </w:rPr>
        <w:t>)链接入口。</w:t>
      </w:r>
    </w:p>
    <w:p w14:paraId="64A6CE2C">
      <w:pPr>
        <w:pageBreakBefore w:val="0"/>
        <w:kinsoku/>
        <w:wordWrap/>
        <w:overflowPunct/>
        <w:topLinePunct w:val="0"/>
        <w:autoSpaceDE/>
        <w:autoSpaceDN/>
        <w:bidi w:val="0"/>
        <w:snapToGrid w:val="0"/>
        <w:spacing w:line="360" w:lineRule="auto"/>
        <w:ind w:firstLine="420" w:firstLineChars="200"/>
        <w:textAlignment w:val="auto"/>
        <w:rPr>
          <w:rFonts w:hint="eastAsia" w:ascii="Times New Roman" w:hAnsi="Times New Roman" w:eastAsia="宋体" w:cs="宋体"/>
          <w:color w:val="000000" w:themeColor="text1"/>
          <w:spacing w:val="0"/>
          <w:szCs w:val="21"/>
          <w:highlight w:val="none"/>
          <w14:textFill>
            <w14:solidFill>
              <w14:schemeClr w14:val="tx1"/>
            </w14:solidFill>
          </w14:textFill>
        </w:rPr>
      </w:pPr>
      <w:r>
        <w:rPr>
          <w:rFonts w:hint="eastAsia" w:ascii="Times New Roman" w:hAnsi="Times New Roman" w:eastAsia="宋体" w:cs="宋体"/>
          <w:color w:val="000000" w:themeColor="text1"/>
          <w:spacing w:val="0"/>
          <w:szCs w:val="21"/>
          <w:highlight w:val="none"/>
          <w14:textFill>
            <w14:solidFill>
              <w14:schemeClr w14:val="tx1"/>
            </w14:solidFill>
          </w14:textFill>
        </w:rPr>
        <w:t>（2）信用查询截止时点：资格审查结束前。</w:t>
      </w:r>
    </w:p>
    <w:p w14:paraId="411D6D5D">
      <w:pPr>
        <w:pageBreakBefore w:val="0"/>
        <w:kinsoku/>
        <w:wordWrap/>
        <w:overflowPunct/>
        <w:topLinePunct w:val="0"/>
        <w:autoSpaceDE/>
        <w:autoSpaceDN/>
        <w:bidi w:val="0"/>
        <w:snapToGrid w:val="0"/>
        <w:spacing w:line="360" w:lineRule="auto"/>
        <w:ind w:firstLine="420" w:firstLineChars="200"/>
        <w:textAlignment w:val="auto"/>
        <w:rPr>
          <w:rFonts w:hint="eastAsia" w:ascii="Times New Roman" w:hAnsi="Times New Roman" w:eastAsia="宋体" w:cs="宋体"/>
          <w:color w:val="000000" w:themeColor="text1"/>
          <w:spacing w:val="0"/>
          <w:szCs w:val="21"/>
          <w:highlight w:val="none"/>
          <w14:textFill>
            <w14:solidFill>
              <w14:schemeClr w14:val="tx1"/>
            </w14:solidFill>
          </w14:textFill>
        </w:rPr>
      </w:pPr>
      <w:r>
        <w:rPr>
          <w:rFonts w:hint="eastAsia" w:ascii="Times New Roman" w:hAnsi="Times New Roman" w:eastAsia="宋体" w:cs="宋体"/>
          <w:color w:val="000000" w:themeColor="text1"/>
          <w:spacing w:val="0"/>
          <w:szCs w:val="21"/>
          <w:highlight w:val="none"/>
          <w14:textFill>
            <w14:solidFill>
              <w14:schemeClr w14:val="tx1"/>
            </w14:solidFill>
          </w14:textFill>
        </w:rPr>
        <w:t>查询记录和证据留存方式：在查询网站中直接打印查询记录，截图另存为电子文档作为评审资料保存。</w:t>
      </w:r>
    </w:p>
    <w:p w14:paraId="18C0CF8D">
      <w:pPr>
        <w:pageBreakBefore w:val="0"/>
        <w:kinsoku/>
        <w:wordWrap/>
        <w:overflowPunct/>
        <w:topLinePunct w:val="0"/>
        <w:autoSpaceDE/>
        <w:autoSpaceDN/>
        <w:bidi w:val="0"/>
        <w:spacing w:line="360" w:lineRule="auto"/>
        <w:ind w:firstLine="420" w:firstLineChars="200"/>
        <w:textAlignment w:val="auto"/>
        <w:rPr>
          <w:rFonts w:hint="eastAsia" w:ascii="Times New Roman" w:hAnsi="Times New Roman" w:eastAsia="宋体" w:cs="宋体"/>
          <w:color w:val="000000" w:themeColor="text1"/>
          <w:spacing w:val="0"/>
          <w:szCs w:val="21"/>
          <w:highlight w:val="none"/>
          <w14:textFill>
            <w14:solidFill>
              <w14:schemeClr w14:val="tx1"/>
            </w14:solidFill>
          </w14:textFill>
        </w:rPr>
      </w:pPr>
      <w:r>
        <w:rPr>
          <w:rFonts w:hint="eastAsia" w:ascii="Times New Roman" w:hAnsi="Times New Roman" w:eastAsia="宋体" w:cs="宋体"/>
          <w:color w:val="000000" w:themeColor="text1"/>
          <w:spacing w:val="0"/>
          <w:szCs w:val="21"/>
          <w:highlight w:val="none"/>
          <w14:textFill>
            <w14:solidFill>
              <w14:schemeClr w14:val="tx1"/>
            </w14:solidFill>
          </w14:textFill>
        </w:rPr>
        <w:t>（3）信用信息使用规则：对在</w:t>
      </w:r>
      <w:r>
        <w:rPr>
          <w:rFonts w:hint="eastAsia" w:ascii="Times New Roman" w:hAnsi="Times New Roman" w:eastAsia="宋体" w:cs="宋体"/>
          <w:color w:val="000000" w:themeColor="text1"/>
          <w:spacing w:val="0"/>
          <w:szCs w:val="21"/>
          <w:highlight w:val="none"/>
          <w:lang w:eastAsia="zh-CN"/>
          <w14:textFill>
            <w14:solidFill>
              <w14:schemeClr w14:val="tx1"/>
            </w14:solidFill>
          </w14:textFill>
        </w:rPr>
        <w:t>“</w:t>
      </w:r>
      <w:r>
        <w:rPr>
          <w:rFonts w:hint="eastAsia" w:ascii="Times New Roman" w:hAnsi="Times New Roman" w:eastAsia="宋体" w:cs="宋体"/>
          <w:color w:val="000000" w:themeColor="text1"/>
          <w:spacing w:val="0"/>
          <w:szCs w:val="21"/>
          <w:highlight w:val="none"/>
          <w14:textFill>
            <w14:solidFill>
              <w14:schemeClr w14:val="tx1"/>
            </w14:solidFill>
          </w14:textFill>
        </w:rPr>
        <w:t>信用中国</w:t>
      </w:r>
      <w:r>
        <w:rPr>
          <w:rFonts w:hint="eastAsia" w:ascii="Times New Roman" w:hAnsi="Times New Roman" w:eastAsia="宋体" w:cs="宋体"/>
          <w:color w:val="000000" w:themeColor="text1"/>
          <w:spacing w:val="0"/>
          <w:szCs w:val="21"/>
          <w:highlight w:val="none"/>
          <w:lang w:eastAsia="zh-CN"/>
          <w14:textFill>
            <w14:solidFill>
              <w14:schemeClr w14:val="tx1"/>
            </w14:solidFill>
          </w14:textFill>
        </w:rPr>
        <w:t>”</w:t>
      </w:r>
      <w:r>
        <w:rPr>
          <w:rFonts w:hint="eastAsia" w:ascii="Times New Roman" w:hAnsi="Times New Roman" w:eastAsia="宋体" w:cs="宋体"/>
          <w:color w:val="000000" w:themeColor="text1"/>
          <w:spacing w:val="0"/>
          <w:szCs w:val="21"/>
          <w:highlight w:val="none"/>
          <w14:textFill>
            <w14:solidFill>
              <w14:schemeClr w14:val="tx1"/>
            </w14:solidFill>
          </w14:textFill>
        </w:rPr>
        <w:t>网站(www.creditchina.gov.cn) 、中国政府采购网(www.ccgp.gov.cn)被列入失信被执行人、重大税收违法失信主体、政府采购严重违法失信行为记录名单及其他不符合《中华人民共和国政府采购法》第二十二条规定条件的供应商，资格审查不通过，不得参与政府采购活动。两个以上的自然人、法人或者其他组织组成一个联合体，以一个供应商的身份共同参加政府采购活动的，应当对所有联合体成员进行信用记录查询，联合体成员存在不良信用记录的，视同联合体存在不良信用记录。</w:t>
      </w:r>
    </w:p>
    <w:p w14:paraId="5CFF3BC7">
      <w:pPr>
        <w:pageBreakBefore w:val="0"/>
        <w:kinsoku/>
        <w:wordWrap/>
        <w:overflowPunct/>
        <w:topLinePunct w:val="0"/>
        <w:autoSpaceDE/>
        <w:autoSpaceDN/>
        <w:bidi w:val="0"/>
        <w:spacing w:line="360" w:lineRule="auto"/>
        <w:ind w:firstLine="420" w:firstLineChars="200"/>
        <w:textAlignment w:val="auto"/>
        <w:rPr>
          <w:rFonts w:hint="eastAsia" w:ascii="Times New Roman" w:hAnsi="Times New Roman" w:eastAsia="宋体" w:cs="宋体"/>
          <w:color w:val="000000" w:themeColor="text1"/>
          <w:spacing w:val="0"/>
          <w:szCs w:val="21"/>
          <w:highlight w:val="none"/>
          <w14:textFill>
            <w14:solidFill>
              <w14:schemeClr w14:val="tx1"/>
            </w14:solidFill>
          </w14:textFill>
        </w:rPr>
      </w:pPr>
      <w:r>
        <w:rPr>
          <w:rFonts w:hint="eastAsia" w:ascii="Times New Roman" w:hAnsi="Times New Roman" w:eastAsia="宋体" w:cs="宋体"/>
          <w:color w:val="000000" w:themeColor="text1"/>
          <w:spacing w:val="0"/>
          <w:szCs w:val="21"/>
          <w:highlight w:val="none"/>
          <w14:textFill>
            <w14:solidFill>
              <w14:schemeClr w14:val="tx1"/>
            </w14:solidFill>
          </w14:textFill>
        </w:rPr>
        <w:t>2.2资格审查标准为本磋商文件中载明对供应商资格要求的条件。资格审查采用合格制，凡符合磋商文件规定的供应商资格要求的响应文件均通过资格审查。</w:t>
      </w:r>
    </w:p>
    <w:p w14:paraId="24A74FBE">
      <w:pPr>
        <w:pageBreakBefore w:val="0"/>
        <w:kinsoku/>
        <w:wordWrap/>
        <w:overflowPunct/>
        <w:topLinePunct w:val="0"/>
        <w:autoSpaceDE/>
        <w:autoSpaceDN/>
        <w:bidi w:val="0"/>
        <w:spacing w:line="360" w:lineRule="auto"/>
        <w:ind w:firstLine="422" w:firstLineChars="200"/>
        <w:textAlignment w:val="auto"/>
        <w:rPr>
          <w:rFonts w:hint="eastAsia" w:ascii="Times New Roman" w:hAnsi="Times New Roman" w:eastAsia="宋体" w:cs="宋体"/>
          <w:b/>
          <w:bCs/>
          <w:color w:val="000000" w:themeColor="text1"/>
          <w:spacing w:val="0"/>
          <w:szCs w:val="21"/>
          <w:highlight w:val="none"/>
          <w14:textFill>
            <w14:solidFill>
              <w14:schemeClr w14:val="tx1"/>
            </w14:solidFill>
          </w14:textFill>
        </w:rPr>
      </w:pPr>
      <w:r>
        <w:rPr>
          <w:rFonts w:hint="eastAsia" w:ascii="Times New Roman" w:hAnsi="Times New Roman" w:eastAsia="宋体" w:cs="宋体"/>
          <w:b/>
          <w:bCs/>
          <w:color w:val="000000" w:themeColor="text1"/>
          <w:spacing w:val="0"/>
          <w:szCs w:val="21"/>
          <w:highlight w:val="none"/>
          <w14:textFill>
            <w14:solidFill>
              <w14:schemeClr w14:val="tx1"/>
            </w14:solidFill>
          </w14:textFill>
        </w:rPr>
        <w:t>2.3供应商有下列情形之一的，资格审查不通过，其响应文件按无效响应处理：</w:t>
      </w:r>
    </w:p>
    <w:p w14:paraId="7C596D93">
      <w:pPr>
        <w:pageBreakBefore w:val="0"/>
        <w:kinsoku/>
        <w:wordWrap/>
        <w:overflowPunct/>
        <w:topLinePunct w:val="0"/>
        <w:autoSpaceDE/>
        <w:autoSpaceDN/>
        <w:bidi w:val="0"/>
        <w:snapToGrid w:val="0"/>
        <w:spacing w:line="360" w:lineRule="auto"/>
        <w:ind w:firstLine="420" w:firstLineChars="200"/>
        <w:textAlignment w:val="auto"/>
        <w:rPr>
          <w:rFonts w:hint="eastAsia" w:ascii="Times New Roman" w:hAnsi="Times New Roman" w:eastAsia="宋体" w:cs="宋体"/>
          <w:color w:val="000000" w:themeColor="text1"/>
          <w:spacing w:val="0"/>
          <w:szCs w:val="21"/>
          <w:highlight w:val="none"/>
          <w14:textFill>
            <w14:solidFill>
              <w14:schemeClr w14:val="tx1"/>
            </w14:solidFill>
          </w14:textFill>
        </w:rPr>
      </w:pPr>
      <w:r>
        <w:rPr>
          <w:rFonts w:hint="eastAsia" w:ascii="Times New Roman" w:hAnsi="Times New Roman" w:eastAsia="宋体" w:cs="宋体"/>
          <w:color w:val="000000" w:themeColor="text1"/>
          <w:spacing w:val="0"/>
          <w:szCs w:val="21"/>
          <w:highlight w:val="none"/>
          <w14:textFill>
            <w14:solidFill>
              <w14:schemeClr w14:val="tx1"/>
            </w14:solidFill>
          </w14:textFill>
        </w:rPr>
        <w:t>（1）不具备磋商文件中规定的资格要求的；</w:t>
      </w:r>
    </w:p>
    <w:p w14:paraId="2C5A8E7C">
      <w:pPr>
        <w:pageBreakBefore w:val="0"/>
        <w:kinsoku/>
        <w:wordWrap/>
        <w:overflowPunct/>
        <w:topLinePunct w:val="0"/>
        <w:autoSpaceDE/>
        <w:autoSpaceDN/>
        <w:bidi w:val="0"/>
        <w:spacing w:line="360" w:lineRule="auto"/>
        <w:ind w:firstLine="420" w:firstLineChars="200"/>
        <w:textAlignment w:val="auto"/>
        <w:rPr>
          <w:rFonts w:hint="eastAsia" w:ascii="Times New Roman" w:hAnsi="Times New Roman" w:eastAsia="宋体" w:cs="宋体"/>
          <w:color w:val="000000" w:themeColor="text1"/>
          <w:spacing w:val="0"/>
          <w:szCs w:val="21"/>
          <w:highlight w:val="none"/>
          <w14:textFill>
            <w14:solidFill>
              <w14:schemeClr w14:val="tx1"/>
            </w14:solidFill>
          </w14:textFill>
        </w:rPr>
      </w:pPr>
      <w:r>
        <w:rPr>
          <w:rFonts w:hint="eastAsia" w:ascii="Times New Roman" w:hAnsi="Times New Roman" w:eastAsia="宋体" w:cs="宋体"/>
          <w:color w:val="000000" w:themeColor="text1"/>
          <w:spacing w:val="0"/>
          <w:szCs w:val="21"/>
          <w:highlight w:val="none"/>
          <w14:textFill>
            <w14:solidFill>
              <w14:schemeClr w14:val="tx1"/>
            </w14:solidFill>
          </w14:textFill>
        </w:rPr>
        <w:t>（2）响应文件未提供任一项</w:t>
      </w:r>
      <w:r>
        <w:rPr>
          <w:rFonts w:hint="eastAsia" w:ascii="Times New Roman" w:hAnsi="Times New Roman" w:eastAsia="宋体" w:cs="宋体"/>
          <w:color w:val="000000" w:themeColor="text1"/>
          <w:spacing w:val="0"/>
          <w:szCs w:val="21"/>
          <w:highlight w:val="none"/>
          <w:lang w:eastAsia="zh-CN"/>
          <w14:textFill>
            <w14:solidFill>
              <w14:schemeClr w14:val="tx1"/>
            </w14:solidFill>
          </w14:textFill>
        </w:rPr>
        <w:t>“</w:t>
      </w:r>
      <w:r>
        <w:rPr>
          <w:rFonts w:hint="eastAsia" w:ascii="Times New Roman" w:hAnsi="Times New Roman" w:eastAsia="宋体" w:cs="宋体"/>
          <w:color w:val="000000" w:themeColor="text1"/>
          <w:spacing w:val="0"/>
          <w:szCs w:val="21"/>
          <w:highlight w:val="none"/>
          <w14:textFill>
            <w14:solidFill>
              <w14:schemeClr w14:val="tx1"/>
            </w14:solidFill>
          </w14:textFill>
        </w:rPr>
        <w:t>供应商须知前附表</w:t>
      </w:r>
      <w:r>
        <w:rPr>
          <w:rFonts w:hint="eastAsia" w:ascii="Times New Roman" w:hAnsi="Times New Roman" w:eastAsia="宋体" w:cs="宋体"/>
          <w:color w:val="000000" w:themeColor="text1"/>
          <w:spacing w:val="0"/>
          <w:szCs w:val="21"/>
          <w:highlight w:val="none"/>
          <w:lang w:eastAsia="zh-CN"/>
          <w14:textFill>
            <w14:solidFill>
              <w14:schemeClr w14:val="tx1"/>
            </w14:solidFill>
          </w14:textFill>
        </w:rPr>
        <w:t>”</w:t>
      </w:r>
      <w:r>
        <w:rPr>
          <w:rFonts w:hint="eastAsia" w:ascii="Times New Roman" w:hAnsi="Times New Roman" w:eastAsia="宋体" w:cs="宋体"/>
          <w:color w:val="000000" w:themeColor="text1"/>
          <w:spacing w:val="0"/>
          <w:szCs w:val="21"/>
          <w:highlight w:val="none"/>
          <w14:textFill>
            <w14:solidFill>
              <w14:schemeClr w14:val="tx1"/>
            </w14:solidFill>
          </w14:textFill>
        </w:rPr>
        <w:t>资格证明文件规定的</w:t>
      </w:r>
      <w:r>
        <w:rPr>
          <w:rFonts w:hint="eastAsia" w:ascii="Times New Roman" w:hAnsi="Times New Roman" w:eastAsia="宋体" w:cs="宋体"/>
          <w:color w:val="000000" w:themeColor="text1"/>
          <w:spacing w:val="0"/>
          <w:szCs w:val="21"/>
          <w:highlight w:val="none"/>
          <w:lang w:eastAsia="zh-CN"/>
          <w14:textFill>
            <w14:solidFill>
              <w14:schemeClr w14:val="tx1"/>
            </w14:solidFill>
          </w14:textFill>
        </w:rPr>
        <w:t>“</w:t>
      </w:r>
      <w:r>
        <w:rPr>
          <w:rFonts w:hint="eastAsia" w:ascii="Times New Roman" w:hAnsi="Times New Roman" w:eastAsia="宋体" w:cs="宋体"/>
          <w:color w:val="000000" w:themeColor="text1"/>
          <w:spacing w:val="0"/>
          <w:szCs w:val="21"/>
          <w:highlight w:val="none"/>
          <w14:textFill>
            <w14:solidFill>
              <w14:schemeClr w14:val="tx1"/>
            </w14:solidFill>
          </w14:textFill>
        </w:rPr>
        <w:t>必须提供</w:t>
      </w:r>
      <w:r>
        <w:rPr>
          <w:rFonts w:hint="eastAsia" w:ascii="Times New Roman" w:hAnsi="Times New Roman" w:eastAsia="宋体" w:cs="宋体"/>
          <w:color w:val="000000" w:themeColor="text1"/>
          <w:spacing w:val="0"/>
          <w:szCs w:val="21"/>
          <w:highlight w:val="none"/>
          <w:lang w:eastAsia="zh-CN"/>
          <w14:textFill>
            <w14:solidFill>
              <w14:schemeClr w14:val="tx1"/>
            </w14:solidFill>
          </w14:textFill>
        </w:rPr>
        <w:t>”</w:t>
      </w:r>
      <w:r>
        <w:rPr>
          <w:rFonts w:hint="eastAsia" w:ascii="Times New Roman" w:hAnsi="Times New Roman" w:eastAsia="宋体" w:cs="宋体"/>
          <w:color w:val="000000" w:themeColor="text1"/>
          <w:spacing w:val="0"/>
          <w:szCs w:val="21"/>
          <w:highlight w:val="none"/>
          <w14:textFill>
            <w14:solidFill>
              <w14:schemeClr w14:val="tx1"/>
            </w14:solidFill>
          </w14:textFill>
        </w:rPr>
        <w:t>的文件资料的；</w:t>
      </w:r>
    </w:p>
    <w:p w14:paraId="029ACED3">
      <w:pPr>
        <w:pageBreakBefore w:val="0"/>
        <w:kinsoku/>
        <w:wordWrap/>
        <w:overflowPunct/>
        <w:topLinePunct w:val="0"/>
        <w:autoSpaceDE/>
        <w:autoSpaceDN/>
        <w:bidi w:val="0"/>
        <w:spacing w:line="360" w:lineRule="auto"/>
        <w:ind w:firstLine="420" w:firstLineChars="200"/>
        <w:textAlignment w:val="auto"/>
        <w:rPr>
          <w:rFonts w:hint="eastAsia" w:ascii="Times New Roman" w:hAnsi="Times New Roman" w:eastAsia="宋体" w:cs="宋体"/>
          <w:color w:val="000000" w:themeColor="text1"/>
          <w:spacing w:val="0"/>
          <w:szCs w:val="21"/>
          <w:highlight w:val="none"/>
          <w14:textFill>
            <w14:solidFill>
              <w14:schemeClr w14:val="tx1"/>
            </w14:solidFill>
          </w14:textFill>
        </w:rPr>
      </w:pPr>
      <w:r>
        <w:rPr>
          <w:rFonts w:hint="eastAsia" w:ascii="Times New Roman" w:hAnsi="Times New Roman" w:eastAsia="宋体" w:cs="宋体"/>
          <w:color w:val="000000" w:themeColor="text1"/>
          <w:spacing w:val="0"/>
          <w:szCs w:val="21"/>
          <w:highlight w:val="none"/>
          <w14:textFill>
            <w14:solidFill>
              <w14:schemeClr w14:val="tx1"/>
            </w14:solidFill>
          </w14:textFill>
        </w:rPr>
        <w:t>（3）响应文件提供的资格证明文件出现任一项不符合</w:t>
      </w:r>
      <w:r>
        <w:rPr>
          <w:rFonts w:hint="eastAsia" w:ascii="Times New Roman" w:hAnsi="Times New Roman" w:eastAsia="宋体" w:cs="宋体"/>
          <w:color w:val="000000" w:themeColor="text1"/>
          <w:spacing w:val="0"/>
          <w:szCs w:val="21"/>
          <w:highlight w:val="none"/>
          <w:lang w:eastAsia="zh-CN"/>
          <w14:textFill>
            <w14:solidFill>
              <w14:schemeClr w14:val="tx1"/>
            </w14:solidFill>
          </w14:textFill>
        </w:rPr>
        <w:t>“</w:t>
      </w:r>
      <w:r>
        <w:rPr>
          <w:rFonts w:hint="eastAsia" w:ascii="Times New Roman" w:hAnsi="Times New Roman" w:eastAsia="宋体" w:cs="宋体"/>
          <w:color w:val="000000" w:themeColor="text1"/>
          <w:spacing w:val="0"/>
          <w:szCs w:val="21"/>
          <w:highlight w:val="none"/>
          <w14:textFill>
            <w14:solidFill>
              <w14:schemeClr w14:val="tx1"/>
            </w14:solidFill>
          </w14:textFill>
        </w:rPr>
        <w:t>供应商须知前附表</w:t>
      </w:r>
      <w:r>
        <w:rPr>
          <w:rFonts w:hint="eastAsia" w:ascii="Times New Roman" w:hAnsi="Times New Roman" w:eastAsia="宋体" w:cs="宋体"/>
          <w:color w:val="000000" w:themeColor="text1"/>
          <w:spacing w:val="0"/>
          <w:szCs w:val="21"/>
          <w:highlight w:val="none"/>
          <w:lang w:eastAsia="zh-CN"/>
          <w14:textFill>
            <w14:solidFill>
              <w14:schemeClr w14:val="tx1"/>
            </w14:solidFill>
          </w14:textFill>
        </w:rPr>
        <w:t>”</w:t>
      </w:r>
      <w:r>
        <w:rPr>
          <w:rFonts w:hint="eastAsia" w:ascii="Times New Roman" w:hAnsi="Times New Roman" w:eastAsia="宋体" w:cs="宋体"/>
          <w:color w:val="000000" w:themeColor="text1"/>
          <w:spacing w:val="0"/>
          <w:szCs w:val="21"/>
          <w:highlight w:val="none"/>
          <w14:textFill>
            <w14:solidFill>
              <w14:schemeClr w14:val="tx1"/>
            </w14:solidFill>
          </w14:textFill>
        </w:rPr>
        <w:t>资格证明文件规定的</w:t>
      </w:r>
      <w:r>
        <w:rPr>
          <w:rFonts w:hint="eastAsia" w:ascii="Times New Roman" w:hAnsi="Times New Roman" w:eastAsia="宋体" w:cs="宋体"/>
          <w:color w:val="000000" w:themeColor="text1"/>
          <w:spacing w:val="0"/>
          <w:szCs w:val="21"/>
          <w:highlight w:val="none"/>
          <w:lang w:eastAsia="zh-CN"/>
          <w14:textFill>
            <w14:solidFill>
              <w14:schemeClr w14:val="tx1"/>
            </w14:solidFill>
          </w14:textFill>
        </w:rPr>
        <w:t>“</w:t>
      </w:r>
      <w:r>
        <w:rPr>
          <w:rFonts w:hint="eastAsia" w:ascii="Times New Roman" w:hAnsi="Times New Roman" w:eastAsia="宋体" w:cs="宋体"/>
          <w:color w:val="000000" w:themeColor="text1"/>
          <w:spacing w:val="0"/>
          <w:szCs w:val="21"/>
          <w:highlight w:val="none"/>
          <w14:textFill>
            <w14:solidFill>
              <w14:schemeClr w14:val="tx1"/>
            </w14:solidFill>
          </w14:textFill>
        </w:rPr>
        <w:t>必须提供</w:t>
      </w:r>
      <w:r>
        <w:rPr>
          <w:rFonts w:hint="eastAsia" w:ascii="Times New Roman" w:hAnsi="Times New Roman" w:eastAsia="宋体" w:cs="宋体"/>
          <w:color w:val="000000" w:themeColor="text1"/>
          <w:spacing w:val="0"/>
          <w:szCs w:val="21"/>
          <w:highlight w:val="none"/>
          <w:lang w:eastAsia="zh-CN"/>
          <w14:textFill>
            <w14:solidFill>
              <w14:schemeClr w14:val="tx1"/>
            </w14:solidFill>
          </w14:textFill>
        </w:rPr>
        <w:t>”</w:t>
      </w:r>
      <w:r>
        <w:rPr>
          <w:rFonts w:hint="eastAsia" w:ascii="Times New Roman" w:hAnsi="Times New Roman" w:eastAsia="宋体" w:cs="宋体"/>
          <w:color w:val="000000" w:themeColor="text1"/>
          <w:spacing w:val="0"/>
          <w:szCs w:val="21"/>
          <w:highlight w:val="none"/>
          <w14:textFill>
            <w14:solidFill>
              <w14:schemeClr w14:val="tx1"/>
            </w14:solidFill>
          </w14:textFill>
        </w:rPr>
        <w:t>的文件资料要求或者无效的。</w:t>
      </w:r>
    </w:p>
    <w:p w14:paraId="361AD66E">
      <w:pPr>
        <w:pageBreakBefore w:val="0"/>
        <w:kinsoku/>
        <w:wordWrap/>
        <w:overflowPunct/>
        <w:topLinePunct w:val="0"/>
        <w:autoSpaceDE/>
        <w:autoSpaceDN/>
        <w:bidi w:val="0"/>
        <w:spacing w:line="360" w:lineRule="auto"/>
        <w:ind w:firstLine="420" w:firstLineChars="200"/>
        <w:textAlignment w:val="auto"/>
        <w:rPr>
          <w:rFonts w:hint="eastAsia" w:ascii="Times New Roman" w:hAnsi="Times New Roman" w:eastAsia="宋体" w:cs="宋体"/>
          <w:color w:val="000000" w:themeColor="text1"/>
          <w:spacing w:val="0"/>
          <w:szCs w:val="21"/>
          <w:highlight w:val="none"/>
          <w14:textFill>
            <w14:solidFill>
              <w14:schemeClr w14:val="tx1"/>
            </w14:solidFill>
          </w14:textFill>
        </w:rPr>
      </w:pPr>
      <w:bookmarkStart w:id="171" w:name="_Hlk68601553"/>
      <w:r>
        <w:rPr>
          <w:rFonts w:hint="eastAsia" w:ascii="Times New Roman" w:hAnsi="Times New Roman" w:eastAsia="宋体" w:cs="宋体"/>
          <w:color w:val="000000" w:themeColor="text1"/>
          <w:spacing w:val="0"/>
          <w:szCs w:val="21"/>
          <w:highlight w:val="none"/>
          <w14:textFill>
            <w14:solidFill>
              <w14:schemeClr w14:val="tx1"/>
            </w14:solidFill>
          </w14:textFill>
        </w:rPr>
        <w:t>（4）同一合同项下的不同供应商，单位负责人为同一人或者存在直接控股、管理关系的；为本项目提供过整体设计、规范编制或者项目管理、监理、检测等服务的。</w:t>
      </w:r>
      <w:bookmarkEnd w:id="171"/>
    </w:p>
    <w:p w14:paraId="53A2C741">
      <w:pPr>
        <w:pageBreakBefore w:val="0"/>
        <w:kinsoku/>
        <w:wordWrap/>
        <w:overflowPunct/>
        <w:topLinePunct w:val="0"/>
        <w:autoSpaceDE/>
        <w:autoSpaceDN/>
        <w:bidi w:val="0"/>
        <w:spacing w:line="360" w:lineRule="auto"/>
        <w:ind w:firstLine="420" w:firstLineChars="200"/>
        <w:textAlignment w:val="auto"/>
        <w:rPr>
          <w:rFonts w:hint="eastAsia" w:ascii="Times New Roman" w:hAnsi="Times New Roman" w:eastAsia="宋体" w:cs="宋体"/>
          <w:color w:val="000000" w:themeColor="text1"/>
          <w:spacing w:val="0"/>
          <w:szCs w:val="21"/>
          <w:highlight w:val="none"/>
          <w14:textFill>
            <w14:solidFill>
              <w14:schemeClr w14:val="tx1"/>
            </w14:solidFill>
          </w14:textFill>
        </w:rPr>
      </w:pPr>
      <w:r>
        <w:rPr>
          <w:rFonts w:hint="eastAsia" w:ascii="Times New Roman" w:hAnsi="Times New Roman" w:eastAsia="宋体" w:cs="宋体"/>
          <w:color w:val="000000" w:themeColor="text1"/>
          <w:spacing w:val="0"/>
          <w:szCs w:val="21"/>
          <w:highlight w:val="none"/>
          <w14:textFill>
            <w14:solidFill>
              <w14:schemeClr w14:val="tx1"/>
            </w14:solidFill>
          </w14:textFill>
        </w:rPr>
        <w:t>2.4通过资格审查的合格供应商不足3家的，不得进入符合性审查环节，采购人或者采购代理机构应当重新开展采购活动。</w:t>
      </w:r>
    </w:p>
    <w:p w14:paraId="3C854621">
      <w:pPr>
        <w:pageBreakBefore w:val="0"/>
        <w:kinsoku/>
        <w:wordWrap/>
        <w:overflowPunct/>
        <w:topLinePunct w:val="0"/>
        <w:autoSpaceDE/>
        <w:autoSpaceDN/>
        <w:bidi w:val="0"/>
        <w:spacing w:line="360" w:lineRule="auto"/>
        <w:textAlignment w:val="auto"/>
        <w:outlineLvl w:val="2"/>
        <w:rPr>
          <w:rFonts w:hint="eastAsia" w:ascii="Times New Roman" w:hAnsi="Times New Roman" w:eastAsia="宋体" w:cs="宋体"/>
          <w:b/>
          <w:bCs/>
          <w:color w:val="000000" w:themeColor="text1"/>
          <w:spacing w:val="0"/>
          <w:sz w:val="21"/>
          <w:szCs w:val="21"/>
          <w:highlight w:val="none"/>
          <w14:textFill>
            <w14:solidFill>
              <w14:schemeClr w14:val="tx1"/>
            </w14:solidFill>
          </w14:textFill>
        </w:rPr>
      </w:pPr>
      <w:bookmarkStart w:id="172" w:name="_Toc20865"/>
      <w:r>
        <w:rPr>
          <w:rFonts w:hint="eastAsia" w:ascii="Times New Roman" w:hAnsi="Times New Roman" w:eastAsia="宋体" w:cs="宋体"/>
          <w:b/>
          <w:bCs/>
          <w:color w:val="000000" w:themeColor="text1"/>
          <w:spacing w:val="0"/>
          <w:sz w:val="21"/>
          <w:szCs w:val="21"/>
          <w:highlight w:val="none"/>
          <w14:textFill>
            <w14:solidFill>
              <w14:schemeClr w14:val="tx1"/>
            </w14:solidFill>
          </w14:textFill>
        </w:rPr>
        <w:t>3.符合性审查</w:t>
      </w:r>
      <w:bookmarkEnd w:id="172"/>
    </w:p>
    <w:p w14:paraId="49BAB15A">
      <w:pPr>
        <w:pageBreakBefore w:val="0"/>
        <w:kinsoku/>
        <w:wordWrap/>
        <w:overflowPunct/>
        <w:topLinePunct w:val="0"/>
        <w:autoSpaceDE/>
        <w:autoSpaceDN/>
        <w:bidi w:val="0"/>
        <w:spacing w:line="360" w:lineRule="auto"/>
        <w:ind w:firstLine="420" w:firstLineChars="200"/>
        <w:textAlignment w:val="auto"/>
        <w:rPr>
          <w:rFonts w:hint="eastAsia" w:ascii="Times New Roman" w:hAnsi="Times New Roman" w:eastAsia="宋体" w:cs="宋体"/>
          <w:color w:val="000000" w:themeColor="text1"/>
          <w:spacing w:val="0"/>
          <w:szCs w:val="21"/>
          <w:highlight w:val="none"/>
          <w14:textFill>
            <w14:solidFill>
              <w14:schemeClr w14:val="tx1"/>
            </w14:solidFill>
          </w14:textFill>
        </w:rPr>
      </w:pPr>
      <w:r>
        <w:rPr>
          <w:rFonts w:hint="eastAsia" w:ascii="Times New Roman" w:hAnsi="Times New Roman" w:eastAsia="宋体" w:cs="宋体"/>
          <w:color w:val="000000" w:themeColor="text1"/>
          <w:spacing w:val="0"/>
          <w:szCs w:val="21"/>
          <w:highlight w:val="none"/>
          <w14:textFill>
            <w14:solidFill>
              <w14:schemeClr w14:val="tx1"/>
            </w14:solidFill>
          </w14:textFill>
        </w:rPr>
        <w:t>3.1由磋商小组对通过资格审查的合格供应商的响应文件的响应报价、商务、技术等实质性要求进行符合性审查，以确定其是否满足磋商文件的实质性要求。</w:t>
      </w:r>
    </w:p>
    <w:p w14:paraId="68127C47">
      <w:pPr>
        <w:pageBreakBefore w:val="0"/>
        <w:kinsoku/>
        <w:wordWrap/>
        <w:overflowPunct/>
        <w:topLinePunct w:val="0"/>
        <w:autoSpaceDE/>
        <w:autoSpaceDN/>
        <w:bidi w:val="0"/>
        <w:spacing w:line="360" w:lineRule="auto"/>
        <w:ind w:firstLine="420" w:firstLineChars="200"/>
        <w:textAlignment w:val="auto"/>
        <w:rPr>
          <w:rFonts w:hint="eastAsia" w:ascii="Times New Roman" w:hAnsi="Times New Roman" w:eastAsia="宋体" w:cs="宋体"/>
          <w:color w:val="000000" w:themeColor="text1"/>
          <w:spacing w:val="0"/>
          <w:szCs w:val="21"/>
          <w:highlight w:val="none"/>
          <w14:textFill>
            <w14:solidFill>
              <w14:schemeClr w14:val="tx1"/>
            </w14:solidFill>
          </w14:textFill>
        </w:rPr>
      </w:pPr>
      <w:r>
        <w:rPr>
          <w:rFonts w:hint="eastAsia" w:ascii="Times New Roman" w:hAnsi="Times New Roman" w:eastAsia="宋体" w:cs="宋体"/>
          <w:color w:val="000000" w:themeColor="text1"/>
          <w:spacing w:val="0"/>
          <w:szCs w:val="21"/>
          <w:highlight w:val="none"/>
          <w14:textFill>
            <w14:solidFill>
              <w14:schemeClr w14:val="tx1"/>
            </w14:solidFill>
          </w14:textFill>
        </w:rPr>
        <w:t>3.2磋商小组在对响应文件进行符合性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14:paraId="002DF283">
      <w:pPr>
        <w:pageBreakBefore w:val="0"/>
        <w:kinsoku/>
        <w:wordWrap/>
        <w:overflowPunct/>
        <w:topLinePunct w:val="0"/>
        <w:autoSpaceDE/>
        <w:autoSpaceDN/>
        <w:bidi w:val="0"/>
        <w:spacing w:line="360" w:lineRule="auto"/>
        <w:ind w:firstLine="420" w:firstLineChars="200"/>
        <w:textAlignment w:val="auto"/>
        <w:rPr>
          <w:rFonts w:hint="eastAsia" w:ascii="Times New Roman" w:hAnsi="Times New Roman" w:eastAsia="宋体" w:cs="宋体"/>
          <w:color w:val="000000" w:themeColor="text1"/>
          <w:spacing w:val="0"/>
          <w:szCs w:val="21"/>
          <w:highlight w:val="none"/>
          <w14:textFill>
            <w14:solidFill>
              <w14:schemeClr w14:val="tx1"/>
            </w14:solidFill>
          </w14:textFill>
        </w:rPr>
      </w:pPr>
      <w:r>
        <w:rPr>
          <w:rFonts w:hint="eastAsia" w:ascii="Times New Roman" w:hAnsi="Times New Roman" w:eastAsia="宋体" w:cs="宋体"/>
          <w:color w:val="000000" w:themeColor="text1"/>
          <w:spacing w:val="0"/>
          <w:szCs w:val="21"/>
          <w:highlight w:val="none"/>
          <w14:textFill>
            <w14:solidFill>
              <w14:schemeClr w14:val="tx1"/>
            </w14:solidFill>
          </w14:textFill>
        </w:rPr>
        <w:t>3.3磋商小组要求供应商澄清、说明或者更正响应文件应当以电子澄清函形式作出。供应商的澄清、说明或者更正应当以电子回函形式按照磋商小组的要求作出明确的澄清、说明或者更正，未按磋商小组的要求作出明确澄清、说明或者更正的供应商的响应文件将按照有利于采购人的原则由磋商小组进行判定。供应商的澄清、说明或者更正必须加盖供应商公章。供应商为自然人的，必须由本人签字并附身份证明。</w:t>
      </w:r>
    </w:p>
    <w:p w14:paraId="2FDEBE90">
      <w:pPr>
        <w:pageBreakBefore w:val="0"/>
        <w:kinsoku/>
        <w:wordWrap/>
        <w:overflowPunct/>
        <w:topLinePunct w:val="0"/>
        <w:autoSpaceDE/>
        <w:autoSpaceDN/>
        <w:bidi w:val="0"/>
        <w:spacing w:line="360" w:lineRule="auto"/>
        <w:ind w:firstLine="420" w:firstLineChars="200"/>
        <w:textAlignment w:val="auto"/>
        <w:rPr>
          <w:rFonts w:hint="eastAsia" w:ascii="Times New Roman" w:hAnsi="Times New Roman" w:eastAsia="宋体" w:cs="宋体"/>
          <w:color w:val="000000" w:themeColor="text1"/>
          <w:spacing w:val="0"/>
          <w:szCs w:val="21"/>
          <w:highlight w:val="none"/>
          <w14:textFill>
            <w14:solidFill>
              <w14:schemeClr w14:val="tx1"/>
            </w14:solidFill>
          </w14:textFill>
        </w:rPr>
      </w:pPr>
      <w:r>
        <w:rPr>
          <w:rFonts w:hint="eastAsia" w:ascii="Times New Roman" w:hAnsi="Times New Roman" w:eastAsia="宋体" w:cs="宋体"/>
          <w:color w:val="000000" w:themeColor="text1"/>
          <w:spacing w:val="0"/>
          <w:szCs w:val="21"/>
          <w:highlight w:val="none"/>
          <w14:textFill>
            <w14:solidFill>
              <w14:schemeClr w14:val="tx1"/>
            </w14:solidFill>
          </w14:textFill>
        </w:rPr>
        <w:t xml:space="preserve">3.4首次响应文件报价出现前后不一致的，按照下列规定修正： </w:t>
      </w:r>
    </w:p>
    <w:p w14:paraId="71044D07">
      <w:pPr>
        <w:pageBreakBefore w:val="0"/>
        <w:kinsoku/>
        <w:wordWrap/>
        <w:overflowPunct/>
        <w:topLinePunct w:val="0"/>
        <w:autoSpaceDE/>
        <w:autoSpaceDN/>
        <w:bidi w:val="0"/>
        <w:spacing w:line="360" w:lineRule="auto"/>
        <w:ind w:firstLine="420" w:firstLineChars="200"/>
        <w:textAlignment w:val="auto"/>
        <w:rPr>
          <w:rFonts w:hint="eastAsia" w:ascii="Times New Roman" w:hAnsi="Times New Roman" w:eastAsia="宋体" w:cs="宋体"/>
          <w:color w:val="000000" w:themeColor="text1"/>
          <w:spacing w:val="0"/>
          <w:szCs w:val="21"/>
          <w:highlight w:val="none"/>
          <w14:textFill>
            <w14:solidFill>
              <w14:schemeClr w14:val="tx1"/>
            </w14:solidFill>
          </w14:textFill>
        </w:rPr>
      </w:pPr>
      <w:r>
        <w:rPr>
          <w:rFonts w:hint="eastAsia" w:ascii="Times New Roman" w:hAnsi="Times New Roman" w:eastAsia="宋体" w:cs="宋体"/>
          <w:color w:val="000000" w:themeColor="text1"/>
          <w:spacing w:val="0"/>
          <w:szCs w:val="21"/>
          <w:highlight w:val="none"/>
          <w14:textFill>
            <w14:solidFill>
              <w14:schemeClr w14:val="tx1"/>
            </w14:solidFill>
          </w14:textFill>
        </w:rPr>
        <w:t>（1）响应文件中响应报价表内容与响应文件中相应内容不一致的，以响应报价表为准；</w:t>
      </w:r>
    </w:p>
    <w:p w14:paraId="760D084D">
      <w:pPr>
        <w:pageBreakBefore w:val="0"/>
        <w:kinsoku/>
        <w:wordWrap/>
        <w:overflowPunct/>
        <w:topLinePunct w:val="0"/>
        <w:autoSpaceDE/>
        <w:autoSpaceDN/>
        <w:bidi w:val="0"/>
        <w:spacing w:line="360" w:lineRule="auto"/>
        <w:ind w:firstLine="420" w:firstLineChars="200"/>
        <w:textAlignment w:val="auto"/>
        <w:rPr>
          <w:rFonts w:hint="eastAsia" w:ascii="Times New Roman" w:hAnsi="Times New Roman" w:eastAsia="宋体" w:cs="宋体"/>
          <w:color w:val="000000" w:themeColor="text1"/>
          <w:spacing w:val="0"/>
          <w:szCs w:val="21"/>
          <w:highlight w:val="none"/>
          <w14:textFill>
            <w14:solidFill>
              <w14:schemeClr w14:val="tx1"/>
            </w14:solidFill>
          </w14:textFill>
        </w:rPr>
      </w:pPr>
      <w:r>
        <w:rPr>
          <w:rFonts w:hint="eastAsia" w:ascii="Times New Roman" w:hAnsi="Times New Roman" w:eastAsia="宋体" w:cs="宋体"/>
          <w:color w:val="000000" w:themeColor="text1"/>
          <w:spacing w:val="0"/>
          <w:szCs w:val="21"/>
          <w:highlight w:val="none"/>
          <w14:textFill>
            <w14:solidFill>
              <w14:schemeClr w14:val="tx1"/>
            </w14:solidFill>
          </w14:textFill>
        </w:rPr>
        <w:t>（2）大写金额和小写金额不一致的，以大写金额为准；</w:t>
      </w:r>
    </w:p>
    <w:p w14:paraId="04CC2C2C">
      <w:pPr>
        <w:pageBreakBefore w:val="0"/>
        <w:kinsoku/>
        <w:wordWrap/>
        <w:overflowPunct/>
        <w:topLinePunct w:val="0"/>
        <w:autoSpaceDE/>
        <w:autoSpaceDN/>
        <w:bidi w:val="0"/>
        <w:spacing w:line="360" w:lineRule="auto"/>
        <w:ind w:firstLine="420" w:firstLineChars="200"/>
        <w:textAlignment w:val="auto"/>
        <w:rPr>
          <w:rFonts w:hint="eastAsia" w:ascii="Times New Roman" w:hAnsi="Times New Roman" w:eastAsia="宋体" w:cs="宋体"/>
          <w:color w:val="000000" w:themeColor="text1"/>
          <w:spacing w:val="0"/>
          <w:szCs w:val="21"/>
          <w:highlight w:val="none"/>
          <w14:textFill>
            <w14:solidFill>
              <w14:schemeClr w14:val="tx1"/>
            </w14:solidFill>
          </w14:textFill>
        </w:rPr>
      </w:pPr>
      <w:r>
        <w:rPr>
          <w:rFonts w:hint="eastAsia" w:ascii="Times New Roman" w:hAnsi="Times New Roman" w:eastAsia="宋体" w:cs="宋体"/>
          <w:color w:val="000000" w:themeColor="text1"/>
          <w:spacing w:val="0"/>
          <w:szCs w:val="21"/>
          <w:highlight w:val="none"/>
          <w14:textFill>
            <w14:solidFill>
              <w14:schemeClr w14:val="tx1"/>
            </w14:solidFill>
          </w14:textFill>
        </w:rPr>
        <w:t>（3）单价金额小数点或者百分比有明显错位的，以响应报价表的总价为准，并修改单价；</w:t>
      </w:r>
    </w:p>
    <w:p w14:paraId="10C77DA1">
      <w:pPr>
        <w:pageBreakBefore w:val="0"/>
        <w:kinsoku/>
        <w:wordWrap/>
        <w:overflowPunct/>
        <w:topLinePunct w:val="0"/>
        <w:autoSpaceDE/>
        <w:autoSpaceDN/>
        <w:bidi w:val="0"/>
        <w:spacing w:line="360" w:lineRule="auto"/>
        <w:ind w:firstLine="420" w:firstLineChars="200"/>
        <w:textAlignment w:val="auto"/>
        <w:rPr>
          <w:rFonts w:hint="eastAsia" w:ascii="Times New Roman" w:hAnsi="Times New Roman" w:eastAsia="宋体" w:cs="宋体"/>
          <w:color w:val="000000" w:themeColor="text1"/>
          <w:spacing w:val="0"/>
          <w:szCs w:val="21"/>
          <w:highlight w:val="none"/>
          <w14:textFill>
            <w14:solidFill>
              <w14:schemeClr w14:val="tx1"/>
            </w14:solidFill>
          </w14:textFill>
        </w:rPr>
      </w:pPr>
      <w:r>
        <w:rPr>
          <w:rFonts w:hint="eastAsia" w:ascii="Times New Roman" w:hAnsi="Times New Roman" w:eastAsia="宋体" w:cs="宋体"/>
          <w:color w:val="000000" w:themeColor="text1"/>
          <w:spacing w:val="0"/>
          <w:szCs w:val="21"/>
          <w:highlight w:val="none"/>
          <w14:textFill>
            <w14:solidFill>
              <w14:schemeClr w14:val="tx1"/>
            </w14:solidFill>
          </w14:textFill>
        </w:rPr>
        <w:t>（4）总价金额与按单价汇总金额不一致的，以单价金额计算结果为准。</w:t>
      </w:r>
    </w:p>
    <w:p w14:paraId="3CFFC6DC">
      <w:pPr>
        <w:pageBreakBefore w:val="0"/>
        <w:kinsoku/>
        <w:wordWrap/>
        <w:overflowPunct/>
        <w:topLinePunct w:val="0"/>
        <w:autoSpaceDE/>
        <w:autoSpaceDN/>
        <w:bidi w:val="0"/>
        <w:spacing w:line="360" w:lineRule="auto"/>
        <w:ind w:firstLine="420" w:firstLineChars="200"/>
        <w:textAlignment w:val="auto"/>
        <w:rPr>
          <w:rFonts w:hint="eastAsia" w:ascii="Times New Roman" w:hAnsi="Times New Roman" w:eastAsia="宋体" w:cs="宋体"/>
          <w:color w:val="000000" w:themeColor="text1"/>
          <w:spacing w:val="0"/>
          <w:szCs w:val="21"/>
          <w:highlight w:val="none"/>
          <w14:textFill>
            <w14:solidFill>
              <w14:schemeClr w14:val="tx1"/>
            </w14:solidFill>
          </w14:textFill>
        </w:rPr>
      </w:pPr>
      <w:r>
        <w:rPr>
          <w:rFonts w:hint="eastAsia" w:ascii="Times New Roman" w:hAnsi="Times New Roman" w:eastAsia="宋体" w:cs="宋体"/>
          <w:color w:val="000000" w:themeColor="text1"/>
          <w:spacing w:val="0"/>
          <w:szCs w:val="21"/>
          <w:highlight w:val="none"/>
          <w14:textFill>
            <w14:solidFill>
              <w14:schemeClr w14:val="tx1"/>
            </w14:solidFill>
          </w14:textFill>
        </w:rPr>
        <w:t>同时出现两种以上不一致的，按照以上（1）-（4）规定的顺序逐条进行修正。修正后的报价经供应商确认后产生约束力，供应商不确认的，其响应文件按无效响应处理。</w:t>
      </w:r>
    </w:p>
    <w:p w14:paraId="51CBA7F0">
      <w:pPr>
        <w:pageBreakBefore w:val="0"/>
        <w:kinsoku/>
        <w:wordWrap/>
        <w:overflowPunct/>
        <w:topLinePunct w:val="0"/>
        <w:autoSpaceDE/>
        <w:autoSpaceDN/>
        <w:bidi w:val="0"/>
        <w:spacing w:line="360" w:lineRule="auto"/>
        <w:ind w:firstLine="420" w:firstLineChars="200"/>
        <w:textAlignment w:val="auto"/>
        <w:rPr>
          <w:rFonts w:hint="eastAsia" w:ascii="Times New Roman" w:hAnsi="Times New Roman" w:eastAsia="宋体" w:cs="宋体"/>
          <w:color w:val="000000" w:themeColor="text1"/>
          <w:spacing w:val="0"/>
          <w:szCs w:val="21"/>
          <w:highlight w:val="none"/>
          <w14:textFill>
            <w14:solidFill>
              <w14:schemeClr w14:val="tx1"/>
            </w14:solidFill>
          </w14:textFill>
        </w:rPr>
      </w:pPr>
      <w:r>
        <w:rPr>
          <w:rFonts w:hint="eastAsia" w:ascii="Times New Roman" w:hAnsi="Times New Roman" w:eastAsia="宋体" w:cs="宋体"/>
          <w:color w:val="000000" w:themeColor="text1"/>
          <w:spacing w:val="0"/>
          <w:szCs w:val="21"/>
          <w:highlight w:val="none"/>
          <w14:textFill>
            <w14:solidFill>
              <w14:schemeClr w14:val="tx1"/>
            </w14:solidFill>
          </w14:textFill>
        </w:rPr>
        <w:t>3.5商务技术、报价评审</w:t>
      </w:r>
    </w:p>
    <w:p w14:paraId="6A6D4C55">
      <w:pPr>
        <w:pageBreakBefore w:val="0"/>
        <w:kinsoku/>
        <w:wordWrap/>
        <w:overflowPunct/>
        <w:topLinePunct w:val="0"/>
        <w:autoSpaceDE/>
        <w:autoSpaceDN/>
        <w:bidi w:val="0"/>
        <w:spacing w:line="360" w:lineRule="auto"/>
        <w:ind w:firstLine="422" w:firstLineChars="200"/>
        <w:textAlignment w:val="auto"/>
        <w:rPr>
          <w:rFonts w:hint="eastAsia" w:ascii="Times New Roman" w:hAnsi="Times New Roman" w:eastAsia="宋体" w:cs="宋体"/>
          <w:b/>
          <w:bCs/>
          <w:color w:val="000000" w:themeColor="text1"/>
          <w:spacing w:val="0"/>
          <w:szCs w:val="21"/>
          <w:highlight w:val="none"/>
          <w14:textFill>
            <w14:solidFill>
              <w14:schemeClr w14:val="tx1"/>
            </w14:solidFill>
          </w14:textFill>
        </w:rPr>
      </w:pPr>
      <w:r>
        <w:rPr>
          <w:rFonts w:hint="eastAsia" w:ascii="Times New Roman" w:hAnsi="Times New Roman" w:eastAsia="宋体" w:cs="宋体"/>
          <w:b/>
          <w:bCs/>
          <w:color w:val="000000" w:themeColor="text1"/>
          <w:spacing w:val="0"/>
          <w:szCs w:val="21"/>
          <w:highlight w:val="none"/>
          <w14:textFill>
            <w14:solidFill>
              <w14:schemeClr w14:val="tx1"/>
            </w14:solidFill>
          </w14:textFill>
        </w:rPr>
        <w:t>在评审时，如发现下列情形之一的，将被视为响应文件无效处理：</w:t>
      </w:r>
    </w:p>
    <w:p w14:paraId="46395FC1">
      <w:pPr>
        <w:pageBreakBefore w:val="0"/>
        <w:kinsoku/>
        <w:wordWrap/>
        <w:overflowPunct/>
        <w:topLinePunct w:val="0"/>
        <w:autoSpaceDE/>
        <w:autoSpaceDN/>
        <w:bidi w:val="0"/>
        <w:spacing w:line="360" w:lineRule="auto"/>
        <w:ind w:firstLine="420" w:firstLineChars="200"/>
        <w:textAlignment w:val="auto"/>
        <w:rPr>
          <w:rFonts w:hint="eastAsia" w:ascii="Times New Roman" w:hAnsi="Times New Roman" w:eastAsia="宋体" w:cs="宋体"/>
          <w:color w:val="000000" w:themeColor="text1"/>
          <w:spacing w:val="0"/>
          <w:szCs w:val="21"/>
          <w:highlight w:val="none"/>
          <w14:textFill>
            <w14:solidFill>
              <w14:schemeClr w14:val="tx1"/>
            </w14:solidFill>
          </w14:textFill>
        </w:rPr>
      </w:pPr>
      <w:r>
        <w:rPr>
          <w:rFonts w:hint="eastAsia" w:ascii="Times New Roman" w:hAnsi="Times New Roman" w:eastAsia="宋体" w:cs="宋体"/>
          <w:color w:val="000000" w:themeColor="text1"/>
          <w:spacing w:val="0"/>
          <w:szCs w:val="21"/>
          <w:highlight w:val="none"/>
          <w14:textFill>
            <w14:solidFill>
              <w14:schemeClr w14:val="tx1"/>
            </w14:solidFill>
          </w14:textFill>
        </w:rPr>
        <w:t>（1）商务技术评审</w:t>
      </w:r>
    </w:p>
    <w:p w14:paraId="60FC7DD3">
      <w:pPr>
        <w:pageBreakBefore w:val="0"/>
        <w:kinsoku/>
        <w:wordWrap/>
        <w:overflowPunct/>
        <w:topLinePunct w:val="0"/>
        <w:autoSpaceDE/>
        <w:autoSpaceDN/>
        <w:bidi w:val="0"/>
        <w:spacing w:line="360" w:lineRule="auto"/>
        <w:ind w:firstLine="420" w:firstLineChars="200"/>
        <w:textAlignment w:val="auto"/>
        <w:rPr>
          <w:rFonts w:hint="eastAsia" w:ascii="Times New Roman" w:hAnsi="Times New Roman" w:eastAsia="宋体" w:cs="宋体"/>
          <w:color w:val="000000" w:themeColor="text1"/>
          <w:spacing w:val="0"/>
          <w:szCs w:val="21"/>
          <w:highlight w:val="none"/>
          <w14:textFill>
            <w14:solidFill>
              <w14:schemeClr w14:val="tx1"/>
            </w14:solidFill>
          </w14:textFill>
        </w:rPr>
      </w:pPr>
      <w:r>
        <w:rPr>
          <w:rFonts w:hint="eastAsia" w:ascii="Times New Roman" w:hAnsi="Times New Roman" w:eastAsia="宋体" w:cs="宋体"/>
          <w:color w:val="000000" w:themeColor="text1"/>
          <w:spacing w:val="0"/>
          <w:szCs w:val="21"/>
          <w:highlight w:val="none"/>
          <w14:textFill>
            <w14:solidFill>
              <w14:schemeClr w14:val="tx1"/>
            </w14:solidFill>
          </w14:textFill>
        </w:rPr>
        <w:t>1）响应文件未按磋商文件要求签署、盖章；</w:t>
      </w:r>
    </w:p>
    <w:p w14:paraId="4A29D343">
      <w:pPr>
        <w:pageBreakBefore w:val="0"/>
        <w:kinsoku/>
        <w:wordWrap/>
        <w:overflowPunct/>
        <w:topLinePunct w:val="0"/>
        <w:autoSpaceDE/>
        <w:autoSpaceDN/>
        <w:bidi w:val="0"/>
        <w:spacing w:line="360" w:lineRule="auto"/>
        <w:ind w:firstLine="420" w:firstLineChars="200"/>
        <w:textAlignment w:val="auto"/>
        <w:rPr>
          <w:rFonts w:hint="eastAsia" w:ascii="Times New Roman" w:hAnsi="Times New Roman" w:eastAsia="宋体" w:cs="宋体"/>
          <w:color w:val="000000" w:themeColor="text1"/>
          <w:spacing w:val="0"/>
          <w:szCs w:val="21"/>
          <w:highlight w:val="none"/>
          <w14:textFill>
            <w14:solidFill>
              <w14:schemeClr w14:val="tx1"/>
            </w14:solidFill>
          </w14:textFill>
        </w:rPr>
      </w:pPr>
      <w:r>
        <w:rPr>
          <w:rFonts w:hint="eastAsia" w:ascii="Times New Roman" w:hAnsi="Times New Roman" w:eastAsia="宋体" w:cs="宋体"/>
          <w:color w:val="000000" w:themeColor="text1"/>
          <w:spacing w:val="0"/>
          <w:szCs w:val="21"/>
          <w:highlight w:val="none"/>
          <w14:textFill>
            <w14:solidFill>
              <w14:schemeClr w14:val="tx1"/>
            </w14:solidFill>
          </w14:textFill>
        </w:rPr>
        <w:t xml:space="preserve">2）委托代理人未能出具有效身份证明或者出具的身份证明与授权委托书中的信息不符； </w:t>
      </w:r>
    </w:p>
    <w:p w14:paraId="26C7C476">
      <w:pPr>
        <w:pageBreakBefore w:val="0"/>
        <w:kinsoku/>
        <w:wordWrap/>
        <w:overflowPunct/>
        <w:topLinePunct w:val="0"/>
        <w:autoSpaceDE/>
        <w:autoSpaceDN/>
        <w:bidi w:val="0"/>
        <w:spacing w:line="360" w:lineRule="auto"/>
        <w:ind w:firstLine="420" w:firstLineChars="200"/>
        <w:textAlignment w:val="auto"/>
        <w:rPr>
          <w:rFonts w:hint="eastAsia" w:ascii="Times New Roman" w:hAnsi="Times New Roman" w:eastAsia="宋体" w:cs="宋体"/>
          <w:color w:val="000000" w:themeColor="text1"/>
          <w:spacing w:val="0"/>
          <w:szCs w:val="21"/>
          <w:highlight w:val="none"/>
          <w14:textFill>
            <w14:solidFill>
              <w14:schemeClr w14:val="tx1"/>
            </w14:solidFill>
          </w14:textFill>
        </w:rPr>
      </w:pPr>
      <w:r>
        <w:rPr>
          <w:rFonts w:hint="eastAsia" w:ascii="Times New Roman" w:hAnsi="Times New Roman" w:eastAsia="宋体" w:cs="宋体"/>
          <w:color w:val="000000" w:themeColor="text1"/>
          <w:spacing w:val="0"/>
          <w:szCs w:val="21"/>
          <w:highlight w:val="none"/>
          <w14:textFill>
            <w14:solidFill>
              <w14:schemeClr w14:val="tx1"/>
            </w14:solidFill>
          </w14:textFill>
        </w:rPr>
        <w:t>3）响应文件未提供任一项</w:t>
      </w:r>
      <w:r>
        <w:rPr>
          <w:rFonts w:hint="eastAsia" w:ascii="Times New Roman" w:hAnsi="Times New Roman" w:eastAsia="宋体" w:cs="宋体"/>
          <w:color w:val="000000" w:themeColor="text1"/>
          <w:spacing w:val="0"/>
          <w:szCs w:val="21"/>
          <w:highlight w:val="none"/>
          <w:lang w:eastAsia="zh-CN"/>
          <w14:textFill>
            <w14:solidFill>
              <w14:schemeClr w14:val="tx1"/>
            </w14:solidFill>
          </w14:textFill>
        </w:rPr>
        <w:t>“</w:t>
      </w:r>
      <w:r>
        <w:rPr>
          <w:rFonts w:hint="eastAsia" w:ascii="Times New Roman" w:hAnsi="Times New Roman" w:eastAsia="宋体" w:cs="宋体"/>
          <w:color w:val="000000" w:themeColor="text1"/>
          <w:spacing w:val="0"/>
          <w:szCs w:val="21"/>
          <w:highlight w:val="none"/>
          <w14:textFill>
            <w14:solidFill>
              <w14:schemeClr w14:val="tx1"/>
            </w14:solidFill>
          </w14:textFill>
        </w:rPr>
        <w:t>供应商须知前附表</w:t>
      </w:r>
      <w:r>
        <w:rPr>
          <w:rFonts w:hint="eastAsia" w:ascii="Times New Roman" w:hAnsi="Times New Roman" w:eastAsia="宋体" w:cs="宋体"/>
          <w:color w:val="000000" w:themeColor="text1"/>
          <w:spacing w:val="0"/>
          <w:szCs w:val="21"/>
          <w:highlight w:val="none"/>
          <w:lang w:eastAsia="zh-CN"/>
          <w14:textFill>
            <w14:solidFill>
              <w14:schemeClr w14:val="tx1"/>
            </w14:solidFill>
          </w14:textFill>
        </w:rPr>
        <w:t>”</w:t>
      </w:r>
      <w:r>
        <w:rPr>
          <w:rFonts w:hint="eastAsia" w:ascii="Times New Roman" w:hAnsi="Times New Roman" w:eastAsia="宋体" w:cs="宋体"/>
          <w:color w:val="000000" w:themeColor="text1"/>
          <w:spacing w:val="0"/>
          <w:szCs w:val="21"/>
          <w:highlight w:val="none"/>
          <w14:textFill>
            <w14:solidFill>
              <w14:schemeClr w14:val="tx1"/>
            </w14:solidFill>
          </w14:textFill>
        </w:rPr>
        <w:t xml:space="preserve"> 商务技术文件中 </w:t>
      </w:r>
      <w:r>
        <w:rPr>
          <w:rFonts w:hint="eastAsia" w:ascii="Times New Roman" w:hAnsi="Times New Roman" w:eastAsia="宋体" w:cs="宋体"/>
          <w:color w:val="000000" w:themeColor="text1"/>
          <w:spacing w:val="0"/>
          <w:szCs w:val="21"/>
          <w:highlight w:val="none"/>
          <w:lang w:eastAsia="zh-CN"/>
          <w14:textFill>
            <w14:solidFill>
              <w14:schemeClr w14:val="tx1"/>
            </w14:solidFill>
          </w14:textFill>
        </w:rPr>
        <w:t>“</w:t>
      </w:r>
      <w:r>
        <w:rPr>
          <w:rFonts w:hint="eastAsia" w:ascii="Times New Roman" w:hAnsi="Times New Roman" w:eastAsia="宋体" w:cs="宋体"/>
          <w:color w:val="000000" w:themeColor="text1"/>
          <w:spacing w:val="0"/>
          <w:szCs w:val="21"/>
          <w:highlight w:val="none"/>
          <w14:textFill>
            <w14:solidFill>
              <w14:schemeClr w14:val="tx1"/>
            </w14:solidFill>
          </w14:textFill>
        </w:rPr>
        <w:t>必须提供</w:t>
      </w:r>
      <w:r>
        <w:rPr>
          <w:rFonts w:hint="eastAsia" w:ascii="Times New Roman" w:hAnsi="Times New Roman" w:eastAsia="宋体" w:cs="宋体"/>
          <w:color w:val="000000" w:themeColor="text1"/>
          <w:spacing w:val="0"/>
          <w:szCs w:val="21"/>
          <w:highlight w:val="none"/>
          <w:lang w:eastAsia="zh-CN"/>
          <w14:textFill>
            <w14:solidFill>
              <w14:schemeClr w14:val="tx1"/>
            </w14:solidFill>
          </w14:textFill>
        </w:rPr>
        <w:t>”</w:t>
      </w:r>
      <w:r>
        <w:rPr>
          <w:rFonts w:hint="eastAsia" w:ascii="Times New Roman" w:hAnsi="Times New Roman" w:eastAsia="宋体" w:cs="宋体"/>
          <w:color w:val="000000" w:themeColor="text1"/>
          <w:spacing w:val="0"/>
          <w:szCs w:val="21"/>
          <w:highlight w:val="none"/>
          <w14:textFill>
            <w14:solidFill>
              <w14:schemeClr w14:val="tx1"/>
            </w14:solidFill>
          </w14:textFill>
        </w:rPr>
        <w:t>或者</w:t>
      </w:r>
      <w:r>
        <w:rPr>
          <w:rFonts w:hint="eastAsia" w:ascii="Times New Roman" w:hAnsi="Times New Roman" w:eastAsia="宋体" w:cs="宋体"/>
          <w:color w:val="000000" w:themeColor="text1"/>
          <w:spacing w:val="0"/>
          <w:szCs w:val="21"/>
          <w:highlight w:val="none"/>
          <w:lang w:eastAsia="zh-CN"/>
          <w14:textFill>
            <w14:solidFill>
              <w14:schemeClr w14:val="tx1"/>
            </w14:solidFill>
          </w14:textFill>
        </w:rPr>
        <w:t>“</w:t>
      </w:r>
      <w:r>
        <w:rPr>
          <w:rFonts w:hint="eastAsia" w:ascii="Times New Roman" w:hAnsi="Times New Roman" w:eastAsia="宋体" w:cs="宋体"/>
          <w:color w:val="000000" w:themeColor="text1"/>
          <w:spacing w:val="0"/>
          <w:szCs w:val="21"/>
          <w:highlight w:val="none"/>
          <w14:textFill>
            <w14:solidFill>
              <w14:schemeClr w14:val="tx1"/>
            </w14:solidFill>
          </w14:textFill>
        </w:rPr>
        <w:t>委托时必须提供</w:t>
      </w:r>
      <w:r>
        <w:rPr>
          <w:rFonts w:hint="eastAsia" w:ascii="Times New Roman" w:hAnsi="Times New Roman" w:eastAsia="宋体" w:cs="宋体"/>
          <w:color w:val="000000" w:themeColor="text1"/>
          <w:spacing w:val="0"/>
          <w:szCs w:val="21"/>
          <w:highlight w:val="none"/>
          <w:lang w:eastAsia="zh-CN"/>
          <w14:textFill>
            <w14:solidFill>
              <w14:schemeClr w14:val="tx1"/>
            </w14:solidFill>
          </w14:textFill>
        </w:rPr>
        <w:t>”</w:t>
      </w:r>
      <w:r>
        <w:rPr>
          <w:rFonts w:hint="eastAsia" w:ascii="Times New Roman" w:hAnsi="Times New Roman" w:eastAsia="宋体" w:cs="宋体"/>
          <w:color w:val="000000" w:themeColor="text1"/>
          <w:spacing w:val="0"/>
          <w:szCs w:val="21"/>
          <w:highlight w:val="none"/>
          <w14:textFill>
            <w14:solidFill>
              <w14:schemeClr w14:val="tx1"/>
            </w14:solidFill>
          </w14:textFill>
        </w:rPr>
        <w:t>的文件资料；响应文件提供的商务技术文件出现任一项不符合</w:t>
      </w:r>
      <w:r>
        <w:rPr>
          <w:rFonts w:hint="eastAsia" w:ascii="Times New Roman" w:hAnsi="Times New Roman" w:eastAsia="宋体" w:cs="宋体"/>
          <w:color w:val="000000" w:themeColor="text1"/>
          <w:spacing w:val="0"/>
          <w:szCs w:val="21"/>
          <w:highlight w:val="none"/>
          <w:lang w:eastAsia="zh-CN"/>
          <w14:textFill>
            <w14:solidFill>
              <w14:schemeClr w14:val="tx1"/>
            </w14:solidFill>
          </w14:textFill>
        </w:rPr>
        <w:t>“</w:t>
      </w:r>
      <w:r>
        <w:rPr>
          <w:rFonts w:hint="eastAsia" w:ascii="Times New Roman" w:hAnsi="Times New Roman" w:eastAsia="宋体" w:cs="宋体"/>
          <w:color w:val="000000" w:themeColor="text1"/>
          <w:spacing w:val="0"/>
          <w:szCs w:val="21"/>
          <w:highlight w:val="none"/>
          <w14:textFill>
            <w14:solidFill>
              <w14:schemeClr w14:val="tx1"/>
            </w14:solidFill>
          </w14:textFill>
        </w:rPr>
        <w:t>供应商须知前附表</w:t>
      </w:r>
      <w:r>
        <w:rPr>
          <w:rFonts w:hint="eastAsia" w:ascii="Times New Roman" w:hAnsi="Times New Roman" w:eastAsia="宋体" w:cs="宋体"/>
          <w:color w:val="000000" w:themeColor="text1"/>
          <w:spacing w:val="0"/>
          <w:szCs w:val="21"/>
          <w:highlight w:val="none"/>
          <w:lang w:eastAsia="zh-CN"/>
          <w14:textFill>
            <w14:solidFill>
              <w14:schemeClr w14:val="tx1"/>
            </w14:solidFill>
          </w14:textFill>
        </w:rPr>
        <w:t>”</w:t>
      </w:r>
      <w:r>
        <w:rPr>
          <w:rFonts w:hint="eastAsia" w:ascii="Times New Roman" w:hAnsi="Times New Roman" w:eastAsia="宋体" w:cs="宋体"/>
          <w:color w:val="000000" w:themeColor="text1"/>
          <w:spacing w:val="0"/>
          <w:szCs w:val="21"/>
          <w:highlight w:val="none"/>
          <w14:textFill>
            <w14:solidFill>
              <w14:schemeClr w14:val="tx1"/>
            </w14:solidFill>
          </w14:textFill>
        </w:rPr>
        <w:t xml:space="preserve">商务技术文件中 </w:t>
      </w:r>
      <w:r>
        <w:rPr>
          <w:rFonts w:hint="eastAsia" w:ascii="Times New Roman" w:hAnsi="Times New Roman" w:eastAsia="宋体" w:cs="宋体"/>
          <w:color w:val="000000" w:themeColor="text1"/>
          <w:spacing w:val="0"/>
          <w:szCs w:val="21"/>
          <w:highlight w:val="none"/>
          <w:lang w:eastAsia="zh-CN"/>
          <w14:textFill>
            <w14:solidFill>
              <w14:schemeClr w14:val="tx1"/>
            </w14:solidFill>
          </w14:textFill>
        </w:rPr>
        <w:t>“</w:t>
      </w:r>
      <w:r>
        <w:rPr>
          <w:rFonts w:hint="eastAsia" w:ascii="Times New Roman" w:hAnsi="Times New Roman" w:eastAsia="宋体" w:cs="宋体"/>
          <w:color w:val="000000" w:themeColor="text1"/>
          <w:spacing w:val="0"/>
          <w:szCs w:val="21"/>
          <w:highlight w:val="none"/>
          <w14:textFill>
            <w14:solidFill>
              <w14:schemeClr w14:val="tx1"/>
            </w14:solidFill>
          </w14:textFill>
        </w:rPr>
        <w:t>必须提供</w:t>
      </w:r>
      <w:r>
        <w:rPr>
          <w:rFonts w:hint="eastAsia" w:ascii="Times New Roman" w:hAnsi="Times New Roman" w:eastAsia="宋体" w:cs="宋体"/>
          <w:color w:val="000000" w:themeColor="text1"/>
          <w:spacing w:val="0"/>
          <w:szCs w:val="21"/>
          <w:highlight w:val="none"/>
          <w:lang w:eastAsia="zh-CN"/>
          <w14:textFill>
            <w14:solidFill>
              <w14:schemeClr w14:val="tx1"/>
            </w14:solidFill>
          </w14:textFill>
        </w:rPr>
        <w:t>”</w:t>
      </w:r>
      <w:r>
        <w:rPr>
          <w:rFonts w:hint="eastAsia" w:ascii="Times New Roman" w:hAnsi="Times New Roman" w:eastAsia="宋体" w:cs="宋体"/>
          <w:color w:val="000000" w:themeColor="text1"/>
          <w:spacing w:val="0"/>
          <w:szCs w:val="21"/>
          <w:highlight w:val="none"/>
          <w14:textFill>
            <w14:solidFill>
              <w14:schemeClr w14:val="tx1"/>
            </w14:solidFill>
          </w14:textFill>
        </w:rPr>
        <w:t>或者</w:t>
      </w:r>
      <w:r>
        <w:rPr>
          <w:rFonts w:hint="eastAsia" w:ascii="Times New Roman" w:hAnsi="Times New Roman" w:eastAsia="宋体" w:cs="宋体"/>
          <w:color w:val="000000" w:themeColor="text1"/>
          <w:spacing w:val="0"/>
          <w:szCs w:val="21"/>
          <w:highlight w:val="none"/>
          <w:lang w:eastAsia="zh-CN"/>
          <w14:textFill>
            <w14:solidFill>
              <w14:schemeClr w14:val="tx1"/>
            </w14:solidFill>
          </w14:textFill>
        </w:rPr>
        <w:t>“</w:t>
      </w:r>
      <w:r>
        <w:rPr>
          <w:rFonts w:hint="eastAsia" w:ascii="Times New Roman" w:hAnsi="Times New Roman" w:eastAsia="宋体" w:cs="宋体"/>
          <w:color w:val="000000" w:themeColor="text1"/>
          <w:spacing w:val="0"/>
          <w:szCs w:val="21"/>
          <w:highlight w:val="none"/>
          <w14:textFill>
            <w14:solidFill>
              <w14:schemeClr w14:val="tx1"/>
            </w14:solidFill>
          </w14:textFill>
        </w:rPr>
        <w:t>委托时必须提供</w:t>
      </w:r>
      <w:r>
        <w:rPr>
          <w:rFonts w:hint="eastAsia" w:ascii="Times New Roman" w:hAnsi="Times New Roman" w:eastAsia="宋体" w:cs="宋体"/>
          <w:color w:val="000000" w:themeColor="text1"/>
          <w:spacing w:val="0"/>
          <w:szCs w:val="21"/>
          <w:highlight w:val="none"/>
          <w:lang w:eastAsia="zh-CN"/>
          <w14:textFill>
            <w14:solidFill>
              <w14:schemeClr w14:val="tx1"/>
            </w14:solidFill>
          </w14:textFill>
        </w:rPr>
        <w:t>”</w:t>
      </w:r>
      <w:r>
        <w:rPr>
          <w:rFonts w:hint="eastAsia" w:ascii="Times New Roman" w:hAnsi="Times New Roman" w:eastAsia="宋体" w:cs="宋体"/>
          <w:color w:val="000000" w:themeColor="text1"/>
          <w:spacing w:val="0"/>
          <w:szCs w:val="21"/>
          <w:highlight w:val="none"/>
          <w14:textFill>
            <w14:solidFill>
              <w14:schemeClr w14:val="tx1"/>
            </w14:solidFill>
          </w14:textFill>
        </w:rPr>
        <w:t>文件资料要求的规定或者提供的商务技术文件无效。</w:t>
      </w:r>
    </w:p>
    <w:p w14:paraId="07C774C0">
      <w:pPr>
        <w:pageBreakBefore w:val="0"/>
        <w:kinsoku/>
        <w:wordWrap/>
        <w:overflowPunct/>
        <w:topLinePunct w:val="0"/>
        <w:autoSpaceDE/>
        <w:autoSpaceDN/>
        <w:bidi w:val="0"/>
        <w:spacing w:line="360" w:lineRule="auto"/>
        <w:ind w:firstLine="420" w:firstLineChars="200"/>
        <w:textAlignment w:val="auto"/>
        <w:rPr>
          <w:rFonts w:hint="eastAsia" w:ascii="Times New Roman" w:hAnsi="Times New Roman" w:eastAsia="宋体" w:cs="宋体"/>
          <w:color w:val="000000" w:themeColor="text1"/>
          <w:spacing w:val="0"/>
          <w:szCs w:val="21"/>
          <w:highlight w:val="none"/>
          <w14:textFill>
            <w14:solidFill>
              <w14:schemeClr w14:val="tx1"/>
            </w14:solidFill>
          </w14:textFill>
        </w:rPr>
      </w:pPr>
      <w:r>
        <w:rPr>
          <w:rFonts w:hint="eastAsia" w:ascii="Times New Roman" w:hAnsi="Times New Roman" w:eastAsia="宋体" w:cs="宋体"/>
          <w:color w:val="000000" w:themeColor="text1"/>
          <w:spacing w:val="0"/>
          <w:szCs w:val="21"/>
          <w:highlight w:val="none"/>
          <w14:textFill>
            <w14:solidFill>
              <w14:schemeClr w14:val="tx1"/>
            </w14:solidFill>
          </w14:textFill>
        </w:rPr>
        <w:t>4）商务条款中标</w:t>
      </w:r>
      <w:r>
        <w:rPr>
          <w:rFonts w:hint="eastAsia" w:ascii="Times New Roman" w:hAnsi="Times New Roman" w:eastAsia="宋体" w:cs="宋体"/>
          <w:color w:val="000000" w:themeColor="text1"/>
          <w:spacing w:val="0"/>
          <w:szCs w:val="21"/>
          <w:highlight w:val="none"/>
          <w:lang w:eastAsia="zh-CN"/>
          <w14:textFill>
            <w14:solidFill>
              <w14:schemeClr w14:val="tx1"/>
            </w14:solidFill>
          </w14:textFill>
        </w:rPr>
        <w:t>“</w:t>
      </w:r>
      <w:r>
        <w:rPr>
          <w:rFonts w:hint="eastAsia" w:ascii="Times New Roman" w:hAnsi="Times New Roman" w:eastAsia="宋体" w:cs="宋体"/>
          <w:color w:val="000000" w:themeColor="text1"/>
          <w:spacing w:val="0"/>
          <w:szCs w:val="21"/>
          <w:highlight w:val="none"/>
          <w14:textFill>
            <w14:solidFill>
              <w14:schemeClr w14:val="tx1"/>
            </w14:solidFill>
          </w14:textFill>
        </w:rPr>
        <w:t>▲</w:t>
      </w:r>
      <w:r>
        <w:rPr>
          <w:rFonts w:hint="eastAsia" w:ascii="Times New Roman" w:hAnsi="Times New Roman" w:eastAsia="宋体" w:cs="宋体"/>
          <w:color w:val="000000" w:themeColor="text1"/>
          <w:spacing w:val="0"/>
          <w:szCs w:val="21"/>
          <w:highlight w:val="none"/>
          <w:lang w:eastAsia="zh-CN"/>
          <w14:textFill>
            <w14:solidFill>
              <w14:schemeClr w14:val="tx1"/>
            </w14:solidFill>
          </w14:textFill>
        </w:rPr>
        <w:t>”</w:t>
      </w:r>
      <w:r>
        <w:rPr>
          <w:rFonts w:hint="eastAsia" w:ascii="Times New Roman" w:hAnsi="Times New Roman" w:eastAsia="宋体" w:cs="宋体"/>
          <w:color w:val="000000" w:themeColor="text1"/>
          <w:spacing w:val="0"/>
          <w:szCs w:val="21"/>
          <w:highlight w:val="none"/>
          <w14:textFill>
            <w14:solidFill>
              <w14:schemeClr w14:val="tx1"/>
            </w14:solidFill>
          </w14:textFill>
        </w:rPr>
        <w:t>的条款发生负偏离的或者允许负偏离的条款数超过</w:t>
      </w:r>
      <w:r>
        <w:rPr>
          <w:rFonts w:hint="eastAsia" w:ascii="Times New Roman" w:hAnsi="Times New Roman" w:eastAsia="宋体" w:cs="宋体"/>
          <w:color w:val="000000" w:themeColor="text1"/>
          <w:spacing w:val="0"/>
          <w:szCs w:val="21"/>
          <w:highlight w:val="none"/>
          <w:lang w:eastAsia="zh-CN"/>
          <w14:textFill>
            <w14:solidFill>
              <w14:schemeClr w14:val="tx1"/>
            </w14:solidFill>
          </w14:textFill>
        </w:rPr>
        <w:t>“</w:t>
      </w:r>
      <w:r>
        <w:rPr>
          <w:rFonts w:hint="eastAsia" w:ascii="Times New Roman" w:hAnsi="Times New Roman" w:eastAsia="宋体" w:cs="宋体"/>
          <w:color w:val="000000" w:themeColor="text1"/>
          <w:spacing w:val="0"/>
          <w:szCs w:val="21"/>
          <w:highlight w:val="none"/>
          <w14:textFill>
            <w14:solidFill>
              <w14:schemeClr w14:val="tx1"/>
            </w14:solidFill>
          </w14:textFill>
        </w:rPr>
        <w:t>供应商须知前附表</w:t>
      </w:r>
      <w:r>
        <w:rPr>
          <w:rFonts w:hint="eastAsia" w:ascii="Times New Roman" w:hAnsi="Times New Roman" w:eastAsia="宋体" w:cs="宋体"/>
          <w:color w:val="000000" w:themeColor="text1"/>
          <w:spacing w:val="0"/>
          <w:szCs w:val="21"/>
          <w:highlight w:val="none"/>
          <w:lang w:eastAsia="zh-CN"/>
          <w14:textFill>
            <w14:solidFill>
              <w14:schemeClr w14:val="tx1"/>
            </w14:solidFill>
          </w14:textFill>
        </w:rPr>
        <w:t>”</w:t>
      </w:r>
      <w:r>
        <w:rPr>
          <w:rFonts w:hint="eastAsia" w:ascii="Times New Roman" w:hAnsi="Times New Roman" w:eastAsia="宋体" w:cs="宋体"/>
          <w:color w:val="000000" w:themeColor="text1"/>
          <w:spacing w:val="0"/>
          <w:szCs w:val="21"/>
          <w:highlight w:val="none"/>
          <w14:textFill>
            <w14:solidFill>
              <w14:schemeClr w14:val="tx1"/>
            </w14:solidFill>
          </w14:textFill>
        </w:rPr>
        <w:t>规定项数的或者标明实质性的要求发生负偏离；</w:t>
      </w:r>
    </w:p>
    <w:p w14:paraId="65477F2B">
      <w:pPr>
        <w:pageBreakBefore w:val="0"/>
        <w:kinsoku/>
        <w:wordWrap/>
        <w:overflowPunct/>
        <w:topLinePunct w:val="0"/>
        <w:autoSpaceDE/>
        <w:autoSpaceDN/>
        <w:bidi w:val="0"/>
        <w:spacing w:line="360" w:lineRule="auto"/>
        <w:ind w:firstLine="420" w:firstLineChars="200"/>
        <w:textAlignment w:val="auto"/>
        <w:rPr>
          <w:rFonts w:hint="eastAsia" w:ascii="Times New Roman" w:hAnsi="Times New Roman" w:eastAsia="宋体" w:cs="宋体"/>
          <w:color w:val="000000" w:themeColor="text1"/>
          <w:spacing w:val="0"/>
          <w:szCs w:val="21"/>
          <w:highlight w:val="none"/>
          <w14:textFill>
            <w14:solidFill>
              <w14:schemeClr w14:val="tx1"/>
            </w14:solidFill>
          </w14:textFill>
        </w:rPr>
      </w:pPr>
      <w:r>
        <w:rPr>
          <w:rFonts w:hint="eastAsia" w:ascii="Times New Roman" w:hAnsi="Times New Roman" w:eastAsia="宋体" w:cs="宋体"/>
          <w:color w:val="000000" w:themeColor="text1"/>
          <w:spacing w:val="0"/>
          <w:szCs w:val="21"/>
          <w:highlight w:val="none"/>
          <w14:textFill>
            <w14:solidFill>
              <w14:schemeClr w14:val="tx1"/>
            </w14:solidFill>
          </w14:textFill>
        </w:rPr>
        <w:t>5）未对竞标有效期作出响应或者响应文件承诺的竞标有效期不满足磋商文件要求；</w:t>
      </w:r>
    </w:p>
    <w:p w14:paraId="3B5D5A7F">
      <w:pPr>
        <w:pageBreakBefore w:val="0"/>
        <w:kinsoku/>
        <w:wordWrap/>
        <w:overflowPunct/>
        <w:topLinePunct w:val="0"/>
        <w:autoSpaceDE/>
        <w:autoSpaceDN/>
        <w:bidi w:val="0"/>
        <w:spacing w:line="360" w:lineRule="auto"/>
        <w:ind w:firstLine="420" w:firstLineChars="200"/>
        <w:textAlignment w:val="auto"/>
        <w:rPr>
          <w:rFonts w:hint="eastAsia" w:ascii="Times New Roman" w:hAnsi="Times New Roman" w:eastAsia="宋体" w:cs="宋体"/>
          <w:color w:val="000000" w:themeColor="text1"/>
          <w:spacing w:val="0"/>
          <w:szCs w:val="21"/>
          <w:highlight w:val="none"/>
          <w14:textFill>
            <w14:solidFill>
              <w14:schemeClr w14:val="tx1"/>
            </w14:solidFill>
          </w14:textFill>
        </w:rPr>
      </w:pPr>
      <w:r>
        <w:rPr>
          <w:rFonts w:hint="eastAsia" w:ascii="Times New Roman" w:hAnsi="Times New Roman" w:eastAsia="宋体" w:cs="宋体"/>
          <w:color w:val="000000" w:themeColor="text1"/>
          <w:spacing w:val="0"/>
          <w:szCs w:val="21"/>
          <w:highlight w:val="none"/>
          <w14:textFill>
            <w14:solidFill>
              <w14:schemeClr w14:val="tx1"/>
            </w14:solidFill>
          </w14:textFill>
        </w:rPr>
        <w:t>6）响应文件的实质性内容未使用中文表述、使用计量单位不符合磋商文件要求；</w:t>
      </w:r>
    </w:p>
    <w:p w14:paraId="48B89E0D">
      <w:pPr>
        <w:pageBreakBefore w:val="0"/>
        <w:kinsoku/>
        <w:wordWrap/>
        <w:overflowPunct/>
        <w:topLinePunct w:val="0"/>
        <w:autoSpaceDE/>
        <w:autoSpaceDN/>
        <w:bidi w:val="0"/>
        <w:spacing w:line="360" w:lineRule="auto"/>
        <w:ind w:firstLine="420" w:firstLineChars="200"/>
        <w:textAlignment w:val="auto"/>
        <w:rPr>
          <w:rFonts w:hint="eastAsia" w:ascii="Times New Roman" w:hAnsi="Times New Roman" w:eastAsia="宋体" w:cs="宋体"/>
          <w:color w:val="000000" w:themeColor="text1"/>
          <w:spacing w:val="0"/>
          <w:szCs w:val="21"/>
          <w:highlight w:val="none"/>
          <w14:textFill>
            <w14:solidFill>
              <w14:schemeClr w14:val="tx1"/>
            </w14:solidFill>
          </w14:textFill>
        </w:rPr>
      </w:pPr>
      <w:r>
        <w:rPr>
          <w:rFonts w:hint="eastAsia" w:ascii="Times New Roman" w:hAnsi="Times New Roman" w:eastAsia="宋体" w:cs="宋体"/>
          <w:color w:val="000000" w:themeColor="text1"/>
          <w:spacing w:val="0"/>
          <w:szCs w:val="21"/>
          <w:highlight w:val="none"/>
          <w14:textFill>
            <w14:solidFill>
              <w14:schemeClr w14:val="tx1"/>
            </w14:solidFill>
          </w14:textFill>
        </w:rPr>
        <w:t>7）响应文件中的文件资料因填写不齐全或者内容虚假或者出现其他情形而导致被磋商小组认定无效；</w:t>
      </w:r>
    </w:p>
    <w:p w14:paraId="7085DF7A">
      <w:pPr>
        <w:pageBreakBefore w:val="0"/>
        <w:kinsoku/>
        <w:wordWrap/>
        <w:overflowPunct/>
        <w:topLinePunct w:val="0"/>
        <w:autoSpaceDE/>
        <w:autoSpaceDN/>
        <w:bidi w:val="0"/>
        <w:spacing w:line="360" w:lineRule="auto"/>
        <w:ind w:firstLine="420" w:firstLineChars="200"/>
        <w:textAlignment w:val="auto"/>
        <w:rPr>
          <w:rFonts w:hint="eastAsia" w:ascii="Times New Roman" w:hAnsi="Times New Roman" w:eastAsia="宋体" w:cs="宋体"/>
          <w:color w:val="000000" w:themeColor="text1"/>
          <w:spacing w:val="0"/>
          <w:szCs w:val="21"/>
          <w:highlight w:val="none"/>
          <w14:textFill>
            <w14:solidFill>
              <w14:schemeClr w14:val="tx1"/>
            </w14:solidFill>
          </w14:textFill>
        </w:rPr>
      </w:pPr>
      <w:r>
        <w:rPr>
          <w:rFonts w:hint="eastAsia" w:ascii="Times New Roman" w:hAnsi="Times New Roman" w:eastAsia="宋体" w:cs="宋体"/>
          <w:color w:val="000000" w:themeColor="text1"/>
          <w:spacing w:val="0"/>
          <w:szCs w:val="21"/>
          <w:highlight w:val="none"/>
          <w14:textFill>
            <w14:solidFill>
              <w14:schemeClr w14:val="tx1"/>
            </w14:solidFill>
          </w14:textFill>
        </w:rPr>
        <w:t>8）响应文件含有采购人不能接受的附加条件；</w:t>
      </w:r>
    </w:p>
    <w:p w14:paraId="5558C83B">
      <w:pPr>
        <w:pageBreakBefore w:val="0"/>
        <w:kinsoku/>
        <w:wordWrap/>
        <w:overflowPunct/>
        <w:topLinePunct w:val="0"/>
        <w:autoSpaceDE/>
        <w:autoSpaceDN/>
        <w:bidi w:val="0"/>
        <w:spacing w:line="360" w:lineRule="auto"/>
        <w:ind w:firstLine="420" w:firstLineChars="200"/>
        <w:textAlignment w:val="auto"/>
        <w:rPr>
          <w:rFonts w:hint="eastAsia" w:ascii="Times New Roman" w:hAnsi="Times New Roman" w:eastAsia="宋体" w:cs="宋体"/>
          <w:color w:val="000000" w:themeColor="text1"/>
          <w:spacing w:val="0"/>
          <w:szCs w:val="21"/>
          <w:highlight w:val="none"/>
          <w14:textFill>
            <w14:solidFill>
              <w14:schemeClr w14:val="tx1"/>
            </w14:solidFill>
          </w14:textFill>
        </w:rPr>
      </w:pPr>
      <w:r>
        <w:rPr>
          <w:rFonts w:hint="eastAsia" w:ascii="Times New Roman" w:hAnsi="Times New Roman" w:eastAsia="宋体" w:cs="宋体"/>
          <w:color w:val="000000" w:themeColor="text1"/>
          <w:spacing w:val="0"/>
          <w:szCs w:val="21"/>
          <w:highlight w:val="none"/>
          <w14:textFill>
            <w14:solidFill>
              <w14:schemeClr w14:val="tx1"/>
            </w14:solidFill>
          </w14:textFill>
        </w:rPr>
        <w:t>9）属于</w:t>
      </w:r>
      <w:r>
        <w:rPr>
          <w:rFonts w:hint="eastAsia" w:ascii="Times New Roman" w:hAnsi="Times New Roman" w:eastAsia="宋体" w:cs="宋体"/>
          <w:color w:val="000000" w:themeColor="text1"/>
          <w:spacing w:val="0"/>
          <w:szCs w:val="21"/>
          <w:highlight w:val="none"/>
          <w:lang w:eastAsia="zh-CN"/>
          <w14:textFill>
            <w14:solidFill>
              <w14:schemeClr w14:val="tx1"/>
            </w14:solidFill>
          </w14:textFill>
        </w:rPr>
        <w:t>“</w:t>
      </w:r>
      <w:r>
        <w:rPr>
          <w:rFonts w:hint="eastAsia" w:ascii="Times New Roman" w:hAnsi="Times New Roman" w:eastAsia="宋体" w:cs="宋体"/>
          <w:color w:val="000000" w:themeColor="text1"/>
          <w:spacing w:val="0"/>
          <w:szCs w:val="21"/>
          <w:highlight w:val="none"/>
          <w14:textFill>
            <w14:solidFill>
              <w14:schemeClr w14:val="tx1"/>
            </w14:solidFill>
          </w14:textFill>
        </w:rPr>
        <w:t>供应商须知正文</w:t>
      </w:r>
      <w:r>
        <w:rPr>
          <w:rFonts w:hint="eastAsia" w:ascii="Times New Roman" w:hAnsi="Times New Roman" w:eastAsia="宋体" w:cs="宋体"/>
          <w:color w:val="000000" w:themeColor="text1"/>
          <w:spacing w:val="0"/>
          <w:szCs w:val="21"/>
          <w:highlight w:val="none"/>
          <w:lang w:eastAsia="zh-CN"/>
          <w14:textFill>
            <w14:solidFill>
              <w14:schemeClr w14:val="tx1"/>
            </w14:solidFill>
          </w14:textFill>
        </w:rPr>
        <w:t>”</w:t>
      </w:r>
      <w:r>
        <w:rPr>
          <w:rFonts w:hint="eastAsia" w:ascii="Times New Roman" w:hAnsi="Times New Roman" w:eastAsia="宋体" w:cs="宋体"/>
          <w:color w:val="000000" w:themeColor="text1"/>
          <w:spacing w:val="0"/>
          <w:szCs w:val="21"/>
          <w:highlight w:val="none"/>
          <w14:textFill>
            <w14:solidFill>
              <w14:schemeClr w14:val="tx1"/>
            </w14:solidFill>
          </w14:textFill>
        </w:rPr>
        <w:t>第7.5条情形；</w:t>
      </w:r>
    </w:p>
    <w:p w14:paraId="759EF3F8">
      <w:pPr>
        <w:pageBreakBefore w:val="0"/>
        <w:kinsoku/>
        <w:wordWrap/>
        <w:overflowPunct/>
        <w:topLinePunct w:val="0"/>
        <w:autoSpaceDE/>
        <w:autoSpaceDN/>
        <w:bidi w:val="0"/>
        <w:spacing w:line="360" w:lineRule="auto"/>
        <w:ind w:firstLine="420" w:firstLineChars="200"/>
        <w:textAlignment w:val="auto"/>
        <w:rPr>
          <w:rFonts w:hint="eastAsia" w:ascii="Times New Roman" w:hAnsi="Times New Roman" w:eastAsia="宋体" w:cs="宋体"/>
          <w:color w:val="000000" w:themeColor="text1"/>
          <w:spacing w:val="0"/>
          <w:szCs w:val="21"/>
          <w:highlight w:val="none"/>
          <w14:textFill>
            <w14:solidFill>
              <w14:schemeClr w14:val="tx1"/>
            </w14:solidFill>
          </w14:textFill>
        </w:rPr>
      </w:pPr>
      <w:r>
        <w:rPr>
          <w:rFonts w:hint="eastAsia" w:ascii="Times New Roman" w:hAnsi="Times New Roman" w:eastAsia="宋体" w:cs="宋体"/>
          <w:color w:val="000000" w:themeColor="text1"/>
          <w:spacing w:val="0"/>
          <w:szCs w:val="21"/>
          <w:highlight w:val="none"/>
          <w14:textFill>
            <w14:solidFill>
              <w14:schemeClr w14:val="tx1"/>
            </w14:solidFill>
          </w14:textFill>
        </w:rPr>
        <w:t>10）技术需求允许负偏离的条款数超过</w:t>
      </w:r>
      <w:r>
        <w:rPr>
          <w:rFonts w:hint="eastAsia" w:ascii="Times New Roman" w:hAnsi="Times New Roman" w:eastAsia="宋体" w:cs="宋体"/>
          <w:color w:val="000000" w:themeColor="text1"/>
          <w:spacing w:val="0"/>
          <w:szCs w:val="21"/>
          <w:highlight w:val="none"/>
          <w:lang w:eastAsia="zh-CN"/>
          <w14:textFill>
            <w14:solidFill>
              <w14:schemeClr w14:val="tx1"/>
            </w14:solidFill>
          </w14:textFill>
        </w:rPr>
        <w:t>“</w:t>
      </w:r>
      <w:r>
        <w:rPr>
          <w:rFonts w:hint="eastAsia" w:ascii="Times New Roman" w:hAnsi="Times New Roman" w:eastAsia="宋体" w:cs="宋体"/>
          <w:color w:val="000000" w:themeColor="text1"/>
          <w:spacing w:val="0"/>
          <w:szCs w:val="21"/>
          <w:highlight w:val="none"/>
          <w14:textFill>
            <w14:solidFill>
              <w14:schemeClr w14:val="tx1"/>
            </w14:solidFill>
          </w14:textFill>
        </w:rPr>
        <w:t>供应商须知前附表</w:t>
      </w:r>
      <w:r>
        <w:rPr>
          <w:rFonts w:hint="eastAsia" w:ascii="Times New Roman" w:hAnsi="Times New Roman" w:eastAsia="宋体" w:cs="宋体"/>
          <w:color w:val="000000" w:themeColor="text1"/>
          <w:spacing w:val="0"/>
          <w:szCs w:val="21"/>
          <w:highlight w:val="none"/>
          <w:lang w:eastAsia="zh-CN"/>
          <w14:textFill>
            <w14:solidFill>
              <w14:schemeClr w14:val="tx1"/>
            </w14:solidFill>
          </w14:textFill>
        </w:rPr>
        <w:t>”</w:t>
      </w:r>
      <w:r>
        <w:rPr>
          <w:rFonts w:hint="eastAsia" w:ascii="Times New Roman" w:hAnsi="Times New Roman" w:eastAsia="宋体" w:cs="宋体"/>
          <w:color w:val="000000" w:themeColor="text1"/>
          <w:spacing w:val="0"/>
          <w:szCs w:val="21"/>
          <w:highlight w:val="none"/>
          <w14:textFill>
            <w14:solidFill>
              <w14:schemeClr w14:val="tx1"/>
            </w14:solidFill>
          </w14:textFill>
        </w:rPr>
        <w:t>规定项数；</w:t>
      </w:r>
    </w:p>
    <w:p w14:paraId="5E9D2FBA">
      <w:pPr>
        <w:pageBreakBefore w:val="0"/>
        <w:kinsoku/>
        <w:wordWrap/>
        <w:overflowPunct/>
        <w:topLinePunct w:val="0"/>
        <w:autoSpaceDE/>
        <w:autoSpaceDN/>
        <w:bidi w:val="0"/>
        <w:spacing w:line="360" w:lineRule="auto"/>
        <w:ind w:firstLine="420" w:firstLineChars="200"/>
        <w:textAlignment w:val="auto"/>
        <w:rPr>
          <w:rFonts w:hint="eastAsia" w:ascii="Times New Roman" w:hAnsi="Times New Roman" w:eastAsia="宋体" w:cs="宋体"/>
          <w:color w:val="000000" w:themeColor="text1"/>
          <w:spacing w:val="0"/>
          <w:szCs w:val="21"/>
          <w:highlight w:val="none"/>
          <w14:textFill>
            <w14:solidFill>
              <w14:schemeClr w14:val="tx1"/>
            </w14:solidFill>
          </w14:textFill>
        </w:rPr>
      </w:pPr>
      <w:r>
        <w:rPr>
          <w:rFonts w:hint="eastAsia" w:ascii="Times New Roman" w:hAnsi="Times New Roman" w:eastAsia="宋体" w:cs="宋体"/>
          <w:color w:val="000000" w:themeColor="text1"/>
          <w:spacing w:val="0"/>
          <w:szCs w:val="21"/>
          <w:highlight w:val="none"/>
          <w14:textFill>
            <w14:solidFill>
              <w14:schemeClr w14:val="tx1"/>
            </w14:solidFill>
          </w14:textFill>
        </w:rPr>
        <w:t>11）虚假竞标，或者出现其他情形而导致被磋商小组认定无效；</w:t>
      </w:r>
    </w:p>
    <w:p w14:paraId="39A45C81">
      <w:pPr>
        <w:pageBreakBefore w:val="0"/>
        <w:kinsoku/>
        <w:wordWrap/>
        <w:overflowPunct/>
        <w:topLinePunct w:val="0"/>
        <w:autoSpaceDE/>
        <w:autoSpaceDN/>
        <w:bidi w:val="0"/>
        <w:spacing w:line="360" w:lineRule="auto"/>
        <w:ind w:firstLine="420" w:firstLineChars="200"/>
        <w:textAlignment w:val="auto"/>
        <w:rPr>
          <w:rFonts w:hint="eastAsia" w:ascii="Times New Roman" w:hAnsi="Times New Roman" w:eastAsia="宋体" w:cs="宋体"/>
          <w:color w:val="000000" w:themeColor="text1"/>
          <w:spacing w:val="0"/>
          <w:szCs w:val="21"/>
          <w:highlight w:val="none"/>
          <w14:textFill>
            <w14:solidFill>
              <w14:schemeClr w14:val="tx1"/>
            </w14:solidFill>
          </w14:textFill>
        </w:rPr>
      </w:pPr>
      <w:r>
        <w:rPr>
          <w:rFonts w:hint="eastAsia" w:ascii="Times New Roman" w:hAnsi="Times New Roman" w:eastAsia="宋体" w:cs="宋体"/>
          <w:color w:val="000000" w:themeColor="text1"/>
          <w:spacing w:val="0"/>
          <w:szCs w:val="21"/>
          <w:highlight w:val="none"/>
          <w14:textFill>
            <w14:solidFill>
              <w14:schemeClr w14:val="tx1"/>
            </w14:solidFill>
          </w14:textFill>
        </w:rPr>
        <w:t>12）竞标技术方案不明确，磋商文件未允许但响应文件中存在一个或者一个以上备选（替代）竞标方案；</w:t>
      </w:r>
    </w:p>
    <w:p w14:paraId="07D4E817">
      <w:pPr>
        <w:pageBreakBefore w:val="0"/>
        <w:kinsoku/>
        <w:wordWrap/>
        <w:overflowPunct/>
        <w:topLinePunct w:val="0"/>
        <w:autoSpaceDE/>
        <w:autoSpaceDN/>
        <w:bidi w:val="0"/>
        <w:spacing w:line="360" w:lineRule="auto"/>
        <w:ind w:firstLine="420" w:firstLineChars="200"/>
        <w:textAlignment w:val="auto"/>
        <w:rPr>
          <w:rFonts w:hint="eastAsia" w:ascii="Times New Roman" w:hAnsi="Times New Roman" w:eastAsia="宋体" w:cs="宋体"/>
          <w:color w:val="000000" w:themeColor="text1"/>
          <w:spacing w:val="0"/>
          <w:szCs w:val="21"/>
          <w:highlight w:val="none"/>
          <w14:textFill>
            <w14:solidFill>
              <w14:schemeClr w14:val="tx1"/>
            </w14:solidFill>
          </w14:textFill>
        </w:rPr>
      </w:pPr>
      <w:r>
        <w:rPr>
          <w:rFonts w:hint="eastAsia" w:ascii="Times New Roman" w:hAnsi="Times New Roman" w:eastAsia="宋体" w:cs="宋体"/>
          <w:color w:val="000000" w:themeColor="text1"/>
          <w:spacing w:val="0"/>
          <w:szCs w:val="21"/>
          <w:highlight w:val="none"/>
          <w14:textFill>
            <w14:solidFill>
              <w14:schemeClr w14:val="tx1"/>
            </w14:solidFill>
          </w14:textFill>
        </w:rPr>
        <w:t>13）响应文件标注的项目名称或者项目编号与竞争性磋商文件标注的项目名称或者项目编号不一致的；</w:t>
      </w:r>
    </w:p>
    <w:p w14:paraId="461FE1A8">
      <w:pPr>
        <w:pageBreakBefore w:val="0"/>
        <w:kinsoku/>
        <w:wordWrap/>
        <w:overflowPunct/>
        <w:topLinePunct w:val="0"/>
        <w:autoSpaceDE/>
        <w:autoSpaceDN/>
        <w:bidi w:val="0"/>
        <w:spacing w:line="360" w:lineRule="auto"/>
        <w:ind w:firstLine="420" w:firstLineChars="200"/>
        <w:textAlignment w:val="auto"/>
        <w:rPr>
          <w:rFonts w:hint="eastAsia" w:ascii="Times New Roman" w:hAnsi="Times New Roman" w:eastAsia="宋体" w:cs="宋体"/>
          <w:color w:val="000000" w:themeColor="text1"/>
          <w:spacing w:val="0"/>
          <w:szCs w:val="21"/>
          <w:highlight w:val="none"/>
          <w14:textFill>
            <w14:solidFill>
              <w14:schemeClr w14:val="tx1"/>
            </w14:solidFill>
          </w14:textFill>
        </w:rPr>
      </w:pPr>
      <w:r>
        <w:rPr>
          <w:rFonts w:hint="eastAsia" w:ascii="Times New Roman" w:hAnsi="Times New Roman" w:eastAsia="宋体" w:cs="宋体"/>
          <w:color w:val="000000" w:themeColor="text1"/>
          <w:spacing w:val="0"/>
          <w:szCs w:val="21"/>
          <w:highlight w:val="none"/>
          <w14:textFill>
            <w14:solidFill>
              <w14:schemeClr w14:val="tx1"/>
            </w14:solidFill>
          </w14:textFill>
        </w:rPr>
        <w:t>14）未响应磋商文件实质性要求；</w:t>
      </w:r>
    </w:p>
    <w:p w14:paraId="763CEB34">
      <w:pPr>
        <w:pStyle w:val="14"/>
        <w:pageBreakBefore w:val="0"/>
        <w:kinsoku/>
        <w:wordWrap/>
        <w:overflowPunct/>
        <w:topLinePunct w:val="0"/>
        <w:autoSpaceDE/>
        <w:autoSpaceDN/>
        <w:bidi w:val="0"/>
        <w:spacing w:line="360" w:lineRule="auto"/>
        <w:ind w:firstLine="420" w:firstLineChars="200"/>
        <w:textAlignment w:val="auto"/>
        <w:rPr>
          <w:rFonts w:hint="eastAsia" w:ascii="Times New Roman" w:hAnsi="Times New Roman" w:eastAsia="宋体" w:cs="宋体"/>
          <w:color w:val="000000" w:themeColor="text1"/>
          <w:spacing w:val="0"/>
          <w:highlight w:val="none"/>
          <w14:textFill>
            <w14:solidFill>
              <w14:schemeClr w14:val="tx1"/>
            </w14:solidFill>
          </w14:textFill>
        </w:rPr>
      </w:pPr>
      <w:r>
        <w:rPr>
          <w:rFonts w:hint="eastAsia" w:ascii="Times New Roman" w:hAnsi="Times New Roman" w:eastAsia="宋体" w:cs="宋体"/>
          <w:color w:val="000000" w:themeColor="text1"/>
          <w:spacing w:val="0"/>
          <w:szCs w:val="21"/>
          <w:highlight w:val="none"/>
          <w14:textFill>
            <w14:solidFill>
              <w14:schemeClr w14:val="tx1"/>
            </w14:solidFill>
          </w14:textFill>
        </w:rPr>
        <w:t>15）提交的磋商保证金无效的或者未按照磋商文件的规定提交磋商保证金；</w:t>
      </w:r>
    </w:p>
    <w:p w14:paraId="2937C871">
      <w:pPr>
        <w:pageBreakBefore w:val="0"/>
        <w:kinsoku/>
        <w:wordWrap/>
        <w:overflowPunct/>
        <w:topLinePunct w:val="0"/>
        <w:autoSpaceDE/>
        <w:autoSpaceDN/>
        <w:bidi w:val="0"/>
        <w:spacing w:line="360" w:lineRule="auto"/>
        <w:ind w:firstLine="420" w:firstLineChars="200"/>
        <w:textAlignment w:val="auto"/>
        <w:rPr>
          <w:rFonts w:hint="eastAsia" w:ascii="Times New Roman" w:hAnsi="Times New Roman" w:eastAsia="宋体" w:cs="宋体"/>
          <w:color w:val="000000" w:themeColor="text1"/>
          <w:spacing w:val="0"/>
          <w:szCs w:val="21"/>
          <w:highlight w:val="none"/>
          <w14:textFill>
            <w14:solidFill>
              <w14:schemeClr w14:val="tx1"/>
            </w14:solidFill>
          </w14:textFill>
        </w:rPr>
      </w:pPr>
      <w:r>
        <w:rPr>
          <w:rFonts w:hint="eastAsia" w:ascii="Times New Roman" w:hAnsi="Times New Roman" w:eastAsia="宋体" w:cs="宋体"/>
          <w:color w:val="000000" w:themeColor="text1"/>
          <w:spacing w:val="0"/>
          <w:szCs w:val="21"/>
          <w:highlight w:val="none"/>
          <w14:textFill>
            <w14:solidFill>
              <w14:schemeClr w14:val="tx1"/>
            </w14:solidFill>
          </w14:textFill>
        </w:rPr>
        <w:t>16）法律、法规和磋商文件规定的其他无效情形。</w:t>
      </w:r>
    </w:p>
    <w:p w14:paraId="4FCC6F85">
      <w:pPr>
        <w:pageBreakBefore w:val="0"/>
        <w:kinsoku/>
        <w:wordWrap/>
        <w:overflowPunct/>
        <w:topLinePunct w:val="0"/>
        <w:autoSpaceDE/>
        <w:autoSpaceDN/>
        <w:bidi w:val="0"/>
        <w:spacing w:line="360" w:lineRule="auto"/>
        <w:ind w:firstLine="420" w:firstLineChars="200"/>
        <w:textAlignment w:val="auto"/>
        <w:rPr>
          <w:rFonts w:hint="eastAsia" w:ascii="Times New Roman" w:hAnsi="Times New Roman" w:eastAsia="宋体" w:cs="宋体"/>
          <w:color w:val="000000" w:themeColor="text1"/>
          <w:spacing w:val="0"/>
          <w:szCs w:val="21"/>
          <w:highlight w:val="none"/>
          <w14:textFill>
            <w14:solidFill>
              <w14:schemeClr w14:val="tx1"/>
            </w14:solidFill>
          </w14:textFill>
        </w:rPr>
      </w:pPr>
      <w:r>
        <w:rPr>
          <w:rFonts w:hint="eastAsia" w:ascii="Times New Roman" w:hAnsi="Times New Roman" w:eastAsia="宋体" w:cs="宋体"/>
          <w:color w:val="000000" w:themeColor="text1"/>
          <w:spacing w:val="0"/>
          <w:szCs w:val="21"/>
          <w:highlight w:val="none"/>
          <w14:textFill>
            <w14:solidFill>
              <w14:schemeClr w14:val="tx1"/>
            </w14:solidFill>
          </w14:textFill>
        </w:rPr>
        <w:t>（2）</w:t>
      </w:r>
      <w:r>
        <w:rPr>
          <w:rFonts w:hint="eastAsia" w:cs="宋体"/>
          <w:color w:val="000000" w:themeColor="text1"/>
          <w:spacing w:val="0"/>
          <w:szCs w:val="21"/>
          <w:highlight w:val="none"/>
          <w:lang w:eastAsia="zh-CN"/>
          <w14:textFill>
            <w14:solidFill>
              <w14:schemeClr w14:val="tx1"/>
            </w14:solidFill>
          </w14:textFill>
        </w:rPr>
        <w:t>响应</w:t>
      </w:r>
      <w:r>
        <w:rPr>
          <w:rFonts w:hint="eastAsia" w:ascii="Times New Roman" w:hAnsi="Times New Roman" w:eastAsia="宋体" w:cs="宋体"/>
          <w:color w:val="000000" w:themeColor="text1"/>
          <w:spacing w:val="0"/>
          <w:szCs w:val="21"/>
          <w:highlight w:val="none"/>
          <w14:textFill>
            <w14:solidFill>
              <w14:schemeClr w14:val="tx1"/>
            </w14:solidFill>
          </w14:textFill>
        </w:rPr>
        <w:t>报价</w:t>
      </w:r>
      <w:r>
        <w:rPr>
          <w:rFonts w:hint="eastAsia" w:cs="宋体"/>
          <w:color w:val="000000" w:themeColor="text1"/>
          <w:spacing w:val="0"/>
          <w:szCs w:val="21"/>
          <w:highlight w:val="none"/>
          <w:lang w:eastAsia="zh-CN"/>
          <w14:textFill>
            <w14:solidFill>
              <w14:schemeClr w14:val="tx1"/>
            </w14:solidFill>
          </w14:textFill>
        </w:rPr>
        <w:t>和工程量清单报价</w:t>
      </w:r>
      <w:r>
        <w:rPr>
          <w:rFonts w:hint="eastAsia" w:ascii="Times New Roman" w:hAnsi="Times New Roman" w:eastAsia="宋体" w:cs="宋体"/>
          <w:color w:val="000000" w:themeColor="text1"/>
          <w:spacing w:val="0"/>
          <w:szCs w:val="21"/>
          <w:highlight w:val="none"/>
          <w14:textFill>
            <w14:solidFill>
              <w14:schemeClr w14:val="tx1"/>
            </w14:solidFill>
          </w14:textFill>
        </w:rPr>
        <w:t>评审</w:t>
      </w:r>
    </w:p>
    <w:p w14:paraId="59A0F331">
      <w:pPr>
        <w:pageBreakBefore w:val="0"/>
        <w:kinsoku/>
        <w:wordWrap/>
        <w:overflowPunct/>
        <w:topLinePunct w:val="0"/>
        <w:autoSpaceDE/>
        <w:autoSpaceDN/>
        <w:bidi w:val="0"/>
        <w:spacing w:line="360" w:lineRule="auto"/>
        <w:ind w:firstLine="420" w:firstLineChars="200"/>
        <w:textAlignment w:val="auto"/>
        <w:rPr>
          <w:rFonts w:hint="eastAsia" w:ascii="Times New Roman" w:hAnsi="Times New Roman" w:eastAsia="宋体" w:cs="宋体"/>
          <w:color w:val="000000" w:themeColor="text1"/>
          <w:spacing w:val="0"/>
          <w:szCs w:val="21"/>
          <w:highlight w:val="none"/>
          <w14:textFill>
            <w14:solidFill>
              <w14:schemeClr w14:val="tx1"/>
            </w14:solidFill>
          </w14:textFill>
        </w:rPr>
      </w:pPr>
      <w:r>
        <w:rPr>
          <w:rFonts w:hint="eastAsia" w:ascii="Times New Roman" w:hAnsi="Times New Roman" w:eastAsia="宋体" w:cs="宋体"/>
          <w:color w:val="000000" w:themeColor="text1"/>
          <w:spacing w:val="0"/>
          <w:szCs w:val="21"/>
          <w:highlight w:val="none"/>
          <w:lang w:val="en-US" w:eastAsia="zh-CN"/>
          <w14:textFill>
            <w14:solidFill>
              <w14:schemeClr w14:val="tx1"/>
            </w14:solidFill>
          </w14:textFill>
        </w:rPr>
        <w:t>1）</w:t>
      </w:r>
      <w:r>
        <w:rPr>
          <w:rFonts w:hint="eastAsia" w:ascii="Times New Roman" w:hAnsi="Times New Roman" w:eastAsia="宋体" w:cs="宋体"/>
          <w:color w:val="000000" w:themeColor="text1"/>
          <w:spacing w:val="0"/>
          <w:szCs w:val="21"/>
          <w:highlight w:val="none"/>
          <w14:textFill>
            <w14:solidFill>
              <w14:schemeClr w14:val="tx1"/>
            </w14:solidFill>
          </w14:textFill>
        </w:rPr>
        <w:t>响应文件未提供</w:t>
      </w:r>
      <w:r>
        <w:rPr>
          <w:rFonts w:hint="eastAsia" w:ascii="Times New Roman" w:hAnsi="Times New Roman" w:eastAsia="宋体" w:cs="宋体"/>
          <w:color w:val="000000" w:themeColor="text1"/>
          <w:spacing w:val="0"/>
          <w:szCs w:val="21"/>
          <w:highlight w:val="none"/>
          <w:lang w:eastAsia="zh-CN"/>
          <w14:textFill>
            <w14:solidFill>
              <w14:schemeClr w14:val="tx1"/>
            </w14:solidFill>
          </w14:textFill>
        </w:rPr>
        <w:t>“</w:t>
      </w:r>
      <w:r>
        <w:rPr>
          <w:rFonts w:hint="eastAsia" w:ascii="Times New Roman" w:hAnsi="Times New Roman" w:eastAsia="宋体" w:cs="宋体"/>
          <w:color w:val="000000" w:themeColor="text1"/>
          <w:spacing w:val="0"/>
          <w:szCs w:val="21"/>
          <w:highlight w:val="none"/>
          <w14:textFill>
            <w14:solidFill>
              <w14:schemeClr w14:val="tx1"/>
            </w14:solidFill>
          </w14:textFill>
        </w:rPr>
        <w:t>供应商须知前附表</w:t>
      </w:r>
      <w:r>
        <w:rPr>
          <w:rFonts w:hint="eastAsia" w:ascii="Times New Roman" w:hAnsi="Times New Roman" w:eastAsia="宋体" w:cs="宋体"/>
          <w:color w:val="000000" w:themeColor="text1"/>
          <w:spacing w:val="0"/>
          <w:szCs w:val="21"/>
          <w:highlight w:val="none"/>
          <w:lang w:eastAsia="zh-CN"/>
          <w14:textFill>
            <w14:solidFill>
              <w14:schemeClr w14:val="tx1"/>
            </w14:solidFill>
          </w14:textFill>
        </w:rPr>
        <w:t>”</w:t>
      </w:r>
      <w:r>
        <w:rPr>
          <w:rFonts w:hint="eastAsia" w:ascii="Times New Roman" w:hAnsi="Times New Roman" w:eastAsia="宋体" w:cs="宋体"/>
          <w:color w:val="000000" w:themeColor="text1"/>
          <w:spacing w:val="0"/>
          <w:szCs w:val="21"/>
          <w:highlight w:val="none"/>
          <w14:textFill>
            <w14:solidFill>
              <w14:schemeClr w14:val="tx1"/>
            </w14:solidFill>
          </w14:textFill>
        </w:rPr>
        <w:t>报价文件中规定的</w:t>
      </w:r>
      <w:r>
        <w:rPr>
          <w:rFonts w:hint="eastAsia" w:ascii="Times New Roman" w:hAnsi="Times New Roman" w:eastAsia="宋体" w:cs="宋体"/>
          <w:color w:val="000000" w:themeColor="text1"/>
          <w:spacing w:val="0"/>
          <w:szCs w:val="21"/>
          <w:highlight w:val="none"/>
          <w:lang w:eastAsia="zh-CN"/>
          <w14:textFill>
            <w14:solidFill>
              <w14:schemeClr w14:val="tx1"/>
            </w14:solidFill>
          </w14:textFill>
        </w:rPr>
        <w:t>“</w:t>
      </w:r>
      <w:r>
        <w:rPr>
          <w:rFonts w:hint="eastAsia" w:ascii="Times New Roman" w:hAnsi="Times New Roman" w:eastAsia="宋体" w:cs="宋体"/>
          <w:color w:val="000000" w:themeColor="text1"/>
          <w:spacing w:val="0"/>
          <w:szCs w:val="21"/>
          <w:highlight w:val="none"/>
          <w14:textFill>
            <w14:solidFill>
              <w14:schemeClr w14:val="tx1"/>
            </w14:solidFill>
          </w14:textFill>
        </w:rPr>
        <w:t>响应报价表</w:t>
      </w:r>
      <w:r>
        <w:rPr>
          <w:rFonts w:hint="eastAsia" w:ascii="Times New Roman" w:hAnsi="Times New Roman" w:eastAsia="宋体" w:cs="宋体"/>
          <w:color w:val="000000" w:themeColor="text1"/>
          <w:spacing w:val="0"/>
          <w:szCs w:val="21"/>
          <w:highlight w:val="none"/>
          <w:lang w:eastAsia="zh-CN"/>
          <w14:textFill>
            <w14:solidFill>
              <w14:schemeClr w14:val="tx1"/>
            </w14:solidFill>
          </w14:textFill>
        </w:rPr>
        <w:t>”或</w:t>
      </w:r>
      <w:r>
        <w:rPr>
          <w:rFonts w:hint="eastAsia" w:ascii="Times New Roman" w:hAnsi="Times New Roman" w:eastAsia="宋体" w:cs="宋体"/>
          <w:color w:val="000000" w:themeColor="text1"/>
          <w:spacing w:val="0"/>
          <w:szCs w:val="21"/>
          <w:highlight w:val="none"/>
          <w14:textFill>
            <w14:solidFill>
              <w14:schemeClr w14:val="tx1"/>
            </w14:solidFill>
          </w14:textFill>
        </w:rPr>
        <w:t>未响应供应商须知前附表</w:t>
      </w:r>
      <w:r>
        <w:rPr>
          <w:rFonts w:hint="eastAsia" w:ascii="Times New Roman" w:hAnsi="Times New Roman" w:eastAsia="宋体" w:cs="宋体"/>
          <w:color w:val="000000" w:themeColor="text1"/>
          <w:spacing w:val="0"/>
          <w:szCs w:val="21"/>
          <w:highlight w:val="none"/>
          <w:lang w:eastAsia="zh-CN"/>
          <w14:textFill>
            <w14:solidFill>
              <w14:schemeClr w14:val="tx1"/>
            </w14:solidFill>
          </w14:textFill>
        </w:rPr>
        <w:t>中“</w:t>
      </w:r>
      <w:r>
        <w:rPr>
          <w:rFonts w:hint="eastAsia" w:ascii="Times New Roman" w:hAnsi="Times New Roman" w:eastAsia="宋体" w:cs="宋体"/>
          <w:color w:val="000000" w:themeColor="text1"/>
          <w:spacing w:val="0"/>
          <w:szCs w:val="21"/>
          <w:highlight w:val="none"/>
          <w14:textFill>
            <w14:solidFill>
              <w14:schemeClr w14:val="tx1"/>
            </w14:solidFill>
          </w14:textFill>
        </w:rPr>
        <w:t>供应商的响应报价要求</w:t>
      </w:r>
      <w:r>
        <w:rPr>
          <w:rFonts w:hint="eastAsia" w:ascii="Times New Roman" w:hAnsi="Times New Roman" w:eastAsia="宋体" w:cs="宋体"/>
          <w:color w:val="000000" w:themeColor="text1"/>
          <w:spacing w:val="0"/>
          <w:szCs w:val="21"/>
          <w:highlight w:val="none"/>
          <w:lang w:eastAsia="zh-CN"/>
          <w14:textFill>
            <w14:solidFill>
              <w14:schemeClr w14:val="tx1"/>
            </w14:solidFill>
          </w14:textFill>
        </w:rPr>
        <w:t>”的</w:t>
      </w:r>
      <w:r>
        <w:rPr>
          <w:rFonts w:hint="eastAsia" w:ascii="Times New Roman" w:hAnsi="Times New Roman" w:eastAsia="宋体" w:cs="宋体"/>
          <w:color w:val="000000" w:themeColor="text1"/>
          <w:spacing w:val="0"/>
          <w:szCs w:val="21"/>
          <w:highlight w:val="none"/>
          <w14:textFill>
            <w14:solidFill>
              <w14:schemeClr w14:val="tx1"/>
            </w14:solidFill>
          </w14:textFill>
        </w:rPr>
        <w:t>实质性要求；</w:t>
      </w:r>
    </w:p>
    <w:p w14:paraId="7AC01E9D">
      <w:pPr>
        <w:pageBreakBefore w:val="0"/>
        <w:kinsoku/>
        <w:wordWrap/>
        <w:overflowPunct/>
        <w:topLinePunct w:val="0"/>
        <w:autoSpaceDE/>
        <w:autoSpaceDN/>
        <w:bidi w:val="0"/>
        <w:spacing w:line="360" w:lineRule="auto"/>
        <w:ind w:firstLine="420" w:firstLineChars="200"/>
        <w:textAlignment w:val="auto"/>
        <w:rPr>
          <w:rFonts w:hint="eastAsia" w:ascii="Times New Roman" w:hAnsi="Times New Roman" w:eastAsia="宋体" w:cs="宋体"/>
          <w:color w:val="000000" w:themeColor="text1"/>
          <w:spacing w:val="0"/>
          <w:szCs w:val="21"/>
          <w:highlight w:val="none"/>
          <w14:textFill>
            <w14:solidFill>
              <w14:schemeClr w14:val="tx1"/>
            </w14:solidFill>
          </w14:textFill>
        </w:rPr>
      </w:pPr>
      <w:r>
        <w:rPr>
          <w:rFonts w:hint="eastAsia" w:ascii="Times New Roman" w:hAnsi="Times New Roman" w:eastAsia="宋体" w:cs="宋体"/>
          <w:color w:val="000000" w:themeColor="text1"/>
          <w:spacing w:val="0"/>
          <w:szCs w:val="21"/>
          <w:highlight w:val="none"/>
          <w14:textFill>
            <w14:solidFill>
              <w14:schemeClr w14:val="tx1"/>
            </w14:solidFill>
          </w14:textFill>
        </w:rPr>
        <w:t>2）未采用人民币报价或者未按照磋商文件标明的币种报价；</w:t>
      </w:r>
    </w:p>
    <w:p w14:paraId="0255BD79">
      <w:pPr>
        <w:pageBreakBefore w:val="0"/>
        <w:kinsoku/>
        <w:wordWrap/>
        <w:overflowPunct/>
        <w:topLinePunct w:val="0"/>
        <w:autoSpaceDE/>
        <w:autoSpaceDN/>
        <w:bidi w:val="0"/>
        <w:spacing w:line="360" w:lineRule="auto"/>
        <w:ind w:firstLine="420" w:firstLineChars="200"/>
        <w:textAlignment w:val="auto"/>
        <w:rPr>
          <w:rFonts w:hint="eastAsia" w:ascii="Times New Roman" w:hAnsi="Times New Roman" w:eastAsia="宋体" w:cs="宋体"/>
          <w:color w:val="000000" w:themeColor="text1"/>
          <w:spacing w:val="0"/>
          <w:szCs w:val="21"/>
          <w:highlight w:val="none"/>
          <w14:textFill>
            <w14:solidFill>
              <w14:schemeClr w14:val="tx1"/>
            </w14:solidFill>
          </w14:textFill>
        </w:rPr>
      </w:pPr>
      <w:r>
        <w:rPr>
          <w:rFonts w:hint="eastAsia" w:ascii="Times New Roman" w:hAnsi="Times New Roman" w:eastAsia="宋体" w:cs="宋体"/>
          <w:color w:val="000000" w:themeColor="text1"/>
          <w:spacing w:val="0"/>
          <w:szCs w:val="21"/>
          <w:highlight w:val="none"/>
          <w14:textFill>
            <w14:solidFill>
              <w14:schemeClr w14:val="tx1"/>
            </w14:solidFill>
          </w14:textFill>
        </w:rPr>
        <w:t>3）供应商未就所竞标项目进行报价或者存在漏项报价；供应商未就所竞标项目的单项内容作唯一报价；供应商未就所竞标项目的全部内容作唯一总价报价；供应商响应文件中存在有选择、有条件报价的（磋商文件允许有备选方案或者其他约定的除外）；</w:t>
      </w:r>
    </w:p>
    <w:p w14:paraId="24B1D346">
      <w:pPr>
        <w:pageBreakBefore w:val="0"/>
        <w:kinsoku/>
        <w:wordWrap/>
        <w:overflowPunct/>
        <w:topLinePunct w:val="0"/>
        <w:autoSpaceDE/>
        <w:autoSpaceDN/>
        <w:bidi w:val="0"/>
        <w:spacing w:line="360" w:lineRule="auto"/>
        <w:ind w:firstLine="420" w:firstLineChars="200"/>
        <w:textAlignment w:val="auto"/>
        <w:rPr>
          <w:rFonts w:hint="eastAsia" w:ascii="Times New Roman" w:hAnsi="Times New Roman" w:eastAsia="宋体" w:cs="宋体"/>
          <w:color w:val="000000" w:themeColor="text1"/>
          <w:spacing w:val="0"/>
          <w:szCs w:val="21"/>
          <w:highlight w:val="none"/>
          <w14:textFill>
            <w14:solidFill>
              <w14:schemeClr w14:val="tx1"/>
            </w14:solidFill>
          </w14:textFill>
        </w:rPr>
      </w:pPr>
      <w:r>
        <w:rPr>
          <w:rFonts w:hint="eastAsia" w:ascii="Times New Roman" w:hAnsi="Times New Roman" w:eastAsia="宋体" w:cs="宋体"/>
          <w:color w:val="000000" w:themeColor="text1"/>
          <w:spacing w:val="0"/>
          <w:szCs w:val="21"/>
          <w:highlight w:val="none"/>
          <w14:textFill>
            <w14:solidFill>
              <w14:schemeClr w14:val="tx1"/>
            </w14:solidFill>
          </w14:textFill>
        </w:rPr>
        <w:t>4）响应报价（包含首次报价、最后报价）超过所竞标项目规定的采购预算金额或者最高限价的（如本项目公布了最高限价）；响应报价（包含首次报价、最后报价）超过磋商文件分项采购预算金额或者最高限价的（如本项目公布了最高限价）；</w:t>
      </w:r>
    </w:p>
    <w:p w14:paraId="1764E594">
      <w:pPr>
        <w:pageBreakBefore w:val="0"/>
        <w:kinsoku/>
        <w:wordWrap/>
        <w:overflowPunct/>
        <w:topLinePunct w:val="0"/>
        <w:autoSpaceDE/>
        <w:autoSpaceDN/>
        <w:bidi w:val="0"/>
        <w:spacing w:line="360" w:lineRule="auto"/>
        <w:ind w:firstLine="420" w:firstLineChars="200"/>
        <w:textAlignment w:val="auto"/>
        <w:rPr>
          <w:rFonts w:hint="eastAsia" w:ascii="Times New Roman" w:hAnsi="Times New Roman" w:eastAsia="宋体" w:cs="宋体"/>
          <w:color w:val="000000" w:themeColor="text1"/>
          <w:spacing w:val="0"/>
          <w:szCs w:val="21"/>
          <w:highlight w:val="none"/>
          <w14:textFill>
            <w14:solidFill>
              <w14:schemeClr w14:val="tx1"/>
            </w14:solidFill>
          </w14:textFill>
        </w:rPr>
      </w:pPr>
      <w:r>
        <w:rPr>
          <w:rFonts w:hint="eastAsia" w:ascii="Times New Roman" w:hAnsi="Times New Roman" w:eastAsia="宋体" w:cs="宋体"/>
          <w:color w:val="000000" w:themeColor="text1"/>
          <w:spacing w:val="0"/>
          <w:szCs w:val="21"/>
          <w:highlight w:val="none"/>
          <w14:textFill>
            <w14:solidFill>
              <w14:schemeClr w14:val="tx1"/>
            </w14:solidFill>
          </w14:textFill>
        </w:rPr>
        <w:t>5）修正后的报价，供应商不确认的；或者经供应商确认修正后的响应报价（包含首次报价、最后报价）超过所竞标项目规定的采购预算金额或者最高限价（如本项目公布了最高限价）；或者经供应商确认修正后响应报价（包含首次报价、最后报价）超过磋商文件分项采购预算金额或者最高限价的（如本项目公布了最高限价）。</w:t>
      </w:r>
    </w:p>
    <w:p w14:paraId="7A078450">
      <w:pPr>
        <w:pageBreakBefore w:val="0"/>
        <w:kinsoku/>
        <w:wordWrap/>
        <w:overflowPunct/>
        <w:topLinePunct w:val="0"/>
        <w:autoSpaceDE/>
        <w:autoSpaceDN/>
        <w:bidi w:val="0"/>
        <w:spacing w:line="360" w:lineRule="auto"/>
        <w:ind w:firstLine="420" w:firstLineChars="200"/>
        <w:textAlignment w:val="auto"/>
        <w:rPr>
          <w:rFonts w:hint="eastAsia" w:ascii="Times New Roman" w:hAnsi="Times New Roman" w:eastAsia="宋体" w:cs="宋体"/>
          <w:color w:val="000000" w:themeColor="text1"/>
          <w:spacing w:val="0"/>
          <w:szCs w:val="21"/>
          <w:highlight w:val="none"/>
          <w14:textFill>
            <w14:solidFill>
              <w14:schemeClr w14:val="tx1"/>
            </w14:solidFill>
          </w14:textFill>
        </w:rPr>
      </w:pPr>
      <w:r>
        <w:rPr>
          <w:rFonts w:hint="eastAsia" w:ascii="Times New Roman" w:hAnsi="Times New Roman" w:eastAsia="宋体" w:cs="宋体"/>
          <w:color w:val="000000" w:themeColor="text1"/>
          <w:spacing w:val="0"/>
          <w:szCs w:val="21"/>
          <w:highlight w:val="none"/>
          <w14:textFill>
            <w14:solidFill>
              <w14:schemeClr w14:val="tx1"/>
            </w14:solidFill>
          </w14:textFill>
        </w:rPr>
        <w:t>6）响应文件响应的标的数量及单位与竞争性磋商文件要求实质性不一致的。</w:t>
      </w:r>
    </w:p>
    <w:p w14:paraId="6EC3E452">
      <w:pPr>
        <w:pageBreakBefore w:val="0"/>
        <w:kinsoku/>
        <w:wordWrap/>
        <w:overflowPunct/>
        <w:topLinePunct w:val="0"/>
        <w:autoSpaceDE/>
        <w:autoSpaceDN/>
        <w:bidi w:val="0"/>
        <w:spacing w:line="360" w:lineRule="auto"/>
        <w:ind w:firstLine="422" w:firstLineChars="200"/>
        <w:textAlignment w:val="auto"/>
        <w:rPr>
          <w:rFonts w:hint="eastAsia" w:ascii="Times New Roman" w:hAnsi="Times New Roman" w:eastAsia="宋体" w:cs="宋体"/>
          <w:b/>
          <w:bCs/>
          <w:color w:val="000000" w:themeColor="text1"/>
          <w:spacing w:val="0"/>
          <w:szCs w:val="21"/>
          <w:highlight w:val="none"/>
          <w:lang w:eastAsia="zh-CN"/>
          <w14:textFill>
            <w14:solidFill>
              <w14:schemeClr w14:val="tx1"/>
            </w14:solidFill>
          </w14:textFill>
        </w:rPr>
      </w:pPr>
      <w:r>
        <w:rPr>
          <w:rFonts w:hint="eastAsia" w:ascii="Times New Roman" w:hAnsi="Times New Roman" w:eastAsia="宋体" w:cs="宋体"/>
          <w:b/>
          <w:bCs/>
          <w:color w:val="000000" w:themeColor="text1"/>
          <w:spacing w:val="0"/>
          <w:szCs w:val="21"/>
          <w:highlight w:val="none"/>
          <w:lang w:val="en-US" w:eastAsia="zh-CN"/>
          <w14:textFill>
            <w14:solidFill>
              <w14:schemeClr w14:val="tx1"/>
            </w14:solidFill>
          </w14:textFill>
        </w:rPr>
        <w:t>7）不响应</w:t>
      </w:r>
      <w:r>
        <w:rPr>
          <w:rFonts w:hint="eastAsia" w:ascii="Times New Roman" w:hAnsi="Times New Roman" w:eastAsia="宋体" w:cs="宋体"/>
          <w:b/>
          <w:bCs/>
          <w:color w:val="000000" w:themeColor="text1"/>
          <w:spacing w:val="0"/>
          <w:szCs w:val="21"/>
          <w:highlight w:val="none"/>
          <w:lang w:eastAsia="zh-CN"/>
          <w14:textFill>
            <w14:solidFill>
              <w14:schemeClr w14:val="tx1"/>
            </w14:solidFill>
          </w14:textFill>
        </w:rPr>
        <w:t>工程量清单</w:t>
      </w:r>
      <w:r>
        <w:rPr>
          <w:rFonts w:hint="eastAsia" w:ascii="Times New Roman" w:hAnsi="Times New Roman" w:eastAsia="宋体" w:cs="宋体"/>
          <w:b/>
          <w:bCs/>
          <w:color w:val="000000" w:themeColor="text1"/>
          <w:spacing w:val="0"/>
          <w:szCs w:val="21"/>
          <w:highlight w:val="none"/>
          <w14:textFill>
            <w14:solidFill>
              <w14:schemeClr w14:val="tx1"/>
            </w14:solidFill>
          </w14:textFill>
        </w:rPr>
        <w:t>标</w:t>
      </w:r>
      <w:r>
        <w:rPr>
          <w:rFonts w:hint="eastAsia" w:ascii="Times New Roman" w:hAnsi="Times New Roman" w:eastAsia="宋体" w:cs="宋体"/>
          <w:b/>
          <w:bCs/>
          <w:color w:val="000000" w:themeColor="text1"/>
          <w:spacing w:val="0"/>
          <w:szCs w:val="21"/>
          <w:highlight w:val="none"/>
          <w:lang w:eastAsia="zh-CN"/>
          <w14:textFill>
            <w14:solidFill>
              <w14:schemeClr w14:val="tx1"/>
            </w14:solidFill>
          </w14:textFill>
        </w:rPr>
        <w:t>“</w:t>
      </w:r>
      <w:r>
        <w:rPr>
          <w:rFonts w:hint="eastAsia" w:ascii="Times New Roman" w:hAnsi="Times New Roman" w:eastAsia="宋体" w:cs="宋体"/>
          <w:b/>
          <w:bCs/>
          <w:color w:val="000000" w:themeColor="text1"/>
          <w:spacing w:val="0"/>
          <w:szCs w:val="21"/>
          <w:highlight w:val="none"/>
          <w14:textFill>
            <w14:solidFill>
              <w14:schemeClr w14:val="tx1"/>
            </w14:solidFill>
          </w14:textFill>
        </w:rPr>
        <w:t>▲</w:t>
      </w:r>
      <w:r>
        <w:rPr>
          <w:rFonts w:hint="eastAsia" w:ascii="Times New Roman" w:hAnsi="Times New Roman" w:eastAsia="宋体" w:cs="宋体"/>
          <w:b/>
          <w:bCs/>
          <w:color w:val="000000" w:themeColor="text1"/>
          <w:spacing w:val="0"/>
          <w:szCs w:val="21"/>
          <w:highlight w:val="none"/>
          <w:lang w:eastAsia="zh-CN"/>
          <w14:textFill>
            <w14:solidFill>
              <w14:schemeClr w14:val="tx1"/>
            </w14:solidFill>
          </w14:textFill>
        </w:rPr>
        <w:t>”</w:t>
      </w:r>
      <w:r>
        <w:rPr>
          <w:rFonts w:hint="eastAsia" w:ascii="Times New Roman" w:hAnsi="Times New Roman" w:eastAsia="宋体" w:cs="宋体"/>
          <w:b/>
          <w:bCs/>
          <w:color w:val="000000" w:themeColor="text1"/>
          <w:spacing w:val="0"/>
          <w:szCs w:val="21"/>
          <w:highlight w:val="none"/>
          <w14:textFill>
            <w14:solidFill>
              <w14:schemeClr w14:val="tx1"/>
            </w14:solidFill>
          </w14:textFill>
        </w:rPr>
        <w:t>的条款或者标明实质性的要求</w:t>
      </w:r>
      <w:r>
        <w:rPr>
          <w:rFonts w:hint="eastAsia" w:ascii="Times New Roman" w:hAnsi="Times New Roman" w:eastAsia="宋体" w:cs="宋体"/>
          <w:b/>
          <w:bCs/>
          <w:color w:val="000000" w:themeColor="text1"/>
          <w:spacing w:val="0"/>
          <w:szCs w:val="21"/>
          <w:highlight w:val="none"/>
          <w:lang w:eastAsia="zh-CN"/>
          <w14:textFill>
            <w14:solidFill>
              <w14:schemeClr w14:val="tx1"/>
            </w14:solidFill>
          </w14:textFill>
        </w:rPr>
        <w:t>或工程量清单</w:t>
      </w:r>
      <w:r>
        <w:rPr>
          <w:rFonts w:hint="eastAsia" w:ascii="Times New Roman" w:hAnsi="Times New Roman" w:eastAsia="宋体" w:cs="宋体"/>
          <w:b/>
          <w:bCs/>
          <w:color w:val="000000" w:themeColor="text1"/>
          <w:spacing w:val="0"/>
          <w:szCs w:val="21"/>
          <w:highlight w:val="none"/>
          <w14:textFill>
            <w14:solidFill>
              <w14:schemeClr w14:val="tx1"/>
            </w14:solidFill>
          </w14:textFill>
        </w:rPr>
        <w:t>标</w:t>
      </w:r>
      <w:r>
        <w:rPr>
          <w:rFonts w:hint="eastAsia" w:ascii="Times New Roman" w:hAnsi="Times New Roman" w:eastAsia="宋体" w:cs="宋体"/>
          <w:b/>
          <w:bCs/>
          <w:color w:val="000000" w:themeColor="text1"/>
          <w:spacing w:val="0"/>
          <w:szCs w:val="21"/>
          <w:highlight w:val="none"/>
          <w:lang w:eastAsia="zh-CN"/>
          <w14:textFill>
            <w14:solidFill>
              <w14:schemeClr w14:val="tx1"/>
            </w14:solidFill>
          </w14:textFill>
        </w:rPr>
        <w:t>“</w:t>
      </w:r>
      <w:r>
        <w:rPr>
          <w:rFonts w:hint="eastAsia" w:ascii="Times New Roman" w:hAnsi="Times New Roman" w:eastAsia="宋体" w:cs="宋体"/>
          <w:b/>
          <w:bCs/>
          <w:color w:val="000000" w:themeColor="text1"/>
          <w:spacing w:val="0"/>
          <w:szCs w:val="21"/>
          <w:highlight w:val="none"/>
          <w14:textFill>
            <w14:solidFill>
              <w14:schemeClr w14:val="tx1"/>
            </w14:solidFill>
          </w14:textFill>
        </w:rPr>
        <w:t>▲</w:t>
      </w:r>
      <w:r>
        <w:rPr>
          <w:rFonts w:hint="eastAsia" w:ascii="Times New Roman" w:hAnsi="Times New Roman" w:eastAsia="宋体" w:cs="宋体"/>
          <w:b/>
          <w:bCs/>
          <w:color w:val="000000" w:themeColor="text1"/>
          <w:spacing w:val="0"/>
          <w:szCs w:val="21"/>
          <w:highlight w:val="none"/>
          <w:lang w:eastAsia="zh-CN"/>
          <w14:textFill>
            <w14:solidFill>
              <w14:schemeClr w14:val="tx1"/>
            </w14:solidFill>
          </w14:textFill>
        </w:rPr>
        <w:t>”</w:t>
      </w:r>
      <w:r>
        <w:rPr>
          <w:rFonts w:hint="eastAsia" w:ascii="Times New Roman" w:hAnsi="Times New Roman" w:eastAsia="宋体" w:cs="宋体"/>
          <w:b/>
          <w:bCs/>
          <w:color w:val="000000" w:themeColor="text1"/>
          <w:spacing w:val="0"/>
          <w:szCs w:val="21"/>
          <w:highlight w:val="none"/>
          <w14:textFill>
            <w14:solidFill>
              <w14:schemeClr w14:val="tx1"/>
            </w14:solidFill>
          </w14:textFill>
        </w:rPr>
        <w:t>的条款发生负偏离</w:t>
      </w:r>
      <w:r>
        <w:rPr>
          <w:rFonts w:hint="eastAsia" w:ascii="Times New Roman" w:hAnsi="Times New Roman" w:eastAsia="宋体" w:cs="宋体"/>
          <w:b/>
          <w:bCs/>
          <w:color w:val="000000" w:themeColor="text1"/>
          <w:spacing w:val="0"/>
          <w:szCs w:val="21"/>
          <w:highlight w:val="none"/>
          <w:lang w:eastAsia="zh-CN"/>
          <w14:textFill>
            <w14:solidFill>
              <w14:schemeClr w14:val="tx1"/>
            </w14:solidFill>
          </w14:textFill>
        </w:rPr>
        <w:t>。</w:t>
      </w:r>
    </w:p>
    <w:p w14:paraId="5C37A403">
      <w:pPr>
        <w:pageBreakBefore w:val="0"/>
        <w:kinsoku/>
        <w:wordWrap/>
        <w:overflowPunct/>
        <w:topLinePunct w:val="0"/>
        <w:autoSpaceDE/>
        <w:autoSpaceDN/>
        <w:bidi w:val="0"/>
        <w:spacing w:line="360" w:lineRule="auto"/>
        <w:ind w:firstLine="422" w:firstLineChars="200"/>
        <w:textAlignment w:val="auto"/>
        <w:rPr>
          <w:rFonts w:hint="default" w:ascii="Times New Roman" w:hAnsi="Times New Roman" w:eastAsia="宋体" w:cs="宋体"/>
          <w:b/>
          <w:bCs/>
          <w:color w:val="000000" w:themeColor="text1"/>
          <w:spacing w:val="0"/>
          <w:szCs w:val="21"/>
          <w:highlight w:val="none"/>
          <w:lang w:val="en-US" w:eastAsia="zh-CN"/>
          <w14:textFill>
            <w14:solidFill>
              <w14:schemeClr w14:val="tx1"/>
            </w14:solidFill>
          </w14:textFill>
        </w:rPr>
      </w:pPr>
      <w:r>
        <w:rPr>
          <w:rFonts w:hint="eastAsia" w:cs="宋体"/>
          <w:b/>
          <w:bCs/>
          <w:color w:val="000000" w:themeColor="text1"/>
          <w:spacing w:val="0"/>
          <w:szCs w:val="21"/>
          <w:highlight w:val="none"/>
          <w:lang w:val="en-US" w:eastAsia="zh-CN"/>
          <w14:textFill>
            <w14:solidFill>
              <w14:schemeClr w14:val="tx1"/>
            </w14:solidFill>
          </w14:textFill>
        </w:rPr>
        <w:t>8）工程量清单报价未实质性响应的情形。</w:t>
      </w:r>
    </w:p>
    <w:p w14:paraId="5870EF9A">
      <w:pPr>
        <w:pageBreakBefore w:val="0"/>
        <w:kinsoku/>
        <w:wordWrap/>
        <w:overflowPunct/>
        <w:topLinePunct w:val="0"/>
        <w:autoSpaceDE/>
        <w:autoSpaceDN/>
        <w:bidi w:val="0"/>
        <w:spacing w:line="360" w:lineRule="auto"/>
        <w:ind w:firstLine="420" w:firstLineChars="200"/>
        <w:textAlignment w:val="auto"/>
        <w:rPr>
          <w:rFonts w:hint="eastAsia" w:ascii="Times New Roman" w:hAnsi="Times New Roman" w:eastAsia="宋体" w:cs="宋体"/>
          <w:color w:val="000000" w:themeColor="text1"/>
          <w:spacing w:val="0"/>
          <w:szCs w:val="21"/>
          <w:highlight w:val="none"/>
          <w14:textFill>
            <w14:solidFill>
              <w14:schemeClr w14:val="tx1"/>
            </w14:solidFill>
          </w14:textFill>
        </w:rPr>
      </w:pPr>
      <w:r>
        <w:rPr>
          <w:rFonts w:hint="eastAsia" w:ascii="Times New Roman" w:hAnsi="Times New Roman" w:eastAsia="宋体" w:cs="宋体"/>
          <w:color w:val="000000" w:themeColor="text1"/>
          <w:spacing w:val="0"/>
          <w:szCs w:val="21"/>
          <w:highlight w:val="none"/>
          <w14:textFill>
            <w14:solidFill>
              <w14:schemeClr w14:val="tx1"/>
            </w14:solidFill>
          </w14:textFill>
        </w:rPr>
        <w:t>3.6磋商小组对响应文件进行评审，未实质性响应磋商文件的响应文件按无效处理，磋商小组应当将资格和符合性不通过的情况告知有关供应商。磋商小组从符合磋商文件规定的相应资格条件的供应商名单中确定不少于3家的供应商参加磋商。</w:t>
      </w:r>
    </w:p>
    <w:p w14:paraId="4D97FCAA">
      <w:pPr>
        <w:pageBreakBefore w:val="0"/>
        <w:kinsoku/>
        <w:wordWrap/>
        <w:overflowPunct/>
        <w:topLinePunct w:val="0"/>
        <w:autoSpaceDE/>
        <w:autoSpaceDN/>
        <w:bidi w:val="0"/>
        <w:spacing w:line="360" w:lineRule="auto"/>
        <w:ind w:firstLine="420" w:firstLineChars="200"/>
        <w:textAlignment w:val="auto"/>
        <w:rPr>
          <w:rFonts w:hint="eastAsia" w:ascii="Times New Roman" w:hAnsi="Times New Roman" w:eastAsia="宋体" w:cs="宋体"/>
          <w:color w:val="000000" w:themeColor="text1"/>
          <w:spacing w:val="0"/>
          <w:szCs w:val="21"/>
          <w:highlight w:val="none"/>
          <w14:textFill>
            <w14:solidFill>
              <w14:schemeClr w14:val="tx1"/>
            </w14:solidFill>
          </w14:textFill>
        </w:rPr>
      </w:pPr>
      <w:r>
        <w:rPr>
          <w:rFonts w:hint="eastAsia" w:ascii="Times New Roman" w:hAnsi="Times New Roman" w:eastAsia="宋体" w:cs="宋体"/>
          <w:color w:val="000000" w:themeColor="text1"/>
          <w:spacing w:val="0"/>
          <w:szCs w:val="21"/>
          <w:highlight w:val="none"/>
          <w14:textFill>
            <w14:solidFill>
              <w14:schemeClr w14:val="tx1"/>
            </w14:solidFill>
          </w14:textFill>
        </w:rPr>
        <w:t>3.7非政府购买服务项目，通过符合性审查的合格供应商不足3家的，不得进入磋商环节，采购人或者采购代理机构应当重新开展采购活动。政府购买服务项目，按《财政部关于政府采购竞争性磋商采购方式管理暂行办法有关问题的补充通知》（财库〔2015〕124号）规定，采购过程中通过符合性审查的供应商（社会资本）只有2家的，磋商采购活动可以继续进行。</w:t>
      </w:r>
    </w:p>
    <w:p w14:paraId="6B2E2205">
      <w:pPr>
        <w:pageBreakBefore w:val="0"/>
        <w:kinsoku/>
        <w:wordWrap/>
        <w:overflowPunct/>
        <w:topLinePunct w:val="0"/>
        <w:autoSpaceDE/>
        <w:autoSpaceDN/>
        <w:bidi w:val="0"/>
        <w:spacing w:line="360" w:lineRule="auto"/>
        <w:textAlignment w:val="auto"/>
        <w:outlineLvl w:val="2"/>
        <w:rPr>
          <w:rFonts w:hint="eastAsia" w:ascii="Times New Roman" w:hAnsi="Times New Roman" w:eastAsia="宋体" w:cs="宋体"/>
          <w:b/>
          <w:bCs/>
          <w:color w:val="000000" w:themeColor="text1"/>
          <w:spacing w:val="0"/>
          <w:sz w:val="21"/>
          <w:szCs w:val="21"/>
          <w:highlight w:val="none"/>
          <w14:textFill>
            <w14:solidFill>
              <w14:schemeClr w14:val="tx1"/>
            </w14:solidFill>
          </w14:textFill>
        </w:rPr>
      </w:pPr>
      <w:bookmarkStart w:id="173" w:name="_Toc19568"/>
      <w:r>
        <w:rPr>
          <w:rFonts w:hint="eastAsia" w:ascii="Times New Roman" w:hAnsi="Times New Roman" w:eastAsia="宋体" w:cs="宋体"/>
          <w:b/>
          <w:bCs/>
          <w:color w:val="000000" w:themeColor="text1"/>
          <w:spacing w:val="0"/>
          <w:sz w:val="21"/>
          <w:szCs w:val="21"/>
          <w:highlight w:val="none"/>
          <w14:textFill>
            <w14:solidFill>
              <w14:schemeClr w14:val="tx1"/>
            </w14:solidFill>
          </w14:textFill>
        </w:rPr>
        <w:t>4.磋商程序</w:t>
      </w:r>
      <w:bookmarkEnd w:id="173"/>
    </w:p>
    <w:p w14:paraId="621F020C">
      <w:pPr>
        <w:pageBreakBefore w:val="0"/>
        <w:kinsoku/>
        <w:wordWrap/>
        <w:overflowPunct/>
        <w:topLinePunct w:val="0"/>
        <w:autoSpaceDE/>
        <w:autoSpaceDN/>
        <w:bidi w:val="0"/>
        <w:spacing w:line="360" w:lineRule="auto"/>
        <w:ind w:firstLine="420" w:firstLineChars="200"/>
        <w:textAlignment w:val="auto"/>
        <w:rPr>
          <w:rFonts w:hint="eastAsia" w:ascii="Times New Roman" w:hAnsi="Times New Roman" w:eastAsia="宋体" w:cs="宋体"/>
          <w:color w:val="000000" w:themeColor="text1"/>
          <w:spacing w:val="0"/>
          <w:kern w:val="0"/>
          <w:szCs w:val="21"/>
          <w:highlight w:val="none"/>
          <w14:textFill>
            <w14:solidFill>
              <w14:schemeClr w14:val="tx1"/>
            </w14:solidFill>
          </w14:textFill>
        </w:rPr>
      </w:pPr>
      <w:r>
        <w:rPr>
          <w:rFonts w:hint="eastAsia" w:ascii="Times New Roman" w:hAnsi="Times New Roman" w:eastAsia="宋体" w:cs="宋体"/>
          <w:color w:val="000000" w:themeColor="text1"/>
          <w:spacing w:val="0"/>
          <w:kern w:val="0"/>
          <w:szCs w:val="21"/>
          <w:highlight w:val="none"/>
          <w14:textFill>
            <w14:solidFill>
              <w14:schemeClr w14:val="tx1"/>
            </w14:solidFill>
          </w14:textFill>
        </w:rPr>
        <w:t>4.1磋商小组按照</w:t>
      </w:r>
      <w:r>
        <w:rPr>
          <w:rFonts w:hint="eastAsia" w:ascii="Times New Roman" w:hAnsi="Times New Roman" w:eastAsia="宋体" w:cs="宋体"/>
          <w:color w:val="000000" w:themeColor="text1"/>
          <w:spacing w:val="0"/>
          <w:kern w:val="0"/>
          <w:szCs w:val="21"/>
          <w:highlight w:val="none"/>
          <w:lang w:eastAsia="zh-CN"/>
          <w14:textFill>
            <w14:solidFill>
              <w14:schemeClr w14:val="tx1"/>
            </w14:solidFill>
          </w14:textFill>
        </w:rPr>
        <w:t>“</w:t>
      </w:r>
      <w:r>
        <w:rPr>
          <w:rFonts w:hint="eastAsia" w:ascii="Times New Roman" w:hAnsi="Times New Roman" w:eastAsia="宋体" w:cs="宋体"/>
          <w:color w:val="000000" w:themeColor="text1"/>
          <w:spacing w:val="0"/>
          <w:kern w:val="0"/>
          <w:szCs w:val="21"/>
          <w:highlight w:val="none"/>
          <w14:textFill>
            <w14:solidFill>
              <w14:schemeClr w14:val="tx1"/>
            </w14:solidFill>
          </w14:textFill>
        </w:rPr>
        <w:t>供应商须知前附表</w:t>
      </w:r>
      <w:r>
        <w:rPr>
          <w:rFonts w:hint="eastAsia" w:ascii="Times New Roman" w:hAnsi="Times New Roman" w:eastAsia="宋体" w:cs="宋体"/>
          <w:color w:val="000000" w:themeColor="text1"/>
          <w:spacing w:val="0"/>
          <w:kern w:val="0"/>
          <w:szCs w:val="21"/>
          <w:highlight w:val="none"/>
          <w:lang w:eastAsia="zh-CN"/>
          <w14:textFill>
            <w14:solidFill>
              <w14:schemeClr w14:val="tx1"/>
            </w14:solidFill>
          </w14:textFill>
        </w:rPr>
        <w:t>”</w:t>
      </w:r>
      <w:r>
        <w:rPr>
          <w:rFonts w:hint="eastAsia" w:ascii="Times New Roman" w:hAnsi="Times New Roman" w:eastAsia="宋体" w:cs="宋体"/>
          <w:color w:val="000000" w:themeColor="text1"/>
          <w:spacing w:val="0"/>
          <w:szCs w:val="21"/>
          <w:highlight w:val="none"/>
          <w14:textFill>
            <w14:solidFill>
              <w14:schemeClr w14:val="tx1"/>
            </w14:solidFill>
          </w14:textFill>
        </w:rPr>
        <w:t xml:space="preserve"> </w:t>
      </w:r>
      <w:r>
        <w:rPr>
          <w:rFonts w:hint="eastAsia" w:ascii="Times New Roman" w:hAnsi="Times New Roman" w:eastAsia="宋体" w:cs="宋体"/>
          <w:color w:val="000000" w:themeColor="text1"/>
          <w:spacing w:val="0"/>
          <w:kern w:val="0"/>
          <w:szCs w:val="21"/>
          <w:highlight w:val="none"/>
          <w14:textFill>
            <w14:solidFill>
              <w14:schemeClr w14:val="tx1"/>
            </w14:solidFill>
          </w14:textFill>
        </w:rPr>
        <w:t>确定的</w:t>
      </w:r>
      <w:r>
        <w:rPr>
          <w:rFonts w:hint="eastAsia" w:ascii="Times New Roman" w:hAnsi="Times New Roman" w:eastAsia="宋体" w:cs="宋体"/>
          <w:color w:val="000000" w:themeColor="text1"/>
          <w:spacing w:val="0"/>
          <w:szCs w:val="21"/>
          <w:highlight w:val="none"/>
          <w14:textFill>
            <w14:solidFill>
              <w14:schemeClr w14:val="tx1"/>
            </w14:solidFill>
          </w14:textFill>
        </w:rPr>
        <w:t>顺序，集中与单一供应商分别进行磋商，并给予所有参加磋商的供应商平等的磋商机会。符合磋商资格的供应商必须在接到磋商通知后规定时间内参加磋商，未在规定时间内参加磋商的视同放弃参加磋商权利，其响应文件按无效响应处理。</w:t>
      </w:r>
    </w:p>
    <w:p w14:paraId="699D9247">
      <w:pPr>
        <w:pageBreakBefore w:val="0"/>
        <w:kinsoku/>
        <w:wordWrap/>
        <w:overflowPunct/>
        <w:topLinePunct w:val="0"/>
        <w:autoSpaceDE/>
        <w:autoSpaceDN/>
        <w:bidi w:val="0"/>
        <w:spacing w:line="360" w:lineRule="auto"/>
        <w:ind w:firstLine="420" w:firstLineChars="200"/>
        <w:textAlignment w:val="auto"/>
        <w:rPr>
          <w:rFonts w:hint="eastAsia" w:ascii="Times New Roman" w:hAnsi="Times New Roman" w:eastAsia="宋体" w:cs="宋体"/>
          <w:color w:val="000000" w:themeColor="text1"/>
          <w:spacing w:val="0"/>
          <w:szCs w:val="21"/>
          <w:highlight w:val="none"/>
          <w14:textFill>
            <w14:solidFill>
              <w14:schemeClr w14:val="tx1"/>
            </w14:solidFill>
          </w14:textFill>
        </w:rPr>
      </w:pPr>
      <w:r>
        <w:rPr>
          <w:rFonts w:hint="eastAsia" w:ascii="Times New Roman" w:hAnsi="Times New Roman" w:eastAsia="宋体" w:cs="宋体"/>
          <w:color w:val="000000" w:themeColor="text1"/>
          <w:spacing w:val="0"/>
          <w:szCs w:val="21"/>
          <w:highlight w:val="none"/>
          <w14:textFill>
            <w14:solidFill>
              <w14:schemeClr w14:val="tx1"/>
            </w14:solidFill>
          </w14:textFill>
        </w:rPr>
        <w:t>4.2在磋商过程中，磋商小组可以根据磋商文件和磋商情况实质性变动采购需求中的技术、服务要求以及合同草案条款，但不得变动磋商文件中的其他内容。实质性变动的内容，须经采购人代表确认。可能实质性变动的内容为采购需求中的技术、服务要求以及合同草案条款。</w:t>
      </w:r>
    </w:p>
    <w:p w14:paraId="4B91A7D3">
      <w:pPr>
        <w:pageBreakBefore w:val="0"/>
        <w:kinsoku/>
        <w:wordWrap/>
        <w:overflowPunct/>
        <w:topLinePunct w:val="0"/>
        <w:autoSpaceDE/>
        <w:autoSpaceDN/>
        <w:bidi w:val="0"/>
        <w:spacing w:line="360" w:lineRule="auto"/>
        <w:ind w:firstLine="420" w:firstLineChars="200"/>
        <w:textAlignment w:val="auto"/>
        <w:rPr>
          <w:rFonts w:hint="eastAsia" w:ascii="Times New Roman" w:hAnsi="Times New Roman" w:eastAsia="宋体" w:cs="宋体"/>
          <w:color w:val="000000" w:themeColor="text1"/>
          <w:spacing w:val="0"/>
          <w:szCs w:val="21"/>
          <w:highlight w:val="none"/>
          <w14:textFill>
            <w14:solidFill>
              <w14:schemeClr w14:val="tx1"/>
            </w14:solidFill>
          </w14:textFill>
        </w:rPr>
      </w:pPr>
      <w:r>
        <w:rPr>
          <w:rFonts w:hint="eastAsia" w:ascii="Times New Roman" w:hAnsi="Times New Roman" w:eastAsia="宋体" w:cs="宋体"/>
          <w:color w:val="000000" w:themeColor="text1"/>
          <w:spacing w:val="0"/>
          <w:szCs w:val="21"/>
          <w:highlight w:val="none"/>
          <w14:textFill>
            <w14:solidFill>
              <w14:schemeClr w14:val="tx1"/>
            </w14:solidFill>
          </w14:textFill>
        </w:rPr>
        <w:t>4.3对磋商文件作出的实质性变动是磋商文件的有效组成部分，由磋商小组及时以电子澄清函形式同时通知所有参加磋商的供应商。</w:t>
      </w:r>
    </w:p>
    <w:p w14:paraId="3AEDDBC8">
      <w:pPr>
        <w:pageBreakBefore w:val="0"/>
        <w:kinsoku/>
        <w:wordWrap/>
        <w:overflowPunct/>
        <w:topLinePunct w:val="0"/>
        <w:autoSpaceDE/>
        <w:autoSpaceDN/>
        <w:bidi w:val="0"/>
        <w:spacing w:line="360" w:lineRule="auto"/>
        <w:ind w:firstLine="420" w:firstLineChars="200"/>
        <w:textAlignment w:val="auto"/>
        <w:rPr>
          <w:rFonts w:hint="eastAsia" w:ascii="Times New Roman" w:hAnsi="Times New Roman" w:eastAsia="宋体" w:cs="宋体"/>
          <w:color w:val="000000" w:themeColor="text1"/>
          <w:spacing w:val="0"/>
          <w:szCs w:val="21"/>
          <w:highlight w:val="none"/>
          <w14:textFill>
            <w14:solidFill>
              <w14:schemeClr w14:val="tx1"/>
            </w14:solidFill>
          </w14:textFill>
        </w:rPr>
      </w:pPr>
      <w:r>
        <w:rPr>
          <w:rFonts w:hint="eastAsia" w:ascii="Times New Roman" w:hAnsi="Times New Roman" w:eastAsia="宋体" w:cs="宋体"/>
          <w:color w:val="000000" w:themeColor="text1"/>
          <w:spacing w:val="0"/>
          <w:szCs w:val="21"/>
          <w:highlight w:val="none"/>
          <w14:textFill>
            <w14:solidFill>
              <w14:schemeClr w14:val="tx1"/>
            </w14:solidFill>
          </w14:textFill>
        </w:rPr>
        <w:t>4.4供应商必须按照磋商文件的变动情况和磋商小组的要求以回函的形式重新提交响应文件，并加盖供应商公章。供应商为自然人的，必须由本人签字并附身份证明。参加磋商的供应商未在规定时间内重新提交响应文件的，视同退出磋商。</w:t>
      </w:r>
    </w:p>
    <w:p w14:paraId="60DC7668">
      <w:pPr>
        <w:pageBreakBefore w:val="0"/>
        <w:kinsoku/>
        <w:wordWrap/>
        <w:overflowPunct/>
        <w:topLinePunct w:val="0"/>
        <w:autoSpaceDE/>
        <w:autoSpaceDN/>
        <w:bidi w:val="0"/>
        <w:spacing w:line="360" w:lineRule="auto"/>
        <w:ind w:firstLine="420" w:firstLineChars="200"/>
        <w:textAlignment w:val="auto"/>
        <w:rPr>
          <w:rFonts w:hint="eastAsia" w:ascii="Times New Roman" w:hAnsi="Times New Roman" w:eastAsia="宋体" w:cs="宋体"/>
          <w:color w:val="000000" w:themeColor="text1"/>
          <w:spacing w:val="0"/>
          <w:szCs w:val="21"/>
          <w:highlight w:val="none"/>
          <w14:textFill>
            <w14:solidFill>
              <w14:schemeClr w14:val="tx1"/>
            </w14:solidFill>
          </w14:textFill>
        </w:rPr>
      </w:pPr>
      <w:r>
        <w:rPr>
          <w:rFonts w:hint="eastAsia" w:ascii="Times New Roman" w:hAnsi="Times New Roman" w:eastAsia="宋体" w:cs="宋体"/>
          <w:color w:val="000000" w:themeColor="text1"/>
          <w:spacing w:val="0"/>
          <w:szCs w:val="21"/>
          <w:highlight w:val="none"/>
          <w14:textFill>
            <w14:solidFill>
              <w14:schemeClr w14:val="tx1"/>
            </w14:solidFill>
          </w14:textFill>
        </w:rPr>
        <w:t>4.5磋商中，磋商的任何一方不得透露与磋商有关的其他供应商的技术资料、价格和其他信息。</w:t>
      </w:r>
    </w:p>
    <w:p w14:paraId="0B50216A">
      <w:pPr>
        <w:pageBreakBefore w:val="0"/>
        <w:widowControl/>
        <w:tabs>
          <w:tab w:val="left" w:pos="540"/>
        </w:tabs>
        <w:kinsoku/>
        <w:wordWrap/>
        <w:overflowPunct/>
        <w:topLinePunct w:val="0"/>
        <w:autoSpaceDE/>
        <w:autoSpaceDN/>
        <w:bidi w:val="0"/>
        <w:spacing w:line="360" w:lineRule="auto"/>
        <w:ind w:firstLine="420" w:firstLineChars="200"/>
        <w:jc w:val="left"/>
        <w:textAlignment w:val="auto"/>
        <w:rPr>
          <w:rFonts w:hint="eastAsia" w:ascii="Times New Roman" w:hAnsi="Times New Roman" w:eastAsia="宋体" w:cs="宋体"/>
          <w:b/>
          <w:color w:val="000000" w:themeColor="text1"/>
          <w:spacing w:val="0"/>
          <w:highlight w:val="none"/>
          <w14:textFill>
            <w14:solidFill>
              <w14:schemeClr w14:val="tx1"/>
            </w14:solidFill>
          </w14:textFill>
        </w:rPr>
      </w:pPr>
      <w:r>
        <w:rPr>
          <w:rFonts w:hint="eastAsia" w:ascii="Times New Roman" w:hAnsi="Times New Roman" w:eastAsia="宋体" w:cs="宋体"/>
          <w:color w:val="000000" w:themeColor="text1"/>
          <w:spacing w:val="0"/>
          <w:szCs w:val="21"/>
          <w:highlight w:val="none"/>
          <w14:textFill>
            <w14:solidFill>
              <w14:schemeClr w14:val="tx1"/>
            </w14:solidFill>
          </w14:textFill>
        </w:rPr>
        <w:t>4.6磋商小组应对磋商过程和重要磋商内容进行记录，作为评审报告一部分，磋商小组在记录上签字确认。</w:t>
      </w:r>
      <w:r>
        <w:rPr>
          <w:rFonts w:hint="eastAsia" w:ascii="Times New Roman" w:hAnsi="Times New Roman" w:eastAsia="宋体" w:cs="宋体"/>
          <w:b/>
          <w:color w:val="000000" w:themeColor="text1"/>
          <w:spacing w:val="0"/>
          <w:highlight w:val="none"/>
          <w14:textFill>
            <w14:solidFill>
              <w14:schemeClr w14:val="tx1"/>
            </w14:solidFill>
          </w14:textFill>
        </w:rPr>
        <w:t>主要内容包括：</w:t>
      </w:r>
    </w:p>
    <w:p w14:paraId="7B79AD04">
      <w:pPr>
        <w:pStyle w:val="73"/>
        <w:pageBreakBefore w:val="0"/>
        <w:kinsoku/>
        <w:wordWrap/>
        <w:overflowPunct/>
        <w:topLinePunct w:val="0"/>
        <w:autoSpaceDE/>
        <w:autoSpaceDN/>
        <w:bidi w:val="0"/>
        <w:spacing w:before="0"/>
        <w:ind w:firstLine="396"/>
        <w:textAlignment w:val="auto"/>
        <w:rPr>
          <w:rFonts w:hint="eastAsia" w:ascii="Times New Roman" w:hAnsi="Times New Roman" w:eastAsia="宋体" w:cs="宋体"/>
          <w:color w:val="000000" w:themeColor="text1"/>
          <w:spacing w:val="0"/>
          <w:kern w:val="2"/>
          <w:sz w:val="21"/>
          <w:szCs w:val="21"/>
          <w:highlight w:val="none"/>
          <w14:textFill>
            <w14:solidFill>
              <w14:schemeClr w14:val="tx1"/>
            </w14:solidFill>
          </w14:textFill>
        </w:rPr>
      </w:pPr>
      <w:r>
        <w:rPr>
          <w:rFonts w:hint="eastAsia" w:ascii="Times New Roman" w:hAnsi="Times New Roman" w:eastAsia="宋体" w:cs="宋体"/>
          <w:color w:val="000000" w:themeColor="text1"/>
          <w:spacing w:val="0"/>
          <w:kern w:val="2"/>
          <w:sz w:val="21"/>
          <w:szCs w:val="21"/>
          <w:highlight w:val="none"/>
          <w14:textFill>
            <w14:solidFill>
              <w14:schemeClr w14:val="tx1"/>
            </w14:solidFill>
          </w14:textFill>
        </w:rPr>
        <w:t>（1）按照相关规定进行公示的，公示情况说明；</w:t>
      </w:r>
    </w:p>
    <w:p w14:paraId="417D8124">
      <w:pPr>
        <w:pStyle w:val="73"/>
        <w:pageBreakBefore w:val="0"/>
        <w:kinsoku/>
        <w:wordWrap/>
        <w:overflowPunct/>
        <w:topLinePunct w:val="0"/>
        <w:autoSpaceDE/>
        <w:autoSpaceDN/>
        <w:bidi w:val="0"/>
        <w:spacing w:before="0"/>
        <w:ind w:firstLine="396"/>
        <w:textAlignment w:val="auto"/>
        <w:rPr>
          <w:rFonts w:hint="eastAsia" w:ascii="Times New Roman" w:hAnsi="Times New Roman" w:eastAsia="宋体" w:cs="宋体"/>
          <w:color w:val="000000" w:themeColor="text1"/>
          <w:spacing w:val="0"/>
          <w:kern w:val="2"/>
          <w:sz w:val="21"/>
          <w:szCs w:val="21"/>
          <w:highlight w:val="none"/>
          <w14:textFill>
            <w14:solidFill>
              <w14:schemeClr w14:val="tx1"/>
            </w14:solidFill>
          </w14:textFill>
        </w:rPr>
      </w:pPr>
      <w:r>
        <w:rPr>
          <w:rFonts w:hint="eastAsia" w:ascii="Times New Roman" w:hAnsi="Times New Roman" w:eastAsia="宋体" w:cs="宋体"/>
          <w:color w:val="000000" w:themeColor="text1"/>
          <w:spacing w:val="0"/>
          <w:kern w:val="2"/>
          <w:sz w:val="21"/>
          <w:szCs w:val="21"/>
          <w:highlight w:val="none"/>
          <w14:textFill>
            <w14:solidFill>
              <w14:schemeClr w14:val="tx1"/>
            </w14:solidFill>
          </w14:textFill>
        </w:rPr>
        <w:t>（2）磋商日期和地点，磋商人员名单；</w:t>
      </w:r>
    </w:p>
    <w:p w14:paraId="563D8CB6">
      <w:pPr>
        <w:pStyle w:val="73"/>
        <w:pageBreakBefore w:val="0"/>
        <w:kinsoku/>
        <w:wordWrap/>
        <w:overflowPunct/>
        <w:topLinePunct w:val="0"/>
        <w:autoSpaceDE/>
        <w:autoSpaceDN/>
        <w:bidi w:val="0"/>
        <w:spacing w:before="0"/>
        <w:ind w:firstLine="396"/>
        <w:textAlignment w:val="auto"/>
        <w:rPr>
          <w:rFonts w:hint="eastAsia" w:ascii="Times New Roman" w:hAnsi="Times New Roman" w:eastAsia="宋体" w:cs="宋体"/>
          <w:color w:val="000000" w:themeColor="text1"/>
          <w:spacing w:val="0"/>
          <w:kern w:val="2"/>
          <w:sz w:val="21"/>
          <w:szCs w:val="21"/>
          <w:highlight w:val="none"/>
          <w14:textFill>
            <w14:solidFill>
              <w14:schemeClr w14:val="tx1"/>
            </w14:solidFill>
          </w14:textFill>
        </w:rPr>
      </w:pPr>
      <w:r>
        <w:rPr>
          <w:rFonts w:hint="eastAsia" w:ascii="Times New Roman" w:hAnsi="Times New Roman" w:eastAsia="宋体" w:cs="宋体"/>
          <w:color w:val="000000" w:themeColor="text1"/>
          <w:spacing w:val="0"/>
          <w:kern w:val="2"/>
          <w:sz w:val="21"/>
          <w:szCs w:val="21"/>
          <w:highlight w:val="none"/>
          <w14:textFill>
            <w14:solidFill>
              <w14:schemeClr w14:val="tx1"/>
            </w14:solidFill>
          </w14:textFill>
        </w:rPr>
        <w:t>（3）合同主要条款及价格商定情况。</w:t>
      </w:r>
    </w:p>
    <w:p w14:paraId="2185CBF0">
      <w:pPr>
        <w:pageBreakBefore w:val="0"/>
        <w:widowControl/>
        <w:tabs>
          <w:tab w:val="left" w:pos="540"/>
        </w:tabs>
        <w:kinsoku/>
        <w:wordWrap/>
        <w:overflowPunct/>
        <w:topLinePunct w:val="0"/>
        <w:autoSpaceDE/>
        <w:autoSpaceDN/>
        <w:bidi w:val="0"/>
        <w:spacing w:line="360" w:lineRule="auto"/>
        <w:ind w:firstLine="420" w:firstLineChars="200"/>
        <w:jc w:val="left"/>
        <w:textAlignment w:val="auto"/>
        <w:rPr>
          <w:rFonts w:hint="eastAsia" w:ascii="Times New Roman" w:hAnsi="Times New Roman" w:eastAsia="宋体" w:cs="宋体"/>
          <w:color w:val="000000" w:themeColor="text1"/>
          <w:spacing w:val="0"/>
          <w:szCs w:val="21"/>
          <w:highlight w:val="none"/>
          <w14:textFill>
            <w14:solidFill>
              <w14:schemeClr w14:val="tx1"/>
            </w14:solidFill>
          </w14:textFill>
        </w:rPr>
      </w:pPr>
      <w:r>
        <w:rPr>
          <w:rFonts w:hint="eastAsia" w:ascii="Times New Roman" w:hAnsi="Times New Roman" w:eastAsia="宋体" w:cs="宋体"/>
          <w:color w:val="000000" w:themeColor="text1"/>
          <w:spacing w:val="0"/>
          <w:szCs w:val="21"/>
          <w:highlight w:val="none"/>
          <w14:textFill>
            <w14:solidFill>
              <w14:schemeClr w14:val="tx1"/>
            </w14:solidFill>
          </w14:textFill>
        </w:rPr>
        <w:t>4.7磋商过程中重新提交的响应文件，供应商可以在开启前补充、修改。</w:t>
      </w:r>
    </w:p>
    <w:p w14:paraId="1BCC3FC0">
      <w:pPr>
        <w:pageBreakBefore w:val="0"/>
        <w:tabs>
          <w:tab w:val="left" w:pos="2835"/>
        </w:tabs>
        <w:kinsoku/>
        <w:wordWrap/>
        <w:overflowPunct/>
        <w:topLinePunct w:val="0"/>
        <w:autoSpaceDE/>
        <w:autoSpaceDN/>
        <w:bidi w:val="0"/>
        <w:spacing w:line="360" w:lineRule="auto"/>
        <w:ind w:firstLine="420" w:firstLineChars="200"/>
        <w:textAlignment w:val="auto"/>
        <w:rPr>
          <w:rFonts w:hint="eastAsia" w:ascii="Times New Roman" w:hAnsi="Times New Roman" w:eastAsia="宋体" w:cs="宋体"/>
          <w:color w:val="000000" w:themeColor="text1"/>
          <w:spacing w:val="0"/>
          <w:szCs w:val="21"/>
          <w:highlight w:val="none"/>
          <w14:textFill>
            <w14:solidFill>
              <w14:schemeClr w14:val="tx1"/>
            </w14:solidFill>
          </w14:textFill>
        </w:rPr>
      </w:pPr>
      <w:r>
        <w:rPr>
          <w:rFonts w:hint="eastAsia" w:ascii="Times New Roman" w:hAnsi="Times New Roman" w:eastAsia="宋体" w:cs="宋体"/>
          <w:color w:val="000000" w:themeColor="text1"/>
          <w:spacing w:val="0"/>
          <w:szCs w:val="21"/>
          <w:highlight w:val="none"/>
          <w14:textFill>
            <w14:solidFill>
              <w14:schemeClr w14:val="tx1"/>
            </w14:solidFill>
          </w14:textFill>
        </w:rPr>
        <w:t>4.8对磋商过程提交的响应文件进行有效性、完整性和响应程度审查，通过审查的合格供应商不足3家的，采购人或者采购代理机构应当重新开展采购活动。</w:t>
      </w:r>
    </w:p>
    <w:p w14:paraId="43D7A3A9">
      <w:pPr>
        <w:pageBreakBefore w:val="0"/>
        <w:kinsoku/>
        <w:wordWrap/>
        <w:overflowPunct/>
        <w:topLinePunct w:val="0"/>
        <w:autoSpaceDE/>
        <w:autoSpaceDN/>
        <w:bidi w:val="0"/>
        <w:spacing w:line="360" w:lineRule="auto"/>
        <w:textAlignment w:val="auto"/>
        <w:outlineLvl w:val="2"/>
        <w:rPr>
          <w:rFonts w:hint="eastAsia" w:ascii="Times New Roman" w:hAnsi="Times New Roman" w:eastAsia="宋体" w:cs="宋体"/>
          <w:b/>
          <w:bCs/>
          <w:color w:val="000000" w:themeColor="text1"/>
          <w:spacing w:val="0"/>
          <w:sz w:val="21"/>
          <w:szCs w:val="21"/>
          <w:highlight w:val="none"/>
          <w14:textFill>
            <w14:solidFill>
              <w14:schemeClr w14:val="tx1"/>
            </w14:solidFill>
          </w14:textFill>
        </w:rPr>
      </w:pPr>
      <w:bookmarkStart w:id="174" w:name="_Toc12670"/>
      <w:r>
        <w:rPr>
          <w:rFonts w:hint="eastAsia" w:ascii="Times New Roman" w:hAnsi="Times New Roman" w:eastAsia="宋体" w:cs="宋体"/>
          <w:b/>
          <w:bCs/>
          <w:color w:val="000000" w:themeColor="text1"/>
          <w:spacing w:val="0"/>
          <w:sz w:val="21"/>
          <w:szCs w:val="21"/>
          <w:highlight w:val="none"/>
          <w14:textFill>
            <w14:solidFill>
              <w14:schemeClr w14:val="tx1"/>
            </w14:solidFill>
          </w14:textFill>
        </w:rPr>
        <w:t>5.最后报价</w:t>
      </w:r>
      <w:bookmarkEnd w:id="174"/>
    </w:p>
    <w:p w14:paraId="1506D4E8">
      <w:pPr>
        <w:pageBreakBefore w:val="0"/>
        <w:kinsoku/>
        <w:wordWrap/>
        <w:overflowPunct/>
        <w:topLinePunct w:val="0"/>
        <w:autoSpaceDE/>
        <w:autoSpaceDN/>
        <w:bidi w:val="0"/>
        <w:spacing w:line="360" w:lineRule="auto"/>
        <w:ind w:firstLine="420" w:firstLineChars="200"/>
        <w:textAlignment w:val="auto"/>
        <w:rPr>
          <w:rFonts w:hint="eastAsia" w:ascii="Times New Roman" w:hAnsi="Times New Roman" w:eastAsia="宋体" w:cs="宋体"/>
          <w:color w:val="000000" w:themeColor="text1"/>
          <w:spacing w:val="0"/>
          <w:sz w:val="21"/>
          <w:szCs w:val="21"/>
          <w:highlight w:val="none"/>
          <w14:textFill>
            <w14:solidFill>
              <w14:schemeClr w14:val="tx1"/>
            </w14:solidFill>
          </w14:textFill>
        </w:rPr>
      </w:pPr>
      <w:r>
        <w:rPr>
          <w:rFonts w:hint="eastAsia" w:ascii="Times New Roman" w:hAnsi="Times New Roman" w:eastAsia="宋体" w:cs="宋体"/>
          <w:color w:val="000000" w:themeColor="text1"/>
          <w:spacing w:val="0"/>
          <w:sz w:val="21"/>
          <w:szCs w:val="21"/>
          <w:highlight w:val="none"/>
          <w14:textFill>
            <w14:solidFill>
              <w14:schemeClr w14:val="tx1"/>
            </w14:solidFill>
          </w14:textFill>
        </w:rPr>
        <w:t>5.1磋商文件能够详细列明采购标的的技术、服务要求的，磋商结束后，由磋商小组要求所有继续参加磋商的供应商在规定时间内密封提交最后报价，除本章第</w:t>
      </w:r>
      <w:r>
        <w:rPr>
          <w:rFonts w:hint="eastAsia" w:cs="宋体"/>
          <w:color w:val="000000" w:themeColor="text1"/>
          <w:spacing w:val="0"/>
          <w:sz w:val="21"/>
          <w:szCs w:val="21"/>
          <w:highlight w:val="none"/>
          <w:lang w:val="en-US" w:eastAsia="zh-CN"/>
          <w14:textFill>
            <w14:solidFill>
              <w14:schemeClr w14:val="tx1"/>
            </w14:solidFill>
          </w14:textFill>
        </w:rPr>
        <w:t>3</w:t>
      </w:r>
      <w:r>
        <w:rPr>
          <w:rFonts w:hint="eastAsia" w:ascii="Times New Roman" w:hAnsi="Times New Roman" w:eastAsia="宋体" w:cs="宋体"/>
          <w:color w:val="000000" w:themeColor="text1"/>
          <w:spacing w:val="0"/>
          <w:sz w:val="21"/>
          <w:szCs w:val="21"/>
          <w:highlight w:val="none"/>
          <w14:textFill>
            <w14:solidFill>
              <w14:schemeClr w14:val="tx1"/>
            </w14:solidFill>
          </w14:textFill>
        </w:rPr>
        <w:t>.</w:t>
      </w:r>
      <w:r>
        <w:rPr>
          <w:rFonts w:hint="eastAsia" w:cs="宋体"/>
          <w:color w:val="000000" w:themeColor="text1"/>
          <w:spacing w:val="0"/>
          <w:sz w:val="21"/>
          <w:szCs w:val="21"/>
          <w:highlight w:val="none"/>
          <w:lang w:val="en-US" w:eastAsia="zh-CN"/>
          <w14:textFill>
            <w14:solidFill>
              <w14:schemeClr w14:val="tx1"/>
            </w14:solidFill>
          </w14:textFill>
        </w:rPr>
        <w:t>7</w:t>
      </w:r>
      <w:r>
        <w:rPr>
          <w:rFonts w:hint="eastAsia" w:ascii="Times New Roman" w:hAnsi="Times New Roman" w:eastAsia="宋体" w:cs="宋体"/>
          <w:color w:val="000000" w:themeColor="text1"/>
          <w:spacing w:val="0"/>
          <w:sz w:val="21"/>
          <w:szCs w:val="21"/>
          <w:highlight w:val="none"/>
          <w14:textFill>
            <w14:solidFill>
              <w14:schemeClr w14:val="tx1"/>
            </w14:solidFill>
          </w14:textFill>
        </w:rPr>
        <w:t>条外，提交最后报价的供应商不得少于3家，否则必须重新采购。</w:t>
      </w:r>
    </w:p>
    <w:p w14:paraId="6D25E2E7">
      <w:pPr>
        <w:pageBreakBefore w:val="0"/>
        <w:kinsoku/>
        <w:wordWrap/>
        <w:overflowPunct/>
        <w:topLinePunct w:val="0"/>
        <w:autoSpaceDE/>
        <w:autoSpaceDN/>
        <w:bidi w:val="0"/>
        <w:spacing w:line="360" w:lineRule="auto"/>
        <w:ind w:firstLine="420" w:firstLineChars="200"/>
        <w:textAlignment w:val="auto"/>
        <w:rPr>
          <w:rFonts w:hint="eastAsia" w:ascii="Times New Roman" w:hAnsi="Times New Roman" w:eastAsia="宋体" w:cs="宋体"/>
          <w:color w:val="000000" w:themeColor="text1"/>
          <w:spacing w:val="0"/>
          <w:sz w:val="21"/>
          <w:szCs w:val="21"/>
          <w:highlight w:val="none"/>
          <w14:textFill>
            <w14:solidFill>
              <w14:schemeClr w14:val="tx1"/>
            </w14:solidFill>
          </w14:textFill>
        </w:rPr>
      </w:pPr>
      <w:r>
        <w:rPr>
          <w:rFonts w:hint="eastAsia" w:ascii="Times New Roman" w:hAnsi="Times New Roman" w:eastAsia="宋体" w:cs="宋体"/>
          <w:color w:val="000000" w:themeColor="text1"/>
          <w:spacing w:val="0"/>
          <w:sz w:val="21"/>
          <w:szCs w:val="21"/>
          <w:highlight w:val="none"/>
          <w14:textFill>
            <w14:solidFill>
              <w14:schemeClr w14:val="tx1"/>
            </w14:solidFill>
          </w14:textFill>
        </w:rPr>
        <w:t>5.2磋商文件不能详细列明采购标的的技术、服务要求，需经磋商由供应商提供最后设计方案或者解决方案的，磋商结束后，由磋商小组按照少数服从多数的原则投票推荐3家以上供应商的设计方案或者解决方案，并要求其在规定时间内密封提交最后报价。</w:t>
      </w:r>
    </w:p>
    <w:p w14:paraId="7353EEFA">
      <w:pPr>
        <w:pageBreakBefore w:val="0"/>
        <w:kinsoku/>
        <w:wordWrap/>
        <w:overflowPunct/>
        <w:topLinePunct w:val="0"/>
        <w:autoSpaceDE/>
        <w:autoSpaceDN/>
        <w:bidi w:val="0"/>
        <w:spacing w:line="360" w:lineRule="auto"/>
        <w:ind w:firstLine="420" w:firstLineChars="200"/>
        <w:textAlignment w:val="auto"/>
        <w:rPr>
          <w:rFonts w:hint="eastAsia" w:ascii="Times New Roman" w:hAnsi="Times New Roman" w:eastAsia="宋体" w:cs="宋体"/>
          <w:color w:val="000000" w:themeColor="text1"/>
          <w:spacing w:val="0"/>
          <w:sz w:val="21"/>
          <w:szCs w:val="21"/>
          <w:highlight w:val="none"/>
          <w14:textFill>
            <w14:solidFill>
              <w14:schemeClr w14:val="tx1"/>
            </w14:solidFill>
          </w14:textFill>
        </w:rPr>
      </w:pPr>
      <w:r>
        <w:rPr>
          <w:rFonts w:hint="eastAsia" w:ascii="Times New Roman" w:hAnsi="Times New Roman" w:eastAsia="宋体" w:cs="宋体"/>
          <w:color w:val="000000" w:themeColor="text1"/>
          <w:spacing w:val="0"/>
          <w:sz w:val="21"/>
          <w:szCs w:val="21"/>
          <w:highlight w:val="none"/>
          <w14:textFill>
            <w14:solidFill>
              <w14:schemeClr w14:val="tx1"/>
            </w14:solidFill>
          </w14:textFill>
        </w:rPr>
        <w:t>5.3 最后报价是供应商响应文件的有效组成部分。</w:t>
      </w:r>
    </w:p>
    <w:p w14:paraId="7AF1100A">
      <w:pPr>
        <w:pageBreakBefore w:val="0"/>
        <w:kinsoku/>
        <w:wordWrap/>
        <w:overflowPunct/>
        <w:topLinePunct w:val="0"/>
        <w:autoSpaceDE/>
        <w:autoSpaceDN/>
        <w:bidi w:val="0"/>
        <w:spacing w:line="360" w:lineRule="auto"/>
        <w:ind w:firstLine="420" w:firstLineChars="200"/>
        <w:textAlignment w:val="auto"/>
        <w:rPr>
          <w:rFonts w:hint="eastAsia" w:ascii="Times New Roman" w:hAnsi="Times New Roman" w:eastAsia="宋体" w:cs="宋体"/>
          <w:color w:val="000000" w:themeColor="text1"/>
          <w:spacing w:val="0"/>
          <w:sz w:val="21"/>
          <w:szCs w:val="21"/>
          <w:highlight w:val="none"/>
          <w14:textFill>
            <w14:solidFill>
              <w14:schemeClr w14:val="tx1"/>
            </w14:solidFill>
          </w14:textFill>
        </w:rPr>
      </w:pPr>
      <w:r>
        <w:rPr>
          <w:rFonts w:hint="eastAsia" w:ascii="Times New Roman" w:hAnsi="Times New Roman" w:eastAsia="宋体" w:cs="宋体"/>
          <w:color w:val="000000" w:themeColor="text1"/>
          <w:spacing w:val="0"/>
          <w:sz w:val="21"/>
          <w:szCs w:val="21"/>
          <w:highlight w:val="none"/>
          <w14:textFill>
            <w14:solidFill>
              <w14:schemeClr w14:val="tx1"/>
            </w14:solidFill>
          </w14:textFill>
        </w:rPr>
        <w:t>5.4已经提交响应文件的供应商，在提交最后报价之前，可以根据磋商情况退出磋商，退出磋商的供应商的响应文件按无效响应处理。</w:t>
      </w:r>
    </w:p>
    <w:p w14:paraId="081182E6">
      <w:pPr>
        <w:pageBreakBefore w:val="0"/>
        <w:kinsoku/>
        <w:wordWrap/>
        <w:overflowPunct/>
        <w:topLinePunct w:val="0"/>
        <w:autoSpaceDE/>
        <w:autoSpaceDN/>
        <w:bidi w:val="0"/>
        <w:spacing w:line="360" w:lineRule="auto"/>
        <w:ind w:firstLine="420" w:firstLineChars="200"/>
        <w:textAlignment w:val="auto"/>
        <w:rPr>
          <w:rFonts w:hint="eastAsia" w:ascii="Times New Roman" w:hAnsi="Times New Roman" w:eastAsia="宋体" w:cs="宋体"/>
          <w:color w:val="000000" w:themeColor="text1"/>
          <w:spacing w:val="0"/>
          <w:sz w:val="21"/>
          <w:szCs w:val="21"/>
          <w:highlight w:val="none"/>
          <w14:textFill>
            <w14:solidFill>
              <w14:schemeClr w14:val="tx1"/>
            </w14:solidFill>
          </w14:textFill>
        </w:rPr>
      </w:pPr>
      <w:r>
        <w:rPr>
          <w:rFonts w:hint="eastAsia" w:ascii="Times New Roman" w:hAnsi="Times New Roman" w:eastAsia="宋体" w:cs="宋体"/>
          <w:color w:val="000000" w:themeColor="text1"/>
          <w:spacing w:val="0"/>
          <w:sz w:val="21"/>
          <w:szCs w:val="21"/>
          <w:highlight w:val="none"/>
          <w14:textFill>
            <w14:solidFill>
              <w14:schemeClr w14:val="tx1"/>
            </w14:solidFill>
          </w14:textFill>
        </w:rPr>
        <w:t>5.5供应商未在规定时间内提交最后报价的，视同退出磋商，其响应文件按无效处理。</w:t>
      </w:r>
    </w:p>
    <w:p w14:paraId="551E58BD">
      <w:pPr>
        <w:pageBreakBefore w:val="0"/>
        <w:kinsoku/>
        <w:wordWrap/>
        <w:overflowPunct/>
        <w:topLinePunct w:val="0"/>
        <w:autoSpaceDE/>
        <w:autoSpaceDN/>
        <w:bidi w:val="0"/>
        <w:spacing w:line="360" w:lineRule="auto"/>
        <w:ind w:firstLine="420" w:firstLineChars="200"/>
        <w:textAlignment w:val="auto"/>
        <w:rPr>
          <w:rFonts w:hint="eastAsia" w:ascii="Times New Roman" w:hAnsi="Times New Roman" w:eastAsia="宋体" w:cs="宋体"/>
          <w:color w:val="000000" w:themeColor="text1"/>
          <w:spacing w:val="0"/>
          <w:sz w:val="21"/>
          <w:szCs w:val="21"/>
          <w:highlight w:val="none"/>
          <w14:textFill>
            <w14:solidFill>
              <w14:schemeClr w14:val="tx1"/>
            </w14:solidFill>
          </w14:textFill>
        </w:rPr>
      </w:pPr>
      <w:r>
        <w:rPr>
          <w:rFonts w:hint="eastAsia" w:ascii="Times New Roman" w:hAnsi="Times New Roman" w:eastAsia="宋体" w:cs="宋体"/>
          <w:color w:val="000000" w:themeColor="text1"/>
          <w:spacing w:val="0"/>
          <w:sz w:val="21"/>
          <w:szCs w:val="21"/>
          <w:highlight w:val="none"/>
          <w14:textFill>
            <w14:solidFill>
              <w14:schemeClr w14:val="tx1"/>
            </w14:solidFill>
          </w14:textFill>
        </w:rPr>
        <w:t>5.6磋商小组收齐本项目最后报价后统一开启，磋商小组对最后报价进行有效性、完整性和响应程度的审查。</w:t>
      </w:r>
    </w:p>
    <w:p w14:paraId="0C0ABC90">
      <w:pPr>
        <w:pageBreakBefore w:val="0"/>
        <w:kinsoku/>
        <w:wordWrap/>
        <w:overflowPunct/>
        <w:topLinePunct w:val="0"/>
        <w:autoSpaceDE/>
        <w:autoSpaceDN/>
        <w:bidi w:val="0"/>
        <w:spacing w:line="360" w:lineRule="auto"/>
        <w:ind w:firstLine="420" w:firstLineChars="200"/>
        <w:textAlignment w:val="auto"/>
        <w:rPr>
          <w:rFonts w:hint="eastAsia" w:ascii="Times New Roman" w:hAnsi="Times New Roman" w:eastAsia="宋体" w:cs="宋体"/>
          <w:color w:val="000000" w:themeColor="text1"/>
          <w:spacing w:val="0"/>
          <w:sz w:val="21"/>
          <w:szCs w:val="21"/>
          <w:highlight w:val="none"/>
          <w14:textFill>
            <w14:solidFill>
              <w14:schemeClr w14:val="tx1"/>
            </w14:solidFill>
          </w14:textFill>
        </w:rPr>
      </w:pPr>
      <w:r>
        <w:rPr>
          <w:rFonts w:hint="eastAsia" w:ascii="Times New Roman" w:hAnsi="Times New Roman" w:eastAsia="宋体" w:cs="宋体"/>
          <w:color w:val="000000" w:themeColor="text1"/>
          <w:spacing w:val="0"/>
          <w:sz w:val="21"/>
          <w:szCs w:val="21"/>
          <w:highlight w:val="none"/>
          <w14:textFill>
            <w14:solidFill>
              <w14:schemeClr w14:val="tx1"/>
            </w14:solidFill>
          </w14:textFill>
        </w:rPr>
        <w:t xml:space="preserve">5.7最终响应文件的报价出现前后不一致的，按照本章第3.4条的规定修正。 </w:t>
      </w:r>
    </w:p>
    <w:p w14:paraId="0BD91B2C">
      <w:pPr>
        <w:pageBreakBefore w:val="0"/>
        <w:kinsoku/>
        <w:wordWrap/>
        <w:overflowPunct/>
        <w:topLinePunct w:val="0"/>
        <w:autoSpaceDE/>
        <w:autoSpaceDN/>
        <w:bidi w:val="0"/>
        <w:spacing w:line="360" w:lineRule="auto"/>
        <w:ind w:firstLine="420" w:firstLineChars="200"/>
        <w:textAlignment w:val="auto"/>
        <w:rPr>
          <w:rFonts w:hint="eastAsia" w:ascii="Times New Roman" w:hAnsi="Times New Roman" w:eastAsia="宋体" w:cs="宋体"/>
          <w:color w:val="000000" w:themeColor="text1"/>
          <w:spacing w:val="0"/>
          <w:sz w:val="21"/>
          <w:szCs w:val="21"/>
          <w:highlight w:val="none"/>
          <w14:textFill>
            <w14:solidFill>
              <w14:schemeClr w14:val="tx1"/>
            </w14:solidFill>
          </w14:textFill>
        </w:rPr>
      </w:pPr>
      <w:r>
        <w:rPr>
          <w:rFonts w:hint="eastAsia" w:ascii="Times New Roman" w:hAnsi="Times New Roman" w:eastAsia="宋体" w:cs="宋体"/>
          <w:color w:val="000000" w:themeColor="text1"/>
          <w:spacing w:val="0"/>
          <w:sz w:val="21"/>
          <w:szCs w:val="21"/>
          <w:highlight w:val="none"/>
          <w14:textFill>
            <w14:solidFill>
              <w14:schemeClr w14:val="tx1"/>
            </w14:solidFill>
          </w14:textFill>
        </w:rPr>
        <w:t>5.8修正后的最后报价出现下列情形的，按无效响应处理：</w:t>
      </w:r>
    </w:p>
    <w:p w14:paraId="2624F595">
      <w:pPr>
        <w:pageBreakBefore w:val="0"/>
        <w:kinsoku/>
        <w:wordWrap/>
        <w:overflowPunct/>
        <w:topLinePunct w:val="0"/>
        <w:autoSpaceDE/>
        <w:autoSpaceDN/>
        <w:bidi w:val="0"/>
        <w:spacing w:line="360" w:lineRule="auto"/>
        <w:ind w:firstLine="420" w:firstLineChars="200"/>
        <w:textAlignment w:val="auto"/>
        <w:rPr>
          <w:rFonts w:hint="eastAsia" w:ascii="Times New Roman" w:hAnsi="Times New Roman" w:eastAsia="宋体" w:cs="宋体"/>
          <w:color w:val="000000" w:themeColor="text1"/>
          <w:spacing w:val="0"/>
          <w:sz w:val="21"/>
          <w:szCs w:val="21"/>
          <w:highlight w:val="none"/>
          <w14:textFill>
            <w14:solidFill>
              <w14:schemeClr w14:val="tx1"/>
            </w14:solidFill>
          </w14:textFill>
        </w:rPr>
      </w:pPr>
      <w:r>
        <w:rPr>
          <w:rFonts w:hint="eastAsia" w:ascii="Times New Roman" w:hAnsi="Times New Roman" w:eastAsia="宋体" w:cs="宋体"/>
          <w:color w:val="000000" w:themeColor="text1"/>
          <w:spacing w:val="0"/>
          <w:sz w:val="21"/>
          <w:szCs w:val="21"/>
          <w:highlight w:val="none"/>
          <w14:textFill>
            <w14:solidFill>
              <w14:schemeClr w14:val="tx1"/>
            </w14:solidFill>
          </w14:textFill>
        </w:rPr>
        <w:t>（1）供应商不确认的（全流程电子化评标采取在线确认）；</w:t>
      </w:r>
    </w:p>
    <w:p w14:paraId="4D0BF3A0">
      <w:pPr>
        <w:pageBreakBefore w:val="0"/>
        <w:kinsoku/>
        <w:wordWrap/>
        <w:overflowPunct/>
        <w:topLinePunct w:val="0"/>
        <w:autoSpaceDE/>
        <w:autoSpaceDN/>
        <w:bidi w:val="0"/>
        <w:spacing w:line="360" w:lineRule="auto"/>
        <w:ind w:firstLine="420" w:firstLineChars="200"/>
        <w:textAlignment w:val="auto"/>
        <w:rPr>
          <w:rFonts w:hint="eastAsia" w:ascii="Times New Roman" w:hAnsi="Times New Roman" w:eastAsia="宋体" w:cs="宋体"/>
          <w:color w:val="000000" w:themeColor="text1"/>
          <w:spacing w:val="0"/>
          <w:sz w:val="21"/>
          <w:szCs w:val="21"/>
          <w:highlight w:val="none"/>
          <w14:textFill>
            <w14:solidFill>
              <w14:schemeClr w14:val="tx1"/>
            </w14:solidFill>
          </w14:textFill>
        </w:rPr>
      </w:pPr>
      <w:r>
        <w:rPr>
          <w:rFonts w:hint="eastAsia" w:ascii="Times New Roman" w:hAnsi="Times New Roman" w:eastAsia="宋体" w:cs="宋体"/>
          <w:color w:val="000000" w:themeColor="text1"/>
          <w:spacing w:val="0"/>
          <w:sz w:val="21"/>
          <w:szCs w:val="21"/>
          <w:highlight w:val="none"/>
          <w14:textFill>
            <w14:solidFill>
              <w14:schemeClr w14:val="tx1"/>
            </w14:solidFill>
          </w14:textFill>
        </w:rPr>
        <w:t>（2）经供应商确认修正后的响应报价（包含首次报价、最后报价）超过所竞标项目规定的采购预算金额或者最高限价的（如本项目公布了最高限价）；</w:t>
      </w:r>
    </w:p>
    <w:p w14:paraId="26C2542E">
      <w:pPr>
        <w:pageBreakBefore w:val="0"/>
        <w:kinsoku/>
        <w:wordWrap/>
        <w:overflowPunct/>
        <w:topLinePunct w:val="0"/>
        <w:autoSpaceDE/>
        <w:autoSpaceDN/>
        <w:bidi w:val="0"/>
        <w:spacing w:line="360" w:lineRule="auto"/>
        <w:ind w:firstLine="420" w:firstLineChars="200"/>
        <w:textAlignment w:val="auto"/>
        <w:rPr>
          <w:rFonts w:hint="eastAsia" w:ascii="Times New Roman" w:hAnsi="Times New Roman" w:eastAsia="宋体" w:cs="宋体"/>
          <w:color w:val="000000" w:themeColor="text1"/>
          <w:spacing w:val="0"/>
          <w:sz w:val="21"/>
          <w:szCs w:val="21"/>
          <w:highlight w:val="none"/>
          <w14:textFill>
            <w14:solidFill>
              <w14:schemeClr w14:val="tx1"/>
            </w14:solidFill>
          </w14:textFill>
        </w:rPr>
      </w:pPr>
      <w:r>
        <w:rPr>
          <w:rFonts w:hint="eastAsia" w:ascii="Times New Roman" w:hAnsi="Times New Roman" w:eastAsia="宋体" w:cs="宋体"/>
          <w:color w:val="000000" w:themeColor="text1"/>
          <w:spacing w:val="0"/>
          <w:sz w:val="21"/>
          <w:szCs w:val="21"/>
          <w:highlight w:val="none"/>
          <w14:textFill>
            <w14:solidFill>
              <w14:schemeClr w14:val="tx1"/>
            </w14:solidFill>
          </w14:textFill>
        </w:rPr>
        <w:t>（3）经供应商确认修正后的响应报价（包含首次报价、最后报价）超过分项采购预算金额或者最高限价的（如本项目公布了最高限价）。</w:t>
      </w:r>
    </w:p>
    <w:p w14:paraId="43CE2ED4">
      <w:pPr>
        <w:pageBreakBefore w:val="0"/>
        <w:kinsoku/>
        <w:wordWrap/>
        <w:overflowPunct/>
        <w:topLinePunct w:val="0"/>
        <w:autoSpaceDE/>
        <w:autoSpaceDN/>
        <w:bidi w:val="0"/>
        <w:spacing w:line="360" w:lineRule="auto"/>
        <w:ind w:firstLine="420" w:firstLineChars="200"/>
        <w:textAlignment w:val="auto"/>
        <w:rPr>
          <w:rFonts w:hint="eastAsia" w:ascii="Times New Roman" w:hAnsi="Times New Roman" w:eastAsia="宋体" w:cs="宋体"/>
          <w:color w:val="000000" w:themeColor="text1"/>
          <w:spacing w:val="0"/>
          <w:sz w:val="21"/>
          <w:szCs w:val="21"/>
          <w:highlight w:val="none"/>
          <w14:textFill>
            <w14:solidFill>
              <w14:schemeClr w14:val="tx1"/>
            </w14:solidFill>
          </w14:textFill>
        </w:rPr>
      </w:pPr>
      <w:r>
        <w:rPr>
          <w:rFonts w:hint="eastAsia" w:ascii="Times New Roman" w:hAnsi="Times New Roman" w:eastAsia="宋体" w:cs="宋体"/>
          <w:color w:val="000000" w:themeColor="text1"/>
          <w:spacing w:val="0"/>
          <w:sz w:val="21"/>
          <w:szCs w:val="21"/>
          <w:highlight w:val="none"/>
          <w14:textFill>
            <w14:solidFill>
              <w14:schemeClr w14:val="tx1"/>
            </w14:solidFill>
          </w14:textFill>
        </w:rPr>
        <w:t>5.9经供应商确认修正后的最后报价作为评审及签订合同的依据。</w:t>
      </w:r>
    </w:p>
    <w:p w14:paraId="15CA6CDB">
      <w:pPr>
        <w:pageBreakBefore w:val="0"/>
        <w:kinsoku/>
        <w:wordWrap/>
        <w:overflowPunct/>
        <w:topLinePunct w:val="0"/>
        <w:autoSpaceDE/>
        <w:autoSpaceDN/>
        <w:bidi w:val="0"/>
        <w:spacing w:line="360" w:lineRule="auto"/>
        <w:ind w:firstLine="420" w:firstLineChars="200"/>
        <w:textAlignment w:val="auto"/>
        <w:rPr>
          <w:rFonts w:hint="eastAsia" w:ascii="Times New Roman" w:hAnsi="Times New Roman" w:eastAsia="宋体" w:cs="宋体"/>
          <w:color w:val="000000" w:themeColor="text1"/>
          <w:spacing w:val="0"/>
          <w:sz w:val="21"/>
          <w:szCs w:val="21"/>
          <w:highlight w:val="none"/>
          <w14:textFill>
            <w14:solidFill>
              <w14:schemeClr w14:val="tx1"/>
            </w14:solidFill>
          </w14:textFill>
        </w:rPr>
      </w:pPr>
      <w:r>
        <w:rPr>
          <w:rFonts w:hint="eastAsia" w:ascii="Times New Roman" w:hAnsi="Times New Roman" w:eastAsia="宋体" w:cs="宋体"/>
          <w:color w:val="000000" w:themeColor="text1"/>
          <w:spacing w:val="0"/>
          <w:sz w:val="21"/>
          <w:szCs w:val="21"/>
          <w:highlight w:val="none"/>
          <w14:textFill>
            <w14:solidFill>
              <w14:schemeClr w14:val="tx1"/>
            </w14:solidFill>
          </w14:textFill>
        </w:rPr>
        <w:t>5.10供应商出现最后报价按无效响应处理或者响应文件按无效处理时，磋商小组应当告知有关供应商。</w:t>
      </w:r>
    </w:p>
    <w:p w14:paraId="767DC869">
      <w:pPr>
        <w:pageBreakBefore w:val="0"/>
        <w:kinsoku/>
        <w:wordWrap/>
        <w:overflowPunct/>
        <w:topLinePunct w:val="0"/>
        <w:autoSpaceDE/>
        <w:autoSpaceDN/>
        <w:bidi w:val="0"/>
        <w:spacing w:line="360" w:lineRule="auto"/>
        <w:ind w:firstLine="420" w:firstLineChars="200"/>
        <w:textAlignment w:val="auto"/>
        <w:rPr>
          <w:rFonts w:hint="eastAsia" w:ascii="Times New Roman" w:hAnsi="Times New Roman" w:eastAsia="宋体" w:cs="宋体"/>
          <w:color w:val="000000" w:themeColor="text1"/>
          <w:spacing w:val="0"/>
          <w:sz w:val="21"/>
          <w:szCs w:val="21"/>
          <w:highlight w:val="none"/>
          <w14:textFill>
            <w14:solidFill>
              <w14:schemeClr w14:val="tx1"/>
            </w14:solidFill>
          </w14:textFill>
        </w:rPr>
      </w:pPr>
      <w:r>
        <w:rPr>
          <w:rFonts w:hint="eastAsia" w:ascii="Times New Roman" w:hAnsi="Times New Roman" w:eastAsia="宋体" w:cs="宋体"/>
          <w:color w:val="000000" w:themeColor="text1"/>
          <w:spacing w:val="0"/>
          <w:sz w:val="21"/>
          <w:szCs w:val="21"/>
          <w:highlight w:val="none"/>
          <w14:textFill>
            <w14:solidFill>
              <w14:schemeClr w14:val="tx1"/>
            </w14:solidFill>
          </w14:textFill>
        </w:rPr>
        <w:t>5.11最后报价结束后，磋商小组不得再与供应商进行任何形式的商谈。</w:t>
      </w:r>
    </w:p>
    <w:p w14:paraId="075D51ED">
      <w:pPr>
        <w:pStyle w:val="22"/>
        <w:pageBreakBefore w:val="0"/>
        <w:kinsoku/>
        <w:wordWrap/>
        <w:overflowPunct/>
        <w:topLinePunct w:val="0"/>
        <w:autoSpaceDE/>
        <w:autoSpaceDN/>
        <w:bidi w:val="0"/>
        <w:spacing w:line="360" w:lineRule="auto"/>
        <w:ind w:firstLine="422" w:firstLineChars="200"/>
        <w:textAlignment w:val="auto"/>
        <w:rPr>
          <w:rFonts w:hint="eastAsia" w:ascii="Times New Roman" w:hAnsi="Times New Roman" w:eastAsia="宋体" w:cs="宋体"/>
          <w:color w:val="000000" w:themeColor="text1"/>
          <w:spacing w:val="0"/>
          <w:sz w:val="21"/>
          <w:szCs w:val="21"/>
          <w:highlight w:val="none"/>
          <w14:textFill>
            <w14:solidFill>
              <w14:schemeClr w14:val="tx1"/>
            </w14:solidFill>
          </w14:textFill>
        </w:rPr>
      </w:pPr>
      <w:r>
        <w:rPr>
          <w:rFonts w:hint="eastAsia" w:ascii="Times New Roman" w:hAnsi="Times New Roman" w:eastAsia="宋体" w:cs="宋体"/>
          <w:b/>
          <w:bCs/>
          <w:color w:val="000000" w:themeColor="text1"/>
          <w:spacing w:val="0"/>
          <w:sz w:val="21"/>
          <w:szCs w:val="21"/>
          <w:highlight w:val="none"/>
          <w:lang w:eastAsia="zh-CN"/>
          <w14:textFill>
            <w14:solidFill>
              <w14:schemeClr w14:val="tx1"/>
            </w14:solidFill>
          </w14:textFill>
        </w:rPr>
        <w:t>重要提示：最后报价有时间限制，供应商须</w:t>
      </w:r>
      <w:r>
        <w:rPr>
          <w:rFonts w:hint="eastAsia" w:ascii="Times New Roman" w:hAnsi="Times New Roman" w:eastAsia="宋体" w:cs="宋体"/>
          <w:b/>
          <w:bCs/>
          <w:color w:val="000000" w:themeColor="text1"/>
          <w:sz w:val="21"/>
          <w:szCs w:val="21"/>
          <w:highlight w:val="none"/>
          <w14:textFill>
            <w14:solidFill>
              <w14:schemeClr w14:val="tx1"/>
            </w14:solidFill>
          </w14:textFill>
        </w:rPr>
        <w:t>竞争性磋商文件</w:t>
      </w:r>
      <w:r>
        <w:rPr>
          <w:rFonts w:hint="eastAsia" w:ascii="Times New Roman" w:hAnsi="Times New Roman" w:eastAsia="宋体" w:cs="宋体"/>
          <w:b/>
          <w:bCs/>
          <w:color w:val="000000" w:themeColor="text1"/>
          <w:sz w:val="21"/>
          <w:szCs w:val="21"/>
          <w:highlight w:val="none"/>
          <w:lang w:eastAsia="zh-CN"/>
          <w14:textFill>
            <w14:solidFill>
              <w14:schemeClr w14:val="tx1"/>
            </w14:solidFill>
          </w14:textFill>
        </w:rPr>
        <w:t>“</w:t>
      </w:r>
      <w:r>
        <w:rPr>
          <w:rFonts w:hint="eastAsia" w:ascii="Times New Roman" w:hAnsi="Times New Roman" w:eastAsia="宋体" w:cs="宋体"/>
          <w:b/>
          <w:bCs/>
          <w:color w:val="000000" w:themeColor="text1"/>
          <w:sz w:val="21"/>
          <w:szCs w:val="21"/>
          <w:highlight w:val="none"/>
          <w14:textFill>
            <w14:solidFill>
              <w14:schemeClr w14:val="tx1"/>
            </w14:solidFill>
          </w14:textFill>
        </w:rPr>
        <w:t>第五章 响应文件格式</w:t>
      </w:r>
      <w:r>
        <w:rPr>
          <w:rFonts w:hint="eastAsia" w:ascii="Times New Roman" w:hAnsi="Times New Roman" w:eastAsia="宋体" w:cs="宋体"/>
          <w:b/>
          <w:bCs/>
          <w:color w:val="000000" w:themeColor="text1"/>
          <w:sz w:val="21"/>
          <w:szCs w:val="21"/>
          <w:highlight w:val="none"/>
          <w:lang w:eastAsia="zh-CN"/>
          <w14:textFill>
            <w14:solidFill>
              <w14:schemeClr w14:val="tx1"/>
            </w14:solidFill>
          </w14:textFill>
        </w:rPr>
        <w:t>”</w:t>
      </w:r>
      <w:r>
        <w:rPr>
          <w:rFonts w:hint="eastAsia" w:cs="宋体"/>
          <w:b/>
          <w:bCs/>
          <w:color w:val="000000" w:themeColor="text1"/>
          <w:sz w:val="21"/>
          <w:szCs w:val="21"/>
          <w:highlight w:val="none"/>
          <w:lang w:eastAsia="zh-CN"/>
          <w14:textFill>
            <w14:solidFill>
              <w14:schemeClr w14:val="tx1"/>
            </w14:solidFill>
          </w14:textFill>
        </w:rPr>
        <w:t>中“最后报价表”的格式</w:t>
      </w:r>
      <w:r>
        <w:rPr>
          <w:rFonts w:hint="eastAsia" w:ascii="Times New Roman" w:hAnsi="Times New Roman" w:eastAsia="宋体" w:cs="宋体"/>
          <w:b/>
          <w:bCs/>
          <w:color w:val="000000" w:themeColor="text1"/>
          <w:spacing w:val="0"/>
          <w:sz w:val="21"/>
          <w:szCs w:val="21"/>
          <w:highlight w:val="none"/>
          <w:lang w:eastAsia="zh-CN"/>
          <w14:textFill>
            <w14:solidFill>
              <w14:schemeClr w14:val="tx1"/>
            </w14:solidFill>
          </w14:textFill>
        </w:rPr>
        <w:t>提前准备最后报价表</w:t>
      </w:r>
      <w:bookmarkStart w:id="175" w:name="OLE_LINK40"/>
      <w:bookmarkStart w:id="176" w:name="OLE_LINK65"/>
      <w:r>
        <w:rPr>
          <w:rFonts w:hint="eastAsia" w:ascii="Times New Roman" w:hAnsi="Times New Roman" w:eastAsia="宋体" w:cs="宋体"/>
          <w:b/>
          <w:bCs/>
          <w:color w:val="000000" w:themeColor="text1"/>
          <w:spacing w:val="0"/>
          <w:sz w:val="21"/>
          <w:szCs w:val="21"/>
          <w:highlight w:val="none"/>
          <w:lang w:eastAsia="zh-CN"/>
          <w14:textFill>
            <w14:solidFill>
              <w14:schemeClr w14:val="tx1"/>
            </w14:solidFill>
          </w14:textFill>
        </w:rPr>
        <w:t>（</w:t>
      </w:r>
      <w:r>
        <w:rPr>
          <w:rFonts w:hint="eastAsia" w:ascii="Times New Roman" w:hAnsi="Times New Roman" w:eastAsia="宋体" w:cs="宋体"/>
          <w:b/>
          <w:bCs/>
          <w:color w:val="000000" w:themeColor="text1"/>
          <w:sz w:val="21"/>
          <w:szCs w:val="21"/>
          <w:highlight w:val="none"/>
          <w14:textFill>
            <w14:solidFill>
              <w14:schemeClr w14:val="tx1"/>
            </w14:solidFill>
          </w14:textFill>
        </w:rPr>
        <w:t>如</w:t>
      </w:r>
      <w:r>
        <w:rPr>
          <w:rFonts w:hint="eastAsia" w:cs="宋体"/>
          <w:b/>
          <w:bCs/>
          <w:color w:val="000000" w:themeColor="text1"/>
          <w:sz w:val="21"/>
          <w:szCs w:val="21"/>
          <w:highlight w:val="none"/>
          <w:lang w:eastAsia="zh-CN"/>
          <w14:textFill>
            <w14:solidFill>
              <w14:schemeClr w14:val="tx1"/>
            </w14:solidFill>
          </w14:textFill>
        </w:rPr>
        <w:t>供应商</w:t>
      </w:r>
      <w:r>
        <w:rPr>
          <w:rFonts w:hint="eastAsia" w:ascii="Times New Roman" w:hAnsi="Times New Roman" w:eastAsia="宋体" w:cs="宋体"/>
          <w:b/>
          <w:bCs/>
          <w:color w:val="000000" w:themeColor="text1"/>
          <w:sz w:val="21"/>
          <w:szCs w:val="21"/>
          <w:highlight w:val="none"/>
          <w14:textFill>
            <w14:solidFill>
              <w14:schemeClr w14:val="tx1"/>
            </w14:solidFill>
          </w14:textFill>
        </w:rPr>
        <w:t>最后报价与首次报价不一致的，</w:t>
      </w:r>
      <w:r>
        <w:rPr>
          <w:rFonts w:hint="eastAsia" w:cs="宋体"/>
          <w:b/>
          <w:bCs/>
          <w:color w:val="000000" w:themeColor="text1"/>
          <w:sz w:val="21"/>
          <w:szCs w:val="21"/>
          <w:highlight w:val="none"/>
          <w:lang w:eastAsia="zh-CN"/>
          <w14:textFill>
            <w14:solidFill>
              <w14:schemeClr w14:val="tx1"/>
            </w14:solidFill>
          </w14:textFill>
        </w:rPr>
        <w:t>须附与最后报价相对应的“</w:t>
      </w:r>
      <w:r>
        <w:rPr>
          <w:rFonts w:hint="eastAsia" w:ascii="Times New Roman" w:hAnsi="Times New Roman" w:eastAsia="宋体" w:cs="宋体"/>
          <w:b/>
          <w:bCs/>
          <w:color w:val="000000" w:themeColor="text1"/>
          <w:sz w:val="21"/>
          <w:szCs w:val="21"/>
          <w:highlight w:val="none"/>
          <w14:textFill>
            <w14:solidFill>
              <w14:schemeClr w14:val="tx1"/>
            </w14:solidFill>
          </w14:textFill>
        </w:rPr>
        <w:t>已标价工程量清单</w:t>
      </w:r>
      <w:r>
        <w:rPr>
          <w:rFonts w:hint="eastAsia" w:cs="宋体"/>
          <w:b/>
          <w:bCs/>
          <w:color w:val="000000" w:themeColor="text1"/>
          <w:sz w:val="21"/>
          <w:szCs w:val="21"/>
          <w:highlight w:val="none"/>
          <w:lang w:eastAsia="zh-CN"/>
          <w14:textFill>
            <w14:solidFill>
              <w14:schemeClr w14:val="tx1"/>
            </w14:solidFill>
          </w14:textFill>
        </w:rPr>
        <w:t>”，否则其响应按无效响应处理</w:t>
      </w:r>
      <w:r>
        <w:rPr>
          <w:rFonts w:hint="eastAsia" w:ascii="Times New Roman" w:hAnsi="Times New Roman" w:eastAsia="宋体" w:cs="宋体"/>
          <w:b/>
          <w:bCs/>
          <w:color w:val="000000" w:themeColor="text1"/>
          <w:spacing w:val="0"/>
          <w:sz w:val="21"/>
          <w:szCs w:val="21"/>
          <w:highlight w:val="none"/>
          <w:lang w:eastAsia="zh-CN"/>
          <w14:textFill>
            <w14:solidFill>
              <w14:schemeClr w14:val="tx1"/>
            </w14:solidFill>
          </w14:textFill>
        </w:rPr>
        <w:t>）</w:t>
      </w:r>
      <w:bookmarkEnd w:id="175"/>
      <w:bookmarkEnd w:id="176"/>
      <w:r>
        <w:rPr>
          <w:rFonts w:hint="eastAsia" w:ascii="Times New Roman" w:hAnsi="Times New Roman" w:eastAsia="宋体" w:cs="宋体"/>
          <w:b/>
          <w:bCs/>
          <w:color w:val="000000" w:themeColor="text1"/>
          <w:spacing w:val="0"/>
          <w:sz w:val="21"/>
          <w:szCs w:val="21"/>
          <w:highlight w:val="none"/>
          <w:lang w:eastAsia="zh-CN"/>
          <w14:textFill>
            <w14:solidFill>
              <w14:schemeClr w14:val="tx1"/>
            </w14:solidFill>
          </w14:textFill>
        </w:rPr>
        <w:t>并按时提交最后报价，以免耽误最后报价</w:t>
      </w:r>
      <w:r>
        <w:rPr>
          <w:rFonts w:hint="eastAsia" w:ascii="Times New Roman" w:hAnsi="Times New Roman" w:eastAsia="宋体" w:cs="宋体"/>
          <w:b/>
          <w:bCs/>
          <w:color w:val="000000" w:themeColor="text1"/>
          <w:spacing w:val="0"/>
          <w:sz w:val="21"/>
          <w:szCs w:val="21"/>
          <w:highlight w:val="none"/>
          <w:lang w:val="zh-CN" w:eastAsia="zh-CN"/>
          <w14:textFill>
            <w14:solidFill>
              <w14:schemeClr w14:val="tx1"/>
            </w14:solidFill>
          </w14:textFill>
        </w:rPr>
        <w:t>。</w:t>
      </w:r>
    </w:p>
    <w:p w14:paraId="068088DB">
      <w:pPr>
        <w:pageBreakBefore w:val="0"/>
        <w:kinsoku/>
        <w:wordWrap/>
        <w:overflowPunct/>
        <w:topLinePunct w:val="0"/>
        <w:autoSpaceDE/>
        <w:autoSpaceDN/>
        <w:bidi w:val="0"/>
        <w:spacing w:line="360" w:lineRule="auto"/>
        <w:textAlignment w:val="auto"/>
        <w:outlineLvl w:val="2"/>
        <w:rPr>
          <w:rFonts w:hint="eastAsia" w:ascii="Times New Roman" w:hAnsi="Times New Roman" w:eastAsia="宋体" w:cs="宋体"/>
          <w:b/>
          <w:bCs/>
          <w:color w:val="000000" w:themeColor="text1"/>
          <w:spacing w:val="0"/>
          <w:sz w:val="21"/>
          <w:szCs w:val="21"/>
          <w:highlight w:val="none"/>
          <w14:textFill>
            <w14:solidFill>
              <w14:schemeClr w14:val="tx1"/>
            </w14:solidFill>
          </w14:textFill>
        </w:rPr>
      </w:pPr>
      <w:bookmarkStart w:id="177" w:name="_Toc113"/>
      <w:r>
        <w:rPr>
          <w:rFonts w:hint="eastAsia" w:ascii="Times New Roman" w:hAnsi="Times New Roman" w:eastAsia="宋体" w:cs="宋体"/>
          <w:b/>
          <w:bCs/>
          <w:color w:val="000000" w:themeColor="text1"/>
          <w:spacing w:val="0"/>
          <w:sz w:val="21"/>
          <w:szCs w:val="21"/>
          <w:highlight w:val="none"/>
          <w14:textFill>
            <w14:solidFill>
              <w14:schemeClr w14:val="tx1"/>
            </w14:solidFill>
          </w14:textFill>
        </w:rPr>
        <w:t>6.比较与评价</w:t>
      </w:r>
      <w:bookmarkEnd w:id="177"/>
    </w:p>
    <w:p w14:paraId="4B43A31D">
      <w:pPr>
        <w:pageBreakBefore w:val="0"/>
        <w:kinsoku/>
        <w:wordWrap/>
        <w:overflowPunct/>
        <w:topLinePunct w:val="0"/>
        <w:autoSpaceDE/>
        <w:autoSpaceDN/>
        <w:bidi w:val="0"/>
        <w:spacing w:line="360" w:lineRule="auto"/>
        <w:ind w:firstLine="420" w:firstLineChars="200"/>
        <w:textAlignment w:val="auto"/>
        <w:rPr>
          <w:rFonts w:hint="eastAsia" w:ascii="Times New Roman" w:hAnsi="Times New Roman" w:eastAsia="宋体" w:cs="宋体"/>
          <w:color w:val="000000" w:themeColor="text1"/>
          <w:spacing w:val="0"/>
          <w:sz w:val="21"/>
          <w:szCs w:val="21"/>
          <w:highlight w:val="none"/>
          <w14:textFill>
            <w14:solidFill>
              <w14:schemeClr w14:val="tx1"/>
            </w14:solidFill>
          </w14:textFill>
        </w:rPr>
      </w:pPr>
      <w:r>
        <w:rPr>
          <w:rFonts w:hint="eastAsia" w:ascii="Times New Roman" w:hAnsi="Times New Roman" w:eastAsia="宋体" w:cs="宋体"/>
          <w:color w:val="000000" w:themeColor="text1"/>
          <w:spacing w:val="0"/>
          <w:sz w:val="21"/>
          <w:szCs w:val="21"/>
          <w:highlight w:val="none"/>
          <w14:textFill>
            <w14:solidFill>
              <w14:schemeClr w14:val="tx1"/>
            </w14:solidFill>
          </w14:textFill>
        </w:rPr>
        <w:t>6.1评审方法：综合评分法。</w:t>
      </w:r>
    </w:p>
    <w:p w14:paraId="0388E1F6">
      <w:pPr>
        <w:pageBreakBefore w:val="0"/>
        <w:kinsoku/>
        <w:wordWrap/>
        <w:overflowPunct/>
        <w:topLinePunct w:val="0"/>
        <w:autoSpaceDE/>
        <w:autoSpaceDN/>
        <w:bidi w:val="0"/>
        <w:spacing w:line="360" w:lineRule="auto"/>
        <w:ind w:firstLine="420" w:firstLineChars="200"/>
        <w:textAlignment w:val="auto"/>
        <w:rPr>
          <w:rFonts w:hint="eastAsia" w:ascii="Times New Roman" w:hAnsi="Times New Roman" w:eastAsia="宋体" w:cs="宋体"/>
          <w:color w:val="000000" w:themeColor="text1"/>
          <w:spacing w:val="0"/>
          <w:sz w:val="21"/>
          <w:szCs w:val="21"/>
          <w:highlight w:val="none"/>
          <w14:textFill>
            <w14:solidFill>
              <w14:schemeClr w14:val="tx1"/>
            </w14:solidFill>
          </w14:textFill>
        </w:rPr>
      </w:pPr>
      <w:r>
        <w:rPr>
          <w:rFonts w:hint="eastAsia" w:ascii="Times New Roman" w:hAnsi="Times New Roman" w:eastAsia="宋体" w:cs="宋体"/>
          <w:color w:val="000000" w:themeColor="text1"/>
          <w:spacing w:val="0"/>
          <w:sz w:val="21"/>
          <w:szCs w:val="21"/>
          <w:highlight w:val="none"/>
          <w14:textFill>
            <w14:solidFill>
              <w14:schemeClr w14:val="tx1"/>
            </w14:solidFill>
          </w14:textFill>
        </w:rPr>
        <w:t>6.2经磋商确定最终采购需求和提交最后报价的供应商后，由磋商小组采用综合评分法对提交最后报价的供应商的响应文件和最后报价进行综合评分。</w:t>
      </w:r>
    </w:p>
    <w:p w14:paraId="0C44DEB3">
      <w:pPr>
        <w:pageBreakBefore w:val="0"/>
        <w:kinsoku/>
        <w:wordWrap/>
        <w:overflowPunct/>
        <w:topLinePunct w:val="0"/>
        <w:autoSpaceDE/>
        <w:autoSpaceDN/>
        <w:bidi w:val="0"/>
        <w:spacing w:line="360" w:lineRule="auto"/>
        <w:ind w:firstLine="420" w:firstLineChars="200"/>
        <w:textAlignment w:val="auto"/>
        <w:rPr>
          <w:rFonts w:hint="eastAsia" w:ascii="Times New Roman" w:hAnsi="Times New Roman" w:eastAsia="宋体" w:cs="宋体"/>
          <w:color w:val="000000" w:themeColor="text1"/>
          <w:spacing w:val="0"/>
          <w:sz w:val="21"/>
          <w:szCs w:val="21"/>
          <w:highlight w:val="none"/>
          <w14:textFill>
            <w14:solidFill>
              <w14:schemeClr w14:val="tx1"/>
            </w14:solidFill>
          </w14:textFill>
        </w:rPr>
      </w:pPr>
      <w:r>
        <w:rPr>
          <w:rFonts w:hint="eastAsia" w:ascii="Times New Roman" w:hAnsi="Times New Roman" w:eastAsia="宋体" w:cs="宋体"/>
          <w:color w:val="000000" w:themeColor="text1"/>
          <w:spacing w:val="0"/>
          <w:sz w:val="21"/>
          <w:szCs w:val="21"/>
          <w:highlight w:val="none"/>
          <w14:textFill>
            <w14:solidFill>
              <w14:schemeClr w14:val="tx1"/>
            </w14:solidFill>
          </w14:textFill>
        </w:rPr>
        <w:t>6.3评审时，磋商小组各成员应当独立对每个有效响应的文件进行评价、打分，然后汇总每个供应商每项评分因素的得分。</w:t>
      </w:r>
    </w:p>
    <w:p w14:paraId="764DCD40">
      <w:pPr>
        <w:pStyle w:val="14"/>
        <w:pageBreakBefore w:val="0"/>
        <w:kinsoku/>
        <w:wordWrap/>
        <w:overflowPunct/>
        <w:topLinePunct w:val="0"/>
        <w:autoSpaceDE/>
        <w:autoSpaceDN/>
        <w:bidi w:val="0"/>
        <w:spacing w:line="360" w:lineRule="auto"/>
        <w:ind w:firstLine="420" w:firstLineChars="200"/>
        <w:textAlignment w:val="auto"/>
        <w:rPr>
          <w:rFonts w:hint="eastAsia" w:ascii="Times New Roman" w:hAnsi="Times New Roman" w:eastAsia="宋体" w:cs="宋体"/>
          <w:color w:val="000000" w:themeColor="text1"/>
          <w:spacing w:val="0"/>
          <w:sz w:val="21"/>
          <w:szCs w:val="21"/>
          <w:highlight w:val="none"/>
          <w14:textFill>
            <w14:solidFill>
              <w14:schemeClr w14:val="tx1"/>
            </w14:solidFill>
          </w14:textFill>
        </w:rPr>
      </w:pPr>
      <w:r>
        <w:rPr>
          <w:rFonts w:hint="eastAsia" w:ascii="Times New Roman" w:hAnsi="Times New Roman" w:eastAsia="宋体" w:cs="宋体"/>
          <w:color w:val="000000" w:themeColor="text1"/>
          <w:spacing w:val="0"/>
          <w:sz w:val="21"/>
          <w:szCs w:val="21"/>
          <w:highlight w:val="none"/>
          <w14:textFill>
            <w14:solidFill>
              <w14:schemeClr w14:val="tx1"/>
            </w14:solidFill>
          </w14:textFill>
        </w:rPr>
        <w:t>（</w:t>
      </w:r>
      <w:r>
        <w:rPr>
          <w:rFonts w:hint="eastAsia" w:ascii="Times New Roman" w:hAnsi="Times New Roman" w:eastAsia="宋体" w:cs="宋体"/>
          <w:color w:val="000000" w:themeColor="text1"/>
          <w:spacing w:val="0"/>
          <w:sz w:val="21"/>
          <w:szCs w:val="21"/>
          <w:highlight w:val="none"/>
          <w:lang w:val="en-US" w:eastAsia="zh-CN"/>
          <w14:textFill>
            <w14:solidFill>
              <w14:schemeClr w14:val="tx1"/>
            </w14:solidFill>
          </w14:textFill>
        </w:rPr>
        <w:t>1</w:t>
      </w:r>
      <w:r>
        <w:rPr>
          <w:rFonts w:hint="eastAsia" w:ascii="Times New Roman" w:hAnsi="Times New Roman" w:eastAsia="宋体" w:cs="宋体"/>
          <w:color w:val="000000" w:themeColor="text1"/>
          <w:spacing w:val="0"/>
          <w:sz w:val="21"/>
          <w:szCs w:val="21"/>
          <w:highlight w:val="none"/>
          <w14:textFill>
            <w14:solidFill>
              <w14:schemeClr w14:val="tx1"/>
            </w14:solidFill>
          </w14:textFill>
        </w:rPr>
        <w:t>）磋商小组成员要根据政府采购法律法规和采购文件所载明的评审方法、标准进行评审。对供应商的价格分等客观评分项的评分应当一致，对其他需要借助专业知识评判的主观评分项，应当严格按照评分细则公正评分。</w:t>
      </w:r>
    </w:p>
    <w:p w14:paraId="4B6D5754">
      <w:pPr>
        <w:pageBreakBefore w:val="0"/>
        <w:kinsoku/>
        <w:wordWrap/>
        <w:overflowPunct/>
        <w:topLinePunct w:val="0"/>
        <w:autoSpaceDE/>
        <w:autoSpaceDN/>
        <w:bidi w:val="0"/>
        <w:spacing w:line="360" w:lineRule="auto"/>
        <w:ind w:firstLine="420" w:firstLineChars="200"/>
        <w:textAlignment w:val="auto"/>
        <w:rPr>
          <w:rFonts w:hint="eastAsia" w:ascii="Times New Roman" w:hAnsi="Times New Roman" w:eastAsia="宋体" w:cs="宋体"/>
          <w:color w:val="000000" w:themeColor="text1"/>
          <w:spacing w:val="0"/>
          <w:sz w:val="21"/>
          <w:szCs w:val="21"/>
          <w:highlight w:val="none"/>
          <w14:textFill>
            <w14:solidFill>
              <w14:schemeClr w14:val="tx1"/>
            </w14:solidFill>
          </w14:textFill>
        </w:rPr>
      </w:pPr>
      <w:r>
        <w:rPr>
          <w:rFonts w:hint="eastAsia" w:ascii="Times New Roman" w:hAnsi="Times New Roman" w:eastAsia="宋体" w:cs="宋体"/>
          <w:color w:val="000000" w:themeColor="text1"/>
          <w:spacing w:val="0"/>
          <w:sz w:val="21"/>
          <w:szCs w:val="21"/>
          <w:highlight w:val="none"/>
          <w14:textFill>
            <w14:solidFill>
              <w14:schemeClr w14:val="tx1"/>
            </w14:solidFill>
          </w14:textFill>
        </w:rPr>
        <w:t>（2）磋商小组按照磋商文件中规定的评审标准计算各供应商的报价得分。项目评审过程中，不得去掉最后报价中的最高报价和最低报价。</w:t>
      </w:r>
    </w:p>
    <w:p w14:paraId="33BC2FD7">
      <w:pPr>
        <w:pageBreakBefore w:val="0"/>
        <w:kinsoku/>
        <w:wordWrap/>
        <w:overflowPunct/>
        <w:topLinePunct w:val="0"/>
        <w:autoSpaceDE/>
        <w:autoSpaceDN/>
        <w:bidi w:val="0"/>
        <w:spacing w:line="360" w:lineRule="auto"/>
        <w:ind w:firstLine="420" w:firstLineChars="200"/>
        <w:textAlignment w:val="auto"/>
        <w:rPr>
          <w:rFonts w:hint="eastAsia" w:ascii="Times New Roman" w:hAnsi="Times New Roman" w:eastAsia="宋体" w:cs="宋体"/>
          <w:color w:val="000000" w:themeColor="text1"/>
          <w:spacing w:val="0"/>
          <w:sz w:val="21"/>
          <w:szCs w:val="21"/>
          <w:highlight w:val="none"/>
          <w14:textFill>
            <w14:solidFill>
              <w14:schemeClr w14:val="tx1"/>
            </w14:solidFill>
          </w14:textFill>
        </w:rPr>
      </w:pPr>
      <w:r>
        <w:rPr>
          <w:rFonts w:hint="eastAsia" w:ascii="Times New Roman" w:hAnsi="Times New Roman" w:eastAsia="宋体" w:cs="宋体"/>
          <w:color w:val="000000" w:themeColor="text1"/>
          <w:spacing w:val="0"/>
          <w:sz w:val="21"/>
          <w:szCs w:val="21"/>
          <w:highlight w:val="none"/>
          <w14:textFill>
            <w14:solidFill>
              <w14:schemeClr w14:val="tx1"/>
            </w14:solidFill>
          </w14:textFill>
        </w:rPr>
        <w:t>（3）各供应商的得分为磋商小组所有成员的有效评分的算术平均数。</w:t>
      </w:r>
    </w:p>
    <w:p w14:paraId="5C105A7A">
      <w:pPr>
        <w:pageBreakBefore w:val="0"/>
        <w:kinsoku/>
        <w:wordWrap/>
        <w:overflowPunct/>
        <w:topLinePunct w:val="0"/>
        <w:autoSpaceDE/>
        <w:autoSpaceDN/>
        <w:bidi w:val="0"/>
        <w:spacing w:line="360" w:lineRule="auto"/>
        <w:ind w:firstLine="420" w:firstLineChars="200"/>
        <w:textAlignment w:val="auto"/>
        <w:rPr>
          <w:rFonts w:hint="eastAsia" w:ascii="Times New Roman" w:hAnsi="Times New Roman" w:eastAsia="宋体" w:cs="宋体"/>
          <w:color w:val="000000" w:themeColor="text1"/>
          <w:spacing w:val="0"/>
          <w:sz w:val="21"/>
          <w:szCs w:val="21"/>
          <w:highlight w:val="none"/>
          <w14:textFill>
            <w14:solidFill>
              <w14:schemeClr w14:val="tx1"/>
            </w14:solidFill>
          </w14:textFill>
        </w:rPr>
      </w:pPr>
      <w:r>
        <w:rPr>
          <w:rFonts w:hint="eastAsia" w:ascii="Times New Roman" w:hAnsi="Times New Roman" w:eastAsia="宋体" w:cs="宋体"/>
          <w:color w:val="000000" w:themeColor="text1"/>
          <w:spacing w:val="0"/>
          <w:sz w:val="21"/>
          <w:szCs w:val="21"/>
          <w:highlight w:val="none"/>
          <w14:textFill>
            <w14:solidFill>
              <w14:schemeClr w14:val="tx1"/>
            </w14:solidFill>
          </w14:textFill>
        </w:rPr>
        <w:t>6.4评审报价为供应商的最后报价进行政策性扣除后的价格，评审报价只是作为评审时使用。最终成交供应商的成交金额等于最后报价（如有修正，以确认修正后的最后报价为准）。</w:t>
      </w:r>
    </w:p>
    <w:p w14:paraId="1F5363EC">
      <w:pPr>
        <w:pageBreakBefore w:val="0"/>
        <w:kinsoku/>
        <w:wordWrap/>
        <w:overflowPunct/>
        <w:topLinePunct w:val="0"/>
        <w:autoSpaceDE/>
        <w:autoSpaceDN/>
        <w:bidi w:val="0"/>
        <w:spacing w:line="360" w:lineRule="auto"/>
        <w:ind w:firstLine="420" w:firstLineChars="200"/>
        <w:textAlignment w:val="auto"/>
        <w:rPr>
          <w:rFonts w:hint="eastAsia" w:ascii="Times New Roman" w:hAnsi="Times New Roman" w:eastAsia="宋体" w:cs="宋体"/>
          <w:color w:val="000000" w:themeColor="text1"/>
          <w:spacing w:val="0"/>
          <w:kern w:val="0"/>
          <w:sz w:val="21"/>
          <w:szCs w:val="21"/>
          <w:highlight w:val="none"/>
          <w14:textFill>
            <w14:solidFill>
              <w14:schemeClr w14:val="tx1"/>
            </w14:solidFill>
          </w14:textFill>
        </w:rPr>
      </w:pPr>
      <w:r>
        <w:rPr>
          <w:rFonts w:hint="eastAsia" w:ascii="Times New Roman" w:hAnsi="Times New Roman" w:eastAsia="宋体" w:cs="宋体"/>
          <w:color w:val="000000" w:themeColor="text1"/>
          <w:spacing w:val="0"/>
          <w:sz w:val="21"/>
          <w:szCs w:val="21"/>
          <w:highlight w:val="none"/>
          <w14:textFill>
            <w14:solidFill>
              <w14:schemeClr w14:val="tx1"/>
            </w14:solidFill>
          </w14:textFill>
        </w:rPr>
        <w:t>6.5由磋商小组根据综合评分情况，按照评审得分由高到低顺序推荐3名以上成交候选供应商，并编写评</w:t>
      </w:r>
      <w:r>
        <w:rPr>
          <w:rFonts w:hint="eastAsia" w:ascii="Times New Roman" w:hAnsi="Times New Roman" w:eastAsia="宋体" w:cs="宋体"/>
          <w:color w:val="000000" w:themeColor="text1"/>
          <w:spacing w:val="0"/>
          <w:kern w:val="0"/>
          <w:sz w:val="21"/>
          <w:szCs w:val="21"/>
          <w:highlight w:val="none"/>
          <w14:textFill>
            <w14:solidFill>
              <w14:schemeClr w14:val="tx1"/>
            </w14:solidFill>
          </w14:textFill>
        </w:rPr>
        <w:t>审报告。评审得分相同的，</w:t>
      </w:r>
      <w:r>
        <w:rPr>
          <w:rFonts w:hint="eastAsia" w:ascii="Times New Roman" w:hAnsi="Times New Roman" w:eastAsia="宋体" w:cs="宋体"/>
          <w:bCs/>
          <w:color w:val="000000" w:themeColor="text1"/>
          <w:spacing w:val="0"/>
          <w:sz w:val="21"/>
          <w:szCs w:val="21"/>
          <w:highlight w:val="none"/>
          <w14:textFill>
            <w14:solidFill>
              <w14:schemeClr w14:val="tx1"/>
            </w14:solidFill>
          </w14:textFill>
        </w:rPr>
        <w:t>按照最后报价（不计算价格折扣）由低到高的顺序推荐。评审得分且最后报价（不计算价格折扣）相同的，按照技术指标优劣顺序推荐</w:t>
      </w:r>
      <w:r>
        <w:rPr>
          <w:rFonts w:hint="eastAsia" w:ascii="Times New Roman" w:hAnsi="Times New Roman" w:eastAsia="宋体" w:cs="宋体"/>
          <w:color w:val="000000" w:themeColor="text1"/>
          <w:spacing w:val="0"/>
          <w:kern w:val="0"/>
          <w:sz w:val="21"/>
          <w:szCs w:val="21"/>
          <w:highlight w:val="none"/>
          <w14:textFill>
            <w14:solidFill>
              <w14:schemeClr w14:val="tx1"/>
            </w14:solidFill>
          </w14:textFill>
        </w:rPr>
        <w:t>(按技术分得分由高到低排序，技术分得分相同的按照商务分得分由高到低排序)。评审得分、最后报价(不计算价格折扣)、技术分得分、商务分得分均相同的，由磋商小组随机抽取推荐。</w:t>
      </w:r>
    </w:p>
    <w:p w14:paraId="6E5755A3">
      <w:pPr>
        <w:pageBreakBefore w:val="0"/>
        <w:kinsoku/>
        <w:wordWrap/>
        <w:overflowPunct/>
        <w:topLinePunct w:val="0"/>
        <w:autoSpaceDE/>
        <w:autoSpaceDN/>
        <w:bidi w:val="0"/>
        <w:spacing w:line="360" w:lineRule="auto"/>
        <w:ind w:firstLine="420" w:firstLineChars="200"/>
        <w:textAlignment w:val="auto"/>
        <w:rPr>
          <w:rFonts w:hint="eastAsia" w:ascii="Times New Roman" w:hAnsi="Times New Roman" w:eastAsia="宋体" w:cs="宋体"/>
          <w:b/>
          <w:bCs/>
          <w:color w:val="000000" w:themeColor="text1"/>
          <w:spacing w:val="0"/>
          <w:sz w:val="21"/>
          <w:szCs w:val="21"/>
          <w:highlight w:val="none"/>
          <w14:textFill>
            <w14:solidFill>
              <w14:schemeClr w14:val="tx1"/>
            </w14:solidFill>
          </w14:textFill>
        </w:rPr>
      </w:pPr>
      <w:r>
        <w:rPr>
          <w:rFonts w:hint="eastAsia" w:ascii="Times New Roman" w:hAnsi="Times New Roman" w:eastAsia="宋体" w:cs="宋体"/>
          <w:color w:val="000000" w:themeColor="text1"/>
          <w:spacing w:val="0"/>
          <w:kern w:val="0"/>
          <w:sz w:val="21"/>
          <w:szCs w:val="21"/>
          <w:highlight w:val="none"/>
          <w14:textFill>
            <w14:solidFill>
              <w14:schemeClr w14:val="tx1"/>
            </w14:solidFill>
          </w14:textFill>
        </w:rPr>
        <w:t>6.6评审报告应当由磋商小组全体人员签字认可。磋商小组成员对评审报告有异议的，磋商小组按照少数服从多数的原则推荐成交候选供应商，采购程序继续进行。对评审报告有异议的磋商小组成员，应当在报告上签署不同意见并说明理由，由磋商小组书面记录相关情况。磋商小组成员拒绝在报告上签字又不书面说明其不同意见和理由的，视为同意评审报告。</w:t>
      </w:r>
    </w:p>
    <w:p w14:paraId="766EDF32">
      <w:pPr>
        <w:pageBreakBefore w:val="0"/>
        <w:kinsoku/>
        <w:wordWrap/>
        <w:overflowPunct/>
        <w:topLinePunct w:val="0"/>
        <w:autoSpaceDE/>
        <w:autoSpaceDN/>
        <w:bidi w:val="0"/>
        <w:spacing w:line="360" w:lineRule="auto"/>
        <w:textAlignment w:val="auto"/>
        <w:outlineLvl w:val="2"/>
        <w:rPr>
          <w:rFonts w:hint="eastAsia" w:ascii="Times New Roman" w:hAnsi="Times New Roman" w:eastAsia="宋体" w:cs="宋体"/>
          <w:b/>
          <w:bCs/>
          <w:color w:val="000000" w:themeColor="text1"/>
          <w:spacing w:val="0"/>
          <w:sz w:val="21"/>
          <w:szCs w:val="21"/>
          <w:highlight w:val="none"/>
          <w14:textFill>
            <w14:solidFill>
              <w14:schemeClr w14:val="tx1"/>
            </w14:solidFill>
          </w14:textFill>
        </w:rPr>
      </w:pPr>
      <w:bookmarkStart w:id="178" w:name="_Toc23093"/>
      <w:r>
        <w:rPr>
          <w:rFonts w:hint="eastAsia" w:ascii="Times New Roman" w:hAnsi="Times New Roman" w:eastAsia="宋体" w:cs="宋体"/>
          <w:b/>
          <w:bCs/>
          <w:color w:val="000000" w:themeColor="text1"/>
          <w:spacing w:val="0"/>
          <w:sz w:val="21"/>
          <w:szCs w:val="21"/>
          <w:highlight w:val="none"/>
          <w14:textFill>
            <w14:solidFill>
              <w14:schemeClr w14:val="tx1"/>
            </w14:solidFill>
          </w14:textFill>
        </w:rPr>
        <w:t>7.评审标准</w:t>
      </w:r>
      <w:bookmarkEnd w:id="178"/>
    </w:p>
    <w:p w14:paraId="289E8351">
      <w:pPr>
        <w:pageBreakBefore w:val="0"/>
        <w:kinsoku/>
        <w:wordWrap/>
        <w:overflowPunct/>
        <w:topLinePunct w:val="0"/>
        <w:autoSpaceDE/>
        <w:autoSpaceDN/>
        <w:bidi w:val="0"/>
        <w:spacing w:line="360" w:lineRule="auto"/>
        <w:ind w:firstLine="420" w:firstLineChars="200"/>
        <w:textAlignment w:val="auto"/>
        <w:rPr>
          <w:rFonts w:hint="eastAsia" w:ascii="Times New Roman" w:hAnsi="Times New Roman" w:eastAsia="宋体" w:cs="宋体"/>
          <w:bCs/>
          <w:color w:val="000000" w:themeColor="text1"/>
          <w:spacing w:val="0"/>
          <w:szCs w:val="21"/>
          <w:highlight w:val="none"/>
          <w14:textFill>
            <w14:solidFill>
              <w14:schemeClr w14:val="tx1"/>
            </w14:solidFill>
          </w14:textFill>
        </w:rPr>
      </w:pPr>
      <w:r>
        <w:rPr>
          <w:rFonts w:hint="eastAsia" w:ascii="Times New Roman" w:hAnsi="Times New Roman" w:eastAsia="宋体" w:cs="宋体"/>
          <w:bCs/>
          <w:color w:val="000000" w:themeColor="text1"/>
          <w:spacing w:val="0"/>
          <w:highlight w:val="none"/>
          <w14:textFill>
            <w14:solidFill>
              <w14:schemeClr w14:val="tx1"/>
            </w14:solidFill>
          </w14:textFill>
        </w:rPr>
        <w:t>7.</w:t>
      </w:r>
      <w:r>
        <w:rPr>
          <w:rFonts w:hint="eastAsia" w:ascii="Times New Roman" w:hAnsi="Times New Roman" w:eastAsia="宋体" w:cs="宋体"/>
          <w:bCs/>
          <w:color w:val="000000" w:themeColor="text1"/>
          <w:spacing w:val="0"/>
          <w:szCs w:val="21"/>
          <w:highlight w:val="none"/>
          <w14:textFill>
            <w14:solidFill>
              <w14:schemeClr w14:val="tx1"/>
            </w14:solidFill>
          </w14:textFill>
        </w:rPr>
        <w:t>1评审依据：磋商小组将以响应文件为评审依据，对供应商的报价、技术、商务等方面内容按百分制打分，供应商总得分=报价分+技术分+商务分。（计分方法按四舍五入取至百分位）</w:t>
      </w:r>
    </w:p>
    <w:p w14:paraId="59D782E9">
      <w:pPr>
        <w:pageBreakBefore w:val="0"/>
        <w:kinsoku/>
        <w:wordWrap/>
        <w:overflowPunct/>
        <w:topLinePunct w:val="0"/>
        <w:bidi w:val="0"/>
        <w:spacing w:line="360" w:lineRule="auto"/>
        <w:ind w:firstLine="420" w:firstLineChars="200"/>
        <w:textAlignment w:val="auto"/>
        <w:rPr>
          <w:rFonts w:hint="eastAsia"/>
          <w:bCs/>
          <w:color w:val="000000" w:themeColor="text1"/>
          <w:szCs w:val="21"/>
          <w:highlight w:val="none"/>
          <w14:textFill>
            <w14:solidFill>
              <w14:schemeClr w14:val="tx1"/>
            </w14:solidFill>
          </w14:textFill>
        </w:rPr>
      </w:pPr>
      <w:r>
        <w:rPr>
          <w:rFonts w:hint="eastAsia"/>
          <w:bCs/>
          <w:color w:val="000000" w:themeColor="text1"/>
          <w:szCs w:val="21"/>
          <w:highlight w:val="none"/>
          <w14:textFill>
            <w14:solidFill>
              <w14:schemeClr w14:val="tx1"/>
            </w14:solidFill>
          </w14:textFill>
        </w:rPr>
        <w:br w:type="page"/>
      </w:r>
    </w:p>
    <w:tbl>
      <w:tblPr>
        <w:tblStyle w:val="29"/>
        <w:tblW w:w="0" w:type="auto"/>
        <w:tblInd w:w="2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9"/>
        <w:gridCol w:w="1082"/>
        <w:gridCol w:w="1575"/>
        <w:gridCol w:w="5489"/>
        <w:gridCol w:w="794"/>
      </w:tblGrid>
      <w:tr w14:paraId="766F42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blHeader/>
        </w:trPr>
        <w:tc>
          <w:tcPr>
            <w:tcW w:w="659" w:type="dxa"/>
            <w:shd w:val="clear" w:color="auto" w:fill="auto"/>
            <w:noWrap w:val="0"/>
            <w:vAlign w:val="center"/>
          </w:tcPr>
          <w:p w14:paraId="04D11BB1">
            <w:pPr>
              <w:keepNext w:val="0"/>
              <w:keepLines w:val="0"/>
              <w:pageBreakBefore w:val="0"/>
              <w:widowControl w:val="0"/>
              <w:kinsoku/>
              <w:wordWrap/>
              <w:overflowPunct/>
              <w:topLinePunct w:val="0"/>
              <w:bidi w:val="0"/>
              <w:spacing w:line="400" w:lineRule="exact"/>
              <w:jc w:val="center"/>
              <w:textAlignment w:val="auto"/>
              <w:rPr>
                <w:rFonts w:hint="eastAsia" w:ascii="宋体" w:hAnsi="宋体" w:eastAsia="宋体" w:cs="宋体"/>
                <w:b/>
                <w:bCs w:val="0"/>
                <w:color w:val="000000" w:themeColor="text1"/>
                <w:sz w:val="21"/>
                <w:szCs w:val="21"/>
                <w:highlight w:val="none"/>
                <w14:textFill>
                  <w14:solidFill>
                    <w14:schemeClr w14:val="tx1"/>
                  </w14:solidFill>
                </w14:textFill>
              </w:rPr>
            </w:pPr>
            <w:r>
              <w:rPr>
                <w:rFonts w:hint="eastAsia" w:ascii="宋体" w:hAnsi="宋体" w:eastAsia="宋体" w:cs="宋体"/>
                <w:b/>
                <w:bCs w:val="0"/>
                <w:color w:val="000000" w:themeColor="text1"/>
                <w:sz w:val="21"/>
                <w:szCs w:val="21"/>
                <w:highlight w:val="none"/>
                <w14:textFill>
                  <w14:solidFill>
                    <w14:schemeClr w14:val="tx1"/>
                  </w14:solidFill>
                </w14:textFill>
              </w:rPr>
              <w:t>序号</w:t>
            </w:r>
          </w:p>
        </w:tc>
        <w:tc>
          <w:tcPr>
            <w:tcW w:w="1082" w:type="dxa"/>
            <w:shd w:val="clear" w:color="auto" w:fill="auto"/>
            <w:noWrap w:val="0"/>
            <w:vAlign w:val="center"/>
          </w:tcPr>
          <w:p w14:paraId="778D625A">
            <w:pPr>
              <w:keepNext w:val="0"/>
              <w:keepLines w:val="0"/>
              <w:pageBreakBefore w:val="0"/>
              <w:widowControl w:val="0"/>
              <w:kinsoku/>
              <w:wordWrap/>
              <w:overflowPunct/>
              <w:topLinePunct w:val="0"/>
              <w:bidi w:val="0"/>
              <w:spacing w:line="400" w:lineRule="exact"/>
              <w:jc w:val="center"/>
              <w:textAlignment w:val="auto"/>
              <w:rPr>
                <w:rFonts w:hint="eastAsia" w:ascii="宋体" w:hAnsi="宋体" w:eastAsia="宋体" w:cs="宋体"/>
                <w:b/>
                <w:bCs w:val="0"/>
                <w:color w:val="000000" w:themeColor="text1"/>
                <w:sz w:val="21"/>
                <w:szCs w:val="21"/>
                <w:highlight w:val="none"/>
                <w14:textFill>
                  <w14:solidFill>
                    <w14:schemeClr w14:val="tx1"/>
                  </w14:solidFill>
                </w14:textFill>
              </w:rPr>
            </w:pPr>
            <w:r>
              <w:rPr>
                <w:rFonts w:hint="eastAsia" w:ascii="宋体" w:hAnsi="宋体" w:eastAsia="宋体" w:cs="宋体"/>
                <w:b/>
                <w:bCs w:val="0"/>
                <w:color w:val="000000" w:themeColor="text1"/>
                <w:sz w:val="21"/>
                <w:szCs w:val="21"/>
                <w:highlight w:val="none"/>
                <w14:textFill>
                  <w14:solidFill>
                    <w14:schemeClr w14:val="tx1"/>
                  </w14:solidFill>
                </w14:textFill>
              </w:rPr>
              <w:t>评分类型</w:t>
            </w:r>
          </w:p>
        </w:tc>
        <w:tc>
          <w:tcPr>
            <w:tcW w:w="7064" w:type="dxa"/>
            <w:gridSpan w:val="2"/>
            <w:shd w:val="clear" w:color="auto" w:fill="auto"/>
            <w:noWrap w:val="0"/>
            <w:vAlign w:val="center"/>
          </w:tcPr>
          <w:p w14:paraId="6E48D55D">
            <w:pPr>
              <w:keepNext w:val="0"/>
              <w:keepLines w:val="0"/>
              <w:pageBreakBefore w:val="0"/>
              <w:widowControl w:val="0"/>
              <w:kinsoku/>
              <w:wordWrap/>
              <w:overflowPunct/>
              <w:topLinePunct w:val="0"/>
              <w:bidi w:val="0"/>
              <w:spacing w:line="400" w:lineRule="exact"/>
              <w:jc w:val="center"/>
              <w:textAlignment w:val="auto"/>
              <w:rPr>
                <w:rFonts w:hint="eastAsia" w:ascii="宋体" w:hAnsi="宋体" w:eastAsia="宋体" w:cs="宋体"/>
                <w:b/>
                <w:bCs w:val="0"/>
                <w:color w:val="000000" w:themeColor="text1"/>
                <w:sz w:val="21"/>
                <w:szCs w:val="21"/>
                <w:highlight w:val="none"/>
                <w14:textFill>
                  <w14:solidFill>
                    <w14:schemeClr w14:val="tx1"/>
                  </w14:solidFill>
                </w14:textFill>
              </w:rPr>
            </w:pPr>
            <w:r>
              <w:rPr>
                <w:rFonts w:hint="eastAsia" w:ascii="宋体" w:hAnsi="宋体" w:eastAsia="宋体" w:cs="宋体"/>
                <w:b/>
                <w:bCs w:val="0"/>
                <w:color w:val="000000" w:themeColor="text1"/>
                <w:sz w:val="21"/>
                <w:szCs w:val="21"/>
                <w:highlight w:val="none"/>
                <w14:textFill>
                  <w14:solidFill>
                    <w14:schemeClr w14:val="tx1"/>
                  </w14:solidFill>
                </w14:textFill>
              </w:rPr>
              <w:t>评分标准</w:t>
            </w:r>
          </w:p>
        </w:tc>
        <w:tc>
          <w:tcPr>
            <w:tcW w:w="794" w:type="dxa"/>
            <w:shd w:val="clear" w:color="auto" w:fill="auto"/>
            <w:noWrap w:val="0"/>
            <w:vAlign w:val="center"/>
          </w:tcPr>
          <w:p w14:paraId="44A906B5">
            <w:pPr>
              <w:keepNext w:val="0"/>
              <w:keepLines w:val="0"/>
              <w:pageBreakBefore w:val="0"/>
              <w:widowControl w:val="0"/>
              <w:kinsoku/>
              <w:wordWrap/>
              <w:overflowPunct/>
              <w:topLinePunct w:val="0"/>
              <w:bidi w:val="0"/>
              <w:spacing w:line="400" w:lineRule="exact"/>
              <w:jc w:val="center"/>
              <w:textAlignment w:val="auto"/>
              <w:rPr>
                <w:rFonts w:hint="eastAsia" w:ascii="宋体" w:hAnsi="宋体" w:eastAsia="宋体" w:cs="宋体"/>
                <w:b/>
                <w:bCs w:val="0"/>
                <w:color w:val="000000" w:themeColor="text1"/>
                <w:sz w:val="21"/>
                <w:szCs w:val="21"/>
                <w:highlight w:val="none"/>
                <w14:textFill>
                  <w14:solidFill>
                    <w14:schemeClr w14:val="tx1"/>
                  </w14:solidFill>
                </w14:textFill>
              </w:rPr>
            </w:pPr>
            <w:r>
              <w:rPr>
                <w:rFonts w:hint="eastAsia" w:ascii="宋体" w:hAnsi="宋体" w:eastAsia="宋体" w:cs="宋体"/>
                <w:b/>
                <w:bCs w:val="0"/>
                <w:color w:val="000000" w:themeColor="text1"/>
                <w:sz w:val="21"/>
                <w:szCs w:val="21"/>
                <w:highlight w:val="none"/>
                <w14:textFill>
                  <w14:solidFill>
                    <w14:schemeClr w14:val="tx1"/>
                  </w14:solidFill>
                </w14:textFill>
              </w:rPr>
              <w:t>分值</w:t>
            </w:r>
          </w:p>
        </w:tc>
      </w:tr>
      <w:tr w14:paraId="2AF4D2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59" w:type="dxa"/>
            <w:noWrap w:val="0"/>
            <w:vAlign w:val="center"/>
          </w:tcPr>
          <w:p w14:paraId="4A80CCA9">
            <w:pPr>
              <w:keepNext w:val="0"/>
              <w:keepLines w:val="0"/>
              <w:pageBreakBefore w:val="0"/>
              <w:widowControl w:val="0"/>
              <w:kinsoku/>
              <w:wordWrap/>
              <w:overflowPunct/>
              <w:topLinePunct w:val="0"/>
              <w:bidi w:val="0"/>
              <w:spacing w:line="400" w:lineRule="exact"/>
              <w:jc w:val="center"/>
              <w:textAlignment w:val="auto"/>
              <w:rPr>
                <w:rFonts w:hint="eastAsia" w:ascii="宋体" w:hAnsi="宋体" w:eastAsia="宋体" w:cs="宋体"/>
                <w:b/>
                <w:bCs w:val="0"/>
                <w:color w:val="000000" w:themeColor="text1"/>
                <w:szCs w:val="21"/>
                <w:highlight w:val="none"/>
                <w:lang w:eastAsia="zh-CN"/>
                <w14:textFill>
                  <w14:solidFill>
                    <w14:schemeClr w14:val="tx1"/>
                  </w14:solidFill>
                </w14:textFill>
              </w:rPr>
            </w:pPr>
            <w:r>
              <w:rPr>
                <w:rFonts w:hint="eastAsia" w:ascii="宋体" w:hAnsi="宋体" w:eastAsia="宋体" w:cs="宋体"/>
                <w:b/>
                <w:bCs w:val="0"/>
                <w:color w:val="000000" w:themeColor="text1"/>
                <w:szCs w:val="21"/>
                <w:highlight w:val="none"/>
                <w:lang w:eastAsia="zh-CN"/>
                <w14:textFill>
                  <w14:solidFill>
                    <w14:schemeClr w14:val="tx1"/>
                  </w14:solidFill>
                </w14:textFill>
              </w:rPr>
              <w:t>一</w:t>
            </w:r>
          </w:p>
        </w:tc>
        <w:tc>
          <w:tcPr>
            <w:tcW w:w="8146" w:type="dxa"/>
            <w:gridSpan w:val="3"/>
            <w:noWrap w:val="0"/>
            <w:vAlign w:val="center"/>
          </w:tcPr>
          <w:p w14:paraId="3AEDF3A1">
            <w:pPr>
              <w:keepNext w:val="0"/>
              <w:keepLines w:val="0"/>
              <w:pageBreakBefore w:val="0"/>
              <w:widowControl w:val="0"/>
              <w:kinsoku/>
              <w:wordWrap/>
              <w:overflowPunct/>
              <w:topLinePunct w:val="0"/>
              <w:bidi w:val="0"/>
              <w:spacing w:line="400" w:lineRule="exact"/>
              <w:jc w:val="center"/>
              <w:textAlignment w:val="auto"/>
              <w:rPr>
                <w:rFonts w:hint="eastAsia" w:ascii="宋体" w:hAnsi="宋体" w:eastAsia="宋体" w:cs="宋体"/>
                <w:b/>
                <w:bCs w:val="0"/>
                <w:color w:val="000000" w:themeColor="text1"/>
                <w:szCs w:val="21"/>
                <w:highlight w:val="none"/>
                <w14:textFill>
                  <w14:solidFill>
                    <w14:schemeClr w14:val="tx1"/>
                  </w14:solidFill>
                </w14:textFill>
              </w:rPr>
            </w:pPr>
            <w:r>
              <w:rPr>
                <w:rFonts w:hint="eastAsia" w:ascii="宋体" w:hAnsi="宋体" w:eastAsia="宋体" w:cs="宋体"/>
                <w:b/>
                <w:bCs w:val="0"/>
                <w:color w:val="000000" w:themeColor="text1"/>
                <w:szCs w:val="21"/>
                <w:highlight w:val="none"/>
                <w14:textFill>
                  <w14:solidFill>
                    <w14:schemeClr w14:val="tx1"/>
                  </w14:solidFill>
                </w14:textFill>
              </w:rPr>
              <w:t>报价分</w:t>
            </w:r>
          </w:p>
        </w:tc>
        <w:tc>
          <w:tcPr>
            <w:tcW w:w="794" w:type="dxa"/>
            <w:noWrap w:val="0"/>
            <w:vAlign w:val="center"/>
          </w:tcPr>
          <w:p w14:paraId="38CFF671">
            <w:pPr>
              <w:keepNext w:val="0"/>
              <w:keepLines w:val="0"/>
              <w:pageBreakBefore w:val="0"/>
              <w:widowControl w:val="0"/>
              <w:kinsoku/>
              <w:wordWrap/>
              <w:overflowPunct/>
              <w:topLinePunct w:val="0"/>
              <w:bidi w:val="0"/>
              <w:spacing w:line="400" w:lineRule="exact"/>
              <w:jc w:val="both"/>
              <w:textAlignment w:val="auto"/>
              <w:rPr>
                <w:rFonts w:hint="eastAsia" w:ascii="宋体" w:hAnsi="宋体" w:eastAsia="宋体" w:cs="宋体"/>
                <w:b/>
                <w:bCs w:val="0"/>
                <w:color w:val="000000" w:themeColor="text1"/>
                <w:szCs w:val="21"/>
                <w:highlight w:val="none"/>
                <w:lang w:val="en-US" w:eastAsia="zh-CN"/>
                <w14:textFill>
                  <w14:solidFill>
                    <w14:schemeClr w14:val="tx1"/>
                  </w14:solidFill>
                </w14:textFill>
              </w:rPr>
            </w:pPr>
            <w:r>
              <w:rPr>
                <w:rFonts w:hint="eastAsia" w:ascii="宋体" w:hAnsi="宋体" w:cs="宋体"/>
                <w:b/>
                <w:bCs w:val="0"/>
                <w:color w:val="000000" w:themeColor="text1"/>
                <w:szCs w:val="21"/>
                <w:highlight w:val="none"/>
                <w:lang w:val="en-US" w:eastAsia="zh-CN"/>
                <w14:textFill>
                  <w14:solidFill>
                    <w14:schemeClr w14:val="tx1"/>
                  </w14:solidFill>
                </w14:textFill>
              </w:rPr>
              <w:t>4</w:t>
            </w:r>
            <w:r>
              <w:rPr>
                <w:rFonts w:hint="eastAsia" w:ascii="宋体" w:hAnsi="宋体" w:eastAsia="宋体" w:cs="宋体"/>
                <w:b/>
                <w:bCs w:val="0"/>
                <w:color w:val="000000" w:themeColor="text1"/>
                <w:szCs w:val="21"/>
                <w:highlight w:val="none"/>
                <w:lang w:val="en-US" w:eastAsia="zh-CN"/>
                <w14:textFill>
                  <w14:solidFill>
                    <w14:schemeClr w14:val="tx1"/>
                  </w14:solidFill>
                </w14:textFill>
              </w:rPr>
              <w:t>0分</w:t>
            </w:r>
          </w:p>
        </w:tc>
      </w:tr>
      <w:tr w14:paraId="639B58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59" w:type="dxa"/>
            <w:noWrap w:val="0"/>
            <w:vAlign w:val="center"/>
          </w:tcPr>
          <w:p w14:paraId="74C1A909">
            <w:pPr>
              <w:keepNext w:val="0"/>
              <w:keepLines w:val="0"/>
              <w:pageBreakBefore w:val="0"/>
              <w:widowControl w:val="0"/>
              <w:kinsoku/>
              <w:wordWrap/>
              <w:overflowPunct/>
              <w:topLinePunct w:val="0"/>
              <w:bidi w:val="0"/>
              <w:spacing w:line="400" w:lineRule="exact"/>
              <w:jc w:val="center"/>
              <w:textAlignment w:val="auto"/>
              <w:rPr>
                <w:rFonts w:hint="eastAsia" w:ascii="宋体" w:hAnsi="宋体" w:eastAsia="宋体" w:cs="宋体"/>
                <w:bCs/>
                <w:color w:val="000000" w:themeColor="text1"/>
                <w:szCs w:val="21"/>
                <w:highlight w:val="none"/>
                <w14:textFill>
                  <w14:solidFill>
                    <w14:schemeClr w14:val="tx1"/>
                  </w14:solidFill>
                </w14:textFill>
              </w:rPr>
            </w:pPr>
            <w:r>
              <w:rPr>
                <w:rFonts w:hint="eastAsia" w:ascii="宋体" w:hAnsi="宋体" w:eastAsia="宋体" w:cs="宋体"/>
                <w:bCs/>
                <w:color w:val="000000" w:themeColor="text1"/>
                <w:szCs w:val="21"/>
                <w:highlight w:val="none"/>
                <w14:textFill>
                  <w14:solidFill>
                    <w14:schemeClr w14:val="tx1"/>
                  </w14:solidFill>
                </w14:textFill>
              </w:rPr>
              <w:t>1</w:t>
            </w:r>
          </w:p>
        </w:tc>
        <w:tc>
          <w:tcPr>
            <w:tcW w:w="1082" w:type="dxa"/>
            <w:noWrap w:val="0"/>
            <w:vAlign w:val="center"/>
          </w:tcPr>
          <w:p w14:paraId="6B52A17F">
            <w:pPr>
              <w:keepNext w:val="0"/>
              <w:keepLines w:val="0"/>
              <w:pageBreakBefore w:val="0"/>
              <w:widowControl w:val="0"/>
              <w:kinsoku/>
              <w:wordWrap/>
              <w:overflowPunct/>
              <w:topLinePunct w:val="0"/>
              <w:bidi w:val="0"/>
              <w:spacing w:line="400" w:lineRule="exact"/>
              <w:jc w:val="center"/>
              <w:textAlignment w:val="auto"/>
              <w:rPr>
                <w:rFonts w:hint="eastAsia" w:ascii="宋体" w:hAnsi="宋体" w:eastAsia="宋体" w:cs="宋体"/>
                <w:bCs/>
                <w:color w:val="000000" w:themeColor="text1"/>
                <w:szCs w:val="21"/>
                <w:highlight w:val="none"/>
                <w14:textFill>
                  <w14:solidFill>
                    <w14:schemeClr w14:val="tx1"/>
                  </w14:solidFill>
                </w14:textFill>
              </w:rPr>
            </w:pPr>
            <w:r>
              <w:rPr>
                <w:rFonts w:hint="eastAsia" w:ascii="宋体" w:hAnsi="宋体" w:eastAsia="宋体" w:cs="宋体"/>
                <w:bCs/>
                <w:color w:val="000000" w:themeColor="text1"/>
                <w:szCs w:val="21"/>
                <w:highlight w:val="none"/>
                <w14:textFill>
                  <w14:solidFill>
                    <w14:schemeClr w14:val="tx1"/>
                  </w14:solidFill>
                </w14:textFill>
              </w:rPr>
              <w:t>报价</w:t>
            </w:r>
            <w:r>
              <w:rPr>
                <w:rFonts w:hint="eastAsia" w:ascii="宋体" w:hAnsi="宋体" w:eastAsia="宋体" w:cs="宋体"/>
                <w:bCs/>
                <w:color w:val="000000" w:themeColor="text1"/>
                <w:kern w:val="0"/>
                <w:szCs w:val="21"/>
                <w:highlight w:val="none"/>
                <w14:textFill>
                  <w14:solidFill>
                    <w14:schemeClr w14:val="tx1"/>
                  </w14:solidFill>
                </w14:textFill>
              </w:rPr>
              <w:t>分</w:t>
            </w:r>
          </w:p>
        </w:tc>
        <w:tc>
          <w:tcPr>
            <w:tcW w:w="7064" w:type="dxa"/>
            <w:gridSpan w:val="2"/>
            <w:noWrap w:val="0"/>
            <w:vAlign w:val="center"/>
          </w:tcPr>
          <w:p w14:paraId="4509E752">
            <w:pPr>
              <w:keepNext w:val="0"/>
              <w:keepLines w:val="0"/>
              <w:pageBreakBefore w:val="0"/>
              <w:widowControl w:val="0"/>
              <w:kinsoku/>
              <w:wordWrap/>
              <w:overflowPunct/>
              <w:topLinePunct w:val="0"/>
              <w:bidi w:val="0"/>
              <w:spacing w:line="400" w:lineRule="exact"/>
              <w:ind w:firstLine="535" w:firstLineChars="255"/>
              <w:jc w:val="both"/>
              <w:textAlignment w:val="auto"/>
              <w:rPr>
                <w:rFonts w:hint="eastAsia"/>
                <w:bCs/>
                <w:color w:val="000000" w:themeColor="text1"/>
                <w:sz w:val="21"/>
                <w:highlight w:val="none"/>
                <w:lang w:eastAsia="zh-CN"/>
                <w14:textFill>
                  <w14:solidFill>
                    <w14:schemeClr w14:val="tx1"/>
                  </w14:solidFill>
                </w14:textFill>
              </w:rPr>
            </w:pPr>
            <w:r>
              <w:rPr>
                <w:rFonts w:hint="eastAsia"/>
                <w:bCs/>
                <w:color w:val="000000" w:themeColor="text1"/>
                <w:sz w:val="21"/>
                <w:highlight w:val="none"/>
                <w:lang w:val="en-US" w:eastAsia="zh-CN"/>
                <w14:textFill>
                  <w14:solidFill>
                    <w14:schemeClr w14:val="tx1"/>
                  </w14:solidFill>
                </w14:textFill>
              </w:rPr>
              <w:t>1.</w:t>
            </w:r>
            <w:r>
              <w:rPr>
                <w:rFonts w:hint="eastAsia"/>
                <w:bCs/>
                <w:color w:val="000000" w:themeColor="text1"/>
                <w:sz w:val="21"/>
                <w:highlight w:val="none"/>
                <w:lang w:eastAsia="zh-CN"/>
                <w14:textFill>
                  <w14:solidFill>
                    <w14:schemeClr w14:val="tx1"/>
                  </w14:solidFill>
                </w14:textFill>
              </w:rPr>
              <w:t>本项目为专门面向中小企业采购的项目，按照《政府采购促进中小企业发展管理办法》（财库〔2020〕46号）的规定，对供应商最后报价不再执行价格评审优惠的扶持政策。</w:t>
            </w:r>
          </w:p>
          <w:p w14:paraId="18A4AB40">
            <w:pPr>
              <w:keepNext w:val="0"/>
              <w:keepLines w:val="0"/>
              <w:pageBreakBefore w:val="0"/>
              <w:widowControl w:val="0"/>
              <w:kinsoku/>
              <w:wordWrap/>
              <w:overflowPunct/>
              <w:topLinePunct w:val="0"/>
              <w:bidi w:val="0"/>
              <w:spacing w:line="400" w:lineRule="exact"/>
              <w:ind w:firstLine="535" w:firstLineChars="255"/>
              <w:jc w:val="both"/>
              <w:textAlignment w:val="auto"/>
              <w:rPr>
                <w:rFonts w:hint="eastAsia"/>
                <w:bCs/>
                <w:color w:val="000000" w:themeColor="text1"/>
                <w:sz w:val="21"/>
                <w:highlight w:val="none"/>
                <w:lang w:eastAsia="zh-CN"/>
                <w14:textFill>
                  <w14:solidFill>
                    <w14:schemeClr w14:val="tx1"/>
                  </w14:solidFill>
                </w14:textFill>
              </w:rPr>
            </w:pPr>
            <w:r>
              <w:rPr>
                <w:rFonts w:hint="eastAsia"/>
                <w:bCs/>
                <w:color w:val="000000" w:themeColor="text1"/>
                <w:sz w:val="21"/>
                <w:highlight w:val="none"/>
                <w:lang w:val="en-US" w:eastAsia="zh-CN"/>
                <w14:textFill>
                  <w14:solidFill>
                    <w14:schemeClr w14:val="tx1"/>
                  </w14:solidFill>
                </w14:textFill>
              </w:rPr>
              <w:t>2.</w:t>
            </w:r>
            <w:r>
              <w:rPr>
                <w:rFonts w:hint="eastAsia"/>
                <w:bCs/>
                <w:color w:val="000000" w:themeColor="text1"/>
                <w:sz w:val="21"/>
                <w:highlight w:val="none"/>
                <w:lang w:eastAsia="zh-CN"/>
                <w14:textFill>
                  <w14:solidFill>
                    <w14:schemeClr w14:val="tx1"/>
                  </w14:solidFill>
                </w14:textFill>
              </w:rPr>
              <w:t>评审报价为供应商的最后报价，评审报价只是作为评审时使用。最终成交供应商的成交金额等于最后报价（如有修正，以确认修正后的最后报价为准）。</w:t>
            </w:r>
          </w:p>
          <w:p w14:paraId="72DA7075">
            <w:pPr>
              <w:keepNext w:val="0"/>
              <w:keepLines w:val="0"/>
              <w:pageBreakBefore w:val="0"/>
              <w:widowControl w:val="0"/>
              <w:kinsoku/>
              <w:wordWrap/>
              <w:overflowPunct/>
              <w:topLinePunct w:val="0"/>
              <w:bidi w:val="0"/>
              <w:spacing w:line="400" w:lineRule="exact"/>
              <w:ind w:firstLine="535" w:firstLineChars="255"/>
              <w:jc w:val="both"/>
              <w:textAlignment w:val="auto"/>
              <w:rPr>
                <w:rFonts w:hint="eastAsia"/>
                <w:bCs/>
                <w:color w:val="000000" w:themeColor="text1"/>
                <w:sz w:val="21"/>
                <w:highlight w:val="none"/>
                <w:lang w:eastAsia="zh-CN"/>
                <w14:textFill>
                  <w14:solidFill>
                    <w14:schemeClr w14:val="tx1"/>
                  </w14:solidFill>
                </w14:textFill>
              </w:rPr>
            </w:pPr>
            <w:r>
              <w:rPr>
                <w:rFonts w:hint="eastAsia"/>
                <w:bCs/>
                <w:color w:val="000000" w:themeColor="text1"/>
                <w:sz w:val="21"/>
                <w:highlight w:val="none"/>
                <w:lang w:val="en-US" w:eastAsia="zh-CN"/>
                <w14:textFill>
                  <w14:solidFill>
                    <w14:schemeClr w14:val="tx1"/>
                  </w14:solidFill>
                </w14:textFill>
              </w:rPr>
              <w:t>3.</w:t>
            </w:r>
            <w:r>
              <w:rPr>
                <w:rFonts w:hint="eastAsia"/>
                <w:bCs/>
                <w:color w:val="000000" w:themeColor="text1"/>
                <w:sz w:val="21"/>
                <w:highlight w:val="none"/>
                <w:lang w:eastAsia="zh-CN"/>
                <w14:textFill>
                  <w14:solidFill>
                    <w14:schemeClr w14:val="tx1"/>
                  </w14:solidFill>
                </w14:textFill>
              </w:rPr>
              <w:t>以进入比较与评价环节的最低的评审报价为基准价，基准价得分为</w:t>
            </w:r>
            <w:r>
              <w:rPr>
                <w:rFonts w:hint="eastAsia"/>
                <w:bCs/>
                <w:color w:val="000000" w:themeColor="text1"/>
                <w:sz w:val="21"/>
                <w:highlight w:val="none"/>
                <w:lang w:val="en-US" w:eastAsia="zh-CN"/>
                <w14:textFill>
                  <w14:solidFill>
                    <w14:schemeClr w14:val="tx1"/>
                  </w14:solidFill>
                </w14:textFill>
              </w:rPr>
              <w:t>40</w:t>
            </w:r>
            <w:r>
              <w:rPr>
                <w:rFonts w:hint="eastAsia"/>
                <w:bCs/>
                <w:color w:val="000000" w:themeColor="text1"/>
                <w:sz w:val="21"/>
                <w:highlight w:val="none"/>
                <w:lang w:eastAsia="zh-CN"/>
                <w14:textFill>
                  <w14:solidFill>
                    <w14:schemeClr w14:val="tx1"/>
                  </w14:solidFill>
                </w14:textFill>
              </w:rPr>
              <w:t>分。</w:t>
            </w:r>
          </w:p>
          <w:p w14:paraId="6F6C40B5">
            <w:pPr>
              <w:keepNext w:val="0"/>
              <w:keepLines w:val="0"/>
              <w:pageBreakBefore w:val="0"/>
              <w:widowControl w:val="0"/>
              <w:kinsoku/>
              <w:wordWrap/>
              <w:overflowPunct/>
              <w:topLinePunct w:val="0"/>
              <w:bidi w:val="0"/>
              <w:spacing w:line="400" w:lineRule="exact"/>
              <w:ind w:firstLine="535" w:firstLineChars="255"/>
              <w:jc w:val="both"/>
              <w:textAlignment w:val="auto"/>
              <w:rPr>
                <w:rFonts w:hint="eastAsia" w:ascii="宋体" w:hAnsi="宋体" w:eastAsia="宋体" w:cs="宋体"/>
                <w:color w:val="000000" w:themeColor="text1"/>
                <w:highlight w:val="none"/>
                <w14:textFill>
                  <w14:solidFill>
                    <w14:schemeClr w14:val="tx1"/>
                  </w14:solidFill>
                </w14:textFill>
              </w:rPr>
            </w:pPr>
            <w:r>
              <w:rPr>
                <w:rFonts w:hint="eastAsia"/>
                <w:bCs/>
                <w:color w:val="000000" w:themeColor="text1"/>
                <w:sz w:val="21"/>
                <w:highlight w:val="none"/>
                <w:lang w:val="en-US" w:eastAsia="zh-CN"/>
                <w14:textFill>
                  <w14:solidFill>
                    <w14:schemeClr w14:val="tx1"/>
                  </w14:solidFill>
                </w14:textFill>
              </w:rPr>
              <w:t>4.</w:t>
            </w:r>
            <w:r>
              <w:rPr>
                <w:rFonts w:hint="eastAsia"/>
                <w:bCs/>
                <w:color w:val="000000" w:themeColor="text1"/>
                <w:sz w:val="21"/>
                <w:highlight w:val="none"/>
                <w:lang w:eastAsia="zh-CN"/>
                <w14:textFill>
                  <w14:solidFill>
                    <w14:schemeClr w14:val="tx1"/>
                  </w14:solidFill>
                </w14:textFill>
              </w:rPr>
              <w:t>价格分计算公式：报价得分=（基准价/评审报价）×</w:t>
            </w:r>
            <w:r>
              <w:rPr>
                <w:rFonts w:hint="eastAsia"/>
                <w:bCs/>
                <w:color w:val="000000" w:themeColor="text1"/>
                <w:sz w:val="21"/>
                <w:highlight w:val="none"/>
                <w:lang w:val="en-US" w:eastAsia="zh-CN"/>
                <w14:textFill>
                  <w14:solidFill>
                    <w14:schemeClr w14:val="tx1"/>
                  </w14:solidFill>
                </w14:textFill>
              </w:rPr>
              <w:t>40</w:t>
            </w:r>
            <w:r>
              <w:rPr>
                <w:rFonts w:hint="eastAsia"/>
                <w:bCs/>
                <w:color w:val="000000" w:themeColor="text1"/>
                <w:sz w:val="21"/>
                <w:highlight w:val="none"/>
                <w:lang w:eastAsia="zh-CN"/>
                <w14:textFill>
                  <w14:solidFill>
                    <w14:schemeClr w14:val="tx1"/>
                  </w14:solidFill>
                </w14:textFill>
              </w:rPr>
              <w:t>分。</w:t>
            </w:r>
          </w:p>
        </w:tc>
        <w:tc>
          <w:tcPr>
            <w:tcW w:w="794" w:type="dxa"/>
            <w:noWrap w:val="0"/>
            <w:vAlign w:val="center"/>
          </w:tcPr>
          <w:p w14:paraId="462879A4">
            <w:pPr>
              <w:keepNext w:val="0"/>
              <w:keepLines w:val="0"/>
              <w:pageBreakBefore w:val="0"/>
              <w:widowControl w:val="0"/>
              <w:kinsoku/>
              <w:wordWrap/>
              <w:overflowPunct/>
              <w:topLinePunct w:val="0"/>
              <w:bidi w:val="0"/>
              <w:spacing w:line="400" w:lineRule="exact"/>
              <w:jc w:val="both"/>
              <w:textAlignment w:val="auto"/>
              <w:rPr>
                <w:rFonts w:hint="eastAsia" w:ascii="宋体" w:hAnsi="宋体" w:eastAsia="宋体" w:cs="宋体"/>
                <w:bCs/>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val="en-US" w:eastAsia="zh-CN"/>
                <w14:textFill>
                  <w14:solidFill>
                    <w14:schemeClr w14:val="tx1"/>
                  </w14:solidFill>
                </w14:textFill>
              </w:rPr>
              <w:t>4</w:t>
            </w:r>
            <w:r>
              <w:rPr>
                <w:rFonts w:hint="eastAsia" w:ascii="宋体" w:hAnsi="宋体" w:eastAsia="宋体" w:cs="宋体"/>
                <w:color w:val="000000" w:themeColor="text1"/>
                <w:kern w:val="0"/>
                <w:szCs w:val="21"/>
                <w:highlight w:val="none"/>
                <w:lang w:val="en-US" w:eastAsia="zh-CN"/>
                <w14:textFill>
                  <w14:solidFill>
                    <w14:schemeClr w14:val="tx1"/>
                  </w14:solidFill>
                </w14:textFill>
              </w:rPr>
              <w:t>0</w:t>
            </w:r>
            <w:r>
              <w:rPr>
                <w:rFonts w:hint="eastAsia" w:ascii="宋体" w:hAnsi="宋体" w:eastAsia="宋体" w:cs="宋体"/>
                <w:color w:val="000000" w:themeColor="text1"/>
                <w:kern w:val="0"/>
                <w:szCs w:val="21"/>
                <w:highlight w:val="none"/>
                <w14:textFill>
                  <w14:solidFill>
                    <w14:schemeClr w14:val="tx1"/>
                  </w14:solidFill>
                </w14:textFill>
              </w:rPr>
              <w:t>分</w:t>
            </w:r>
          </w:p>
        </w:tc>
      </w:tr>
      <w:tr w14:paraId="7B0889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59" w:type="dxa"/>
            <w:noWrap w:val="0"/>
            <w:vAlign w:val="center"/>
          </w:tcPr>
          <w:p w14:paraId="624420E7">
            <w:pPr>
              <w:keepNext w:val="0"/>
              <w:keepLines w:val="0"/>
              <w:pageBreakBefore w:val="0"/>
              <w:widowControl w:val="0"/>
              <w:numPr>
                <w:ilvl w:val="0"/>
                <w:numId w:val="0"/>
              </w:numPr>
              <w:kinsoku/>
              <w:wordWrap/>
              <w:overflowPunct/>
              <w:topLinePunct w:val="0"/>
              <w:autoSpaceDE w:val="0"/>
              <w:autoSpaceDN w:val="0"/>
              <w:bidi w:val="0"/>
              <w:adjustRightInd w:val="0"/>
              <w:snapToGrid w:val="0"/>
              <w:spacing w:line="400" w:lineRule="exact"/>
              <w:jc w:val="center"/>
              <w:textAlignment w:val="auto"/>
              <w:rPr>
                <w:rFonts w:hint="eastAsia" w:ascii="宋体" w:hAnsi="宋体" w:eastAsia="宋体" w:cs="宋体"/>
                <w:b/>
                <w:color w:val="000000" w:themeColor="text1"/>
                <w:szCs w:val="21"/>
                <w:highlight w:val="none"/>
                <w:lang w:eastAsia="zh-CN"/>
                <w14:textFill>
                  <w14:solidFill>
                    <w14:schemeClr w14:val="tx1"/>
                  </w14:solidFill>
                </w14:textFill>
              </w:rPr>
            </w:pPr>
            <w:r>
              <w:rPr>
                <w:rFonts w:hint="eastAsia" w:ascii="宋体" w:hAnsi="宋体" w:eastAsia="宋体" w:cs="宋体"/>
                <w:b/>
                <w:color w:val="000000" w:themeColor="text1"/>
                <w:szCs w:val="21"/>
                <w:highlight w:val="none"/>
                <w:lang w:eastAsia="zh-CN"/>
                <w14:textFill>
                  <w14:solidFill>
                    <w14:schemeClr w14:val="tx1"/>
                  </w14:solidFill>
                </w14:textFill>
              </w:rPr>
              <w:t>二</w:t>
            </w:r>
          </w:p>
        </w:tc>
        <w:tc>
          <w:tcPr>
            <w:tcW w:w="8146" w:type="dxa"/>
            <w:gridSpan w:val="3"/>
            <w:noWrap w:val="0"/>
            <w:vAlign w:val="center"/>
          </w:tcPr>
          <w:p w14:paraId="7C4B33BA">
            <w:pPr>
              <w:keepNext w:val="0"/>
              <w:keepLines w:val="0"/>
              <w:pageBreakBefore w:val="0"/>
              <w:widowControl w:val="0"/>
              <w:numPr>
                <w:ilvl w:val="0"/>
                <w:numId w:val="0"/>
              </w:numPr>
              <w:kinsoku/>
              <w:wordWrap/>
              <w:overflowPunct/>
              <w:topLinePunct w:val="0"/>
              <w:autoSpaceDE w:val="0"/>
              <w:autoSpaceDN w:val="0"/>
              <w:bidi w:val="0"/>
              <w:adjustRightInd w:val="0"/>
              <w:snapToGrid w:val="0"/>
              <w:spacing w:line="400" w:lineRule="exact"/>
              <w:jc w:val="center"/>
              <w:textAlignment w:val="auto"/>
              <w:rPr>
                <w:rFonts w:hint="eastAsia" w:ascii="宋体" w:hAnsi="宋体" w:eastAsia="宋体" w:cs="宋体"/>
                <w:b/>
                <w:color w:val="000000" w:themeColor="text1"/>
                <w:szCs w:val="21"/>
                <w:highlight w:val="none"/>
                <w14:textFill>
                  <w14:solidFill>
                    <w14:schemeClr w14:val="tx1"/>
                  </w14:solidFill>
                </w14:textFill>
              </w:rPr>
            </w:pPr>
            <w:r>
              <w:rPr>
                <w:rFonts w:hint="eastAsia" w:ascii="宋体" w:hAnsi="宋体" w:eastAsia="宋体" w:cs="宋体"/>
                <w:b/>
                <w:color w:val="000000" w:themeColor="text1"/>
                <w:szCs w:val="21"/>
                <w:highlight w:val="none"/>
                <w14:textFill>
                  <w14:solidFill>
                    <w14:schemeClr w14:val="tx1"/>
                  </w14:solidFill>
                </w14:textFill>
              </w:rPr>
              <w:t>技术分</w:t>
            </w:r>
          </w:p>
        </w:tc>
        <w:tc>
          <w:tcPr>
            <w:tcW w:w="794" w:type="dxa"/>
            <w:noWrap w:val="0"/>
            <w:vAlign w:val="center"/>
          </w:tcPr>
          <w:p w14:paraId="289EF92F">
            <w:pPr>
              <w:keepNext w:val="0"/>
              <w:keepLines w:val="0"/>
              <w:pageBreakBefore w:val="0"/>
              <w:widowControl w:val="0"/>
              <w:numPr>
                <w:ilvl w:val="0"/>
                <w:numId w:val="0"/>
              </w:numPr>
              <w:kinsoku/>
              <w:wordWrap/>
              <w:overflowPunct/>
              <w:topLinePunct w:val="0"/>
              <w:autoSpaceDE w:val="0"/>
              <w:autoSpaceDN w:val="0"/>
              <w:bidi w:val="0"/>
              <w:adjustRightInd w:val="0"/>
              <w:snapToGrid w:val="0"/>
              <w:spacing w:line="400" w:lineRule="exact"/>
              <w:jc w:val="center"/>
              <w:textAlignment w:val="auto"/>
              <w:rPr>
                <w:rFonts w:hint="default" w:ascii="宋体" w:hAnsi="宋体" w:eastAsia="宋体" w:cs="宋体"/>
                <w:b/>
                <w:color w:val="000000" w:themeColor="text1"/>
                <w:szCs w:val="21"/>
                <w:highlight w:val="none"/>
                <w:lang w:val="en-US" w:eastAsia="zh-CN"/>
                <w14:textFill>
                  <w14:solidFill>
                    <w14:schemeClr w14:val="tx1"/>
                  </w14:solidFill>
                </w14:textFill>
              </w:rPr>
            </w:pPr>
            <w:r>
              <w:rPr>
                <w:rFonts w:hint="eastAsia" w:ascii="宋体" w:hAnsi="宋体" w:cs="宋体"/>
                <w:b/>
                <w:color w:val="000000" w:themeColor="text1"/>
                <w:szCs w:val="21"/>
                <w:highlight w:val="none"/>
                <w:lang w:val="en-US" w:eastAsia="zh-CN"/>
                <w14:textFill>
                  <w14:solidFill>
                    <w14:schemeClr w14:val="tx1"/>
                  </w14:solidFill>
                </w14:textFill>
              </w:rPr>
              <w:t>45</w:t>
            </w:r>
            <w:r>
              <w:rPr>
                <w:rFonts w:hint="eastAsia" w:ascii="宋体" w:hAnsi="宋体" w:eastAsia="宋体" w:cs="宋体"/>
                <w:b/>
                <w:color w:val="000000" w:themeColor="text1"/>
                <w:szCs w:val="21"/>
                <w:highlight w:val="none"/>
                <w:lang w:val="en-US" w:eastAsia="zh-CN"/>
                <w14:textFill>
                  <w14:solidFill>
                    <w14:schemeClr w14:val="tx1"/>
                  </w14:solidFill>
                </w14:textFill>
              </w:rPr>
              <w:t>分</w:t>
            </w:r>
          </w:p>
        </w:tc>
      </w:tr>
      <w:tr w14:paraId="3C417F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59" w:type="dxa"/>
            <w:noWrap w:val="0"/>
            <w:vAlign w:val="center"/>
          </w:tcPr>
          <w:p w14:paraId="1684660E">
            <w:pPr>
              <w:keepNext w:val="0"/>
              <w:keepLines w:val="0"/>
              <w:pageBreakBefore w:val="0"/>
              <w:widowControl w:val="0"/>
              <w:kinsoku/>
              <w:wordWrap/>
              <w:overflowPunct/>
              <w:topLinePunct w:val="0"/>
              <w:bidi w:val="0"/>
              <w:spacing w:line="400" w:lineRule="exact"/>
              <w:jc w:val="center"/>
              <w:textAlignment w:val="auto"/>
              <w:rPr>
                <w:rFonts w:hint="eastAsia" w:ascii="宋体" w:hAnsi="宋体" w:eastAsia="宋体" w:cs="宋体"/>
                <w:bCs/>
                <w:color w:val="000000" w:themeColor="text1"/>
                <w:szCs w:val="21"/>
                <w:highlight w:val="none"/>
                <w:lang w:eastAsia="zh-CN"/>
                <w14:textFill>
                  <w14:solidFill>
                    <w14:schemeClr w14:val="tx1"/>
                  </w14:solidFill>
                </w14:textFill>
              </w:rPr>
            </w:pPr>
            <w:r>
              <w:rPr>
                <w:rFonts w:hint="eastAsia" w:ascii="宋体" w:hAnsi="宋体" w:cs="宋体"/>
                <w:bCs/>
                <w:color w:val="000000" w:themeColor="text1"/>
                <w:szCs w:val="21"/>
                <w:highlight w:val="none"/>
                <w:lang w:val="en-US" w:eastAsia="zh-CN"/>
                <w14:textFill>
                  <w14:solidFill>
                    <w14:schemeClr w14:val="tx1"/>
                  </w14:solidFill>
                </w14:textFill>
              </w:rPr>
              <w:t>1</w:t>
            </w:r>
          </w:p>
        </w:tc>
        <w:tc>
          <w:tcPr>
            <w:tcW w:w="1082" w:type="dxa"/>
            <w:noWrap w:val="0"/>
            <w:vAlign w:val="center"/>
          </w:tcPr>
          <w:p w14:paraId="0731F477">
            <w:pPr>
              <w:keepNext w:val="0"/>
              <w:keepLines w:val="0"/>
              <w:pageBreakBefore w:val="0"/>
              <w:widowControl w:val="0"/>
              <w:kinsoku/>
              <w:wordWrap/>
              <w:overflowPunct/>
              <w:topLinePunct w:val="0"/>
              <w:bidi w:val="0"/>
              <w:spacing w:line="400" w:lineRule="exact"/>
              <w:jc w:val="center"/>
              <w:textAlignment w:val="auto"/>
              <w:rPr>
                <w:rFonts w:hint="eastAsia" w:ascii="宋体" w:hAnsi="宋体" w:eastAsia="宋体" w:cs="宋体"/>
                <w:bCs/>
                <w:color w:val="000000" w:themeColor="text1"/>
                <w:szCs w:val="21"/>
                <w:highlight w:val="none"/>
                <w14:textFill>
                  <w14:solidFill>
                    <w14:schemeClr w14:val="tx1"/>
                  </w14:solidFill>
                </w14:textFill>
              </w:rPr>
            </w:pPr>
            <w:r>
              <w:rPr>
                <w:rFonts w:hint="eastAsia" w:ascii="宋体" w:hAnsi="宋体" w:eastAsia="宋体" w:cs="宋体"/>
                <w:bCs/>
                <w:color w:val="000000" w:themeColor="text1"/>
                <w:szCs w:val="21"/>
                <w:highlight w:val="none"/>
                <w14:textFill>
                  <w14:solidFill>
                    <w14:schemeClr w14:val="tx1"/>
                  </w14:solidFill>
                </w14:textFill>
              </w:rPr>
              <w:t>技术分</w:t>
            </w:r>
          </w:p>
        </w:tc>
        <w:tc>
          <w:tcPr>
            <w:tcW w:w="1575" w:type="dxa"/>
            <w:vMerge w:val="restart"/>
            <w:noWrap w:val="0"/>
            <w:vAlign w:val="center"/>
          </w:tcPr>
          <w:p w14:paraId="1B8089AD">
            <w:pPr>
              <w:keepNext w:val="0"/>
              <w:keepLines w:val="0"/>
              <w:pageBreakBefore w:val="0"/>
              <w:widowControl w:val="0"/>
              <w:kinsoku/>
              <w:wordWrap/>
              <w:overflowPunct/>
              <w:topLinePunct w:val="0"/>
              <w:bidi w:val="0"/>
              <w:spacing w:line="400" w:lineRule="exact"/>
              <w:jc w:val="center"/>
              <w:textAlignment w:val="auto"/>
              <w:rPr>
                <w:b/>
                <w:bCs/>
                <w:color w:val="000000" w:themeColor="text1"/>
                <w:sz w:val="21"/>
                <w:highlight w:val="none"/>
                <w:lang w:eastAsia="zh-CN"/>
                <w14:textFill>
                  <w14:solidFill>
                    <w14:schemeClr w14:val="tx1"/>
                  </w14:solidFill>
                </w14:textFill>
              </w:rPr>
            </w:pPr>
            <w:r>
              <w:rPr>
                <w:b/>
                <w:bCs/>
                <w:color w:val="000000" w:themeColor="text1"/>
                <w:sz w:val="21"/>
                <w:highlight w:val="none"/>
                <w:lang w:eastAsia="zh-CN"/>
                <w14:textFill>
                  <w14:solidFill>
                    <w14:schemeClr w14:val="tx1"/>
                  </w14:solidFill>
                </w14:textFill>
              </w:rPr>
              <w:t>施工组织设计方案分</w:t>
            </w:r>
          </w:p>
          <w:p w14:paraId="2CE347DF">
            <w:pPr>
              <w:keepNext w:val="0"/>
              <w:keepLines w:val="0"/>
              <w:pageBreakBefore w:val="0"/>
              <w:widowControl w:val="0"/>
              <w:kinsoku/>
              <w:wordWrap/>
              <w:overflowPunct/>
              <w:topLinePunct w:val="0"/>
              <w:bidi w:val="0"/>
              <w:spacing w:line="400" w:lineRule="exact"/>
              <w:jc w:val="center"/>
              <w:textAlignment w:val="auto"/>
              <w:rPr>
                <w:rFonts w:hint="eastAsia" w:ascii="宋体" w:hAnsi="宋体" w:eastAsia="宋体" w:cs="宋体"/>
                <w:color w:val="000000" w:themeColor="text1"/>
                <w:highlight w:val="none"/>
                <w14:textFill>
                  <w14:solidFill>
                    <w14:schemeClr w14:val="tx1"/>
                  </w14:solidFill>
                </w14:textFill>
              </w:rPr>
            </w:pPr>
            <w:r>
              <w:rPr>
                <w:rFonts w:hint="eastAsia"/>
                <w:b/>
                <w:bCs/>
                <w:color w:val="000000" w:themeColor="text1"/>
                <w:sz w:val="21"/>
                <w:highlight w:val="none"/>
                <w:lang w:eastAsia="zh-CN"/>
                <w14:textFill>
                  <w14:solidFill>
                    <w14:schemeClr w14:val="tx1"/>
                  </w14:solidFill>
                </w14:textFill>
              </w:rPr>
              <w:t>（满分</w:t>
            </w:r>
            <w:r>
              <w:rPr>
                <w:rFonts w:hint="eastAsia"/>
                <w:b/>
                <w:bCs/>
                <w:color w:val="000000" w:themeColor="text1"/>
                <w:sz w:val="21"/>
                <w:highlight w:val="none"/>
                <w:lang w:val="en-US" w:eastAsia="zh-CN"/>
                <w14:textFill>
                  <w14:solidFill>
                    <w14:schemeClr w14:val="tx1"/>
                  </w14:solidFill>
                </w14:textFill>
              </w:rPr>
              <w:t>45分</w:t>
            </w:r>
            <w:r>
              <w:rPr>
                <w:rFonts w:hint="eastAsia"/>
                <w:b/>
                <w:bCs/>
                <w:color w:val="000000" w:themeColor="text1"/>
                <w:sz w:val="21"/>
                <w:highlight w:val="none"/>
                <w:lang w:eastAsia="zh-CN"/>
                <w14:textFill>
                  <w14:solidFill>
                    <w14:schemeClr w14:val="tx1"/>
                  </w14:solidFill>
                </w14:textFill>
              </w:rPr>
              <w:t>）</w:t>
            </w:r>
          </w:p>
        </w:tc>
        <w:tc>
          <w:tcPr>
            <w:tcW w:w="5489" w:type="dxa"/>
            <w:noWrap w:val="0"/>
            <w:vAlign w:val="center"/>
          </w:tcPr>
          <w:p w14:paraId="3E157EE5">
            <w:pPr>
              <w:spacing w:line="440" w:lineRule="exact"/>
              <w:ind w:firstLine="517" w:firstLineChars="245"/>
              <w:rPr>
                <w:b/>
                <w:color w:val="000000" w:themeColor="text1"/>
                <w:sz w:val="21"/>
                <w:szCs w:val="22"/>
                <w:highlight w:val="none"/>
                <w:lang w:eastAsia="zh-CN"/>
                <w14:textFill>
                  <w14:solidFill>
                    <w14:schemeClr w14:val="tx1"/>
                  </w14:solidFill>
                </w14:textFill>
              </w:rPr>
            </w:pPr>
            <w:r>
              <w:rPr>
                <w:b/>
                <w:color w:val="000000" w:themeColor="text1"/>
                <w:sz w:val="21"/>
                <w:szCs w:val="22"/>
                <w:highlight w:val="none"/>
                <w:lang w:eastAsia="zh-CN"/>
                <w14:textFill>
                  <w14:solidFill>
                    <w14:schemeClr w14:val="tx1"/>
                  </w14:solidFill>
                </w14:textFill>
              </w:rPr>
              <w:t>（1）总体概述</w:t>
            </w:r>
            <w:r>
              <w:rPr>
                <w:rFonts w:hint="eastAsia"/>
                <w:b/>
                <w:color w:val="000000" w:themeColor="text1"/>
                <w:sz w:val="21"/>
                <w:szCs w:val="22"/>
                <w:highlight w:val="none"/>
                <w:lang w:eastAsia="zh-CN"/>
                <w14:textFill>
                  <w14:solidFill>
                    <w14:schemeClr w14:val="tx1"/>
                  </w14:solidFill>
                </w14:textFill>
              </w:rPr>
              <w:t>（</w:t>
            </w:r>
            <w:r>
              <w:rPr>
                <w:rFonts w:hint="eastAsia"/>
                <w:b/>
                <w:color w:val="000000" w:themeColor="text1"/>
                <w:sz w:val="21"/>
                <w:szCs w:val="22"/>
                <w:highlight w:val="none"/>
                <w:lang w:val="en-US" w:eastAsia="zh-CN"/>
                <w14:textFill>
                  <w14:solidFill>
                    <w14:schemeClr w14:val="tx1"/>
                  </w14:solidFill>
                </w14:textFill>
              </w:rPr>
              <w:t>4</w:t>
            </w:r>
            <w:r>
              <w:rPr>
                <w:b/>
                <w:color w:val="000000" w:themeColor="text1"/>
                <w:sz w:val="21"/>
                <w:szCs w:val="22"/>
                <w:highlight w:val="none"/>
                <w:lang w:eastAsia="zh-CN"/>
                <w14:textFill>
                  <w14:solidFill>
                    <w14:schemeClr w14:val="tx1"/>
                  </w14:solidFill>
                </w14:textFill>
              </w:rPr>
              <w:t>分</w:t>
            </w:r>
            <w:r>
              <w:rPr>
                <w:rFonts w:hint="eastAsia"/>
                <w:b/>
                <w:color w:val="000000" w:themeColor="text1"/>
                <w:sz w:val="21"/>
                <w:szCs w:val="22"/>
                <w:highlight w:val="none"/>
                <w:lang w:eastAsia="zh-CN"/>
                <w14:textFill>
                  <w14:solidFill>
                    <w14:schemeClr w14:val="tx1"/>
                  </w14:solidFill>
                </w14:textFill>
              </w:rPr>
              <w:t>）</w:t>
            </w:r>
          </w:p>
          <w:p w14:paraId="0188C72A">
            <w:pPr>
              <w:spacing w:line="440" w:lineRule="exact"/>
              <w:ind w:firstLine="535" w:firstLineChars="255"/>
              <w:rPr>
                <w:bCs/>
                <w:color w:val="000000" w:themeColor="text1"/>
                <w:sz w:val="21"/>
                <w:highlight w:val="none"/>
                <w:lang w:eastAsia="zh-CN"/>
                <w14:textFill>
                  <w14:solidFill>
                    <w14:schemeClr w14:val="tx1"/>
                  </w14:solidFill>
                </w14:textFill>
              </w:rPr>
            </w:pPr>
            <w:r>
              <w:rPr>
                <w:rFonts w:hint="eastAsia"/>
                <w:bCs/>
                <w:color w:val="000000" w:themeColor="text1"/>
                <w:sz w:val="21"/>
                <w:highlight w:val="none"/>
                <w:lang w:eastAsia="zh-CN"/>
                <w14:textFill>
                  <w14:solidFill>
                    <w14:schemeClr w14:val="tx1"/>
                  </w14:solidFill>
                </w14:textFill>
              </w:rPr>
              <w:t>优（</w:t>
            </w:r>
            <w:r>
              <w:rPr>
                <w:rFonts w:hint="eastAsia"/>
                <w:bCs/>
                <w:color w:val="000000" w:themeColor="text1"/>
                <w:sz w:val="21"/>
                <w:highlight w:val="none"/>
                <w:lang w:val="en-US" w:eastAsia="zh-CN"/>
                <w14:textFill>
                  <w14:solidFill>
                    <w14:schemeClr w14:val="tx1"/>
                  </w14:solidFill>
                </w14:textFill>
              </w:rPr>
              <w:t>4</w:t>
            </w:r>
            <w:r>
              <w:rPr>
                <w:bCs/>
                <w:color w:val="000000" w:themeColor="text1"/>
                <w:sz w:val="21"/>
                <w:highlight w:val="none"/>
                <w:lang w:eastAsia="zh-CN"/>
                <w14:textFill>
                  <w14:solidFill>
                    <w14:schemeClr w14:val="tx1"/>
                  </w14:solidFill>
                </w14:textFill>
              </w:rPr>
              <w:t>分）：对项目总体有认识，表达清晰、严谨、</w:t>
            </w:r>
            <w:r>
              <w:rPr>
                <w:rFonts w:hint="eastAsia"/>
                <w:bCs/>
                <w:color w:val="000000" w:themeColor="text1"/>
                <w:sz w:val="21"/>
                <w:highlight w:val="none"/>
                <w:lang w:eastAsia="zh-CN"/>
                <w14:textFill>
                  <w14:solidFill>
                    <w14:schemeClr w14:val="tx1"/>
                  </w14:solidFill>
                </w14:textFill>
              </w:rPr>
              <w:t>符合逻辑，有针对性</w:t>
            </w:r>
            <w:r>
              <w:rPr>
                <w:bCs/>
                <w:color w:val="000000" w:themeColor="text1"/>
                <w:sz w:val="21"/>
                <w:highlight w:val="none"/>
                <w:lang w:eastAsia="zh-CN"/>
                <w14:textFill>
                  <w14:solidFill>
                    <w14:schemeClr w14:val="tx1"/>
                  </w14:solidFill>
                </w14:textFill>
              </w:rPr>
              <w:t>，措施</w:t>
            </w:r>
            <w:r>
              <w:rPr>
                <w:rFonts w:hint="eastAsia"/>
                <w:bCs/>
                <w:color w:val="000000" w:themeColor="text1"/>
                <w:sz w:val="21"/>
                <w:highlight w:val="none"/>
                <w:lang w:eastAsia="zh-CN"/>
                <w14:textFill>
                  <w14:solidFill>
                    <w14:schemeClr w14:val="tx1"/>
                  </w14:solidFill>
                </w14:textFill>
              </w:rPr>
              <w:t>详细具体满足施工要求；施工段划分清晰完全符合施工要求，符合规范要求。</w:t>
            </w:r>
          </w:p>
          <w:p w14:paraId="044C3842">
            <w:pPr>
              <w:spacing w:line="440" w:lineRule="exact"/>
              <w:ind w:firstLine="535" w:firstLineChars="255"/>
              <w:rPr>
                <w:bCs/>
                <w:color w:val="000000" w:themeColor="text1"/>
                <w:sz w:val="21"/>
                <w:highlight w:val="none"/>
                <w:lang w:eastAsia="zh-CN"/>
                <w14:textFill>
                  <w14:solidFill>
                    <w14:schemeClr w14:val="tx1"/>
                  </w14:solidFill>
                </w14:textFill>
              </w:rPr>
            </w:pPr>
            <w:r>
              <w:rPr>
                <w:rFonts w:hint="eastAsia"/>
                <w:bCs/>
                <w:color w:val="000000" w:themeColor="text1"/>
                <w:sz w:val="21"/>
                <w:highlight w:val="none"/>
                <w:lang w:eastAsia="zh-CN"/>
                <w14:textFill>
                  <w14:solidFill>
                    <w14:schemeClr w14:val="tx1"/>
                  </w14:solidFill>
                </w14:textFill>
              </w:rPr>
              <w:t>良（</w:t>
            </w:r>
            <w:r>
              <w:rPr>
                <w:bCs/>
                <w:color w:val="000000" w:themeColor="text1"/>
                <w:sz w:val="21"/>
                <w:highlight w:val="none"/>
                <w:lang w:eastAsia="zh-CN"/>
                <w14:textFill>
                  <w14:solidFill>
                    <w14:schemeClr w14:val="tx1"/>
                  </w14:solidFill>
                </w14:textFill>
              </w:rPr>
              <w:t>2分）：对项目总体有认识，表达清晰，措施</w:t>
            </w:r>
            <w:r>
              <w:rPr>
                <w:rFonts w:hint="eastAsia"/>
                <w:bCs/>
                <w:color w:val="000000" w:themeColor="text1"/>
                <w:sz w:val="21"/>
                <w:highlight w:val="none"/>
                <w:lang w:eastAsia="zh-CN"/>
                <w14:textFill>
                  <w14:solidFill>
                    <w14:schemeClr w14:val="tx1"/>
                  </w14:solidFill>
                </w14:textFill>
              </w:rPr>
              <w:t>满足施工要求</w:t>
            </w:r>
            <w:r>
              <w:rPr>
                <w:bCs/>
                <w:color w:val="000000" w:themeColor="text1"/>
                <w:sz w:val="21"/>
                <w:highlight w:val="none"/>
                <w:lang w:eastAsia="zh-CN"/>
                <w14:textFill>
                  <w14:solidFill>
                    <w14:schemeClr w14:val="tx1"/>
                  </w14:solidFill>
                </w14:textFill>
              </w:rPr>
              <w:t>；施工段划分</w:t>
            </w:r>
            <w:r>
              <w:rPr>
                <w:rFonts w:hint="eastAsia"/>
                <w:bCs/>
                <w:color w:val="000000" w:themeColor="text1"/>
                <w:sz w:val="21"/>
                <w:highlight w:val="none"/>
                <w:lang w:eastAsia="zh-CN"/>
                <w14:textFill>
                  <w14:solidFill>
                    <w14:schemeClr w14:val="tx1"/>
                  </w14:solidFill>
                </w14:textFill>
              </w:rPr>
              <w:t>符合施工要求</w:t>
            </w:r>
            <w:r>
              <w:rPr>
                <w:bCs/>
                <w:color w:val="000000" w:themeColor="text1"/>
                <w:sz w:val="21"/>
                <w:highlight w:val="none"/>
                <w:lang w:eastAsia="zh-CN"/>
                <w14:textFill>
                  <w14:solidFill>
                    <w14:schemeClr w14:val="tx1"/>
                  </w14:solidFill>
                </w14:textFill>
              </w:rPr>
              <w:t>，符合规范</w:t>
            </w:r>
            <w:r>
              <w:rPr>
                <w:rFonts w:hint="eastAsia"/>
                <w:bCs/>
                <w:color w:val="000000" w:themeColor="text1"/>
                <w:sz w:val="21"/>
                <w:highlight w:val="none"/>
                <w:lang w:eastAsia="zh-CN"/>
                <w14:textFill>
                  <w14:solidFill>
                    <w14:schemeClr w14:val="tx1"/>
                  </w14:solidFill>
                </w14:textFill>
              </w:rPr>
              <w:t>要求。</w:t>
            </w:r>
          </w:p>
          <w:p w14:paraId="041728B9">
            <w:pPr>
              <w:spacing w:line="440" w:lineRule="exact"/>
              <w:ind w:firstLine="535" w:firstLineChars="255"/>
              <w:rPr>
                <w:bCs/>
                <w:color w:val="000000" w:themeColor="text1"/>
                <w:sz w:val="21"/>
                <w:highlight w:val="none"/>
                <w:lang w:eastAsia="zh-CN"/>
                <w14:textFill>
                  <w14:solidFill>
                    <w14:schemeClr w14:val="tx1"/>
                  </w14:solidFill>
                </w14:textFill>
              </w:rPr>
            </w:pPr>
            <w:r>
              <w:rPr>
                <w:rFonts w:hint="eastAsia"/>
                <w:bCs/>
                <w:color w:val="000000" w:themeColor="text1"/>
                <w:sz w:val="21"/>
                <w:highlight w:val="none"/>
                <w:lang w:eastAsia="zh-CN"/>
                <w14:textFill>
                  <w14:solidFill>
                    <w14:schemeClr w14:val="tx1"/>
                  </w14:solidFill>
                </w14:textFill>
              </w:rPr>
              <w:t>中（</w:t>
            </w:r>
            <w:r>
              <w:rPr>
                <w:bCs/>
                <w:color w:val="000000" w:themeColor="text1"/>
                <w:sz w:val="21"/>
                <w:highlight w:val="none"/>
                <w:lang w:eastAsia="zh-CN"/>
                <w14:textFill>
                  <w14:solidFill>
                    <w14:schemeClr w14:val="tx1"/>
                  </w14:solidFill>
                </w14:textFill>
              </w:rPr>
              <w:t>1分）：对项目总体有认识，有</w:t>
            </w:r>
            <w:r>
              <w:rPr>
                <w:rFonts w:hint="eastAsia"/>
                <w:bCs/>
                <w:color w:val="000000" w:themeColor="text1"/>
                <w:sz w:val="21"/>
                <w:highlight w:val="none"/>
                <w:lang w:eastAsia="zh-CN"/>
                <w14:textFill>
                  <w14:solidFill>
                    <w14:schemeClr w14:val="tx1"/>
                  </w14:solidFill>
                </w14:textFill>
              </w:rPr>
              <w:t>简单的措施</w:t>
            </w:r>
            <w:r>
              <w:rPr>
                <w:bCs/>
                <w:color w:val="000000" w:themeColor="text1"/>
                <w:sz w:val="21"/>
                <w:highlight w:val="none"/>
                <w:lang w:eastAsia="zh-CN"/>
                <w14:textFill>
                  <w14:solidFill>
                    <w14:schemeClr w14:val="tx1"/>
                  </w14:solidFill>
                </w14:textFill>
              </w:rPr>
              <w:t>；</w:t>
            </w:r>
            <w:r>
              <w:rPr>
                <w:rFonts w:hint="eastAsia"/>
                <w:bCs/>
                <w:color w:val="000000" w:themeColor="text1"/>
                <w:sz w:val="21"/>
                <w:highlight w:val="none"/>
                <w:lang w:eastAsia="zh-CN"/>
                <w14:textFill>
                  <w14:solidFill>
                    <w14:schemeClr w14:val="tx1"/>
                  </w14:solidFill>
                </w14:textFill>
              </w:rPr>
              <w:t>有</w:t>
            </w:r>
            <w:r>
              <w:rPr>
                <w:bCs/>
                <w:color w:val="000000" w:themeColor="text1"/>
                <w:sz w:val="21"/>
                <w:highlight w:val="none"/>
                <w:lang w:eastAsia="zh-CN"/>
                <w14:textFill>
                  <w14:solidFill>
                    <w14:schemeClr w14:val="tx1"/>
                  </w14:solidFill>
                </w14:textFill>
              </w:rPr>
              <w:t>施工段划分</w:t>
            </w:r>
            <w:r>
              <w:rPr>
                <w:rFonts w:hint="eastAsia"/>
                <w:bCs/>
                <w:color w:val="000000" w:themeColor="text1"/>
                <w:sz w:val="21"/>
                <w:highlight w:val="none"/>
                <w:lang w:eastAsia="zh-CN"/>
                <w14:textFill>
                  <w14:solidFill>
                    <w14:schemeClr w14:val="tx1"/>
                  </w14:solidFill>
                </w14:textFill>
              </w:rPr>
              <w:t>符合施工要求</w:t>
            </w:r>
            <w:r>
              <w:rPr>
                <w:bCs/>
                <w:color w:val="000000" w:themeColor="text1"/>
                <w:sz w:val="21"/>
                <w:highlight w:val="none"/>
                <w:lang w:eastAsia="zh-CN"/>
                <w14:textFill>
                  <w14:solidFill>
                    <w14:schemeClr w14:val="tx1"/>
                  </w14:solidFill>
                </w14:textFill>
              </w:rPr>
              <w:t>，符合规范要求。</w:t>
            </w:r>
          </w:p>
          <w:p w14:paraId="5C045F82">
            <w:pPr>
              <w:spacing w:line="440" w:lineRule="exact"/>
              <w:ind w:firstLine="535" w:firstLineChars="255"/>
              <w:rPr>
                <w:rFonts w:hint="eastAsia" w:ascii="宋体" w:hAnsi="宋体" w:eastAsia="宋体" w:cs="宋体"/>
                <w:color w:val="000000" w:themeColor="text1"/>
                <w:highlight w:val="none"/>
                <w14:textFill>
                  <w14:solidFill>
                    <w14:schemeClr w14:val="tx1"/>
                  </w14:solidFill>
                </w14:textFill>
              </w:rPr>
            </w:pPr>
            <w:r>
              <w:rPr>
                <w:rFonts w:hint="eastAsia"/>
                <w:bCs/>
                <w:color w:val="000000" w:themeColor="text1"/>
                <w:sz w:val="21"/>
                <w:highlight w:val="none"/>
                <w:lang w:eastAsia="zh-CN"/>
                <w14:textFill>
                  <w14:solidFill>
                    <w14:schemeClr w14:val="tx1"/>
                  </w14:solidFill>
                </w14:textFill>
              </w:rPr>
              <w:t>差（</w:t>
            </w:r>
            <w:r>
              <w:rPr>
                <w:bCs/>
                <w:color w:val="000000" w:themeColor="text1"/>
                <w:sz w:val="21"/>
                <w:highlight w:val="none"/>
                <w:lang w:eastAsia="zh-CN"/>
                <w14:textFill>
                  <w14:solidFill>
                    <w14:schemeClr w14:val="tx1"/>
                  </w14:solidFill>
                </w14:textFill>
              </w:rPr>
              <w:t>0</w:t>
            </w:r>
            <w:r>
              <w:rPr>
                <w:rFonts w:hint="eastAsia"/>
                <w:bCs/>
                <w:color w:val="000000" w:themeColor="text1"/>
                <w:sz w:val="21"/>
                <w:highlight w:val="none"/>
                <w:lang w:val="en-US" w:eastAsia="zh-CN"/>
                <w14:textFill>
                  <w14:solidFill>
                    <w14:schemeClr w14:val="tx1"/>
                  </w14:solidFill>
                </w14:textFill>
              </w:rPr>
              <w:t>.1</w:t>
            </w:r>
            <w:r>
              <w:rPr>
                <w:bCs/>
                <w:color w:val="000000" w:themeColor="text1"/>
                <w:sz w:val="21"/>
                <w:highlight w:val="none"/>
                <w:lang w:eastAsia="zh-CN"/>
                <w14:textFill>
                  <w14:solidFill>
                    <w14:schemeClr w14:val="tx1"/>
                  </w14:solidFill>
                </w14:textFill>
              </w:rPr>
              <w:t>分）：对项目认识不足，表达不清晰，施工段划分不</w:t>
            </w:r>
            <w:r>
              <w:rPr>
                <w:rFonts w:hint="eastAsia"/>
                <w:bCs/>
                <w:color w:val="000000" w:themeColor="text1"/>
                <w:sz w:val="21"/>
                <w:highlight w:val="none"/>
                <w:lang w:eastAsia="zh-CN"/>
                <w14:textFill>
                  <w14:solidFill>
                    <w14:schemeClr w14:val="tx1"/>
                  </w14:solidFill>
                </w14:textFill>
              </w:rPr>
              <w:t>符合施工要求</w:t>
            </w:r>
            <w:r>
              <w:rPr>
                <w:bCs/>
                <w:color w:val="000000" w:themeColor="text1"/>
                <w:sz w:val="21"/>
                <w:highlight w:val="none"/>
                <w:lang w:eastAsia="zh-CN"/>
                <w14:textFill>
                  <w14:solidFill>
                    <w14:schemeClr w14:val="tx1"/>
                  </w14:solidFill>
                </w14:textFill>
              </w:rPr>
              <w:t>。</w:t>
            </w:r>
          </w:p>
        </w:tc>
        <w:tc>
          <w:tcPr>
            <w:tcW w:w="794" w:type="dxa"/>
            <w:noWrap w:val="0"/>
            <w:vAlign w:val="center"/>
          </w:tcPr>
          <w:p w14:paraId="2F97BE58">
            <w:pPr>
              <w:keepNext w:val="0"/>
              <w:keepLines w:val="0"/>
              <w:pageBreakBefore w:val="0"/>
              <w:widowControl w:val="0"/>
              <w:kinsoku/>
              <w:wordWrap/>
              <w:overflowPunct/>
              <w:topLinePunct w:val="0"/>
              <w:bidi w:val="0"/>
              <w:spacing w:line="400" w:lineRule="exact"/>
              <w:jc w:val="center"/>
              <w:textAlignment w:val="auto"/>
              <w:rPr>
                <w:rFonts w:hint="eastAsia" w:ascii="宋体" w:hAnsi="宋体" w:eastAsia="宋体" w:cs="宋体"/>
                <w:bCs/>
                <w:color w:val="000000" w:themeColor="text1"/>
                <w:szCs w:val="21"/>
                <w:highlight w:val="none"/>
                <w:lang w:val="en-US" w:eastAsia="zh-CN"/>
                <w14:textFill>
                  <w14:solidFill>
                    <w14:schemeClr w14:val="tx1"/>
                  </w14:solidFill>
                </w14:textFill>
              </w:rPr>
            </w:pPr>
            <w:r>
              <w:rPr>
                <w:rFonts w:hint="eastAsia" w:ascii="宋体" w:hAnsi="宋体" w:cs="宋体"/>
                <w:bCs/>
                <w:color w:val="000000" w:themeColor="text1"/>
                <w:szCs w:val="21"/>
                <w:highlight w:val="none"/>
                <w:lang w:val="en-US" w:eastAsia="zh-CN"/>
                <w14:textFill>
                  <w14:solidFill>
                    <w14:schemeClr w14:val="tx1"/>
                  </w14:solidFill>
                </w14:textFill>
              </w:rPr>
              <w:t>4</w:t>
            </w:r>
            <w:r>
              <w:rPr>
                <w:rFonts w:hint="eastAsia" w:ascii="宋体" w:hAnsi="宋体" w:eastAsia="宋体" w:cs="宋体"/>
                <w:color w:val="000000" w:themeColor="text1"/>
                <w:kern w:val="0"/>
                <w:szCs w:val="21"/>
                <w:highlight w:val="none"/>
                <w14:textFill>
                  <w14:solidFill>
                    <w14:schemeClr w14:val="tx1"/>
                  </w14:solidFill>
                </w14:textFill>
              </w:rPr>
              <w:t>分</w:t>
            </w:r>
          </w:p>
        </w:tc>
      </w:tr>
      <w:tr w14:paraId="294C8B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59" w:type="dxa"/>
            <w:noWrap w:val="0"/>
            <w:vAlign w:val="center"/>
          </w:tcPr>
          <w:p w14:paraId="1A44D80C">
            <w:pPr>
              <w:keepNext w:val="0"/>
              <w:keepLines w:val="0"/>
              <w:pageBreakBefore w:val="0"/>
              <w:widowControl w:val="0"/>
              <w:kinsoku/>
              <w:wordWrap/>
              <w:overflowPunct/>
              <w:topLinePunct w:val="0"/>
              <w:bidi w:val="0"/>
              <w:spacing w:line="400" w:lineRule="exact"/>
              <w:jc w:val="center"/>
              <w:textAlignment w:val="auto"/>
              <w:rPr>
                <w:rFonts w:hint="eastAsia" w:ascii="宋体" w:hAnsi="宋体" w:eastAsia="宋体" w:cs="宋体"/>
                <w:bCs/>
                <w:color w:val="000000" w:themeColor="text1"/>
                <w:szCs w:val="21"/>
                <w:highlight w:val="none"/>
                <w:lang w:eastAsia="zh-CN"/>
                <w14:textFill>
                  <w14:solidFill>
                    <w14:schemeClr w14:val="tx1"/>
                  </w14:solidFill>
                </w14:textFill>
              </w:rPr>
            </w:pPr>
            <w:r>
              <w:rPr>
                <w:rFonts w:hint="eastAsia" w:ascii="宋体" w:hAnsi="宋体" w:cs="宋体"/>
                <w:bCs/>
                <w:color w:val="000000" w:themeColor="text1"/>
                <w:szCs w:val="21"/>
                <w:highlight w:val="none"/>
                <w:lang w:val="en-US" w:eastAsia="zh-CN"/>
                <w14:textFill>
                  <w14:solidFill>
                    <w14:schemeClr w14:val="tx1"/>
                  </w14:solidFill>
                </w14:textFill>
              </w:rPr>
              <w:t>2</w:t>
            </w:r>
          </w:p>
        </w:tc>
        <w:tc>
          <w:tcPr>
            <w:tcW w:w="1082" w:type="dxa"/>
            <w:noWrap w:val="0"/>
            <w:vAlign w:val="center"/>
          </w:tcPr>
          <w:p w14:paraId="0E9A37F9">
            <w:pPr>
              <w:keepNext w:val="0"/>
              <w:keepLines w:val="0"/>
              <w:pageBreakBefore w:val="0"/>
              <w:widowControl w:val="0"/>
              <w:kinsoku/>
              <w:wordWrap/>
              <w:overflowPunct/>
              <w:topLinePunct w:val="0"/>
              <w:bidi w:val="0"/>
              <w:spacing w:line="400" w:lineRule="exact"/>
              <w:jc w:val="center"/>
              <w:textAlignment w:val="auto"/>
              <w:rPr>
                <w:rFonts w:hint="eastAsia" w:ascii="宋体" w:hAnsi="宋体" w:eastAsia="宋体" w:cs="宋体"/>
                <w:bCs/>
                <w:color w:val="000000" w:themeColor="text1"/>
                <w:szCs w:val="21"/>
                <w:highlight w:val="none"/>
                <w14:textFill>
                  <w14:solidFill>
                    <w14:schemeClr w14:val="tx1"/>
                  </w14:solidFill>
                </w14:textFill>
              </w:rPr>
            </w:pPr>
            <w:r>
              <w:rPr>
                <w:rFonts w:hint="eastAsia" w:ascii="宋体" w:hAnsi="宋体" w:eastAsia="宋体" w:cs="宋体"/>
                <w:bCs/>
                <w:color w:val="000000" w:themeColor="text1"/>
                <w:szCs w:val="21"/>
                <w:highlight w:val="none"/>
                <w14:textFill>
                  <w14:solidFill>
                    <w14:schemeClr w14:val="tx1"/>
                  </w14:solidFill>
                </w14:textFill>
              </w:rPr>
              <w:t>技术分</w:t>
            </w:r>
          </w:p>
        </w:tc>
        <w:tc>
          <w:tcPr>
            <w:tcW w:w="1575" w:type="dxa"/>
            <w:vMerge w:val="continue"/>
            <w:noWrap w:val="0"/>
            <w:vAlign w:val="center"/>
          </w:tcPr>
          <w:p w14:paraId="014FBD37">
            <w:pPr>
              <w:keepNext w:val="0"/>
              <w:keepLines w:val="0"/>
              <w:pageBreakBefore w:val="0"/>
              <w:widowControl w:val="0"/>
              <w:kinsoku/>
              <w:wordWrap/>
              <w:overflowPunct/>
              <w:topLinePunct w:val="0"/>
              <w:bidi w:val="0"/>
              <w:spacing w:line="400" w:lineRule="exact"/>
              <w:jc w:val="left"/>
              <w:textAlignment w:val="auto"/>
              <w:rPr>
                <w:rFonts w:hint="eastAsia" w:ascii="宋体" w:hAnsi="宋体" w:eastAsia="宋体" w:cs="宋体"/>
                <w:color w:val="000000" w:themeColor="text1"/>
                <w:highlight w:val="none"/>
                <w14:textFill>
                  <w14:solidFill>
                    <w14:schemeClr w14:val="tx1"/>
                  </w14:solidFill>
                </w14:textFill>
              </w:rPr>
            </w:pPr>
          </w:p>
        </w:tc>
        <w:tc>
          <w:tcPr>
            <w:tcW w:w="5489" w:type="dxa"/>
            <w:noWrap w:val="0"/>
            <w:vAlign w:val="center"/>
          </w:tcPr>
          <w:p w14:paraId="0C393D79">
            <w:pPr>
              <w:spacing w:line="440" w:lineRule="exact"/>
              <w:ind w:firstLine="538" w:firstLineChars="255"/>
              <w:rPr>
                <w:b/>
                <w:color w:val="000000" w:themeColor="text1"/>
                <w:sz w:val="21"/>
                <w:szCs w:val="22"/>
                <w:highlight w:val="none"/>
                <w:lang w:eastAsia="zh-CN"/>
                <w14:textFill>
                  <w14:solidFill>
                    <w14:schemeClr w14:val="tx1"/>
                  </w14:solidFill>
                </w14:textFill>
              </w:rPr>
            </w:pPr>
            <w:r>
              <w:rPr>
                <w:b/>
                <w:color w:val="000000" w:themeColor="text1"/>
                <w:sz w:val="21"/>
                <w:szCs w:val="22"/>
                <w:highlight w:val="none"/>
                <w:lang w:eastAsia="zh-CN"/>
                <w14:textFill>
                  <w14:solidFill>
                    <w14:schemeClr w14:val="tx1"/>
                  </w14:solidFill>
                </w14:textFill>
              </w:rPr>
              <w:t>（2 ）主要施工方法</w:t>
            </w:r>
            <w:r>
              <w:rPr>
                <w:rFonts w:hint="eastAsia"/>
                <w:b/>
                <w:color w:val="000000" w:themeColor="text1"/>
                <w:sz w:val="21"/>
                <w:szCs w:val="22"/>
                <w:highlight w:val="none"/>
                <w:lang w:eastAsia="zh-CN"/>
                <w14:textFill>
                  <w14:solidFill>
                    <w14:schemeClr w14:val="tx1"/>
                  </w14:solidFill>
                </w14:textFill>
              </w:rPr>
              <w:t>（</w:t>
            </w:r>
            <w:r>
              <w:rPr>
                <w:rFonts w:hint="eastAsia"/>
                <w:b/>
                <w:color w:val="000000" w:themeColor="text1"/>
                <w:sz w:val="21"/>
                <w:szCs w:val="22"/>
                <w:highlight w:val="none"/>
                <w:lang w:val="en-US" w:eastAsia="zh-CN"/>
                <w14:textFill>
                  <w14:solidFill>
                    <w14:schemeClr w14:val="tx1"/>
                  </w14:solidFill>
                </w14:textFill>
              </w:rPr>
              <w:t>8</w:t>
            </w:r>
            <w:r>
              <w:rPr>
                <w:b/>
                <w:color w:val="000000" w:themeColor="text1"/>
                <w:sz w:val="21"/>
                <w:szCs w:val="22"/>
                <w:highlight w:val="none"/>
                <w:lang w:eastAsia="zh-CN"/>
                <w14:textFill>
                  <w14:solidFill>
                    <w14:schemeClr w14:val="tx1"/>
                  </w14:solidFill>
                </w14:textFill>
              </w:rPr>
              <w:t>分</w:t>
            </w:r>
            <w:r>
              <w:rPr>
                <w:rFonts w:hint="eastAsia"/>
                <w:b/>
                <w:color w:val="000000" w:themeColor="text1"/>
                <w:sz w:val="21"/>
                <w:szCs w:val="22"/>
                <w:highlight w:val="none"/>
                <w:lang w:eastAsia="zh-CN"/>
                <w14:textFill>
                  <w14:solidFill>
                    <w14:schemeClr w14:val="tx1"/>
                  </w14:solidFill>
                </w14:textFill>
              </w:rPr>
              <w:t>）</w:t>
            </w:r>
          </w:p>
          <w:p w14:paraId="61820E2A">
            <w:pPr>
              <w:spacing w:line="440" w:lineRule="exact"/>
              <w:ind w:firstLine="535" w:firstLineChars="255"/>
              <w:rPr>
                <w:bCs/>
                <w:color w:val="000000" w:themeColor="text1"/>
                <w:sz w:val="21"/>
                <w:highlight w:val="none"/>
                <w:lang w:eastAsia="zh-CN"/>
                <w14:textFill>
                  <w14:solidFill>
                    <w14:schemeClr w14:val="tx1"/>
                  </w14:solidFill>
                </w14:textFill>
              </w:rPr>
            </w:pPr>
            <w:r>
              <w:rPr>
                <w:rFonts w:hint="eastAsia"/>
                <w:bCs/>
                <w:color w:val="000000" w:themeColor="text1"/>
                <w:sz w:val="21"/>
                <w:highlight w:val="none"/>
                <w:lang w:eastAsia="zh-CN"/>
                <w14:textFill>
                  <w14:solidFill>
                    <w14:schemeClr w14:val="tx1"/>
                  </w14:solidFill>
                </w14:textFill>
              </w:rPr>
              <w:t>优（</w:t>
            </w:r>
            <w:r>
              <w:rPr>
                <w:rFonts w:hint="eastAsia"/>
                <w:bCs/>
                <w:color w:val="000000" w:themeColor="text1"/>
                <w:sz w:val="21"/>
                <w:highlight w:val="none"/>
                <w:lang w:val="en-US" w:eastAsia="zh-CN"/>
                <w14:textFill>
                  <w14:solidFill>
                    <w14:schemeClr w14:val="tx1"/>
                  </w14:solidFill>
                </w14:textFill>
              </w:rPr>
              <w:t>8</w:t>
            </w:r>
            <w:r>
              <w:rPr>
                <w:bCs/>
                <w:color w:val="000000" w:themeColor="text1"/>
                <w:sz w:val="21"/>
                <w:highlight w:val="none"/>
                <w:lang w:eastAsia="zh-CN"/>
                <w14:textFill>
                  <w14:solidFill>
                    <w14:schemeClr w14:val="tx1"/>
                  </w14:solidFill>
                </w14:textFill>
              </w:rPr>
              <w:t xml:space="preserve"> 分）：各主要分部施工方法符合项目实际，有施工技术方案，</w:t>
            </w:r>
            <w:r>
              <w:rPr>
                <w:rFonts w:hint="eastAsia"/>
                <w:bCs/>
                <w:color w:val="000000" w:themeColor="text1"/>
                <w:sz w:val="21"/>
                <w:highlight w:val="none"/>
                <w:lang w:eastAsia="zh-CN"/>
                <w14:textFill>
                  <w14:solidFill>
                    <w14:schemeClr w14:val="tx1"/>
                  </w14:solidFill>
                </w14:textFill>
              </w:rPr>
              <w:t>有明确的</w:t>
            </w:r>
            <w:r>
              <w:rPr>
                <w:bCs/>
                <w:color w:val="000000" w:themeColor="text1"/>
                <w:sz w:val="21"/>
                <w:highlight w:val="none"/>
                <w:lang w:eastAsia="zh-CN"/>
                <w14:textFill>
                  <w14:solidFill>
                    <w14:schemeClr w14:val="tx1"/>
                  </w14:solidFill>
                </w14:textFill>
              </w:rPr>
              <w:t>工艺、方法</w:t>
            </w:r>
            <w:r>
              <w:rPr>
                <w:rFonts w:hint="eastAsia"/>
                <w:bCs/>
                <w:color w:val="000000" w:themeColor="text1"/>
                <w:sz w:val="21"/>
                <w:highlight w:val="none"/>
                <w:lang w:eastAsia="zh-CN"/>
                <w14:textFill>
                  <w14:solidFill>
                    <w14:schemeClr w14:val="tx1"/>
                  </w14:solidFill>
                </w14:textFill>
              </w:rPr>
              <w:t>且符合施工要求且</w:t>
            </w:r>
            <w:r>
              <w:rPr>
                <w:rFonts w:hint="eastAsia"/>
                <w:color w:val="000000" w:themeColor="text1"/>
                <w:lang w:eastAsia="zh-CN"/>
                <w14:textFill>
                  <w14:solidFill>
                    <w14:schemeClr w14:val="tx1"/>
                  </w14:solidFill>
                </w14:textFill>
              </w:rPr>
              <w:t>比</w:t>
            </w:r>
            <w:r>
              <w:rPr>
                <w:rFonts w:hint="eastAsia"/>
                <w:bCs/>
                <w:color w:val="000000" w:themeColor="text1"/>
                <w:sz w:val="21"/>
                <w:highlight w:val="none"/>
                <w:lang w:eastAsia="zh-CN"/>
                <w14:textFill>
                  <w14:solidFill>
                    <w14:schemeClr w14:val="tx1"/>
                  </w14:solidFill>
                </w14:textFill>
              </w:rPr>
              <w:t>目前建筑施工规范明确的工艺要求更体现性价比，能指导具体施工并确保安全，且有针对性。</w:t>
            </w:r>
          </w:p>
          <w:p w14:paraId="042BC2B2">
            <w:pPr>
              <w:spacing w:line="440" w:lineRule="exact"/>
              <w:ind w:firstLine="535" w:firstLineChars="255"/>
              <w:rPr>
                <w:bCs/>
                <w:color w:val="000000" w:themeColor="text1"/>
                <w:sz w:val="21"/>
                <w:highlight w:val="none"/>
                <w:lang w:eastAsia="zh-CN"/>
                <w14:textFill>
                  <w14:solidFill>
                    <w14:schemeClr w14:val="tx1"/>
                  </w14:solidFill>
                </w14:textFill>
              </w:rPr>
            </w:pPr>
            <w:r>
              <w:rPr>
                <w:rFonts w:hint="eastAsia"/>
                <w:bCs/>
                <w:color w:val="000000" w:themeColor="text1"/>
                <w:sz w:val="21"/>
                <w:highlight w:val="none"/>
                <w:lang w:eastAsia="zh-CN"/>
                <w14:textFill>
                  <w14:solidFill>
                    <w14:schemeClr w14:val="tx1"/>
                  </w14:solidFill>
                </w14:textFill>
              </w:rPr>
              <w:t>良（</w:t>
            </w:r>
            <w:r>
              <w:rPr>
                <w:bCs/>
                <w:color w:val="000000" w:themeColor="text1"/>
                <w:sz w:val="21"/>
                <w:highlight w:val="none"/>
                <w:lang w:eastAsia="zh-CN"/>
                <w14:textFill>
                  <w14:solidFill>
                    <w14:schemeClr w14:val="tx1"/>
                  </w14:solidFill>
                </w14:textFill>
              </w:rPr>
              <w:t>5分）：各主要分部施工方法符合项目实际，有施工技术方案，</w:t>
            </w:r>
            <w:r>
              <w:rPr>
                <w:rFonts w:hint="eastAsia"/>
                <w:bCs/>
                <w:color w:val="000000" w:themeColor="text1"/>
                <w:sz w:val="21"/>
                <w:highlight w:val="none"/>
                <w:lang w:eastAsia="zh-CN"/>
                <w14:textFill>
                  <w14:solidFill>
                    <w14:schemeClr w14:val="tx1"/>
                  </w14:solidFill>
                </w14:textFill>
              </w:rPr>
              <w:t>有明确的</w:t>
            </w:r>
            <w:r>
              <w:rPr>
                <w:bCs/>
                <w:color w:val="000000" w:themeColor="text1"/>
                <w:sz w:val="21"/>
                <w:highlight w:val="none"/>
                <w:lang w:eastAsia="zh-CN"/>
                <w14:textFill>
                  <w14:solidFill>
                    <w14:schemeClr w14:val="tx1"/>
                  </w14:solidFill>
                </w14:textFill>
              </w:rPr>
              <w:t>工艺、方法</w:t>
            </w:r>
            <w:r>
              <w:rPr>
                <w:rFonts w:hint="eastAsia"/>
                <w:bCs/>
                <w:color w:val="000000" w:themeColor="text1"/>
                <w:sz w:val="21"/>
                <w:highlight w:val="none"/>
                <w:lang w:eastAsia="zh-CN"/>
                <w14:textFill>
                  <w14:solidFill>
                    <w14:schemeClr w14:val="tx1"/>
                  </w14:solidFill>
                </w14:textFill>
              </w:rPr>
              <w:t>，且具有可行性，能指导具体施工并确保安全。</w:t>
            </w:r>
          </w:p>
          <w:p w14:paraId="48F88A2A">
            <w:pPr>
              <w:spacing w:line="440" w:lineRule="exact"/>
              <w:ind w:firstLine="535" w:firstLineChars="255"/>
              <w:rPr>
                <w:bCs/>
                <w:color w:val="000000" w:themeColor="text1"/>
                <w:sz w:val="21"/>
                <w:highlight w:val="none"/>
                <w:lang w:eastAsia="zh-CN"/>
                <w14:textFill>
                  <w14:solidFill>
                    <w14:schemeClr w14:val="tx1"/>
                  </w14:solidFill>
                </w14:textFill>
              </w:rPr>
            </w:pPr>
            <w:r>
              <w:rPr>
                <w:rFonts w:hint="eastAsia"/>
                <w:bCs/>
                <w:color w:val="000000" w:themeColor="text1"/>
                <w:sz w:val="21"/>
                <w:highlight w:val="none"/>
                <w:lang w:eastAsia="zh-CN"/>
                <w14:textFill>
                  <w14:solidFill>
                    <w14:schemeClr w14:val="tx1"/>
                  </w14:solidFill>
                </w14:textFill>
              </w:rPr>
              <w:t>中（</w:t>
            </w:r>
            <w:r>
              <w:rPr>
                <w:bCs/>
                <w:color w:val="000000" w:themeColor="text1"/>
                <w:sz w:val="21"/>
                <w:highlight w:val="none"/>
                <w:lang w:eastAsia="zh-CN"/>
                <w14:textFill>
                  <w14:solidFill>
                    <w14:schemeClr w14:val="tx1"/>
                  </w14:solidFill>
                </w14:textFill>
              </w:rPr>
              <w:t>3分）：各主要分部施工方法能满足项目需求，有施工技术方案，能指导具体施工。</w:t>
            </w:r>
          </w:p>
          <w:p w14:paraId="4A2DBB76">
            <w:pPr>
              <w:spacing w:line="440" w:lineRule="exact"/>
              <w:ind w:firstLine="535" w:firstLineChars="255"/>
              <w:rPr>
                <w:rFonts w:hint="eastAsia" w:ascii="宋体" w:hAnsi="宋体" w:eastAsia="宋体" w:cs="宋体"/>
                <w:color w:val="000000" w:themeColor="text1"/>
                <w:highlight w:val="none"/>
                <w14:textFill>
                  <w14:solidFill>
                    <w14:schemeClr w14:val="tx1"/>
                  </w14:solidFill>
                </w14:textFill>
              </w:rPr>
            </w:pPr>
            <w:r>
              <w:rPr>
                <w:rFonts w:hint="eastAsia"/>
                <w:bCs/>
                <w:color w:val="000000" w:themeColor="text1"/>
                <w:sz w:val="21"/>
                <w:highlight w:val="none"/>
                <w:lang w:eastAsia="zh-CN"/>
                <w14:textFill>
                  <w14:solidFill>
                    <w14:schemeClr w14:val="tx1"/>
                  </w14:solidFill>
                </w14:textFill>
              </w:rPr>
              <w:t>差（</w:t>
            </w:r>
            <w:r>
              <w:rPr>
                <w:bCs/>
                <w:color w:val="000000" w:themeColor="text1"/>
                <w:sz w:val="21"/>
                <w:highlight w:val="none"/>
                <w:lang w:eastAsia="zh-CN"/>
                <w14:textFill>
                  <w14:solidFill>
                    <w14:schemeClr w14:val="tx1"/>
                  </w14:solidFill>
                </w14:textFill>
              </w:rPr>
              <w:t>0分）：各主要分部施工方法不能满足项目需求，没有施工技术方案，不能指导具体施工</w:t>
            </w:r>
            <w:r>
              <w:rPr>
                <w:rFonts w:hint="eastAsia"/>
                <w:bCs/>
                <w:color w:val="000000" w:themeColor="text1"/>
                <w:sz w:val="21"/>
                <w:highlight w:val="none"/>
                <w:lang w:eastAsia="zh-CN"/>
                <w14:textFill>
                  <w14:solidFill>
                    <w14:schemeClr w14:val="tx1"/>
                  </w14:solidFill>
                </w14:textFill>
              </w:rPr>
              <w:t>。</w:t>
            </w:r>
          </w:p>
        </w:tc>
        <w:tc>
          <w:tcPr>
            <w:tcW w:w="794" w:type="dxa"/>
            <w:noWrap w:val="0"/>
            <w:vAlign w:val="center"/>
          </w:tcPr>
          <w:p w14:paraId="320B9C10">
            <w:pPr>
              <w:keepNext w:val="0"/>
              <w:keepLines w:val="0"/>
              <w:pageBreakBefore w:val="0"/>
              <w:widowControl w:val="0"/>
              <w:kinsoku/>
              <w:wordWrap/>
              <w:overflowPunct/>
              <w:topLinePunct w:val="0"/>
              <w:bidi w:val="0"/>
              <w:spacing w:line="400" w:lineRule="exact"/>
              <w:jc w:val="center"/>
              <w:textAlignment w:val="auto"/>
              <w:rPr>
                <w:rFonts w:hint="eastAsia" w:ascii="宋体" w:hAnsi="宋体" w:eastAsia="宋体" w:cs="宋体"/>
                <w:bCs/>
                <w:color w:val="000000" w:themeColor="text1"/>
                <w:szCs w:val="21"/>
                <w:highlight w:val="none"/>
                <w:lang w:val="en-US" w:eastAsia="zh-CN"/>
                <w14:textFill>
                  <w14:solidFill>
                    <w14:schemeClr w14:val="tx1"/>
                  </w14:solidFill>
                </w14:textFill>
              </w:rPr>
            </w:pPr>
            <w:r>
              <w:rPr>
                <w:rFonts w:hint="eastAsia" w:ascii="宋体" w:hAnsi="宋体" w:cs="宋体"/>
                <w:bCs/>
                <w:color w:val="000000" w:themeColor="text1"/>
                <w:szCs w:val="21"/>
                <w:highlight w:val="none"/>
                <w:lang w:val="en-US" w:eastAsia="zh-CN"/>
                <w14:textFill>
                  <w14:solidFill>
                    <w14:schemeClr w14:val="tx1"/>
                  </w14:solidFill>
                </w14:textFill>
              </w:rPr>
              <w:t>8分</w:t>
            </w:r>
          </w:p>
        </w:tc>
      </w:tr>
      <w:tr w14:paraId="009A0D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59" w:type="dxa"/>
            <w:noWrap w:val="0"/>
            <w:vAlign w:val="center"/>
          </w:tcPr>
          <w:p w14:paraId="16957288">
            <w:pPr>
              <w:keepNext w:val="0"/>
              <w:keepLines w:val="0"/>
              <w:pageBreakBefore w:val="0"/>
              <w:widowControl w:val="0"/>
              <w:kinsoku/>
              <w:wordWrap/>
              <w:overflowPunct/>
              <w:topLinePunct w:val="0"/>
              <w:bidi w:val="0"/>
              <w:spacing w:line="400" w:lineRule="exact"/>
              <w:jc w:val="center"/>
              <w:textAlignment w:val="auto"/>
              <w:rPr>
                <w:rFonts w:hint="eastAsia" w:ascii="宋体" w:hAnsi="宋体" w:eastAsia="宋体" w:cs="宋体"/>
                <w:bCs/>
                <w:color w:val="000000" w:themeColor="text1"/>
                <w:szCs w:val="21"/>
                <w:highlight w:val="none"/>
                <w:lang w:eastAsia="zh-CN"/>
                <w14:textFill>
                  <w14:solidFill>
                    <w14:schemeClr w14:val="tx1"/>
                  </w14:solidFill>
                </w14:textFill>
              </w:rPr>
            </w:pPr>
            <w:r>
              <w:rPr>
                <w:rFonts w:hint="eastAsia" w:ascii="宋体" w:hAnsi="宋体" w:cs="宋体"/>
                <w:bCs/>
                <w:color w:val="000000" w:themeColor="text1"/>
                <w:szCs w:val="21"/>
                <w:highlight w:val="none"/>
                <w:lang w:val="en-US" w:eastAsia="zh-CN"/>
                <w14:textFill>
                  <w14:solidFill>
                    <w14:schemeClr w14:val="tx1"/>
                  </w14:solidFill>
                </w14:textFill>
              </w:rPr>
              <w:t>3</w:t>
            </w:r>
          </w:p>
        </w:tc>
        <w:tc>
          <w:tcPr>
            <w:tcW w:w="1082" w:type="dxa"/>
            <w:noWrap w:val="0"/>
            <w:vAlign w:val="center"/>
          </w:tcPr>
          <w:p w14:paraId="6D677176">
            <w:pPr>
              <w:keepNext w:val="0"/>
              <w:keepLines w:val="0"/>
              <w:pageBreakBefore w:val="0"/>
              <w:widowControl w:val="0"/>
              <w:kinsoku/>
              <w:wordWrap/>
              <w:overflowPunct/>
              <w:topLinePunct w:val="0"/>
              <w:bidi w:val="0"/>
              <w:spacing w:line="400" w:lineRule="exact"/>
              <w:jc w:val="center"/>
              <w:textAlignment w:val="auto"/>
              <w:rPr>
                <w:rFonts w:hint="eastAsia" w:ascii="宋体" w:hAnsi="宋体" w:eastAsia="宋体" w:cs="宋体"/>
                <w:bCs/>
                <w:color w:val="000000" w:themeColor="text1"/>
                <w:szCs w:val="21"/>
                <w:highlight w:val="none"/>
                <w14:textFill>
                  <w14:solidFill>
                    <w14:schemeClr w14:val="tx1"/>
                  </w14:solidFill>
                </w14:textFill>
              </w:rPr>
            </w:pPr>
            <w:r>
              <w:rPr>
                <w:rFonts w:hint="eastAsia" w:ascii="宋体" w:hAnsi="宋体" w:eastAsia="宋体" w:cs="宋体"/>
                <w:bCs/>
                <w:color w:val="000000" w:themeColor="text1"/>
                <w:szCs w:val="21"/>
                <w:highlight w:val="none"/>
                <w14:textFill>
                  <w14:solidFill>
                    <w14:schemeClr w14:val="tx1"/>
                  </w14:solidFill>
                </w14:textFill>
              </w:rPr>
              <w:t>技术分</w:t>
            </w:r>
          </w:p>
        </w:tc>
        <w:tc>
          <w:tcPr>
            <w:tcW w:w="1575" w:type="dxa"/>
            <w:vMerge w:val="continue"/>
            <w:noWrap w:val="0"/>
            <w:vAlign w:val="center"/>
          </w:tcPr>
          <w:p w14:paraId="076B5417">
            <w:pPr>
              <w:keepNext w:val="0"/>
              <w:keepLines w:val="0"/>
              <w:pageBreakBefore w:val="0"/>
              <w:widowControl w:val="0"/>
              <w:kinsoku/>
              <w:wordWrap/>
              <w:overflowPunct/>
              <w:topLinePunct w:val="0"/>
              <w:bidi w:val="0"/>
              <w:spacing w:line="400" w:lineRule="exact"/>
              <w:jc w:val="left"/>
              <w:textAlignment w:val="auto"/>
              <w:rPr>
                <w:rFonts w:hint="eastAsia" w:ascii="宋体" w:hAnsi="宋体" w:eastAsia="宋体" w:cs="宋体"/>
                <w:color w:val="000000" w:themeColor="text1"/>
                <w:highlight w:val="none"/>
                <w14:textFill>
                  <w14:solidFill>
                    <w14:schemeClr w14:val="tx1"/>
                  </w14:solidFill>
                </w14:textFill>
              </w:rPr>
            </w:pPr>
          </w:p>
        </w:tc>
        <w:tc>
          <w:tcPr>
            <w:tcW w:w="5489" w:type="dxa"/>
            <w:noWrap w:val="0"/>
            <w:vAlign w:val="center"/>
          </w:tcPr>
          <w:p w14:paraId="0C3B7EC9">
            <w:pPr>
              <w:spacing w:line="440" w:lineRule="exact"/>
              <w:ind w:firstLine="538" w:firstLineChars="255"/>
              <w:rPr>
                <w:b/>
                <w:color w:val="000000" w:themeColor="text1"/>
                <w:sz w:val="21"/>
                <w:szCs w:val="22"/>
                <w:highlight w:val="none"/>
                <w:lang w:eastAsia="zh-CN"/>
                <w14:textFill>
                  <w14:solidFill>
                    <w14:schemeClr w14:val="tx1"/>
                  </w14:solidFill>
                </w14:textFill>
              </w:rPr>
            </w:pPr>
            <w:r>
              <w:rPr>
                <w:b/>
                <w:color w:val="000000" w:themeColor="text1"/>
                <w:sz w:val="21"/>
                <w:szCs w:val="22"/>
                <w:highlight w:val="none"/>
                <w:lang w:eastAsia="zh-CN"/>
                <w14:textFill>
                  <w14:solidFill>
                    <w14:schemeClr w14:val="tx1"/>
                  </w14:solidFill>
                </w14:textFill>
              </w:rPr>
              <w:t>（3）施工进度计划和各阶段进度的保证措施</w:t>
            </w:r>
            <w:r>
              <w:rPr>
                <w:rFonts w:hint="eastAsia"/>
                <w:b/>
                <w:color w:val="000000" w:themeColor="text1"/>
                <w:sz w:val="21"/>
                <w:szCs w:val="22"/>
                <w:highlight w:val="none"/>
                <w:lang w:eastAsia="zh-CN"/>
                <w14:textFill>
                  <w14:solidFill>
                    <w14:schemeClr w14:val="tx1"/>
                  </w14:solidFill>
                </w14:textFill>
              </w:rPr>
              <w:t>（</w:t>
            </w:r>
            <w:r>
              <w:rPr>
                <w:rFonts w:hint="eastAsia"/>
                <w:b/>
                <w:color w:val="000000" w:themeColor="text1"/>
                <w:sz w:val="21"/>
                <w:szCs w:val="22"/>
                <w:highlight w:val="none"/>
                <w:lang w:val="en-US" w:eastAsia="zh-CN"/>
                <w14:textFill>
                  <w14:solidFill>
                    <w14:schemeClr w14:val="tx1"/>
                  </w14:solidFill>
                </w14:textFill>
              </w:rPr>
              <w:t>8</w:t>
            </w:r>
            <w:r>
              <w:rPr>
                <w:b/>
                <w:color w:val="000000" w:themeColor="text1"/>
                <w:sz w:val="21"/>
                <w:szCs w:val="22"/>
                <w:highlight w:val="none"/>
                <w:lang w:eastAsia="zh-CN"/>
                <w14:textFill>
                  <w14:solidFill>
                    <w14:schemeClr w14:val="tx1"/>
                  </w14:solidFill>
                </w14:textFill>
              </w:rPr>
              <w:t>分</w:t>
            </w:r>
            <w:r>
              <w:rPr>
                <w:rFonts w:hint="eastAsia"/>
                <w:b/>
                <w:color w:val="000000" w:themeColor="text1"/>
                <w:sz w:val="21"/>
                <w:szCs w:val="22"/>
                <w:highlight w:val="none"/>
                <w:lang w:eastAsia="zh-CN"/>
                <w14:textFill>
                  <w14:solidFill>
                    <w14:schemeClr w14:val="tx1"/>
                  </w14:solidFill>
                </w14:textFill>
              </w:rPr>
              <w:t>）</w:t>
            </w:r>
          </w:p>
          <w:p w14:paraId="2F793949">
            <w:pPr>
              <w:spacing w:line="440" w:lineRule="exact"/>
              <w:ind w:firstLine="535" w:firstLineChars="255"/>
              <w:rPr>
                <w:color w:val="000000" w:themeColor="text1"/>
                <w:sz w:val="21"/>
                <w:szCs w:val="22"/>
                <w:highlight w:val="none"/>
                <w:lang w:eastAsia="zh-CN"/>
                <w14:textFill>
                  <w14:solidFill>
                    <w14:schemeClr w14:val="tx1"/>
                  </w14:solidFill>
                </w14:textFill>
              </w:rPr>
            </w:pPr>
            <w:r>
              <w:rPr>
                <w:rFonts w:hint="eastAsia"/>
                <w:color w:val="000000" w:themeColor="text1"/>
                <w:sz w:val="21"/>
                <w:szCs w:val="22"/>
                <w:highlight w:val="none"/>
                <w:lang w:eastAsia="zh-CN"/>
                <w14:textFill>
                  <w14:solidFill>
                    <w14:schemeClr w14:val="tx1"/>
                  </w14:solidFill>
                </w14:textFill>
              </w:rPr>
              <w:t>优（</w:t>
            </w:r>
            <w:r>
              <w:rPr>
                <w:rFonts w:hint="eastAsia"/>
                <w:color w:val="000000" w:themeColor="text1"/>
                <w:sz w:val="21"/>
                <w:szCs w:val="22"/>
                <w:highlight w:val="none"/>
                <w:lang w:val="en-US" w:eastAsia="zh-CN"/>
                <w14:textFill>
                  <w14:solidFill>
                    <w14:schemeClr w14:val="tx1"/>
                  </w14:solidFill>
                </w14:textFill>
              </w:rPr>
              <w:t>8</w:t>
            </w:r>
            <w:r>
              <w:rPr>
                <w:color w:val="000000" w:themeColor="text1"/>
                <w:sz w:val="21"/>
                <w:szCs w:val="22"/>
                <w:highlight w:val="none"/>
                <w:lang w:eastAsia="zh-CN"/>
                <w14:textFill>
                  <w14:solidFill>
                    <w14:schemeClr w14:val="tx1"/>
                  </w14:solidFill>
                </w14:textFill>
              </w:rPr>
              <w:t>分）：关键线路</w:t>
            </w:r>
            <w:r>
              <w:rPr>
                <w:rFonts w:hint="eastAsia"/>
                <w:color w:val="000000" w:themeColor="text1"/>
                <w:sz w:val="21"/>
                <w:szCs w:val="22"/>
                <w:highlight w:val="none"/>
                <w:lang w:eastAsia="zh-CN"/>
                <w14:textFill>
                  <w14:solidFill>
                    <w14:schemeClr w14:val="tx1"/>
                  </w14:solidFill>
                </w14:textFill>
              </w:rPr>
              <w:t>具有可行性和针对性，</w:t>
            </w:r>
            <w:r>
              <w:rPr>
                <w:rFonts w:hint="eastAsia"/>
                <w:color w:val="000000" w:themeColor="text1"/>
                <w:lang w:eastAsia="zh-CN"/>
                <w14:textFill>
                  <w14:solidFill>
                    <w14:schemeClr w14:val="tx1"/>
                  </w14:solidFill>
                </w14:textFill>
              </w:rPr>
              <w:t>能满足施工要求</w:t>
            </w:r>
            <w:r>
              <w:rPr>
                <w:color w:val="000000" w:themeColor="text1"/>
                <w:sz w:val="21"/>
                <w:szCs w:val="22"/>
                <w:highlight w:val="none"/>
                <w:lang w:eastAsia="zh-CN"/>
                <w14:textFill>
                  <w14:solidFill>
                    <w14:schemeClr w14:val="tx1"/>
                  </w14:solidFill>
                </w14:textFill>
              </w:rPr>
              <w:t>，计划编制</w:t>
            </w:r>
            <w:r>
              <w:rPr>
                <w:rFonts w:hint="eastAsia"/>
                <w:color w:val="000000" w:themeColor="text1"/>
                <w:sz w:val="21"/>
                <w:szCs w:val="22"/>
                <w:highlight w:val="none"/>
                <w:lang w:eastAsia="zh-CN"/>
                <w14:textFill>
                  <w14:solidFill>
                    <w14:schemeClr w14:val="tx1"/>
                  </w14:solidFill>
                </w14:textFill>
              </w:rPr>
              <w:t>具有针对性和可行性</w:t>
            </w:r>
            <w:r>
              <w:rPr>
                <w:color w:val="000000" w:themeColor="text1"/>
                <w:sz w:val="21"/>
                <w:szCs w:val="22"/>
                <w:highlight w:val="none"/>
                <w:lang w:eastAsia="zh-CN"/>
                <w14:textFill>
                  <w14:solidFill>
                    <w14:schemeClr w14:val="tx1"/>
                  </w14:solidFill>
                </w14:textFill>
              </w:rPr>
              <w:t>，</w:t>
            </w:r>
            <w:r>
              <w:rPr>
                <w:rFonts w:hint="eastAsia"/>
                <w:color w:val="000000" w:themeColor="text1"/>
                <w:sz w:val="21"/>
                <w:szCs w:val="22"/>
                <w:highlight w:val="none"/>
                <w:lang w:eastAsia="zh-CN"/>
                <w14:textFill>
                  <w14:solidFill>
                    <w14:schemeClr w14:val="tx1"/>
                  </w14:solidFill>
                </w14:textFill>
              </w:rPr>
              <w:t>有相应的</w:t>
            </w:r>
            <w:r>
              <w:rPr>
                <w:color w:val="000000" w:themeColor="text1"/>
                <w:sz w:val="21"/>
                <w:szCs w:val="22"/>
                <w:highlight w:val="none"/>
                <w:lang w:eastAsia="zh-CN"/>
                <w14:textFill>
                  <w14:solidFill>
                    <w14:schemeClr w14:val="tx1"/>
                  </w14:solidFill>
                </w14:textFill>
              </w:rPr>
              <w:t>关键节点的控制措施</w:t>
            </w:r>
            <w:r>
              <w:rPr>
                <w:rFonts w:hint="eastAsia"/>
                <w:color w:val="000000" w:themeColor="text1"/>
                <w:sz w:val="21"/>
                <w:szCs w:val="22"/>
                <w:highlight w:val="none"/>
                <w:lang w:eastAsia="zh-CN"/>
                <w14:textFill>
                  <w14:solidFill>
                    <w14:schemeClr w14:val="tx1"/>
                  </w14:solidFill>
                </w14:textFill>
              </w:rPr>
              <w:t>其完全符合施工要求。</w:t>
            </w:r>
          </w:p>
          <w:p w14:paraId="5FDE6DFB">
            <w:pPr>
              <w:spacing w:line="440" w:lineRule="exact"/>
              <w:ind w:firstLine="535" w:firstLineChars="255"/>
              <w:rPr>
                <w:color w:val="000000" w:themeColor="text1"/>
                <w:sz w:val="21"/>
                <w:szCs w:val="22"/>
                <w:highlight w:val="none"/>
                <w:lang w:eastAsia="zh-CN"/>
                <w14:textFill>
                  <w14:solidFill>
                    <w14:schemeClr w14:val="tx1"/>
                  </w14:solidFill>
                </w14:textFill>
              </w:rPr>
            </w:pPr>
            <w:r>
              <w:rPr>
                <w:rFonts w:hint="eastAsia"/>
                <w:color w:val="000000" w:themeColor="text1"/>
                <w:sz w:val="21"/>
                <w:szCs w:val="22"/>
                <w:highlight w:val="none"/>
                <w:lang w:eastAsia="zh-CN"/>
                <w14:textFill>
                  <w14:solidFill>
                    <w14:schemeClr w14:val="tx1"/>
                  </w14:solidFill>
                </w14:textFill>
              </w:rPr>
              <w:t>良（</w:t>
            </w:r>
            <w:r>
              <w:rPr>
                <w:color w:val="000000" w:themeColor="text1"/>
                <w:sz w:val="21"/>
                <w:szCs w:val="22"/>
                <w:highlight w:val="none"/>
                <w:lang w:eastAsia="zh-CN"/>
                <w14:textFill>
                  <w14:solidFill>
                    <w14:schemeClr w14:val="tx1"/>
                  </w14:solidFill>
                </w14:textFill>
              </w:rPr>
              <w:t>5分）：关键线路</w:t>
            </w:r>
            <w:r>
              <w:rPr>
                <w:rFonts w:hint="eastAsia"/>
                <w:color w:val="000000" w:themeColor="text1"/>
                <w:sz w:val="21"/>
                <w:szCs w:val="22"/>
                <w:highlight w:val="none"/>
                <w:lang w:eastAsia="zh-CN"/>
                <w14:textFill>
                  <w14:solidFill>
                    <w14:schemeClr w14:val="tx1"/>
                  </w14:solidFill>
                </w14:textFill>
              </w:rPr>
              <w:t>具有可行性能满足施工要求</w:t>
            </w:r>
            <w:r>
              <w:rPr>
                <w:color w:val="000000" w:themeColor="text1"/>
                <w:sz w:val="21"/>
                <w:szCs w:val="22"/>
                <w:highlight w:val="none"/>
                <w:lang w:eastAsia="zh-CN"/>
                <w14:textFill>
                  <w14:solidFill>
                    <w14:schemeClr w14:val="tx1"/>
                  </w14:solidFill>
                </w14:textFill>
              </w:rPr>
              <w:t>，计划编制</w:t>
            </w:r>
            <w:r>
              <w:rPr>
                <w:rFonts w:hint="eastAsia"/>
                <w:color w:val="000000" w:themeColor="text1"/>
                <w:sz w:val="21"/>
                <w:szCs w:val="22"/>
                <w:highlight w:val="none"/>
                <w:lang w:eastAsia="zh-CN"/>
                <w14:textFill>
                  <w14:solidFill>
                    <w14:schemeClr w14:val="tx1"/>
                  </w14:solidFill>
                </w14:textFill>
              </w:rPr>
              <w:t>具有可行性</w:t>
            </w:r>
            <w:r>
              <w:rPr>
                <w:color w:val="000000" w:themeColor="text1"/>
                <w:sz w:val="21"/>
                <w:szCs w:val="22"/>
                <w:highlight w:val="none"/>
                <w:lang w:eastAsia="zh-CN"/>
                <w14:textFill>
                  <w14:solidFill>
                    <w14:schemeClr w14:val="tx1"/>
                  </w14:solidFill>
                </w14:textFill>
              </w:rPr>
              <w:t>，</w:t>
            </w:r>
            <w:r>
              <w:rPr>
                <w:rFonts w:hint="eastAsia"/>
                <w:color w:val="000000" w:themeColor="text1"/>
                <w:sz w:val="21"/>
                <w:szCs w:val="22"/>
                <w:highlight w:val="none"/>
                <w:lang w:eastAsia="zh-CN"/>
                <w14:textFill>
                  <w14:solidFill>
                    <w14:schemeClr w14:val="tx1"/>
                  </w14:solidFill>
                </w14:textFill>
              </w:rPr>
              <w:t>有相应的</w:t>
            </w:r>
            <w:r>
              <w:rPr>
                <w:color w:val="000000" w:themeColor="text1"/>
                <w:sz w:val="21"/>
                <w:szCs w:val="22"/>
                <w:highlight w:val="none"/>
                <w:lang w:eastAsia="zh-CN"/>
                <w14:textFill>
                  <w14:solidFill>
                    <w14:schemeClr w14:val="tx1"/>
                  </w14:solidFill>
                </w14:textFill>
              </w:rPr>
              <w:t>关键节点的控制措施</w:t>
            </w:r>
            <w:r>
              <w:rPr>
                <w:rFonts w:hint="eastAsia"/>
                <w:color w:val="000000" w:themeColor="text1"/>
                <w:sz w:val="21"/>
                <w:szCs w:val="22"/>
                <w:highlight w:val="none"/>
                <w:lang w:eastAsia="zh-CN"/>
                <w14:textFill>
                  <w14:solidFill>
                    <w14:schemeClr w14:val="tx1"/>
                  </w14:solidFill>
                </w14:textFill>
              </w:rPr>
              <w:t>整体符合施工要求</w:t>
            </w:r>
            <w:r>
              <w:rPr>
                <w:color w:val="000000" w:themeColor="text1"/>
                <w:sz w:val="21"/>
                <w:szCs w:val="22"/>
                <w:highlight w:val="none"/>
                <w:lang w:eastAsia="zh-CN"/>
                <w14:textFill>
                  <w14:solidFill>
                    <w14:schemeClr w14:val="tx1"/>
                  </w14:solidFill>
                </w14:textFill>
              </w:rPr>
              <w:t>。</w:t>
            </w:r>
          </w:p>
          <w:p w14:paraId="586AB7F4">
            <w:pPr>
              <w:spacing w:line="440" w:lineRule="exact"/>
              <w:ind w:firstLine="535" w:firstLineChars="255"/>
              <w:rPr>
                <w:color w:val="000000" w:themeColor="text1"/>
                <w:sz w:val="21"/>
                <w:szCs w:val="22"/>
                <w:highlight w:val="none"/>
                <w:lang w:eastAsia="zh-CN"/>
                <w14:textFill>
                  <w14:solidFill>
                    <w14:schemeClr w14:val="tx1"/>
                  </w14:solidFill>
                </w14:textFill>
              </w:rPr>
            </w:pPr>
            <w:r>
              <w:rPr>
                <w:rFonts w:hint="eastAsia"/>
                <w:color w:val="000000" w:themeColor="text1"/>
                <w:sz w:val="21"/>
                <w:szCs w:val="22"/>
                <w:highlight w:val="none"/>
                <w:lang w:eastAsia="zh-CN"/>
                <w14:textFill>
                  <w14:solidFill>
                    <w14:schemeClr w14:val="tx1"/>
                  </w14:solidFill>
                </w14:textFill>
              </w:rPr>
              <w:t>中（</w:t>
            </w:r>
            <w:r>
              <w:rPr>
                <w:color w:val="000000" w:themeColor="text1"/>
                <w:sz w:val="21"/>
                <w:szCs w:val="22"/>
                <w:highlight w:val="none"/>
                <w:lang w:eastAsia="zh-CN"/>
                <w14:textFill>
                  <w14:solidFill>
                    <w14:schemeClr w14:val="tx1"/>
                  </w14:solidFill>
                </w14:textFill>
              </w:rPr>
              <w:t>3分）：关键线路</w:t>
            </w:r>
            <w:r>
              <w:rPr>
                <w:rFonts w:hint="eastAsia"/>
                <w:color w:val="000000" w:themeColor="text1"/>
                <w:sz w:val="21"/>
                <w:szCs w:val="22"/>
                <w:highlight w:val="none"/>
                <w:lang w:eastAsia="zh-CN"/>
                <w14:textFill>
                  <w14:solidFill>
                    <w14:schemeClr w14:val="tx1"/>
                  </w14:solidFill>
                </w14:textFill>
              </w:rPr>
              <w:t>具有可行性</w:t>
            </w:r>
            <w:r>
              <w:rPr>
                <w:color w:val="000000" w:themeColor="text1"/>
                <w:sz w:val="21"/>
                <w:szCs w:val="22"/>
                <w:highlight w:val="none"/>
                <w:lang w:eastAsia="zh-CN"/>
                <w14:textFill>
                  <w14:solidFill>
                    <w14:schemeClr w14:val="tx1"/>
                  </w14:solidFill>
                </w14:textFill>
              </w:rPr>
              <w:t>，计划编制</w:t>
            </w:r>
            <w:r>
              <w:rPr>
                <w:rFonts w:hint="eastAsia"/>
                <w:color w:val="000000" w:themeColor="text1"/>
                <w:sz w:val="21"/>
                <w:szCs w:val="22"/>
                <w:highlight w:val="none"/>
                <w:lang w:eastAsia="zh-CN"/>
                <w14:textFill>
                  <w14:solidFill>
                    <w14:schemeClr w14:val="tx1"/>
                  </w14:solidFill>
                </w14:textFill>
              </w:rPr>
              <w:t>具有可行性</w:t>
            </w:r>
            <w:r>
              <w:rPr>
                <w:color w:val="000000" w:themeColor="text1"/>
                <w:sz w:val="21"/>
                <w:szCs w:val="22"/>
                <w:highlight w:val="none"/>
                <w:lang w:eastAsia="zh-CN"/>
                <w14:textFill>
                  <w14:solidFill>
                    <w14:schemeClr w14:val="tx1"/>
                  </w14:solidFill>
                </w14:textFill>
              </w:rPr>
              <w:t>，</w:t>
            </w:r>
            <w:r>
              <w:rPr>
                <w:rFonts w:hint="eastAsia"/>
                <w:color w:val="000000" w:themeColor="text1"/>
                <w:sz w:val="21"/>
                <w:szCs w:val="22"/>
                <w:highlight w:val="none"/>
                <w:lang w:eastAsia="zh-CN"/>
                <w14:textFill>
                  <w14:solidFill>
                    <w14:schemeClr w14:val="tx1"/>
                  </w14:solidFill>
                </w14:textFill>
              </w:rPr>
              <w:t>有相应的</w:t>
            </w:r>
            <w:r>
              <w:rPr>
                <w:color w:val="000000" w:themeColor="text1"/>
                <w:sz w:val="21"/>
                <w:szCs w:val="22"/>
                <w:highlight w:val="none"/>
                <w:lang w:eastAsia="zh-CN"/>
                <w14:textFill>
                  <w14:solidFill>
                    <w14:schemeClr w14:val="tx1"/>
                  </w14:solidFill>
                </w14:textFill>
              </w:rPr>
              <w:t>关键节点的控制措施。</w:t>
            </w:r>
          </w:p>
          <w:p w14:paraId="7493CCE3">
            <w:pPr>
              <w:spacing w:line="440" w:lineRule="exact"/>
              <w:ind w:firstLine="535" w:firstLineChars="255"/>
              <w:rPr>
                <w:rFonts w:hint="eastAsia" w:ascii="宋体" w:hAnsi="宋体" w:eastAsia="宋体" w:cs="宋体"/>
                <w:color w:val="000000" w:themeColor="text1"/>
                <w:highlight w:val="none"/>
                <w14:textFill>
                  <w14:solidFill>
                    <w14:schemeClr w14:val="tx1"/>
                  </w14:solidFill>
                </w14:textFill>
              </w:rPr>
            </w:pPr>
            <w:r>
              <w:rPr>
                <w:rFonts w:hint="eastAsia"/>
                <w:color w:val="000000" w:themeColor="text1"/>
                <w:sz w:val="21"/>
                <w:szCs w:val="22"/>
                <w:highlight w:val="none"/>
                <w:lang w:eastAsia="zh-CN"/>
                <w14:textFill>
                  <w14:solidFill>
                    <w14:schemeClr w14:val="tx1"/>
                  </w14:solidFill>
                </w14:textFill>
              </w:rPr>
              <w:t>差（</w:t>
            </w:r>
            <w:r>
              <w:rPr>
                <w:color w:val="000000" w:themeColor="text1"/>
                <w:sz w:val="21"/>
                <w:szCs w:val="22"/>
                <w:highlight w:val="none"/>
                <w:lang w:eastAsia="zh-CN"/>
                <w14:textFill>
                  <w14:solidFill>
                    <w14:schemeClr w14:val="tx1"/>
                  </w14:solidFill>
                </w14:textFill>
              </w:rPr>
              <w:t>0分）：关键线路</w:t>
            </w:r>
            <w:r>
              <w:rPr>
                <w:rFonts w:hint="eastAsia"/>
                <w:color w:val="000000" w:themeColor="text1"/>
                <w:sz w:val="21"/>
                <w:szCs w:val="22"/>
                <w:highlight w:val="none"/>
                <w:lang w:eastAsia="zh-CN"/>
                <w14:textFill>
                  <w14:solidFill>
                    <w14:schemeClr w14:val="tx1"/>
                  </w14:solidFill>
                </w14:textFill>
              </w:rPr>
              <w:t>无可行性</w:t>
            </w:r>
            <w:r>
              <w:rPr>
                <w:color w:val="000000" w:themeColor="text1"/>
                <w:sz w:val="21"/>
                <w:szCs w:val="22"/>
                <w:highlight w:val="none"/>
                <w:lang w:eastAsia="zh-CN"/>
                <w14:textFill>
                  <w14:solidFill>
                    <w14:schemeClr w14:val="tx1"/>
                  </w14:solidFill>
                </w14:textFill>
              </w:rPr>
              <w:t>，计划编制</w:t>
            </w:r>
            <w:r>
              <w:rPr>
                <w:rFonts w:hint="eastAsia"/>
                <w:color w:val="000000" w:themeColor="text1"/>
                <w:sz w:val="21"/>
                <w:szCs w:val="22"/>
                <w:highlight w:val="none"/>
                <w:lang w:eastAsia="zh-CN"/>
                <w14:textFill>
                  <w14:solidFill>
                    <w14:schemeClr w14:val="tx1"/>
                  </w14:solidFill>
                </w14:textFill>
              </w:rPr>
              <w:t>无可行性</w:t>
            </w:r>
            <w:r>
              <w:rPr>
                <w:color w:val="000000" w:themeColor="text1"/>
                <w:sz w:val="21"/>
                <w:szCs w:val="22"/>
                <w:highlight w:val="none"/>
                <w:lang w:eastAsia="zh-CN"/>
                <w14:textFill>
                  <w14:solidFill>
                    <w14:schemeClr w14:val="tx1"/>
                  </w14:solidFill>
                </w14:textFill>
              </w:rPr>
              <w:t>，关键节点的控制</w:t>
            </w:r>
            <w:r>
              <w:rPr>
                <w:rFonts w:hint="eastAsia"/>
                <w:color w:val="000000" w:themeColor="text1"/>
                <w:lang w:eastAsia="zh-CN"/>
                <w14:textFill>
                  <w14:solidFill>
                    <w14:schemeClr w14:val="tx1"/>
                  </w14:solidFill>
                </w14:textFill>
              </w:rPr>
              <w:t>无可行性</w:t>
            </w:r>
            <w:r>
              <w:rPr>
                <w:color w:val="000000" w:themeColor="text1"/>
                <w:sz w:val="21"/>
                <w:szCs w:val="22"/>
                <w:highlight w:val="none"/>
                <w:lang w:eastAsia="zh-CN"/>
                <w14:textFill>
                  <w14:solidFill>
                    <w14:schemeClr w14:val="tx1"/>
                  </w14:solidFill>
                </w14:textFill>
              </w:rPr>
              <w:t>。</w:t>
            </w:r>
          </w:p>
        </w:tc>
        <w:tc>
          <w:tcPr>
            <w:tcW w:w="794" w:type="dxa"/>
            <w:noWrap w:val="0"/>
            <w:vAlign w:val="center"/>
          </w:tcPr>
          <w:p w14:paraId="241727F5">
            <w:pPr>
              <w:keepNext w:val="0"/>
              <w:keepLines w:val="0"/>
              <w:pageBreakBefore w:val="0"/>
              <w:widowControl w:val="0"/>
              <w:kinsoku/>
              <w:wordWrap/>
              <w:overflowPunct/>
              <w:topLinePunct w:val="0"/>
              <w:bidi w:val="0"/>
              <w:spacing w:line="400" w:lineRule="exact"/>
              <w:jc w:val="center"/>
              <w:textAlignment w:val="auto"/>
              <w:rPr>
                <w:rFonts w:hint="eastAsia" w:ascii="宋体" w:hAnsi="宋体" w:eastAsia="宋体" w:cs="宋体"/>
                <w:b w:val="0"/>
                <w:bCs/>
                <w:color w:val="000000" w:themeColor="text1"/>
                <w:szCs w:val="21"/>
                <w:highlight w:val="none"/>
                <w14:textFill>
                  <w14:solidFill>
                    <w14:schemeClr w14:val="tx1"/>
                  </w14:solidFill>
                </w14:textFill>
              </w:rPr>
            </w:pPr>
            <w:r>
              <w:rPr>
                <w:rFonts w:hint="eastAsia"/>
                <w:b w:val="0"/>
                <w:bCs/>
                <w:color w:val="000000" w:themeColor="text1"/>
                <w:sz w:val="21"/>
                <w:szCs w:val="22"/>
                <w:highlight w:val="none"/>
                <w:lang w:val="en-US" w:eastAsia="zh-CN"/>
                <w14:textFill>
                  <w14:solidFill>
                    <w14:schemeClr w14:val="tx1"/>
                  </w14:solidFill>
                </w14:textFill>
              </w:rPr>
              <w:t>8</w:t>
            </w:r>
            <w:r>
              <w:rPr>
                <w:b w:val="0"/>
                <w:bCs/>
                <w:color w:val="000000" w:themeColor="text1"/>
                <w:sz w:val="21"/>
                <w:szCs w:val="22"/>
                <w:highlight w:val="none"/>
                <w:lang w:eastAsia="zh-CN"/>
                <w14:textFill>
                  <w14:solidFill>
                    <w14:schemeClr w14:val="tx1"/>
                  </w14:solidFill>
                </w14:textFill>
              </w:rPr>
              <w:t>分</w:t>
            </w:r>
          </w:p>
        </w:tc>
      </w:tr>
      <w:tr w14:paraId="7E2402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59" w:type="dxa"/>
            <w:noWrap w:val="0"/>
            <w:vAlign w:val="center"/>
          </w:tcPr>
          <w:p w14:paraId="047471EA">
            <w:pPr>
              <w:keepNext w:val="0"/>
              <w:keepLines w:val="0"/>
              <w:pageBreakBefore w:val="0"/>
              <w:widowControl w:val="0"/>
              <w:kinsoku/>
              <w:wordWrap/>
              <w:overflowPunct/>
              <w:topLinePunct w:val="0"/>
              <w:bidi w:val="0"/>
              <w:spacing w:line="400" w:lineRule="exact"/>
              <w:jc w:val="center"/>
              <w:textAlignment w:val="auto"/>
              <w:rPr>
                <w:rFonts w:hint="eastAsia" w:ascii="宋体" w:hAnsi="宋体" w:eastAsia="宋体" w:cs="宋体"/>
                <w:bCs/>
                <w:color w:val="000000" w:themeColor="text1"/>
                <w:szCs w:val="21"/>
                <w:highlight w:val="none"/>
                <w:lang w:eastAsia="zh-CN"/>
                <w14:textFill>
                  <w14:solidFill>
                    <w14:schemeClr w14:val="tx1"/>
                  </w14:solidFill>
                </w14:textFill>
              </w:rPr>
            </w:pPr>
            <w:r>
              <w:rPr>
                <w:rFonts w:hint="eastAsia" w:ascii="宋体" w:hAnsi="宋体" w:cs="宋体"/>
                <w:bCs/>
                <w:color w:val="000000" w:themeColor="text1"/>
                <w:szCs w:val="21"/>
                <w:highlight w:val="none"/>
                <w:lang w:val="en-US" w:eastAsia="zh-CN"/>
                <w14:textFill>
                  <w14:solidFill>
                    <w14:schemeClr w14:val="tx1"/>
                  </w14:solidFill>
                </w14:textFill>
              </w:rPr>
              <w:t>4</w:t>
            </w:r>
          </w:p>
        </w:tc>
        <w:tc>
          <w:tcPr>
            <w:tcW w:w="1082" w:type="dxa"/>
            <w:noWrap w:val="0"/>
            <w:vAlign w:val="center"/>
          </w:tcPr>
          <w:p w14:paraId="0FCB5C40">
            <w:pPr>
              <w:keepNext w:val="0"/>
              <w:keepLines w:val="0"/>
              <w:pageBreakBefore w:val="0"/>
              <w:widowControl w:val="0"/>
              <w:kinsoku/>
              <w:wordWrap/>
              <w:overflowPunct/>
              <w:topLinePunct w:val="0"/>
              <w:bidi w:val="0"/>
              <w:spacing w:line="400" w:lineRule="exact"/>
              <w:jc w:val="center"/>
              <w:textAlignment w:val="auto"/>
              <w:rPr>
                <w:rFonts w:hint="eastAsia" w:ascii="宋体" w:hAnsi="宋体" w:eastAsia="宋体" w:cs="宋体"/>
                <w:bCs/>
                <w:color w:val="000000" w:themeColor="text1"/>
                <w:szCs w:val="21"/>
                <w:highlight w:val="none"/>
                <w14:textFill>
                  <w14:solidFill>
                    <w14:schemeClr w14:val="tx1"/>
                  </w14:solidFill>
                </w14:textFill>
              </w:rPr>
            </w:pPr>
            <w:r>
              <w:rPr>
                <w:rFonts w:hint="eastAsia" w:ascii="宋体" w:hAnsi="宋体" w:eastAsia="宋体" w:cs="宋体"/>
                <w:bCs/>
                <w:color w:val="000000" w:themeColor="text1"/>
                <w:szCs w:val="21"/>
                <w:highlight w:val="none"/>
                <w14:textFill>
                  <w14:solidFill>
                    <w14:schemeClr w14:val="tx1"/>
                  </w14:solidFill>
                </w14:textFill>
              </w:rPr>
              <w:t>技术分</w:t>
            </w:r>
          </w:p>
        </w:tc>
        <w:tc>
          <w:tcPr>
            <w:tcW w:w="1575" w:type="dxa"/>
            <w:vMerge w:val="continue"/>
            <w:noWrap w:val="0"/>
            <w:vAlign w:val="center"/>
          </w:tcPr>
          <w:p w14:paraId="59163189">
            <w:pPr>
              <w:keepNext w:val="0"/>
              <w:keepLines w:val="0"/>
              <w:pageBreakBefore w:val="0"/>
              <w:widowControl w:val="0"/>
              <w:kinsoku/>
              <w:wordWrap/>
              <w:overflowPunct/>
              <w:topLinePunct w:val="0"/>
              <w:bidi w:val="0"/>
              <w:spacing w:line="400" w:lineRule="exact"/>
              <w:jc w:val="left"/>
              <w:textAlignment w:val="auto"/>
              <w:rPr>
                <w:rFonts w:hint="eastAsia" w:ascii="宋体" w:hAnsi="宋体" w:eastAsia="宋体" w:cs="宋体"/>
                <w:color w:val="000000" w:themeColor="text1"/>
                <w:highlight w:val="none"/>
                <w:lang w:eastAsia="zh-CN"/>
                <w14:textFill>
                  <w14:solidFill>
                    <w14:schemeClr w14:val="tx1"/>
                  </w14:solidFill>
                </w14:textFill>
              </w:rPr>
            </w:pPr>
          </w:p>
        </w:tc>
        <w:tc>
          <w:tcPr>
            <w:tcW w:w="5489" w:type="dxa"/>
            <w:noWrap w:val="0"/>
            <w:vAlign w:val="center"/>
          </w:tcPr>
          <w:p w14:paraId="049C80CC">
            <w:pPr>
              <w:spacing w:line="440" w:lineRule="exact"/>
              <w:ind w:firstLine="538" w:firstLineChars="255"/>
              <w:rPr>
                <w:b/>
                <w:color w:val="000000" w:themeColor="text1"/>
                <w:sz w:val="21"/>
                <w:szCs w:val="22"/>
                <w:highlight w:val="none"/>
                <w:lang w:eastAsia="zh-CN"/>
                <w14:textFill>
                  <w14:solidFill>
                    <w14:schemeClr w14:val="tx1"/>
                  </w14:solidFill>
                </w14:textFill>
              </w:rPr>
            </w:pPr>
            <w:r>
              <w:rPr>
                <w:b/>
                <w:color w:val="000000" w:themeColor="text1"/>
                <w:sz w:val="21"/>
                <w:szCs w:val="22"/>
                <w:highlight w:val="none"/>
                <w:lang w:eastAsia="zh-CN"/>
                <w14:textFill>
                  <w14:solidFill>
                    <w14:schemeClr w14:val="tx1"/>
                  </w14:solidFill>
                </w14:textFill>
              </w:rPr>
              <w:t>（4）劳动力和材料投入计划及其保证措施</w:t>
            </w:r>
            <w:r>
              <w:rPr>
                <w:rFonts w:hint="eastAsia"/>
                <w:b/>
                <w:color w:val="000000" w:themeColor="text1"/>
                <w:sz w:val="21"/>
                <w:szCs w:val="22"/>
                <w:highlight w:val="none"/>
                <w:lang w:eastAsia="zh-CN"/>
                <w14:textFill>
                  <w14:solidFill>
                    <w14:schemeClr w14:val="tx1"/>
                  </w14:solidFill>
                </w14:textFill>
              </w:rPr>
              <w:t>（</w:t>
            </w:r>
            <w:r>
              <w:rPr>
                <w:rFonts w:hint="eastAsia"/>
                <w:b/>
                <w:color w:val="000000" w:themeColor="text1"/>
                <w:sz w:val="21"/>
                <w:szCs w:val="22"/>
                <w:highlight w:val="none"/>
                <w:lang w:val="en-US" w:eastAsia="zh-CN"/>
                <w14:textFill>
                  <w14:solidFill>
                    <w14:schemeClr w14:val="tx1"/>
                  </w14:solidFill>
                </w14:textFill>
              </w:rPr>
              <w:t>4</w:t>
            </w:r>
            <w:r>
              <w:rPr>
                <w:b/>
                <w:color w:val="000000" w:themeColor="text1"/>
                <w:sz w:val="21"/>
                <w:szCs w:val="22"/>
                <w:highlight w:val="none"/>
                <w:lang w:eastAsia="zh-CN"/>
                <w14:textFill>
                  <w14:solidFill>
                    <w14:schemeClr w14:val="tx1"/>
                  </w14:solidFill>
                </w14:textFill>
              </w:rPr>
              <w:t>分</w:t>
            </w:r>
            <w:r>
              <w:rPr>
                <w:rFonts w:hint="eastAsia"/>
                <w:b/>
                <w:color w:val="000000" w:themeColor="text1"/>
                <w:sz w:val="21"/>
                <w:szCs w:val="22"/>
                <w:highlight w:val="none"/>
                <w:lang w:eastAsia="zh-CN"/>
                <w14:textFill>
                  <w14:solidFill>
                    <w14:schemeClr w14:val="tx1"/>
                  </w14:solidFill>
                </w14:textFill>
              </w:rPr>
              <w:t>）</w:t>
            </w:r>
          </w:p>
          <w:p w14:paraId="4E88602F">
            <w:pPr>
              <w:keepNext w:val="0"/>
              <w:keepLines w:val="0"/>
              <w:pageBreakBefore w:val="0"/>
              <w:widowControl/>
              <w:kinsoku/>
              <w:wordWrap/>
              <w:overflowPunct/>
              <w:topLinePunct w:val="0"/>
              <w:autoSpaceDE/>
              <w:autoSpaceDN/>
              <w:bidi w:val="0"/>
              <w:adjustRightInd/>
              <w:snapToGrid/>
              <w:spacing w:line="360" w:lineRule="exact"/>
              <w:ind w:firstLine="420" w:firstLineChars="200"/>
              <w:jc w:val="left"/>
              <w:textAlignment w:val="auto"/>
              <w:rPr>
                <w:rFonts w:hint="default"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优 (</w:t>
            </w:r>
            <w:r>
              <w:rPr>
                <w:rFonts w:hint="eastAsia" w:ascii="宋体" w:hAnsi="宋体" w:eastAsia="宋体" w:cs="宋体"/>
                <w:color w:val="000000" w:themeColor="text1"/>
                <w:kern w:val="0"/>
                <w:sz w:val="21"/>
                <w:szCs w:val="21"/>
                <w:highlight w:val="none"/>
                <w:lang w:val="en-US" w:eastAsia="zh-CN"/>
                <w14:textFill>
                  <w14:solidFill>
                    <w14:schemeClr w14:val="tx1"/>
                  </w14:solidFill>
                </w14:textFill>
              </w:rPr>
              <w:t>4</w:t>
            </w:r>
            <w:r>
              <w:rPr>
                <w:rFonts w:hint="eastAsia" w:ascii="宋体" w:hAnsi="宋体" w:eastAsia="宋体" w:cs="宋体"/>
                <w:color w:val="000000" w:themeColor="text1"/>
                <w:kern w:val="0"/>
                <w:sz w:val="21"/>
                <w:szCs w:val="21"/>
                <w:highlight w:val="none"/>
                <w14:textFill>
                  <w14:solidFill>
                    <w14:schemeClr w14:val="tx1"/>
                  </w14:solidFill>
                </w14:textFill>
              </w:rPr>
              <w:t>分)</w:t>
            </w:r>
            <w:r>
              <w:rPr>
                <w:rFonts w:hint="default" w:ascii="宋体" w:hAnsi="宋体" w:eastAsia="宋体" w:cs="宋体"/>
                <w:color w:val="000000" w:themeColor="text1"/>
                <w:kern w:val="0"/>
                <w:sz w:val="21"/>
                <w:szCs w:val="21"/>
                <w:highlight w:val="none"/>
                <w14:textFill>
                  <w14:solidFill>
                    <w14:schemeClr w14:val="tx1"/>
                  </w14:solidFill>
                </w14:textFill>
              </w:rPr>
              <w:t>：</w:t>
            </w:r>
            <w:r>
              <w:rPr>
                <w:rFonts w:hint="default" w:ascii="宋体" w:hAnsi="宋体" w:eastAsia="宋体" w:cs="宋体"/>
                <w:color w:val="000000" w:themeColor="text1"/>
                <w:kern w:val="0"/>
                <w:sz w:val="21"/>
                <w:szCs w:val="21"/>
                <w:highlight w:val="none"/>
                <w:lang w:val="en-US" w:eastAsia="zh-CN"/>
                <w14:textFill>
                  <w14:solidFill>
                    <w14:schemeClr w14:val="tx1"/>
                  </w14:solidFill>
                </w14:textFill>
              </w:rPr>
              <w:t>投入的主要物资计划与进度计划</w:t>
            </w:r>
            <w:r>
              <w:rPr>
                <w:rFonts w:hint="eastAsia" w:ascii="宋体" w:hAnsi="宋体" w:eastAsia="宋体" w:cs="宋体"/>
                <w:color w:val="000000" w:themeColor="text1"/>
                <w:kern w:val="0"/>
                <w:sz w:val="21"/>
                <w:szCs w:val="21"/>
                <w:highlight w:val="none"/>
                <w:lang w:val="en-US" w:eastAsia="zh-CN"/>
                <w14:textFill>
                  <w14:solidFill>
                    <w14:schemeClr w14:val="tx1"/>
                  </w14:solidFill>
                </w14:textFill>
              </w:rPr>
              <w:t>紧密配合</w:t>
            </w:r>
            <w:r>
              <w:rPr>
                <w:rFonts w:hint="default" w:ascii="宋体" w:hAnsi="宋体" w:eastAsia="宋体" w:cs="宋体"/>
                <w:color w:val="000000" w:themeColor="text1"/>
                <w:kern w:val="0"/>
                <w:sz w:val="21"/>
                <w:szCs w:val="21"/>
                <w:highlight w:val="none"/>
                <w:lang w:val="en-US" w:eastAsia="zh-CN"/>
                <w14:textFill>
                  <w14:solidFill>
                    <w14:schemeClr w14:val="tx1"/>
                  </w14:solidFill>
                </w14:textFill>
              </w:rPr>
              <w:t>，满足施工需要，有材料物资采购及供应保证措施，定量定点堆放物资。各主要施工工序有周密的劳动力安排计划，有具体的保障手段避免窝工，有各工种劳动力安排计划，有劳动力保障措施，能满足施工需要且衔接得当</w:t>
            </w:r>
            <w:r>
              <w:rPr>
                <w:rFonts w:hint="default" w:ascii="宋体" w:hAnsi="宋体" w:eastAsia="宋体" w:cs="宋体"/>
                <w:color w:val="000000" w:themeColor="text1"/>
                <w:kern w:val="0"/>
                <w:sz w:val="21"/>
                <w:szCs w:val="21"/>
                <w:highlight w:val="none"/>
                <w14:textFill>
                  <w14:solidFill>
                    <w14:schemeClr w14:val="tx1"/>
                  </w14:solidFill>
                </w14:textFill>
              </w:rPr>
              <w:t>。</w:t>
            </w:r>
          </w:p>
          <w:p w14:paraId="05E34037">
            <w:pPr>
              <w:keepNext w:val="0"/>
              <w:keepLines w:val="0"/>
              <w:pageBreakBefore w:val="0"/>
              <w:widowControl/>
              <w:kinsoku/>
              <w:wordWrap/>
              <w:overflowPunct/>
              <w:topLinePunct w:val="0"/>
              <w:autoSpaceDE/>
              <w:autoSpaceDN/>
              <w:bidi w:val="0"/>
              <w:adjustRightInd/>
              <w:snapToGrid/>
              <w:spacing w:line="360" w:lineRule="exact"/>
              <w:ind w:firstLine="420" w:firstLineChars="200"/>
              <w:jc w:val="left"/>
              <w:textAlignment w:val="auto"/>
              <w:rPr>
                <w:rFonts w:hint="default" w:ascii="宋体" w:hAnsi="宋体" w:eastAsia="宋体" w:cs="宋体"/>
                <w:color w:val="000000" w:themeColor="text1"/>
                <w:kern w:val="0"/>
                <w:sz w:val="21"/>
                <w:szCs w:val="21"/>
                <w:highlight w:val="none"/>
                <w14:textFill>
                  <w14:solidFill>
                    <w14:schemeClr w14:val="tx1"/>
                  </w14:solidFill>
                </w14:textFill>
              </w:rPr>
            </w:pPr>
            <w:r>
              <w:rPr>
                <w:rFonts w:hint="default" w:ascii="宋体" w:hAnsi="宋体" w:eastAsia="宋体" w:cs="宋体"/>
                <w:color w:val="000000" w:themeColor="text1"/>
                <w:kern w:val="0"/>
                <w:sz w:val="21"/>
                <w:szCs w:val="21"/>
                <w:highlight w:val="none"/>
                <w14:textFill>
                  <w14:solidFill>
                    <w14:schemeClr w14:val="tx1"/>
                  </w14:solidFill>
                </w14:textFill>
              </w:rPr>
              <w:t>良 (</w:t>
            </w:r>
            <w:r>
              <w:rPr>
                <w:rFonts w:hint="eastAsia" w:ascii="宋体" w:hAnsi="宋体" w:eastAsia="宋体" w:cs="宋体"/>
                <w:color w:val="000000" w:themeColor="text1"/>
                <w:kern w:val="0"/>
                <w:sz w:val="21"/>
                <w:szCs w:val="21"/>
                <w:highlight w:val="none"/>
                <w:lang w:val="en-US" w:eastAsia="zh-CN"/>
                <w14:textFill>
                  <w14:solidFill>
                    <w14:schemeClr w14:val="tx1"/>
                  </w14:solidFill>
                </w14:textFill>
              </w:rPr>
              <w:t>2</w:t>
            </w:r>
            <w:r>
              <w:rPr>
                <w:rFonts w:hint="default" w:ascii="宋体" w:hAnsi="宋体" w:eastAsia="宋体" w:cs="宋体"/>
                <w:color w:val="000000" w:themeColor="text1"/>
                <w:kern w:val="0"/>
                <w:sz w:val="21"/>
                <w:szCs w:val="21"/>
                <w:highlight w:val="none"/>
                <w14:textFill>
                  <w14:solidFill>
                    <w14:schemeClr w14:val="tx1"/>
                  </w14:solidFill>
                </w14:textFill>
              </w:rPr>
              <w:t>分)：</w:t>
            </w:r>
            <w:r>
              <w:rPr>
                <w:rFonts w:hint="eastAsia" w:ascii="宋体" w:hAnsi="宋体" w:eastAsia="宋体" w:cs="宋体"/>
                <w:bCs/>
                <w:color w:val="000000" w:themeColor="text1"/>
                <w:kern w:val="0"/>
                <w:sz w:val="21"/>
                <w:szCs w:val="21"/>
                <w:highlight w:val="none"/>
                <w:lang w:val="en-US" w:eastAsia="zh-CN" w:bidi="ar-SA"/>
                <w14:textFill>
                  <w14:solidFill>
                    <w14:schemeClr w14:val="tx1"/>
                  </w14:solidFill>
                </w14:textFill>
              </w:rPr>
              <w:t>投入的</w:t>
            </w:r>
            <w:r>
              <w:rPr>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主要物资计划</w:t>
            </w:r>
            <w:r>
              <w:rPr>
                <w:rFonts w:hint="eastAsia" w:ascii="宋体" w:hAnsi="宋体" w:eastAsia="宋体" w:cs="宋体"/>
                <w:bCs/>
                <w:color w:val="000000" w:themeColor="text1"/>
                <w:kern w:val="0"/>
                <w:sz w:val="21"/>
                <w:szCs w:val="21"/>
                <w:highlight w:val="none"/>
                <w:lang w:val="en-US" w:eastAsia="zh-CN" w:bidi="ar-SA"/>
                <w14:textFill>
                  <w14:solidFill>
                    <w14:schemeClr w14:val="tx1"/>
                  </w14:solidFill>
                </w14:textFill>
              </w:rPr>
              <w:t>与进度计划呼应，满足施工需要，定量定点堆放物资。各主要施工工序有周密的劳动力安排计划，不窝工，有各工种劳动力安排计划，能满足施工需要</w:t>
            </w:r>
            <w:r>
              <w:rPr>
                <w:rFonts w:hint="default" w:ascii="宋体" w:hAnsi="宋体" w:eastAsia="宋体" w:cs="宋体"/>
                <w:color w:val="000000" w:themeColor="text1"/>
                <w:kern w:val="0"/>
                <w:sz w:val="21"/>
                <w:szCs w:val="21"/>
                <w:highlight w:val="none"/>
                <w14:textFill>
                  <w14:solidFill>
                    <w14:schemeClr w14:val="tx1"/>
                  </w14:solidFill>
                </w14:textFill>
              </w:rPr>
              <w:t>。</w:t>
            </w:r>
          </w:p>
          <w:p w14:paraId="4CCFC341">
            <w:pPr>
              <w:spacing w:line="440" w:lineRule="exact"/>
              <w:ind w:firstLine="535" w:firstLineChars="255"/>
              <w:rPr>
                <w:rFonts w:hint="eastAsia"/>
                <w:color w:val="000000" w:themeColor="text1"/>
                <w:lang w:eastAsia="zh-CN"/>
                <w14:textFill>
                  <w14:solidFill>
                    <w14:schemeClr w14:val="tx1"/>
                  </w14:solidFill>
                </w14:textFill>
              </w:rPr>
            </w:pPr>
            <w:r>
              <w:rPr>
                <w:rFonts w:hint="default" w:ascii="宋体" w:hAnsi="宋体" w:eastAsia="宋体" w:cs="宋体"/>
                <w:color w:val="000000" w:themeColor="text1"/>
                <w:kern w:val="0"/>
                <w:sz w:val="21"/>
                <w:szCs w:val="21"/>
                <w:highlight w:val="none"/>
                <w14:textFill>
                  <w14:solidFill>
                    <w14:schemeClr w14:val="tx1"/>
                  </w14:solidFill>
                </w14:textFill>
              </w:rPr>
              <w:t>中 (</w:t>
            </w:r>
            <w:r>
              <w:rPr>
                <w:rFonts w:hint="eastAsia" w:ascii="宋体" w:hAnsi="宋体" w:eastAsia="宋体" w:cs="宋体"/>
                <w:color w:val="000000" w:themeColor="text1"/>
                <w:kern w:val="0"/>
                <w:sz w:val="21"/>
                <w:szCs w:val="21"/>
                <w:highlight w:val="none"/>
                <w:lang w:val="en-US" w:eastAsia="zh-CN"/>
                <w14:textFill>
                  <w14:solidFill>
                    <w14:schemeClr w14:val="tx1"/>
                  </w14:solidFill>
                </w14:textFill>
              </w:rPr>
              <w:t>1</w:t>
            </w:r>
            <w:r>
              <w:rPr>
                <w:rFonts w:hint="default" w:ascii="宋体" w:hAnsi="宋体" w:eastAsia="宋体" w:cs="宋体"/>
                <w:color w:val="000000" w:themeColor="text1"/>
                <w:kern w:val="0"/>
                <w:sz w:val="21"/>
                <w:szCs w:val="21"/>
                <w:highlight w:val="none"/>
                <w14:textFill>
                  <w14:solidFill>
                    <w14:schemeClr w14:val="tx1"/>
                  </w14:solidFill>
                </w14:textFill>
              </w:rPr>
              <w:t>分)：</w:t>
            </w:r>
            <w:r>
              <w:rPr>
                <w:rFonts w:hint="eastAsia" w:ascii="宋体" w:hAnsi="宋体" w:eastAsia="宋体" w:cs="宋体"/>
                <w:bCs/>
                <w:color w:val="000000" w:themeColor="text1"/>
                <w:kern w:val="0"/>
                <w:sz w:val="21"/>
                <w:szCs w:val="21"/>
                <w:highlight w:val="none"/>
                <w:lang w:val="en-US" w:eastAsia="zh-CN" w:bidi="ar-SA"/>
                <w14:textFill>
                  <w14:solidFill>
                    <w14:schemeClr w14:val="tx1"/>
                  </w14:solidFill>
                </w14:textFill>
              </w:rPr>
              <w:t>投入的</w:t>
            </w:r>
            <w:r>
              <w:rPr>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主要物资计划</w:t>
            </w:r>
            <w:r>
              <w:rPr>
                <w:rFonts w:hint="eastAsia" w:ascii="宋体" w:hAnsi="宋体" w:eastAsia="宋体" w:cs="宋体"/>
                <w:bCs/>
                <w:color w:val="000000" w:themeColor="text1"/>
                <w:kern w:val="0"/>
                <w:sz w:val="21"/>
                <w:szCs w:val="21"/>
                <w:highlight w:val="none"/>
                <w:lang w:val="en-US" w:eastAsia="zh-CN" w:bidi="ar-SA"/>
                <w14:textFill>
                  <w14:solidFill>
                    <w14:schemeClr w14:val="tx1"/>
                  </w14:solidFill>
                </w14:textFill>
              </w:rPr>
              <w:t>与进度计划呼应，主要施工需求可以得到满足。各主要施工工序有劳动力安排计划，有各工种劳动力安排计划，主要施工需求可以得到满足</w:t>
            </w:r>
            <w:r>
              <w:rPr>
                <w:rFonts w:hint="default" w:ascii="宋体" w:hAnsi="宋体" w:eastAsia="宋体" w:cs="宋体"/>
                <w:color w:val="000000" w:themeColor="text1"/>
                <w:kern w:val="0"/>
                <w:sz w:val="21"/>
                <w:szCs w:val="21"/>
                <w:highlight w:val="none"/>
                <w14:textFill>
                  <w14:solidFill>
                    <w14:schemeClr w14:val="tx1"/>
                  </w14:solidFill>
                </w14:textFill>
              </w:rPr>
              <w:t>。</w:t>
            </w:r>
            <w:r>
              <w:rPr>
                <w:rFonts w:hint="default" w:ascii="宋体" w:hAnsi="宋体" w:eastAsia="宋体" w:cs="宋体"/>
                <w:color w:val="000000" w:themeColor="text1"/>
                <w:kern w:val="0"/>
                <w:sz w:val="21"/>
                <w:szCs w:val="21"/>
                <w:highlight w:val="none"/>
                <w14:textFill>
                  <w14:solidFill>
                    <w14:schemeClr w14:val="tx1"/>
                  </w14:solidFill>
                </w14:textFill>
              </w:rPr>
              <w:br w:type="textWrapping"/>
            </w:r>
            <w:r>
              <w:rPr>
                <w:rFonts w:hint="eastAsia" w:ascii="宋体" w:hAnsi="宋体" w:eastAsia="宋体" w:cs="宋体"/>
                <w:color w:val="000000" w:themeColor="text1"/>
                <w:kern w:val="0"/>
                <w:sz w:val="21"/>
                <w:szCs w:val="21"/>
                <w:highlight w:val="none"/>
                <w:lang w:val="en-US" w:eastAsia="zh-CN"/>
                <w14:textFill>
                  <w14:solidFill>
                    <w14:schemeClr w14:val="tx1"/>
                  </w14:solidFill>
                </w14:textFill>
              </w:rPr>
              <w:t xml:space="preserve">   </w:t>
            </w:r>
            <w:r>
              <w:rPr>
                <w:rFonts w:hint="default" w:ascii="宋体" w:hAnsi="宋体" w:eastAsia="宋体" w:cs="宋体"/>
                <w:color w:val="000000" w:themeColor="text1"/>
                <w:kern w:val="0"/>
                <w:sz w:val="21"/>
                <w:szCs w:val="21"/>
                <w:highlight w:val="none"/>
                <w14:textFill>
                  <w14:solidFill>
                    <w14:schemeClr w14:val="tx1"/>
                  </w14:solidFill>
                </w14:textFill>
              </w:rPr>
              <w:t>差 (0分)：投入计划与进度计划脱节，资源配置无法满足施工需要，无有效保障措施。</w:t>
            </w:r>
          </w:p>
        </w:tc>
        <w:tc>
          <w:tcPr>
            <w:tcW w:w="794" w:type="dxa"/>
            <w:noWrap w:val="0"/>
            <w:vAlign w:val="center"/>
          </w:tcPr>
          <w:p w14:paraId="109625F4">
            <w:pPr>
              <w:keepNext w:val="0"/>
              <w:keepLines w:val="0"/>
              <w:pageBreakBefore w:val="0"/>
              <w:widowControl w:val="0"/>
              <w:kinsoku/>
              <w:wordWrap/>
              <w:overflowPunct/>
              <w:topLinePunct w:val="0"/>
              <w:bidi w:val="0"/>
              <w:spacing w:line="400" w:lineRule="exact"/>
              <w:jc w:val="center"/>
              <w:textAlignment w:val="auto"/>
              <w:rPr>
                <w:rFonts w:hint="eastAsia" w:ascii="宋体" w:hAnsi="宋体" w:eastAsia="宋体" w:cs="宋体"/>
                <w:b w:val="0"/>
                <w:bCs/>
                <w:color w:val="000000" w:themeColor="text1"/>
                <w:szCs w:val="21"/>
                <w:highlight w:val="none"/>
                <w14:textFill>
                  <w14:solidFill>
                    <w14:schemeClr w14:val="tx1"/>
                  </w14:solidFill>
                </w14:textFill>
              </w:rPr>
            </w:pPr>
            <w:r>
              <w:rPr>
                <w:rFonts w:hint="eastAsia"/>
                <w:b w:val="0"/>
                <w:bCs/>
                <w:color w:val="000000" w:themeColor="text1"/>
                <w:sz w:val="21"/>
                <w:szCs w:val="22"/>
                <w:highlight w:val="none"/>
                <w:lang w:val="en-US" w:eastAsia="zh-CN"/>
                <w14:textFill>
                  <w14:solidFill>
                    <w14:schemeClr w14:val="tx1"/>
                  </w14:solidFill>
                </w14:textFill>
              </w:rPr>
              <w:t>4</w:t>
            </w:r>
            <w:r>
              <w:rPr>
                <w:b w:val="0"/>
                <w:bCs/>
                <w:color w:val="000000" w:themeColor="text1"/>
                <w:sz w:val="21"/>
                <w:szCs w:val="22"/>
                <w:highlight w:val="none"/>
                <w:lang w:eastAsia="zh-CN"/>
                <w14:textFill>
                  <w14:solidFill>
                    <w14:schemeClr w14:val="tx1"/>
                  </w14:solidFill>
                </w14:textFill>
              </w:rPr>
              <w:t>分</w:t>
            </w:r>
          </w:p>
        </w:tc>
      </w:tr>
      <w:tr w14:paraId="39412F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59" w:type="dxa"/>
            <w:noWrap w:val="0"/>
            <w:vAlign w:val="center"/>
          </w:tcPr>
          <w:p w14:paraId="28A0A344">
            <w:pPr>
              <w:keepNext w:val="0"/>
              <w:keepLines w:val="0"/>
              <w:pageBreakBefore w:val="0"/>
              <w:widowControl w:val="0"/>
              <w:kinsoku/>
              <w:wordWrap/>
              <w:overflowPunct/>
              <w:topLinePunct w:val="0"/>
              <w:bidi w:val="0"/>
              <w:spacing w:line="400" w:lineRule="exact"/>
              <w:jc w:val="center"/>
              <w:textAlignment w:val="auto"/>
              <w:rPr>
                <w:rFonts w:hint="eastAsia" w:ascii="宋体" w:hAnsi="宋体" w:eastAsia="宋体" w:cs="宋体"/>
                <w:bCs/>
                <w:color w:val="000000" w:themeColor="text1"/>
                <w:szCs w:val="21"/>
                <w:highlight w:val="none"/>
                <w:lang w:val="en-US" w:eastAsia="zh-CN"/>
                <w14:textFill>
                  <w14:solidFill>
                    <w14:schemeClr w14:val="tx1"/>
                  </w14:solidFill>
                </w14:textFill>
              </w:rPr>
            </w:pPr>
            <w:r>
              <w:rPr>
                <w:rFonts w:hint="eastAsia" w:ascii="宋体" w:hAnsi="宋体" w:cs="宋体"/>
                <w:bCs/>
                <w:color w:val="000000" w:themeColor="text1"/>
                <w:szCs w:val="21"/>
                <w:highlight w:val="none"/>
                <w:lang w:val="en-US" w:eastAsia="zh-CN"/>
                <w14:textFill>
                  <w14:solidFill>
                    <w14:schemeClr w14:val="tx1"/>
                  </w14:solidFill>
                </w14:textFill>
              </w:rPr>
              <w:t>5</w:t>
            </w:r>
          </w:p>
        </w:tc>
        <w:tc>
          <w:tcPr>
            <w:tcW w:w="1082" w:type="dxa"/>
            <w:noWrap w:val="0"/>
            <w:vAlign w:val="center"/>
          </w:tcPr>
          <w:p w14:paraId="2687243B">
            <w:pPr>
              <w:keepNext w:val="0"/>
              <w:keepLines w:val="0"/>
              <w:pageBreakBefore w:val="0"/>
              <w:widowControl w:val="0"/>
              <w:kinsoku/>
              <w:wordWrap/>
              <w:overflowPunct/>
              <w:topLinePunct w:val="0"/>
              <w:bidi w:val="0"/>
              <w:spacing w:line="400" w:lineRule="exact"/>
              <w:jc w:val="center"/>
              <w:textAlignment w:val="auto"/>
              <w:rPr>
                <w:rFonts w:hint="eastAsia" w:ascii="宋体" w:hAnsi="宋体" w:eastAsia="宋体" w:cs="宋体"/>
                <w:bCs/>
                <w:color w:val="000000" w:themeColor="text1"/>
                <w:szCs w:val="21"/>
                <w:highlight w:val="none"/>
                <w:lang w:eastAsia="zh-CN"/>
                <w14:textFill>
                  <w14:solidFill>
                    <w14:schemeClr w14:val="tx1"/>
                  </w14:solidFill>
                </w14:textFill>
              </w:rPr>
            </w:pPr>
            <w:r>
              <w:rPr>
                <w:rFonts w:hint="eastAsia" w:ascii="宋体" w:hAnsi="宋体" w:eastAsia="宋体" w:cs="宋体"/>
                <w:bCs/>
                <w:color w:val="000000" w:themeColor="text1"/>
                <w:szCs w:val="21"/>
                <w:highlight w:val="none"/>
                <w:lang w:eastAsia="zh-CN"/>
                <w14:textFill>
                  <w14:solidFill>
                    <w14:schemeClr w14:val="tx1"/>
                  </w14:solidFill>
                </w14:textFill>
              </w:rPr>
              <w:t>技术分</w:t>
            </w:r>
          </w:p>
        </w:tc>
        <w:tc>
          <w:tcPr>
            <w:tcW w:w="1575" w:type="dxa"/>
            <w:vMerge w:val="continue"/>
            <w:noWrap w:val="0"/>
            <w:vAlign w:val="center"/>
          </w:tcPr>
          <w:p w14:paraId="2A2E9DD2">
            <w:pPr>
              <w:keepNext w:val="0"/>
              <w:keepLines w:val="0"/>
              <w:pageBreakBefore w:val="0"/>
              <w:widowControl w:val="0"/>
              <w:numPr>
                <w:ilvl w:val="0"/>
                <w:numId w:val="0"/>
              </w:numPr>
              <w:kinsoku/>
              <w:wordWrap/>
              <w:overflowPunct/>
              <w:topLinePunct w:val="0"/>
              <w:bidi w:val="0"/>
              <w:spacing w:line="400" w:lineRule="exact"/>
              <w:jc w:val="left"/>
              <w:textAlignment w:val="auto"/>
              <w:rPr>
                <w:rFonts w:hint="eastAsia"/>
                <w:color w:val="000000" w:themeColor="text1"/>
                <w:lang w:val="en-US" w:eastAsia="zh-CN"/>
                <w14:textFill>
                  <w14:solidFill>
                    <w14:schemeClr w14:val="tx1"/>
                  </w14:solidFill>
                </w14:textFill>
              </w:rPr>
            </w:pPr>
          </w:p>
        </w:tc>
        <w:tc>
          <w:tcPr>
            <w:tcW w:w="5489" w:type="dxa"/>
            <w:noWrap w:val="0"/>
            <w:vAlign w:val="center"/>
          </w:tcPr>
          <w:p w14:paraId="7224A40D">
            <w:pPr>
              <w:spacing w:line="440" w:lineRule="exact"/>
              <w:ind w:firstLine="538" w:firstLineChars="255"/>
              <w:rPr>
                <w:b/>
                <w:color w:val="000000" w:themeColor="text1"/>
                <w:sz w:val="21"/>
                <w:szCs w:val="22"/>
                <w:highlight w:val="none"/>
                <w:lang w:eastAsia="zh-CN"/>
                <w14:textFill>
                  <w14:solidFill>
                    <w14:schemeClr w14:val="tx1"/>
                  </w14:solidFill>
                </w14:textFill>
              </w:rPr>
            </w:pPr>
            <w:r>
              <w:rPr>
                <w:b/>
                <w:color w:val="000000" w:themeColor="text1"/>
                <w:sz w:val="21"/>
                <w:szCs w:val="22"/>
                <w:highlight w:val="none"/>
                <w:lang w:eastAsia="zh-CN"/>
                <w14:textFill>
                  <w14:solidFill>
                    <w14:schemeClr w14:val="tx1"/>
                  </w14:solidFill>
                </w14:textFill>
              </w:rPr>
              <w:t>（5）施工平面布置和临时设施布置</w:t>
            </w:r>
            <w:r>
              <w:rPr>
                <w:rFonts w:hint="eastAsia"/>
                <w:b/>
                <w:color w:val="000000" w:themeColor="text1"/>
                <w:sz w:val="21"/>
                <w:szCs w:val="22"/>
                <w:highlight w:val="none"/>
                <w:lang w:eastAsia="zh-CN"/>
                <w14:textFill>
                  <w14:solidFill>
                    <w14:schemeClr w14:val="tx1"/>
                  </w14:solidFill>
                </w14:textFill>
              </w:rPr>
              <w:t>（</w:t>
            </w:r>
            <w:r>
              <w:rPr>
                <w:b/>
                <w:color w:val="000000" w:themeColor="text1"/>
                <w:sz w:val="21"/>
                <w:szCs w:val="22"/>
                <w:highlight w:val="none"/>
                <w:lang w:eastAsia="zh-CN"/>
                <w14:textFill>
                  <w14:solidFill>
                    <w14:schemeClr w14:val="tx1"/>
                  </w14:solidFill>
                </w14:textFill>
              </w:rPr>
              <w:t>3分</w:t>
            </w:r>
            <w:r>
              <w:rPr>
                <w:rFonts w:hint="eastAsia"/>
                <w:b/>
                <w:color w:val="000000" w:themeColor="text1"/>
                <w:sz w:val="21"/>
                <w:szCs w:val="22"/>
                <w:highlight w:val="none"/>
                <w:lang w:eastAsia="zh-CN"/>
                <w14:textFill>
                  <w14:solidFill>
                    <w14:schemeClr w14:val="tx1"/>
                  </w14:solidFill>
                </w14:textFill>
              </w:rPr>
              <w:t>）</w:t>
            </w:r>
          </w:p>
          <w:p w14:paraId="4443B6A8">
            <w:pPr>
              <w:keepNext w:val="0"/>
              <w:keepLines w:val="0"/>
              <w:pageBreakBefore w:val="0"/>
              <w:widowControl/>
              <w:kinsoku/>
              <w:wordWrap/>
              <w:overflowPunct/>
              <w:topLinePunct w:val="0"/>
              <w:autoSpaceDE/>
              <w:autoSpaceDN/>
              <w:bidi w:val="0"/>
              <w:adjustRightInd/>
              <w:snapToGrid/>
              <w:spacing w:line="360" w:lineRule="exact"/>
              <w:ind w:firstLine="420"/>
              <w:jc w:val="left"/>
              <w:textAlignment w:val="auto"/>
              <w:rPr>
                <w:rFonts w:hint="default" w:ascii="宋体" w:hAnsi="宋体" w:eastAsia="宋体" w:cs="宋体"/>
                <w:bCs/>
                <w:color w:val="000000" w:themeColor="text1"/>
                <w:kern w:val="0"/>
                <w:sz w:val="21"/>
                <w:szCs w:val="21"/>
                <w:highlight w:val="none"/>
                <w14:textFill>
                  <w14:solidFill>
                    <w14:schemeClr w14:val="tx1"/>
                  </w14:solidFill>
                </w14:textFill>
              </w:rPr>
            </w:pPr>
            <w:r>
              <w:rPr>
                <w:rFonts w:hint="eastAsia" w:ascii="宋体" w:hAnsi="宋体" w:eastAsia="宋体" w:cs="宋体"/>
                <w:bCs/>
                <w:color w:val="000000" w:themeColor="text1"/>
                <w:kern w:val="0"/>
                <w:sz w:val="21"/>
                <w:szCs w:val="21"/>
                <w:highlight w:val="none"/>
                <w14:textFill>
                  <w14:solidFill>
                    <w14:schemeClr w14:val="tx1"/>
                  </w14:solidFill>
                </w14:textFill>
              </w:rPr>
              <w:t>优 (</w:t>
            </w:r>
            <w:r>
              <w:rPr>
                <w:rFonts w:hint="eastAsia" w:ascii="宋体" w:hAnsi="宋体" w:eastAsia="宋体" w:cs="宋体"/>
                <w:bCs/>
                <w:color w:val="000000" w:themeColor="text1"/>
                <w:kern w:val="0"/>
                <w:sz w:val="21"/>
                <w:szCs w:val="21"/>
                <w:highlight w:val="none"/>
                <w:lang w:val="en-US" w:eastAsia="zh-CN"/>
                <w14:textFill>
                  <w14:solidFill>
                    <w14:schemeClr w14:val="tx1"/>
                  </w14:solidFill>
                </w14:textFill>
              </w:rPr>
              <w:t>3</w:t>
            </w:r>
            <w:r>
              <w:rPr>
                <w:rFonts w:hint="eastAsia" w:ascii="宋体" w:hAnsi="宋体" w:eastAsia="宋体" w:cs="宋体"/>
                <w:bCs/>
                <w:color w:val="000000" w:themeColor="text1"/>
                <w:kern w:val="0"/>
                <w:sz w:val="21"/>
                <w:szCs w:val="21"/>
                <w:highlight w:val="none"/>
                <w14:textFill>
                  <w14:solidFill>
                    <w14:schemeClr w14:val="tx1"/>
                  </w14:solidFill>
                </w14:textFill>
              </w:rPr>
              <w:t>分)</w:t>
            </w:r>
            <w:r>
              <w:rPr>
                <w:rFonts w:hint="default" w:ascii="宋体" w:hAnsi="宋体" w:eastAsia="宋体" w:cs="宋体"/>
                <w:bCs/>
                <w:color w:val="000000" w:themeColor="text1"/>
                <w:kern w:val="0"/>
                <w:sz w:val="21"/>
                <w:szCs w:val="21"/>
                <w:highlight w:val="none"/>
                <w14:textFill>
                  <w14:solidFill>
                    <w14:schemeClr w14:val="tx1"/>
                  </w14:solidFill>
                </w14:textFill>
              </w:rPr>
              <w:t>：总体布置方案针对项目现场条件进行深度优化，紧密结合现场条件，布局紧凑高效，能够满足各阶段施工需求，并符合安全文明、消防环保等规定。</w:t>
            </w:r>
          </w:p>
          <w:p w14:paraId="2CB8F79F">
            <w:pPr>
              <w:spacing w:line="440" w:lineRule="exact"/>
              <w:ind w:firstLine="420" w:firstLineChars="200"/>
              <w:rPr>
                <w:rFonts w:hint="eastAsia"/>
                <w:color w:val="000000" w:themeColor="text1"/>
                <w:lang w:val="en-US" w:eastAsia="zh-CN"/>
                <w14:textFill>
                  <w14:solidFill>
                    <w14:schemeClr w14:val="tx1"/>
                  </w14:solidFill>
                </w14:textFill>
              </w:rPr>
            </w:pPr>
            <w:r>
              <w:rPr>
                <w:rFonts w:hint="default" w:ascii="宋体" w:hAnsi="宋体" w:eastAsia="宋体" w:cs="宋体"/>
                <w:bCs/>
                <w:color w:val="000000" w:themeColor="text1"/>
                <w:kern w:val="0"/>
                <w:sz w:val="21"/>
                <w:szCs w:val="21"/>
                <w:highlight w:val="none"/>
                <w14:textFill>
                  <w14:solidFill>
                    <w14:schemeClr w14:val="tx1"/>
                  </w14:solidFill>
                </w14:textFill>
              </w:rPr>
              <w:t>良 (</w:t>
            </w:r>
            <w:r>
              <w:rPr>
                <w:rFonts w:hint="eastAsia" w:ascii="宋体" w:hAnsi="宋体" w:eastAsia="宋体" w:cs="宋体"/>
                <w:bCs/>
                <w:color w:val="000000" w:themeColor="text1"/>
                <w:kern w:val="0"/>
                <w:sz w:val="21"/>
                <w:szCs w:val="21"/>
                <w:highlight w:val="none"/>
                <w:lang w:val="en-US" w:eastAsia="zh-CN"/>
                <w14:textFill>
                  <w14:solidFill>
                    <w14:schemeClr w14:val="tx1"/>
                  </w14:solidFill>
                </w14:textFill>
              </w:rPr>
              <w:t>2</w:t>
            </w:r>
            <w:r>
              <w:rPr>
                <w:rFonts w:hint="default" w:ascii="宋体" w:hAnsi="宋体" w:eastAsia="宋体" w:cs="宋体"/>
                <w:bCs/>
                <w:color w:val="000000" w:themeColor="text1"/>
                <w:kern w:val="0"/>
                <w:sz w:val="21"/>
                <w:szCs w:val="21"/>
                <w:highlight w:val="none"/>
                <w14:textFill>
                  <w14:solidFill>
                    <w14:schemeClr w14:val="tx1"/>
                  </w14:solidFill>
                </w14:textFill>
              </w:rPr>
              <w:t>分)：总体布置有序，能够满足施工需求，符合安全文明生产等基础要求。</w:t>
            </w:r>
            <w:r>
              <w:rPr>
                <w:rFonts w:hint="default" w:ascii="宋体" w:hAnsi="宋体" w:eastAsia="宋体" w:cs="宋体"/>
                <w:bCs/>
                <w:color w:val="000000" w:themeColor="text1"/>
                <w:kern w:val="0"/>
                <w:sz w:val="21"/>
                <w:szCs w:val="21"/>
                <w:highlight w:val="none"/>
                <w14:textFill>
                  <w14:solidFill>
                    <w14:schemeClr w14:val="tx1"/>
                  </w14:solidFill>
                </w14:textFill>
              </w:rPr>
              <w:br w:type="textWrapping"/>
            </w:r>
            <w:r>
              <w:rPr>
                <w:rFonts w:hint="eastAsia" w:ascii="宋体" w:hAnsi="宋体" w:eastAsia="宋体" w:cs="宋体"/>
                <w:bCs/>
                <w:color w:val="000000" w:themeColor="text1"/>
                <w:kern w:val="0"/>
                <w:sz w:val="21"/>
                <w:szCs w:val="21"/>
                <w:highlight w:val="none"/>
                <w:lang w:val="en-US" w:eastAsia="zh-CN"/>
                <w14:textFill>
                  <w14:solidFill>
                    <w14:schemeClr w14:val="tx1"/>
                  </w14:solidFill>
                </w14:textFill>
              </w:rPr>
              <w:t xml:space="preserve">    </w:t>
            </w:r>
            <w:r>
              <w:rPr>
                <w:rFonts w:hint="default" w:ascii="宋体" w:hAnsi="宋体" w:eastAsia="宋体" w:cs="宋体"/>
                <w:bCs/>
                <w:color w:val="000000" w:themeColor="text1"/>
                <w:kern w:val="0"/>
                <w:sz w:val="21"/>
                <w:szCs w:val="21"/>
                <w:highlight w:val="none"/>
                <w14:textFill>
                  <w14:solidFill>
                    <w14:schemeClr w14:val="tx1"/>
                  </w14:solidFill>
                </w14:textFill>
              </w:rPr>
              <w:t>中 (</w:t>
            </w:r>
            <w:r>
              <w:rPr>
                <w:rFonts w:hint="eastAsia" w:ascii="宋体" w:hAnsi="宋体" w:eastAsia="宋体" w:cs="宋体"/>
                <w:bCs/>
                <w:color w:val="000000" w:themeColor="text1"/>
                <w:kern w:val="0"/>
                <w:sz w:val="21"/>
                <w:szCs w:val="21"/>
                <w:highlight w:val="none"/>
                <w:lang w:val="en-US" w:eastAsia="zh-CN"/>
                <w14:textFill>
                  <w14:solidFill>
                    <w14:schemeClr w14:val="tx1"/>
                  </w14:solidFill>
                </w14:textFill>
              </w:rPr>
              <w:t>1</w:t>
            </w:r>
            <w:r>
              <w:rPr>
                <w:rFonts w:hint="default" w:ascii="宋体" w:hAnsi="宋体" w:eastAsia="宋体" w:cs="宋体"/>
                <w:bCs/>
                <w:color w:val="000000" w:themeColor="text1"/>
                <w:kern w:val="0"/>
                <w:sz w:val="21"/>
                <w:szCs w:val="21"/>
                <w:highlight w:val="none"/>
                <w14:textFill>
                  <w14:solidFill>
                    <w14:schemeClr w14:val="tx1"/>
                  </w14:solidFill>
                </w14:textFill>
              </w:rPr>
              <w:t>分)：</w:t>
            </w:r>
            <w:r>
              <w:rPr>
                <w:rFonts w:hint="eastAsia" w:ascii="宋体" w:hAnsi="宋体" w:eastAsia="宋体" w:cs="宋体"/>
                <w:bCs/>
                <w:color w:val="000000" w:themeColor="text1"/>
                <w:kern w:val="0"/>
                <w:sz w:val="21"/>
                <w:szCs w:val="21"/>
                <w:highlight w:val="none"/>
                <w14:textFill>
                  <w14:solidFill>
                    <w14:schemeClr w14:val="tx1"/>
                  </w14:solidFill>
                </w14:textFill>
              </w:rPr>
              <w:t>总体布置</w:t>
            </w:r>
            <w:r>
              <w:rPr>
                <w:rFonts w:hint="default" w:ascii="宋体" w:hAnsi="宋体" w:eastAsia="宋体" w:cs="宋体"/>
                <w:bCs/>
                <w:color w:val="000000" w:themeColor="text1"/>
                <w:kern w:val="0"/>
                <w:sz w:val="21"/>
                <w:szCs w:val="21"/>
                <w:highlight w:val="none"/>
                <w14:textFill>
                  <w14:solidFill>
                    <w14:schemeClr w14:val="tx1"/>
                  </w14:solidFill>
                </w14:textFill>
              </w:rPr>
              <w:t>能够支撑主要施工活动的展开，但部分区域的安排可能影响效率或需后续调整</w:t>
            </w:r>
            <w:r>
              <w:rPr>
                <w:rFonts w:hint="eastAsia" w:ascii="宋体" w:hAnsi="宋体" w:eastAsia="宋体" w:cs="宋体"/>
                <w:bCs/>
                <w:color w:val="000000" w:themeColor="text1"/>
                <w:kern w:val="0"/>
                <w:sz w:val="21"/>
                <w:szCs w:val="21"/>
                <w:highlight w:val="none"/>
                <w:lang w:eastAsia="zh-CN"/>
                <w14:textFill>
                  <w14:solidFill>
                    <w14:schemeClr w14:val="tx1"/>
                  </w14:solidFill>
                </w14:textFill>
              </w:rPr>
              <w:t>。</w:t>
            </w:r>
            <w:r>
              <w:rPr>
                <w:rFonts w:hint="default" w:ascii="宋体" w:hAnsi="宋体" w:eastAsia="宋体" w:cs="宋体"/>
                <w:bCs/>
                <w:color w:val="000000" w:themeColor="text1"/>
                <w:kern w:val="0"/>
                <w:sz w:val="21"/>
                <w:szCs w:val="21"/>
                <w:highlight w:val="none"/>
                <w14:textFill>
                  <w14:solidFill>
                    <w14:schemeClr w14:val="tx1"/>
                  </w14:solidFill>
                </w14:textFill>
              </w:rPr>
              <w:br w:type="textWrapping"/>
            </w:r>
            <w:r>
              <w:rPr>
                <w:rFonts w:hint="eastAsia" w:ascii="宋体" w:hAnsi="宋体" w:eastAsia="宋体" w:cs="宋体"/>
                <w:bCs/>
                <w:color w:val="000000" w:themeColor="text1"/>
                <w:kern w:val="0"/>
                <w:sz w:val="21"/>
                <w:szCs w:val="21"/>
                <w:highlight w:val="none"/>
                <w:lang w:val="en-US" w:eastAsia="zh-CN"/>
                <w14:textFill>
                  <w14:solidFill>
                    <w14:schemeClr w14:val="tx1"/>
                  </w14:solidFill>
                </w14:textFill>
              </w:rPr>
              <w:t xml:space="preserve">    </w:t>
            </w:r>
            <w:r>
              <w:rPr>
                <w:rFonts w:hint="default" w:ascii="宋体" w:hAnsi="宋体" w:eastAsia="宋体" w:cs="宋体"/>
                <w:bCs/>
                <w:color w:val="000000" w:themeColor="text1"/>
                <w:kern w:val="0"/>
                <w:sz w:val="21"/>
                <w:szCs w:val="21"/>
                <w:highlight w:val="none"/>
                <w14:textFill>
                  <w14:solidFill>
                    <w14:schemeClr w14:val="tx1"/>
                  </w14:solidFill>
                </w14:textFill>
              </w:rPr>
              <w:t>差 (0分)：布置方案混乱，无法满足施工需求，存在明显安全或消防隐患。</w:t>
            </w:r>
          </w:p>
        </w:tc>
        <w:tc>
          <w:tcPr>
            <w:tcW w:w="794" w:type="dxa"/>
            <w:noWrap w:val="0"/>
            <w:vAlign w:val="center"/>
          </w:tcPr>
          <w:p w14:paraId="00402102">
            <w:pPr>
              <w:keepNext w:val="0"/>
              <w:keepLines w:val="0"/>
              <w:pageBreakBefore w:val="0"/>
              <w:widowControl w:val="0"/>
              <w:kinsoku/>
              <w:wordWrap/>
              <w:overflowPunct/>
              <w:topLinePunct w:val="0"/>
              <w:bidi w:val="0"/>
              <w:spacing w:line="400" w:lineRule="exact"/>
              <w:jc w:val="center"/>
              <w:textAlignment w:val="auto"/>
              <w:rPr>
                <w:rFonts w:hint="eastAsia" w:ascii="宋体" w:hAnsi="宋体" w:eastAsia="宋体" w:cs="宋体"/>
                <w:b w:val="0"/>
                <w:bCs/>
                <w:color w:val="000000" w:themeColor="text1"/>
                <w:szCs w:val="21"/>
                <w:highlight w:val="none"/>
                <w:lang w:val="en-US" w:eastAsia="zh-CN"/>
                <w14:textFill>
                  <w14:solidFill>
                    <w14:schemeClr w14:val="tx1"/>
                  </w14:solidFill>
                </w14:textFill>
              </w:rPr>
            </w:pPr>
            <w:r>
              <w:rPr>
                <w:b w:val="0"/>
                <w:bCs/>
                <w:color w:val="000000" w:themeColor="text1"/>
                <w:sz w:val="21"/>
                <w:szCs w:val="22"/>
                <w:highlight w:val="none"/>
                <w:lang w:eastAsia="zh-CN"/>
                <w14:textFill>
                  <w14:solidFill>
                    <w14:schemeClr w14:val="tx1"/>
                  </w14:solidFill>
                </w14:textFill>
              </w:rPr>
              <w:t>3分</w:t>
            </w:r>
          </w:p>
        </w:tc>
      </w:tr>
      <w:tr w14:paraId="7CF600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59" w:type="dxa"/>
            <w:noWrap w:val="0"/>
            <w:vAlign w:val="center"/>
          </w:tcPr>
          <w:p w14:paraId="168862CF">
            <w:pPr>
              <w:keepNext w:val="0"/>
              <w:keepLines w:val="0"/>
              <w:pageBreakBefore w:val="0"/>
              <w:widowControl w:val="0"/>
              <w:kinsoku/>
              <w:wordWrap/>
              <w:overflowPunct/>
              <w:topLinePunct w:val="0"/>
              <w:bidi w:val="0"/>
              <w:spacing w:line="400" w:lineRule="exact"/>
              <w:jc w:val="center"/>
              <w:textAlignment w:val="auto"/>
              <w:rPr>
                <w:rFonts w:hint="default" w:ascii="宋体" w:hAnsi="宋体" w:cs="宋体"/>
                <w:bCs/>
                <w:color w:val="000000" w:themeColor="text1"/>
                <w:szCs w:val="21"/>
                <w:highlight w:val="none"/>
                <w:lang w:val="en-US" w:eastAsia="zh-CN"/>
                <w14:textFill>
                  <w14:solidFill>
                    <w14:schemeClr w14:val="tx1"/>
                  </w14:solidFill>
                </w14:textFill>
              </w:rPr>
            </w:pPr>
            <w:r>
              <w:rPr>
                <w:rFonts w:hint="eastAsia" w:ascii="宋体" w:hAnsi="宋体" w:cs="宋体"/>
                <w:bCs/>
                <w:color w:val="000000" w:themeColor="text1"/>
                <w:szCs w:val="21"/>
                <w:highlight w:val="none"/>
                <w:lang w:val="en-US" w:eastAsia="zh-CN"/>
                <w14:textFill>
                  <w14:solidFill>
                    <w14:schemeClr w14:val="tx1"/>
                  </w14:solidFill>
                </w14:textFill>
              </w:rPr>
              <w:t>6</w:t>
            </w:r>
          </w:p>
        </w:tc>
        <w:tc>
          <w:tcPr>
            <w:tcW w:w="1082" w:type="dxa"/>
            <w:noWrap w:val="0"/>
            <w:vAlign w:val="center"/>
          </w:tcPr>
          <w:p w14:paraId="015603F8">
            <w:pPr>
              <w:keepNext w:val="0"/>
              <w:keepLines w:val="0"/>
              <w:pageBreakBefore w:val="0"/>
              <w:widowControl w:val="0"/>
              <w:kinsoku/>
              <w:wordWrap/>
              <w:overflowPunct/>
              <w:topLinePunct w:val="0"/>
              <w:bidi w:val="0"/>
              <w:spacing w:line="400" w:lineRule="exact"/>
              <w:jc w:val="center"/>
              <w:textAlignment w:val="auto"/>
              <w:rPr>
                <w:rFonts w:hint="eastAsia" w:ascii="宋体" w:hAnsi="宋体" w:eastAsia="宋体" w:cs="宋体"/>
                <w:bCs/>
                <w:color w:val="000000" w:themeColor="text1"/>
                <w:szCs w:val="21"/>
                <w:highlight w:val="none"/>
                <w:lang w:eastAsia="zh-CN"/>
                <w14:textFill>
                  <w14:solidFill>
                    <w14:schemeClr w14:val="tx1"/>
                  </w14:solidFill>
                </w14:textFill>
              </w:rPr>
            </w:pPr>
            <w:r>
              <w:rPr>
                <w:rFonts w:hint="eastAsia" w:ascii="宋体" w:hAnsi="宋体" w:eastAsia="宋体" w:cs="宋体"/>
                <w:bCs/>
                <w:color w:val="000000" w:themeColor="text1"/>
                <w:szCs w:val="21"/>
                <w:highlight w:val="none"/>
                <w14:textFill>
                  <w14:solidFill>
                    <w14:schemeClr w14:val="tx1"/>
                  </w14:solidFill>
                </w14:textFill>
              </w:rPr>
              <w:t>技术分</w:t>
            </w:r>
          </w:p>
        </w:tc>
        <w:tc>
          <w:tcPr>
            <w:tcW w:w="1575" w:type="dxa"/>
            <w:vMerge w:val="continue"/>
            <w:noWrap w:val="0"/>
            <w:vAlign w:val="center"/>
          </w:tcPr>
          <w:p w14:paraId="4CE5AE95">
            <w:pPr>
              <w:keepNext w:val="0"/>
              <w:keepLines w:val="0"/>
              <w:pageBreakBefore w:val="0"/>
              <w:widowControl w:val="0"/>
              <w:numPr>
                <w:ilvl w:val="0"/>
                <w:numId w:val="0"/>
              </w:numPr>
              <w:kinsoku/>
              <w:wordWrap/>
              <w:overflowPunct/>
              <w:topLinePunct w:val="0"/>
              <w:bidi w:val="0"/>
              <w:spacing w:line="400" w:lineRule="exact"/>
              <w:jc w:val="left"/>
              <w:textAlignment w:val="auto"/>
              <w:rPr>
                <w:rFonts w:hint="eastAsia"/>
                <w:color w:val="000000" w:themeColor="text1"/>
                <w:lang w:val="en-US" w:eastAsia="zh-CN"/>
                <w14:textFill>
                  <w14:solidFill>
                    <w14:schemeClr w14:val="tx1"/>
                  </w14:solidFill>
                </w14:textFill>
              </w:rPr>
            </w:pPr>
          </w:p>
        </w:tc>
        <w:tc>
          <w:tcPr>
            <w:tcW w:w="5489" w:type="dxa"/>
            <w:noWrap w:val="0"/>
            <w:vAlign w:val="center"/>
          </w:tcPr>
          <w:p w14:paraId="63700E25">
            <w:pPr>
              <w:spacing w:line="440" w:lineRule="exact"/>
              <w:ind w:firstLine="538" w:firstLineChars="255"/>
              <w:rPr>
                <w:b/>
                <w:color w:val="000000" w:themeColor="text1"/>
                <w:sz w:val="21"/>
                <w:szCs w:val="22"/>
                <w:highlight w:val="none"/>
                <w:lang w:eastAsia="zh-CN"/>
                <w14:textFill>
                  <w14:solidFill>
                    <w14:schemeClr w14:val="tx1"/>
                  </w14:solidFill>
                </w14:textFill>
              </w:rPr>
            </w:pPr>
            <w:r>
              <w:rPr>
                <w:b/>
                <w:color w:val="000000" w:themeColor="text1"/>
                <w:sz w:val="21"/>
                <w:szCs w:val="22"/>
                <w:highlight w:val="none"/>
                <w:lang w:eastAsia="zh-CN"/>
                <w14:textFill>
                  <w14:solidFill>
                    <w14:schemeClr w14:val="tx1"/>
                  </w14:solidFill>
                </w14:textFill>
              </w:rPr>
              <w:t>（6）关键施工技术、工艺及工程实施的重点、难点和解决方案</w:t>
            </w:r>
            <w:r>
              <w:rPr>
                <w:rFonts w:hint="eastAsia"/>
                <w:b/>
                <w:color w:val="000000" w:themeColor="text1"/>
                <w:sz w:val="21"/>
                <w:szCs w:val="22"/>
                <w:highlight w:val="none"/>
                <w:lang w:eastAsia="zh-CN"/>
                <w14:textFill>
                  <w14:solidFill>
                    <w14:schemeClr w14:val="tx1"/>
                  </w14:solidFill>
                </w14:textFill>
              </w:rPr>
              <w:t>（</w:t>
            </w:r>
            <w:r>
              <w:rPr>
                <w:rFonts w:hint="eastAsia"/>
                <w:b/>
                <w:color w:val="000000" w:themeColor="text1"/>
                <w:sz w:val="21"/>
                <w:szCs w:val="22"/>
                <w:highlight w:val="none"/>
                <w:lang w:val="en-US" w:eastAsia="zh-CN"/>
                <w14:textFill>
                  <w14:solidFill>
                    <w14:schemeClr w14:val="tx1"/>
                  </w14:solidFill>
                </w14:textFill>
              </w:rPr>
              <w:t>7</w:t>
            </w:r>
            <w:r>
              <w:rPr>
                <w:b/>
                <w:color w:val="000000" w:themeColor="text1"/>
                <w:sz w:val="21"/>
                <w:szCs w:val="22"/>
                <w:highlight w:val="none"/>
                <w:lang w:eastAsia="zh-CN"/>
                <w14:textFill>
                  <w14:solidFill>
                    <w14:schemeClr w14:val="tx1"/>
                  </w14:solidFill>
                </w14:textFill>
              </w:rPr>
              <w:t>分</w:t>
            </w:r>
            <w:r>
              <w:rPr>
                <w:rFonts w:hint="eastAsia"/>
                <w:b/>
                <w:color w:val="000000" w:themeColor="text1"/>
                <w:sz w:val="21"/>
                <w:szCs w:val="22"/>
                <w:highlight w:val="none"/>
                <w:lang w:eastAsia="zh-CN"/>
                <w14:textFill>
                  <w14:solidFill>
                    <w14:schemeClr w14:val="tx1"/>
                  </w14:solidFill>
                </w14:textFill>
              </w:rPr>
              <w:t>）</w:t>
            </w:r>
          </w:p>
          <w:p w14:paraId="205724CC">
            <w:pPr>
              <w:spacing w:line="440" w:lineRule="exact"/>
              <w:ind w:firstLine="535" w:firstLineChars="255"/>
              <w:rPr>
                <w:color w:val="000000" w:themeColor="text1"/>
                <w:sz w:val="21"/>
                <w:szCs w:val="22"/>
                <w:highlight w:val="none"/>
                <w:lang w:eastAsia="zh-CN"/>
                <w14:textFill>
                  <w14:solidFill>
                    <w14:schemeClr w14:val="tx1"/>
                  </w14:solidFill>
                </w14:textFill>
              </w:rPr>
            </w:pPr>
            <w:r>
              <w:rPr>
                <w:rFonts w:hint="eastAsia"/>
                <w:color w:val="000000" w:themeColor="text1"/>
                <w:sz w:val="21"/>
                <w:szCs w:val="22"/>
                <w:highlight w:val="none"/>
                <w:lang w:eastAsia="zh-CN"/>
                <w14:textFill>
                  <w14:solidFill>
                    <w14:schemeClr w14:val="tx1"/>
                  </w14:solidFill>
                </w14:textFill>
              </w:rPr>
              <w:t>优</w:t>
            </w:r>
            <w:r>
              <w:rPr>
                <w:color w:val="000000" w:themeColor="text1"/>
                <w:sz w:val="21"/>
                <w:szCs w:val="22"/>
                <w:highlight w:val="none"/>
                <w:lang w:eastAsia="zh-CN"/>
                <w14:textFill>
                  <w14:solidFill>
                    <w14:schemeClr w14:val="tx1"/>
                  </w14:solidFill>
                </w14:textFill>
              </w:rPr>
              <w:t>（</w:t>
            </w:r>
            <w:r>
              <w:rPr>
                <w:rFonts w:hint="eastAsia"/>
                <w:color w:val="000000" w:themeColor="text1"/>
                <w:sz w:val="21"/>
                <w:szCs w:val="22"/>
                <w:highlight w:val="none"/>
                <w:lang w:val="en-US" w:eastAsia="zh-CN"/>
                <w14:textFill>
                  <w14:solidFill>
                    <w14:schemeClr w14:val="tx1"/>
                  </w14:solidFill>
                </w14:textFill>
              </w:rPr>
              <w:t>7</w:t>
            </w:r>
            <w:r>
              <w:rPr>
                <w:color w:val="000000" w:themeColor="text1"/>
                <w:sz w:val="21"/>
                <w:szCs w:val="22"/>
                <w:highlight w:val="none"/>
                <w:lang w:eastAsia="zh-CN"/>
                <w14:textFill>
                  <w14:solidFill>
                    <w14:schemeClr w14:val="tx1"/>
                  </w14:solidFill>
                </w14:textFill>
              </w:rPr>
              <w:t>分）：对项目关键技术、工艺有</w:t>
            </w:r>
            <w:r>
              <w:rPr>
                <w:rFonts w:hint="eastAsia"/>
                <w:color w:val="000000" w:themeColor="text1"/>
                <w:sz w:val="21"/>
                <w:szCs w:val="22"/>
                <w:highlight w:val="none"/>
                <w:lang w:eastAsia="zh-CN"/>
                <w14:textFill>
                  <w14:solidFill>
                    <w14:schemeClr w14:val="tx1"/>
                  </w14:solidFill>
                </w14:textFill>
              </w:rPr>
              <w:t>明确的阐述</w:t>
            </w:r>
            <w:r>
              <w:rPr>
                <w:color w:val="000000" w:themeColor="text1"/>
                <w:sz w:val="21"/>
                <w:szCs w:val="22"/>
                <w:highlight w:val="none"/>
                <w:lang w:eastAsia="zh-CN"/>
                <w14:textFill>
                  <w14:solidFill>
                    <w14:schemeClr w14:val="tx1"/>
                  </w14:solidFill>
                </w14:textFill>
              </w:rPr>
              <w:t>，对重点、难点</w:t>
            </w:r>
            <w:r>
              <w:rPr>
                <w:rFonts w:hint="eastAsia"/>
                <w:color w:val="000000" w:themeColor="text1"/>
                <w:sz w:val="21"/>
                <w:szCs w:val="22"/>
                <w:highlight w:val="none"/>
                <w:lang w:eastAsia="zh-CN"/>
                <w14:textFill>
                  <w14:solidFill>
                    <w14:schemeClr w14:val="tx1"/>
                  </w14:solidFill>
                </w14:textFill>
              </w:rPr>
              <w:t>有合理化</w:t>
            </w:r>
            <w:r>
              <w:rPr>
                <w:color w:val="000000" w:themeColor="text1"/>
                <w:sz w:val="21"/>
                <w:szCs w:val="22"/>
                <w:highlight w:val="none"/>
                <w:lang w:eastAsia="zh-CN"/>
                <w14:textFill>
                  <w14:solidFill>
                    <w14:schemeClr w14:val="tx1"/>
                  </w14:solidFill>
                </w14:textFill>
              </w:rPr>
              <w:t>的施工措施并有可行</w:t>
            </w:r>
            <w:r>
              <w:rPr>
                <w:rFonts w:hint="eastAsia"/>
                <w:color w:val="000000" w:themeColor="text1"/>
                <w:sz w:val="21"/>
                <w:szCs w:val="22"/>
                <w:highlight w:val="none"/>
                <w:lang w:eastAsia="zh-CN"/>
                <w14:textFill>
                  <w14:solidFill>
                    <w14:schemeClr w14:val="tx1"/>
                  </w14:solidFill>
                </w14:textFill>
              </w:rPr>
              <w:t>的安全措施，解决方案具有针对性，且经济、安全、切实可行，措施具有针对性和可行性。</w:t>
            </w:r>
          </w:p>
          <w:p w14:paraId="2ADBA1F1">
            <w:pPr>
              <w:spacing w:line="440" w:lineRule="exact"/>
              <w:ind w:firstLine="535" w:firstLineChars="255"/>
              <w:rPr>
                <w:color w:val="000000" w:themeColor="text1"/>
                <w:sz w:val="21"/>
                <w:szCs w:val="22"/>
                <w:highlight w:val="none"/>
                <w:lang w:eastAsia="zh-CN"/>
                <w14:textFill>
                  <w14:solidFill>
                    <w14:schemeClr w14:val="tx1"/>
                  </w14:solidFill>
                </w14:textFill>
              </w:rPr>
            </w:pPr>
            <w:r>
              <w:rPr>
                <w:rFonts w:hint="eastAsia"/>
                <w:color w:val="000000" w:themeColor="text1"/>
                <w:sz w:val="21"/>
                <w:szCs w:val="22"/>
                <w:highlight w:val="none"/>
                <w:lang w:eastAsia="zh-CN"/>
                <w14:textFill>
                  <w14:solidFill>
                    <w14:schemeClr w14:val="tx1"/>
                  </w14:solidFill>
                </w14:textFill>
              </w:rPr>
              <w:t>良</w:t>
            </w:r>
            <w:r>
              <w:rPr>
                <w:color w:val="000000" w:themeColor="text1"/>
                <w:sz w:val="21"/>
                <w:szCs w:val="22"/>
                <w:highlight w:val="none"/>
                <w:lang w:eastAsia="zh-CN"/>
                <w14:textFill>
                  <w14:solidFill>
                    <w14:schemeClr w14:val="tx1"/>
                  </w14:solidFill>
                </w14:textFill>
              </w:rPr>
              <w:t>（4分）：对项目关键技术、工艺有</w:t>
            </w:r>
            <w:r>
              <w:rPr>
                <w:rFonts w:hint="eastAsia"/>
                <w:color w:val="000000" w:themeColor="text1"/>
                <w:sz w:val="21"/>
                <w:szCs w:val="22"/>
                <w:highlight w:val="none"/>
                <w:lang w:eastAsia="zh-CN"/>
                <w14:textFill>
                  <w14:solidFill>
                    <w14:schemeClr w14:val="tx1"/>
                  </w14:solidFill>
                </w14:textFill>
              </w:rPr>
              <w:t>明确的阐述</w:t>
            </w:r>
            <w:r>
              <w:rPr>
                <w:color w:val="000000" w:themeColor="text1"/>
                <w:sz w:val="21"/>
                <w:szCs w:val="22"/>
                <w:highlight w:val="none"/>
                <w:lang w:eastAsia="zh-CN"/>
                <w14:textFill>
                  <w14:solidFill>
                    <w14:schemeClr w14:val="tx1"/>
                  </w14:solidFill>
                </w14:textFill>
              </w:rPr>
              <w:t>，对重点、难点有合理</w:t>
            </w:r>
            <w:r>
              <w:rPr>
                <w:rFonts w:hint="eastAsia"/>
                <w:color w:val="000000" w:themeColor="text1"/>
                <w:lang w:eastAsia="zh-CN"/>
                <w14:textFill>
                  <w14:solidFill>
                    <w14:schemeClr w14:val="tx1"/>
                  </w14:solidFill>
                </w14:textFill>
              </w:rPr>
              <w:t>化</w:t>
            </w:r>
            <w:r>
              <w:rPr>
                <w:color w:val="000000" w:themeColor="text1"/>
                <w:sz w:val="21"/>
                <w:szCs w:val="22"/>
                <w:highlight w:val="none"/>
                <w:lang w:eastAsia="zh-CN"/>
                <w14:textFill>
                  <w14:solidFill>
                    <w14:schemeClr w14:val="tx1"/>
                  </w14:solidFill>
                </w14:textFill>
              </w:rPr>
              <w:t>的建议，解决方案经济、</w:t>
            </w:r>
            <w:r>
              <w:rPr>
                <w:rFonts w:hint="eastAsia"/>
                <w:color w:val="000000" w:themeColor="text1"/>
                <w:sz w:val="21"/>
                <w:szCs w:val="22"/>
                <w:highlight w:val="none"/>
                <w:lang w:eastAsia="zh-CN"/>
                <w14:textFill>
                  <w14:solidFill>
                    <w14:schemeClr w14:val="tx1"/>
                  </w14:solidFill>
                </w14:textFill>
              </w:rPr>
              <w:t>安全、具有可行性。</w:t>
            </w:r>
          </w:p>
          <w:p w14:paraId="2E98BD13">
            <w:pPr>
              <w:spacing w:line="440" w:lineRule="exact"/>
              <w:ind w:firstLine="535" w:firstLineChars="255"/>
              <w:rPr>
                <w:color w:val="000000" w:themeColor="text1"/>
                <w:sz w:val="21"/>
                <w:szCs w:val="22"/>
                <w:highlight w:val="none"/>
                <w:lang w:eastAsia="zh-CN"/>
                <w14:textFill>
                  <w14:solidFill>
                    <w14:schemeClr w14:val="tx1"/>
                  </w14:solidFill>
                </w14:textFill>
              </w:rPr>
            </w:pPr>
            <w:r>
              <w:rPr>
                <w:rFonts w:hint="eastAsia"/>
                <w:color w:val="000000" w:themeColor="text1"/>
                <w:sz w:val="21"/>
                <w:szCs w:val="22"/>
                <w:highlight w:val="none"/>
                <w:lang w:eastAsia="zh-CN"/>
                <w14:textFill>
                  <w14:solidFill>
                    <w14:schemeClr w14:val="tx1"/>
                  </w14:solidFill>
                </w14:textFill>
              </w:rPr>
              <w:t>中</w:t>
            </w:r>
            <w:r>
              <w:rPr>
                <w:color w:val="000000" w:themeColor="text1"/>
                <w:sz w:val="21"/>
                <w:szCs w:val="22"/>
                <w:highlight w:val="none"/>
                <w:lang w:eastAsia="zh-CN"/>
                <w14:textFill>
                  <w14:solidFill>
                    <w14:schemeClr w14:val="tx1"/>
                  </w14:solidFill>
                </w14:textFill>
              </w:rPr>
              <w:t>（2分）：对项目关键技术有了解，对重点、难点有建议，解决方案</w:t>
            </w:r>
            <w:r>
              <w:rPr>
                <w:rFonts w:hint="eastAsia"/>
                <w:color w:val="000000" w:themeColor="text1"/>
                <w:sz w:val="21"/>
                <w:szCs w:val="22"/>
                <w:highlight w:val="none"/>
                <w:lang w:eastAsia="zh-CN"/>
                <w14:textFill>
                  <w14:solidFill>
                    <w14:schemeClr w14:val="tx1"/>
                  </w14:solidFill>
                </w14:textFill>
              </w:rPr>
              <w:t>具有可行性</w:t>
            </w:r>
            <w:r>
              <w:rPr>
                <w:color w:val="000000" w:themeColor="text1"/>
                <w:sz w:val="21"/>
                <w:szCs w:val="22"/>
                <w:highlight w:val="none"/>
                <w:lang w:eastAsia="zh-CN"/>
                <w14:textFill>
                  <w14:solidFill>
                    <w14:schemeClr w14:val="tx1"/>
                  </w14:solidFill>
                </w14:textFill>
              </w:rPr>
              <w:t>。</w:t>
            </w:r>
          </w:p>
          <w:p w14:paraId="2E412DF1">
            <w:pPr>
              <w:spacing w:line="440" w:lineRule="exact"/>
              <w:ind w:firstLine="535" w:firstLineChars="255"/>
              <w:rPr>
                <w:rFonts w:hint="eastAsia"/>
                <w:color w:val="000000" w:themeColor="text1"/>
                <w:lang w:val="en-US" w:eastAsia="zh-CN"/>
                <w14:textFill>
                  <w14:solidFill>
                    <w14:schemeClr w14:val="tx1"/>
                  </w14:solidFill>
                </w14:textFill>
              </w:rPr>
            </w:pPr>
            <w:r>
              <w:rPr>
                <w:rFonts w:hint="eastAsia"/>
                <w:color w:val="000000" w:themeColor="text1"/>
                <w:sz w:val="21"/>
                <w:szCs w:val="22"/>
                <w:highlight w:val="none"/>
                <w:lang w:eastAsia="zh-CN"/>
                <w14:textFill>
                  <w14:solidFill>
                    <w14:schemeClr w14:val="tx1"/>
                  </w14:solidFill>
                </w14:textFill>
              </w:rPr>
              <w:t>差</w:t>
            </w:r>
            <w:r>
              <w:rPr>
                <w:color w:val="000000" w:themeColor="text1"/>
                <w:sz w:val="21"/>
                <w:szCs w:val="22"/>
                <w:highlight w:val="none"/>
                <w:lang w:eastAsia="zh-CN"/>
                <w14:textFill>
                  <w14:solidFill>
                    <w14:schemeClr w14:val="tx1"/>
                  </w14:solidFill>
                </w14:textFill>
              </w:rPr>
              <w:t>（0分）：</w:t>
            </w:r>
            <w:r>
              <w:rPr>
                <w:rFonts w:hint="eastAsia"/>
                <w:color w:val="000000" w:themeColor="text1"/>
                <w:sz w:val="21"/>
                <w:szCs w:val="22"/>
                <w:highlight w:val="none"/>
                <w:lang w:eastAsia="zh-CN"/>
                <w14:textFill>
                  <w14:solidFill>
                    <w14:schemeClr w14:val="tx1"/>
                  </w14:solidFill>
                </w14:textFill>
              </w:rPr>
              <w:t>无</w:t>
            </w:r>
            <w:r>
              <w:rPr>
                <w:color w:val="000000" w:themeColor="text1"/>
                <w:sz w:val="21"/>
                <w:szCs w:val="22"/>
                <w:highlight w:val="none"/>
                <w:lang w:eastAsia="zh-CN"/>
                <w14:textFill>
                  <w14:solidFill>
                    <w14:schemeClr w14:val="tx1"/>
                  </w14:solidFill>
                </w14:textFill>
              </w:rPr>
              <w:t>对项目关键技术有表述</w:t>
            </w:r>
            <w:r>
              <w:rPr>
                <w:rFonts w:hint="eastAsia"/>
                <w:color w:val="000000" w:themeColor="text1"/>
                <w:sz w:val="21"/>
                <w:szCs w:val="22"/>
                <w:highlight w:val="none"/>
                <w:lang w:eastAsia="zh-CN"/>
                <w14:textFill>
                  <w14:solidFill>
                    <w14:schemeClr w14:val="tx1"/>
                  </w14:solidFill>
                </w14:textFill>
              </w:rPr>
              <w:t>，无</w:t>
            </w:r>
            <w:r>
              <w:rPr>
                <w:color w:val="000000" w:themeColor="text1"/>
                <w:sz w:val="21"/>
                <w:szCs w:val="22"/>
                <w:highlight w:val="none"/>
                <w:lang w:eastAsia="zh-CN"/>
                <w14:textFill>
                  <w14:solidFill>
                    <w14:schemeClr w14:val="tx1"/>
                  </w14:solidFill>
                </w14:textFill>
              </w:rPr>
              <w:t>对重点、难点</w:t>
            </w:r>
            <w:r>
              <w:rPr>
                <w:rFonts w:hint="eastAsia"/>
                <w:color w:val="000000" w:themeColor="text1"/>
                <w:sz w:val="21"/>
                <w:szCs w:val="22"/>
                <w:highlight w:val="none"/>
                <w:lang w:eastAsia="zh-CN"/>
                <w14:textFill>
                  <w14:solidFill>
                    <w14:schemeClr w14:val="tx1"/>
                  </w14:solidFill>
                </w14:textFill>
              </w:rPr>
              <w:t>的</w:t>
            </w:r>
            <w:r>
              <w:rPr>
                <w:color w:val="000000" w:themeColor="text1"/>
                <w:sz w:val="21"/>
                <w:szCs w:val="22"/>
                <w:highlight w:val="none"/>
                <w:lang w:eastAsia="zh-CN"/>
                <w14:textFill>
                  <w14:solidFill>
                    <w14:schemeClr w14:val="tx1"/>
                  </w14:solidFill>
                </w14:textFill>
              </w:rPr>
              <w:t>建议，</w:t>
            </w:r>
            <w:r>
              <w:rPr>
                <w:rFonts w:hint="eastAsia"/>
                <w:color w:val="000000" w:themeColor="text1"/>
                <w:sz w:val="21"/>
                <w:szCs w:val="22"/>
                <w:highlight w:val="none"/>
                <w:lang w:eastAsia="zh-CN"/>
                <w14:textFill>
                  <w14:solidFill>
                    <w14:schemeClr w14:val="tx1"/>
                  </w14:solidFill>
                </w14:textFill>
              </w:rPr>
              <w:t>或有建议但</w:t>
            </w:r>
            <w:r>
              <w:rPr>
                <w:color w:val="000000" w:themeColor="text1"/>
                <w:sz w:val="21"/>
                <w:szCs w:val="22"/>
                <w:highlight w:val="none"/>
                <w:lang w:eastAsia="zh-CN"/>
                <w14:textFill>
                  <w14:solidFill>
                    <w14:schemeClr w14:val="tx1"/>
                  </w14:solidFill>
                </w14:textFill>
              </w:rPr>
              <w:t>解决方案</w:t>
            </w:r>
            <w:r>
              <w:rPr>
                <w:rFonts w:hint="eastAsia"/>
                <w:color w:val="000000" w:themeColor="text1"/>
                <w:sz w:val="21"/>
                <w:szCs w:val="22"/>
                <w:highlight w:val="none"/>
                <w:lang w:eastAsia="zh-CN"/>
                <w14:textFill>
                  <w14:solidFill>
                    <w14:schemeClr w14:val="tx1"/>
                  </w14:solidFill>
                </w14:textFill>
              </w:rPr>
              <w:t>无可行性</w:t>
            </w:r>
            <w:r>
              <w:rPr>
                <w:color w:val="000000" w:themeColor="text1"/>
                <w:sz w:val="21"/>
                <w:szCs w:val="22"/>
                <w:highlight w:val="none"/>
                <w:lang w:eastAsia="zh-CN"/>
                <w14:textFill>
                  <w14:solidFill>
                    <w14:schemeClr w14:val="tx1"/>
                  </w14:solidFill>
                </w14:textFill>
              </w:rPr>
              <w:t>。</w:t>
            </w:r>
          </w:p>
        </w:tc>
        <w:tc>
          <w:tcPr>
            <w:tcW w:w="794" w:type="dxa"/>
            <w:noWrap w:val="0"/>
            <w:vAlign w:val="center"/>
          </w:tcPr>
          <w:p w14:paraId="383AA50A">
            <w:pPr>
              <w:keepNext w:val="0"/>
              <w:keepLines w:val="0"/>
              <w:pageBreakBefore w:val="0"/>
              <w:widowControl w:val="0"/>
              <w:kinsoku/>
              <w:wordWrap/>
              <w:overflowPunct/>
              <w:topLinePunct w:val="0"/>
              <w:bidi w:val="0"/>
              <w:spacing w:line="400" w:lineRule="exact"/>
              <w:jc w:val="center"/>
              <w:textAlignment w:val="auto"/>
              <w:rPr>
                <w:rFonts w:hint="eastAsia" w:ascii="宋体" w:hAnsi="宋体" w:eastAsia="宋体" w:cs="宋体"/>
                <w:b w:val="0"/>
                <w:bCs/>
                <w:color w:val="000000" w:themeColor="text1"/>
                <w:szCs w:val="21"/>
                <w:highlight w:val="none"/>
                <w:lang w:val="en-US" w:eastAsia="zh-CN"/>
                <w14:textFill>
                  <w14:solidFill>
                    <w14:schemeClr w14:val="tx1"/>
                  </w14:solidFill>
                </w14:textFill>
              </w:rPr>
            </w:pPr>
            <w:r>
              <w:rPr>
                <w:rFonts w:hint="eastAsia"/>
                <w:b w:val="0"/>
                <w:bCs/>
                <w:color w:val="000000" w:themeColor="text1"/>
                <w:sz w:val="21"/>
                <w:szCs w:val="22"/>
                <w:highlight w:val="none"/>
                <w:lang w:val="en-US" w:eastAsia="zh-CN"/>
                <w14:textFill>
                  <w14:solidFill>
                    <w14:schemeClr w14:val="tx1"/>
                  </w14:solidFill>
                </w14:textFill>
              </w:rPr>
              <w:t>7</w:t>
            </w:r>
            <w:r>
              <w:rPr>
                <w:b w:val="0"/>
                <w:bCs/>
                <w:color w:val="000000" w:themeColor="text1"/>
                <w:sz w:val="21"/>
                <w:szCs w:val="22"/>
                <w:highlight w:val="none"/>
                <w:lang w:eastAsia="zh-CN"/>
                <w14:textFill>
                  <w14:solidFill>
                    <w14:schemeClr w14:val="tx1"/>
                  </w14:solidFill>
                </w14:textFill>
              </w:rPr>
              <w:t>分</w:t>
            </w:r>
          </w:p>
        </w:tc>
      </w:tr>
      <w:tr w14:paraId="69B8AF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59" w:type="dxa"/>
            <w:noWrap w:val="0"/>
            <w:vAlign w:val="center"/>
          </w:tcPr>
          <w:p w14:paraId="6755485B">
            <w:pPr>
              <w:keepNext w:val="0"/>
              <w:keepLines w:val="0"/>
              <w:pageBreakBefore w:val="0"/>
              <w:widowControl w:val="0"/>
              <w:kinsoku/>
              <w:wordWrap/>
              <w:overflowPunct/>
              <w:topLinePunct w:val="0"/>
              <w:bidi w:val="0"/>
              <w:spacing w:line="400" w:lineRule="exact"/>
              <w:jc w:val="center"/>
              <w:textAlignment w:val="auto"/>
              <w:rPr>
                <w:rFonts w:hint="default" w:ascii="宋体" w:hAnsi="宋体" w:cs="宋体"/>
                <w:bCs/>
                <w:color w:val="000000" w:themeColor="text1"/>
                <w:szCs w:val="21"/>
                <w:highlight w:val="none"/>
                <w:lang w:val="en-US" w:eastAsia="zh-CN"/>
                <w14:textFill>
                  <w14:solidFill>
                    <w14:schemeClr w14:val="tx1"/>
                  </w14:solidFill>
                </w14:textFill>
              </w:rPr>
            </w:pPr>
            <w:r>
              <w:rPr>
                <w:rFonts w:hint="eastAsia" w:ascii="宋体" w:hAnsi="宋体" w:cs="宋体"/>
                <w:bCs/>
                <w:color w:val="000000" w:themeColor="text1"/>
                <w:szCs w:val="21"/>
                <w:highlight w:val="none"/>
                <w:lang w:val="en-US" w:eastAsia="zh-CN"/>
                <w14:textFill>
                  <w14:solidFill>
                    <w14:schemeClr w14:val="tx1"/>
                  </w14:solidFill>
                </w14:textFill>
              </w:rPr>
              <w:t>7</w:t>
            </w:r>
          </w:p>
        </w:tc>
        <w:tc>
          <w:tcPr>
            <w:tcW w:w="1082" w:type="dxa"/>
            <w:noWrap w:val="0"/>
            <w:vAlign w:val="center"/>
          </w:tcPr>
          <w:p w14:paraId="604E1683">
            <w:pPr>
              <w:keepNext w:val="0"/>
              <w:keepLines w:val="0"/>
              <w:pageBreakBefore w:val="0"/>
              <w:widowControl w:val="0"/>
              <w:kinsoku/>
              <w:wordWrap/>
              <w:overflowPunct/>
              <w:topLinePunct w:val="0"/>
              <w:bidi w:val="0"/>
              <w:spacing w:line="400" w:lineRule="exact"/>
              <w:jc w:val="center"/>
              <w:textAlignment w:val="auto"/>
              <w:rPr>
                <w:rFonts w:hint="eastAsia" w:ascii="宋体" w:hAnsi="宋体" w:eastAsia="宋体" w:cs="宋体"/>
                <w:bCs/>
                <w:color w:val="000000" w:themeColor="text1"/>
                <w:szCs w:val="21"/>
                <w:highlight w:val="none"/>
                <w:lang w:eastAsia="zh-CN"/>
                <w14:textFill>
                  <w14:solidFill>
                    <w14:schemeClr w14:val="tx1"/>
                  </w14:solidFill>
                </w14:textFill>
              </w:rPr>
            </w:pPr>
            <w:r>
              <w:rPr>
                <w:rFonts w:hint="eastAsia" w:ascii="宋体" w:hAnsi="宋体" w:eastAsia="宋体" w:cs="宋体"/>
                <w:bCs/>
                <w:color w:val="000000" w:themeColor="text1"/>
                <w:szCs w:val="21"/>
                <w:highlight w:val="none"/>
                <w:lang w:eastAsia="zh-CN"/>
                <w14:textFill>
                  <w14:solidFill>
                    <w14:schemeClr w14:val="tx1"/>
                  </w14:solidFill>
                </w14:textFill>
              </w:rPr>
              <w:t>技术分</w:t>
            </w:r>
          </w:p>
        </w:tc>
        <w:tc>
          <w:tcPr>
            <w:tcW w:w="1575" w:type="dxa"/>
            <w:vMerge w:val="continue"/>
            <w:noWrap w:val="0"/>
            <w:vAlign w:val="center"/>
          </w:tcPr>
          <w:p w14:paraId="51664D24">
            <w:pPr>
              <w:keepNext w:val="0"/>
              <w:keepLines w:val="0"/>
              <w:pageBreakBefore w:val="0"/>
              <w:widowControl w:val="0"/>
              <w:numPr>
                <w:ilvl w:val="0"/>
                <w:numId w:val="0"/>
              </w:numPr>
              <w:kinsoku/>
              <w:wordWrap/>
              <w:overflowPunct/>
              <w:topLinePunct w:val="0"/>
              <w:bidi w:val="0"/>
              <w:spacing w:line="400" w:lineRule="exact"/>
              <w:jc w:val="left"/>
              <w:textAlignment w:val="auto"/>
              <w:rPr>
                <w:rFonts w:hint="eastAsia"/>
                <w:color w:val="000000" w:themeColor="text1"/>
                <w:lang w:val="en-US" w:eastAsia="zh-CN"/>
                <w14:textFill>
                  <w14:solidFill>
                    <w14:schemeClr w14:val="tx1"/>
                  </w14:solidFill>
                </w14:textFill>
              </w:rPr>
            </w:pPr>
          </w:p>
        </w:tc>
        <w:tc>
          <w:tcPr>
            <w:tcW w:w="5489" w:type="dxa"/>
            <w:noWrap w:val="0"/>
            <w:vAlign w:val="center"/>
          </w:tcPr>
          <w:p w14:paraId="22B36AEF">
            <w:pPr>
              <w:spacing w:line="440" w:lineRule="exact"/>
              <w:ind w:firstLine="538" w:firstLineChars="255"/>
              <w:rPr>
                <w:b/>
                <w:color w:val="000000" w:themeColor="text1"/>
                <w:sz w:val="21"/>
                <w:szCs w:val="22"/>
                <w:highlight w:val="none"/>
                <w:lang w:eastAsia="zh-CN"/>
                <w14:textFill>
                  <w14:solidFill>
                    <w14:schemeClr w14:val="tx1"/>
                  </w14:solidFill>
                </w14:textFill>
              </w:rPr>
            </w:pPr>
            <w:r>
              <w:rPr>
                <w:b/>
                <w:color w:val="000000" w:themeColor="text1"/>
                <w:sz w:val="21"/>
                <w:szCs w:val="22"/>
                <w:highlight w:val="none"/>
                <w:lang w:eastAsia="zh-CN"/>
                <w14:textFill>
                  <w14:solidFill>
                    <w14:schemeClr w14:val="tx1"/>
                  </w14:solidFill>
                </w14:textFill>
              </w:rPr>
              <w:t>（7）安全文明施工措施</w:t>
            </w:r>
            <w:r>
              <w:rPr>
                <w:rFonts w:hint="eastAsia"/>
                <w:b/>
                <w:color w:val="000000" w:themeColor="text1"/>
                <w:sz w:val="21"/>
                <w:szCs w:val="22"/>
                <w:highlight w:val="none"/>
                <w:lang w:eastAsia="zh-CN"/>
                <w14:textFill>
                  <w14:solidFill>
                    <w14:schemeClr w14:val="tx1"/>
                  </w14:solidFill>
                </w14:textFill>
              </w:rPr>
              <w:t>（</w:t>
            </w:r>
            <w:r>
              <w:rPr>
                <w:b/>
                <w:color w:val="000000" w:themeColor="text1"/>
                <w:sz w:val="21"/>
                <w:szCs w:val="22"/>
                <w:highlight w:val="none"/>
                <w:lang w:eastAsia="zh-CN"/>
                <w14:textFill>
                  <w14:solidFill>
                    <w14:schemeClr w14:val="tx1"/>
                  </w14:solidFill>
                </w14:textFill>
              </w:rPr>
              <w:t>5分</w:t>
            </w:r>
            <w:r>
              <w:rPr>
                <w:rFonts w:hint="eastAsia"/>
                <w:b/>
                <w:color w:val="000000" w:themeColor="text1"/>
                <w:sz w:val="21"/>
                <w:szCs w:val="22"/>
                <w:highlight w:val="none"/>
                <w:lang w:eastAsia="zh-CN"/>
                <w14:textFill>
                  <w14:solidFill>
                    <w14:schemeClr w14:val="tx1"/>
                  </w14:solidFill>
                </w14:textFill>
              </w:rPr>
              <w:t>）</w:t>
            </w:r>
          </w:p>
          <w:p w14:paraId="1903E59C">
            <w:pPr>
              <w:spacing w:line="440" w:lineRule="exact"/>
              <w:ind w:firstLine="535" w:firstLineChars="255"/>
              <w:rPr>
                <w:color w:val="000000" w:themeColor="text1"/>
                <w:sz w:val="21"/>
                <w:szCs w:val="22"/>
                <w:highlight w:val="none"/>
                <w:lang w:eastAsia="zh-CN"/>
                <w14:textFill>
                  <w14:solidFill>
                    <w14:schemeClr w14:val="tx1"/>
                  </w14:solidFill>
                </w14:textFill>
              </w:rPr>
            </w:pPr>
            <w:r>
              <w:rPr>
                <w:rFonts w:hint="eastAsia"/>
                <w:color w:val="000000" w:themeColor="text1"/>
                <w:sz w:val="21"/>
                <w:szCs w:val="22"/>
                <w:highlight w:val="none"/>
                <w:lang w:eastAsia="zh-CN"/>
                <w14:textFill>
                  <w14:solidFill>
                    <w14:schemeClr w14:val="tx1"/>
                  </w14:solidFill>
                </w14:textFill>
              </w:rPr>
              <w:t>优</w:t>
            </w:r>
            <w:r>
              <w:rPr>
                <w:color w:val="000000" w:themeColor="text1"/>
                <w:sz w:val="21"/>
                <w:szCs w:val="22"/>
                <w:highlight w:val="none"/>
                <w:lang w:eastAsia="zh-CN"/>
                <w14:textFill>
                  <w14:solidFill>
                    <w14:schemeClr w14:val="tx1"/>
                  </w14:solidFill>
                </w14:textFill>
              </w:rPr>
              <w:t>（5分）：</w:t>
            </w:r>
            <w:r>
              <w:rPr>
                <w:rFonts w:ascii="宋体" w:hAnsi="宋体" w:eastAsia="宋体" w:cs="宋体"/>
                <w:color w:val="000000" w:themeColor="text1"/>
                <w:sz w:val="21"/>
                <w:highlight w:val="none"/>
                <w14:textFill>
                  <w14:solidFill>
                    <w14:schemeClr w14:val="tx1"/>
                  </w14:solidFill>
                </w14:textFill>
              </w:rPr>
              <w:t>针对本工程项目特点，有现场文明施工、环境保护措施，且措施内容达到《建筑施工安全生产检查标准》(JGJ59-2011)合格标准并符合《广西壮族自治区建筑工程文明施工导则》要求。各项措施</w:t>
            </w:r>
            <w:r>
              <w:rPr>
                <w:rFonts w:hint="eastAsia" w:ascii="宋体" w:hAnsi="宋体" w:cs="宋体"/>
                <w:color w:val="000000" w:themeColor="text1"/>
                <w:sz w:val="21"/>
                <w:highlight w:val="none"/>
                <w:lang w:eastAsia="zh-CN"/>
                <w14:textFill>
                  <w14:solidFill>
                    <w14:schemeClr w14:val="tx1"/>
                  </w14:solidFill>
                </w14:textFill>
              </w:rPr>
              <w:t>详细</w:t>
            </w:r>
            <w:r>
              <w:rPr>
                <w:rFonts w:ascii="宋体" w:hAnsi="宋体" w:eastAsia="宋体" w:cs="宋体"/>
                <w:color w:val="000000" w:themeColor="text1"/>
                <w:sz w:val="21"/>
                <w:highlight w:val="none"/>
                <w14:textFill>
                  <w14:solidFill>
                    <w14:schemeClr w14:val="tx1"/>
                  </w14:solidFill>
                </w14:textFill>
              </w:rPr>
              <w:t>具体、</w:t>
            </w:r>
            <w:r>
              <w:rPr>
                <w:rFonts w:hint="eastAsia" w:ascii="宋体" w:hAnsi="宋体" w:cs="宋体"/>
                <w:color w:val="000000" w:themeColor="text1"/>
                <w:sz w:val="21"/>
                <w:highlight w:val="none"/>
                <w:lang w:eastAsia="zh-CN"/>
                <w14:textFill>
                  <w14:solidFill>
                    <w14:schemeClr w14:val="tx1"/>
                  </w14:solidFill>
                </w14:textFill>
              </w:rPr>
              <w:t>具有可行性和针对性</w:t>
            </w:r>
            <w:r>
              <w:rPr>
                <w:rFonts w:ascii="宋体" w:hAnsi="宋体" w:eastAsia="宋体" w:cs="宋体"/>
                <w:color w:val="000000" w:themeColor="text1"/>
                <w:sz w:val="21"/>
                <w:highlight w:val="none"/>
                <w14:textFill>
                  <w14:solidFill>
                    <w14:schemeClr w14:val="tx1"/>
                  </w14:solidFill>
                </w14:textFill>
              </w:rPr>
              <w:t>。有具体实现现场文明施工目标的承诺。</w:t>
            </w:r>
          </w:p>
          <w:p w14:paraId="469E1E2D">
            <w:pPr>
              <w:spacing w:line="440" w:lineRule="exact"/>
              <w:ind w:firstLine="535" w:firstLineChars="255"/>
              <w:rPr>
                <w:color w:val="000000" w:themeColor="text1"/>
                <w:sz w:val="21"/>
                <w:szCs w:val="22"/>
                <w:highlight w:val="none"/>
                <w:lang w:eastAsia="zh-CN"/>
                <w14:textFill>
                  <w14:solidFill>
                    <w14:schemeClr w14:val="tx1"/>
                  </w14:solidFill>
                </w14:textFill>
              </w:rPr>
            </w:pPr>
            <w:r>
              <w:rPr>
                <w:rFonts w:hint="eastAsia"/>
                <w:color w:val="000000" w:themeColor="text1"/>
                <w:sz w:val="21"/>
                <w:szCs w:val="22"/>
                <w:highlight w:val="none"/>
                <w:lang w:eastAsia="zh-CN"/>
                <w14:textFill>
                  <w14:solidFill>
                    <w14:schemeClr w14:val="tx1"/>
                  </w14:solidFill>
                </w14:textFill>
              </w:rPr>
              <w:t>良</w:t>
            </w:r>
            <w:r>
              <w:rPr>
                <w:color w:val="000000" w:themeColor="text1"/>
                <w:sz w:val="21"/>
                <w:szCs w:val="22"/>
                <w:highlight w:val="none"/>
                <w:lang w:eastAsia="zh-CN"/>
                <w14:textFill>
                  <w14:solidFill>
                    <w14:schemeClr w14:val="tx1"/>
                  </w14:solidFill>
                </w14:textFill>
              </w:rPr>
              <w:t>（3分）：</w:t>
            </w:r>
            <w:r>
              <w:rPr>
                <w:rFonts w:ascii="宋体" w:hAnsi="宋体" w:eastAsia="宋体" w:cs="宋体"/>
                <w:color w:val="000000" w:themeColor="text1"/>
                <w:sz w:val="21"/>
                <w:highlight w:val="none"/>
                <w14:textFill>
                  <w14:solidFill>
                    <w14:schemeClr w14:val="tx1"/>
                  </w14:solidFill>
                </w14:textFill>
              </w:rPr>
              <w:t>针对本工程项目特点，有现场文明施工、环境保护措施，且措施内容达到《建筑施工安全生产检查标准》(JGJ59-2011)合格标准并符合《广西壮族自治区建筑工程文明施工导则》要求</w:t>
            </w:r>
            <w:r>
              <w:rPr>
                <w:color w:val="000000" w:themeColor="text1"/>
                <w:sz w:val="21"/>
                <w:szCs w:val="22"/>
                <w:highlight w:val="none"/>
                <w:lang w:eastAsia="zh-CN"/>
                <w14:textFill>
                  <w14:solidFill>
                    <w14:schemeClr w14:val="tx1"/>
                  </w14:solidFill>
                </w14:textFill>
              </w:rPr>
              <w:t>。</w:t>
            </w:r>
          </w:p>
          <w:p w14:paraId="341A6880">
            <w:pPr>
              <w:spacing w:line="440" w:lineRule="exact"/>
              <w:ind w:firstLine="535" w:firstLineChars="255"/>
              <w:rPr>
                <w:color w:val="000000" w:themeColor="text1"/>
                <w:sz w:val="21"/>
                <w:szCs w:val="22"/>
                <w:highlight w:val="none"/>
                <w:lang w:eastAsia="zh-CN"/>
                <w14:textFill>
                  <w14:solidFill>
                    <w14:schemeClr w14:val="tx1"/>
                  </w14:solidFill>
                </w14:textFill>
              </w:rPr>
            </w:pPr>
            <w:r>
              <w:rPr>
                <w:rFonts w:hint="eastAsia"/>
                <w:color w:val="000000" w:themeColor="text1"/>
                <w:sz w:val="21"/>
                <w:szCs w:val="22"/>
                <w:highlight w:val="none"/>
                <w:lang w:eastAsia="zh-CN"/>
                <w14:textFill>
                  <w14:solidFill>
                    <w14:schemeClr w14:val="tx1"/>
                  </w14:solidFill>
                </w14:textFill>
              </w:rPr>
              <w:t>中</w:t>
            </w:r>
            <w:r>
              <w:rPr>
                <w:color w:val="000000" w:themeColor="text1"/>
                <w:sz w:val="21"/>
                <w:szCs w:val="22"/>
                <w:highlight w:val="none"/>
                <w:lang w:eastAsia="zh-CN"/>
                <w14:textFill>
                  <w14:solidFill>
                    <w14:schemeClr w14:val="tx1"/>
                  </w14:solidFill>
                </w14:textFill>
              </w:rPr>
              <w:t>（1分）：</w:t>
            </w:r>
            <w:r>
              <w:rPr>
                <w:rFonts w:ascii="宋体" w:hAnsi="宋体" w:eastAsia="宋体" w:cs="宋体"/>
                <w:color w:val="000000" w:themeColor="text1"/>
                <w:sz w:val="21"/>
                <w:highlight w:val="none"/>
                <w14:textFill>
                  <w14:solidFill>
                    <w14:schemeClr w14:val="tx1"/>
                  </w14:solidFill>
                </w14:textFill>
              </w:rPr>
              <w:t>针对本工程项目特点，有现场文明施工、环境保护措施</w:t>
            </w:r>
            <w:r>
              <w:rPr>
                <w:color w:val="000000" w:themeColor="text1"/>
                <w:sz w:val="21"/>
                <w:szCs w:val="22"/>
                <w:highlight w:val="none"/>
                <w:lang w:eastAsia="zh-CN"/>
                <w14:textFill>
                  <w14:solidFill>
                    <w14:schemeClr w14:val="tx1"/>
                  </w14:solidFill>
                </w14:textFill>
              </w:rPr>
              <w:t>。</w:t>
            </w:r>
          </w:p>
          <w:p w14:paraId="4DC6F25D">
            <w:pPr>
              <w:spacing w:line="440" w:lineRule="exact"/>
              <w:ind w:firstLine="535" w:firstLineChars="255"/>
              <w:rPr>
                <w:rFonts w:hint="eastAsia"/>
                <w:color w:val="000000" w:themeColor="text1"/>
                <w:lang w:val="en-US" w:eastAsia="zh-CN"/>
                <w14:textFill>
                  <w14:solidFill>
                    <w14:schemeClr w14:val="tx1"/>
                  </w14:solidFill>
                </w14:textFill>
              </w:rPr>
            </w:pPr>
            <w:r>
              <w:rPr>
                <w:rFonts w:hint="eastAsia"/>
                <w:color w:val="000000" w:themeColor="text1"/>
                <w:sz w:val="21"/>
                <w:szCs w:val="22"/>
                <w:highlight w:val="none"/>
                <w:lang w:eastAsia="zh-CN"/>
                <w14:textFill>
                  <w14:solidFill>
                    <w14:schemeClr w14:val="tx1"/>
                  </w14:solidFill>
                </w14:textFill>
              </w:rPr>
              <w:t>差</w:t>
            </w:r>
            <w:r>
              <w:rPr>
                <w:color w:val="000000" w:themeColor="text1"/>
                <w:sz w:val="21"/>
                <w:szCs w:val="22"/>
                <w:highlight w:val="none"/>
                <w:lang w:eastAsia="zh-CN"/>
                <w14:textFill>
                  <w14:solidFill>
                    <w14:schemeClr w14:val="tx1"/>
                  </w14:solidFill>
                </w14:textFill>
              </w:rPr>
              <w:t>（0分）：</w:t>
            </w:r>
            <w:r>
              <w:rPr>
                <w:rFonts w:ascii="宋体" w:hAnsi="宋体" w:eastAsia="宋体" w:cs="宋体"/>
                <w:color w:val="000000" w:themeColor="text1"/>
                <w:sz w:val="21"/>
                <w:highlight w:val="none"/>
                <w14:textFill>
                  <w14:solidFill>
                    <w14:schemeClr w14:val="tx1"/>
                  </w14:solidFill>
                </w14:textFill>
              </w:rPr>
              <w:t>针对本工程项目特点，</w:t>
            </w:r>
            <w:r>
              <w:rPr>
                <w:rFonts w:hint="eastAsia" w:ascii="宋体" w:hAnsi="宋体" w:cs="宋体"/>
                <w:color w:val="000000" w:themeColor="text1"/>
                <w:sz w:val="21"/>
                <w:highlight w:val="none"/>
                <w:lang w:eastAsia="zh-CN"/>
                <w14:textFill>
                  <w14:solidFill>
                    <w14:schemeClr w14:val="tx1"/>
                  </w14:solidFill>
                </w14:textFill>
              </w:rPr>
              <w:t>无</w:t>
            </w:r>
            <w:r>
              <w:rPr>
                <w:rFonts w:ascii="宋体" w:hAnsi="宋体" w:eastAsia="宋体" w:cs="宋体"/>
                <w:color w:val="000000" w:themeColor="text1"/>
                <w:sz w:val="21"/>
                <w:highlight w:val="none"/>
                <w14:textFill>
                  <w14:solidFill>
                    <w14:schemeClr w14:val="tx1"/>
                  </w14:solidFill>
                </w14:textFill>
              </w:rPr>
              <w:t>现场文明施工、环境保护措施</w:t>
            </w:r>
            <w:r>
              <w:rPr>
                <w:color w:val="000000" w:themeColor="text1"/>
                <w:sz w:val="21"/>
                <w:szCs w:val="22"/>
                <w:highlight w:val="none"/>
                <w:lang w:eastAsia="zh-CN"/>
                <w14:textFill>
                  <w14:solidFill>
                    <w14:schemeClr w14:val="tx1"/>
                  </w14:solidFill>
                </w14:textFill>
              </w:rPr>
              <w:t>。</w:t>
            </w:r>
          </w:p>
        </w:tc>
        <w:tc>
          <w:tcPr>
            <w:tcW w:w="794" w:type="dxa"/>
            <w:noWrap w:val="0"/>
            <w:vAlign w:val="center"/>
          </w:tcPr>
          <w:p w14:paraId="56250E14">
            <w:pPr>
              <w:keepNext w:val="0"/>
              <w:keepLines w:val="0"/>
              <w:pageBreakBefore w:val="0"/>
              <w:widowControl w:val="0"/>
              <w:kinsoku/>
              <w:wordWrap/>
              <w:overflowPunct/>
              <w:topLinePunct w:val="0"/>
              <w:bidi w:val="0"/>
              <w:spacing w:line="400" w:lineRule="exact"/>
              <w:jc w:val="center"/>
              <w:textAlignment w:val="auto"/>
              <w:rPr>
                <w:rFonts w:hint="eastAsia" w:ascii="宋体" w:hAnsi="宋体" w:eastAsia="宋体" w:cs="宋体"/>
                <w:b w:val="0"/>
                <w:bCs/>
                <w:color w:val="000000" w:themeColor="text1"/>
                <w:szCs w:val="21"/>
                <w:highlight w:val="none"/>
                <w:lang w:val="en-US" w:eastAsia="zh-CN"/>
                <w14:textFill>
                  <w14:solidFill>
                    <w14:schemeClr w14:val="tx1"/>
                  </w14:solidFill>
                </w14:textFill>
              </w:rPr>
            </w:pPr>
            <w:r>
              <w:rPr>
                <w:b w:val="0"/>
                <w:bCs/>
                <w:color w:val="000000" w:themeColor="text1"/>
                <w:sz w:val="21"/>
                <w:szCs w:val="22"/>
                <w:highlight w:val="none"/>
                <w:lang w:eastAsia="zh-CN"/>
                <w14:textFill>
                  <w14:solidFill>
                    <w14:schemeClr w14:val="tx1"/>
                  </w14:solidFill>
                </w14:textFill>
              </w:rPr>
              <w:t>5分</w:t>
            </w:r>
          </w:p>
        </w:tc>
      </w:tr>
      <w:tr w14:paraId="02A349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59" w:type="dxa"/>
            <w:noWrap w:val="0"/>
            <w:vAlign w:val="center"/>
          </w:tcPr>
          <w:p w14:paraId="7901C34D">
            <w:pPr>
              <w:keepNext w:val="0"/>
              <w:keepLines w:val="0"/>
              <w:pageBreakBefore w:val="0"/>
              <w:widowControl w:val="0"/>
              <w:kinsoku/>
              <w:wordWrap/>
              <w:overflowPunct/>
              <w:topLinePunct w:val="0"/>
              <w:bidi w:val="0"/>
              <w:spacing w:line="400" w:lineRule="exact"/>
              <w:jc w:val="center"/>
              <w:textAlignment w:val="auto"/>
              <w:rPr>
                <w:rFonts w:hint="default" w:ascii="宋体" w:hAnsi="宋体" w:cs="宋体"/>
                <w:bCs/>
                <w:color w:val="000000" w:themeColor="text1"/>
                <w:szCs w:val="21"/>
                <w:highlight w:val="none"/>
                <w:lang w:val="en-US" w:eastAsia="zh-CN"/>
                <w14:textFill>
                  <w14:solidFill>
                    <w14:schemeClr w14:val="tx1"/>
                  </w14:solidFill>
                </w14:textFill>
              </w:rPr>
            </w:pPr>
            <w:r>
              <w:rPr>
                <w:rFonts w:hint="eastAsia" w:ascii="宋体" w:hAnsi="宋体" w:cs="宋体"/>
                <w:bCs/>
                <w:color w:val="000000" w:themeColor="text1"/>
                <w:szCs w:val="21"/>
                <w:highlight w:val="none"/>
                <w:lang w:val="en-US" w:eastAsia="zh-CN"/>
                <w14:textFill>
                  <w14:solidFill>
                    <w14:schemeClr w14:val="tx1"/>
                  </w14:solidFill>
                </w14:textFill>
              </w:rPr>
              <w:t>8</w:t>
            </w:r>
          </w:p>
        </w:tc>
        <w:tc>
          <w:tcPr>
            <w:tcW w:w="1082" w:type="dxa"/>
            <w:noWrap w:val="0"/>
            <w:vAlign w:val="center"/>
          </w:tcPr>
          <w:p w14:paraId="2EE3FFAC">
            <w:pPr>
              <w:keepNext w:val="0"/>
              <w:keepLines w:val="0"/>
              <w:pageBreakBefore w:val="0"/>
              <w:widowControl w:val="0"/>
              <w:kinsoku/>
              <w:wordWrap/>
              <w:overflowPunct/>
              <w:topLinePunct w:val="0"/>
              <w:bidi w:val="0"/>
              <w:spacing w:line="400" w:lineRule="exact"/>
              <w:jc w:val="center"/>
              <w:textAlignment w:val="auto"/>
              <w:rPr>
                <w:rFonts w:hint="eastAsia" w:ascii="宋体" w:hAnsi="宋体" w:eastAsia="宋体" w:cs="宋体"/>
                <w:bCs/>
                <w:color w:val="000000" w:themeColor="text1"/>
                <w:szCs w:val="21"/>
                <w:highlight w:val="none"/>
                <w:lang w:eastAsia="zh-CN"/>
                <w14:textFill>
                  <w14:solidFill>
                    <w14:schemeClr w14:val="tx1"/>
                  </w14:solidFill>
                </w14:textFill>
              </w:rPr>
            </w:pPr>
            <w:r>
              <w:rPr>
                <w:rFonts w:hint="eastAsia" w:ascii="宋体" w:hAnsi="宋体" w:eastAsia="宋体" w:cs="宋体"/>
                <w:bCs/>
                <w:color w:val="000000" w:themeColor="text1"/>
                <w:szCs w:val="21"/>
                <w:highlight w:val="none"/>
                <w14:textFill>
                  <w14:solidFill>
                    <w14:schemeClr w14:val="tx1"/>
                  </w14:solidFill>
                </w14:textFill>
              </w:rPr>
              <w:t>技术分</w:t>
            </w:r>
          </w:p>
        </w:tc>
        <w:tc>
          <w:tcPr>
            <w:tcW w:w="1575" w:type="dxa"/>
            <w:vMerge w:val="continue"/>
            <w:noWrap w:val="0"/>
            <w:vAlign w:val="center"/>
          </w:tcPr>
          <w:p w14:paraId="3E8D9EEE">
            <w:pPr>
              <w:keepNext w:val="0"/>
              <w:keepLines w:val="0"/>
              <w:pageBreakBefore w:val="0"/>
              <w:widowControl w:val="0"/>
              <w:numPr>
                <w:ilvl w:val="0"/>
                <w:numId w:val="0"/>
              </w:numPr>
              <w:kinsoku/>
              <w:wordWrap/>
              <w:overflowPunct/>
              <w:topLinePunct w:val="0"/>
              <w:bidi w:val="0"/>
              <w:spacing w:line="400" w:lineRule="exact"/>
              <w:jc w:val="left"/>
              <w:textAlignment w:val="auto"/>
              <w:rPr>
                <w:rFonts w:hint="eastAsia"/>
                <w:color w:val="000000" w:themeColor="text1"/>
                <w:lang w:val="en-US" w:eastAsia="zh-CN"/>
                <w14:textFill>
                  <w14:solidFill>
                    <w14:schemeClr w14:val="tx1"/>
                  </w14:solidFill>
                </w14:textFill>
              </w:rPr>
            </w:pPr>
          </w:p>
        </w:tc>
        <w:tc>
          <w:tcPr>
            <w:tcW w:w="5489" w:type="dxa"/>
            <w:noWrap w:val="0"/>
            <w:vAlign w:val="center"/>
          </w:tcPr>
          <w:p w14:paraId="27784C73">
            <w:pPr>
              <w:spacing w:line="440" w:lineRule="exact"/>
              <w:ind w:firstLine="538" w:firstLineChars="255"/>
              <w:rPr>
                <w:b/>
                <w:color w:val="000000" w:themeColor="text1"/>
                <w:sz w:val="21"/>
                <w:szCs w:val="22"/>
                <w:highlight w:val="none"/>
                <w:lang w:eastAsia="zh-CN"/>
                <w14:textFill>
                  <w14:solidFill>
                    <w14:schemeClr w14:val="tx1"/>
                  </w14:solidFill>
                </w14:textFill>
              </w:rPr>
            </w:pPr>
            <w:r>
              <w:rPr>
                <w:b/>
                <w:color w:val="000000" w:themeColor="text1"/>
                <w:sz w:val="21"/>
                <w:szCs w:val="22"/>
                <w:highlight w:val="none"/>
                <w:lang w:eastAsia="zh-CN"/>
                <w14:textFill>
                  <w14:solidFill>
                    <w14:schemeClr w14:val="tx1"/>
                  </w14:solidFill>
                </w14:textFill>
              </w:rPr>
              <w:t>（8）质量保证与承诺</w:t>
            </w:r>
            <w:r>
              <w:rPr>
                <w:rFonts w:hint="eastAsia"/>
                <w:b/>
                <w:color w:val="000000" w:themeColor="text1"/>
                <w:sz w:val="21"/>
                <w:szCs w:val="22"/>
                <w:highlight w:val="none"/>
                <w:lang w:eastAsia="zh-CN"/>
                <w14:textFill>
                  <w14:solidFill>
                    <w14:schemeClr w14:val="tx1"/>
                  </w14:solidFill>
                </w14:textFill>
              </w:rPr>
              <w:t>（</w:t>
            </w:r>
            <w:r>
              <w:rPr>
                <w:b/>
                <w:color w:val="000000" w:themeColor="text1"/>
                <w:sz w:val="21"/>
                <w:szCs w:val="22"/>
                <w:highlight w:val="none"/>
                <w:lang w:eastAsia="zh-CN"/>
                <w14:textFill>
                  <w14:solidFill>
                    <w14:schemeClr w14:val="tx1"/>
                  </w14:solidFill>
                </w14:textFill>
              </w:rPr>
              <w:t>3分</w:t>
            </w:r>
            <w:r>
              <w:rPr>
                <w:rFonts w:hint="eastAsia"/>
                <w:b/>
                <w:color w:val="000000" w:themeColor="text1"/>
                <w:sz w:val="21"/>
                <w:szCs w:val="22"/>
                <w:highlight w:val="none"/>
                <w:lang w:eastAsia="zh-CN"/>
                <w14:textFill>
                  <w14:solidFill>
                    <w14:schemeClr w14:val="tx1"/>
                  </w14:solidFill>
                </w14:textFill>
              </w:rPr>
              <w:t>）</w:t>
            </w:r>
          </w:p>
          <w:p w14:paraId="0D0D3696">
            <w:pPr>
              <w:spacing w:line="440" w:lineRule="exact"/>
              <w:ind w:firstLine="535" w:firstLineChars="255"/>
              <w:rPr>
                <w:color w:val="000000" w:themeColor="text1"/>
                <w:sz w:val="21"/>
                <w:szCs w:val="22"/>
                <w:highlight w:val="none"/>
                <w:lang w:eastAsia="zh-CN"/>
                <w14:textFill>
                  <w14:solidFill>
                    <w14:schemeClr w14:val="tx1"/>
                  </w14:solidFill>
                </w14:textFill>
              </w:rPr>
            </w:pPr>
            <w:r>
              <w:rPr>
                <w:rFonts w:hint="eastAsia"/>
                <w:color w:val="000000" w:themeColor="text1"/>
                <w:sz w:val="21"/>
                <w:szCs w:val="22"/>
                <w:highlight w:val="none"/>
                <w:lang w:eastAsia="zh-CN"/>
                <w14:textFill>
                  <w14:solidFill>
                    <w14:schemeClr w14:val="tx1"/>
                  </w14:solidFill>
                </w14:textFill>
              </w:rPr>
              <w:t>优（</w:t>
            </w:r>
            <w:r>
              <w:rPr>
                <w:color w:val="000000" w:themeColor="text1"/>
                <w:sz w:val="21"/>
                <w:szCs w:val="22"/>
                <w:highlight w:val="none"/>
                <w:lang w:eastAsia="zh-CN"/>
                <w14:textFill>
                  <w14:solidFill>
                    <w14:schemeClr w14:val="tx1"/>
                  </w14:solidFill>
                </w14:textFill>
              </w:rPr>
              <w:t>3分）：</w:t>
            </w:r>
            <w:r>
              <w:rPr>
                <w:color w:val="000000" w:themeColor="text1"/>
                <w:sz w:val="21"/>
                <w:szCs w:val="22"/>
                <w:highlight w:val="none"/>
                <w14:textFill>
                  <w14:solidFill>
                    <w14:schemeClr w14:val="tx1"/>
                  </w14:solidFill>
                </w14:textFill>
              </w:rPr>
              <w:t>有</w:t>
            </w:r>
            <w:r>
              <w:rPr>
                <w:rFonts w:hint="eastAsia"/>
                <w:color w:val="000000" w:themeColor="text1"/>
                <w:sz w:val="21"/>
                <w:szCs w:val="22"/>
                <w:highlight w:val="none"/>
                <w:lang w:eastAsia="zh-CN"/>
                <w14:textFill>
                  <w14:solidFill>
                    <w14:schemeClr w14:val="tx1"/>
                  </w14:solidFill>
                </w14:textFill>
              </w:rPr>
              <w:t>针对性的</w:t>
            </w:r>
            <w:r>
              <w:rPr>
                <w:color w:val="000000" w:themeColor="text1"/>
                <w:sz w:val="21"/>
                <w:szCs w:val="22"/>
                <w:highlight w:val="none"/>
                <w14:textFill>
                  <w14:solidFill>
                    <w14:schemeClr w14:val="tx1"/>
                  </w14:solidFill>
                </w14:textFill>
              </w:rPr>
              <w:t>质量技术管理班子和制度，且人员配备</w:t>
            </w:r>
            <w:r>
              <w:rPr>
                <w:rFonts w:hint="eastAsia"/>
                <w:color w:val="000000" w:themeColor="text1"/>
                <w:sz w:val="21"/>
                <w:szCs w:val="22"/>
                <w:highlight w:val="none"/>
                <w:lang w:eastAsia="zh-CN"/>
                <w14:textFill>
                  <w14:solidFill>
                    <w14:schemeClr w14:val="tx1"/>
                  </w14:solidFill>
                </w14:textFill>
              </w:rPr>
              <w:t>符合采购要求</w:t>
            </w:r>
            <w:r>
              <w:rPr>
                <w:color w:val="000000" w:themeColor="text1"/>
                <w:sz w:val="21"/>
                <w:szCs w:val="22"/>
                <w:highlight w:val="none"/>
                <w14:textFill>
                  <w14:solidFill>
                    <w14:schemeClr w14:val="tx1"/>
                  </w14:solidFill>
                </w14:textFill>
              </w:rPr>
              <w:t>，</w:t>
            </w:r>
            <w:r>
              <w:rPr>
                <w:rFonts w:hint="eastAsia"/>
                <w:color w:val="000000" w:themeColor="text1"/>
                <w:sz w:val="21"/>
                <w:szCs w:val="22"/>
                <w:highlight w:val="none"/>
                <w:lang w:eastAsia="zh-CN"/>
                <w14:textFill>
                  <w14:solidFill>
                    <w14:schemeClr w14:val="tx1"/>
                  </w14:solidFill>
                </w14:textFill>
              </w:rPr>
              <w:t>有详细具体的管理</w:t>
            </w:r>
            <w:r>
              <w:rPr>
                <w:color w:val="000000" w:themeColor="text1"/>
                <w:sz w:val="21"/>
                <w:szCs w:val="22"/>
                <w:highlight w:val="none"/>
                <w14:textFill>
                  <w14:solidFill>
                    <w14:schemeClr w14:val="tx1"/>
                  </w14:solidFill>
                </w14:textFill>
              </w:rPr>
              <w:t>制度。主要工序有质量技术保证措施和手段，</w:t>
            </w:r>
            <w:r>
              <w:rPr>
                <w:rFonts w:hint="eastAsia"/>
                <w:color w:val="000000" w:themeColor="text1"/>
                <w:sz w:val="21"/>
                <w:szCs w:val="22"/>
                <w:highlight w:val="none"/>
                <w:lang w:eastAsia="zh-CN"/>
                <w14:textFill>
                  <w14:solidFill>
                    <w14:schemeClr w14:val="tx1"/>
                  </w14:solidFill>
                </w14:textFill>
              </w:rPr>
              <w:t>有详细具体的</w:t>
            </w:r>
            <w:r>
              <w:rPr>
                <w:color w:val="000000" w:themeColor="text1"/>
                <w:sz w:val="21"/>
                <w:szCs w:val="22"/>
                <w:highlight w:val="none"/>
                <w14:textFill>
                  <w14:solidFill>
                    <w14:schemeClr w14:val="tx1"/>
                  </w14:solidFill>
                </w14:textFill>
              </w:rPr>
              <w:t>自控体系，能有效保证技术质量，达到承诺的质量标准。</w:t>
            </w:r>
          </w:p>
          <w:p w14:paraId="47940870">
            <w:pPr>
              <w:spacing w:line="440" w:lineRule="exact"/>
              <w:ind w:firstLine="535" w:firstLineChars="255"/>
              <w:rPr>
                <w:color w:val="000000" w:themeColor="text1"/>
                <w:sz w:val="21"/>
                <w:szCs w:val="22"/>
                <w:highlight w:val="none"/>
                <w:lang w:eastAsia="zh-CN"/>
                <w14:textFill>
                  <w14:solidFill>
                    <w14:schemeClr w14:val="tx1"/>
                  </w14:solidFill>
                </w14:textFill>
              </w:rPr>
            </w:pPr>
            <w:r>
              <w:rPr>
                <w:rFonts w:hint="eastAsia"/>
                <w:color w:val="000000" w:themeColor="text1"/>
                <w:sz w:val="21"/>
                <w:szCs w:val="22"/>
                <w:highlight w:val="none"/>
                <w:lang w:eastAsia="zh-CN"/>
                <w14:textFill>
                  <w14:solidFill>
                    <w14:schemeClr w14:val="tx1"/>
                  </w14:solidFill>
                </w14:textFill>
              </w:rPr>
              <w:t>良（</w:t>
            </w:r>
            <w:r>
              <w:rPr>
                <w:color w:val="000000" w:themeColor="text1"/>
                <w:sz w:val="21"/>
                <w:szCs w:val="22"/>
                <w:highlight w:val="none"/>
                <w:lang w:eastAsia="zh-CN"/>
                <w14:textFill>
                  <w14:solidFill>
                    <w14:schemeClr w14:val="tx1"/>
                  </w14:solidFill>
                </w14:textFill>
              </w:rPr>
              <w:t>2分）：</w:t>
            </w:r>
            <w:r>
              <w:rPr>
                <w:color w:val="000000" w:themeColor="text1"/>
                <w:sz w:val="21"/>
                <w:szCs w:val="22"/>
                <w:highlight w:val="none"/>
                <w14:textFill>
                  <w14:solidFill>
                    <w14:schemeClr w14:val="tx1"/>
                  </w14:solidFill>
                </w14:textFill>
              </w:rPr>
              <w:t>有质量技术管理班子和制度</w:t>
            </w:r>
            <w:r>
              <w:rPr>
                <w:rFonts w:hint="eastAsia"/>
                <w:color w:val="000000" w:themeColor="text1"/>
                <w:sz w:val="21"/>
                <w:szCs w:val="22"/>
                <w:highlight w:val="none"/>
                <w:lang w:eastAsia="zh-CN"/>
                <w14:textFill>
                  <w14:solidFill>
                    <w14:schemeClr w14:val="tx1"/>
                  </w14:solidFill>
                </w14:textFill>
              </w:rPr>
              <w:t>，能</w:t>
            </w:r>
            <w:r>
              <w:rPr>
                <w:color w:val="000000" w:themeColor="text1"/>
                <w:sz w:val="21"/>
                <w:szCs w:val="22"/>
                <w:highlight w:val="none"/>
                <w14:textFill>
                  <w14:solidFill>
                    <w14:schemeClr w14:val="tx1"/>
                  </w14:solidFill>
                </w14:textFill>
              </w:rPr>
              <w:t>有效保证技术质量</w:t>
            </w:r>
            <w:r>
              <w:rPr>
                <w:rFonts w:hint="eastAsia"/>
                <w:color w:val="000000" w:themeColor="text1"/>
                <w:sz w:val="21"/>
                <w:szCs w:val="22"/>
                <w:highlight w:val="none"/>
                <w:lang w:eastAsia="zh-CN"/>
                <w14:textFill>
                  <w14:solidFill>
                    <w14:schemeClr w14:val="tx1"/>
                  </w14:solidFill>
                </w14:textFill>
              </w:rPr>
              <w:t>。</w:t>
            </w:r>
          </w:p>
          <w:p w14:paraId="6206A559">
            <w:pPr>
              <w:spacing w:line="440" w:lineRule="exact"/>
              <w:ind w:firstLine="535" w:firstLineChars="255"/>
              <w:rPr>
                <w:color w:val="000000" w:themeColor="text1"/>
                <w:sz w:val="21"/>
                <w:szCs w:val="22"/>
                <w:highlight w:val="none"/>
                <w:lang w:eastAsia="zh-CN"/>
                <w14:textFill>
                  <w14:solidFill>
                    <w14:schemeClr w14:val="tx1"/>
                  </w14:solidFill>
                </w14:textFill>
              </w:rPr>
            </w:pPr>
            <w:r>
              <w:rPr>
                <w:rFonts w:hint="eastAsia"/>
                <w:color w:val="000000" w:themeColor="text1"/>
                <w:sz w:val="21"/>
                <w:szCs w:val="22"/>
                <w:highlight w:val="none"/>
                <w:lang w:eastAsia="zh-CN"/>
                <w14:textFill>
                  <w14:solidFill>
                    <w14:schemeClr w14:val="tx1"/>
                  </w14:solidFill>
                </w14:textFill>
              </w:rPr>
              <w:t>中（</w:t>
            </w:r>
            <w:r>
              <w:rPr>
                <w:color w:val="000000" w:themeColor="text1"/>
                <w:sz w:val="21"/>
                <w:szCs w:val="22"/>
                <w:highlight w:val="none"/>
                <w:lang w:eastAsia="zh-CN"/>
                <w14:textFill>
                  <w14:solidFill>
                    <w14:schemeClr w14:val="tx1"/>
                  </w14:solidFill>
                </w14:textFill>
              </w:rPr>
              <w:t>1分）：</w:t>
            </w:r>
            <w:r>
              <w:rPr>
                <w:color w:val="000000" w:themeColor="text1"/>
                <w:sz w:val="21"/>
                <w:szCs w:val="22"/>
                <w:highlight w:val="none"/>
                <w14:textFill>
                  <w14:solidFill>
                    <w14:schemeClr w14:val="tx1"/>
                  </w14:solidFill>
                </w14:textFill>
              </w:rPr>
              <w:t>有质量技术管理班子和制度，但人员配备</w:t>
            </w:r>
            <w:r>
              <w:rPr>
                <w:rFonts w:hint="eastAsia"/>
                <w:color w:val="000000" w:themeColor="text1"/>
                <w:sz w:val="21"/>
                <w:szCs w:val="22"/>
                <w:highlight w:val="none"/>
                <w:lang w:eastAsia="zh-CN"/>
                <w14:textFill>
                  <w14:solidFill>
                    <w14:schemeClr w14:val="tx1"/>
                  </w14:solidFill>
                </w14:textFill>
              </w:rPr>
              <w:t>和管理制度</w:t>
            </w:r>
            <w:r>
              <w:rPr>
                <w:color w:val="000000" w:themeColor="text1"/>
                <w:sz w:val="21"/>
                <w:szCs w:val="22"/>
                <w:highlight w:val="none"/>
                <w14:textFill>
                  <w14:solidFill>
                    <w14:schemeClr w14:val="tx1"/>
                  </w14:solidFill>
                </w14:textFill>
              </w:rPr>
              <w:t>不能有效保证技术质量</w:t>
            </w:r>
            <w:r>
              <w:rPr>
                <w:rFonts w:hint="eastAsia"/>
                <w:color w:val="000000" w:themeColor="text1"/>
                <w:sz w:val="21"/>
                <w:szCs w:val="22"/>
                <w:highlight w:val="none"/>
                <w:lang w:eastAsia="zh-CN"/>
                <w14:textFill>
                  <w14:solidFill>
                    <w14:schemeClr w14:val="tx1"/>
                  </w14:solidFill>
                </w14:textFill>
              </w:rPr>
              <w:t>。</w:t>
            </w:r>
          </w:p>
          <w:p w14:paraId="2432067C">
            <w:pPr>
              <w:spacing w:line="440" w:lineRule="exact"/>
              <w:ind w:firstLine="535" w:firstLineChars="255"/>
              <w:rPr>
                <w:rFonts w:hint="eastAsia"/>
                <w:color w:val="000000" w:themeColor="text1"/>
                <w:lang w:val="en-US" w:eastAsia="zh-CN"/>
                <w14:textFill>
                  <w14:solidFill>
                    <w14:schemeClr w14:val="tx1"/>
                  </w14:solidFill>
                </w14:textFill>
              </w:rPr>
            </w:pPr>
            <w:r>
              <w:rPr>
                <w:rFonts w:hint="eastAsia"/>
                <w:color w:val="000000" w:themeColor="text1"/>
                <w:sz w:val="21"/>
                <w:szCs w:val="22"/>
                <w:highlight w:val="none"/>
                <w14:textFill>
                  <w14:solidFill>
                    <w14:schemeClr w14:val="tx1"/>
                  </w14:solidFill>
                </w14:textFill>
              </w:rPr>
              <w:t>差（</w:t>
            </w:r>
            <w:r>
              <w:rPr>
                <w:rFonts w:hint="eastAsia"/>
                <w:color w:val="000000" w:themeColor="text1"/>
                <w:sz w:val="21"/>
                <w:szCs w:val="22"/>
                <w:highlight w:val="none"/>
                <w:lang w:val="en-US" w:eastAsia="zh-CN"/>
                <w14:textFill>
                  <w14:solidFill>
                    <w14:schemeClr w14:val="tx1"/>
                  </w14:solidFill>
                </w14:textFill>
              </w:rPr>
              <w:t>0</w:t>
            </w:r>
            <w:r>
              <w:rPr>
                <w:color w:val="000000" w:themeColor="text1"/>
                <w:sz w:val="21"/>
                <w:szCs w:val="22"/>
                <w:highlight w:val="none"/>
                <w14:textFill>
                  <w14:solidFill>
                    <w14:schemeClr w14:val="tx1"/>
                  </w14:solidFill>
                </w14:textFill>
              </w:rPr>
              <w:t>分）：</w:t>
            </w:r>
            <w:r>
              <w:rPr>
                <w:rFonts w:hint="eastAsia"/>
                <w:color w:val="000000" w:themeColor="text1"/>
                <w:sz w:val="21"/>
                <w:szCs w:val="22"/>
                <w:highlight w:val="none"/>
                <w:lang w:eastAsia="zh-CN"/>
                <w14:textFill>
                  <w14:solidFill>
                    <w14:schemeClr w14:val="tx1"/>
                  </w14:solidFill>
                </w14:textFill>
              </w:rPr>
              <w:t>无</w:t>
            </w:r>
            <w:r>
              <w:rPr>
                <w:color w:val="000000" w:themeColor="text1"/>
                <w:sz w:val="21"/>
                <w:szCs w:val="22"/>
                <w:highlight w:val="none"/>
                <w14:textFill>
                  <w14:solidFill>
                    <w14:schemeClr w14:val="tx1"/>
                  </w14:solidFill>
                </w14:textFill>
              </w:rPr>
              <w:t>质量技术管理班子</w:t>
            </w:r>
            <w:r>
              <w:rPr>
                <w:rFonts w:hint="eastAsia"/>
                <w:color w:val="000000" w:themeColor="text1"/>
                <w:sz w:val="21"/>
                <w:szCs w:val="22"/>
                <w:highlight w:val="none"/>
                <w:lang w:eastAsia="zh-CN"/>
                <w14:textFill>
                  <w14:solidFill>
                    <w14:schemeClr w14:val="tx1"/>
                  </w14:solidFill>
                </w14:textFill>
              </w:rPr>
              <w:t>，无</w:t>
            </w:r>
            <w:r>
              <w:rPr>
                <w:color w:val="000000" w:themeColor="text1"/>
                <w:sz w:val="21"/>
                <w:szCs w:val="22"/>
                <w:highlight w:val="none"/>
                <w:lang w:eastAsia="zh-CN"/>
                <w14:textFill>
                  <w14:solidFill>
                    <w14:schemeClr w14:val="tx1"/>
                  </w14:solidFill>
                </w14:textFill>
              </w:rPr>
              <w:t>质量保证与承诺</w:t>
            </w:r>
            <w:r>
              <w:rPr>
                <w:color w:val="000000" w:themeColor="text1"/>
                <w:sz w:val="21"/>
                <w:szCs w:val="22"/>
                <w:highlight w:val="none"/>
                <w14:textFill>
                  <w14:solidFill>
                    <w14:schemeClr w14:val="tx1"/>
                  </w14:solidFill>
                </w14:textFill>
              </w:rPr>
              <w:t>措施</w:t>
            </w:r>
            <w:r>
              <w:rPr>
                <w:rFonts w:hint="eastAsia"/>
                <w:color w:val="000000" w:themeColor="text1"/>
                <w:sz w:val="21"/>
                <w:szCs w:val="22"/>
                <w:highlight w:val="none"/>
                <w:lang w:eastAsia="zh-CN"/>
                <w14:textFill>
                  <w14:solidFill>
                    <w14:schemeClr w14:val="tx1"/>
                  </w14:solidFill>
                </w14:textFill>
              </w:rPr>
              <w:t>。</w:t>
            </w:r>
          </w:p>
        </w:tc>
        <w:tc>
          <w:tcPr>
            <w:tcW w:w="794" w:type="dxa"/>
            <w:noWrap w:val="0"/>
            <w:vAlign w:val="center"/>
          </w:tcPr>
          <w:p w14:paraId="0D5554DD">
            <w:pPr>
              <w:keepNext w:val="0"/>
              <w:keepLines w:val="0"/>
              <w:pageBreakBefore w:val="0"/>
              <w:widowControl w:val="0"/>
              <w:kinsoku/>
              <w:wordWrap/>
              <w:overflowPunct/>
              <w:topLinePunct w:val="0"/>
              <w:bidi w:val="0"/>
              <w:spacing w:line="400" w:lineRule="exact"/>
              <w:jc w:val="center"/>
              <w:textAlignment w:val="auto"/>
              <w:rPr>
                <w:rFonts w:hint="eastAsia" w:ascii="宋体" w:hAnsi="宋体" w:eastAsia="宋体" w:cs="宋体"/>
                <w:b w:val="0"/>
                <w:bCs/>
                <w:color w:val="000000" w:themeColor="text1"/>
                <w:szCs w:val="21"/>
                <w:highlight w:val="none"/>
                <w:lang w:val="en-US" w:eastAsia="zh-CN"/>
                <w14:textFill>
                  <w14:solidFill>
                    <w14:schemeClr w14:val="tx1"/>
                  </w14:solidFill>
                </w14:textFill>
              </w:rPr>
            </w:pPr>
            <w:r>
              <w:rPr>
                <w:b w:val="0"/>
                <w:bCs/>
                <w:color w:val="000000" w:themeColor="text1"/>
                <w:sz w:val="21"/>
                <w:szCs w:val="22"/>
                <w:highlight w:val="none"/>
                <w:lang w:eastAsia="zh-CN"/>
                <w14:textFill>
                  <w14:solidFill>
                    <w14:schemeClr w14:val="tx1"/>
                  </w14:solidFill>
                </w14:textFill>
              </w:rPr>
              <w:t>3分</w:t>
            </w:r>
          </w:p>
        </w:tc>
      </w:tr>
      <w:tr w14:paraId="485356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59" w:type="dxa"/>
            <w:noWrap w:val="0"/>
            <w:vAlign w:val="center"/>
          </w:tcPr>
          <w:p w14:paraId="2395F397">
            <w:pPr>
              <w:keepNext w:val="0"/>
              <w:keepLines w:val="0"/>
              <w:pageBreakBefore w:val="0"/>
              <w:widowControl w:val="0"/>
              <w:kinsoku/>
              <w:wordWrap/>
              <w:overflowPunct/>
              <w:topLinePunct w:val="0"/>
              <w:bidi w:val="0"/>
              <w:spacing w:line="400" w:lineRule="exact"/>
              <w:jc w:val="center"/>
              <w:textAlignment w:val="auto"/>
              <w:rPr>
                <w:rFonts w:hint="default" w:ascii="宋体" w:hAnsi="宋体" w:cs="宋体"/>
                <w:bCs/>
                <w:color w:val="000000" w:themeColor="text1"/>
                <w:szCs w:val="21"/>
                <w:highlight w:val="none"/>
                <w:lang w:val="en-US" w:eastAsia="zh-CN"/>
                <w14:textFill>
                  <w14:solidFill>
                    <w14:schemeClr w14:val="tx1"/>
                  </w14:solidFill>
                </w14:textFill>
              </w:rPr>
            </w:pPr>
            <w:r>
              <w:rPr>
                <w:rFonts w:hint="eastAsia" w:ascii="宋体" w:hAnsi="宋体" w:cs="宋体"/>
                <w:bCs/>
                <w:color w:val="000000" w:themeColor="text1"/>
                <w:szCs w:val="21"/>
                <w:highlight w:val="none"/>
                <w:lang w:val="en-US" w:eastAsia="zh-CN"/>
                <w14:textFill>
                  <w14:solidFill>
                    <w14:schemeClr w14:val="tx1"/>
                  </w14:solidFill>
                </w14:textFill>
              </w:rPr>
              <w:t>9</w:t>
            </w:r>
          </w:p>
        </w:tc>
        <w:tc>
          <w:tcPr>
            <w:tcW w:w="1082" w:type="dxa"/>
            <w:noWrap w:val="0"/>
            <w:vAlign w:val="center"/>
          </w:tcPr>
          <w:p w14:paraId="5DDE2573">
            <w:pPr>
              <w:keepNext w:val="0"/>
              <w:keepLines w:val="0"/>
              <w:pageBreakBefore w:val="0"/>
              <w:widowControl w:val="0"/>
              <w:kinsoku/>
              <w:wordWrap/>
              <w:overflowPunct/>
              <w:topLinePunct w:val="0"/>
              <w:bidi w:val="0"/>
              <w:spacing w:line="400" w:lineRule="exact"/>
              <w:jc w:val="center"/>
              <w:textAlignment w:val="auto"/>
              <w:rPr>
                <w:rFonts w:hint="eastAsia" w:ascii="宋体" w:hAnsi="宋体" w:eastAsia="宋体" w:cs="宋体"/>
                <w:bCs/>
                <w:color w:val="000000" w:themeColor="text1"/>
                <w:szCs w:val="21"/>
                <w:highlight w:val="none"/>
                <w:lang w:eastAsia="zh-CN"/>
                <w14:textFill>
                  <w14:solidFill>
                    <w14:schemeClr w14:val="tx1"/>
                  </w14:solidFill>
                </w14:textFill>
              </w:rPr>
            </w:pPr>
            <w:r>
              <w:rPr>
                <w:rFonts w:hint="eastAsia" w:ascii="宋体" w:hAnsi="宋体" w:eastAsia="宋体" w:cs="宋体"/>
                <w:bCs/>
                <w:color w:val="000000" w:themeColor="text1"/>
                <w:szCs w:val="21"/>
                <w:highlight w:val="none"/>
                <w:lang w:eastAsia="zh-CN"/>
                <w14:textFill>
                  <w14:solidFill>
                    <w14:schemeClr w14:val="tx1"/>
                  </w14:solidFill>
                </w14:textFill>
              </w:rPr>
              <w:t>技术分</w:t>
            </w:r>
          </w:p>
        </w:tc>
        <w:tc>
          <w:tcPr>
            <w:tcW w:w="1575" w:type="dxa"/>
            <w:vMerge w:val="continue"/>
            <w:noWrap w:val="0"/>
            <w:vAlign w:val="center"/>
          </w:tcPr>
          <w:p w14:paraId="1D5167BB">
            <w:pPr>
              <w:keepNext w:val="0"/>
              <w:keepLines w:val="0"/>
              <w:pageBreakBefore w:val="0"/>
              <w:widowControl w:val="0"/>
              <w:numPr>
                <w:ilvl w:val="0"/>
                <w:numId w:val="0"/>
              </w:numPr>
              <w:kinsoku/>
              <w:wordWrap/>
              <w:overflowPunct/>
              <w:topLinePunct w:val="0"/>
              <w:bidi w:val="0"/>
              <w:spacing w:line="400" w:lineRule="exact"/>
              <w:jc w:val="left"/>
              <w:textAlignment w:val="auto"/>
              <w:rPr>
                <w:rFonts w:hint="eastAsia"/>
                <w:color w:val="000000" w:themeColor="text1"/>
                <w:lang w:val="en-US" w:eastAsia="zh-CN"/>
                <w14:textFill>
                  <w14:solidFill>
                    <w14:schemeClr w14:val="tx1"/>
                  </w14:solidFill>
                </w14:textFill>
              </w:rPr>
            </w:pPr>
          </w:p>
        </w:tc>
        <w:tc>
          <w:tcPr>
            <w:tcW w:w="5489" w:type="dxa"/>
            <w:noWrap w:val="0"/>
            <w:vAlign w:val="center"/>
          </w:tcPr>
          <w:p w14:paraId="7B4296DB">
            <w:pPr>
              <w:spacing w:line="440" w:lineRule="exact"/>
              <w:ind w:firstLine="538" w:firstLineChars="255"/>
              <w:rPr>
                <w:rFonts w:hint="eastAsia" w:ascii="Times New Roman" w:hAnsi="Times New Roman" w:eastAsia="宋体" w:cs="Times New Roman"/>
                <w:b/>
                <w:bCs/>
                <w:color w:val="000000" w:themeColor="text1"/>
                <w:sz w:val="21"/>
                <w:szCs w:val="22"/>
                <w:highlight w:val="none"/>
                <w:lang w:val="en-US" w:eastAsia="zh-CN"/>
                <w14:textFill>
                  <w14:solidFill>
                    <w14:schemeClr w14:val="tx1"/>
                  </w14:solidFill>
                </w14:textFill>
              </w:rPr>
            </w:pPr>
            <w:r>
              <w:rPr>
                <w:rFonts w:hint="eastAsia"/>
                <w:b/>
                <w:bCs/>
                <w:color w:val="000000" w:themeColor="text1"/>
                <w:lang w:val="en-US" w:eastAsia="zh-CN"/>
                <w14:textFill>
                  <w14:solidFill>
                    <w14:schemeClr w14:val="tx1"/>
                  </w14:solidFill>
                </w14:textFill>
              </w:rPr>
              <w:t>（</w:t>
            </w:r>
            <w:r>
              <w:rPr>
                <w:rFonts w:hint="eastAsia" w:ascii="Times New Roman" w:hAnsi="Times New Roman" w:eastAsia="宋体" w:cs="Times New Roman"/>
                <w:b/>
                <w:bCs/>
                <w:color w:val="000000" w:themeColor="text1"/>
                <w:sz w:val="21"/>
                <w:szCs w:val="22"/>
                <w:highlight w:val="none"/>
                <w:lang w:val="en-US" w:eastAsia="zh-CN"/>
                <w14:textFill>
                  <w14:solidFill>
                    <w14:schemeClr w14:val="tx1"/>
                  </w14:solidFill>
                </w14:textFill>
              </w:rPr>
              <w:t>9）新技术应用与承诺（3分）</w:t>
            </w:r>
          </w:p>
          <w:p w14:paraId="7431A893">
            <w:pPr>
              <w:spacing w:line="440" w:lineRule="exact"/>
              <w:ind w:firstLine="535" w:firstLineChars="255"/>
              <w:rPr>
                <w:rFonts w:hint="eastAsia" w:ascii="Times New Roman" w:hAnsi="Times New Roman" w:eastAsia="宋体" w:cs="Times New Roman"/>
                <w:color w:val="000000" w:themeColor="text1"/>
                <w:sz w:val="21"/>
                <w:szCs w:val="22"/>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2"/>
                <w:highlight w:val="none"/>
                <w:lang w:val="en-US" w:eastAsia="zh-CN"/>
                <w14:textFill>
                  <w14:solidFill>
                    <w14:schemeClr w14:val="tx1"/>
                  </w14:solidFill>
                </w14:textFill>
              </w:rPr>
              <w:t>优（3分）：针对项目实际，提出采用新技术的具体措施。新技术的验证材料</w:t>
            </w:r>
            <w:r>
              <w:rPr>
                <w:rFonts w:hint="eastAsia" w:cs="Times New Roman"/>
                <w:color w:val="000000" w:themeColor="text1"/>
                <w:sz w:val="21"/>
                <w:szCs w:val="22"/>
                <w:highlight w:val="none"/>
                <w:lang w:val="en-US" w:eastAsia="zh-CN"/>
                <w14:textFill>
                  <w14:solidFill>
                    <w14:schemeClr w14:val="tx1"/>
                  </w14:solidFill>
                </w14:textFill>
              </w:rPr>
              <w:t>有效</w:t>
            </w:r>
            <w:r>
              <w:rPr>
                <w:rFonts w:hint="eastAsia" w:ascii="Times New Roman" w:hAnsi="Times New Roman" w:eastAsia="宋体" w:cs="Times New Roman"/>
                <w:color w:val="000000" w:themeColor="text1"/>
                <w:sz w:val="21"/>
                <w:szCs w:val="22"/>
                <w:highlight w:val="none"/>
                <w:lang w:val="en-US" w:eastAsia="zh-CN"/>
                <w14:textFill>
                  <w14:solidFill>
                    <w14:schemeClr w14:val="tx1"/>
                  </w14:solidFill>
                </w14:textFill>
              </w:rPr>
              <w:t>，对节约投资和工期的保证措施</w:t>
            </w:r>
            <w:r>
              <w:rPr>
                <w:rFonts w:hint="eastAsia" w:cs="Times New Roman"/>
                <w:color w:val="000000" w:themeColor="text1"/>
                <w:sz w:val="21"/>
                <w:szCs w:val="22"/>
                <w:highlight w:val="none"/>
                <w:lang w:val="en-US" w:eastAsia="zh-CN"/>
                <w14:textFill>
                  <w14:solidFill>
                    <w14:schemeClr w14:val="tx1"/>
                  </w14:solidFill>
                </w14:textFill>
              </w:rPr>
              <w:t>符合项目施工要求</w:t>
            </w:r>
            <w:r>
              <w:rPr>
                <w:rFonts w:hint="eastAsia" w:ascii="Times New Roman" w:hAnsi="Times New Roman" w:eastAsia="宋体" w:cs="Times New Roman"/>
                <w:color w:val="000000" w:themeColor="text1"/>
                <w:sz w:val="21"/>
                <w:szCs w:val="22"/>
                <w:highlight w:val="none"/>
                <w:lang w:val="en-US" w:eastAsia="zh-CN"/>
                <w14:textFill>
                  <w14:solidFill>
                    <w14:schemeClr w14:val="tx1"/>
                  </w14:solidFill>
                </w14:textFill>
              </w:rPr>
              <w:t>、</w:t>
            </w:r>
            <w:r>
              <w:rPr>
                <w:rFonts w:hint="eastAsia" w:cs="Times New Roman"/>
                <w:color w:val="000000" w:themeColor="text1"/>
                <w:sz w:val="21"/>
                <w:szCs w:val="22"/>
                <w:highlight w:val="none"/>
                <w:lang w:val="en-US" w:eastAsia="zh-CN"/>
                <w14:textFill>
                  <w14:solidFill>
                    <w14:schemeClr w14:val="tx1"/>
                  </w14:solidFill>
                </w14:textFill>
              </w:rPr>
              <w:t>详细</w:t>
            </w:r>
            <w:r>
              <w:rPr>
                <w:rFonts w:hint="eastAsia" w:ascii="Times New Roman" w:hAnsi="Times New Roman" w:eastAsia="宋体" w:cs="Times New Roman"/>
                <w:color w:val="000000" w:themeColor="text1"/>
                <w:sz w:val="21"/>
                <w:szCs w:val="22"/>
                <w:highlight w:val="none"/>
                <w:lang w:val="en-US" w:eastAsia="zh-CN"/>
                <w14:textFill>
                  <w14:solidFill>
                    <w14:schemeClr w14:val="tx1"/>
                  </w14:solidFill>
                </w14:textFill>
              </w:rPr>
              <w:t>具体、严谨。对采用新技术可能产生的风险预见充分，对新技术的实施有安全生产的</w:t>
            </w:r>
            <w:r>
              <w:rPr>
                <w:rFonts w:hint="eastAsia" w:cs="Times New Roman"/>
                <w:color w:val="000000" w:themeColor="text1"/>
                <w:sz w:val="21"/>
                <w:szCs w:val="22"/>
                <w:highlight w:val="none"/>
                <w:lang w:val="en-US" w:eastAsia="zh-CN"/>
                <w14:textFill>
                  <w14:solidFill>
                    <w14:schemeClr w14:val="tx1"/>
                  </w14:solidFill>
                </w14:textFill>
              </w:rPr>
              <w:t>详细具体</w:t>
            </w:r>
            <w:r>
              <w:rPr>
                <w:rFonts w:hint="eastAsia" w:ascii="Times New Roman" w:hAnsi="Times New Roman" w:eastAsia="宋体" w:cs="Times New Roman"/>
                <w:color w:val="000000" w:themeColor="text1"/>
                <w:sz w:val="21"/>
                <w:szCs w:val="22"/>
                <w:highlight w:val="none"/>
                <w:lang w:val="en-US" w:eastAsia="zh-CN"/>
                <w14:textFill>
                  <w14:solidFill>
                    <w14:schemeClr w14:val="tx1"/>
                  </w14:solidFill>
                </w14:textFill>
              </w:rPr>
              <w:t>方案。</w:t>
            </w:r>
          </w:p>
          <w:p w14:paraId="59C3A3A6">
            <w:pPr>
              <w:spacing w:line="440" w:lineRule="exact"/>
              <w:ind w:firstLine="535" w:firstLineChars="255"/>
              <w:rPr>
                <w:rFonts w:hint="eastAsia" w:ascii="Times New Roman" w:hAnsi="Times New Roman" w:eastAsia="宋体" w:cs="Times New Roman"/>
                <w:color w:val="000000" w:themeColor="text1"/>
                <w:sz w:val="21"/>
                <w:szCs w:val="22"/>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2"/>
                <w:highlight w:val="none"/>
                <w:lang w:val="en-US" w:eastAsia="zh-CN"/>
                <w14:textFill>
                  <w14:solidFill>
                    <w14:schemeClr w14:val="tx1"/>
                  </w14:solidFill>
                </w14:textFill>
              </w:rPr>
              <w:t>良（2 分）：针对项目实际，提出采用新技术的具体措施。新技术的验证材料</w:t>
            </w:r>
            <w:r>
              <w:rPr>
                <w:rFonts w:hint="eastAsia" w:cs="Times New Roman"/>
                <w:color w:val="000000" w:themeColor="text1"/>
                <w:sz w:val="21"/>
                <w:szCs w:val="22"/>
                <w:highlight w:val="none"/>
                <w:lang w:val="en-US" w:eastAsia="zh-CN"/>
                <w14:textFill>
                  <w14:solidFill>
                    <w14:schemeClr w14:val="tx1"/>
                  </w14:solidFill>
                </w14:textFill>
              </w:rPr>
              <w:t>有效</w:t>
            </w:r>
            <w:r>
              <w:rPr>
                <w:rFonts w:hint="eastAsia" w:ascii="Times New Roman" w:hAnsi="Times New Roman" w:eastAsia="宋体" w:cs="Times New Roman"/>
                <w:color w:val="000000" w:themeColor="text1"/>
                <w:sz w:val="21"/>
                <w:szCs w:val="22"/>
                <w:highlight w:val="none"/>
                <w:lang w:val="en-US" w:eastAsia="zh-CN"/>
                <w14:textFill>
                  <w14:solidFill>
                    <w14:schemeClr w14:val="tx1"/>
                  </w14:solidFill>
                </w14:textFill>
              </w:rPr>
              <w:t>，对节约投资和工期有保证措施。对采用新技术可能产生的风险有一定的预见</w:t>
            </w:r>
            <w:r>
              <w:rPr>
                <w:rFonts w:hint="eastAsia" w:cs="Times New Roman"/>
                <w:color w:val="000000" w:themeColor="text1"/>
                <w:sz w:val="21"/>
                <w:szCs w:val="22"/>
                <w:highlight w:val="none"/>
                <w:lang w:val="en-US" w:eastAsia="zh-CN"/>
                <w14:textFill>
                  <w14:solidFill>
                    <w14:schemeClr w14:val="tx1"/>
                  </w14:solidFill>
                </w14:textFill>
              </w:rPr>
              <w:t>，对新技术的实施缺乏有针对性的方案</w:t>
            </w:r>
            <w:r>
              <w:rPr>
                <w:rFonts w:hint="eastAsia" w:ascii="Times New Roman" w:hAnsi="Times New Roman" w:eastAsia="宋体" w:cs="Times New Roman"/>
                <w:color w:val="000000" w:themeColor="text1"/>
                <w:sz w:val="21"/>
                <w:szCs w:val="22"/>
                <w:highlight w:val="none"/>
                <w:lang w:val="en-US" w:eastAsia="zh-CN"/>
                <w14:textFill>
                  <w14:solidFill>
                    <w14:schemeClr w14:val="tx1"/>
                  </w14:solidFill>
                </w14:textFill>
              </w:rPr>
              <w:t>。</w:t>
            </w:r>
          </w:p>
          <w:p w14:paraId="54CDFBC8">
            <w:pPr>
              <w:spacing w:line="440" w:lineRule="exact"/>
              <w:ind w:firstLine="535" w:firstLineChars="255"/>
              <w:rPr>
                <w:rFonts w:hint="eastAsia" w:ascii="Times New Roman" w:hAnsi="Times New Roman" w:eastAsia="宋体" w:cs="Times New Roman"/>
                <w:color w:val="000000" w:themeColor="text1"/>
                <w:sz w:val="21"/>
                <w:szCs w:val="22"/>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2"/>
                <w:highlight w:val="none"/>
                <w:lang w:val="en-US" w:eastAsia="zh-CN"/>
                <w14:textFill>
                  <w14:solidFill>
                    <w14:schemeClr w14:val="tx1"/>
                  </w14:solidFill>
                </w14:textFill>
              </w:rPr>
              <w:t>中（1分）：有新技术措施，但</w:t>
            </w:r>
            <w:r>
              <w:rPr>
                <w:rFonts w:hint="eastAsia" w:cs="Times New Roman"/>
                <w:color w:val="000000" w:themeColor="text1"/>
                <w:sz w:val="21"/>
                <w:szCs w:val="22"/>
                <w:highlight w:val="none"/>
                <w:lang w:val="en-US" w:eastAsia="zh-CN"/>
                <w14:textFill>
                  <w14:solidFill>
                    <w14:schemeClr w14:val="tx1"/>
                  </w14:solidFill>
                </w14:textFill>
              </w:rPr>
              <w:t>缺乏</w:t>
            </w:r>
            <w:r>
              <w:rPr>
                <w:rFonts w:hint="eastAsia" w:ascii="Times New Roman" w:hAnsi="Times New Roman" w:eastAsia="宋体" w:cs="Times New Roman"/>
                <w:color w:val="000000" w:themeColor="text1"/>
                <w:sz w:val="21"/>
                <w:szCs w:val="22"/>
                <w:highlight w:val="none"/>
                <w:lang w:val="en-US" w:eastAsia="zh-CN"/>
                <w14:textFill>
                  <w14:solidFill>
                    <w14:schemeClr w14:val="tx1"/>
                  </w14:solidFill>
                </w14:textFill>
              </w:rPr>
              <w:t>验证材料，对节约投资和工期可能有一定</w:t>
            </w:r>
            <w:r>
              <w:rPr>
                <w:rFonts w:hint="eastAsia" w:cs="Times New Roman"/>
                <w:color w:val="000000" w:themeColor="text1"/>
                <w:sz w:val="21"/>
                <w:szCs w:val="22"/>
                <w:highlight w:val="none"/>
                <w:lang w:val="en-US" w:eastAsia="zh-CN"/>
                <w14:textFill>
                  <w14:solidFill>
                    <w14:schemeClr w14:val="tx1"/>
                  </w14:solidFill>
                </w14:textFill>
              </w:rPr>
              <w:t>的</w:t>
            </w:r>
            <w:r>
              <w:rPr>
                <w:rFonts w:hint="eastAsia" w:ascii="Times New Roman" w:hAnsi="Times New Roman" w:eastAsia="宋体" w:cs="Times New Roman"/>
                <w:color w:val="000000" w:themeColor="text1"/>
                <w:sz w:val="21"/>
                <w:szCs w:val="22"/>
                <w:highlight w:val="none"/>
                <w:lang w:val="en-US" w:eastAsia="zh-CN"/>
                <w14:textFill>
                  <w14:solidFill>
                    <w14:schemeClr w14:val="tx1"/>
                  </w14:solidFill>
                </w14:textFill>
              </w:rPr>
              <w:t>收益，对采用新技术可能产生的风险预见不足。</w:t>
            </w:r>
          </w:p>
          <w:p w14:paraId="563C453A">
            <w:pPr>
              <w:spacing w:line="440" w:lineRule="exact"/>
              <w:ind w:firstLine="535" w:firstLineChars="255"/>
              <w:rPr>
                <w:rFonts w:hint="eastAsia"/>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2"/>
                <w:highlight w:val="none"/>
                <w:lang w:val="en-US" w:eastAsia="zh-CN"/>
                <w14:textFill>
                  <w14:solidFill>
                    <w14:schemeClr w14:val="tx1"/>
                  </w14:solidFill>
                </w14:textFill>
              </w:rPr>
              <w:t>差（0分）：采用的新技</w:t>
            </w:r>
            <w:r>
              <w:rPr>
                <w:rFonts w:hint="eastAsia"/>
                <w:color w:val="000000" w:themeColor="text1"/>
                <w:lang w:val="en-US" w:eastAsia="zh-CN"/>
                <w14:textFill>
                  <w14:solidFill>
                    <w14:schemeClr w14:val="tx1"/>
                  </w14:solidFill>
                </w14:textFill>
              </w:rPr>
              <w:t>术无可行性，对节约投资和工期没有具体收益。</w:t>
            </w:r>
          </w:p>
        </w:tc>
        <w:tc>
          <w:tcPr>
            <w:tcW w:w="794" w:type="dxa"/>
            <w:noWrap w:val="0"/>
            <w:vAlign w:val="center"/>
          </w:tcPr>
          <w:p w14:paraId="364F4040">
            <w:pPr>
              <w:keepNext w:val="0"/>
              <w:keepLines w:val="0"/>
              <w:pageBreakBefore w:val="0"/>
              <w:widowControl w:val="0"/>
              <w:kinsoku/>
              <w:wordWrap/>
              <w:overflowPunct/>
              <w:topLinePunct w:val="0"/>
              <w:bidi w:val="0"/>
              <w:spacing w:line="400" w:lineRule="exact"/>
              <w:jc w:val="center"/>
              <w:textAlignment w:val="auto"/>
              <w:rPr>
                <w:rFonts w:hint="eastAsia" w:ascii="宋体" w:hAnsi="宋体" w:eastAsia="宋体" w:cs="宋体"/>
                <w:b w:val="0"/>
                <w:bCs/>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2"/>
                <w:highlight w:val="none"/>
                <w:lang w:val="en-US" w:eastAsia="zh-CN"/>
                <w14:textFill>
                  <w14:solidFill>
                    <w14:schemeClr w14:val="tx1"/>
                  </w14:solidFill>
                </w14:textFill>
              </w:rPr>
              <w:t>3分</w:t>
            </w:r>
          </w:p>
        </w:tc>
      </w:tr>
      <w:tr w14:paraId="055C8F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59" w:type="dxa"/>
            <w:noWrap w:val="0"/>
            <w:vAlign w:val="center"/>
          </w:tcPr>
          <w:p w14:paraId="282ECD75">
            <w:pPr>
              <w:keepNext w:val="0"/>
              <w:keepLines w:val="0"/>
              <w:pageBreakBefore w:val="0"/>
              <w:widowControl w:val="0"/>
              <w:numPr>
                <w:ilvl w:val="0"/>
                <w:numId w:val="0"/>
              </w:numPr>
              <w:kinsoku/>
              <w:wordWrap/>
              <w:overflowPunct/>
              <w:topLinePunct w:val="0"/>
              <w:autoSpaceDE w:val="0"/>
              <w:autoSpaceDN w:val="0"/>
              <w:bidi w:val="0"/>
              <w:adjustRightInd w:val="0"/>
              <w:snapToGrid w:val="0"/>
              <w:spacing w:line="400" w:lineRule="exact"/>
              <w:jc w:val="center"/>
              <w:textAlignment w:val="auto"/>
              <w:rPr>
                <w:rFonts w:hint="eastAsia" w:ascii="宋体" w:hAnsi="宋体" w:eastAsia="宋体" w:cs="宋体"/>
                <w:b/>
                <w:color w:val="000000" w:themeColor="text1"/>
                <w:szCs w:val="21"/>
                <w:highlight w:val="none"/>
                <w:lang w:val="en-US" w:eastAsia="zh-CN"/>
                <w14:textFill>
                  <w14:solidFill>
                    <w14:schemeClr w14:val="tx1"/>
                  </w14:solidFill>
                </w14:textFill>
              </w:rPr>
            </w:pPr>
            <w:r>
              <w:rPr>
                <w:rFonts w:hint="eastAsia" w:ascii="宋体" w:hAnsi="宋体" w:eastAsia="宋体" w:cs="宋体"/>
                <w:b/>
                <w:color w:val="000000" w:themeColor="text1"/>
                <w:szCs w:val="21"/>
                <w:highlight w:val="none"/>
                <w:lang w:val="en-US" w:eastAsia="zh-CN"/>
                <w14:textFill>
                  <w14:solidFill>
                    <w14:schemeClr w14:val="tx1"/>
                  </w14:solidFill>
                </w14:textFill>
              </w:rPr>
              <w:t>三</w:t>
            </w:r>
          </w:p>
        </w:tc>
        <w:tc>
          <w:tcPr>
            <w:tcW w:w="8146" w:type="dxa"/>
            <w:gridSpan w:val="3"/>
            <w:noWrap w:val="0"/>
            <w:vAlign w:val="center"/>
          </w:tcPr>
          <w:p w14:paraId="7DA01618">
            <w:pPr>
              <w:keepNext w:val="0"/>
              <w:keepLines w:val="0"/>
              <w:pageBreakBefore w:val="0"/>
              <w:widowControl w:val="0"/>
              <w:numPr>
                <w:ilvl w:val="0"/>
                <w:numId w:val="0"/>
              </w:numPr>
              <w:kinsoku/>
              <w:wordWrap/>
              <w:overflowPunct/>
              <w:topLinePunct w:val="0"/>
              <w:autoSpaceDE w:val="0"/>
              <w:autoSpaceDN w:val="0"/>
              <w:bidi w:val="0"/>
              <w:adjustRightInd w:val="0"/>
              <w:snapToGrid w:val="0"/>
              <w:spacing w:line="400" w:lineRule="exact"/>
              <w:jc w:val="center"/>
              <w:textAlignment w:val="auto"/>
              <w:rPr>
                <w:rFonts w:hint="eastAsia" w:ascii="宋体" w:hAnsi="宋体" w:eastAsia="宋体" w:cs="宋体"/>
                <w:b/>
                <w:color w:val="000000" w:themeColor="text1"/>
                <w:szCs w:val="21"/>
                <w:highlight w:val="none"/>
                <w:lang w:eastAsia="zh-CN"/>
                <w14:textFill>
                  <w14:solidFill>
                    <w14:schemeClr w14:val="tx1"/>
                  </w14:solidFill>
                </w14:textFill>
              </w:rPr>
            </w:pPr>
            <w:r>
              <w:rPr>
                <w:rFonts w:hint="eastAsia" w:ascii="宋体" w:hAnsi="宋体" w:eastAsia="宋体" w:cs="宋体"/>
                <w:b/>
                <w:color w:val="000000" w:themeColor="text1"/>
                <w:szCs w:val="21"/>
                <w:highlight w:val="none"/>
                <w:lang w:eastAsia="zh-CN"/>
                <w14:textFill>
                  <w14:solidFill>
                    <w14:schemeClr w14:val="tx1"/>
                  </w14:solidFill>
                </w14:textFill>
              </w:rPr>
              <w:t>商务分</w:t>
            </w:r>
          </w:p>
        </w:tc>
        <w:tc>
          <w:tcPr>
            <w:tcW w:w="794" w:type="dxa"/>
            <w:noWrap w:val="0"/>
            <w:vAlign w:val="center"/>
          </w:tcPr>
          <w:p w14:paraId="567D321B">
            <w:pPr>
              <w:keepNext w:val="0"/>
              <w:keepLines w:val="0"/>
              <w:pageBreakBefore w:val="0"/>
              <w:widowControl w:val="0"/>
              <w:numPr>
                <w:ilvl w:val="0"/>
                <w:numId w:val="0"/>
              </w:numPr>
              <w:kinsoku/>
              <w:wordWrap/>
              <w:overflowPunct/>
              <w:topLinePunct w:val="0"/>
              <w:autoSpaceDE w:val="0"/>
              <w:autoSpaceDN w:val="0"/>
              <w:bidi w:val="0"/>
              <w:adjustRightInd w:val="0"/>
              <w:snapToGrid w:val="0"/>
              <w:spacing w:line="400" w:lineRule="exact"/>
              <w:jc w:val="center"/>
              <w:textAlignment w:val="auto"/>
              <w:rPr>
                <w:rFonts w:hint="default" w:ascii="宋体" w:hAnsi="宋体" w:eastAsia="宋体" w:cs="宋体"/>
                <w:b/>
                <w:color w:val="000000" w:themeColor="text1"/>
                <w:szCs w:val="21"/>
                <w:highlight w:val="none"/>
                <w:lang w:val="en-US" w:eastAsia="zh-CN"/>
                <w14:textFill>
                  <w14:solidFill>
                    <w14:schemeClr w14:val="tx1"/>
                  </w14:solidFill>
                </w14:textFill>
              </w:rPr>
            </w:pPr>
            <w:r>
              <w:rPr>
                <w:rFonts w:hint="eastAsia" w:ascii="宋体" w:hAnsi="宋体" w:cs="宋体"/>
                <w:b/>
                <w:color w:val="000000" w:themeColor="text1"/>
                <w:szCs w:val="21"/>
                <w:highlight w:val="none"/>
                <w:lang w:val="en-US" w:eastAsia="zh-CN"/>
                <w14:textFill>
                  <w14:solidFill>
                    <w14:schemeClr w14:val="tx1"/>
                  </w14:solidFill>
                </w14:textFill>
              </w:rPr>
              <w:t>15</w:t>
            </w:r>
            <w:r>
              <w:rPr>
                <w:rFonts w:hint="eastAsia" w:ascii="宋体" w:hAnsi="宋体" w:eastAsia="宋体" w:cs="宋体"/>
                <w:b/>
                <w:color w:val="000000" w:themeColor="text1"/>
                <w:szCs w:val="21"/>
                <w:highlight w:val="none"/>
                <w:lang w:val="en-US" w:eastAsia="zh-CN"/>
                <w14:textFill>
                  <w14:solidFill>
                    <w14:schemeClr w14:val="tx1"/>
                  </w14:solidFill>
                </w14:textFill>
              </w:rPr>
              <w:t>分</w:t>
            </w:r>
          </w:p>
        </w:tc>
      </w:tr>
      <w:tr w14:paraId="505FE9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59" w:type="dxa"/>
            <w:noWrap w:val="0"/>
            <w:vAlign w:val="center"/>
          </w:tcPr>
          <w:p w14:paraId="2AF4DA95">
            <w:pPr>
              <w:keepNext w:val="0"/>
              <w:keepLines w:val="0"/>
              <w:pageBreakBefore w:val="0"/>
              <w:widowControl w:val="0"/>
              <w:kinsoku/>
              <w:wordWrap/>
              <w:overflowPunct/>
              <w:topLinePunct w:val="0"/>
              <w:bidi w:val="0"/>
              <w:spacing w:line="400" w:lineRule="exact"/>
              <w:jc w:val="center"/>
              <w:textAlignment w:val="auto"/>
              <w:rPr>
                <w:rFonts w:hint="eastAsia" w:ascii="宋体" w:hAnsi="宋体" w:eastAsia="宋体" w:cs="宋体"/>
                <w:bCs/>
                <w:color w:val="000000" w:themeColor="text1"/>
                <w:szCs w:val="21"/>
                <w:highlight w:val="none"/>
                <w:lang w:val="en-US" w:eastAsia="zh-CN"/>
                <w14:textFill>
                  <w14:solidFill>
                    <w14:schemeClr w14:val="tx1"/>
                  </w14:solidFill>
                </w14:textFill>
              </w:rPr>
            </w:pPr>
            <w:r>
              <w:rPr>
                <w:rFonts w:hint="eastAsia" w:ascii="宋体" w:hAnsi="宋体" w:cs="宋体"/>
                <w:bCs/>
                <w:color w:val="000000" w:themeColor="text1"/>
                <w:szCs w:val="21"/>
                <w:highlight w:val="none"/>
                <w:lang w:val="en-US" w:eastAsia="zh-CN"/>
                <w14:textFill>
                  <w14:solidFill>
                    <w14:schemeClr w14:val="tx1"/>
                  </w14:solidFill>
                </w14:textFill>
              </w:rPr>
              <w:t>1</w:t>
            </w:r>
          </w:p>
        </w:tc>
        <w:tc>
          <w:tcPr>
            <w:tcW w:w="1082" w:type="dxa"/>
            <w:noWrap w:val="0"/>
            <w:vAlign w:val="center"/>
          </w:tcPr>
          <w:p w14:paraId="0AC1E8DC">
            <w:pPr>
              <w:keepNext w:val="0"/>
              <w:keepLines w:val="0"/>
              <w:pageBreakBefore w:val="0"/>
              <w:widowControl w:val="0"/>
              <w:kinsoku/>
              <w:wordWrap/>
              <w:overflowPunct/>
              <w:topLinePunct w:val="0"/>
              <w:bidi w:val="0"/>
              <w:spacing w:line="400" w:lineRule="exact"/>
              <w:jc w:val="center"/>
              <w:textAlignment w:val="auto"/>
              <w:rPr>
                <w:rFonts w:hint="eastAsia" w:ascii="宋体" w:hAnsi="宋体" w:eastAsia="宋体" w:cs="宋体"/>
                <w:bCs/>
                <w:color w:val="000000" w:themeColor="text1"/>
                <w:szCs w:val="21"/>
                <w:highlight w:val="none"/>
                <w14:textFill>
                  <w14:solidFill>
                    <w14:schemeClr w14:val="tx1"/>
                  </w14:solidFill>
                </w14:textFill>
              </w:rPr>
            </w:pPr>
            <w:r>
              <w:rPr>
                <w:rFonts w:hint="eastAsia" w:ascii="宋体" w:hAnsi="宋体" w:eastAsia="宋体" w:cs="宋体"/>
                <w:bCs/>
                <w:color w:val="000000" w:themeColor="text1"/>
                <w:szCs w:val="21"/>
                <w:highlight w:val="none"/>
                <w14:textFill>
                  <w14:solidFill>
                    <w14:schemeClr w14:val="tx1"/>
                  </w14:solidFill>
                </w14:textFill>
              </w:rPr>
              <w:t>商务分</w:t>
            </w:r>
          </w:p>
        </w:tc>
        <w:tc>
          <w:tcPr>
            <w:tcW w:w="1575" w:type="dxa"/>
            <w:noWrap w:val="0"/>
            <w:vAlign w:val="center"/>
          </w:tcPr>
          <w:p w14:paraId="452CB802">
            <w:pPr>
              <w:keepNext w:val="0"/>
              <w:keepLines w:val="0"/>
              <w:pageBreakBefore w:val="0"/>
              <w:widowControl w:val="0"/>
              <w:shd w:val="clear" w:color="auto" w:fill="FFFFFF"/>
              <w:kinsoku/>
              <w:wordWrap/>
              <w:overflowPunct/>
              <w:topLinePunct w:val="0"/>
              <w:bidi w:val="0"/>
              <w:spacing w:line="400" w:lineRule="exact"/>
              <w:jc w:val="center"/>
              <w:textAlignment w:val="auto"/>
              <w:rPr>
                <w:rFonts w:hint="eastAsia" w:ascii="宋体" w:hAnsi="宋体" w:eastAsia="宋体" w:cs="宋体"/>
                <w:b/>
                <w:bCs w:val="0"/>
                <w:color w:val="000000" w:themeColor="text1"/>
                <w:spacing w:val="0"/>
                <w:kern w:val="0"/>
                <w:sz w:val="21"/>
                <w:szCs w:val="21"/>
                <w:highlight w:val="none"/>
                <w:lang w:val="en-US" w:eastAsia="zh-CN" w:bidi="ar-SA"/>
                <w14:textFill>
                  <w14:solidFill>
                    <w14:schemeClr w14:val="tx1"/>
                  </w14:solidFill>
                </w14:textFill>
              </w:rPr>
            </w:pPr>
            <w:r>
              <w:rPr>
                <w:rFonts w:hint="eastAsia" w:ascii="宋体" w:hAnsi="宋体" w:eastAsia="宋体" w:cs="宋体"/>
                <w:b/>
                <w:bCs w:val="0"/>
                <w:color w:val="000000" w:themeColor="text1"/>
                <w:spacing w:val="0"/>
                <w:kern w:val="0"/>
                <w:sz w:val="21"/>
                <w:szCs w:val="21"/>
                <w:highlight w:val="none"/>
                <w:lang w:val="en-US" w:eastAsia="zh-CN" w:bidi="ar-SA"/>
                <w14:textFill>
                  <w14:solidFill>
                    <w14:schemeClr w14:val="tx1"/>
                  </w14:solidFill>
                </w14:textFill>
              </w:rPr>
              <w:t>项目管理机构</w:t>
            </w:r>
          </w:p>
          <w:p w14:paraId="0C7A405F">
            <w:pPr>
              <w:keepNext w:val="0"/>
              <w:keepLines w:val="0"/>
              <w:pageBreakBefore w:val="0"/>
              <w:widowControl w:val="0"/>
              <w:shd w:val="clear" w:color="auto" w:fill="FFFFFF"/>
              <w:kinsoku/>
              <w:wordWrap/>
              <w:overflowPunct/>
              <w:topLinePunct w:val="0"/>
              <w:bidi w:val="0"/>
              <w:spacing w:line="400" w:lineRule="exact"/>
              <w:jc w:val="center"/>
              <w:textAlignment w:val="auto"/>
              <w:rPr>
                <w:rFonts w:hint="eastAsia" w:ascii="宋体" w:hAnsi="宋体" w:eastAsia="宋体" w:cs="宋体"/>
                <w:b/>
                <w:bCs w:val="0"/>
                <w:color w:val="000000" w:themeColor="text1"/>
                <w:spacing w:val="0"/>
                <w:kern w:val="0"/>
                <w:sz w:val="21"/>
                <w:szCs w:val="21"/>
                <w:highlight w:val="none"/>
                <w:lang w:val="en-US" w:eastAsia="zh-CN" w:bidi="ar-SA"/>
                <w14:textFill>
                  <w14:solidFill>
                    <w14:schemeClr w14:val="tx1"/>
                  </w14:solidFill>
                </w14:textFill>
              </w:rPr>
            </w:pPr>
            <w:r>
              <w:rPr>
                <w:rFonts w:hint="eastAsia" w:ascii="宋体" w:hAnsi="宋体" w:cs="宋体"/>
                <w:b/>
                <w:bCs w:val="0"/>
                <w:color w:val="000000" w:themeColor="text1"/>
                <w:spacing w:val="0"/>
                <w:kern w:val="0"/>
                <w:sz w:val="21"/>
                <w:szCs w:val="21"/>
                <w:highlight w:val="none"/>
                <w:lang w:val="en-US" w:eastAsia="zh-CN" w:bidi="ar-SA"/>
                <w14:textFill>
                  <w14:solidFill>
                    <w14:schemeClr w14:val="tx1"/>
                  </w14:solidFill>
                </w14:textFill>
              </w:rPr>
              <w:t>（满分8分）</w:t>
            </w:r>
          </w:p>
        </w:tc>
        <w:tc>
          <w:tcPr>
            <w:tcW w:w="5489" w:type="dxa"/>
            <w:noWrap w:val="0"/>
            <w:vAlign w:val="center"/>
          </w:tcPr>
          <w:p w14:paraId="0BAD9590">
            <w:pPr>
              <w:spacing w:line="440" w:lineRule="exact"/>
              <w:ind w:firstLine="535" w:firstLineChars="255"/>
              <w:rPr>
                <w:color w:val="000000" w:themeColor="text1"/>
                <w:sz w:val="21"/>
                <w:szCs w:val="22"/>
                <w:highlight w:val="none"/>
                <w14:textFill>
                  <w14:solidFill>
                    <w14:schemeClr w14:val="tx1"/>
                  </w14:solidFill>
                </w14:textFill>
              </w:rPr>
            </w:pPr>
            <w:r>
              <w:rPr>
                <w:rFonts w:hint="eastAsia"/>
                <w:color w:val="000000" w:themeColor="text1"/>
                <w:sz w:val="21"/>
                <w:szCs w:val="22"/>
                <w:highlight w:val="none"/>
                <w:lang w:eastAsia="zh-CN"/>
                <w14:textFill>
                  <w14:solidFill>
                    <w14:schemeClr w14:val="tx1"/>
                  </w14:solidFill>
                </w14:textFill>
              </w:rPr>
              <w:t>（</w:t>
            </w:r>
            <w:r>
              <w:rPr>
                <w:color w:val="000000" w:themeColor="text1"/>
                <w:sz w:val="21"/>
                <w:szCs w:val="22"/>
                <w:highlight w:val="none"/>
                <w:lang w:eastAsia="zh-CN"/>
                <w14:textFill>
                  <w14:solidFill>
                    <w14:schemeClr w14:val="tx1"/>
                  </w14:solidFill>
                </w14:textFill>
              </w:rPr>
              <w:t>1）项目经理</w:t>
            </w:r>
            <w:r>
              <w:rPr>
                <w:rFonts w:hint="eastAsia"/>
                <w:color w:val="000000" w:themeColor="text1"/>
                <w:sz w:val="21"/>
                <w:szCs w:val="22"/>
                <w:highlight w:val="none"/>
                <w:lang w:eastAsia="zh-CN"/>
                <w14:textFill>
                  <w14:solidFill>
                    <w14:schemeClr w14:val="tx1"/>
                  </w14:solidFill>
                </w14:textFill>
              </w:rPr>
              <w:t>职称</w:t>
            </w:r>
            <w:r>
              <w:rPr>
                <w:color w:val="000000" w:themeColor="text1"/>
                <w:sz w:val="21"/>
                <w:szCs w:val="22"/>
                <w:highlight w:val="none"/>
                <w:lang w:eastAsia="zh-CN"/>
                <w14:textFill>
                  <w14:solidFill>
                    <w14:schemeClr w14:val="tx1"/>
                  </w14:solidFill>
                </w14:textFill>
              </w:rPr>
              <w:t>：</w:t>
            </w:r>
            <w:r>
              <w:rPr>
                <w:rFonts w:hint="eastAsia" w:ascii="宋体" w:hAnsi="宋体"/>
                <w:color w:val="000000" w:themeColor="text1"/>
                <w:sz w:val="21"/>
                <w:highlight w:val="none"/>
                <w:lang w:eastAsia="zh-CN"/>
                <w14:textFill>
                  <w14:solidFill>
                    <w14:schemeClr w14:val="tx1"/>
                  </w14:solidFill>
                </w14:textFill>
              </w:rPr>
              <w:t>具有工程类中级</w:t>
            </w:r>
            <w:r>
              <w:rPr>
                <w:rFonts w:ascii="宋体" w:hAnsi="宋体" w:eastAsia="宋体"/>
                <w:color w:val="000000" w:themeColor="text1"/>
                <w:sz w:val="21"/>
                <w:highlight w:val="none"/>
                <w:lang w:eastAsia="zh-CN"/>
                <w14:textFill>
                  <w14:solidFill>
                    <w14:schemeClr w14:val="tx1"/>
                  </w14:solidFill>
                </w14:textFill>
              </w:rPr>
              <w:t>职称的得2分，具有</w:t>
            </w:r>
            <w:r>
              <w:rPr>
                <w:rFonts w:hint="eastAsia" w:ascii="宋体" w:hAnsi="宋体"/>
                <w:color w:val="000000" w:themeColor="text1"/>
                <w:sz w:val="21"/>
                <w:highlight w:val="none"/>
                <w:lang w:eastAsia="zh-CN"/>
                <w14:textFill>
                  <w14:solidFill>
                    <w14:schemeClr w14:val="tx1"/>
                  </w14:solidFill>
                </w14:textFill>
              </w:rPr>
              <w:t>工程类高级（含）以上</w:t>
            </w:r>
            <w:r>
              <w:rPr>
                <w:rFonts w:hint="eastAsia" w:ascii="宋体" w:hAnsi="宋体" w:eastAsia="宋体"/>
                <w:color w:val="000000" w:themeColor="text1"/>
                <w:sz w:val="21"/>
                <w:highlight w:val="none"/>
                <w:lang w:eastAsia="zh-CN"/>
                <w14:textFill>
                  <w14:solidFill>
                    <w14:schemeClr w14:val="tx1"/>
                  </w14:solidFill>
                </w14:textFill>
              </w:rPr>
              <w:t>职称</w:t>
            </w:r>
            <w:r>
              <w:rPr>
                <w:rFonts w:hint="eastAsia" w:ascii="宋体" w:hAnsi="宋体"/>
                <w:color w:val="000000" w:themeColor="text1"/>
                <w:sz w:val="21"/>
                <w:highlight w:val="none"/>
                <w:lang w:eastAsia="zh-CN"/>
                <w14:textFill>
                  <w14:solidFill>
                    <w14:schemeClr w14:val="tx1"/>
                  </w14:solidFill>
                </w14:textFill>
              </w:rPr>
              <w:t>的</w:t>
            </w:r>
            <w:r>
              <w:rPr>
                <w:rFonts w:ascii="宋体" w:hAnsi="宋体" w:eastAsia="宋体"/>
                <w:color w:val="000000" w:themeColor="text1"/>
                <w:sz w:val="21"/>
                <w:highlight w:val="none"/>
                <w:lang w:eastAsia="zh-CN"/>
                <w14:textFill>
                  <w14:solidFill>
                    <w14:schemeClr w14:val="tx1"/>
                  </w14:solidFill>
                </w14:textFill>
              </w:rPr>
              <w:t>得</w:t>
            </w:r>
            <w:r>
              <w:rPr>
                <w:rFonts w:hint="eastAsia" w:ascii="宋体" w:hAnsi="宋体"/>
                <w:color w:val="000000" w:themeColor="text1"/>
                <w:sz w:val="21"/>
                <w:highlight w:val="none"/>
                <w:lang w:val="en-US" w:eastAsia="zh-CN"/>
                <w14:textFill>
                  <w14:solidFill>
                    <w14:schemeClr w14:val="tx1"/>
                  </w14:solidFill>
                </w14:textFill>
              </w:rPr>
              <w:t>3</w:t>
            </w:r>
            <w:r>
              <w:rPr>
                <w:rFonts w:ascii="宋体" w:hAnsi="宋体" w:eastAsia="宋体"/>
                <w:color w:val="000000" w:themeColor="text1"/>
                <w:sz w:val="21"/>
                <w:highlight w:val="none"/>
                <w:lang w:eastAsia="zh-CN"/>
                <w14:textFill>
                  <w14:solidFill>
                    <w14:schemeClr w14:val="tx1"/>
                  </w14:solidFill>
                </w14:textFill>
              </w:rPr>
              <w:t>分。</w:t>
            </w:r>
            <w:r>
              <w:rPr>
                <w:color w:val="000000" w:themeColor="text1"/>
                <w:sz w:val="21"/>
                <w:szCs w:val="22"/>
                <w:highlight w:val="none"/>
                <w14:textFill>
                  <w14:solidFill>
                    <w14:schemeClr w14:val="tx1"/>
                  </w14:solidFill>
                </w14:textFill>
              </w:rPr>
              <w:t>（满分</w:t>
            </w:r>
            <w:r>
              <w:rPr>
                <w:rFonts w:hint="eastAsia"/>
                <w:color w:val="000000" w:themeColor="text1"/>
                <w:sz w:val="21"/>
                <w:szCs w:val="22"/>
                <w:highlight w:val="none"/>
                <w:lang w:val="en-US" w:eastAsia="zh-CN"/>
                <w14:textFill>
                  <w14:solidFill>
                    <w14:schemeClr w14:val="tx1"/>
                  </w14:solidFill>
                </w14:textFill>
              </w:rPr>
              <w:t>3</w:t>
            </w:r>
            <w:r>
              <w:rPr>
                <w:color w:val="000000" w:themeColor="text1"/>
                <w:sz w:val="21"/>
                <w:szCs w:val="22"/>
                <w:highlight w:val="none"/>
                <w14:textFill>
                  <w14:solidFill>
                    <w14:schemeClr w14:val="tx1"/>
                  </w14:solidFill>
                </w14:textFill>
              </w:rPr>
              <w:t>分）</w:t>
            </w:r>
          </w:p>
          <w:p w14:paraId="49D3EFE4">
            <w:pPr>
              <w:spacing w:line="440" w:lineRule="exact"/>
              <w:ind w:firstLine="535" w:firstLineChars="255"/>
              <w:rPr>
                <w:color w:val="000000" w:themeColor="text1"/>
                <w:sz w:val="21"/>
                <w:szCs w:val="22"/>
                <w:highlight w:val="none"/>
                <w:lang w:eastAsia="zh-CN"/>
                <w14:textFill>
                  <w14:solidFill>
                    <w14:schemeClr w14:val="tx1"/>
                  </w14:solidFill>
                </w14:textFill>
              </w:rPr>
            </w:pPr>
            <w:r>
              <w:rPr>
                <w:rFonts w:hint="eastAsia"/>
                <w:color w:val="000000" w:themeColor="text1"/>
                <w:sz w:val="21"/>
                <w:szCs w:val="22"/>
                <w:highlight w:val="none"/>
                <w:lang w:eastAsia="zh-CN"/>
                <w14:textFill>
                  <w14:solidFill>
                    <w14:schemeClr w14:val="tx1"/>
                  </w14:solidFill>
                </w14:textFill>
              </w:rPr>
              <w:t>（</w:t>
            </w:r>
            <w:r>
              <w:rPr>
                <w:color w:val="000000" w:themeColor="text1"/>
                <w:sz w:val="21"/>
                <w:szCs w:val="22"/>
                <w:highlight w:val="none"/>
                <w:lang w:eastAsia="zh-CN"/>
                <w14:textFill>
                  <w14:solidFill>
                    <w14:schemeClr w14:val="tx1"/>
                  </w14:solidFill>
                </w14:textFill>
              </w:rPr>
              <w:t>2）技术负责人职称：具有</w:t>
            </w:r>
            <w:r>
              <w:rPr>
                <w:rFonts w:hint="eastAsia" w:ascii="宋体" w:hAnsi="宋体"/>
                <w:color w:val="000000" w:themeColor="text1"/>
                <w:sz w:val="21"/>
                <w:highlight w:val="none"/>
                <w:lang w:eastAsia="zh-CN"/>
                <w14:textFill>
                  <w14:solidFill>
                    <w14:schemeClr w14:val="tx1"/>
                  </w14:solidFill>
                </w14:textFill>
              </w:rPr>
              <w:t>工程类高级（含）以上</w:t>
            </w:r>
            <w:r>
              <w:rPr>
                <w:rFonts w:hint="eastAsia" w:ascii="宋体" w:hAnsi="宋体" w:eastAsia="宋体"/>
                <w:color w:val="000000" w:themeColor="text1"/>
                <w:sz w:val="21"/>
                <w:highlight w:val="none"/>
                <w:lang w:eastAsia="zh-CN"/>
                <w14:textFill>
                  <w14:solidFill>
                    <w14:schemeClr w14:val="tx1"/>
                  </w14:solidFill>
                </w14:textFill>
              </w:rPr>
              <w:t>职称</w:t>
            </w:r>
            <w:r>
              <w:rPr>
                <w:rFonts w:hint="eastAsia" w:ascii="宋体" w:hAnsi="宋体"/>
                <w:color w:val="000000" w:themeColor="text1"/>
                <w:sz w:val="21"/>
                <w:highlight w:val="none"/>
                <w:lang w:eastAsia="zh-CN"/>
                <w14:textFill>
                  <w14:solidFill>
                    <w14:schemeClr w14:val="tx1"/>
                  </w14:solidFill>
                </w14:textFill>
              </w:rPr>
              <w:t>的</w:t>
            </w:r>
            <w:r>
              <w:rPr>
                <w:color w:val="000000" w:themeColor="text1"/>
                <w:sz w:val="21"/>
                <w:szCs w:val="22"/>
                <w:highlight w:val="none"/>
                <w:lang w:eastAsia="zh-CN"/>
                <w14:textFill>
                  <w14:solidFill>
                    <w14:schemeClr w14:val="tx1"/>
                  </w14:solidFill>
                </w14:textFill>
              </w:rPr>
              <w:t>得</w:t>
            </w:r>
            <w:r>
              <w:rPr>
                <w:rFonts w:hint="eastAsia"/>
                <w:color w:val="000000" w:themeColor="text1"/>
                <w:sz w:val="21"/>
                <w:szCs w:val="22"/>
                <w:highlight w:val="none"/>
                <w:lang w:val="en-US" w:eastAsia="zh-CN"/>
                <w14:textFill>
                  <w14:solidFill>
                    <w14:schemeClr w14:val="tx1"/>
                  </w14:solidFill>
                </w14:textFill>
              </w:rPr>
              <w:t>3</w:t>
            </w:r>
            <w:r>
              <w:rPr>
                <w:color w:val="000000" w:themeColor="text1"/>
                <w:sz w:val="21"/>
                <w:szCs w:val="22"/>
                <w:highlight w:val="none"/>
                <w:lang w:eastAsia="zh-CN"/>
                <w14:textFill>
                  <w14:solidFill>
                    <w14:schemeClr w14:val="tx1"/>
                  </w14:solidFill>
                </w14:textFill>
              </w:rPr>
              <w:t>分。（满分</w:t>
            </w:r>
            <w:r>
              <w:rPr>
                <w:rFonts w:hint="eastAsia"/>
                <w:color w:val="000000" w:themeColor="text1"/>
                <w:sz w:val="21"/>
                <w:szCs w:val="22"/>
                <w:highlight w:val="none"/>
                <w:lang w:val="en-US" w:eastAsia="zh-CN"/>
                <w14:textFill>
                  <w14:solidFill>
                    <w14:schemeClr w14:val="tx1"/>
                  </w14:solidFill>
                </w14:textFill>
              </w:rPr>
              <w:t>3</w:t>
            </w:r>
            <w:r>
              <w:rPr>
                <w:color w:val="000000" w:themeColor="text1"/>
                <w:sz w:val="21"/>
                <w:szCs w:val="22"/>
                <w:highlight w:val="none"/>
                <w:lang w:eastAsia="zh-CN"/>
                <w14:textFill>
                  <w14:solidFill>
                    <w14:schemeClr w14:val="tx1"/>
                  </w14:solidFill>
                </w14:textFill>
              </w:rPr>
              <w:t xml:space="preserve"> 分）</w:t>
            </w:r>
          </w:p>
          <w:p w14:paraId="4243CF3F">
            <w:pPr>
              <w:spacing w:line="440" w:lineRule="exact"/>
              <w:ind w:firstLine="535" w:firstLineChars="255"/>
              <w:rPr>
                <w:color w:val="000000" w:themeColor="text1"/>
                <w14:textFill>
                  <w14:solidFill>
                    <w14:schemeClr w14:val="tx1"/>
                  </w14:solidFill>
                </w14:textFill>
              </w:rPr>
            </w:pPr>
            <w:r>
              <w:rPr>
                <w:rFonts w:hint="eastAsia"/>
                <w:color w:val="000000" w:themeColor="text1"/>
                <w:sz w:val="21"/>
                <w:szCs w:val="22"/>
                <w:highlight w:val="none"/>
                <w:lang w:eastAsia="zh-CN"/>
                <w14:textFill>
                  <w14:solidFill>
                    <w14:schemeClr w14:val="tx1"/>
                  </w14:solidFill>
                </w14:textFill>
              </w:rPr>
              <w:t>（3）</w:t>
            </w:r>
            <w:r>
              <w:rPr>
                <w:rFonts w:hint="eastAsia"/>
                <w:color w:val="000000" w:themeColor="text1"/>
                <w:sz w:val="21"/>
                <w:highlight w:val="none"/>
                <w:lang w:eastAsia="zh-CN"/>
                <w14:textFill>
                  <w14:solidFill>
                    <w14:schemeClr w14:val="tx1"/>
                  </w14:solidFill>
                </w14:textFill>
              </w:rPr>
              <w:t>除项目经理、技术负责人外，拟投入的其他项目管理人员</w:t>
            </w:r>
            <w:r>
              <w:rPr>
                <w:rFonts w:hint="eastAsia"/>
                <w:color w:val="000000" w:themeColor="text1"/>
                <w:sz w:val="21"/>
                <w:szCs w:val="22"/>
                <w:highlight w:val="none"/>
                <w:lang w:eastAsia="zh-CN"/>
                <w14:textFill>
                  <w14:solidFill>
                    <w14:schemeClr w14:val="tx1"/>
                  </w14:solidFill>
                </w14:textFill>
              </w:rPr>
              <w:t>每具有一名</w:t>
            </w:r>
            <w:r>
              <w:rPr>
                <w:rFonts w:hint="eastAsia" w:ascii="宋体" w:hAnsi="宋体"/>
                <w:color w:val="000000" w:themeColor="text1"/>
                <w:sz w:val="21"/>
                <w:highlight w:val="none"/>
                <w:lang w:eastAsia="zh-CN"/>
                <w14:textFill>
                  <w14:solidFill>
                    <w14:schemeClr w14:val="tx1"/>
                  </w14:solidFill>
                </w14:textFill>
              </w:rPr>
              <w:t>工程类高级（含）以上职称的得</w:t>
            </w:r>
            <w:r>
              <w:rPr>
                <w:rFonts w:hint="eastAsia"/>
                <w:color w:val="000000" w:themeColor="text1"/>
                <w:sz w:val="21"/>
                <w:szCs w:val="22"/>
                <w:highlight w:val="none"/>
                <w:lang w:eastAsia="zh-CN"/>
                <w14:textFill>
                  <w14:solidFill>
                    <w14:schemeClr w14:val="tx1"/>
                  </w14:solidFill>
                </w14:textFill>
              </w:rPr>
              <w:t>1分。（满分2分）</w:t>
            </w:r>
          </w:p>
          <w:p w14:paraId="6FEA647B">
            <w:pPr>
              <w:spacing w:line="440" w:lineRule="exact"/>
              <w:ind w:firstLine="538" w:firstLineChars="255"/>
              <w:rPr>
                <w:rFonts w:hint="eastAsia" w:eastAsia="宋体"/>
                <w:color w:val="000000" w:themeColor="text1"/>
                <w:lang w:val="en-US" w:eastAsia="zh-CN"/>
                <w14:textFill>
                  <w14:solidFill>
                    <w14:schemeClr w14:val="tx1"/>
                  </w14:solidFill>
                </w14:textFill>
              </w:rPr>
            </w:pPr>
            <w:r>
              <w:rPr>
                <w:rFonts w:hint="eastAsia"/>
                <w:b/>
                <w:bCs/>
                <w:color w:val="000000" w:themeColor="text1"/>
                <w:lang w:eastAsia="zh-CN"/>
                <w14:textFill>
                  <w14:solidFill>
                    <w14:schemeClr w14:val="tx1"/>
                  </w14:solidFill>
                </w14:textFill>
              </w:rPr>
              <w:t>注：供应商于首次响应文件中提供以上人员相关的职称证书复印件，并加盖供应商公章，否则不予计分。</w:t>
            </w:r>
          </w:p>
        </w:tc>
        <w:tc>
          <w:tcPr>
            <w:tcW w:w="794" w:type="dxa"/>
            <w:noWrap w:val="0"/>
            <w:vAlign w:val="center"/>
          </w:tcPr>
          <w:p w14:paraId="1D0093B4">
            <w:pPr>
              <w:keepNext w:val="0"/>
              <w:keepLines w:val="0"/>
              <w:pageBreakBefore w:val="0"/>
              <w:widowControl w:val="0"/>
              <w:kinsoku/>
              <w:wordWrap/>
              <w:overflowPunct/>
              <w:topLinePunct w:val="0"/>
              <w:bidi w:val="0"/>
              <w:spacing w:line="400" w:lineRule="exact"/>
              <w:jc w:val="center"/>
              <w:textAlignment w:val="auto"/>
              <w:rPr>
                <w:rFonts w:hint="eastAsia" w:ascii="宋体" w:hAnsi="宋体" w:eastAsia="宋体" w:cs="宋体"/>
                <w:bCs/>
                <w:color w:val="000000" w:themeColor="text1"/>
                <w:szCs w:val="21"/>
                <w:highlight w:val="none"/>
                <w14:textFill>
                  <w14:solidFill>
                    <w14:schemeClr w14:val="tx1"/>
                  </w14:solidFill>
                </w14:textFill>
              </w:rPr>
            </w:pPr>
            <w:r>
              <w:rPr>
                <w:rFonts w:hint="eastAsia" w:ascii="宋体" w:hAnsi="宋体" w:cs="宋体"/>
                <w:bCs/>
                <w:color w:val="000000" w:themeColor="text1"/>
                <w:szCs w:val="21"/>
                <w:highlight w:val="none"/>
                <w:lang w:val="en-US" w:eastAsia="zh-CN"/>
                <w14:textFill>
                  <w14:solidFill>
                    <w14:schemeClr w14:val="tx1"/>
                  </w14:solidFill>
                </w14:textFill>
              </w:rPr>
              <w:t>8</w:t>
            </w:r>
            <w:r>
              <w:rPr>
                <w:rFonts w:hint="eastAsia" w:ascii="宋体" w:hAnsi="宋体" w:eastAsia="宋体" w:cs="宋体"/>
                <w:bCs/>
                <w:color w:val="000000" w:themeColor="text1"/>
                <w:szCs w:val="21"/>
                <w:highlight w:val="none"/>
                <w14:textFill>
                  <w14:solidFill>
                    <w14:schemeClr w14:val="tx1"/>
                  </w14:solidFill>
                </w14:textFill>
              </w:rPr>
              <w:t>分</w:t>
            </w:r>
          </w:p>
        </w:tc>
      </w:tr>
      <w:tr w14:paraId="4085DF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59" w:type="dxa"/>
            <w:noWrap w:val="0"/>
            <w:vAlign w:val="center"/>
          </w:tcPr>
          <w:p w14:paraId="4734D8F4">
            <w:pPr>
              <w:keepNext w:val="0"/>
              <w:keepLines w:val="0"/>
              <w:pageBreakBefore w:val="0"/>
              <w:widowControl w:val="0"/>
              <w:kinsoku/>
              <w:wordWrap/>
              <w:overflowPunct/>
              <w:topLinePunct w:val="0"/>
              <w:bidi w:val="0"/>
              <w:spacing w:line="400" w:lineRule="exact"/>
              <w:jc w:val="center"/>
              <w:textAlignment w:val="auto"/>
              <w:rPr>
                <w:rFonts w:hint="default" w:ascii="宋体" w:hAnsi="宋体" w:cs="宋体"/>
                <w:bCs/>
                <w:color w:val="000000" w:themeColor="text1"/>
                <w:szCs w:val="21"/>
                <w:highlight w:val="none"/>
                <w:lang w:val="en-US" w:eastAsia="zh-CN"/>
                <w14:textFill>
                  <w14:solidFill>
                    <w14:schemeClr w14:val="tx1"/>
                  </w14:solidFill>
                </w14:textFill>
              </w:rPr>
            </w:pPr>
            <w:bookmarkStart w:id="179" w:name="_Toc80205935"/>
            <w:r>
              <w:rPr>
                <w:rFonts w:hint="eastAsia" w:ascii="宋体" w:hAnsi="宋体" w:cs="宋体"/>
                <w:bCs/>
                <w:color w:val="000000" w:themeColor="text1"/>
                <w:szCs w:val="21"/>
                <w:highlight w:val="none"/>
                <w:lang w:val="en-US" w:eastAsia="zh-CN"/>
                <w14:textFill>
                  <w14:solidFill>
                    <w14:schemeClr w14:val="tx1"/>
                  </w14:solidFill>
                </w14:textFill>
              </w:rPr>
              <w:t>2</w:t>
            </w:r>
          </w:p>
        </w:tc>
        <w:tc>
          <w:tcPr>
            <w:tcW w:w="1082" w:type="dxa"/>
            <w:noWrap w:val="0"/>
            <w:vAlign w:val="center"/>
          </w:tcPr>
          <w:p w14:paraId="0EF53C4D">
            <w:pPr>
              <w:keepNext w:val="0"/>
              <w:keepLines w:val="0"/>
              <w:pageBreakBefore w:val="0"/>
              <w:widowControl w:val="0"/>
              <w:kinsoku/>
              <w:wordWrap/>
              <w:overflowPunct/>
              <w:topLinePunct w:val="0"/>
              <w:bidi w:val="0"/>
              <w:spacing w:line="400" w:lineRule="exact"/>
              <w:jc w:val="center"/>
              <w:textAlignment w:val="auto"/>
              <w:rPr>
                <w:rFonts w:hint="eastAsia" w:ascii="宋体" w:hAnsi="宋体" w:eastAsia="宋体" w:cs="宋体"/>
                <w:bCs/>
                <w:color w:val="000000" w:themeColor="text1"/>
                <w:szCs w:val="21"/>
                <w:highlight w:val="none"/>
                <w14:textFill>
                  <w14:solidFill>
                    <w14:schemeClr w14:val="tx1"/>
                  </w14:solidFill>
                </w14:textFill>
              </w:rPr>
            </w:pPr>
            <w:r>
              <w:rPr>
                <w:rFonts w:hint="eastAsia" w:ascii="宋体" w:hAnsi="宋体" w:eastAsia="宋体" w:cs="宋体"/>
                <w:bCs/>
                <w:color w:val="000000" w:themeColor="text1"/>
                <w:szCs w:val="21"/>
                <w:highlight w:val="none"/>
                <w14:textFill>
                  <w14:solidFill>
                    <w14:schemeClr w14:val="tx1"/>
                  </w14:solidFill>
                </w14:textFill>
              </w:rPr>
              <w:t>商务分</w:t>
            </w:r>
          </w:p>
        </w:tc>
        <w:tc>
          <w:tcPr>
            <w:tcW w:w="1575" w:type="dxa"/>
            <w:noWrap w:val="0"/>
            <w:vAlign w:val="center"/>
          </w:tcPr>
          <w:p w14:paraId="75AEE1C9">
            <w:pPr>
              <w:keepNext w:val="0"/>
              <w:keepLines w:val="0"/>
              <w:pageBreakBefore w:val="0"/>
              <w:widowControl w:val="0"/>
              <w:shd w:val="clear" w:color="auto" w:fill="FFFFFF"/>
              <w:kinsoku/>
              <w:wordWrap/>
              <w:overflowPunct/>
              <w:topLinePunct w:val="0"/>
              <w:bidi w:val="0"/>
              <w:spacing w:line="400" w:lineRule="exact"/>
              <w:jc w:val="center"/>
              <w:textAlignment w:val="auto"/>
              <w:rPr>
                <w:rFonts w:hint="eastAsia" w:ascii="宋体" w:hAnsi="宋体" w:eastAsia="宋体" w:cs="宋体"/>
                <w:b/>
                <w:bCs w:val="0"/>
                <w:color w:val="000000" w:themeColor="text1"/>
                <w:spacing w:val="0"/>
                <w:kern w:val="0"/>
                <w:sz w:val="21"/>
                <w:szCs w:val="21"/>
                <w:highlight w:val="none"/>
                <w:lang w:val="en-US" w:eastAsia="zh-CN" w:bidi="ar-SA"/>
                <w14:textFill>
                  <w14:solidFill>
                    <w14:schemeClr w14:val="tx1"/>
                  </w14:solidFill>
                </w14:textFill>
              </w:rPr>
            </w:pPr>
            <w:r>
              <w:rPr>
                <w:rFonts w:hint="eastAsia" w:ascii="宋体" w:hAnsi="宋体" w:eastAsia="宋体" w:cs="宋体"/>
                <w:b/>
                <w:bCs w:val="0"/>
                <w:color w:val="000000" w:themeColor="text1"/>
                <w:spacing w:val="0"/>
                <w:kern w:val="0"/>
                <w:sz w:val="21"/>
                <w:szCs w:val="21"/>
                <w:highlight w:val="none"/>
                <w:lang w:val="en-US" w:eastAsia="zh-CN" w:bidi="ar-SA"/>
                <w14:textFill>
                  <w14:solidFill>
                    <w14:schemeClr w14:val="tx1"/>
                  </w14:solidFill>
                </w14:textFill>
              </w:rPr>
              <w:t>企业信誉实力</w:t>
            </w:r>
            <w:r>
              <w:rPr>
                <w:rFonts w:hint="eastAsia" w:ascii="宋体" w:hAnsi="宋体" w:cs="宋体"/>
                <w:b/>
                <w:bCs w:val="0"/>
                <w:color w:val="000000" w:themeColor="text1"/>
                <w:spacing w:val="0"/>
                <w:kern w:val="0"/>
                <w:sz w:val="21"/>
                <w:szCs w:val="21"/>
                <w:highlight w:val="none"/>
                <w:lang w:val="en-US" w:eastAsia="zh-CN" w:bidi="ar-SA"/>
                <w14:textFill>
                  <w14:solidFill>
                    <w14:schemeClr w14:val="tx1"/>
                  </w14:solidFill>
                </w14:textFill>
              </w:rPr>
              <w:t>分（满分4分）</w:t>
            </w:r>
          </w:p>
          <w:p w14:paraId="1EA051FA">
            <w:pPr>
              <w:keepNext w:val="0"/>
              <w:keepLines w:val="0"/>
              <w:pageBreakBefore w:val="0"/>
              <w:widowControl w:val="0"/>
              <w:shd w:val="clear" w:color="auto" w:fill="FFFFFF"/>
              <w:kinsoku/>
              <w:wordWrap/>
              <w:overflowPunct/>
              <w:topLinePunct w:val="0"/>
              <w:bidi w:val="0"/>
              <w:spacing w:line="400" w:lineRule="exact"/>
              <w:jc w:val="center"/>
              <w:textAlignment w:val="auto"/>
              <w:rPr>
                <w:rFonts w:hint="eastAsia" w:ascii="宋体" w:hAnsi="宋体" w:eastAsia="宋体" w:cs="宋体"/>
                <w:b/>
                <w:bCs w:val="0"/>
                <w:color w:val="000000" w:themeColor="text1"/>
                <w:spacing w:val="0"/>
                <w:kern w:val="0"/>
                <w:sz w:val="21"/>
                <w:szCs w:val="21"/>
                <w:highlight w:val="none"/>
                <w:lang w:val="en-US" w:eastAsia="zh-CN" w:bidi="ar-SA"/>
                <w14:textFill>
                  <w14:solidFill>
                    <w14:schemeClr w14:val="tx1"/>
                  </w14:solidFill>
                </w14:textFill>
              </w:rPr>
            </w:pPr>
          </w:p>
        </w:tc>
        <w:tc>
          <w:tcPr>
            <w:tcW w:w="5489" w:type="dxa"/>
            <w:noWrap w:val="0"/>
            <w:vAlign w:val="center"/>
          </w:tcPr>
          <w:p w14:paraId="50665F6E">
            <w:pPr>
              <w:spacing w:line="440" w:lineRule="exact"/>
              <w:ind w:firstLine="535" w:firstLineChars="255"/>
              <w:rPr>
                <w:rFonts w:hint="eastAsia"/>
                <w:color w:val="000000" w:themeColor="text1"/>
                <w:sz w:val="21"/>
                <w:szCs w:val="22"/>
                <w:highlight w:val="none"/>
                <w:lang w:eastAsia="zh-CN"/>
                <w14:textFill>
                  <w14:solidFill>
                    <w14:schemeClr w14:val="tx1"/>
                  </w14:solidFill>
                </w14:textFill>
              </w:rPr>
            </w:pPr>
            <w:r>
              <w:rPr>
                <w:rFonts w:hint="eastAsia"/>
                <w:color w:val="000000" w:themeColor="text1"/>
                <w:sz w:val="21"/>
                <w:szCs w:val="22"/>
                <w:highlight w:val="none"/>
                <w:lang w:eastAsia="zh-CN"/>
                <w14:textFill>
                  <w14:solidFill>
                    <w14:schemeClr w14:val="tx1"/>
                  </w14:solidFill>
                </w14:textFill>
              </w:rPr>
              <w:t>供应商自202</w:t>
            </w:r>
            <w:r>
              <w:rPr>
                <w:rFonts w:hint="eastAsia"/>
                <w:color w:val="000000" w:themeColor="text1"/>
                <w:sz w:val="21"/>
                <w:szCs w:val="22"/>
                <w:highlight w:val="none"/>
                <w:lang w:val="en-US" w:eastAsia="zh-CN"/>
                <w14:textFill>
                  <w14:solidFill>
                    <w14:schemeClr w14:val="tx1"/>
                  </w14:solidFill>
                </w14:textFill>
              </w:rPr>
              <w:t>2</w:t>
            </w:r>
            <w:r>
              <w:rPr>
                <w:rFonts w:hint="eastAsia"/>
                <w:color w:val="000000" w:themeColor="text1"/>
                <w:sz w:val="21"/>
                <w:szCs w:val="22"/>
                <w:highlight w:val="none"/>
                <w:lang w:eastAsia="zh-CN"/>
                <w14:textFill>
                  <w14:solidFill>
                    <w14:schemeClr w14:val="tx1"/>
                  </w14:solidFill>
                </w14:textFill>
              </w:rPr>
              <w:t>年</w:t>
            </w:r>
            <w:r>
              <w:rPr>
                <w:rFonts w:hint="eastAsia"/>
                <w:color w:val="000000" w:themeColor="text1"/>
                <w:sz w:val="21"/>
                <w:szCs w:val="22"/>
                <w:highlight w:val="none"/>
                <w:lang w:val="en-US" w:eastAsia="zh-CN"/>
                <w14:textFill>
                  <w14:solidFill>
                    <w14:schemeClr w14:val="tx1"/>
                  </w14:solidFill>
                </w14:textFill>
              </w:rPr>
              <w:t>1</w:t>
            </w:r>
            <w:r>
              <w:rPr>
                <w:rFonts w:hint="eastAsia"/>
                <w:color w:val="000000" w:themeColor="text1"/>
                <w:sz w:val="21"/>
                <w:szCs w:val="22"/>
                <w:highlight w:val="none"/>
                <w:lang w:eastAsia="zh-CN"/>
                <w14:textFill>
                  <w14:solidFill>
                    <w14:schemeClr w14:val="tx1"/>
                  </w14:solidFill>
                </w14:textFill>
              </w:rPr>
              <w:t>月1日以来获得工程质量或安全文明工地奖（建筑施工安全文明标准化工地）</w:t>
            </w:r>
            <w:r>
              <w:rPr>
                <w:rFonts w:hint="eastAsia"/>
                <w:color w:val="000000" w:themeColor="text1"/>
                <w:sz w:val="21"/>
                <w:szCs w:val="22"/>
                <w:highlight w:val="none"/>
                <w:lang w:val="en-US" w:eastAsia="zh-CN"/>
                <w14:textFill>
                  <w14:solidFill>
                    <w14:schemeClr w14:val="tx1"/>
                  </w14:solidFill>
                </w14:textFill>
              </w:rPr>
              <w:t>的</w:t>
            </w:r>
            <w:r>
              <w:rPr>
                <w:rFonts w:hint="eastAsia"/>
                <w:color w:val="000000" w:themeColor="text1"/>
                <w:sz w:val="21"/>
                <w:szCs w:val="22"/>
                <w:highlight w:val="none"/>
                <w:lang w:eastAsia="zh-CN"/>
                <w14:textFill>
                  <w14:solidFill>
                    <w14:schemeClr w14:val="tx1"/>
                  </w14:solidFill>
                </w14:textFill>
              </w:rPr>
              <w:t>，每</w:t>
            </w:r>
            <w:r>
              <w:rPr>
                <w:color w:val="000000" w:themeColor="text1"/>
                <w:sz w:val="21"/>
                <w:szCs w:val="22"/>
                <w:highlight w:val="none"/>
                <w:lang w:eastAsia="zh-CN"/>
                <w14:textFill>
                  <w14:solidFill>
                    <w14:schemeClr w14:val="tx1"/>
                  </w14:solidFill>
                </w14:textFill>
              </w:rPr>
              <w:t>提供一个</w:t>
            </w:r>
            <w:r>
              <w:rPr>
                <w:rFonts w:hint="eastAsia"/>
                <w:color w:val="000000" w:themeColor="text1"/>
                <w:sz w:val="21"/>
                <w:szCs w:val="22"/>
                <w:highlight w:val="none"/>
                <w:lang w:eastAsia="zh-CN"/>
                <w14:textFill>
                  <w14:solidFill>
                    <w14:schemeClr w14:val="tx1"/>
                  </w14:solidFill>
                </w14:textFill>
              </w:rPr>
              <w:t>得</w:t>
            </w:r>
            <w:r>
              <w:rPr>
                <w:color w:val="000000" w:themeColor="text1"/>
                <w:sz w:val="21"/>
                <w:szCs w:val="22"/>
                <w:highlight w:val="none"/>
                <w:lang w:eastAsia="zh-CN"/>
                <w14:textFill>
                  <w14:solidFill>
                    <w14:schemeClr w14:val="tx1"/>
                  </w14:solidFill>
                </w14:textFill>
              </w:rPr>
              <w:t>1</w:t>
            </w:r>
            <w:r>
              <w:rPr>
                <w:rFonts w:hint="eastAsia"/>
                <w:color w:val="000000" w:themeColor="text1"/>
                <w:sz w:val="21"/>
                <w:szCs w:val="22"/>
                <w:highlight w:val="none"/>
                <w:lang w:eastAsia="zh-CN"/>
                <w14:textFill>
                  <w14:solidFill>
                    <w14:schemeClr w14:val="tx1"/>
                  </w14:solidFill>
                </w14:textFill>
              </w:rPr>
              <w:t>分。（</w:t>
            </w:r>
            <w:r>
              <w:rPr>
                <w:color w:val="000000" w:themeColor="text1"/>
                <w:sz w:val="21"/>
                <w:szCs w:val="22"/>
                <w:highlight w:val="none"/>
                <w:lang w:eastAsia="zh-CN"/>
                <w14:textFill>
                  <w14:solidFill>
                    <w14:schemeClr w14:val="tx1"/>
                  </w14:solidFill>
                </w14:textFill>
              </w:rPr>
              <w:t>满分</w:t>
            </w:r>
            <w:r>
              <w:rPr>
                <w:rFonts w:hint="eastAsia"/>
                <w:color w:val="000000" w:themeColor="text1"/>
                <w:sz w:val="21"/>
                <w:szCs w:val="22"/>
                <w:highlight w:val="none"/>
                <w:lang w:val="en-US" w:eastAsia="zh-CN"/>
                <w14:textFill>
                  <w14:solidFill>
                    <w14:schemeClr w14:val="tx1"/>
                  </w14:solidFill>
                </w14:textFill>
              </w:rPr>
              <w:t>4</w:t>
            </w:r>
            <w:r>
              <w:rPr>
                <w:color w:val="000000" w:themeColor="text1"/>
                <w:sz w:val="21"/>
                <w:szCs w:val="22"/>
                <w:highlight w:val="none"/>
                <w:lang w:eastAsia="zh-CN"/>
                <w14:textFill>
                  <w14:solidFill>
                    <w14:schemeClr w14:val="tx1"/>
                  </w14:solidFill>
                </w14:textFill>
              </w:rPr>
              <w:t>分</w:t>
            </w:r>
            <w:r>
              <w:rPr>
                <w:rFonts w:hint="eastAsia"/>
                <w:color w:val="000000" w:themeColor="text1"/>
                <w:sz w:val="21"/>
                <w:szCs w:val="22"/>
                <w:highlight w:val="none"/>
                <w:lang w:eastAsia="zh-CN"/>
                <w14:textFill>
                  <w14:solidFill>
                    <w14:schemeClr w14:val="tx1"/>
                  </w14:solidFill>
                </w14:textFill>
              </w:rPr>
              <w:t>）</w:t>
            </w:r>
          </w:p>
          <w:p w14:paraId="76733F38">
            <w:pPr>
              <w:spacing w:line="440" w:lineRule="exact"/>
              <w:ind w:firstLine="538" w:firstLineChars="255"/>
              <w:rPr>
                <w:rFonts w:hint="eastAsia" w:eastAsia="宋体"/>
                <w:color w:val="000000" w:themeColor="text1"/>
                <w:lang w:val="en-US" w:eastAsia="zh-CN"/>
                <w14:textFill>
                  <w14:solidFill>
                    <w14:schemeClr w14:val="tx1"/>
                  </w14:solidFill>
                </w14:textFill>
              </w:rPr>
            </w:pPr>
            <w:r>
              <w:rPr>
                <w:rFonts w:hint="eastAsia"/>
                <w:b/>
                <w:bCs/>
                <w:color w:val="000000" w:themeColor="text1"/>
                <w:lang w:eastAsia="zh-CN"/>
                <w14:textFill>
                  <w14:solidFill>
                    <w14:schemeClr w14:val="tx1"/>
                  </w14:solidFill>
                </w14:textFill>
              </w:rPr>
              <w:t>注：供应商于首次响应文件中提供以上相关奖项的复印件，并加盖供应商公章，否则不予计分。</w:t>
            </w:r>
          </w:p>
        </w:tc>
        <w:tc>
          <w:tcPr>
            <w:tcW w:w="794" w:type="dxa"/>
            <w:noWrap w:val="0"/>
            <w:vAlign w:val="center"/>
          </w:tcPr>
          <w:p w14:paraId="55A35D9B">
            <w:pPr>
              <w:keepNext w:val="0"/>
              <w:keepLines w:val="0"/>
              <w:pageBreakBefore w:val="0"/>
              <w:widowControl w:val="0"/>
              <w:kinsoku/>
              <w:wordWrap/>
              <w:overflowPunct/>
              <w:topLinePunct w:val="0"/>
              <w:bidi w:val="0"/>
              <w:spacing w:line="400" w:lineRule="exact"/>
              <w:jc w:val="center"/>
              <w:textAlignment w:val="auto"/>
              <w:rPr>
                <w:rFonts w:hint="eastAsia" w:ascii="宋体" w:hAnsi="宋体" w:eastAsia="宋体" w:cs="宋体"/>
                <w:bCs/>
                <w:color w:val="000000" w:themeColor="text1"/>
                <w:szCs w:val="21"/>
                <w:highlight w:val="none"/>
                <w:lang w:val="en-US" w:eastAsia="zh-CN"/>
                <w14:textFill>
                  <w14:solidFill>
                    <w14:schemeClr w14:val="tx1"/>
                  </w14:solidFill>
                </w14:textFill>
              </w:rPr>
            </w:pPr>
            <w:r>
              <w:rPr>
                <w:rFonts w:hint="eastAsia" w:ascii="宋体" w:hAnsi="宋体" w:cs="宋体"/>
                <w:bCs/>
                <w:color w:val="000000" w:themeColor="text1"/>
                <w:szCs w:val="21"/>
                <w:highlight w:val="none"/>
                <w:lang w:val="en-US" w:eastAsia="zh-CN"/>
                <w14:textFill>
                  <w14:solidFill>
                    <w14:schemeClr w14:val="tx1"/>
                  </w14:solidFill>
                </w14:textFill>
              </w:rPr>
              <w:t>4分</w:t>
            </w:r>
          </w:p>
        </w:tc>
      </w:tr>
      <w:tr w14:paraId="559EE8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59" w:type="dxa"/>
            <w:noWrap w:val="0"/>
            <w:vAlign w:val="center"/>
          </w:tcPr>
          <w:p w14:paraId="6EA7639E">
            <w:pPr>
              <w:keepNext w:val="0"/>
              <w:keepLines w:val="0"/>
              <w:pageBreakBefore w:val="0"/>
              <w:widowControl w:val="0"/>
              <w:kinsoku/>
              <w:wordWrap/>
              <w:overflowPunct/>
              <w:topLinePunct w:val="0"/>
              <w:bidi w:val="0"/>
              <w:spacing w:line="400" w:lineRule="exact"/>
              <w:jc w:val="center"/>
              <w:textAlignment w:val="auto"/>
              <w:rPr>
                <w:rFonts w:hint="default" w:ascii="宋体" w:hAnsi="宋体" w:cs="宋体"/>
                <w:bCs/>
                <w:color w:val="000000" w:themeColor="text1"/>
                <w:szCs w:val="21"/>
                <w:highlight w:val="none"/>
                <w:lang w:val="en-US" w:eastAsia="zh-CN"/>
                <w14:textFill>
                  <w14:solidFill>
                    <w14:schemeClr w14:val="tx1"/>
                  </w14:solidFill>
                </w14:textFill>
              </w:rPr>
            </w:pPr>
            <w:r>
              <w:rPr>
                <w:rFonts w:hint="eastAsia" w:ascii="宋体" w:hAnsi="宋体" w:cs="宋体"/>
                <w:bCs/>
                <w:color w:val="000000" w:themeColor="text1"/>
                <w:szCs w:val="21"/>
                <w:highlight w:val="none"/>
                <w:lang w:val="en-US" w:eastAsia="zh-CN"/>
                <w14:textFill>
                  <w14:solidFill>
                    <w14:schemeClr w14:val="tx1"/>
                  </w14:solidFill>
                </w14:textFill>
              </w:rPr>
              <w:t>3</w:t>
            </w:r>
          </w:p>
        </w:tc>
        <w:tc>
          <w:tcPr>
            <w:tcW w:w="1082" w:type="dxa"/>
            <w:noWrap w:val="0"/>
            <w:vAlign w:val="center"/>
          </w:tcPr>
          <w:p w14:paraId="5CD92631">
            <w:pPr>
              <w:keepNext w:val="0"/>
              <w:keepLines w:val="0"/>
              <w:pageBreakBefore w:val="0"/>
              <w:widowControl w:val="0"/>
              <w:kinsoku/>
              <w:wordWrap/>
              <w:overflowPunct/>
              <w:topLinePunct w:val="0"/>
              <w:bidi w:val="0"/>
              <w:spacing w:line="400" w:lineRule="exact"/>
              <w:jc w:val="center"/>
              <w:textAlignment w:val="auto"/>
              <w:rPr>
                <w:rFonts w:hint="eastAsia" w:ascii="宋体" w:hAnsi="宋体" w:eastAsia="宋体" w:cs="宋体"/>
                <w:bCs/>
                <w:color w:val="000000" w:themeColor="text1"/>
                <w:szCs w:val="21"/>
                <w:highlight w:val="none"/>
                <w14:textFill>
                  <w14:solidFill>
                    <w14:schemeClr w14:val="tx1"/>
                  </w14:solidFill>
                </w14:textFill>
              </w:rPr>
            </w:pPr>
            <w:r>
              <w:rPr>
                <w:rFonts w:hint="eastAsia" w:ascii="宋体" w:hAnsi="宋体" w:eastAsia="宋体" w:cs="宋体"/>
                <w:bCs/>
                <w:color w:val="000000" w:themeColor="text1"/>
                <w:szCs w:val="21"/>
                <w:highlight w:val="none"/>
                <w14:textFill>
                  <w14:solidFill>
                    <w14:schemeClr w14:val="tx1"/>
                  </w14:solidFill>
                </w14:textFill>
              </w:rPr>
              <w:t>商务分</w:t>
            </w:r>
          </w:p>
        </w:tc>
        <w:tc>
          <w:tcPr>
            <w:tcW w:w="1575" w:type="dxa"/>
            <w:noWrap w:val="0"/>
            <w:vAlign w:val="center"/>
          </w:tcPr>
          <w:p w14:paraId="5096DD23">
            <w:pPr>
              <w:keepNext w:val="0"/>
              <w:keepLines w:val="0"/>
              <w:pageBreakBefore w:val="0"/>
              <w:widowControl w:val="0"/>
              <w:shd w:val="clear" w:color="auto" w:fill="FFFFFF"/>
              <w:kinsoku/>
              <w:wordWrap/>
              <w:overflowPunct/>
              <w:topLinePunct w:val="0"/>
              <w:bidi w:val="0"/>
              <w:spacing w:line="400" w:lineRule="exact"/>
              <w:jc w:val="center"/>
              <w:textAlignment w:val="auto"/>
              <w:rPr>
                <w:rFonts w:hint="eastAsia" w:ascii="宋体" w:hAnsi="宋体" w:cs="宋体"/>
                <w:b/>
                <w:bCs w:val="0"/>
                <w:color w:val="000000" w:themeColor="text1"/>
                <w:spacing w:val="0"/>
                <w:kern w:val="0"/>
                <w:sz w:val="21"/>
                <w:szCs w:val="21"/>
                <w:highlight w:val="none"/>
                <w:lang w:val="en-US" w:eastAsia="zh-CN" w:bidi="ar-SA"/>
                <w14:textFill>
                  <w14:solidFill>
                    <w14:schemeClr w14:val="tx1"/>
                  </w14:solidFill>
                </w14:textFill>
              </w:rPr>
            </w:pPr>
            <w:r>
              <w:rPr>
                <w:rFonts w:hint="eastAsia" w:ascii="宋体" w:hAnsi="宋体" w:cs="宋体"/>
                <w:b/>
                <w:bCs w:val="0"/>
                <w:color w:val="000000" w:themeColor="text1"/>
                <w:spacing w:val="0"/>
                <w:kern w:val="0"/>
                <w:sz w:val="21"/>
                <w:szCs w:val="21"/>
                <w:highlight w:val="none"/>
                <w:lang w:val="en-US" w:eastAsia="zh-CN" w:bidi="ar-SA"/>
                <w14:textFill>
                  <w14:solidFill>
                    <w14:schemeClr w14:val="tx1"/>
                  </w14:solidFill>
                </w14:textFill>
              </w:rPr>
              <w:t>业绩分</w:t>
            </w:r>
          </w:p>
          <w:p w14:paraId="213234F6">
            <w:pPr>
              <w:keepNext w:val="0"/>
              <w:keepLines w:val="0"/>
              <w:pageBreakBefore w:val="0"/>
              <w:widowControl w:val="0"/>
              <w:shd w:val="clear" w:color="auto" w:fill="FFFFFF"/>
              <w:kinsoku/>
              <w:wordWrap/>
              <w:overflowPunct/>
              <w:topLinePunct w:val="0"/>
              <w:bidi w:val="0"/>
              <w:spacing w:line="400" w:lineRule="exact"/>
              <w:jc w:val="center"/>
              <w:textAlignment w:val="auto"/>
              <w:rPr>
                <w:rFonts w:hint="eastAsia" w:ascii="宋体" w:hAnsi="宋体" w:eastAsia="宋体" w:cs="宋体"/>
                <w:b/>
                <w:bCs w:val="0"/>
                <w:color w:val="000000" w:themeColor="text1"/>
                <w:spacing w:val="0"/>
                <w:kern w:val="0"/>
                <w:sz w:val="21"/>
                <w:szCs w:val="21"/>
                <w:highlight w:val="none"/>
                <w:lang w:val="en-US" w:eastAsia="zh-CN" w:bidi="ar-SA"/>
                <w14:textFill>
                  <w14:solidFill>
                    <w14:schemeClr w14:val="tx1"/>
                  </w14:solidFill>
                </w14:textFill>
              </w:rPr>
            </w:pPr>
            <w:r>
              <w:rPr>
                <w:rFonts w:hint="eastAsia" w:ascii="宋体" w:hAnsi="宋体" w:cs="宋体"/>
                <w:b/>
                <w:bCs w:val="0"/>
                <w:color w:val="000000" w:themeColor="text1"/>
                <w:spacing w:val="0"/>
                <w:kern w:val="0"/>
                <w:sz w:val="21"/>
                <w:szCs w:val="21"/>
                <w:highlight w:val="none"/>
                <w:lang w:val="en-US" w:eastAsia="zh-CN" w:bidi="ar-SA"/>
                <w14:textFill>
                  <w14:solidFill>
                    <w14:schemeClr w14:val="tx1"/>
                  </w14:solidFill>
                </w14:textFill>
              </w:rPr>
              <w:t>（满分3分）</w:t>
            </w:r>
          </w:p>
        </w:tc>
        <w:tc>
          <w:tcPr>
            <w:tcW w:w="5489" w:type="dxa"/>
            <w:noWrap w:val="0"/>
            <w:vAlign w:val="center"/>
          </w:tcPr>
          <w:p w14:paraId="50E76514">
            <w:pPr>
              <w:spacing w:line="440" w:lineRule="exact"/>
              <w:ind w:firstLine="535" w:firstLineChars="255"/>
              <w:rPr>
                <w:rFonts w:hint="eastAsia"/>
                <w:color w:val="000000" w:themeColor="text1"/>
                <w:sz w:val="21"/>
                <w:szCs w:val="22"/>
                <w:highlight w:val="none"/>
                <w:lang w:eastAsia="zh-CN"/>
                <w14:textFill>
                  <w14:solidFill>
                    <w14:schemeClr w14:val="tx1"/>
                  </w14:solidFill>
                </w14:textFill>
              </w:rPr>
            </w:pPr>
            <w:r>
              <w:rPr>
                <w:rFonts w:hint="eastAsia"/>
                <w:color w:val="000000" w:themeColor="text1"/>
                <w:sz w:val="21"/>
                <w:szCs w:val="22"/>
                <w:highlight w:val="none"/>
                <w:lang w:eastAsia="zh-CN"/>
                <w14:textFill>
                  <w14:solidFill>
                    <w14:schemeClr w14:val="tx1"/>
                  </w14:solidFill>
                </w14:textFill>
              </w:rPr>
              <w:t>供应商202</w:t>
            </w:r>
            <w:r>
              <w:rPr>
                <w:rFonts w:hint="eastAsia"/>
                <w:color w:val="000000" w:themeColor="text1"/>
                <w:sz w:val="21"/>
                <w:szCs w:val="22"/>
                <w:highlight w:val="none"/>
                <w:lang w:val="en-US" w:eastAsia="zh-CN"/>
                <w14:textFill>
                  <w14:solidFill>
                    <w14:schemeClr w14:val="tx1"/>
                  </w14:solidFill>
                </w14:textFill>
              </w:rPr>
              <w:t>2</w:t>
            </w:r>
            <w:r>
              <w:rPr>
                <w:rFonts w:hint="eastAsia"/>
                <w:color w:val="000000" w:themeColor="text1"/>
                <w:sz w:val="21"/>
                <w:szCs w:val="22"/>
                <w:highlight w:val="none"/>
                <w:lang w:eastAsia="zh-CN"/>
                <w14:textFill>
                  <w14:solidFill>
                    <w14:schemeClr w14:val="tx1"/>
                  </w14:solidFill>
                </w14:textFill>
              </w:rPr>
              <w:t>年</w:t>
            </w:r>
            <w:r>
              <w:rPr>
                <w:rFonts w:hint="eastAsia"/>
                <w:color w:val="000000" w:themeColor="text1"/>
                <w:sz w:val="21"/>
                <w:szCs w:val="22"/>
                <w:highlight w:val="none"/>
                <w:lang w:val="en-US" w:eastAsia="zh-CN"/>
                <w14:textFill>
                  <w14:solidFill>
                    <w14:schemeClr w14:val="tx1"/>
                  </w14:solidFill>
                </w14:textFill>
              </w:rPr>
              <w:t>1</w:t>
            </w:r>
            <w:r>
              <w:rPr>
                <w:rFonts w:hint="eastAsia"/>
                <w:color w:val="000000" w:themeColor="text1"/>
                <w:sz w:val="21"/>
                <w:szCs w:val="22"/>
                <w:highlight w:val="none"/>
                <w:lang w:eastAsia="zh-CN"/>
                <w14:textFill>
                  <w14:solidFill>
                    <w14:schemeClr w14:val="tx1"/>
                  </w14:solidFill>
                </w14:textFill>
              </w:rPr>
              <w:t>月1日以来</w:t>
            </w:r>
            <w:r>
              <w:rPr>
                <w:color w:val="000000" w:themeColor="text1"/>
                <w:sz w:val="21"/>
                <w:szCs w:val="22"/>
                <w:highlight w:val="none"/>
                <w:lang w:eastAsia="zh-CN"/>
                <w14:textFill>
                  <w14:solidFill>
                    <w14:schemeClr w14:val="tx1"/>
                  </w14:solidFill>
                </w14:textFill>
              </w:rPr>
              <w:t>完成的类似项目业绩，每提供一个得1分。</w:t>
            </w:r>
            <w:r>
              <w:rPr>
                <w:rFonts w:hint="eastAsia"/>
                <w:color w:val="000000" w:themeColor="text1"/>
                <w:lang w:val="en-US" w:eastAsia="zh-CN"/>
                <w14:textFill>
                  <w14:solidFill>
                    <w14:schemeClr w14:val="tx1"/>
                  </w14:solidFill>
                </w14:textFill>
              </w:rPr>
              <w:t>在首次响应文件中提供相应业绩的</w:t>
            </w:r>
            <w:r>
              <w:rPr>
                <w:rFonts w:hint="eastAsia"/>
                <w:color w:val="000000" w:themeColor="text1"/>
                <w:sz w:val="21"/>
                <w:szCs w:val="22"/>
                <w:highlight w:val="none"/>
                <w:lang w:eastAsia="zh-CN"/>
                <w14:textFill>
                  <w14:solidFill>
                    <w14:schemeClr w14:val="tx1"/>
                  </w14:solidFill>
                </w14:textFill>
              </w:rPr>
              <w:t>竣工验收意见书或验收报告。 （</w:t>
            </w:r>
            <w:r>
              <w:rPr>
                <w:color w:val="000000" w:themeColor="text1"/>
                <w:sz w:val="21"/>
                <w:szCs w:val="22"/>
                <w:highlight w:val="none"/>
                <w:lang w:eastAsia="zh-CN"/>
                <w14:textFill>
                  <w14:solidFill>
                    <w14:schemeClr w14:val="tx1"/>
                  </w14:solidFill>
                </w14:textFill>
              </w:rPr>
              <w:t>满分</w:t>
            </w:r>
            <w:r>
              <w:rPr>
                <w:rFonts w:hint="eastAsia"/>
                <w:color w:val="000000" w:themeColor="text1"/>
                <w:sz w:val="21"/>
                <w:szCs w:val="22"/>
                <w:highlight w:val="none"/>
                <w:lang w:val="en-US" w:eastAsia="zh-CN"/>
                <w14:textFill>
                  <w14:solidFill>
                    <w14:schemeClr w14:val="tx1"/>
                  </w14:solidFill>
                </w14:textFill>
              </w:rPr>
              <w:t>3</w:t>
            </w:r>
            <w:r>
              <w:rPr>
                <w:color w:val="000000" w:themeColor="text1"/>
                <w:sz w:val="21"/>
                <w:szCs w:val="22"/>
                <w:highlight w:val="none"/>
                <w:lang w:eastAsia="zh-CN"/>
                <w14:textFill>
                  <w14:solidFill>
                    <w14:schemeClr w14:val="tx1"/>
                  </w14:solidFill>
                </w14:textFill>
              </w:rPr>
              <w:t>分</w:t>
            </w:r>
            <w:r>
              <w:rPr>
                <w:rFonts w:hint="eastAsia"/>
                <w:color w:val="000000" w:themeColor="text1"/>
                <w:sz w:val="21"/>
                <w:szCs w:val="22"/>
                <w:highlight w:val="none"/>
                <w:lang w:eastAsia="zh-CN"/>
                <w14:textFill>
                  <w14:solidFill>
                    <w14:schemeClr w14:val="tx1"/>
                  </w14:solidFill>
                </w14:textFill>
              </w:rPr>
              <w:t>）</w:t>
            </w:r>
          </w:p>
        </w:tc>
        <w:tc>
          <w:tcPr>
            <w:tcW w:w="794" w:type="dxa"/>
            <w:noWrap w:val="0"/>
            <w:vAlign w:val="center"/>
          </w:tcPr>
          <w:p w14:paraId="6F1C48DF">
            <w:pPr>
              <w:keepNext w:val="0"/>
              <w:keepLines w:val="0"/>
              <w:pageBreakBefore w:val="0"/>
              <w:widowControl w:val="0"/>
              <w:kinsoku/>
              <w:wordWrap/>
              <w:overflowPunct/>
              <w:topLinePunct w:val="0"/>
              <w:bidi w:val="0"/>
              <w:spacing w:line="400" w:lineRule="exact"/>
              <w:jc w:val="center"/>
              <w:textAlignment w:val="auto"/>
              <w:rPr>
                <w:rFonts w:hint="eastAsia" w:ascii="宋体" w:hAnsi="宋体" w:cs="宋体"/>
                <w:bCs/>
                <w:color w:val="000000" w:themeColor="text1"/>
                <w:szCs w:val="21"/>
                <w:highlight w:val="none"/>
                <w:lang w:val="en-US" w:eastAsia="zh-CN"/>
                <w14:textFill>
                  <w14:solidFill>
                    <w14:schemeClr w14:val="tx1"/>
                  </w14:solidFill>
                </w14:textFill>
              </w:rPr>
            </w:pPr>
            <w:r>
              <w:rPr>
                <w:rFonts w:hint="eastAsia" w:ascii="宋体" w:hAnsi="宋体" w:cs="宋体"/>
                <w:bCs/>
                <w:color w:val="000000" w:themeColor="text1"/>
                <w:szCs w:val="21"/>
                <w:highlight w:val="none"/>
                <w:lang w:val="en-US" w:eastAsia="zh-CN"/>
                <w14:textFill>
                  <w14:solidFill>
                    <w14:schemeClr w14:val="tx1"/>
                  </w14:solidFill>
                </w14:textFill>
              </w:rPr>
              <w:t>3分</w:t>
            </w:r>
          </w:p>
        </w:tc>
      </w:tr>
    </w:tbl>
    <w:p w14:paraId="47F58762">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7.2终止竞争性磋商采购活动</w:t>
      </w:r>
    </w:p>
    <w:p w14:paraId="0EBA5133">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b/>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磋商小组发现竞争性磋商文件存在歧义、重大缺陷导致评审工作无法进行，或者竞争性磋商文件内容违反国家有关规定的，要停止评审工作并向采购人或采购代理机构书面说明情况，采购人或采购代理机构应当修改竞争性磋商文件后重新组织采购活动；发现供应商提供虚假材料、串通等违法违规行为的，要及时向采购人或采购代理机构报告。</w:t>
      </w:r>
    </w:p>
    <w:p w14:paraId="0E2C712E">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color w:val="000000" w:themeColor="text1"/>
          <w:highlight w:val="none"/>
          <w14:textFill>
            <w14:solidFill>
              <w14:schemeClr w14:val="tx1"/>
            </w14:solidFill>
          </w14:textFill>
        </w:rPr>
      </w:pPr>
      <w:bookmarkStart w:id="180" w:name="_Toc22545"/>
      <w:bookmarkStart w:id="181" w:name="_Toc80886939"/>
      <w:bookmarkStart w:id="182" w:name="_Toc11595"/>
    </w:p>
    <w:p w14:paraId="0F91AD6A">
      <w:pPr>
        <w:pStyle w:val="4"/>
        <w:keepNext/>
        <w:keepLines/>
        <w:pageBreakBefore w:val="0"/>
        <w:widowControl w:val="0"/>
        <w:kinsoku/>
        <w:wordWrap/>
        <w:overflowPunct/>
        <w:topLinePunct w:val="0"/>
        <w:autoSpaceDE/>
        <w:autoSpaceDN/>
        <w:bidi w:val="0"/>
        <w:adjustRightInd/>
        <w:snapToGrid/>
        <w:spacing w:before="0" w:after="0" w:line="360" w:lineRule="auto"/>
        <w:jc w:val="center"/>
        <w:textAlignment w:val="auto"/>
        <w:outlineLvl w:val="1"/>
        <w:rPr>
          <w:rFonts w:hint="eastAsia" w:ascii="宋体" w:hAnsi="宋体" w:eastAsia="宋体" w:cs="宋体"/>
          <w:b/>
          <w:bCs/>
          <w:color w:val="000000" w:themeColor="text1"/>
          <w:sz w:val="30"/>
          <w:szCs w:val="30"/>
          <w:highlight w:val="none"/>
          <w14:textFill>
            <w14:solidFill>
              <w14:schemeClr w14:val="tx1"/>
            </w14:solidFill>
          </w14:textFill>
        </w:rPr>
      </w:pPr>
      <w:bookmarkStart w:id="183" w:name="_Toc30272"/>
      <w:r>
        <w:rPr>
          <w:rFonts w:hint="eastAsia" w:ascii="宋体" w:hAnsi="宋体" w:eastAsia="宋体" w:cs="宋体"/>
          <w:b/>
          <w:bCs/>
          <w:color w:val="000000" w:themeColor="text1"/>
          <w:sz w:val="30"/>
          <w:szCs w:val="30"/>
          <w:highlight w:val="none"/>
          <w14:textFill>
            <w14:solidFill>
              <w14:schemeClr w14:val="tx1"/>
            </w14:solidFill>
          </w14:textFill>
        </w:rPr>
        <w:t>第二节</w:t>
      </w:r>
      <w:r>
        <w:rPr>
          <w:rFonts w:hint="eastAsia" w:ascii="宋体" w:hAnsi="宋体" w:eastAsia="宋体" w:cs="宋体"/>
          <w:b/>
          <w:bCs/>
          <w:color w:val="000000" w:themeColor="text1"/>
          <w:sz w:val="30"/>
          <w:szCs w:val="30"/>
          <w:highlight w:val="none"/>
          <w:lang w:val="en-US" w:eastAsia="zh-CN"/>
          <w14:textFill>
            <w14:solidFill>
              <w14:schemeClr w14:val="tx1"/>
            </w14:solidFill>
          </w14:textFill>
        </w:rPr>
        <w:t xml:space="preserve"> </w:t>
      </w:r>
      <w:r>
        <w:rPr>
          <w:rFonts w:hint="eastAsia" w:ascii="宋体" w:hAnsi="宋体" w:eastAsia="宋体" w:cs="宋体"/>
          <w:b/>
          <w:bCs/>
          <w:color w:val="000000" w:themeColor="text1"/>
          <w:sz w:val="30"/>
          <w:szCs w:val="30"/>
          <w:highlight w:val="none"/>
          <w14:textFill>
            <w14:solidFill>
              <w14:schemeClr w14:val="tx1"/>
            </w14:solidFill>
          </w14:textFill>
        </w:rPr>
        <w:t xml:space="preserve"> 评</w:t>
      </w:r>
      <w:r>
        <w:rPr>
          <w:rFonts w:hint="eastAsia" w:ascii="宋体" w:hAnsi="宋体" w:eastAsia="宋体" w:cs="宋体"/>
          <w:b/>
          <w:bCs/>
          <w:color w:val="000000" w:themeColor="text1"/>
          <w:sz w:val="30"/>
          <w:szCs w:val="30"/>
          <w:highlight w:val="none"/>
          <w:lang w:eastAsia="zh-CN"/>
          <w14:textFill>
            <w14:solidFill>
              <w14:schemeClr w14:val="tx1"/>
            </w14:solidFill>
          </w14:textFill>
        </w:rPr>
        <w:t>审</w:t>
      </w:r>
      <w:r>
        <w:rPr>
          <w:rFonts w:hint="eastAsia" w:ascii="宋体" w:hAnsi="宋体" w:eastAsia="宋体" w:cs="宋体"/>
          <w:b/>
          <w:bCs/>
          <w:color w:val="000000" w:themeColor="text1"/>
          <w:sz w:val="30"/>
          <w:szCs w:val="30"/>
          <w:highlight w:val="none"/>
          <w14:textFill>
            <w14:solidFill>
              <w14:schemeClr w14:val="tx1"/>
            </w14:solidFill>
          </w14:textFill>
        </w:rPr>
        <w:t>报告</w:t>
      </w:r>
      <w:bookmarkEnd w:id="179"/>
      <w:bookmarkEnd w:id="180"/>
      <w:bookmarkEnd w:id="181"/>
      <w:bookmarkEnd w:id="182"/>
      <w:bookmarkEnd w:id="183"/>
    </w:p>
    <w:p w14:paraId="05868C19">
      <w:pPr>
        <w:keepNext w:val="0"/>
        <w:keepLines w:val="0"/>
        <w:pageBreakBefore w:val="0"/>
        <w:widowControl w:val="0"/>
        <w:kinsoku/>
        <w:wordWrap/>
        <w:overflowPunct/>
        <w:topLinePunct w:val="0"/>
        <w:autoSpaceDE/>
        <w:autoSpaceDN/>
        <w:bidi w:val="0"/>
        <w:snapToGrid/>
        <w:spacing w:line="360" w:lineRule="auto"/>
        <w:textAlignment w:val="auto"/>
        <w:rPr>
          <w:rFonts w:eastAsia="黑体"/>
          <w:color w:val="000000" w:themeColor="text1"/>
          <w:sz w:val="24"/>
          <w:szCs w:val="32"/>
          <w:highlight w:val="none"/>
          <w14:textFill>
            <w14:solidFill>
              <w14:schemeClr w14:val="tx1"/>
            </w14:solidFill>
          </w14:textFill>
        </w:rPr>
      </w:pPr>
      <w:r>
        <w:rPr>
          <w:rFonts w:eastAsia="黑体"/>
          <w:color w:val="000000" w:themeColor="text1"/>
          <w:sz w:val="24"/>
          <w:szCs w:val="32"/>
          <w:highlight w:val="none"/>
          <w14:textFill>
            <w14:solidFill>
              <w14:schemeClr w14:val="tx1"/>
            </w14:solidFill>
          </w14:textFill>
        </w:rPr>
        <w:t>1.成交标准</w:t>
      </w:r>
    </w:p>
    <w:p w14:paraId="23E834C6">
      <w:pPr>
        <w:keepNext w:val="0"/>
        <w:keepLines w:val="0"/>
        <w:pageBreakBefore w:val="0"/>
        <w:widowControl w:val="0"/>
        <w:kinsoku/>
        <w:wordWrap/>
        <w:overflowPunct/>
        <w:topLinePunct w:val="0"/>
        <w:autoSpaceDE/>
        <w:autoSpaceDN/>
        <w:bidi w:val="0"/>
        <w:snapToGrid/>
        <w:spacing w:line="360" w:lineRule="auto"/>
        <w:ind w:firstLine="420" w:firstLineChars="200"/>
        <w:textAlignment w:val="auto"/>
        <w:rPr>
          <w:color w:val="000000" w:themeColor="text1"/>
          <w:sz w:val="24"/>
          <w:highlight w:val="none"/>
          <w14:textFill>
            <w14:solidFill>
              <w14:schemeClr w14:val="tx1"/>
            </w14:solidFill>
          </w14:textFill>
        </w:rPr>
      </w:pPr>
      <w:r>
        <w:rPr>
          <w:bCs/>
          <w:color w:val="000000" w:themeColor="text1"/>
          <w:szCs w:val="21"/>
          <w:highlight w:val="none"/>
          <w14:textFill>
            <w14:solidFill>
              <w14:schemeClr w14:val="tx1"/>
            </w14:solidFill>
          </w14:textFill>
        </w:rPr>
        <w:t>由磋商小组根据综合评分情况，按照评审得分由高到低顺序推荐3名以上成交候选供应商</w:t>
      </w:r>
      <w:r>
        <w:rPr>
          <w:color w:val="000000" w:themeColor="text1"/>
          <w:highlight w:val="none"/>
          <w14:textFill>
            <w14:solidFill>
              <w14:schemeClr w14:val="tx1"/>
            </w14:solidFill>
          </w14:textFill>
        </w:rPr>
        <w:t>,并在线编写电子评审报告</w:t>
      </w:r>
      <w:r>
        <w:rPr>
          <w:bCs/>
          <w:color w:val="000000" w:themeColor="text1"/>
          <w:szCs w:val="21"/>
          <w:highlight w:val="none"/>
          <w14:textFill>
            <w14:solidFill>
              <w14:schemeClr w14:val="tx1"/>
            </w14:solidFill>
          </w14:textFill>
        </w:rPr>
        <w:t>。符合本章第一节第</w:t>
      </w:r>
      <w:r>
        <w:rPr>
          <w:rFonts w:hint="eastAsia"/>
          <w:bCs/>
          <w:color w:val="000000" w:themeColor="text1"/>
          <w:szCs w:val="21"/>
          <w:highlight w:val="none"/>
          <w:lang w:val="en-US" w:eastAsia="zh-CN"/>
          <w14:textFill>
            <w14:solidFill>
              <w14:schemeClr w14:val="tx1"/>
            </w14:solidFill>
          </w14:textFill>
        </w:rPr>
        <w:t>3.7</w:t>
      </w:r>
      <w:r>
        <w:rPr>
          <w:bCs/>
          <w:color w:val="000000" w:themeColor="text1"/>
          <w:szCs w:val="21"/>
          <w:highlight w:val="none"/>
          <w14:textFill>
            <w14:solidFill>
              <w14:schemeClr w14:val="tx1"/>
            </w14:solidFill>
          </w14:textFill>
        </w:rPr>
        <w:t>条情形的，可以推荐2家成交候选供应商。评审得分相同的，按照最后报价（不计算价格折扣）由低到高的顺序推荐。评审得分且最后报价（不计算价格折扣）相同的</w:t>
      </w:r>
      <w:r>
        <w:rPr>
          <w:rFonts w:hint="eastAsia"/>
          <w:bCs/>
          <w:color w:val="000000" w:themeColor="text1"/>
          <w:szCs w:val="21"/>
          <w:highlight w:val="none"/>
          <w:lang w:eastAsia="zh-CN"/>
          <w14:textFill>
            <w14:solidFill>
              <w14:schemeClr w14:val="tx1"/>
            </w14:solidFill>
          </w14:textFill>
        </w:rPr>
        <w:t>，</w:t>
      </w:r>
      <w:r>
        <w:rPr>
          <w:bCs/>
          <w:color w:val="000000" w:themeColor="text1"/>
          <w:szCs w:val="21"/>
          <w:highlight w:val="none"/>
          <w14:textFill>
            <w14:solidFill>
              <w14:schemeClr w14:val="tx1"/>
            </w14:solidFill>
          </w14:textFill>
        </w:rPr>
        <w:t>按照技术指标优劣顺序推荐（</w:t>
      </w:r>
      <w:r>
        <w:rPr>
          <w:rFonts w:hint="eastAsia"/>
          <w:color w:val="000000" w:themeColor="text1"/>
          <w:kern w:val="0"/>
          <w:szCs w:val="21"/>
          <w:highlight w:val="none"/>
          <w14:textFill>
            <w14:solidFill>
              <w14:schemeClr w14:val="tx1"/>
            </w14:solidFill>
          </w14:textFill>
        </w:rPr>
        <w:t>按技术分得分由高到低排序，技术分得分相同的按照商务分得分由高到低排序</w:t>
      </w:r>
      <w:r>
        <w:rPr>
          <w:bCs/>
          <w:color w:val="000000" w:themeColor="text1"/>
          <w:szCs w:val="21"/>
          <w:highlight w:val="none"/>
          <w14:textFill>
            <w14:solidFill>
              <w14:schemeClr w14:val="tx1"/>
            </w14:solidFill>
          </w14:textFill>
        </w:rPr>
        <w:t>）</w:t>
      </w:r>
      <w:r>
        <w:rPr>
          <w:rFonts w:hint="eastAsia"/>
          <w:color w:val="000000" w:themeColor="text1"/>
          <w:kern w:val="0"/>
          <w:szCs w:val="21"/>
          <w:highlight w:val="none"/>
          <w14:textFill>
            <w14:solidFill>
              <w14:schemeClr w14:val="tx1"/>
            </w14:solidFill>
          </w14:textFill>
        </w:rPr>
        <w:t>。评审得分、最后报价</w:t>
      </w:r>
      <w:r>
        <w:rPr>
          <w:bCs/>
          <w:color w:val="000000" w:themeColor="text1"/>
          <w:szCs w:val="21"/>
          <w:highlight w:val="none"/>
          <w14:textFill>
            <w14:solidFill>
              <w14:schemeClr w14:val="tx1"/>
            </w14:solidFill>
          </w14:textFill>
        </w:rPr>
        <w:t>（</w:t>
      </w:r>
      <w:r>
        <w:rPr>
          <w:rFonts w:hint="eastAsia"/>
          <w:color w:val="000000" w:themeColor="text1"/>
          <w:kern w:val="0"/>
          <w:szCs w:val="21"/>
          <w:highlight w:val="none"/>
          <w14:textFill>
            <w14:solidFill>
              <w14:schemeClr w14:val="tx1"/>
            </w14:solidFill>
          </w14:textFill>
        </w:rPr>
        <w:t>不计算价格折扣</w:t>
      </w:r>
      <w:r>
        <w:rPr>
          <w:bCs/>
          <w:color w:val="000000" w:themeColor="text1"/>
          <w:szCs w:val="21"/>
          <w:highlight w:val="none"/>
          <w14:textFill>
            <w14:solidFill>
              <w14:schemeClr w14:val="tx1"/>
            </w14:solidFill>
          </w14:textFill>
        </w:rPr>
        <w:t>）</w:t>
      </w:r>
      <w:r>
        <w:rPr>
          <w:rFonts w:hint="eastAsia"/>
          <w:color w:val="000000" w:themeColor="text1"/>
          <w:kern w:val="0"/>
          <w:szCs w:val="21"/>
          <w:highlight w:val="none"/>
          <w14:textFill>
            <w14:solidFill>
              <w14:schemeClr w14:val="tx1"/>
            </w14:solidFill>
          </w14:textFill>
        </w:rPr>
        <w:t>、技术分得分、商务分得分均相同的，由磋商小组随机抽取推荐</w:t>
      </w:r>
      <w:r>
        <w:rPr>
          <w:bCs/>
          <w:color w:val="000000" w:themeColor="text1"/>
          <w:szCs w:val="21"/>
          <w:highlight w:val="none"/>
          <w14:textFill>
            <w14:solidFill>
              <w14:schemeClr w14:val="tx1"/>
            </w14:solidFill>
          </w14:textFill>
        </w:rPr>
        <w:t>。</w:t>
      </w:r>
    </w:p>
    <w:p w14:paraId="08D544C8">
      <w:pPr>
        <w:keepNext w:val="0"/>
        <w:keepLines w:val="0"/>
        <w:pageBreakBefore w:val="0"/>
        <w:widowControl w:val="0"/>
        <w:kinsoku/>
        <w:wordWrap/>
        <w:overflowPunct/>
        <w:topLinePunct w:val="0"/>
        <w:autoSpaceDE/>
        <w:autoSpaceDN/>
        <w:bidi w:val="0"/>
        <w:snapToGrid/>
        <w:spacing w:line="360" w:lineRule="auto"/>
        <w:textAlignment w:val="auto"/>
        <w:rPr>
          <w:rFonts w:eastAsia="黑体"/>
          <w:color w:val="000000" w:themeColor="text1"/>
          <w:sz w:val="24"/>
          <w:szCs w:val="32"/>
          <w:highlight w:val="none"/>
          <w14:textFill>
            <w14:solidFill>
              <w14:schemeClr w14:val="tx1"/>
            </w14:solidFill>
          </w14:textFill>
        </w:rPr>
      </w:pPr>
      <w:r>
        <w:rPr>
          <w:rFonts w:eastAsia="黑体"/>
          <w:color w:val="000000" w:themeColor="text1"/>
          <w:sz w:val="24"/>
          <w:szCs w:val="32"/>
          <w:highlight w:val="none"/>
          <w14:textFill>
            <w14:solidFill>
              <w14:schemeClr w14:val="tx1"/>
            </w14:solidFill>
          </w14:textFill>
        </w:rPr>
        <w:t>2.评标争议事项处理</w:t>
      </w:r>
    </w:p>
    <w:p w14:paraId="16F65629">
      <w:pPr>
        <w:pStyle w:val="73"/>
        <w:keepNext w:val="0"/>
        <w:keepLines w:val="0"/>
        <w:pageBreakBefore w:val="0"/>
        <w:widowControl w:val="0"/>
        <w:kinsoku/>
        <w:wordWrap/>
        <w:overflowPunct/>
        <w:topLinePunct w:val="0"/>
        <w:autoSpaceDE/>
        <w:autoSpaceDN/>
        <w:bidi w:val="0"/>
        <w:snapToGrid/>
        <w:spacing w:before="0"/>
        <w:ind w:firstLine="420"/>
        <w:textAlignment w:val="auto"/>
        <w:rPr>
          <w:color w:val="000000" w:themeColor="text1"/>
          <w:kern w:val="2"/>
          <w:sz w:val="21"/>
          <w:szCs w:val="24"/>
          <w:highlight w:val="none"/>
          <w14:textFill>
            <w14:solidFill>
              <w14:schemeClr w14:val="tx1"/>
            </w14:solidFill>
          </w14:textFill>
        </w:rPr>
      </w:pPr>
      <w:r>
        <w:rPr>
          <w:color w:val="000000" w:themeColor="text1"/>
          <w:kern w:val="2"/>
          <w:sz w:val="21"/>
          <w:szCs w:val="24"/>
          <w:highlight w:val="none"/>
          <w14:textFill>
            <w14:solidFill>
              <w14:schemeClr w14:val="tx1"/>
            </w14:solidFill>
          </w14:textFill>
        </w:rPr>
        <w:t>磋商小组成员对需要共同认定的事项存在争议的，应当按照少数服从多数的原则作出结论。持不同意见的磋商小组成员应当在评</w:t>
      </w:r>
      <w:r>
        <w:rPr>
          <w:color w:val="000000" w:themeColor="text1"/>
          <w:kern w:val="2"/>
          <w:sz w:val="21"/>
          <w:szCs w:val="24"/>
          <w:highlight w:val="none"/>
          <w:lang w:eastAsia="zh-CN"/>
          <w14:textFill>
            <w14:solidFill>
              <w14:schemeClr w14:val="tx1"/>
            </w14:solidFill>
          </w14:textFill>
        </w:rPr>
        <w:t>审</w:t>
      </w:r>
      <w:r>
        <w:rPr>
          <w:color w:val="000000" w:themeColor="text1"/>
          <w:kern w:val="2"/>
          <w:sz w:val="21"/>
          <w:szCs w:val="24"/>
          <w:highlight w:val="none"/>
          <w14:textFill>
            <w14:solidFill>
              <w14:schemeClr w14:val="tx1"/>
            </w14:solidFill>
          </w14:textFill>
        </w:rPr>
        <w:t>报告上签署不同意见及理由，否则视为同意评</w:t>
      </w:r>
      <w:r>
        <w:rPr>
          <w:color w:val="000000" w:themeColor="text1"/>
          <w:kern w:val="2"/>
          <w:sz w:val="21"/>
          <w:szCs w:val="24"/>
          <w:highlight w:val="none"/>
          <w:lang w:eastAsia="zh-CN"/>
          <w14:textFill>
            <w14:solidFill>
              <w14:schemeClr w14:val="tx1"/>
            </w14:solidFill>
          </w14:textFill>
        </w:rPr>
        <w:t>审</w:t>
      </w:r>
      <w:r>
        <w:rPr>
          <w:color w:val="000000" w:themeColor="text1"/>
          <w:kern w:val="2"/>
          <w:sz w:val="21"/>
          <w:szCs w:val="24"/>
          <w:highlight w:val="none"/>
          <w14:textFill>
            <w14:solidFill>
              <w14:schemeClr w14:val="tx1"/>
            </w14:solidFill>
          </w14:textFill>
        </w:rPr>
        <w:t>报告。</w:t>
      </w:r>
    </w:p>
    <w:p w14:paraId="5D45CCC3">
      <w:pPr>
        <w:pStyle w:val="73"/>
        <w:keepNext w:val="0"/>
        <w:keepLines w:val="0"/>
        <w:pageBreakBefore w:val="0"/>
        <w:widowControl w:val="0"/>
        <w:kinsoku/>
        <w:wordWrap/>
        <w:overflowPunct/>
        <w:topLinePunct w:val="0"/>
        <w:autoSpaceDE/>
        <w:autoSpaceDN/>
        <w:bidi w:val="0"/>
        <w:snapToGrid/>
        <w:spacing w:before="0"/>
        <w:ind w:firstLine="420"/>
        <w:textAlignment w:val="auto"/>
        <w:rPr>
          <w:rFonts w:ascii="Times New Roman" w:hAnsi="Times New Roman"/>
          <w:b w:val="0"/>
          <w:color w:val="000000" w:themeColor="text1"/>
          <w:highlight w:val="none"/>
          <w14:textFill>
            <w14:solidFill>
              <w14:schemeClr w14:val="tx1"/>
            </w14:solidFill>
          </w14:textFill>
        </w:rPr>
      </w:pPr>
      <w:bookmarkStart w:id="184" w:name="_Toc2025"/>
      <w:bookmarkStart w:id="185" w:name="_Toc80886940"/>
      <w:bookmarkStart w:id="186" w:name="_Toc20045"/>
      <w:bookmarkStart w:id="187" w:name="_Toc80205936"/>
    </w:p>
    <w:p w14:paraId="378C80F0">
      <w:pPr>
        <w:pStyle w:val="4"/>
        <w:keepNext/>
        <w:keepLines/>
        <w:pageBreakBefore w:val="0"/>
        <w:widowControl w:val="0"/>
        <w:kinsoku/>
        <w:wordWrap/>
        <w:overflowPunct/>
        <w:topLinePunct w:val="0"/>
        <w:autoSpaceDE/>
        <w:autoSpaceDN/>
        <w:bidi w:val="0"/>
        <w:adjustRightInd/>
        <w:snapToGrid/>
        <w:spacing w:before="0" w:after="0" w:line="360" w:lineRule="auto"/>
        <w:jc w:val="center"/>
        <w:textAlignment w:val="auto"/>
        <w:outlineLvl w:val="1"/>
        <w:rPr>
          <w:rFonts w:hint="eastAsia" w:ascii="宋体" w:hAnsi="宋体" w:eastAsia="宋体" w:cs="宋体"/>
          <w:b/>
          <w:bCs/>
          <w:color w:val="000000" w:themeColor="text1"/>
          <w:sz w:val="30"/>
          <w:szCs w:val="30"/>
          <w:highlight w:val="none"/>
          <w14:textFill>
            <w14:solidFill>
              <w14:schemeClr w14:val="tx1"/>
            </w14:solidFill>
          </w14:textFill>
        </w:rPr>
      </w:pPr>
      <w:bookmarkStart w:id="188" w:name="_Toc28298"/>
      <w:r>
        <w:rPr>
          <w:rFonts w:hint="eastAsia" w:ascii="宋体" w:hAnsi="宋体" w:eastAsia="宋体" w:cs="宋体"/>
          <w:b/>
          <w:bCs/>
          <w:color w:val="000000" w:themeColor="text1"/>
          <w:sz w:val="30"/>
          <w:szCs w:val="30"/>
          <w:highlight w:val="none"/>
          <w14:textFill>
            <w14:solidFill>
              <w14:schemeClr w14:val="tx1"/>
            </w14:solidFill>
          </w14:textFill>
        </w:rPr>
        <w:t xml:space="preserve">第三节 </w:t>
      </w:r>
      <w:r>
        <w:rPr>
          <w:rFonts w:hint="eastAsia" w:ascii="宋体" w:hAnsi="宋体" w:eastAsia="宋体" w:cs="宋体"/>
          <w:b/>
          <w:bCs/>
          <w:color w:val="000000" w:themeColor="text1"/>
          <w:sz w:val="30"/>
          <w:szCs w:val="30"/>
          <w:highlight w:val="none"/>
          <w:lang w:val="en-US" w:eastAsia="zh-CN"/>
          <w14:textFill>
            <w14:solidFill>
              <w14:schemeClr w14:val="tx1"/>
            </w14:solidFill>
          </w14:textFill>
        </w:rPr>
        <w:t xml:space="preserve"> </w:t>
      </w:r>
      <w:r>
        <w:rPr>
          <w:rFonts w:hint="eastAsia" w:ascii="宋体" w:hAnsi="宋体" w:eastAsia="宋体" w:cs="宋体"/>
          <w:b/>
          <w:bCs/>
          <w:color w:val="000000" w:themeColor="text1"/>
          <w:sz w:val="30"/>
          <w:szCs w:val="30"/>
          <w:highlight w:val="none"/>
          <w14:textFill>
            <w14:solidFill>
              <w14:schemeClr w14:val="tx1"/>
            </w14:solidFill>
          </w14:textFill>
        </w:rPr>
        <w:t>评审过程的保密与录像</w:t>
      </w:r>
      <w:bookmarkEnd w:id="184"/>
      <w:bookmarkEnd w:id="185"/>
      <w:bookmarkEnd w:id="186"/>
      <w:bookmarkEnd w:id="187"/>
      <w:bookmarkEnd w:id="188"/>
    </w:p>
    <w:p w14:paraId="3F1A5F48">
      <w:pPr>
        <w:keepNext w:val="0"/>
        <w:keepLines w:val="0"/>
        <w:pageBreakBefore w:val="0"/>
        <w:kinsoku/>
        <w:wordWrap/>
        <w:overflowPunct/>
        <w:topLinePunct w:val="0"/>
        <w:autoSpaceDE/>
        <w:autoSpaceDN/>
        <w:bidi w:val="0"/>
        <w:adjustRightInd/>
        <w:snapToGrid/>
        <w:spacing w:line="360" w:lineRule="auto"/>
        <w:textAlignment w:val="auto"/>
        <w:rPr>
          <w:rFonts w:eastAsia="黑体"/>
          <w:color w:val="000000" w:themeColor="text1"/>
          <w:sz w:val="24"/>
          <w:szCs w:val="32"/>
          <w:highlight w:val="none"/>
          <w14:textFill>
            <w14:solidFill>
              <w14:schemeClr w14:val="tx1"/>
            </w14:solidFill>
          </w14:textFill>
        </w:rPr>
      </w:pPr>
      <w:r>
        <w:rPr>
          <w:rFonts w:eastAsia="黑体"/>
          <w:color w:val="000000" w:themeColor="text1"/>
          <w:sz w:val="24"/>
          <w:szCs w:val="32"/>
          <w:highlight w:val="none"/>
          <w14:textFill>
            <w14:solidFill>
              <w14:schemeClr w14:val="tx1"/>
            </w14:solidFill>
          </w14:textFill>
        </w:rPr>
        <w:t>1.保密。</w:t>
      </w:r>
    </w:p>
    <w:p w14:paraId="049E2A41">
      <w:pPr>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auto"/>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评审活动在严格保密的情况下进行。评审过程中凡是与响应文件评审和比较、成交供应商推荐等评审有关的情况，以及涉及国家秘密和商业秘密等信息，磋商小组成员、采购人和采购代理机构工作人员、相关监督人员等与评审有关的人员应当予以保密。</w:t>
      </w:r>
    </w:p>
    <w:p w14:paraId="18B6E95C">
      <w:pPr>
        <w:keepNext w:val="0"/>
        <w:keepLines w:val="0"/>
        <w:pageBreakBefore w:val="0"/>
        <w:widowControl/>
        <w:kinsoku/>
        <w:wordWrap/>
        <w:overflowPunct/>
        <w:topLinePunct w:val="0"/>
        <w:autoSpaceDE/>
        <w:autoSpaceDN/>
        <w:bidi w:val="0"/>
        <w:adjustRightInd/>
        <w:snapToGrid/>
        <w:spacing w:line="360" w:lineRule="auto"/>
        <w:textAlignment w:val="auto"/>
        <w:rPr>
          <w:rFonts w:eastAsia="黑体"/>
          <w:color w:val="000000" w:themeColor="text1"/>
          <w:sz w:val="24"/>
          <w:szCs w:val="32"/>
          <w:highlight w:val="none"/>
          <w14:textFill>
            <w14:solidFill>
              <w14:schemeClr w14:val="tx1"/>
            </w14:solidFill>
          </w14:textFill>
        </w:rPr>
      </w:pPr>
      <w:r>
        <w:rPr>
          <w:rFonts w:eastAsia="黑体"/>
          <w:color w:val="000000" w:themeColor="text1"/>
          <w:sz w:val="24"/>
          <w:szCs w:val="32"/>
          <w:highlight w:val="none"/>
          <w14:textFill>
            <w14:solidFill>
              <w14:schemeClr w14:val="tx1"/>
            </w14:solidFill>
          </w14:textFill>
        </w:rPr>
        <w:t>2.录音录像。</w:t>
      </w:r>
    </w:p>
    <w:p w14:paraId="417AFB2A">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eastAsia" w:ascii="Calibri" w:hAnsi="Calibri"/>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采购代理机构对评审工作现场及操作屏幕进行全过程录音录像，录音录像资料作为采购项目文件随其他文件一并存档。</w:t>
      </w:r>
      <w:bookmarkStart w:id="189" w:name="_Toc5005"/>
      <w:bookmarkStart w:id="190" w:name="_Toc27282"/>
      <w:bookmarkStart w:id="191" w:name="_Toc26272"/>
      <w:bookmarkStart w:id="192" w:name="_Toc7776"/>
      <w:bookmarkStart w:id="193" w:name="_Toc80886941"/>
      <w:bookmarkStart w:id="194" w:name="_Toc12890"/>
      <w:bookmarkStart w:id="195" w:name="_Toc12792"/>
      <w:bookmarkStart w:id="196" w:name="_Toc6476"/>
    </w:p>
    <w:p w14:paraId="39639B75">
      <w:pPr>
        <w:rPr>
          <w:rFonts w:hint="eastAsia" w:ascii="华文中宋" w:hAnsi="华文中宋" w:eastAsia="华文中宋" w:cs="华文中宋"/>
          <w:color w:val="000000" w:themeColor="text1"/>
          <w:sz w:val="32"/>
          <w:szCs w:val="32"/>
          <w14:textFill>
            <w14:solidFill>
              <w14:schemeClr w14:val="tx1"/>
            </w14:solidFill>
          </w14:textFill>
        </w:rPr>
      </w:pPr>
      <w:r>
        <w:rPr>
          <w:rFonts w:hint="eastAsia" w:ascii="华文中宋" w:hAnsi="华文中宋" w:eastAsia="华文中宋" w:cs="华文中宋"/>
          <w:color w:val="000000" w:themeColor="text1"/>
          <w:sz w:val="32"/>
          <w:szCs w:val="32"/>
          <w14:textFill>
            <w14:solidFill>
              <w14:schemeClr w14:val="tx1"/>
            </w14:solidFill>
          </w14:textFill>
        </w:rPr>
        <w:br w:type="page"/>
      </w:r>
    </w:p>
    <w:p w14:paraId="310C4A47">
      <w:pPr>
        <w:keepNext w:val="0"/>
        <w:keepLines w:val="0"/>
        <w:pageBreakBefore w:val="0"/>
        <w:widowControl w:val="0"/>
        <w:numPr>
          <w:ilvl w:val="0"/>
          <w:numId w:val="2"/>
        </w:numPr>
        <w:kinsoku/>
        <w:wordWrap/>
        <w:overflowPunct/>
        <w:topLinePunct w:val="0"/>
        <w:autoSpaceDE/>
        <w:autoSpaceDN/>
        <w:bidi w:val="0"/>
        <w:adjustRightInd/>
        <w:snapToGrid/>
        <w:spacing w:line="360" w:lineRule="auto"/>
        <w:jc w:val="center"/>
        <w:textAlignment w:val="auto"/>
        <w:outlineLvl w:val="0"/>
        <w:rPr>
          <w:rFonts w:hint="eastAsia" w:ascii="华文中宋" w:hAnsi="华文中宋" w:eastAsia="华文中宋" w:cs="华文中宋"/>
          <w:color w:val="000000" w:themeColor="text1"/>
          <w:sz w:val="32"/>
          <w:szCs w:val="32"/>
          <w14:textFill>
            <w14:solidFill>
              <w14:schemeClr w14:val="tx1"/>
            </w14:solidFill>
          </w14:textFill>
        </w:rPr>
      </w:pPr>
      <w:r>
        <w:rPr>
          <w:rFonts w:hint="eastAsia" w:ascii="华文中宋" w:hAnsi="华文中宋" w:eastAsia="华文中宋" w:cs="华文中宋"/>
          <w:color w:val="000000" w:themeColor="text1"/>
          <w:sz w:val="32"/>
          <w:szCs w:val="32"/>
          <w:lang w:val="en-US" w:eastAsia="zh-CN"/>
          <w14:textFill>
            <w14:solidFill>
              <w14:schemeClr w14:val="tx1"/>
            </w14:solidFill>
          </w14:textFill>
        </w:rPr>
        <w:t xml:space="preserve"> </w:t>
      </w:r>
      <w:bookmarkStart w:id="197" w:name="_Toc4423"/>
      <w:bookmarkStart w:id="198" w:name="_Toc1820"/>
      <w:r>
        <w:rPr>
          <w:rFonts w:hint="eastAsia" w:ascii="华文中宋" w:hAnsi="华文中宋" w:eastAsia="华文中宋" w:cs="华文中宋"/>
          <w:color w:val="000000" w:themeColor="text1"/>
          <w:sz w:val="32"/>
          <w:szCs w:val="32"/>
          <w14:textFill>
            <w14:solidFill>
              <w14:schemeClr w14:val="tx1"/>
            </w14:solidFill>
          </w14:textFill>
        </w:rPr>
        <w:t>响应文件格式</w:t>
      </w:r>
      <w:bookmarkEnd w:id="189"/>
      <w:bookmarkEnd w:id="190"/>
      <w:bookmarkEnd w:id="191"/>
      <w:bookmarkEnd w:id="192"/>
      <w:bookmarkEnd w:id="193"/>
      <w:bookmarkEnd w:id="194"/>
      <w:bookmarkEnd w:id="195"/>
      <w:bookmarkEnd w:id="196"/>
      <w:bookmarkEnd w:id="197"/>
      <w:bookmarkEnd w:id="198"/>
    </w:p>
    <w:p w14:paraId="7E52F496">
      <w:pPr>
        <w:pStyle w:val="4"/>
        <w:keepNext/>
        <w:keepLines/>
        <w:pageBreakBefore w:val="0"/>
        <w:widowControl w:val="0"/>
        <w:kinsoku/>
        <w:wordWrap/>
        <w:overflowPunct/>
        <w:topLinePunct w:val="0"/>
        <w:autoSpaceDE/>
        <w:autoSpaceDN/>
        <w:bidi w:val="0"/>
        <w:adjustRightInd/>
        <w:snapToGrid/>
        <w:spacing w:before="0" w:after="0" w:line="360" w:lineRule="auto"/>
        <w:jc w:val="center"/>
        <w:textAlignment w:val="auto"/>
        <w:outlineLvl w:val="1"/>
        <w:rPr>
          <w:rFonts w:hint="eastAsia" w:ascii="宋体" w:hAnsi="宋体" w:eastAsia="宋体" w:cs="宋体"/>
          <w:b/>
          <w:bCs/>
          <w:color w:val="000000" w:themeColor="text1"/>
          <w:sz w:val="30"/>
          <w:szCs w:val="30"/>
          <w:highlight w:val="none"/>
          <w14:textFill>
            <w14:solidFill>
              <w14:schemeClr w14:val="tx1"/>
            </w14:solidFill>
          </w14:textFill>
        </w:rPr>
      </w:pPr>
      <w:bookmarkStart w:id="199" w:name="_Toc12994"/>
      <w:bookmarkStart w:id="200" w:name="_Toc80205939"/>
      <w:bookmarkStart w:id="201" w:name="_Toc17665"/>
      <w:bookmarkStart w:id="202" w:name="_Toc80886943"/>
      <w:bookmarkStart w:id="203" w:name="_Toc22245"/>
      <w:r>
        <w:rPr>
          <w:rFonts w:hint="eastAsia" w:ascii="宋体" w:hAnsi="宋体" w:eastAsia="宋体" w:cs="宋体"/>
          <w:b/>
          <w:bCs/>
          <w:color w:val="000000" w:themeColor="text1"/>
          <w:sz w:val="30"/>
          <w:szCs w:val="30"/>
          <w:highlight w:val="none"/>
          <w14:textFill>
            <w14:solidFill>
              <w14:schemeClr w14:val="tx1"/>
            </w14:solidFill>
          </w14:textFill>
        </w:rPr>
        <w:t>第</w:t>
      </w:r>
      <w:r>
        <w:rPr>
          <w:rFonts w:hint="eastAsia" w:ascii="宋体" w:hAnsi="宋体" w:eastAsia="宋体" w:cs="宋体"/>
          <w:b/>
          <w:bCs/>
          <w:color w:val="000000" w:themeColor="text1"/>
          <w:sz w:val="30"/>
          <w:szCs w:val="30"/>
          <w:highlight w:val="none"/>
          <w:lang w:eastAsia="zh-CN"/>
          <w14:textFill>
            <w14:solidFill>
              <w14:schemeClr w14:val="tx1"/>
            </w14:solidFill>
          </w14:textFill>
        </w:rPr>
        <w:t>一</w:t>
      </w:r>
      <w:r>
        <w:rPr>
          <w:rFonts w:hint="eastAsia" w:ascii="宋体" w:hAnsi="宋体" w:eastAsia="宋体" w:cs="宋体"/>
          <w:b/>
          <w:bCs/>
          <w:color w:val="000000" w:themeColor="text1"/>
          <w:sz w:val="30"/>
          <w:szCs w:val="30"/>
          <w:highlight w:val="none"/>
          <w14:textFill>
            <w14:solidFill>
              <w14:schemeClr w14:val="tx1"/>
            </w14:solidFill>
          </w14:textFill>
        </w:rPr>
        <w:t xml:space="preserve">节 </w:t>
      </w:r>
      <w:r>
        <w:rPr>
          <w:rFonts w:hint="eastAsia" w:ascii="宋体" w:hAnsi="宋体" w:eastAsia="宋体" w:cs="宋体"/>
          <w:b/>
          <w:bCs/>
          <w:color w:val="000000" w:themeColor="text1"/>
          <w:sz w:val="30"/>
          <w:szCs w:val="30"/>
          <w:highlight w:val="none"/>
          <w:lang w:val="en-US" w:eastAsia="zh-CN"/>
          <w14:textFill>
            <w14:solidFill>
              <w14:schemeClr w14:val="tx1"/>
            </w14:solidFill>
          </w14:textFill>
        </w:rPr>
        <w:t xml:space="preserve"> </w:t>
      </w:r>
      <w:r>
        <w:rPr>
          <w:rFonts w:hint="eastAsia" w:ascii="宋体" w:hAnsi="宋体" w:eastAsia="宋体" w:cs="宋体"/>
          <w:b/>
          <w:bCs/>
          <w:color w:val="000000" w:themeColor="text1"/>
          <w:sz w:val="30"/>
          <w:szCs w:val="30"/>
          <w:highlight w:val="none"/>
          <w14:textFill>
            <w14:solidFill>
              <w14:schemeClr w14:val="tx1"/>
            </w14:solidFill>
          </w14:textFill>
        </w:rPr>
        <w:t>资格证明文件格式</w:t>
      </w:r>
      <w:bookmarkEnd w:id="199"/>
      <w:bookmarkEnd w:id="200"/>
      <w:bookmarkEnd w:id="201"/>
      <w:bookmarkEnd w:id="202"/>
      <w:bookmarkEnd w:id="203"/>
    </w:p>
    <w:p w14:paraId="218B41DF">
      <w:pPr>
        <w:snapToGrid w:val="0"/>
        <w:spacing w:before="120" w:beforeLines="50" w:after="50"/>
        <w:jc w:val="left"/>
        <w:outlineLvl w:val="2"/>
        <w:rPr>
          <w:color w:val="000000" w:themeColor="text1"/>
          <w:sz w:val="24"/>
          <w:highlight w:val="none"/>
          <w14:textFill>
            <w14:solidFill>
              <w14:schemeClr w14:val="tx1"/>
            </w14:solidFill>
          </w14:textFill>
        </w:rPr>
      </w:pPr>
      <w:bookmarkStart w:id="204" w:name="_Toc4279"/>
      <w:r>
        <w:rPr>
          <w:b/>
          <w:bCs/>
          <w:color w:val="000000" w:themeColor="text1"/>
          <w:sz w:val="28"/>
          <w:szCs w:val="28"/>
          <w:highlight w:val="none"/>
          <w14:textFill>
            <w14:solidFill>
              <w14:schemeClr w14:val="tx1"/>
            </w14:solidFill>
          </w14:textFill>
        </w:rPr>
        <w:t>1.资格证明文件封面的格式：</w:t>
      </w:r>
      <w:bookmarkEnd w:id="204"/>
      <w:r>
        <w:rPr>
          <w:color w:val="000000" w:themeColor="text1"/>
          <w:sz w:val="24"/>
          <w:highlight w:val="none"/>
          <w14:textFill>
            <w14:solidFill>
              <w14:schemeClr w14:val="tx1"/>
            </w14:solidFill>
          </w14:textFill>
        </w:rPr>
        <w:t xml:space="preserve">                                      </w:t>
      </w:r>
    </w:p>
    <w:p w14:paraId="31F627AB">
      <w:pPr>
        <w:snapToGrid w:val="0"/>
        <w:spacing w:before="120" w:beforeLines="50" w:after="50"/>
        <w:ind w:firstLine="6930" w:firstLineChars="3300"/>
        <w:rPr>
          <w:bCs/>
          <w:color w:val="000000" w:themeColor="text1"/>
          <w:sz w:val="32"/>
          <w:szCs w:val="20"/>
          <w:highlight w:val="none"/>
          <w14:textFill>
            <w14:solidFill>
              <w14:schemeClr w14:val="tx1"/>
            </w14:solidFill>
          </w14:textFill>
        </w:rPr>
      </w:pPr>
      <w:r>
        <w:rPr>
          <w:bCs/>
          <w:color w:val="000000" w:themeColor="text1"/>
          <w:highlight w:val="none"/>
          <w14:textFill>
            <w14:solidFill>
              <w14:schemeClr w14:val="tx1"/>
            </w14:solidFill>
          </w14:textFill>
        </w:rPr>
        <w:t>全流程电子文件</w:t>
      </w:r>
    </w:p>
    <w:p w14:paraId="6CD2AFA8">
      <w:pPr>
        <w:snapToGrid w:val="0"/>
        <w:spacing w:before="120" w:beforeLines="50" w:after="50"/>
        <w:rPr>
          <w:color w:val="000000" w:themeColor="text1"/>
          <w:sz w:val="24"/>
          <w:szCs w:val="20"/>
          <w:highlight w:val="none"/>
          <w14:textFill>
            <w14:solidFill>
              <w14:schemeClr w14:val="tx1"/>
            </w14:solidFill>
          </w14:textFill>
        </w:rPr>
      </w:pPr>
    </w:p>
    <w:p w14:paraId="3317144E">
      <w:pPr>
        <w:snapToGrid w:val="0"/>
        <w:spacing w:before="120" w:beforeLines="50" w:after="50"/>
        <w:rPr>
          <w:color w:val="000000" w:themeColor="text1"/>
          <w:sz w:val="24"/>
          <w:szCs w:val="20"/>
          <w:highlight w:val="none"/>
          <w14:textFill>
            <w14:solidFill>
              <w14:schemeClr w14:val="tx1"/>
            </w14:solidFill>
          </w14:textFill>
        </w:rPr>
      </w:pPr>
    </w:p>
    <w:p w14:paraId="1C542357">
      <w:pPr>
        <w:snapToGrid w:val="0"/>
        <w:spacing w:before="120" w:beforeLines="50" w:after="50"/>
        <w:jc w:val="center"/>
        <w:rPr>
          <w:rFonts w:hint="eastAsia" w:ascii="宋体" w:hAnsi="宋体" w:cs="宋体"/>
          <w:b/>
          <w:color w:val="000000" w:themeColor="text1"/>
          <w:sz w:val="44"/>
          <w:szCs w:val="44"/>
          <w:highlight w:val="none"/>
          <w14:textFill>
            <w14:solidFill>
              <w14:schemeClr w14:val="tx1"/>
            </w14:solidFill>
          </w14:textFill>
        </w:rPr>
      </w:pPr>
      <w:r>
        <w:rPr>
          <w:rFonts w:hint="eastAsia" w:ascii="宋体" w:hAnsi="宋体" w:cs="宋体"/>
          <w:b/>
          <w:color w:val="000000" w:themeColor="text1"/>
          <w:sz w:val="44"/>
          <w:szCs w:val="44"/>
          <w:highlight w:val="none"/>
          <w14:textFill>
            <w14:solidFill>
              <w14:schemeClr w14:val="tx1"/>
            </w14:solidFill>
          </w14:textFill>
        </w:rPr>
        <w:t>资格证明文件</w:t>
      </w:r>
    </w:p>
    <w:p w14:paraId="705E52CC">
      <w:pPr>
        <w:snapToGrid w:val="0"/>
        <w:spacing w:before="120" w:beforeLines="50" w:after="50"/>
        <w:rPr>
          <w:bCs/>
          <w:color w:val="000000" w:themeColor="text1"/>
          <w:sz w:val="24"/>
          <w:szCs w:val="20"/>
          <w:highlight w:val="none"/>
          <w14:textFill>
            <w14:solidFill>
              <w14:schemeClr w14:val="tx1"/>
            </w14:solidFill>
          </w14:textFill>
        </w:rPr>
      </w:pPr>
    </w:p>
    <w:p w14:paraId="1B00844A">
      <w:pPr>
        <w:snapToGrid w:val="0"/>
        <w:spacing w:before="120" w:beforeLines="50" w:after="50"/>
        <w:rPr>
          <w:bCs/>
          <w:color w:val="000000" w:themeColor="text1"/>
          <w:sz w:val="24"/>
          <w:szCs w:val="20"/>
          <w:highlight w:val="none"/>
          <w14:textFill>
            <w14:solidFill>
              <w14:schemeClr w14:val="tx1"/>
            </w14:solidFill>
          </w14:textFill>
        </w:rPr>
      </w:pPr>
    </w:p>
    <w:p w14:paraId="2ED366D8">
      <w:pPr>
        <w:snapToGrid w:val="0"/>
        <w:spacing w:before="120" w:beforeLines="50" w:after="50"/>
        <w:rPr>
          <w:bCs/>
          <w:color w:val="000000" w:themeColor="text1"/>
          <w:sz w:val="24"/>
          <w:szCs w:val="20"/>
          <w:highlight w:val="none"/>
          <w14:textFill>
            <w14:solidFill>
              <w14:schemeClr w14:val="tx1"/>
            </w14:solidFill>
          </w14:textFill>
        </w:rPr>
      </w:pPr>
    </w:p>
    <w:p w14:paraId="65212C57">
      <w:pPr>
        <w:snapToGrid w:val="0"/>
        <w:spacing w:before="120" w:beforeLines="50" w:after="50"/>
        <w:rPr>
          <w:bCs/>
          <w:color w:val="000000" w:themeColor="text1"/>
          <w:sz w:val="24"/>
          <w:szCs w:val="20"/>
          <w:highlight w:val="none"/>
          <w14:textFill>
            <w14:solidFill>
              <w14:schemeClr w14:val="tx1"/>
            </w14:solidFill>
          </w14:textFill>
        </w:rPr>
      </w:pPr>
    </w:p>
    <w:p w14:paraId="360CA320">
      <w:pPr>
        <w:snapToGrid w:val="0"/>
        <w:spacing w:before="120" w:beforeLines="50" w:after="50"/>
        <w:rPr>
          <w:bCs/>
          <w:color w:val="000000" w:themeColor="text1"/>
          <w:sz w:val="24"/>
          <w:szCs w:val="20"/>
          <w:highlight w:val="none"/>
          <w14:textFill>
            <w14:solidFill>
              <w14:schemeClr w14:val="tx1"/>
            </w14:solidFill>
          </w14:textFill>
        </w:rPr>
      </w:pPr>
    </w:p>
    <w:p w14:paraId="32D61887">
      <w:pPr>
        <w:snapToGrid w:val="0"/>
        <w:spacing w:before="120" w:beforeLines="50" w:after="50"/>
        <w:ind w:firstLine="640" w:firstLineChars="200"/>
        <w:rPr>
          <w:bCs/>
          <w:color w:val="000000" w:themeColor="text1"/>
          <w:sz w:val="32"/>
          <w:szCs w:val="32"/>
          <w:highlight w:val="none"/>
          <w14:textFill>
            <w14:solidFill>
              <w14:schemeClr w14:val="tx1"/>
            </w14:solidFill>
          </w14:textFill>
        </w:rPr>
      </w:pPr>
      <w:r>
        <w:rPr>
          <w:bCs/>
          <w:color w:val="000000" w:themeColor="text1"/>
          <w:sz w:val="32"/>
          <w:szCs w:val="32"/>
          <w:highlight w:val="none"/>
          <w14:textFill>
            <w14:solidFill>
              <w14:schemeClr w14:val="tx1"/>
            </w14:solidFill>
          </w14:textFill>
        </w:rPr>
        <w:t>项目名称：</w:t>
      </w:r>
    </w:p>
    <w:p w14:paraId="2E39103F">
      <w:pPr>
        <w:snapToGrid w:val="0"/>
        <w:spacing w:before="120" w:beforeLines="50" w:after="50"/>
        <w:ind w:firstLine="720" w:firstLineChars="225"/>
        <w:rPr>
          <w:bCs/>
          <w:color w:val="000000" w:themeColor="text1"/>
          <w:sz w:val="32"/>
          <w:szCs w:val="32"/>
          <w:highlight w:val="none"/>
          <w14:textFill>
            <w14:solidFill>
              <w14:schemeClr w14:val="tx1"/>
            </w14:solidFill>
          </w14:textFill>
        </w:rPr>
      </w:pPr>
    </w:p>
    <w:p w14:paraId="66677E55">
      <w:pPr>
        <w:snapToGrid w:val="0"/>
        <w:spacing w:before="120" w:beforeLines="50" w:after="50"/>
        <w:ind w:firstLine="720" w:firstLineChars="225"/>
        <w:rPr>
          <w:bCs/>
          <w:color w:val="000000" w:themeColor="text1"/>
          <w:sz w:val="32"/>
          <w:szCs w:val="32"/>
          <w:highlight w:val="none"/>
          <w14:textFill>
            <w14:solidFill>
              <w14:schemeClr w14:val="tx1"/>
            </w14:solidFill>
          </w14:textFill>
        </w:rPr>
      </w:pPr>
      <w:r>
        <w:rPr>
          <w:bCs/>
          <w:color w:val="000000" w:themeColor="text1"/>
          <w:sz w:val="32"/>
          <w:szCs w:val="32"/>
          <w:highlight w:val="none"/>
          <w14:textFill>
            <w14:solidFill>
              <w14:schemeClr w14:val="tx1"/>
            </w14:solidFill>
          </w14:textFill>
        </w:rPr>
        <w:t>项目编号：</w:t>
      </w:r>
    </w:p>
    <w:p w14:paraId="2B602571">
      <w:pPr>
        <w:snapToGrid w:val="0"/>
        <w:spacing w:before="120" w:beforeLines="50" w:after="50"/>
        <w:ind w:firstLine="720" w:firstLineChars="225"/>
        <w:rPr>
          <w:bCs/>
          <w:color w:val="000000" w:themeColor="text1"/>
          <w:sz w:val="32"/>
          <w:szCs w:val="32"/>
          <w:highlight w:val="none"/>
          <w14:textFill>
            <w14:solidFill>
              <w14:schemeClr w14:val="tx1"/>
            </w14:solidFill>
          </w14:textFill>
        </w:rPr>
      </w:pPr>
      <w:r>
        <w:rPr>
          <w:bCs/>
          <w:color w:val="000000" w:themeColor="text1"/>
          <w:sz w:val="32"/>
          <w:szCs w:val="32"/>
          <w:highlight w:val="none"/>
          <w14:textFill>
            <w14:solidFill>
              <w14:schemeClr w14:val="tx1"/>
            </w14:solidFill>
          </w14:textFill>
        </w:rPr>
        <w:t xml:space="preserve"> </w:t>
      </w:r>
    </w:p>
    <w:p w14:paraId="6CCAA453">
      <w:pPr>
        <w:snapToGrid w:val="0"/>
        <w:spacing w:before="120" w:beforeLines="50" w:after="50"/>
        <w:ind w:firstLine="720" w:firstLineChars="225"/>
        <w:rPr>
          <w:bCs/>
          <w:color w:val="000000" w:themeColor="text1"/>
          <w:sz w:val="32"/>
          <w:szCs w:val="32"/>
          <w:highlight w:val="none"/>
          <w14:textFill>
            <w14:solidFill>
              <w14:schemeClr w14:val="tx1"/>
            </w14:solidFill>
          </w14:textFill>
        </w:rPr>
      </w:pPr>
      <w:r>
        <w:rPr>
          <w:bCs/>
          <w:color w:val="000000" w:themeColor="text1"/>
          <w:sz w:val="32"/>
          <w:szCs w:val="32"/>
          <w:highlight w:val="none"/>
          <w14:textFill>
            <w14:solidFill>
              <w14:schemeClr w14:val="tx1"/>
            </w14:solidFill>
          </w14:textFill>
        </w:rPr>
        <w:t>所竞分标（如有则填写，无分标时填写</w:t>
      </w:r>
      <w:r>
        <w:rPr>
          <w:rFonts w:hint="eastAsia"/>
          <w:bCs/>
          <w:color w:val="000000" w:themeColor="text1"/>
          <w:sz w:val="32"/>
          <w:szCs w:val="32"/>
          <w:highlight w:val="none"/>
          <w:lang w:eastAsia="zh-CN"/>
          <w14:textFill>
            <w14:solidFill>
              <w14:schemeClr w14:val="tx1"/>
            </w14:solidFill>
          </w14:textFill>
        </w:rPr>
        <w:t>“</w:t>
      </w:r>
      <w:r>
        <w:rPr>
          <w:bCs/>
          <w:color w:val="000000" w:themeColor="text1"/>
          <w:sz w:val="32"/>
          <w:szCs w:val="32"/>
          <w:highlight w:val="none"/>
          <w14:textFill>
            <w14:solidFill>
              <w14:schemeClr w14:val="tx1"/>
            </w14:solidFill>
          </w14:textFill>
        </w:rPr>
        <w:t>无</w:t>
      </w:r>
      <w:r>
        <w:rPr>
          <w:rFonts w:hint="eastAsia"/>
          <w:bCs/>
          <w:color w:val="000000" w:themeColor="text1"/>
          <w:sz w:val="32"/>
          <w:szCs w:val="32"/>
          <w:highlight w:val="none"/>
          <w:lang w:eastAsia="zh-CN"/>
          <w14:textFill>
            <w14:solidFill>
              <w14:schemeClr w14:val="tx1"/>
            </w14:solidFill>
          </w14:textFill>
        </w:rPr>
        <w:t>”</w:t>
      </w:r>
      <w:r>
        <w:rPr>
          <w:bCs/>
          <w:color w:val="000000" w:themeColor="text1"/>
          <w:sz w:val="32"/>
          <w:szCs w:val="32"/>
          <w:highlight w:val="none"/>
          <w14:textFill>
            <w14:solidFill>
              <w14:schemeClr w14:val="tx1"/>
            </w14:solidFill>
          </w14:textFill>
        </w:rPr>
        <w:t>或者留空）：</w:t>
      </w:r>
    </w:p>
    <w:p w14:paraId="4677C2B0">
      <w:pPr>
        <w:snapToGrid w:val="0"/>
        <w:spacing w:before="120" w:beforeLines="50" w:after="50"/>
        <w:ind w:firstLine="720" w:firstLineChars="225"/>
        <w:rPr>
          <w:bCs/>
          <w:color w:val="000000" w:themeColor="text1"/>
          <w:sz w:val="32"/>
          <w:szCs w:val="32"/>
          <w:highlight w:val="none"/>
          <w14:textFill>
            <w14:solidFill>
              <w14:schemeClr w14:val="tx1"/>
            </w14:solidFill>
          </w14:textFill>
        </w:rPr>
      </w:pPr>
    </w:p>
    <w:p w14:paraId="378D26E7">
      <w:pPr>
        <w:pStyle w:val="11"/>
        <w:snapToGrid w:val="0"/>
        <w:spacing w:before="50" w:after="50"/>
        <w:ind w:firstLine="720" w:firstLineChars="225"/>
        <w:rPr>
          <w:bCs/>
          <w:color w:val="000000" w:themeColor="text1"/>
          <w:sz w:val="32"/>
          <w:szCs w:val="32"/>
          <w:highlight w:val="none"/>
          <w14:textFill>
            <w14:solidFill>
              <w14:schemeClr w14:val="tx1"/>
            </w14:solidFill>
          </w14:textFill>
        </w:rPr>
      </w:pPr>
      <w:r>
        <w:rPr>
          <w:bCs/>
          <w:color w:val="000000" w:themeColor="text1"/>
          <w:sz w:val="32"/>
          <w:szCs w:val="32"/>
          <w:highlight w:val="none"/>
          <w14:textFill>
            <w14:solidFill>
              <w14:schemeClr w14:val="tx1"/>
            </w14:solidFill>
          </w14:textFill>
        </w:rPr>
        <w:t>供应商名称：</w:t>
      </w:r>
    </w:p>
    <w:p w14:paraId="0C17B2E8">
      <w:pPr>
        <w:pStyle w:val="11"/>
        <w:snapToGrid w:val="0"/>
        <w:spacing w:before="50" w:after="50"/>
        <w:ind w:firstLine="720" w:firstLineChars="225"/>
        <w:rPr>
          <w:bCs/>
          <w:color w:val="000000" w:themeColor="text1"/>
          <w:sz w:val="32"/>
          <w:szCs w:val="32"/>
          <w:highlight w:val="none"/>
          <w14:textFill>
            <w14:solidFill>
              <w14:schemeClr w14:val="tx1"/>
            </w14:solidFill>
          </w14:textFill>
        </w:rPr>
      </w:pPr>
    </w:p>
    <w:p w14:paraId="7FDBA6DE">
      <w:pPr>
        <w:pStyle w:val="11"/>
        <w:snapToGrid w:val="0"/>
        <w:spacing w:before="50" w:after="50"/>
        <w:ind w:firstLine="720" w:firstLineChars="225"/>
        <w:rPr>
          <w:bCs/>
          <w:color w:val="000000" w:themeColor="text1"/>
          <w:sz w:val="32"/>
          <w:szCs w:val="32"/>
          <w:highlight w:val="none"/>
          <w14:textFill>
            <w14:solidFill>
              <w14:schemeClr w14:val="tx1"/>
            </w14:solidFill>
          </w14:textFill>
        </w:rPr>
      </w:pPr>
    </w:p>
    <w:p w14:paraId="4FA1032B">
      <w:pPr>
        <w:pStyle w:val="11"/>
        <w:snapToGrid w:val="0"/>
        <w:spacing w:before="50" w:after="50"/>
        <w:ind w:firstLine="720" w:firstLineChars="225"/>
        <w:rPr>
          <w:bCs/>
          <w:color w:val="000000" w:themeColor="text1"/>
          <w:sz w:val="32"/>
          <w:szCs w:val="32"/>
          <w:highlight w:val="none"/>
          <w14:textFill>
            <w14:solidFill>
              <w14:schemeClr w14:val="tx1"/>
            </w14:solidFill>
          </w14:textFill>
        </w:rPr>
      </w:pPr>
    </w:p>
    <w:p w14:paraId="15DCC348">
      <w:pPr>
        <w:pStyle w:val="11"/>
        <w:snapToGrid w:val="0"/>
        <w:spacing w:before="50" w:after="50"/>
        <w:ind w:firstLine="1280" w:firstLineChars="400"/>
        <w:rPr>
          <w:bCs/>
          <w:color w:val="000000" w:themeColor="text1"/>
          <w:sz w:val="32"/>
          <w:szCs w:val="32"/>
          <w:highlight w:val="none"/>
          <w14:textFill>
            <w14:solidFill>
              <w14:schemeClr w14:val="tx1"/>
            </w14:solidFill>
          </w14:textFill>
        </w:rPr>
      </w:pPr>
    </w:p>
    <w:p w14:paraId="5183301C">
      <w:pPr>
        <w:snapToGrid w:val="0"/>
        <w:spacing w:before="120" w:beforeLines="50" w:after="50"/>
        <w:jc w:val="center"/>
        <w:rPr>
          <w:color w:val="000000" w:themeColor="text1"/>
          <w:sz w:val="32"/>
          <w:szCs w:val="32"/>
          <w:highlight w:val="none"/>
          <w14:textFill>
            <w14:solidFill>
              <w14:schemeClr w14:val="tx1"/>
            </w14:solidFill>
          </w14:textFill>
        </w:rPr>
      </w:pPr>
      <w:r>
        <w:rPr>
          <w:color w:val="000000" w:themeColor="text1"/>
          <w:sz w:val="32"/>
          <w:szCs w:val="32"/>
          <w:highlight w:val="none"/>
          <w14:textFill>
            <w14:solidFill>
              <w14:schemeClr w14:val="tx1"/>
            </w14:solidFill>
          </w14:textFill>
        </w:rPr>
        <w:t>年    月    日</w:t>
      </w:r>
    </w:p>
    <w:p w14:paraId="28444AF9">
      <w:pPr>
        <w:snapToGrid w:val="0"/>
        <w:spacing w:before="120" w:beforeLines="50" w:after="50" w:line="360" w:lineRule="auto"/>
        <w:jc w:val="left"/>
        <w:outlineLvl w:val="2"/>
        <w:rPr>
          <w:b/>
          <w:bCs/>
          <w:color w:val="000000" w:themeColor="text1"/>
          <w:sz w:val="28"/>
          <w:szCs w:val="28"/>
          <w:highlight w:val="none"/>
          <w14:textFill>
            <w14:solidFill>
              <w14:schemeClr w14:val="tx1"/>
            </w14:solidFill>
          </w14:textFill>
        </w:rPr>
      </w:pPr>
      <w:r>
        <w:rPr>
          <w:color w:val="000000" w:themeColor="text1"/>
          <w:sz w:val="24"/>
          <w:highlight w:val="none"/>
          <w14:textFill>
            <w14:solidFill>
              <w14:schemeClr w14:val="tx1"/>
            </w14:solidFill>
          </w14:textFill>
        </w:rPr>
        <w:br w:type="page"/>
      </w:r>
      <w:bookmarkStart w:id="205" w:name="_Toc2263"/>
      <w:r>
        <w:rPr>
          <w:b/>
          <w:bCs/>
          <w:color w:val="000000" w:themeColor="text1"/>
          <w:sz w:val="28"/>
          <w:szCs w:val="28"/>
          <w:highlight w:val="none"/>
          <w14:textFill>
            <w14:solidFill>
              <w14:schemeClr w14:val="tx1"/>
            </w14:solidFill>
          </w14:textFill>
        </w:rPr>
        <w:t>2.资格证明文件目录</w:t>
      </w:r>
      <w:bookmarkEnd w:id="205"/>
    </w:p>
    <w:p w14:paraId="6A186210">
      <w:pPr>
        <w:spacing w:line="360" w:lineRule="auto"/>
        <w:ind w:firstLine="480" w:firstLineChars="200"/>
        <w:rPr>
          <w:rFonts w:hint="eastAsia" w:ascii="宋体" w:hAnsi="宋体" w:cs="宋体"/>
          <w:b/>
          <w:bCs/>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根据竞争性磋商文件规定及供应商提供的材料自行编写目录（部分格式后附）。</w:t>
      </w:r>
    </w:p>
    <w:p w14:paraId="42AFA5EF">
      <w:pPr>
        <w:snapToGrid w:val="0"/>
        <w:spacing w:before="120" w:beforeLines="50" w:after="50" w:line="360" w:lineRule="auto"/>
        <w:jc w:val="left"/>
        <w:outlineLvl w:val="2"/>
        <w:rPr>
          <w:b/>
          <w:bCs/>
          <w:color w:val="000000" w:themeColor="text1"/>
          <w:sz w:val="28"/>
          <w:szCs w:val="28"/>
          <w:highlight w:val="none"/>
          <w14:textFill>
            <w14:solidFill>
              <w14:schemeClr w14:val="tx1"/>
            </w14:solidFill>
          </w14:textFill>
        </w:rPr>
      </w:pPr>
      <w:r>
        <w:rPr>
          <w:color w:val="000000" w:themeColor="text1"/>
          <w:szCs w:val="21"/>
          <w:highlight w:val="none"/>
          <w14:textFill>
            <w14:solidFill>
              <w14:schemeClr w14:val="tx1"/>
            </w14:solidFill>
          </w14:textFill>
        </w:rPr>
        <w:br w:type="page"/>
      </w:r>
      <w:bookmarkStart w:id="206" w:name="_Toc3166"/>
      <w:r>
        <w:rPr>
          <w:b/>
          <w:bCs/>
          <w:color w:val="000000" w:themeColor="text1"/>
          <w:kern w:val="0"/>
          <w:sz w:val="28"/>
          <w:szCs w:val="28"/>
          <w:highlight w:val="none"/>
          <w14:textFill>
            <w14:solidFill>
              <w14:schemeClr w14:val="tx1"/>
            </w14:solidFill>
          </w14:textFill>
        </w:rPr>
        <w:t>3.</w:t>
      </w:r>
      <w:r>
        <w:rPr>
          <w:rFonts w:hint="eastAsia"/>
          <w:b/>
          <w:bCs/>
          <w:color w:val="000000" w:themeColor="text1"/>
          <w:kern w:val="0"/>
          <w:sz w:val="28"/>
          <w:szCs w:val="28"/>
          <w:highlight w:val="none"/>
          <w:lang w:eastAsia="zh-CN"/>
          <w14:textFill>
            <w14:solidFill>
              <w14:schemeClr w14:val="tx1"/>
            </w14:solidFill>
          </w14:textFill>
        </w:rPr>
        <w:t>声明函</w:t>
      </w:r>
      <w:r>
        <w:rPr>
          <w:b/>
          <w:bCs/>
          <w:color w:val="000000" w:themeColor="text1"/>
          <w:kern w:val="0"/>
          <w:sz w:val="28"/>
          <w:szCs w:val="28"/>
          <w:highlight w:val="none"/>
          <w14:textFill>
            <w14:solidFill>
              <w14:schemeClr w14:val="tx1"/>
            </w14:solidFill>
          </w14:textFill>
        </w:rPr>
        <w:t>的格式：</w:t>
      </w:r>
      <w:bookmarkEnd w:id="206"/>
    </w:p>
    <w:p w14:paraId="61FC8DF6">
      <w:pPr>
        <w:spacing w:line="320" w:lineRule="exact"/>
        <w:jc w:val="center"/>
        <w:rPr>
          <w:b/>
          <w:color w:val="000000" w:themeColor="text1"/>
          <w:sz w:val="32"/>
          <w:szCs w:val="32"/>
          <w:highlight w:val="none"/>
          <w14:textFill>
            <w14:solidFill>
              <w14:schemeClr w14:val="tx1"/>
            </w14:solidFill>
          </w14:textFill>
        </w:rPr>
      </w:pPr>
    </w:p>
    <w:p w14:paraId="107A8051">
      <w:pPr>
        <w:spacing w:line="320" w:lineRule="exact"/>
        <w:jc w:val="center"/>
        <w:rPr>
          <w:rFonts w:hint="eastAsia"/>
          <w:b/>
          <w:color w:val="000000" w:themeColor="text1"/>
          <w:sz w:val="32"/>
          <w:szCs w:val="32"/>
          <w:highlight w:val="none"/>
          <w14:textFill>
            <w14:solidFill>
              <w14:schemeClr w14:val="tx1"/>
            </w14:solidFill>
          </w14:textFill>
        </w:rPr>
      </w:pPr>
      <w:r>
        <w:rPr>
          <w:rFonts w:hint="eastAsia"/>
          <w:b/>
          <w:color w:val="000000" w:themeColor="text1"/>
          <w:sz w:val="32"/>
          <w:szCs w:val="32"/>
          <w:highlight w:val="none"/>
          <w14:textFill>
            <w14:solidFill>
              <w14:schemeClr w14:val="tx1"/>
            </w14:solidFill>
          </w14:textFill>
        </w:rPr>
        <w:t>声明函</w:t>
      </w:r>
    </w:p>
    <w:p w14:paraId="5B83E0B9">
      <w:pPr>
        <w:spacing w:line="320" w:lineRule="exact"/>
        <w:jc w:val="center"/>
        <w:rPr>
          <w:rFonts w:hint="eastAsia"/>
          <w:color w:val="000000" w:themeColor="text1"/>
          <w:sz w:val="24"/>
          <w:szCs w:val="20"/>
          <w:highlight w:val="none"/>
          <w14:textFill>
            <w14:solidFill>
              <w14:schemeClr w14:val="tx1"/>
            </w14:solidFill>
          </w14:textFill>
        </w:rPr>
      </w:pPr>
    </w:p>
    <w:p w14:paraId="7B27A9F7">
      <w:pPr>
        <w:keepNext w:val="0"/>
        <w:keepLines w:val="0"/>
        <w:pageBreakBefore w:val="0"/>
        <w:widowControl w:val="0"/>
        <w:kinsoku/>
        <w:wordWrap/>
        <w:overflowPunct/>
        <w:topLinePunct w:val="0"/>
        <w:bidi w:val="0"/>
        <w:adjustRightInd/>
        <w:snapToGrid/>
        <w:spacing w:line="360" w:lineRule="auto"/>
        <w:contextualSpacing/>
        <w:textAlignment w:val="auto"/>
        <w:rPr>
          <w:rFonts w:hint="eastAsia" w:ascii="宋体" w:hAnsi="宋体" w:eastAsia="宋体" w:cs="宋体"/>
          <w:i w:val="0"/>
          <w:iCs w:val="0"/>
          <w:color w:val="000000" w:themeColor="text1"/>
          <w:sz w:val="21"/>
          <w:szCs w:val="21"/>
          <w:highlight w:val="none"/>
          <w14:textFill>
            <w14:solidFill>
              <w14:schemeClr w14:val="tx1"/>
            </w14:solidFill>
          </w14:textFill>
        </w:rPr>
      </w:pPr>
      <w:r>
        <w:rPr>
          <w:rFonts w:hint="eastAsia" w:ascii="宋体" w:hAnsi="宋体" w:eastAsia="宋体" w:cs="宋体"/>
          <w:i w:val="0"/>
          <w:iCs w:val="0"/>
          <w:color w:val="000000" w:themeColor="text1"/>
          <w:sz w:val="21"/>
          <w:szCs w:val="21"/>
          <w:highlight w:val="none"/>
          <w14:textFill>
            <w14:solidFill>
              <w14:schemeClr w14:val="tx1"/>
            </w14:solidFill>
          </w14:textFill>
        </w:rPr>
        <w:t>致：</w:t>
      </w:r>
      <w:r>
        <w:rPr>
          <w:rFonts w:hint="eastAsia" w:ascii="宋体" w:hAnsi="宋体" w:eastAsia="宋体" w:cs="宋体"/>
          <w:i w:val="0"/>
          <w:iCs w:val="0"/>
          <w:color w:val="000000" w:themeColor="text1"/>
          <w:sz w:val="21"/>
          <w:szCs w:val="21"/>
          <w:highlight w:val="none"/>
          <w:u w:val="single"/>
          <w14:textFill>
            <w14:solidFill>
              <w14:schemeClr w14:val="tx1"/>
            </w14:solidFill>
          </w14:textFill>
        </w:rPr>
        <w:t>（采购代理机构名称）</w:t>
      </w:r>
      <w:r>
        <w:rPr>
          <w:rFonts w:hint="eastAsia" w:ascii="宋体" w:hAnsi="宋体" w:eastAsia="宋体" w:cs="宋体"/>
          <w:i w:val="0"/>
          <w:iCs w:val="0"/>
          <w:color w:val="000000" w:themeColor="text1"/>
          <w:sz w:val="21"/>
          <w:szCs w:val="21"/>
          <w:highlight w:val="none"/>
          <w14:textFill>
            <w14:solidFill>
              <w14:schemeClr w14:val="tx1"/>
            </w14:solidFill>
          </w14:textFill>
        </w:rPr>
        <w:t>：</w:t>
      </w:r>
    </w:p>
    <w:p w14:paraId="4DAE9E91">
      <w:pPr>
        <w:keepNext w:val="0"/>
        <w:keepLines w:val="0"/>
        <w:pageBreakBefore w:val="0"/>
        <w:widowControl w:val="0"/>
        <w:kinsoku/>
        <w:wordWrap/>
        <w:overflowPunct/>
        <w:topLinePunct w:val="0"/>
        <w:bidi w:val="0"/>
        <w:adjustRightInd/>
        <w:snapToGrid/>
        <w:spacing w:line="360" w:lineRule="auto"/>
        <w:ind w:firstLine="420" w:firstLineChars="200"/>
        <w:contextualSpacing/>
        <w:textAlignment w:val="auto"/>
        <w:rPr>
          <w:rFonts w:hint="eastAsia" w:ascii="宋体" w:hAnsi="宋体" w:eastAsia="宋体" w:cs="宋体"/>
          <w:i w:val="0"/>
          <w:iCs w:val="0"/>
          <w:color w:val="000000" w:themeColor="text1"/>
          <w:sz w:val="21"/>
          <w:szCs w:val="21"/>
          <w:highlight w:val="none"/>
          <w14:textFill>
            <w14:solidFill>
              <w14:schemeClr w14:val="tx1"/>
            </w14:solidFill>
          </w14:textFill>
        </w:rPr>
      </w:pPr>
      <w:r>
        <w:rPr>
          <w:rFonts w:hint="eastAsia" w:ascii="宋体" w:hAnsi="宋体" w:eastAsia="宋体" w:cs="宋体"/>
          <w:i w:val="0"/>
          <w:iCs w:val="0"/>
          <w:color w:val="000000" w:themeColor="text1"/>
          <w:sz w:val="21"/>
          <w:szCs w:val="21"/>
          <w:highlight w:val="none"/>
          <w:u w:val="single"/>
          <w14:textFill>
            <w14:solidFill>
              <w14:schemeClr w14:val="tx1"/>
            </w14:solidFill>
          </w14:textFill>
        </w:rPr>
        <w:t>（供应商名称）</w:t>
      </w:r>
      <w:r>
        <w:rPr>
          <w:rFonts w:hint="eastAsia" w:ascii="宋体" w:hAnsi="宋体" w:eastAsia="宋体" w:cs="宋体"/>
          <w:i w:val="0"/>
          <w:iCs w:val="0"/>
          <w:color w:val="000000" w:themeColor="text1"/>
          <w:sz w:val="21"/>
          <w:szCs w:val="21"/>
          <w:highlight w:val="none"/>
          <w14:textFill>
            <w14:solidFill>
              <w14:schemeClr w14:val="tx1"/>
            </w14:solidFill>
          </w14:textFill>
        </w:rPr>
        <w:t>系中华人民共和国合法供应商，经营地址</w:t>
      </w:r>
      <w:r>
        <w:rPr>
          <w:rFonts w:hint="eastAsia" w:ascii="宋体" w:hAnsi="宋体" w:eastAsia="宋体" w:cs="宋体"/>
          <w:i w:val="0"/>
          <w:iCs w:val="0"/>
          <w:color w:val="000000" w:themeColor="text1"/>
          <w:sz w:val="21"/>
          <w:szCs w:val="21"/>
          <w:highlight w:val="none"/>
          <w:u w:val="single"/>
          <w14:textFill>
            <w14:solidFill>
              <w14:schemeClr w14:val="tx1"/>
            </w14:solidFill>
          </w14:textFill>
        </w:rPr>
        <w:t xml:space="preserve">                              </w:t>
      </w:r>
      <w:r>
        <w:rPr>
          <w:rFonts w:hint="eastAsia" w:ascii="宋体" w:hAnsi="宋体" w:eastAsia="宋体" w:cs="宋体"/>
          <w:i w:val="0"/>
          <w:iCs w:val="0"/>
          <w:color w:val="000000" w:themeColor="text1"/>
          <w:sz w:val="21"/>
          <w:szCs w:val="21"/>
          <w:highlight w:val="none"/>
          <w14:textFill>
            <w14:solidFill>
              <w14:schemeClr w14:val="tx1"/>
            </w14:solidFill>
          </w14:textFill>
        </w:rPr>
        <w:t>。</w:t>
      </w:r>
    </w:p>
    <w:p w14:paraId="593A6810">
      <w:pPr>
        <w:keepNext w:val="0"/>
        <w:keepLines w:val="0"/>
        <w:pageBreakBefore w:val="0"/>
        <w:widowControl w:val="0"/>
        <w:kinsoku/>
        <w:wordWrap/>
        <w:overflowPunct/>
        <w:topLinePunct w:val="0"/>
        <w:bidi w:val="0"/>
        <w:adjustRightInd/>
        <w:snapToGrid/>
        <w:spacing w:line="360" w:lineRule="auto"/>
        <w:ind w:firstLine="420" w:firstLineChars="200"/>
        <w:contextualSpacing/>
        <w:textAlignment w:val="auto"/>
        <w:rPr>
          <w:rFonts w:hint="eastAsia" w:ascii="宋体" w:hAnsi="宋体" w:eastAsia="宋体" w:cs="宋体"/>
          <w:i w:val="0"/>
          <w:iCs w:val="0"/>
          <w:color w:val="000000" w:themeColor="text1"/>
          <w:sz w:val="21"/>
          <w:szCs w:val="21"/>
          <w:highlight w:val="none"/>
          <w14:textFill>
            <w14:solidFill>
              <w14:schemeClr w14:val="tx1"/>
            </w14:solidFill>
          </w14:textFill>
        </w:rPr>
      </w:pPr>
      <w:r>
        <w:rPr>
          <w:rFonts w:hint="eastAsia" w:ascii="宋体" w:hAnsi="宋体" w:eastAsia="宋体" w:cs="宋体"/>
          <w:i w:val="0"/>
          <w:iCs w:val="0"/>
          <w:color w:val="000000" w:themeColor="text1"/>
          <w:sz w:val="21"/>
          <w:szCs w:val="21"/>
          <w:highlight w:val="none"/>
          <w14:textFill>
            <w14:solidFill>
              <w14:schemeClr w14:val="tx1"/>
            </w14:solidFill>
          </w14:textFill>
        </w:rPr>
        <w:t>我方愿意参加贵方组织的</w:t>
      </w:r>
      <w:r>
        <w:rPr>
          <w:rFonts w:hint="eastAsia" w:ascii="宋体" w:hAnsi="宋体" w:eastAsia="宋体" w:cs="宋体"/>
          <w:i w:val="0"/>
          <w:iCs w:val="0"/>
          <w:color w:val="000000" w:themeColor="text1"/>
          <w:sz w:val="21"/>
          <w:szCs w:val="21"/>
          <w:highlight w:val="none"/>
          <w:u w:val="single"/>
          <w14:textFill>
            <w14:solidFill>
              <w14:schemeClr w14:val="tx1"/>
            </w14:solidFill>
          </w14:textFill>
        </w:rPr>
        <w:t>（项目名称）</w:t>
      </w:r>
      <w:r>
        <w:rPr>
          <w:rFonts w:hint="eastAsia" w:ascii="宋体" w:hAnsi="宋体" w:eastAsia="宋体" w:cs="宋体"/>
          <w:i w:val="0"/>
          <w:iCs w:val="0"/>
          <w:color w:val="000000" w:themeColor="text1"/>
          <w:sz w:val="21"/>
          <w:szCs w:val="21"/>
          <w:highlight w:val="none"/>
          <w14:textFill>
            <w14:solidFill>
              <w14:schemeClr w14:val="tx1"/>
            </w14:solidFill>
          </w14:textFill>
        </w:rPr>
        <w:t>项目的竞标，为便于贵方公正、择优地确定成交供应商及其竞标产品和服务，我方就本次竞标有关事项郑重声明如下：</w:t>
      </w:r>
    </w:p>
    <w:p w14:paraId="77A0F1AC">
      <w:pPr>
        <w:keepNext w:val="0"/>
        <w:keepLines w:val="0"/>
        <w:pageBreakBefore w:val="0"/>
        <w:widowControl w:val="0"/>
        <w:kinsoku/>
        <w:wordWrap/>
        <w:overflowPunct/>
        <w:topLinePunct w:val="0"/>
        <w:bidi w:val="0"/>
        <w:adjustRightInd/>
        <w:snapToGrid/>
        <w:spacing w:line="360" w:lineRule="auto"/>
        <w:ind w:firstLine="420" w:firstLineChars="200"/>
        <w:contextualSpacing/>
        <w:textAlignment w:val="auto"/>
        <w:rPr>
          <w:rFonts w:hint="eastAsia" w:ascii="宋体" w:hAnsi="宋体" w:eastAsia="宋体" w:cs="宋体"/>
          <w:i w:val="0"/>
          <w:iCs w:val="0"/>
          <w:color w:val="000000" w:themeColor="text1"/>
          <w:sz w:val="21"/>
          <w:szCs w:val="21"/>
          <w:highlight w:val="none"/>
          <w14:textFill>
            <w14:solidFill>
              <w14:schemeClr w14:val="tx1"/>
            </w14:solidFill>
          </w14:textFill>
        </w:rPr>
      </w:pPr>
      <w:r>
        <w:rPr>
          <w:rFonts w:hint="eastAsia" w:ascii="宋体" w:hAnsi="宋体" w:eastAsia="宋体" w:cs="宋体"/>
          <w:i w:val="0"/>
          <w:iCs w:val="0"/>
          <w:color w:val="000000" w:themeColor="text1"/>
          <w:sz w:val="21"/>
          <w:szCs w:val="21"/>
          <w:highlight w:val="none"/>
          <w14:textFill>
            <w14:solidFill>
              <w14:schemeClr w14:val="tx1"/>
            </w14:solidFill>
          </w14:textFill>
        </w:rPr>
        <w:t>1.我方向贵方提交的所有响应文件、资料都是准确的和真实的。</w:t>
      </w:r>
    </w:p>
    <w:p w14:paraId="6AC3FE35">
      <w:pPr>
        <w:keepNext w:val="0"/>
        <w:keepLines w:val="0"/>
        <w:pageBreakBefore w:val="0"/>
        <w:widowControl w:val="0"/>
        <w:kinsoku/>
        <w:wordWrap/>
        <w:overflowPunct/>
        <w:topLinePunct w:val="0"/>
        <w:bidi w:val="0"/>
        <w:adjustRightInd/>
        <w:snapToGrid/>
        <w:spacing w:line="360" w:lineRule="auto"/>
        <w:ind w:firstLine="420" w:firstLineChars="200"/>
        <w:contextualSpacing/>
        <w:textAlignment w:val="auto"/>
        <w:rPr>
          <w:rFonts w:hint="eastAsia" w:ascii="宋体" w:hAnsi="宋体" w:eastAsia="宋体" w:cs="宋体"/>
          <w:i w:val="0"/>
          <w:iCs w:val="0"/>
          <w:color w:val="000000" w:themeColor="text1"/>
          <w:sz w:val="21"/>
          <w:szCs w:val="21"/>
          <w:highlight w:val="none"/>
          <w14:textFill>
            <w14:solidFill>
              <w14:schemeClr w14:val="tx1"/>
            </w14:solidFill>
          </w14:textFill>
        </w:rPr>
      </w:pPr>
      <w:r>
        <w:rPr>
          <w:rFonts w:hint="eastAsia" w:ascii="宋体" w:hAnsi="宋体" w:eastAsia="宋体" w:cs="宋体"/>
          <w:i w:val="0"/>
          <w:iCs w:val="0"/>
          <w:color w:val="000000" w:themeColor="text1"/>
          <w:sz w:val="21"/>
          <w:szCs w:val="21"/>
          <w:highlight w:val="none"/>
          <w14:textFill>
            <w14:solidFill>
              <w14:schemeClr w14:val="tx1"/>
            </w14:solidFill>
          </w14:textFill>
        </w:rPr>
        <w:t>2.我方不是采购人的附属机构；不是为本次采购项目提供整体设计、规范编制或者项目管理、监理、检测等服务的供应商；在获知本项目采购信息后，与采购人聘请的为此项目提供咨询服务的公司及其附属机构没有任何联系。</w:t>
      </w:r>
    </w:p>
    <w:p w14:paraId="54432A18">
      <w:pPr>
        <w:keepNext w:val="0"/>
        <w:keepLines w:val="0"/>
        <w:pageBreakBefore w:val="0"/>
        <w:widowControl w:val="0"/>
        <w:kinsoku/>
        <w:wordWrap/>
        <w:overflowPunct/>
        <w:topLinePunct w:val="0"/>
        <w:bidi w:val="0"/>
        <w:adjustRightInd/>
        <w:snapToGrid/>
        <w:spacing w:line="360" w:lineRule="auto"/>
        <w:ind w:firstLine="420" w:firstLineChars="200"/>
        <w:contextualSpacing/>
        <w:textAlignment w:val="auto"/>
        <w:rPr>
          <w:rFonts w:hint="eastAsia" w:ascii="宋体" w:hAnsi="宋体" w:eastAsia="宋体" w:cs="宋体"/>
          <w:i w:val="0"/>
          <w:iCs w:val="0"/>
          <w:color w:val="000000" w:themeColor="text1"/>
          <w:sz w:val="21"/>
          <w:szCs w:val="21"/>
          <w:highlight w:val="none"/>
          <w14:textFill>
            <w14:solidFill>
              <w14:schemeClr w14:val="tx1"/>
            </w14:solidFill>
          </w14:textFill>
        </w:rPr>
      </w:pPr>
      <w:r>
        <w:rPr>
          <w:rFonts w:hint="eastAsia" w:ascii="宋体" w:hAnsi="宋体" w:eastAsia="宋体" w:cs="宋体"/>
          <w:i w:val="0"/>
          <w:iCs w:val="0"/>
          <w:color w:val="000000" w:themeColor="text1"/>
          <w:sz w:val="21"/>
          <w:szCs w:val="21"/>
          <w:highlight w:val="none"/>
          <w14:textFill>
            <w14:solidFill>
              <w14:schemeClr w14:val="tx1"/>
            </w14:solidFill>
          </w14:textFill>
        </w:rPr>
        <w:t>3.在此，我方宣布同意如下：</w:t>
      </w:r>
    </w:p>
    <w:p w14:paraId="6886BAF1">
      <w:pPr>
        <w:keepNext w:val="0"/>
        <w:keepLines w:val="0"/>
        <w:pageBreakBefore w:val="0"/>
        <w:widowControl w:val="0"/>
        <w:kinsoku/>
        <w:wordWrap/>
        <w:overflowPunct/>
        <w:topLinePunct w:val="0"/>
        <w:bidi w:val="0"/>
        <w:adjustRightInd/>
        <w:snapToGrid/>
        <w:spacing w:line="360" w:lineRule="auto"/>
        <w:ind w:firstLine="420" w:firstLineChars="200"/>
        <w:contextualSpacing/>
        <w:textAlignment w:val="auto"/>
        <w:rPr>
          <w:rFonts w:hint="eastAsia" w:ascii="宋体" w:hAnsi="宋体" w:eastAsia="宋体" w:cs="宋体"/>
          <w:i w:val="0"/>
          <w:iCs w:val="0"/>
          <w:color w:val="000000" w:themeColor="text1"/>
          <w:sz w:val="21"/>
          <w:szCs w:val="21"/>
          <w:highlight w:val="none"/>
          <w14:textFill>
            <w14:solidFill>
              <w14:schemeClr w14:val="tx1"/>
            </w14:solidFill>
          </w14:textFill>
        </w:rPr>
      </w:pPr>
      <w:r>
        <w:rPr>
          <w:rFonts w:hint="eastAsia" w:ascii="宋体" w:hAnsi="宋体" w:eastAsia="宋体" w:cs="宋体"/>
          <w:i w:val="0"/>
          <w:iCs w:val="0"/>
          <w:color w:val="000000" w:themeColor="text1"/>
          <w:sz w:val="21"/>
          <w:szCs w:val="21"/>
          <w:highlight w:val="none"/>
          <w14:textFill>
            <w14:solidFill>
              <w14:schemeClr w14:val="tx1"/>
            </w14:solidFill>
          </w14:textFill>
        </w:rPr>
        <w:t>（1）将按磋商文件的约定履行合同责任和义务；</w:t>
      </w:r>
    </w:p>
    <w:p w14:paraId="15E23AE3">
      <w:pPr>
        <w:keepNext w:val="0"/>
        <w:keepLines w:val="0"/>
        <w:pageBreakBefore w:val="0"/>
        <w:widowControl w:val="0"/>
        <w:kinsoku/>
        <w:wordWrap/>
        <w:overflowPunct/>
        <w:topLinePunct w:val="0"/>
        <w:bidi w:val="0"/>
        <w:adjustRightInd/>
        <w:snapToGrid/>
        <w:spacing w:line="360" w:lineRule="auto"/>
        <w:ind w:firstLine="420" w:firstLineChars="200"/>
        <w:contextualSpacing/>
        <w:textAlignment w:val="auto"/>
        <w:rPr>
          <w:rFonts w:hint="eastAsia" w:ascii="宋体" w:hAnsi="宋体" w:eastAsia="宋体" w:cs="宋体"/>
          <w:i w:val="0"/>
          <w:iCs w:val="0"/>
          <w:color w:val="000000" w:themeColor="text1"/>
          <w:sz w:val="21"/>
          <w:szCs w:val="21"/>
          <w:highlight w:val="none"/>
          <w14:textFill>
            <w14:solidFill>
              <w14:schemeClr w14:val="tx1"/>
            </w14:solidFill>
          </w14:textFill>
        </w:rPr>
      </w:pPr>
      <w:r>
        <w:rPr>
          <w:rFonts w:hint="eastAsia" w:ascii="宋体" w:hAnsi="宋体" w:eastAsia="宋体" w:cs="宋体"/>
          <w:i w:val="0"/>
          <w:iCs w:val="0"/>
          <w:color w:val="000000" w:themeColor="text1"/>
          <w:sz w:val="21"/>
          <w:szCs w:val="21"/>
          <w:highlight w:val="none"/>
          <w14:textFill>
            <w14:solidFill>
              <w14:schemeClr w14:val="tx1"/>
            </w14:solidFill>
          </w14:textFill>
        </w:rPr>
        <w:t>（2）已详细审查</w:t>
      </w:r>
      <w:r>
        <w:rPr>
          <w:rFonts w:hint="eastAsia" w:ascii="宋体" w:hAnsi="宋体" w:eastAsia="宋体" w:cs="宋体"/>
          <w:i w:val="0"/>
          <w:iCs w:val="0"/>
          <w:color w:val="000000" w:themeColor="text1"/>
          <w:sz w:val="21"/>
          <w:szCs w:val="21"/>
          <w:highlight w:val="none"/>
          <w:lang w:val="en-US" w:eastAsia="zh-CN"/>
          <w14:textFill>
            <w14:solidFill>
              <w14:schemeClr w14:val="tx1"/>
            </w14:solidFill>
          </w14:textFill>
        </w:rPr>
        <w:t>磋商</w:t>
      </w:r>
      <w:r>
        <w:rPr>
          <w:rFonts w:hint="eastAsia" w:ascii="宋体" w:hAnsi="宋体" w:eastAsia="宋体" w:cs="宋体"/>
          <w:i w:val="0"/>
          <w:iCs w:val="0"/>
          <w:color w:val="000000" w:themeColor="text1"/>
          <w:sz w:val="21"/>
          <w:szCs w:val="21"/>
          <w:highlight w:val="none"/>
          <w14:textFill>
            <w14:solidFill>
              <w14:schemeClr w14:val="tx1"/>
            </w14:solidFill>
          </w14:textFill>
        </w:rPr>
        <w:t>文件</w:t>
      </w:r>
      <w:r>
        <w:rPr>
          <w:rFonts w:hint="eastAsia" w:ascii="宋体" w:hAnsi="宋体" w:eastAsia="宋体" w:cs="宋体"/>
          <w:i w:val="0"/>
          <w:iCs w:val="0"/>
          <w:color w:val="000000" w:themeColor="text1"/>
          <w:sz w:val="21"/>
          <w:szCs w:val="21"/>
          <w:highlight w:val="none"/>
          <w:lang w:val="en-US" w:eastAsia="zh-CN"/>
          <w14:textFill>
            <w14:solidFill>
              <w14:schemeClr w14:val="tx1"/>
            </w14:solidFill>
          </w14:textFill>
        </w:rPr>
        <w:t>的</w:t>
      </w:r>
      <w:r>
        <w:rPr>
          <w:rFonts w:hint="eastAsia" w:ascii="宋体" w:hAnsi="宋体" w:eastAsia="宋体" w:cs="宋体"/>
          <w:i w:val="0"/>
          <w:iCs w:val="0"/>
          <w:color w:val="000000" w:themeColor="text1"/>
          <w:sz w:val="21"/>
          <w:szCs w:val="21"/>
          <w:highlight w:val="none"/>
          <w14:textFill>
            <w14:solidFill>
              <w14:schemeClr w14:val="tx1"/>
            </w14:solidFill>
          </w14:textFill>
        </w:rPr>
        <w:t>全部</w:t>
      </w:r>
      <w:r>
        <w:rPr>
          <w:rFonts w:hint="eastAsia" w:ascii="宋体" w:hAnsi="宋体" w:eastAsia="宋体" w:cs="宋体"/>
          <w:i w:val="0"/>
          <w:iCs w:val="0"/>
          <w:color w:val="000000" w:themeColor="text1"/>
          <w:sz w:val="21"/>
          <w:szCs w:val="21"/>
          <w:highlight w:val="none"/>
          <w:lang w:val="en-US" w:eastAsia="zh-CN"/>
          <w14:textFill>
            <w14:solidFill>
              <w14:schemeClr w14:val="tx1"/>
            </w14:solidFill>
          </w14:textFill>
        </w:rPr>
        <w:t>内容</w:t>
      </w:r>
      <w:r>
        <w:rPr>
          <w:rFonts w:hint="eastAsia" w:ascii="宋体" w:hAnsi="宋体" w:eastAsia="宋体" w:cs="宋体"/>
          <w:i w:val="0"/>
          <w:iCs w:val="0"/>
          <w:color w:val="000000" w:themeColor="text1"/>
          <w:sz w:val="21"/>
          <w:szCs w:val="21"/>
          <w:highlight w:val="none"/>
          <w14:textFill>
            <w14:solidFill>
              <w14:schemeClr w14:val="tx1"/>
            </w14:solidFill>
          </w14:textFill>
        </w:rPr>
        <w:t>，包括澄清或者更正公告（如有）；</w:t>
      </w:r>
    </w:p>
    <w:p w14:paraId="4B35D8D7">
      <w:pPr>
        <w:keepNext w:val="0"/>
        <w:keepLines w:val="0"/>
        <w:pageBreakBefore w:val="0"/>
        <w:widowControl w:val="0"/>
        <w:kinsoku/>
        <w:wordWrap/>
        <w:overflowPunct/>
        <w:topLinePunct w:val="0"/>
        <w:bidi w:val="0"/>
        <w:adjustRightInd/>
        <w:snapToGrid/>
        <w:spacing w:line="360" w:lineRule="auto"/>
        <w:ind w:firstLine="420" w:firstLineChars="200"/>
        <w:contextualSpacing/>
        <w:textAlignment w:val="auto"/>
        <w:rPr>
          <w:rFonts w:hint="eastAsia" w:ascii="宋体" w:hAnsi="宋体" w:eastAsia="宋体" w:cs="宋体"/>
          <w:i w:val="0"/>
          <w:iCs w:val="0"/>
          <w:color w:val="000000" w:themeColor="text1"/>
          <w:sz w:val="21"/>
          <w:szCs w:val="21"/>
          <w:highlight w:val="none"/>
          <w14:textFill>
            <w14:solidFill>
              <w14:schemeClr w14:val="tx1"/>
            </w14:solidFill>
          </w14:textFill>
        </w:rPr>
      </w:pPr>
      <w:r>
        <w:rPr>
          <w:rFonts w:hint="eastAsia" w:ascii="宋体" w:hAnsi="宋体" w:eastAsia="宋体" w:cs="宋体"/>
          <w:i w:val="0"/>
          <w:iCs w:val="0"/>
          <w:color w:val="000000" w:themeColor="text1"/>
          <w:sz w:val="21"/>
          <w:szCs w:val="21"/>
          <w:highlight w:val="none"/>
          <w14:textFill>
            <w14:solidFill>
              <w14:schemeClr w14:val="tx1"/>
            </w14:solidFill>
          </w14:textFill>
        </w:rPr>
        <w:t>（3）同意提供按照贵方可能要求的与磋商有关的一切数据或者资料。</w:t>
      </w:r>
    </w:p>
    <w:p w14:paraId="6BE383E4">
      <w:pPr>
        <w:keepNext w:val="0"/>
        <w:keepLines w:val="0"/>
        <w:pageBreakBefore w:val="0"/>
        <w:widowControl w:val="0"/>
        <w:kinsoku/>
        <w:wordWrap/>
        <w:overflowPunct/>
        <w:topLinePunct w:val="0"/>
        <w:bidi w:val="0"/>
        <w:adjustRightInd/>
        <w:snapToGrid/>
        <w:spacing w:line="360" w:lineRule="auto"/>
        <w:ind w:firstLine="420" w:firstLineChars="200"/>
        <w:contextualSpacing/>
        <w:textAlignment w:val="auto"/>
        <w:rPr>
          <w:rFonts w:hint="eastAsia" w:ascii="宋体" w:hAnsi="宋体" w:eastAsia="宋体" w:cs="宋体"/>
          <w:i w:val="0"/>
          <w:iCs w:val="0"/>
          <w:color w:val="000000" w:themeColor="text1"/>
          <w:sz w:val="21"/>
          <w:szCs w:val="21"/>
          <w:highlight w:val="none"/>
          <w14:textFill>
            <w14:solidFill>
              <w14:schemeClr w14:val="tx1"/>
            </w14:solidFill>
          </w14:textFill>
        </w:rPr>
      </w:pPr>
      <w:r>
        <w:rPr>
          <w:rFonts w:hint="eastAsia" w:ascii="宋体" w:hAnsi="宋体" w:eastAsia="宋体" w:cs="宋体"/>
          <w:i w:val="0"/>
          <w:iCs w:val="0"/>
          <w:color w:val="000000" w:themeColor="text1"/>
          <w:sz w:val="21"/>
          <w:szCs w:val="21"/>
          <w:highlight w:val="none"/>
          <w14:textFill>
            <w14:solidFill>
              <w14:schemeClr w14:val="tx1"/>
            </w14:solidFill>
          </w14:textFill>
        </w:rPr>
        <w:t>4.我方在此声明，我方在参加本项目的政府采购活动前三年内，在经营活动中没有重大违法记录（重大违法记录是指供应商因违法经营受到刑事处罚或者责令停产停业、吊销许可证或者执照、较大数额罚款等行政处罚），未被列入失信被执行人、</w:t>
      </w:r>
      <w:r>
        <w:rPr>
          <w:rFonts w:hint="eastAsia" w:ascii="宋体" w:hAnsi="宋体" w:eastAsia="宋体" w:cs="宋体"/>
          <w:i w:val="0"/>
          <w:iCs w:val="0"/>
          <w:color w:val="000000" w:themeColor="text1"/>
          <w:sz w:val="21"/>
          <w:szCs w:val="21"/>
          <w:highlight w:val="none"/>
          <w:lang w:eastAsia="zh-CN"/>
          <w14:textFill>
            <w14:solidFill>
              <w14:schemeClr w14:val="tx1"/>
            </w14:solidFill>
          </w14:textFill>
        </w:rPr>
        <w:t>重大税收违法失信主体</w:t>
      </w:r>
      <w:r>
        <w:rPr>
          <w:rFonts w:hint="eastAsia" w:ascii="宋体" w:hAnsi="宋体" w:eastAsia="宋体" w:cs="宋体"/>
          <w:i w:val="0"/>
          <w:iCs w:val="0"/>
          <w:color w:val="000000" w:themeColor="text1"/>
          <w:sz w:val="21"/>
          <w:szCs w:val="21"/>
          <w:highlight w:val="none"/>
          <w14:textFill>
            <w14:solidFill>
              <w14:schemeClr w14:val="tx1"/>
            </w14:solidFill>
          </w14:textFill>
        </w:rPr>
        <w:t>、政府采购严重违法失信行为记录名单。</w:t>
      </w:r>
    </w:p>
    <w:p w14:paraId="03192F53">
      <w:pPr>
        <w:keepNext w:val="0"/>
        <w:keepLines w:val="0"/>
        <w:pageBreakBefore w:val="0"/>
        <w:widowControl w:val="0"/>
        <w:kinsoku/>
        <w:wordWrap/>
        <w:overflowPunct/>
        <w:topLinePunct w:val="0"/>
        <w:bidi w:val="0"/>
        <w:adjustRightInd/>
        <w:snapToGrid/>
        <w:spacing w:line="360" w:lineRule="auto"/>
        <w:ind w:firstLine="420" w:firstLineChars="200"/>
        <w:contextualSpacing/>
        <w:textAlignment w:val="auto"/>
        <w:rPr>
          <w:rFonts w:hint="eastAsia" w:ascii="宋体" w:hAnsi="宋体" w:eastAsia="宋体" w:cs="宋体"/>
          <w:i w:val="0"/>
          <w:iCs w:val="0"/>
          <w:color w:val="000000" w:themeColor="text1"/>
          <w:sz w:val="21"/>
          <w:szCs w:val="21"/>
          <w:highlight w:val="none"/>
          <w14:textFill>
            <w14:solidFill>
              <w14:schemeClr w14:val="tx1"/>
            </w14:solidFill>
          </w14:textFill>
        </w:rPr>
      </w:pPr>
      <w:r>
        <w:rPr>
          <w:rFonts w:hint="eastAsia" w:ascii="宋体" w:hAnsi="宋体" w:eastAsia="宋体" w:cs="宋体"/>
          <w:i w:val="0"/>
          <w:iCs w:val="0"/>
          <w:color w:val="000000" w:themeColor="text1"/>
          <w:sz w:val="21"/>
          <w:szCs w:val="21"/>
          <w:highlight w:val="none"/>
          <w:lang w:val="en-US" w:eastAsia="zh-CN"/>
          <w14:textFill>
            <w14:solidFill>
              <w14:schemeClr w14:val="tx1"/>
            </w14:solidFill>
          </w14:textFill>
        </w:rPr>
        <w:t>5</w:t>
      </w:r>
      <w:r>
        <w:rPr>
          <w:rFonts w:hint="eastAsia" w:ascii="宋体" w:hAnsi="宋体" w:eastAsia="宋体" w:cs="宋体"/>
          <w:i w:val="0"/>
          <w:iCs w:val="0"/>
          <w:color w:val="000000" w:themeColor="text1"/>
          <w:sz w:val="21"/>
          <w:szCs w:val="21"/>
          <w:highlight w:val="none"/>
          <w14:textFill>
            <w14:solidFill>
              <w14:schemeClr w14:val="tx1"/>
            </w14:solidFill>
          </w14:textFill>
        </w:rPr>
        <w:t>.根据《中华人民共和国政府采购法实施条例》第五十条要求对政府采购合同进行公告，但政府采购合同中涉及国家秘密、商业秘密的内容除外。我方就对本次响应文件进行注明如下：（两项内容中必须选择一项）</w:t>
      </w:r>
    </w:p>
    <w:p w14:paraId="5DD0BFD8">
      <w:pPr>
        <w:keepNext w:val="0"/>
        <w:keepLines w:val="0"/>
        <w:pageBreakBefore w:val="0"/>
        <w:widowControl w:val="0"/>
        <w:kinsoku/>
        <w:wordWrap/>
        <w:overflowPunct/>
        <w:topLinePunct w:val="0"/>
        <w:bidi w:val="0"/>
        <w:adjustRightInd/>
        <w:snapToGrid/>
        <w:spacing w:line="360" w:lineRule="auto"/>
        <w:ind w:firstLine="420" w:firstLineChars="200"/>
        <w:contextualSpacing/>
        <w:textAlignment w:val="auto"/>
        <w:rPr>
          <w:rFonts w:hint="eastAsia" w:ascii="宋体" w:hAnsi="宋体" w:eastAsia="宋体" w:cs="宋体"/>
          <w:i w:val="0"/>
          <w:iCs w:val="0"/>
          <w:color w:val="000000" w:themeColor="text1"/>
          <w:sz w:val="21"/>
          <w:szCs w:val="21"/>
          <w:highlight w:val="none"/>
          <w14:textFill>
            <w14:solidFill>
              <w14:schemeClr w14:val="tx1"/>
            </w14:solidFill>
          </w14:textFill>
        </w:rPr>
      </w:pPr>
      <w:r>
        <w:rPr>
          <w:rFonts w:hint="eastAsia" w:ascii="宋体" w:hAnsi="宋体" w:eastAsia="宋体" w:cs="宋体"/>
          <w:i w:val="0"/>
          <w:iCs w:val="0"/>
          <w:color w:val="000000" w:themeColor="text1"/>
          <w:sz w:val="21"/>
          <w:szCs w:val="21"/>
          <w:highlight w:val="none"/>
          <w14:textFill>
            <w14:solidFill>
              <w14:schemeClr w14:val="tx1"/>
            </w14:solidFill>
          </w14:textFill>
        </w:rPr>
        <w:t>□我方本次响应文件</w:t>
      </w:r>
      <w:r>
        <w:rPr>
          <w:rFonts w:hint="eastAsia" w:ascii="宋体" w:hAnsi="宋体" w:eastAsia="宋体" w:cs="宋体"/>
          <w:i w:val="0"/>
          <w:iCs w:val="0"/>
          <w:color w:val="000000" w:themeColor="text1"/>
          <w:kern w:val="0"/>
          <w:sz w:val="21"/>
          <w:szCs w:val="21"/>
          <w:highlight w:val="none"/>
          <w14:textFill>
            <w14:solidFill>
              <w14:schemeClr w14:val="tx1"/>
            </w14:solidFill>
          </w14:textFill>
        </w:rPr>
        <w:t>内容中</w:t>
      </w:r>
      <w:r>
        <w:rPr>
          <w:rFonts w:hint="eastAsia" w:ascii="宋体" w:hAnsi="宋体" w:eastAsia="宋体" w:cs="宋体"/>
          <w:i w:val="0"/>
          <w:iCs w:val="0"/>
          <w:color w:val="000000" w:themeColor="text1"/>
          <w:sz w:val="21"/>
          <w:szCs w:val="21"/>
          <w:highlight w:val="none"/>
          <w14:textFill>
            <w14:solidFill>
              <w14:schemeClr w14:val="tx1"/>
            </w14:solidFill>
          </w14:textFill>
        </w:rPr>
        <w:t>未</w:t>
      </w:r>
      <w:r>
        <w:rPr>
          <w:rFonts w:hint="eastAsia" w:ascii="宋体" w:hAnsi="宋体" w:eastAsia="宋体" w:cs="宋体"/>
          <w:i w:val="0"/>
          <w:iCs w:val="0"/>
          <w:color w:val="000000" w:themeColor="text1"/>
          <w:kern w:val="0"/>
          <w:sz w:val="21"/>
          <w:szCs w:val="21"/>
          <w:highlight w:val="none"/>
          <w14:textFill>
            <w14:solidFill>
              <w14:schemeClr w14:val="tx1"/>
            </w14:solidFill>
          </w14:textFill>
        </w:rPr>
        <w:t>涉及商业秘密；</w:t>
      </w:r>
    </w:p>
    <w:p w14:paraId="7171A779">
      <w:pPr>
        <w:keepNext w:val="0"/>
        <w:keepLines w:val="0"/>
        <w:pageBreakBefore w:val="0"/>
        <w:widowControl w:val="0"/>
        <w:kinsoku/>
        <w:wordWrap/>
        <w:overflowPunct/>
        <w:topLinePunct w:val="0"/>
        <w:bidi w:val="0"/>
        <w:adjustRightInd/>
        <w:snapToGrid/>
        <w:spacing w:line="360" w:lineRule="auto"/>
        <w:ind w:firstLine="420" w:firstLineChars="200"/>
        <w:contextualSpacing/>
        <w:textAlignment w:val="auto"/>
        <w:rPr>
          <w:rFonts w:hint="eastAsia" w:ascii="宋体" w:hAnsi="宋体" w:eastAsia="宋体" w:cs="宋体"/>
          <w:i w:val="0"/>
          <w:iCs w:val="0"/>
          <w:color w:val="000000" w:themeColor="text1"/>
          <w:sz w:val="21"/>
          <w:szCs w:val="21"/>
          <w:highlight w:val="none"/>
          <w14:textFill>
            <w14:solidFill>
              <w14:schemeClr w14:val="tx1"/>
            </w14:solidFill>
          </w14:textFill>
        </w:rPr>
      </w:pPr>
      <w:r>
        <w:rPr>
          <w:rFonts w:hint="eastAsia" w:ascii="宋体" w:hAnsi="宋体" w:eastAsia="宋体" w:cs="宋体"/>
          <w:i w:val="0"/>
          <w:iCs w:val="0"/>
          <w:color w:val="000000" w:themeColor="text1"/>
          <w:sz w:val="21"/>
          <w:szCs w:val="21"/>
          <w:highlight w:val="none"/>
          <w14:textFill>
            <w14:solidFill>
              <w14:schemeClr w14:val="tx1"/>
            </w14:solidFill>
          </w14:textFill>
        </w:rPr>
        <w:t>□我方本次响应文件</w:t>
      </w:r>
      <w:r>
        <w:rPr>
          <w:rFonts w:hint="eastAsia" w:ascii="宋体" w:hAnsi="宋体" w:eastAsia="宋体" w:cs="宋体"/>
          <w:i w:val="0"/>
          <w:iCs w:val="0"/>
          <w:color w:val="000000" w:themeColor="text1"/>
          <w:kern w:val="0"/>
          <w:sz w:val="21"/>
          <w:szCs w:val="21"/>
          <w:highlight w:val="none"/>
          <w14:textFill>
            <w14:solidFill>
              <w14:schemeClr w14:val="tx1"/>
            </w14:solidFill>
          </w14:textFill>
        </w:rPr>
        <w:t>涉及商业秘密的内容有：</w:t>
      </w:r>
      <w:r>
        <w:rPr>
          <w:rFonts w:hint="eastAsia" w:ascii="宋体" w:hAnsi="宋体" w:eastAsia="宋体" w:cs="宋体"/>
          <w:i w:val="0"/>
          <w:iCs w:val="0"/>
          <w:color w:val="000000" w:themeColor="text1"/>
          <w:kern w:val="0"/>
          <w:sz w:val="21"/>
          <w:szCs w:val="21"/>
          <w:highlight w:val="none"/>
          <w:u w:val="single"/>
          <w14:textFill>
            <w14:solidFill>
              <w14:schemeClr w14:val="tx1"/>
            </w14:solidFill>
          </w14:textFill>
        </w:rPr>
        <w:t xml:space="preserve">                         </w:t>
      </w:r>
      <w:r>
        <w:rPr>
          <w:rFonts w:hint="eastAsia" w:ascii="宋体" w:hAnsi="宋体" w:eastAsia="宋体" w:cs="宋体"/>
          <w:i w:val="0"/>
          <w:iCs w:val="0"/>
          <w:color w:val="000000" w:themeColor="text1"/>
          <w:kern w:val="0"/>
          <w:sz w:val="21"/>
          <w:szCs w:val="21"/>
          <w:highlight w:val="none"/>
          <w14:textFill>
            <w14:solidFill>
              <w14:schemeClr w14:val="tx1"/>
            </w14:solidFill>
          </w14:textFill>
        </w:rPr>
        <w:t>；</w:t>
      </w:r>
    </w:p>
    <w:p w14:paraId="1FB44A13">
      <w:pPr>
        <w:pStyle w:val="17"/>
        <w:keepNext w:val="0"/>
        <w:keepLines w:val="0"/>
        <w:pageBreakBefore w:val="0"/>
        <w:widowControl w:val="0"/>
        <w:tabs>
          <w:tab w:val="left" w:pos="939"/>
        </w:tabs>
        <w:kinsoku/>
        <w:wordWrap/>
        <w:overflowPunct/>
        <w:topLinePunct w:val="0"/>
        <w:bidi w:val="0"/>
        <w:adjustRightInd/>
        <w:snapToGrid/>
        <w:spacing w:line="360" w:lineRule="auto"/>
        <w:ind w:left="0" w:leftChars="0" w:firstLine="420" w:firstLineChars="200"/>
        <w:textAlignment w:val="auto"/>
        <w:rPr>
          <w:rFonts w:hint="eastAsia" w:ascii="宋体" w:hAnsi="宋体" w:eastAsia="宋体" w:cs="宋体"/>
          <w:i w:val="0"/>
          <w:iCs w:val="0"/>
          <w:color w:val="000000" w:themeColor="text1"/>
          <w:sz w:val="21"/>
          <w:szCs w:val="21"/>
          <w:highlight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lang w:val="en-US" w:eastAsia="zh-CN"/>
          <w14:textFill>
            <w14:solidFill>
              <w14:schemeClr w14:val="tx1"/>
            </w14:solidFill>
          </w14:textFill>
        </w:rPr>
        <w:t>6</w:t>
      </w:r>
      <w:r>
        <w:rPr>
          <w:rFonts w:hint="eastAsia" w:ascii="宋体" w:hAnsi="宋体" w:eastAsia="宋体" w:cs="宋体"/>
          <w:i w:val="0"/>
          <w:iCs w:val="0"/>
          <w:color w:val="000000" w:themeColor="text1"/>
          <w:kern w:val="0"/>
          <w:sz w:val="21"/>
          <w:szCs w:val="21"/>
          <w:highlight w:val="none"/>
          <w14:textFill>
            <w14:solidFill>
              <w14:schemeClr w14:val="tx1"/>
            </w14:solidFill>
          </w14:textFill>
        </w:rPr>
        <w:t>.</w:t>
      </w:r>
      <w:r>
        <w:rPr>
          <w:rFonts w:hint="eastAsia" w:ascii="宋体" w:hAnsi="宋体" w:eastAsia="宋体" w:cs="宋体"/>
          <w:i w:val="0"/>
          <w:iCs w:val="0"/>
          <w:color w:val="000000" w:themeColor="text1"/>
          <w:sz w:val="21"/>
          <w:szCs w:val="21"/>
          <w:highlight w:val="none"/>
          <w14:textFill>
            <w14:solidFill>
              <w14:schemeClr w14:val="tx1"/>
            </w14:solidFill>
          </w14:textFill>
        </w:rPr>
        <w:t>以上事项如有虚假或者隐瞒，我方愿意承担一切后果，并不再寻求任何旨在减轻或者免除法律责任的辩解。</w:t>
      </w:r>
    </w:p>
    <w:p w14:paraId="5E8EEF5F">
      <w:pPr>
        <w:pStyle w:val="17"/>
        <w:keepNext w:val="0"/>
        <w:keepLines w:val="0"/>
        <w:pageBreakBefore w:val="0"/>
        <w:widowControl w:val="0"/>
        <w:tabs>
          <w:tab w:val="left" w:pos="939"/>
        </w:tabs>
        <w:kinsoku/>
        <w:wordWrap/>
        <w:overflowPunct/>
        <w:topLinePunct w:val="0"/>
        <w:bidi w:val="0"/>
        <w:adjustRightInd/>
        <w:snapToGrid/>
        <w:spacing w:line="360" w:lineRule="auto"/>
        <w:ind w:left="141" w:leftChars="67" w:firstLine="315" w:firstLineChars="150"/>
        <w:textAlignment w:val="auto"/>
        <w:rPr>
          <w:rFonts w:hint="eastAsia" w:ascii="宋体" w:hAnsi="宋体" w:eastAsia="宋体" w:cs="宋体"/>
          <w:i w:val="0"/>
          <w:iCs w:val="0"/>
          <w:color w:val="000000" w:themeColor="text1"/>
          <w:sz w:val="21"/>
          <w:szCs w:val="21"/>
          <w:highlight w:val="none"/>
          <w14:textFill>
            <w14:solidFill>
              <w14:schemeClr w14:val="tx1"/>
            </w14:solidFill>
          </w14:textFill>
        </w:rPr>
      </w:pPr>
      <w:r>
        <w:rPr>
          <w:rFonts w:hint="eastAsia" w:ascii="宋体" w:hAnsi="宋体" w:eastAsia="宋体" w:cs="宋体"/>
          <w:i w:val="0"/>
          <w:iCs w:val="0"/>
          <w:color w:val="000000" w:themeColor="text1"/>
          <w:sz w:val="21"/>
          <w:szCs w:val="21"/>
          <w:highlight w:val="none"/>
          <w14:textFill>
            <w14:solidFill>
              <w14:schemeClr w14:val="tx1"/>
            </w14:solidFill>
          </w14:textFill>
        </w:rPr>
        <w:t>特此承诺。</w:t>
      </w:r>
    </w:p>
    <w:p w14:paraId="631CA8A9">
      <w:pPr>
        <w:pStyle w:val="17"/>
        <w:keepNext w:val="0"/>
        <w:keepLines w:val="0"/>
        <w:pageBreakBefore w:val="0"/>
        <w:widowControl w:val="0"/>
        <w:tabs>
          <w:tab w:val="left" w:pos="939"/>
        </w:tabs>
        <w:kinsoku/>
        <w:wordWrap/>
        <w:overflowPunct/>
        <w:topLinePunct w:val="0"/>
        <w:bidi w:val="0"/>
        <w:adjustRightInd/>
        <w:snapToGrid/>
        <w:spacing w:line="360" w:lineRule="auto"/>
        <w:ind w:left="0" w:leftChars="0" w:firstLine="420" w:firstLineChars="200"/>
        <w:textAlignment w:val="auto"/>
        <w:rPr>
          <w:rFonts w:hint="eastAsia" w:ascii="宋体" w:hAnsi="宋体" w:eastAsia="宋体" w:cs="宋体"/>
          <w:i w:val="0"/>
          <w:iCs w:val="0"/>
          <w:color w:val="000000" w:themeColor="text1"/>
          <w:sz w:val="21"/>
          <w:szCs w:val="21"/>
          <w:highlight w:val="none"/>
          <w14:textFill>
            <w14:solidFill>
              <w14:schemeClr w14:val="tx1"/>
            </w14:solidFill>
          </w14:textFill>
        </w:rPr>
      </w:pPr>
      <w:r>
        <w:rPr>
          <w:rFonts w:hint="eastAsia" w:ascii="宋体" w:hAnsi="宋体" w:eastAsia="宋体" w:cs="宋体"/>
          <w:i w:val="0"/>
          <w:iCs w:val="0"/>
          <w:color w:val="000000" w:themeColor="text1"/>
          <w:sz w:val="21"/>
          <w:szCs w:val="21"/>
          <w:highlight w:val="none"/>
          <w14:textFill>
            <w14:solidFill>
              <w14:schemeClr w14:val="tx1"/>
            </w14:solidFill>
          </w14:textFill>
        </w:rPr>
        <w:t>注：如为联合体竞标，盖章处须加盖联合体各方公章，否则其响应文件按无效响应处理。</w:t>
      </w:r>
    </w:p>
    <w:p w14:paraId="45881EBC">
      <w:pPr>
        <w:pStyle w:val="17"/>
        <w:keepNext w:val="0"/>
        <w:keepLines w:val="0"/>
        <w:pageBreakBefore w:val="0"/>
        <w:widowControl w:val="0"/>
        <w:tabs>
          <w:tab w:val="left" w:pos="939"/>
        </w:tabs>
        <w:kinsoku/>
        <w:wordWrap/>
        <w:overflowPunct/>
        <w:topLinePunct w:val="0"/>
        <w:bidi w:val="0"/>
        <w:adjustRightInd/>
        <w:snapToGrid/>
        <w:spacing w:line="360" w:lineRule="auto"/>
        <w:ind w:left="0" w:leftChars="0" w:firstLine="420" w:firstLineChars="200"/>
        <w:textAlignment w:val="auto"/>
        <w:rPr>
          <w:rFonts w:hint="eastAsia" w:ascii="宋体" w:hAnsi="宋体" w:eastAsia="宋体" w:cs="宋体"/>
          <w:i w:val="0"/>
          <w:iCs w:val="0"/>
          <w:color w:val="000000" w:themeColor="text1"/>
          <w:sz w:val="21"/>
          <w:szCs w:val="21"/>
          <w:highlight w:val="none"/>
          <w14:textFill>
            <w14:solidFill>
              <w14:schemeClr w14:val="tx1"/>
            </w14:solidFill>
          </w14:textFill>
        </w:rPr>
      </w:pPr>
    </w:p>
    <w:p w14:paraId="1C3F2EF5">
      <w:pPr>
        <w:keepNext w:val="0"/>
        <w:keepLines w:val="0"/>
        <w:pageBreakBefore w:val="0"/>
        <w:widowControl w:val="0"/>
        <w:kinsoku/>
        <w:wordWrap/>
        <w:overflowPunct/>
        <w:topLinePunct w:val="0"/>
        <w:autoSpaceDE w:val="0"/>
        <w:autoSpaceDN w:val="0"/>
        <w:bidi w:val="0"/>
        <w:adjustRightInd/>
        <w:snapToGrid/>
        <w:spacing w:line="360" w:lineRule="auto"/>
        <w:ind w:left="4305" w:leftChars="1850" w:hanging="420" w:hangingChars="200"/>
        <w:textAlignment w:val="auto"/>
        <w:rPr>
          <w:rFonts w:hint="eastAsia" w:ascii="宋体" w:hAnsi="宋体" w:eastAsia="宋体" w:cs="宋体"/>
          <w:i w:val="0"/>
          <w:iCs w:val="0"/>
          <w:color w:val="000000" w:themeColor="text1"/>
          <w:kern w:val="0"/>
          <w:sz w:val="21"/>
          <w:szCs w:val="21"/>
          <w:highlight w:val="none"/>
          <w14:textFill>
            <w14:solidFill>
              <w14:schemeClr w14:val="tx1"/>
            </w14:solidFill>
          </w14:textFill>
        </w:rPr>
      </w:pPr>
    </w:p>
    <w:p w14:paraId="74530346">
      <w:pPr>
        <w:keepNext w:val="0"/>
        <w:keepLines w:val="0"/>
        <w:pageBreakBefore w:val="0"/>
        <w:widowControl w:val="0"/>
        <w:kinsoku/>
        <w:wordWrap/>
        <w:overflowPunct/>
        <w:topLinePunct w:val="0"/>
        <w:autoSpaceDE w:val="0"/>
        <w:autoSpaceDN w:val="0"/>
        <w:bidi w:val="0"/>
        <w:adjustRightInd/>
        <w:snapToGrid/>
        <w:spacing w:line="360" w:lineRule="auto"/>
        <w:ind w:left="4305" w:leftChars="1850" w:hanging="420" w:hangingChars="200"/>
        <w:textAlignment w:val="auto"/>
        <w:rPr>
          <w:rFonts w:hint="eastAsia" w:ascii="宋体" w:hAnsi="宋体" w:eastAsia="宋体" w:cs="宋体"/>
          <w:i w:val="0"/>
          <w:iCs w:val="0"/>
          <w:color w:val="000000" w:themeColor="text1"/>
          <w:kern w:val="0"/>
          <w:sz w:val="21"/>
          <w:szCs w:val="21"/>
          <w:highlight w:val="none"/>
          <w14:textFill>
            <w14:solidFill>
              <w14:schemeClr w14:val="tx1"/>
            </w14:solidFill>
          </w14:textFill>
        </w:rPr>
      </w:pPr>
    </w:p>
    <w:p w14:paraId="61D892AC">
      <w:pPr>
        <w:keepNext w:val="0"/>
        <w:keepLines w:val="0"/>
        <w:pageBreakBefore w:val="0"/>
        <w:widowControl w:val="0"/>
        <w:kinsoku/>
        <w:wordWrap/>
        <w:overflowPunct/>
        <w:topLinePunct w:val="0"/>
        <w:autoSpaceDE w:val="0"/>
        <w:autoSpaceDN w:val="0"/>
        <w:bidi w:val="0"/>
        <w:adjustRightInd/>
        <w:snapToGrid/>
        <w:spacing w:line="360" w:lineRule="auto"/>
        <w:ind w:left="4305" w:leftChars="1850" w:hanging="420" w:hangingChars="200"/>
        <w:textAlignment w:val="auto"/>
        <w:rPr>
          <w:rFonts w:hint="eastAsia" w:ascii="宋体" w:hAnsi="宋体" w:eastAsia="宋体" w:cs="宋体"/>
          <w:i w:val="0"/>
          <w:iCs w:val="0"/>
          <w:color w:val="000000" w:themeColor="text1"/>
          <w:kern w:val="0"/>
          <w:sz w:val="21"/>
          <w:szCs w:val="21"/>
          <w:highlight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14:textFill>
            <w14:solidFill>
              <w14:schemeClr w14:val="tx1"/>
            </w14:solidFill>
          </w14:textFill>
        </w:rPr>
        <w:t>供应商名称（</w:t>
      </w:r>
      <w:r>
        <w:rPr>
          <w:rFonts w:hint="eastAsia" w:ascii="宋体" w:hAnsi="宋体" w:eastAsia="宋体" w:cs="宋体"/>
          <w:i w:val="0"/>
          <w:iCs w:val="0"/>
          <w:color w:val="000000" w:themeColor="text1"/>
          <w:kern w:val="0"/>
          <w:sz w:val="21"/>
          <w:szCs w:val="21"/>
          <w:highlight w:val="none"/>
          <w:lang w:eastAsia="zh-CN"/>
          <w14:textFill>
            <w14:solidFill>
              <w14:schemeClr w14:val="tx1"/>
            </w14:solidFill>
          </w14:textFill>
        </w:rPr>
        <w:t>盖公章</w:t>
      </w:r>
      <w:r>
        <w:rPr>
          <w:rFonts w:hint="eastAsia" w:ascii="宋体" w:hAnsi="宋体" w:eastAsia="宋体" w:cs="宋体"/>
          <w:i w:val="0"/>
          <w:iCs w:val="0"/>
          <w:color w:val="000000" w:themeColor="text1"/>
          <w:kern w:val="0"/>
          <w:sz w:val="21"/>
          <w:szCs w:val="21"/>
          <w:highlight w:val="none"/>
          <w14:textFill>
            <w14:solidFill>
              <w14:schemeClr w14:val="tx1"/>
            </w14:solidFill>
          </w14:textFill>
        </w:rPr>
        <w:t>）：</w:t>
      </w:r>
    </w:p>
    <w:p w14:paraId="23078D14">
      <w:pPr>
        <w:keepNext w:val="0"/>
        <w:keepLines w:val="0"/>
        <w:pageBreakBefore w:val="0"/>
        <w:widowControl w:val="0"/>
        <w:kinsoku/>
        <w:wordWrap/>
        <w:overflowPunct/>
        <w:topLinePunct w:val="0"/>
        <w:autoSpaceDE w:val="0"/>
        <w:autoSpaceDN w:val="0"/>
        <w:bidi w:val="0"/>
        <w:adjustRightInd/>
        <w:snapToGrid/>
        <w:spacing w:line="360" w:lineRule="auto"/>
        <w:ind w:firstLine="5355" w:firstLineChars="2550"/>
        <w:textAlignment w:val="auto"/>
        <w:rPr>
          <w:rFonts w:hint="eastAsia" w:ascii="宋体" w:hAnsi="宋体" w:eastAsia="宋体" w:cs="宋体"/>
          <w:i w:val="0"/>
          <w:iCs w:val="0"/>
          <w:color w:val="000000" w:themeColor="text1"/>
          <w:kern w:val="0"/>
          <w:sz w:val="21"/>
          <w:szCs w:val="21"/>
          <w:highlight w:val="none"/>
          <w:lang w:val="zh-CN"/>
          <w14:textFill>
            <w14:solidFill>
              <w14:schemeClr w14:val="tx1"/>
            </w14:solidFill>
          </w14:textFill>
        </w:rPr>
      </w:pPr>
      <w:r>
        <w:rPr>
          <w:rFonts w:hint="eastAsia" w:ascii="宋体" w:hAnsi="宋体" w:eastAsia="宋体" w:cs="宋体"/>
          <w:i w:val="0"/>
          <w:iCs w:val="0"/>
          <w:color w:val="000000" w:themeColor="text1"/>
          <w:kern w:val="0"/>
          <w:sz w:val="21"/>
          <w:szCs w:val="21"/>
          <w:highlight w:val="none"/>
          <w:lang w:val="zh-CN"/>
          <w14:textFill>
            <w14:solidFill>
              <w14:schemeClr w14:val="tx1"/>
            </w14:solidFill>
          </w14:textFill>
        </w:rPr>
        <w:t xml:space="preserve">日期：  年  月   </w:t>
      </w:r>
    </w:p>
    <w:p w14:paraId="7B936108">
      <w:pPr>
        <w:autoSpaceDE w:val="0"/>
        <w:autoSpaceDN w:val="0"/>
        <w:spacing w:line="360" w:lineRule="auto"/>
        <w:rPr>
          <w:rFonts w:hint="eastAsia" w:ascii="仿宋_GB2312" w:hAnsi="仿宋" w:eastAsia="仿宋_GB2312" w:cs="仿宋_GB2312"/>
          <w:color w:val="000000" w:themeColor="text1"/>
          <w:kern w:val="0"/>
          <w:sz w:val="24"/>
          <w:highlight w:val="none"/>
          <w:lang w:val="zh-CN"/>
          <w14:textFill>
            <w14:solidFill>
              <w14:schemeClr w14:val="tx1"/>
            </w14:solidFill>
          </w14:textFill>
        </w:rPr>
      </w:pPr>
    </w:p>
    <w:p w14:paraId="5EC83619">
      <w:pPr>
        <w:pStyle w:val="4"/>
        <w:keepNext/>
        <w:keepLines/>
        <w:pageBreakBefore w:val="0"/>
        <w:widowControl w:val="0"/>
        <w:kinsoku/>
        <w:wordWrap/>
        <w:overflowPunct/>
        <w:topLinePunct w:val="0"/>
        <w:autoSpaceDE/>
        <w:autoSpaceDN/>
        <w:bidi w:val="0"/>
        <w:adjustRightInd/>
        <w:snapToGrid/>
        <w:spacing w:before="0" w:after="0" w:line="360" w:lineRule="auto"/>
        <w:jc w:val="center"/>
        <w:textAlignment w:val="auto"/>
        <w:outlineLvl w:val="1"/>
        <w:rPr>
          <w:rFonts w:hint="eastAsia" w:ascii="宋体" w:hAnsi="宋体" w:eastAsia="宋体" w:cs="宋体"/>
          <w:b/>
          <w:bCs/>
          <w:color w:val="000000" w:themeColor="text1"/>
          <w:sz w:val="30"/>
          <w:szCs w:val="30"/>
          <w:highlight w:val="none"/>
          <w14:textFill>
            <w14:solidFill>
              <w14:schemeClr w14:val="tx1"/>
            </w14:solidFill>
          </w14:textFill>
        </w:rPr>
      </w:pPr>
      <w:bookmarkStart w:id="207" w:name="_Toc20562"/>
      <w:bookmarkStart w:id="208" w:name="_Toc80886944"/>
      <w:bookmarkStart w:id="209" w:name="_Toc80205940"/>
      <w:bookmarkStart w:id="210" w:name="_Toc1290"/>
      <w:bookmarkStart w:id="211" w:name="_Toc15951"/>
      <w:r>
        <w:rPr>
          <w:rFonts w:hint="eastAsia" w:ascii="宋体" w:hAnsi="宋体" w:eastAsia="宋体" w:cs="宋体"/>
          <w:b/>
          <w:bCs/>
          <w:color w:val="000000" w:themeColor="text1"/>
          <w:sz w:val="30"/>
          <w:szCs w:val="30"/>
          <w:highlight w:val="none"/>
          <w14:textFill>
            <w14:solidFill>
              <w14:schemeClr w14:val="tx1"/>
            </w14:solidFill>
          </w14:textFill>
        </w:rPr>
        <w:t>第</w:t>
      </w:r>
      <w:r>
        <w:rPr>
          <w:rFonts w:hint="eastAsia" w:ascii="宋体" w:hAnsi="宋体" w:eastAsia="宋体" w:cs="宋体"/>
          <w:b/>
          <w:bCs/>
          <w:color w:val="000000" w:themeColor="text1"/>
          <w:sz w:val="30"/>
          <w:szCs w:val="30"/>
          <w:highlight w:val="none"/>
          <w:lang w:eastAsia="zh-CN"/>
          <w14:textFill>
            <w14:solidFill>
              <w14:schemeClr w14:val="tx1"/>
            </w14:solidFill>
          </w14:textFill>
        </w:rPr>
        <w:t>二</w:t>
      </w:r>
      <w:r>
        <w:rPr>
          <w:rFonts w:hint="eastAsia" w:ascii="宋体" w:hAnsi="宋体" w:eastAsia="宋体" w:cs="宋体"/>
          <w:b/>
          <w:bCs/>
          <w:color w:val="000000" w:themeColor="text1"/>
          <w:sz w:val="30"/>
          <w:szCs w:val="30"/>
          <w:highlight w:val="none"/>
          <w14:textFill>
            <w14:solidFill>
              <w14:schemeClr w14:val="tx1"/>
            </w14:solidFill>
          </w14:textFill>
        </w:rPr>
        <w:t xml:space="preserve">节 </w:t>
      </w:r>
      <w:r>
        <w:rPr>
          <w:rFonts w:hint="eastAsia" w:ascii="宋体" w:hAnsi="宋体" w:eastAsia="宋体" w:cs="宋体"/>
          <w:b/>
          <w:bCs/>
          <w:color w:val="000000" w:themeColor="text1"/>
          <w:sz w:val="30"/>
          <w:szCs w:val="30"/>
          <w:highlight w:val="none"/>
          <w:lang w:val="en-US" w:eastAsia="zh-CN"/>
          <w14:textFill>
            <w14:solidFill>
              <w14:schemeClr w14:val="tx1"/>
            </w14:solidFill>
          </w14:textFill>
        </w:rPr>
        <w:t xml:space="preserve"> </w:t>
      </w:r>
      <w:r>
        <w:rPr>
          <w:rFonts w:hint="eastAsia" w:ascii="宋体" w:hAnsi="宋体" w:eastAsia="宋体" w:cs="宋体"/>
          <w:b/>
          <w:bCs/>
          <w:color w:val="000000" w:themeColor="text1"/>
          <w:sz w:val="30"/>
          <w:szCs w:val="30"/>
          <w:highlight w:val="none"/>
          <w14:textFill>
            <w14:solidFill>
              <w14:schemeClr w14:val="tx1"/>
            </w14:solidFill>
          </w14:textFill>
        </w:rPr>
        <w:t>商务技术文件格式</w:t>
      </w:r>
      <w:bookmarkEnd w:id="207"/>
      <w:bookmarkEnd w:id="208"/>
      <w:bookmarkEnd w:id="209"/>
      <w:bookmarkEnd w:id="210"/>
      <w:bookmarkEnd w:id="211"/>
    </w:p>
    <w:p w14:paraId="38D59E9E">
      <w:pPr>
        <w:snapToGrid w:val="0"/>
        <w:spacing w:before="120" w:beforeLines="50" w:after="50" w:line="360" w:lineRule="auto"/>
        <w:jc w:val="left"/>
        <w:outlineLvl w:val="2"/>
        <w:rPr>
          <w:b/>
          <w:color w:val="000000" w:themeColor="text1"/>
          <w:sz w:val="32"/>
          <w:szCs w:val="32"/>
          <w:highlight w:val="none"/>
          <w14:textFill>
            <w14:solidFill>
              <w14:schemeClr w14:val="tx1"/>
            </w14:solidFill>
          </w14:textFill>
        </w:rPr>
      </w:pPr>
      <w:bookmarkStart w:id="212" w:name="_Toc31858"/>
      <w:r>
        <w:rPr>
          <w:b/>
          <w:color w:val="000000" w:themeColor="text1"/>
          <w:sz w:val="28"/>
          <w:szCs w:val="28"/>
          <w:highlight w:val="none"/>
          <w14:textFill>
            <w14:solidFill>
              <w14:schemeClr w14:val="tx1"/>
            </w14:solidFill>
          </w14:textFill>
        </w:rPr>
        <w:t>1.商务技术文件封面的格式：</w:t>
      </w:r>
      <w:bookmarkEnd w:id="212"/>
    </w:p>
    <w:p w14:paraId="19633377">
      <w:pPr>
        <w:snapToGrid w:val="0"/>
        <w:spacing w:before="120" w:beforeLines="50" w:after="5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 xml:space="preserve">                                             </w:t>
      </w:r>
    </w:p>
    <w:p w14:paraId="4EDE30ED">
      <w:pPr>
        <w:snapToGrid w:val="0"/>
        <w:spacing w:before="120" w:beforeLines="50" w:after="50"/>
        <w:ind w:firstLine="6720" w:firstLineChars="3200"/>
        <w:rPr>
          <w:bCs/>
          <w:color w:val="000000" w:themeColor="text1"/>
          <w:sz w:val="32"/>
          <w:szCs w:val="20"/>
          <w:highlight w:val="none"/>
          <w14:textFill>
            <w14:solidFill>
              <w14:schemeClr w14:val="tx1"/>
            </w14:solidFill>
          </w14:textFill>
        </w:rPr>
      </w:pPr>
      <w:r>
        <w:rPr>
          <w:bCs/>
          <w:color w:val="000000" w:themeColor="text1"/>
          <w:highlight w:val="none"/>
          <w14:textFill>
            <w14:solidFill>
              <w14:schemeClr w14:val="tx1"/>
            </w14:solidFill>
          </w14:textFill>
        </w:rPr>
        <w:t>全流程电子文件</w:t>
      </w:r>
    </w:p>
    <w:p w14:paraId="6533276B">
      <w:pPr>
        <w:snapToGrid w:val="0"/>
        <w:spacing w:before="120" w:beforeLines="50" w:after="50"/>
        <w:rPr>
          <w:color w:val="000000" w:themeColor="text1"/>
          <w:sz w:val="24"/>
          <w:szCs w:val="20"/>
          <w:highlight w:val="none"/>
          <w14:textFill>
            <w14:solidFill>
              <w14:schemeClr w14:val="tx1"/>
            </w14:solidFill>
          </w14:textFill>
        </w:rPr>
      </w:pPr>
    </w:p>
    <w:p w14:paraId="24718087">
      <w:pPr>
        <w:snapToGrid w:val="0"/>
        <w:spacing w:before="120" w:beforeLines="50" w:after="50"/>
        <w:rPr>
          <w:color w:val="000000" w:themeColor="text1"/>
          <w:sz w:val="24"/>
          <w:szCs w:val="20"/>
          <w:highlight w:val="none"/>
          <w14:textFill>
            <w14:solidFill>
              <w14:schemeClr w14:val="tx1"/>
            </w14:solidFill>
          </w14:textFill>
        </w:rPr>
      </w:pPr>
    </w:p>
    <w:p w14:paraId="128B7E35">
      <w:pPr>
        <w:snapToGrid w:val="0"/>
        <w:spacing w:before="120" w:beforeLines="50" w:after="50"/>
        <w:rPr>
          <w:color w:val="000000" w:themeColor="text1"/>
          <w:sz w:val="24"/>
          <w:szCs w:val="20"/>
          <w:highlight w:val="none"/>
          <w14:textFill>
            <w14:solidFill>
              <w14:schemeClr w14:val="tx1"/>
            </w14:solidFill>
          </w14:textFill>
        </w:rPr>
      </w:pPr>
    </w:p>
    <w:p w14:paraId="52D448DE">
      <w:pPr>
        <w:snapToGrid w:val="0"/>
        <w:spacing w:before="120" w:beforeLines="50" w:after="50"/>
        <w:jc w:val="center"/>
        <w:rPr>
          <w:rFonts w:hint="eastAsia" w:ascii="宋体" w:hAnsi="宋体" w:cs="宋体"/>
          <w:b/>
          <w:color w:val="000000" w:themeColor="text1"/>
          <w:sz w:val="44"/>
          <w:szCs w:val="44"/>
          <w:highlight w:val="none"/>
          <w14:textFill>
            <w14:solidFill>
              <w14:schemeClr w14:val="tx1"/>
            </w14:solidFill>
          </w14:textFill>
        </w:rPr>
      </w:pPr>
      <w:r>
        <w:rPr>
          <w:rFonts w:hint="eastAsia" w:ascii="宋体" w:hAnsi="宋体" w:cs="宋体"/>
          <w:b/>
          <w:color w:val="000000" w:themeColor="text1"/>
          <w:sz w:val="44"/>
          <w:szCs w:val="44"/>
          <w:highlight w:val="none"/>
          <w14:textFill>
            <w14:solidFill>
              <w14:schemeClr w14:val="tx1"/>
            </w14:solidFill>
          </w14:textFill>
        </w:rPr>
        <w:t>商务技术文件</w:t>
      </w:r>
    </w:p>
    <w:p w14:paraId="437E1486">
      <w:pPr>
        <w:snapToGrid w:val="0"/>
        <w:spacing w:before="120" w:beforeLines="50" w:after="50"/>
        <w:rPr>
          <w:bCs/>
          <w:color w:val="000000" w:themeColor="text1"/>
          <w:sz w:val="24"/>
          <w:szCs w:val="20"/>
          <w:highlight w:val="none"/>
          <w14:textFill>
            <w14:solidFill>
              <w14:schemeClr w14:val="tx1"/>
            </w14:solidFill>
          </w14:textFill>
        </w:rPr>
      </w:pPr>
    </w:p>
    <w:p w14:paraId="01722139">
      <w:pPr>
        <w:snapToGrid w:val="0"/>
        <w:spacing w:before="120" w:beforeLines="50" w:after="50"/>
        <w:rPr>
          <w:bCs/>
          <w:color w:val="000000" w:themeColor="text1"/>
          <w:sz w:val="24"/>
          <w:szCs w:val="20"/>
          <w:highlight w:val="none"/>
          <w14:textFill>
            <w14:solidFill>
              <w14:schemeClr w14:val="tx1"/>
            </w14:solidFill>
          </w14:textFill>
        </w:rPr>
      </w:pPr>
    </w:p>
    <w:p w14:paraId="391888A7">
      <w:pPr>
        <w:snapToGrid w:val="0"/>
        <w:spacing w:before="120" w:beforeLines="50" w:after="50"/>
        <w:rPr>
          <w:bCs/>
          <w:color w:val="000000" w:themeColor="text1"/>
          <w:sz w:val="24"/>
          <w:szCs w:val="20"/>
          <w:highlight w:val="none"/>
          <w14:textFill>
            <w14:solidFill>
              <w14:schemeClr w14:val="tx1"/>
            </w14:solidFill>
          </w14:textFill>
        </w:rPr>
      </w:pPr>
    </w:p>
    <w:p w14:paraId="13418405">
      <w:pPr>
        <w:snapToGrid w:val="0"/>
        <w:spacing w:before="120" w:beforeLines="50" w:after="50"/>
        <w:rPr>
          <w:bCs/>
          <w:color w:val="000000" w:themeColor="text1"/>
          <w:sz w:val="24"/>
          <w:szCs w:val="20"/>
          <w:highlight w:val="none"/>
          <w14:textFill>
            <w14:solidFill>
              <w14:schemeClr w14:val="tx1"/>
            </w14:solidFill>
          </w14:textFill>
        </w:rPr>
      </w:pPr>
    </w:p>
    <w:p w14:paraId="6E332F11">
      <w:pPr>
        <w:snapToGrid w:val="0"/>
        <w:spacing w:before="120" w:beforeLines="50" w:after="50"/>
        <w:rPr>
          <w:bCs/>
          <w:color w:val="000000" w:themeColor="text1"/>
          <w:sz w:val="24"/>
          <w:szCs w:val="20"/>
          <w:highlight w:val="none"/>
          <w14:textFill>
            <w14:solidFill>
              <w14:schemeClr w14:val="tx1"/>
            </w14:solidFill>
          </w14:textFill>
        </w:rPr>
      </w:pPr>
    </w:p>
    <w:p w14:paraId="56EAA180">
      <w:pPr>
        <w:snapToGrid w:val="0"/>
        <w:spacing w:before="120" w:beforeLines="50" w:after="50"/>
        <w:ind w:firstLine="640" w:firstLineChars="200"/>
        <w:rPr>
          <w:bCs/>
          <w:color w:val="000000" w:themeColor="text1"/>
          <w:sz w:val="32"/>
          <w:szCs w:val="32"/>
          <w:highlight w:val="none"/>
          <w14:textFill>
            <w14:solidFill>
              <w14:schemeClr w14:val="tx1"/>
            </w14:solidFill>
          </w14:textFill>
        </w:rPr>
      </w:pPr>
      <w:r>
        <w:rPr>
          <w:bCs/>
          <w:color w:val="000000" w:themeColor="text1"/>
          <w:sz w:val="32"/>
          <w:szCs w:val="32"/>
          <w:highlight w:val="none"/>
          <w14:textFill>
            <w14:solidFill>
              <w14:schemeClr w14:val="tx1"/>
            </w14:solidFill>
          </w14:textFill>
        </w:rPr>
        <w:t>项目名称：</w:t>
      </w:r>
    </w:p>
    <w:p w14:paraId="01991D62">
      <w:pPr>
        <w:snapToGrid w:val="0"/>
        <w:spacing w:before="120" w:beforeLines="50" w:after="50"/>
        <w:ind w:firstLine="720" w:firstLineChars="225"/>
        <w:rPr>
          <w:bCs/>
          <w:color w:val="000000" w:themeColor="text1"/>
          <w:sz w:val="32"/>
          <w:szCs w:val="32"/>
          <w:highlight w:val="none"/>
          <w14:textFill>
            <w14:solidFill>
              <w14:schemeClr w14:val="tx1"/>
            </w14:solidFill>
          </w14:textFill>
        </w:rPr>
      </w:pPr>
    </w:p>
    <w:p w14:paraId="35D19A88">
      <w:pPr>
        <w:snapToGrid w:val="0"/>
        <w:spacing w:before="120" w:beforeLines="50" w:after="50"/>
        <w:ind w:firstLine="640" w:firstLineChars="200"/>
        <w:rPr>
          <w:bCs/>
          <w:color w:val="000000" w:themeColor="text1"/>
          <w:sz w:val="32"/>
          <w:szCs w:val="32"/>
          <w:highlight w:val="none"/>
          <w14:textFill>
            <w14:solidFill>
              <w14:schemeClr w14:val="tx1"/>
            </w14:solidFill>
          </w14:textFill>
        </w:rPr>
      </w:pPr>
      <w:r>
        <w:rPr>
          <w:bCs/>
          <w:color w:val="000000" w:themeColor="text1"/>
          <w:sz w:val="32"/>
          <w:szCs w:val="32"/>
          <w:highlight w:val="none"/>
          <w14:textFill>
            <w14:solidFill>
              <w14:schemeClr w14:val="tx1"/>
            </w14:solidFill>
          </w14:textFill>
        </w:rPr>
        <w:t>项目编号：</w:t>
      </w:r>
    </w:p>
    <w:p w14:paraId="7D0A2D21">
      <w:pPr>
        <w:snapToGrid w:val="0"/>
        <w:spacing w:before="120" w:beforeLines="50" w:after="50"/>
        <w:ind w:firstLine="720" w:firstLineChars="225"/>
        <w:rPr>
          <w:bCs/>
          <w:color w:val="000000" w:themeColor="text1"/>
          <w:sz w:val="32"/>
          <w:szCs w:val="32"/>
          <w:highlight w:val="none"/>
          <w14:textFill>
            <w14:solidFill>
              <w14:schemeClr w14:val="tx1"/>
            </w14:solidFill>
          </w14:textFill>
        </w:rPr>
      </w:pPr>
      <w:r>
        <w:rPr>
          <w:bCs/>
          <w:color w:val="000000" w:themeColor="text1"/>
          <w:sz w:val="32"/>
          <w:szCs w:val="32"/>
          <w:highlight w:val="none"/>
          <w14:textFill>
            <w14:solidFill>
              <w14:schemeClr w14:val="tx1"/>
            </w14:solidFill>
          </w14:textFill>
        </w:rPr>
        <w:t xml:space="preserve"> </w:t>
      </w:r>
    </w:p>
    <w:p w14:paraId="65A4628F">
      <w:pPr>
        <w:snapToGrid w:val="0"/>
        <w:spacing w:before="120" w:beforeLines="50" w:after="50"/>
        <w:ind w:firstLine="640" w:firstLineChars="200"/>
        <w:rPr>
          <w:bCs/>
          <w:color w:val="000000" w:themeColor="text1"/>
          <w:sz w:val="32"/>
          <w:szCs w:val="32"/>
          <w:highlight w:val="none"/>
          <w14:textFill>
            <w14:solidFill>
              <w14:schemeClr w14:val="tx1"/>
            </w14:solidFill>
          </w14:textFill>
        </w:rPr>
      </w:pPr>
      <w:r>
        <w:rPr>
          <w:bCs/>
          <w:color w:val="000000" w:themeColor="text1"/>
          <w:sz w:val="32"/>
          <w:szCs w:val="32"/>
          <w:highlight w:val="none"/>
          <w14:textFill>
            <w14:solidFill>
              <w14:schemeClr w14:val="tx1"/>
            </w14:solidFill>
          </w14:textFill>
        </w:rPr>
        <w:t>所竞分标（如有则填写，无分标时填写</w:t>
      </w:r>
      <w:r>
        <w:rPr>
          <w:rFonts w:hint="eastAsia"/>
          <w:bCs/>
          <w:color w:val="000000" w:themeColor="text1"/>
          <w:sz w:val="32"/>
          <w:szCs w:val="32"/>
          <w:highlight w:val="none"/>
          <w:lang w:eastAsia="zh-CN"/>
          <w14:textFill>
            <w14:solidFill>
              <w14:schemeClr w14:val="tx1"/>
            </w14:solidFill>
          </w14:textFill>
        </w:rPr>
        <w:t>“</w:t>
      </w:r>
      <w:r>
        <w:rPr>
          <w:bCs/>
          <w:color w:val="000000" w:themeColor="text1"/>
          <w:sz w:val="32"/>
          <w:szCs w:val="32"/>
          <w:highlight w:val="none"/>
          <w14:textFill>
            <w14:solidFill>
              <w14:schemeClr w14:val="tx1"/>
            </w14:solidFill>
          </w14:textFill>
        </w:rPr>
        <w:t>无</w:t>
      </w:r>
      <w:r>
        <w:rPr>
          <w:rFonts w:hint="eastAsia"/>
          <w:bCs/>
          <w:color w:val="000000" w:themeColor="text1"/>
          <w:sz w:val="32"/>
          <w:szCs w:val="32"/>
          <w:highlight w:val="none"/>
          <w:lang w:eastAsia="zh-CN"/>
          <w14:textFill>
            <w14:solidFill>
              <w14:schemeClr w14:val="tx1"/>
            </w14:solidFill>
          </w14:textFill>
        </w:rPr>
        <w:t>”</w:t>
      </w:r>
      <w:r>
        <w:rPr>
          <w:bCs/>
          <w:color w:val="000000" w:themeColor="text1"/>
          <w:sz w:val="32"/>
          <w:szCs w:val="32"/>
          <w:highlight w:val="none"/>
          <w14:textFill>
            <w14:solidFill>
              <w14:schemeClr w14:val="tx1"/>
            </w14:solidFill>
          </w14:textFill>
        </w:rPr>
        <w:t>或者留空）：</w:t>
      </w:r>
    </w:p>
    <w:p w14:paraId="76AFEFB1">
      <w:pPr>
        <w:snapToGrid w:val="0"/>
        <w:spacing w:before="120" w:beforeLines="50" w:after="50"/>
        <w:ind w:firstLine="720" w:firstLineChars="225"/>
        <w:rPr>
          <w:bCs/>
          <w:color w:val="000000" w:themeColor="text1"/>
          <w:sz w:val="32"/>
          <w:szCs w:val="32"/>
          <w:highlight w:val="none"/>
          <w14:textFill>
            <w14:solidFill>
              <w14:schemeClr w14:val="tx1"/>
            </w14:solidFill>
          </w14:textFill>
        </w:rPr>
      </w:pPr>
    </w:p>
    <w:p w14:paraId="44DA57A5">
      <w:pPr>
        <w:pStyle w:val="11"/>
        <w:snapToGrid w:val="0"/>
        <w:spacing w:before="50" w:after="50"/>
        <w:ind w:firstLine="640" w:firstLineChars="200"/>
        <w:rPr>
          <w:bCs/>
          <w:color w:val="000000" w:themeColor="text1"/>
          <w:sz w:val="32"/>
          <w:szCs w:val="32"/>
          <w:highlight w:val="none"/>
          <w14:textFill>
            <w14:solidFill>
              <w14:schemeClr w14:val="tx1"/>
            </w14:solidFill>
          </w14:textFill>
        </w:rPr>
      </w:pPr>
      <w:r>
        <w:rPr>
          <w:bCs/>
          <w:color w:val="000000" w:themeColor="text1"/>
          <w:sz w:val="32"/>
          <w:szCs w:val="32"/>
          <w:highlight w:val="none"/>
          <w14:textFill>
            <w14:solidFill>
              <w14:schemeClr w14:val="tx1"/>
            </w14:solidFill>
          </w14:textFill>
        </w:rPr>
        <w:t>供应商名称：</w:t>
      </w:r>
    </w:p>
    <w:p w14:paraId="0F857E52">
      <w:pPr>
        <w:pStyle w:val="11"/>
        <w:snapToGrid w:val="0"/>
        <w:spacing w:before="50" w:after="50"/>
        <w:ind w:firstLine="720" w:firstLineChars="225"/>
        <w:rPr>
          <w:bCs/>
          <w:color w:val="000000" w:themeColor="text1"/>
          <w:sz w:val="32"/>
          <w:szCs w:val="32"/>
          <w:highlight w:val="none"/>
          <w14:textFill>
            <w14:solidFill>
              <w14:schemeClr w14:val="tx1"/>
            </w14:solidFill>
          </w14:textFill>
        </w:rPr>
      </w:pPr>
    </w:p>
    <w:p w14:paraId="77F6CCBB">
      <w:pPr>
        <w:pStyle w:val="11"/>
        <w:snapToGrid w:val="0"/>
        <w:spacing w:before="50" w:after="50"/>
        <w:ind w:firstLine="720" w:firstLineChars="225"/>
        <w:rPr>
          <w:bCs/>
          <w:color w:val="000000" w:themeColor="text1"/>
          <w:sz w:val="32"/>
          <w:szCs w:val="32"/>
          <w:highlight w:val="none"/>
          <w14:textFill>
            <w14:solidFill>
              <w14:schemeClr w14:val="tx1"/>
            </w14:solidFill>
          </w14:textFill>
        </w:rPr>
      </w:pPr>
    </w:p>
    <w:p w14:paraId="53D91C4D">
      <w:pPr>
        <w:pStyle w:val="11"/>
        <w:snapToGrid w:val="0"/>
        <w:spacing w:before="50" w:after="50"/>
        <w:ind w:firstLine="1280" w:firstLineChars="400"/>
        <w:rPr>
          <w:bCs/>
          <w:color w:val="000000" w:themeColor="text1"/>
          <w:sz w:val="32"/>
          <w:szCs w:val="32"/>
          <w:highlight w:val="none"/>
          <w14:textFill>
            <w14:solidFill>
              <w14:schemeClr w14:val="tx1"/>
            </w14:solidFill>
          </w14:textFill>
        </w:rPr>
      </w:pPr>
    </w:p>
    <w:p w14:paraId="44AFB02B">
      <w:pPr>
        <w:snapToGrid w:val="0"/>
        <w:spacing w:before="120" w:beforeLines="50" w:after="50"/>
        <w:jc w:val="center"/>
        <w:rPr>
          <w:color w:val="000000" w:themeColor="text1"/>
          <w:sz w:val="32"/>
          <w:szCs w:val="32"/>
          <w:highlight w:val="none"/>
          <w14:textFill>
            <w14:solidFill>
              <w14:schemeClr w14:val="tx1"/>
            </w14:solidFill>
          </w14:textFill>
        </w:rPr>
      </w:pPr>
      <w:r>
        <w:rPr>
          <w:color w:val="000000" w:themeColor="text1"/>
          <w:sz w:val="32"/>
          <w:szCs w:val="32"/>
          <w:highlight w:val="none"/>
          <w14:textFill>
            <w14:solidFill>
              <w14:schemeClr w14:val="tx1"/>
            </w14:solidFill>
          </w14:textFill>
        </w:rPr>
        <w:t>年    月    日</w:t>
      </w:r>
    </w:p>
    <w:p w14:paraId="02F0487F">
      <w:pPr>
        <w:snapToGrid w:val="0"/>
        <w:spacing w:before="120" w:beforeLines="50" w:after="50" w:line="360" w:lineRule="auto"/>
        <w:ind w:left="142" w:firstLine="643" w:firstLineChars="200"/>
        <w:jc w:val="left"/>
        <w:rPr>
          <w:b/>
          <w:bCs/>
          <w:color w:val="000000" w:themeColor="text1"/>
          <w:sz w:val="32"/>
          <w:szCs w:val="32"/>
          <w:highlight w:val="none"/>
          <w14:textFill>
            <w14:solidFill>
              <w14:schemeClr w14:val="tx1"/>
            </w14:solidFill>
          </w14:textFill>
        </w:rPr>
        <w:sectPr>
          <w:footerReference r:id="rId12" w:type="default"/>
          <w:pgSz w:w="11911" w:h="16838"/>
          <w:pgMar w:top="1440" w:right="1080" w:bottom="1440" w:left="1080" w:header="720" w:footer="720" w:gutter="0"/>
          <w:pgNumType w:start="1"/>
          <w:cols w:space="720" w:num="1"/>
        </w:sectPr>
      </w:pPr>
    </w:p>
    <w:p w14:paraId="2548BE0D">
      <w:pPr>
        <w:snapToGrid w:val="0"/>
        <w:spacing w:before="120" w:beforeLines="50" w:after="50" w:line="360" w:lineRule="auto"/>
        <w:jc w:val="left"/>
        <w:outlineLvl w:val="2"/>
        <w:rPr>
          <w:color w:val="000000" w:themeColor="text1"/>
          <w:sz w:val="24"/>
          <w:szCs w:val="20"/>
          <w:highlight w:val="none"/>
          <w14:textFill>
            <w14:solidFill>
              <w14:schemeClr w14:val="tx1"/>
            </w14:solidFill>
          </w14:textFill>
        </w:rPr>
      </w:pPr>
      <w:bookmarkStart w:id="213" w:name="_Toc28772"/>
      <w:r>
        <w:rPr>
          <w:b/>
          <w:bCs/>
          <w:color w:val="000000" w:themeColor="text1"/>
          <w:sz w:val="28"/>
          <w:szCs w:val="28"/>
          <w:highlight w:val="none"/>
          <w14:textFill>
            <w14:solidFill>
              <w14:schemeClr w14:val="tx1"/>
            </w14:solidFill>
          </w14:textFill>
        </w:rPr>
        <w:t>2.商务技术文件目录</w:t>
      </w:r>
      <w:bookmarkEnd w:id="213"/>
    </w:p>
    <w:p w14:paraId="5983E276">
      <w:pPr>
        <w:spacing w:line="400" w:lineRule="exact"/>
        <w:ind w:firstLine="480" w:firstLineChars="200"/>
        <w:rPr>
          <w:rFonts w:eastAsia="仿宋_GB2312"/>
          <w:color w:val="000000" w:themeColor="text1"/>
          <w:sz w:val="32"/>
          <w:szCs w:val="32"/>
          <w:highlight w:val="none"/>
          <w14:textFill>
            <w14:solidFill>
              <w14:schemeClr w14:val="tx1"/>
            </w14:solidFill>
          </w14:textFill>
        </w:rPr>
      </w:pPr>
      <w:r>
        <w:rPr>
          <w:color w:val="000000" w:themeColor="text1"/>
          <w:kern w:val="0"/>
          <w:sz w:val="24"/>
          <w:highlight w:val="none"/>
          <w14:textFill>
            <w14:solidFill>
              <w14:schemeClr w14:val="tx1"/>
            </w14:solidFill>
          </w14:textFill>
        </w:rPr>
        <w:t>根据竞争性磋商文件规定及供应商提供的材料自行编写目录（部分格式后附）。</w:t>
      </w:r>
    </w:p>
    <w:p w14:paraId="49E9B5B4">
      <w:pPr>
        <w:snapToGrid w:val="0"/>
        <w:spacing w:before="120" w:beforeLines="50" w:after="50" w:line="360" w:lineRule="auto"/>
        <w:jc w:val="left"/>
        <w:outlineLvl w:val="2"/>
        <w:rPr>
          <w:color w:val="000000" w:themeColor="text1"/>
          <w:sz w:val="28"/>
          <w:szCs w:val="28"/>
          <w:highlight w:val="none"/>
          <w14:textFill>
            <w14:solidFill>
              <w14:schemeClr w14:val="tx1"/>
            </w14:solidFill>
          </w14:textFill>
        </w:rPr>
      </w:pPr>
      <w:r>
        <w:rPr>
          <w:rFonts w:eastAsia="方正小标宋简体"/>
          <w:color w:val="000000" w:themeColor="text1"/>
          <w:sz w:val="44"/>
          <w:szCs w:val="44"/>
          <w:highlight w:val="none"/>
          <w14:textFill>
            <w14:solidFill>
              <w14:schemeClr w14:val="tx1"/>
            </w14:solidFill>
          </w14:textFill>
        </w:rPr>
        <w:br w:type="page"/>
      </w:r>
      <w:bookmarkStart w:id="214" w:name="_Toc19137"/>
      <w:r>
        <w:rPr>
          <w:b/>
          <w:color w:val="000000" w:themeColor="text1"/>
          <w:sz w:val="28"/>
          <w:szCs w:val="28"/>
          <w:highlight w:val="none"/>
          <w14:textFill>
            <w14:solidFill>
              <w14:schemeClr w14:val="tx1"/>
            </w14:solidFill>
          </w14:textFill>
        </w:rPr>
        <w:t>3.无串通</w:t>
      </w:r>
      <w:r>
        <w:rPr>
          <w:rFonts w:ascii="Times New Roman" w:hAnsi="Times New Roman" w:eastAsia="宋体" w:cs="Times New Roman"/>
          <w:b/>
          <w:bCs/>
          <w:color w:val="000000" w:themeColor="text1"/>
          <w:sz w:val="28"/>
          <w:szCs w:val="28"/>
          <w:highlight w:val="none"/>
          <w14:textFill>
            <w14:solidFill>
              <w14:schemeClr w14:val="tx1"/>
            </w14:solidFill>
          </w14:textFill>
        </w:rPr>
        <w:t>竞标</w:t>
      </w:r>
      <w:r>
        <w:rPr>
          <w:b/>
          <w:color w:val="000000" w:themeColor="text1"/>
          <w:sz w:val="28"/>
          <w:szCs w:val="28"/>
          <w:highlight w:val="none"/>
          <w14:textFill>
            <w14:solidFill>
              <w14:schemeClr w14:val="tx1"/>
            </w14:solidFill>
          </w14:textFill>
        </w:rPr>
        <w:t>行为的承诺函的格式：</w:t>
      </w:r>
      <w:bookmarkEnd w:id="214"/>
    </w:p>
    <w:p w14:paraId="70F25375">
      <w:pPr>
        <w:spacing w:line="520" w:lineRule="exact"/>
        <w:jc w:val="center"/>
        <w:rPr>
          <w:rFonts w:eastAsia="方正小标宋简体"/>
          <w:color w:val="000000" w:themeColor="text1"/>
          <w:sz w:val="44"/>
          <w:szCs w:val="44"/>
          <w:highlight w:val="none"/>
          <w14:textFill>
            <w14:solidFill>
              <w14:schemeClr w14:val="tx1"/>
            </w14:solidFill>
          </w14:textFill>
        </w:rPr>
      </w:pPr>
    </w:p>
    <w:p w14:paraId="63F3E6EA">
      <w:pPr>
        <w:spacing w:line="500" w:lineRule="exact"/>
        <w:jc w:val="center"/>
        <w:rPr>
          <w:rFonts w:ascii="宋体" w:hAnsi="宋体" w:cs="宋体"/>
          <w:b/>
          <w:bCs/>
          <w:color w:val="000000" w:themeColor="text1"/>
          <w:sz w:val="32"/>
          <w:szCs w:val="32"/>
          <w:highlight w:val="none"/>
          <w14:textFill>
            <w14:solidFill>
              <w14:schemeClr w14:val="tx1"/>
            </w14:solidFill>
          </w14:textFill>
        </w:rPr>
      </w:pPr>
      <w:r>
        <w:rPr>
          <w:rFonts w:ascii="宋体" w:hAnsi="宋体" w:cs="宋体"/>
          <w:b/>
          <w:bCs/>
          <w:color w:val="000000" w:themeColor="text1"/>
          <w:sz w:val="32"/>
          <w:szCs w:val="32"/>
          <w:highlight w:val="none"/>
          <w14:textFill>
            <w14:solidFill>
              <w14:schemeClr w14:val="tx1"/>
            </w14:solidFill>
          </w14:textFill>
        </w:rPr>
        <w:t>无串通竞标行为的承诺函</w:t>
      </w:r>
    </w:p>
    <w:p w14:paraId="74DF1DB1">
      <w:pPr>
        <w:spacing w:line="520" w:lineRule="exact"/>
        <w:ind w:firstLine="640" w:firstLineChars="200"/>
        <w:rPr>
          <w:rFonts w:eastAsia="仿宋_GB2312"/>
          <w:color w:val="000000" w:themeColor="text1"/>
          <w:sz w:val="32"/>
          <w:szCs w:val="32"/>
          <w:highlight w:val="none"/>
          <w14:textFill>
            <w14:solidFill>
              <w14:schemeClr w14:val="tx1"/>
            </w14:solidFill>
          </w14:textFill>
        </w:rPr>
      </w:pPr>
    </w:p>
    <w:p w14:paraId="3C6AD736">
      <w:pPr>
        <w:keepNext w:val="0"/>
        <w:keepLines w:val="0"/>
        <w:pageBreakBefore w:val="0"/>
        <w:widowControl w:val="0"/>
        <w:kinsoku/>
        <w:wordWrap/>
        <w:overflowPunct/>
        <w:topLinePunct w:val="0"/>
        <w:autoSpaceDE/>
        <w:autoSpaceDN/>
        <w:bidi w:val="0"/>
        <w:adjustRightInd/>
        <w:spacing w:line="360" w:lineRule="auto"/>
        <w:ind w:firstLine="422" w:firstLineChars="200"/>
        <w:contextualSpacing/>
        <w:textAlignment w:val="auto"/>
        <w:rPr>
          <w:rFonts w:hint="eastAsia" w:ascii="宋体" w:hAnsi="宋体" w:eastAsia="宋体" w:cs="宋体"/>
          <w:b/>
          <w:bCs/>
          <w:color w:val="000000" w:themeColor="text1"/>
          <w:szCs w:val="21"/>
          <w:highlight w:val="none"/>
          <w14:textFill>
            <w14:solidFill>
              <w14:schemeClr w14:val="tx1"/>
            </w14:solidFill>
          </w14:textFill>
        </w:rPr>
      </w:pPr>
      <w:r>
        <w:rPr>
          <w:rFonts w:hint="eastAsia" w:ascii="宋体" w:hAnsi="宋体" w:eastAsia="宋体" w:cs="宋体"/>
          <w:b/>
          <w:bCs/>
          <w:color w:val="000000" w:themeColor="text1"/>
          <w:szCs w:val="21"/>
          <w:highlight w:val="none"/>
          <w14:textFill>
            <w14:solidFill>
              <w14:schemeClr w14:val="tx1"/>
            </w14:solidFill>
          </w14:textFill>
        </w:rPr>
        <w:t>一、我方承诺无下列相互串通竞标的情形：</w:t>
      </w:r>
    </w:p>
    <w:p w14:paraId="131AE9AD">
      <w:pPr>
        <w:keepNext w:val="0"/>
        <w:keepLines w:val="0"/>
        <w:pageBreakBefore w:val="0"/>
        <w:widowControl w:val="0"/>
        <w:kinsoku/>
        <w:wordWrap/>
        <w:overflowPunct/>
        <w:topLinePunct w:val="0"/>
        <w:autoSpaceDE/>
        <w:autoSpaceDN/>
        <w:bidi w:val="0"/>
        <w:adjustRightInd/>
        <w:spacing w:line="360" w:lineRule="auto"/>
        <w:ind w:firstLine="420" w:firstLineChars="200"/>
        <w:contextualSpacing/>
        <w:textAlignment w:val="auto"/>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1.不同供应商的响应文件由同一单位或者个人编制</w:t>
      </w:r>
      <w:r>
        <w:rPr>
          <w:rFonts w:hint="eastAsia" w:ascii="宋体" w:hAnsi="宋体" w:eastAsia="宋体" w:cs="宋体"/>
          <w:color w:val="000000" w:themeColor="text1"/>
          <w:lang w:val="en-US" w:eastAsia="zh-CN"/>
          <w14:textFill>
            <w14:solidFill>
              <w14:schemeClr w14:val="tx1"/>
            </w14:solidFill>
          </w14:textFill>
        </w:rPr>
        <w:t>或者不同供应商报名的IP地址一致的</w:t>
      </w:r>
      <w:r>
        <w:rPr>
          <w:rFonts w:hint="eastAsia" w:ascii="宋体" w:hAnsi="宋体" w:eastAsia="宋体" w:cs="宋体"/>
          <w:color w:val="000000" w:themeColor="text1"/>
          <w:szCs w:val="21"/>
          <w:highlight w:val="none"/>
          <w14:textFill>
            <w14:solidFill>
              <w14:schemeClr w14:val="tx1"/>
            </w14:solidFill>
          </w14:textFill>
        </w:rPr>
        <w:t>；</w:t>
      </w:r>
    </w:p>
    <w:p w14:paraId="2844556A">
      <w:pPr>
        <w:keepNext w:val="0"/>
        <w:keepLines w:val="0"/>
        <w:pageBreakBefore w:val="0"/>
        <w:widowControl w:val="0"/>
        <w:kinsoku/>
        <w:wordWrap/>
        <w:overflowPunct/>
        <w:topLinePunct w:val="0"/>
        <w:autoSpaceDE/>
        <w:autoSpaceDN/>
        <w:bidi w:val="0"/>
        <w:adjustRightInd/>
        <w:spacing w:line="360" w:lineRule="auto"/>
        <w:ind w:firstLine="420" w:firstLineChars="200"/>
        <w:contextualSpacing/>
        <w:textAlignment w:val="auto"/>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2.不同供应商委托同一单位或者个人办理竞标事宜；</w:t>
      </w:r>
    </w:p>
    <w:p w14:paraId="157E3908">
      <w:pPr>
        <w:keepNext w:val="0"/>
        <w:keepLines w:val="0"/>
        <w:pageBreakBefore w:val="0"/>
        <w:widowControl w:val="0"/>
        <w:kinsoku/>
        <w:wordWrap/>
        <w:overflowPunct/>
        <w:topLinePunct w:val="0"/>
        <w:autoSpaceDE/>
        <w:autoSpaceDN/>
        <w:bidi w:val="0"/>
        <w:adjustRightInd/>
        <w:spacing w:line="360" w:lineRule="auto"/>
        <w:ind w:firstLine="420" w:firstLineChars="200"/>
        <w:contextualSpacing/>
        <w:textAlignment w:val="auto"/>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3.不同供应商的响应文件载明的项目管理员为同一个人；</w:t>
      </w:r>
    </w:p>
    <w:p w14:paraId="72D738F1">
      <w:pPr>
        <w:keepNext w:val="0"/>
        <w:keepLines w:val="0"/>
        <w:pageBreakBefore w:val="0"/>
        <w:widowControl w:val="0"/>
        <w:kinsoku/>
        <w:wordWrap/>
        <w:overflowPunct/>
        <w:topLinePunct w:val="0"/>
        <w:autoSpaceDE/>
        <w:autoSpaceDN/>
        <w:bidi w:val="0"/>
        <w:adjustRightInd/>
        <w:spacing w:line="360" w:lineRule="auto"/>
        <w:ind w:firstLine="420" w:firstLineChars="200"/>
        <w:contextualSpacing/>
        <w:textAlignment w:val="auto"/>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4.不</w:t>
      </w:r>
      <w:r>
        <w:rPr>
          <w:rFonts w:hint="eastAsia" w:ascii="宋体" w:hAnsi="宋体" w:eastAsia="宋体" w:cs="宋体"/>
          <w:color w:val="000000" w:themeColor="text1"/>
          <w:spacing w:val="-6"/>
          <w:szCs w:val="21"/>
          <w:highlight w:val="none"/>
          <w14:textFill>
            <w14:solidFill>
              <w14:schemeClr w14:val="tx1"/>
            </w14:solidFill>
          </w14:textFill>
        </w:rPr>
        <w:t>同供应商的响应文件异常一致或者响应报价呈规律性差异；</w:t>
      </w:r>
    </w:p>
    <w:p w14:paraId="498E9395">
      <w:pPr>
        <w:keepNext w:val="0"/>
        <w:keepLines w:val="0"/>
        <w:pageBreakBefore w:val="0"/>
        <w:widowControl w:val="0"/>
        <w:kinsoku/>
        <w:wordWrap/>
        <w:overflowPunct/>
        <w:topLinePunct w:val="0"/>
        <w:autoSpaceDE/>
        <w:autoSpaceDN/>
        <w:bidi w:val="0"/>
        <w:adjustRightInd/>
        <w:spacing w:line="360" w:lineRule="auto"/>
        <w:ind w:firstLine="420" w:firstLineChars="200"/>
        <w:contextualSpacing/>
        <w:textAlignment w:val="auto"/>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5.不同供应商的响应文件相互混装；</w:t>
      </w:r>
    </w:p>
    <w:p w14:paraId="1C7599ED">
      <w:pPr>
        <w:pStyle w:val="14"/>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hint="eastAsia" w:ascii="宋体" w:hAnsi="宋体" w:eastAsia="宋体" w:cs="宋体"/>
          <w:color w:val="000000" w:themeColor="text1"/>
          <w:szCs w:val="21"/>
          <w:highlight w:val="none"/>
          <w:lang w:val="en-US" w:eastAsia="zh-CN"/>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6.不同供应商的磋商保证金从同一单位或者个人账户转出。</w:t>
      </w:r>
    </w:p>
    <w:p w14:paraId="6FAF7E09">
      <w:pPr>
        <w:keepNext w:val="0"/>
        <w:keepLines w:val="0"/>
        <w:pageBreakBefore w:val="0"/>
        <w:widowControl w:val="0"/>
        <w:kinsoku/>
        <w:wordWrap/>
        <w:overflowPunct/>
        <w:topLinePunct w:val="0"/>
        <w:autoSpaceDE/>
        <w:autoSpaceDN/>
        <w:bidi w:val="0"/>
        <w:adjustRightInd/>
        <w:spacing w:line="360" w:lineRule="auto"/>
        <w:ind w:firstLine="422" w:firstLineChars="200"/>
        <w:contextualSpacing/>
        <w:textAlignment w:val="auto"/>
        <w:rPr>
          <w:rFonts w:hint="eastAsia" w:ascii="宋体" w:hAnsi="宋体" w:eastAsia="宋体" w:cs="宋体"/>
          <w:b/>
          <w:bCs/>
          <w:color w:val="000000" w:themeColor="text1"/>
          <w:szCs w:val="21"/>
          <w:highlight w:val="none"/>
          <w14:textFill>
            <w14:solidFill>
              <w14:schemeClr w14:val="tx1"/>
            </w14:solidFill>
          </w14:textFill>
        </w:rPr>
      </w:pPr>
      <w:r>
        <w:rPr>
          <w:rFonts w:hint="eastAsia" w:ascii="宋体" w:hAnsi="宋体" w:eastAsia="宋体" w:cs="宋体"/>
          <w:b/>
          <w:bCs/>
          <w:color w:val="000000" w:themeColor="text1"/>
          <w:szCs w:val="21"/>
          <w:highlight w:val="none"/>
          <w14:textFill>
            <w14:solidFill>
              <w14:schemeClr w14:val="tx1"/>
            </w14:solidFill>
          </w14:textFill>
        </w:rPr>
        <w:t>二、我方承诺无下列恶意串通的情形：</w:t>
      </w:r>
    </w:p>
    <w:p w14:paraId="2A9DACE4">
      <w:pPr>
        <w:keepNext w:val="0"/>
        <w:keepLines w:val="0"/>
        <w:pageBreakBefore w:val="0"/>
        <w:widowControl w:val="0"/>
        <w:kinsoku/>
        <w:wordWrap/>
        <w:overflowPunct/>
        <w:topLinePunct w:val="0"/>
        <w:autoSpaceDE/>
        <w:autoSpaceDN/>
        <w:bidi w:val="0"/>
        <w:adjustRightInd/>
        <w:spacing w:line="360" w:lineRule="auto"/>
        <w:ind w:firstLine="420" w:firstLineChars="200"/>
        <w:contextualSpacing/>
        <w:textAlignment w:val="auto"/>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1.供应商直接或者间接从采购人或者采购代理机构处获得其他供应商的相关信息并修改其响应文件；</w:t>
      </w:r>
    </w:p>
    <w:p w14:paraId="4E37FB5B">
      <w:pPr>
        <w:keepNext w:val="0"/>
        <w:keepLines w:val="0"/>
        <w:pageBreakBefore w:val="0"/>
        <w:widowControl w:val="0"/>
        <w:kinsoku/>
        <w:wordWrap/>
        <w:overflowPunct/>
        <w:topLinePunct w:val="0"/>
        <w:autoSpaceDE/>
        <w:autoSpaceDN/>
        <w:bidi w:val="0"/>
        <w:adjustRightInd/>
        <w:spacing w:line="360" w:lineRule="auto"/>
        <w:ind w:firstLine="420" w:firstLineChars="200"/>
        <w:contextualSpacing/>
        <w:textAlignment w:val="auto"/>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2.供应商按照采购人或者采购代理机构的授意撤换、修改响应文件；</w:t>
      </w:r>
    </w:p>
    <w:p w14:paraId="2A86FED1">
      <w:pPr>
        <w:keepNext w:val="0"/>
        <w:keepLines w:val="0"/>
        <w:pageBreakBefore w:val="0"/>
        <w:widowControl w:val="0"/>
        <w:kinsoku/>
        <w:wordWrap/>
        <w:overflowPunct/>
        <w:topLinePunct w:val="0"/>
        <w:autoSpaceDE/>
        <w:autoSpaceDN/>
        <w:bidi w:val="0"/>
        <w:adjustRightInd/>
        <w:spacing w:line="360" w:lineRule="auto"/>
        <w:ind w:firstLine="420" w:firstLineChars="200"/>
        <w:contextualSpacing/>
        <w:textAlignment w:val="auto"/>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3.供</w:t>
      </w:r>
      <w:r>
        <w:rPr>
          <w:rFonts w:hint="eastAsia" w:ascii="宋体" w:hAnsi="宋体" w:eastAsia="宋体" w:cs="宋体"/>
          <w:color w:val="000000" w:themeColor="text1"/>
          <w:spacing w:val="-6"/>
          <w:szCs w:val="21"/>
          <w:highlight w:val="none"/>
          <w14:textFill>
            <w14:solidFill>
              <w14:schemeClr w14:val="tx1"/>
            </w14:solidFill>
          </w14:textFill>
        </w:rPr>
        <w:t>应商之间协商报价、技术方案等响应文件的实质性内容；</w:t>
      </w:r>
    </w:p>
    <w:p w14:paraId="5B09270B">
      <w:pPr>
        <w:keepNext w:val="0"/>
        <w:keepLines w:val="0"/>
        <w:pageBreakBefore w:val="0"/>
        <w:widowControl w:val="0"/>
        <w:kinsoku/>
        <w:wordWrap/>
        <w:overflowPunct/>
        <w:topLinePunct w:val="0"/>
        <w:autoSpaceDE/>
        <w:autoSpaceDN/>
        <w:bidi w:val="0"/>
        <w:adjustRightInd/>
        <w:spacing w:line="360" w:lineRule="auto"/>
        <w:ind w:firstLine="420" w:firstLineChars="200"/>
        <w:contextualSpacing/>
        <w:textAlignment w:val="auto"/>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4.属于同一集团、协会、商会等组织成员的供应商按照该组织要求协同参加政府采购活动；</w:t>
      </w:r>
    </w:p>
    <w:p w14:paraId="79F49FB9">
      <w:pPr>
        <w:keepNext w:val="0"/>
        <w:keepLines w:val="0"/>
        <w:pageBreakBefore w:val="0"/>
        <w:widowControl w:val="0"/>
        <w:kinsoku/>
        <w:wordWrap/>
        <w:overflowPunct/>
        <w:topLinePunct w:val="0"/>
        <w:autoSpaceDE/>
        <w:autoSpaceDN/>
        <w:bidi w:val="0"/>
        <w:adjustRightInd/>
        <w:spacing w:line="360" w:lineRule="auto"/>
        <w:ind w:firstLine="420" w:firstLineChars="200"/>
        <w:contextualSpacing/>
        <w:textAlignment w:val="auto"/>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5.供应商之间事先约定一致抬高或者压低响应报价，或者在竞争性磋商项目中事先约定轮流以高价位或者低价位成交，或者事先约定由某一特定供应商成交，然后再参加竞标；</w:t>
      </w:r>
    </w:p>
    <w:p w14:paraId="059BC703">
      <w:pPr>
        <w:keepNext w:val="0"/>
        <w:keepLines w:val="0"/>
        <w:pageBreakBefore w:val="0"/>
        <w:widowControl w:val="0"/>
        <w:kinsoku/>
        <w:wordWrap/>
        <w:overflowPunct/>
        <w:topLinePunct w:val="0"/>
        <w:autoSpaceDE/>
        <w:autoSpaceDN/>
        <w:bidi w:val="0"/>
        <w:adjustRightInd/>
        <w:spacing w:line="360" w:lineRule="auto"/>
        <w:ind w:firstLine="420" w:firstLineChars="200"/>
        <w:contextualSpacing/>
        <w:textAlignment w:val="auto"/>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6.供应商之间商定部分供应商放弃参加政府采购活动或者放弃成交；</w:t>
      </w:r>
    </w:p>
    <w:p w14:paraId="30A80DB8">
      <w:pPr>
        <w:keepNext w:val="0"/>
        <w:keepLines w:val="0"/>
        <w:pageBreakBefore w:val="0"/>
        <w:widowControl w:val="0"/>
        <w:kinsoku/>
        <w:wordWrap/>
        <w:overflowPunct/>
        <w:topLinePunct w:val="0"/>
        <w:autoSpaceDE/>
        <w:autoSpaceDN/>
        <w:bidi w:val="0"/>
        <w:adjustRightInd/>
        <w:spacing w:line="360" w:lineRule="auto"/>
        <w:ind w:firstLine="420" w:firstLineChars="200"/>
        <w:contextualSpacing/>
        <w:textAlignment w:val="auto"/>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7.供应商与采购人或者采购代理机构之间、供应商相互之间，为</w:t>
      </w:r>
      <w:r>
        <w:rPr>
          <w:rFonts w:hint="eastAsia" w:ascii="宋体" w:hAnsi="宋体" w:eastAsia="宋体" w:cs="宋体"/>
          <w:color w:val="000000" w:themeColor="text1"/>
          <w:spacing w:val="-6"/>
          <w:szCs w:val="21"/>
          <w:highlight w:val="none"/>
          <w14:textFill>
            <w14:solidFill>
              <w14:schemeClr w14:val="tx1"/>
            </w14:solidFill>
          </w14:textFill>
        </w:rPr>
        <w:t>谋求特定供应商成交或者排斥其他供应商的其他串通行为。</w:t>
      </w:r>
    </w:p>
    <w:p w14:paraId="41C172AE">
      <w:pPr>
        <w:keepNext w:val="0"/>
        <w:keepLines w:val="0"/>
        <w:pageBreakBefore w:val="0"/>
        <w:widowControl w:val="0"/>
        <w:kinsoku/>
        <w:wordWrap/>
        <w:overflowPunct/>
        <w:topLinePunct w:val="0"/>
        <w:autoSpaceDE/>
        <w:autoSpaceDN/>
        <w:bidi w:val="0"/>
        <w:adjustRightInd/>
        <w:spacing w:line="360" w:lineRule="auto"/>
        <w:ind w:firstLine="420" w:firstLineChars="200"/>
        <w:contextualSpacing/>
        <w:textAlignment w:val="auto"/>
        <w:rPr>
          <w:rFonts w:hint="eastAsia" w:ascii="宋体" w:hAnsi="宋体" w:eastAsia="宋体" w:cs="宋体"/>
          <w:color w:val="000000" w:themeColor="text1"/>
          <w:szCs w:val="21"/>
          <w:highlight w:val="none"/>
          <w14:textFill>
            <w14:solidFill>
              <w14:schemeClr w14:val="tx1"/>
            </w14:solidFill>
          </w14:textFill>
        </w:rPr>
      </w:pPr>
    </w:p>
    <w:p w14:paraId="737F1D3E">
      <w:pPr>
        <w:keepNext w:val="0"/>
        <w:keepLines w:val="0"/>
        <w:pageBreakBefore w:val="0"/>
        <w:widowControl w:val="0"/>
        <w:kinsoku/>
        <w:wordWrap/>
        <w:overflowPunct/>
        <w:topLinePunct w:val="0"/>
        <w:autoSpaceDE/>
        <w:autoSpaceDN/>
        <w:bidi w:val="0"/>
        <w:adjustRightInd/>
        <w:spacing w:line="360" w:lineRule="auto"/>
        <w:ind w:firstLine="422" w:firstLineChars="200"/>
        <w:contextualSpacing/>
        <w:textAlignment w:val="auto"/>
        <w:rPr>
          <w:rFonts w:hint="eastAsia" w:ascii="宋体" w:hAnsi="宋体" w:eastAsia="宋体" w:cs="宋体"/>
          <w:b/>
          <w:bCs/>
          <w:color w:val="000000" w:themeColor="text1"/>
          <w:szCs w:val="21"/>
          <w:highlight w:val="none"/>
          <w14:textFill>
            <w14:solidFill>
              <w14:schemeClr w14:val="tx1"/>
            </w14:solidFill>
          </w14:textFill>
        </w:rPr>
      </w:pPr>
      <w:r>
        <w:rPr>
          <w:rFonts w:hint="eastAsia" w:ascii="宋体" w:hAnsi="宋体" w:eastAsia="宋体" w:cs="宋体"/>
          <w:b/>
          <w:bCs/>
          <w:color w:val="000000" w:themeColor="text1"/>
          <w:szCs w:val="21"/>
          <w:highlight w:val="none"/>
          <w14:textFill>
            <w14:solidFill>
              <w14:schemeClr w14:val="tx1"/>
            </w14:solidFill>
          </w14:textFill>
        </w:rPr>
        <w:t>以上情形一经核查属实，接受政府采购监管部门对我方认定存在围标串标行为，我方愿意承担一切后果，并不再寻求任何旨在减轻或者免除法律责任的辩解。</w:t>
      </w:r>
    </w:p>
    <w:p w14:paraId="60096719">
      <w:pPr>
        <w:pStyle w:val="22"/>
        <w:keepNext w:val="0"/>
        <w:keepLines w:val="0"/>
        <w:pageBreakBefore w:val="0"/>
        <w:widowControl w:val="0"/>
        <w:kinsoku/>
        <w:wordWrap/>
        <w:overflowPunct/>
        <w:topLinePunct w:val="0"/>
        <w:autoSpaceDE/>
        <w:autoSpaceDN/>
        <w:bidi w:val="0"/>
        <w:adjustRightInd/>
        <w:spacing w:line="360" w:lineRule="auto"/>
        <w:textAlignment w:val="auto"/>
        <w:rPr>
          <w:rFonts w:hint="eastAsia" w:ascii="宋体" w:hAnsi="宋体" w:eastAsia="宋体" w:cs="宋体"/>
          <w:b/>
          <w:bCs/>
          <w:color w:val="000000" w:themeColor="text1"/>
          <w:sz w:val="21"/>
          <w:szCs w:val="21"/>
          <w:highlight w:val="none"/>
          <w14:textFill>
            <w14:solidFill>
              <w14:schemeClr w14:val="tx1"/>
            </w14:solidFill>
          </w14:textFill>
        </w:rPr>
      </w:pPr>
    </w:p>
    <w:p w14:paraId="5E3B4F17">
      <w:pPr>
        <w:pStyle w:val="22"/>
        <w:keepNext w:val="0"/>
        <w:keepLines w:val="0"/>
        <w:pageBreakBefore w:val="0"/>
        <w:widowControl w:val="0"/>
        <w:kinsoku/>
        <w:wordWrap/>
        <w:overflowPunct/>
        <w:topLinePunct w:val="0"/>
        <w:autoSpaceDE/>
        <w:autoSpaceDN/>
        <w:bidi w:val="0"/>
        <w:adjustRightInd/>
        <w:spacing w:line="360" w:lineRule="auto"/>
        <w:textAlignment w:val="auto"/>
        <w:rPr>
          <w:rFonts w:hint="eastAsia" w:ascii="宋体" w:hAnsi="宋体" w:eastAsia="宋体" w:cs="宋体"/>
          <w:b/>
          <w:bCs/>
          <w:color w:val="000000" w:themeColor="text1"/>
          <w:sz w:val="21"/>
          <w:szCs w:val="21"/>
          <w:highlight w:val="none"/>
          <w14:textFill>
            <w14:solidFill>
              <w14:schemeClr w14:val="tx1"/>
            </w14:solidFill>
          </w14:textFill>
        </w:rPr>
      </w:pPr>
    </w:p>
    <w:p w14:paraId="6C46E1E6">
      <w:pPr>
        <w:pStyle w:val="22"/>
        <w:keepNext w:val="0"/>
        <w:keepLines w:val="0"/>
        <w:pageBreakBefore w:val="0"/>
        <w:widowControl w:val="0"/>
        <w:kinsoku/>
        <w:wordWrap/>
        <w:overflowPunct/>
        <w:topLinePunct w:val="0"/>
        <w:autoSpaceDE/>
        <w:autoSpaceDN/>
        <w:bidi w:val="0"/>
        <w:adjustRightInd/>
        <w:spacing w:line="360" w:lineRule="auto"/>
        <w:textAlignment w:val="auto"/>
        <w:rPr>
          <w:rFonts w:hint="eastAsia" w:ascii="宋体" w:hAnsi="宋体" w:eastAsia="宋体" w:cs="宋体"/>
          <w:b/>
          <w:bCs/>
          <w:color w:val="000000" w:themeColor="text1"/>
          <w:sz w:val="21"/>
          <w:szCs w:val="21"/>
          <w:highlight w:val="none"/>
          <w14:textFill>
            <w14:solidFill>
              <w14:schemeClr w14:val="tx1"/>
            </w14:solidFill>
          </w14:textFill>
        </w:rPr>
      </w:pPr>
    </w:p>
    <w:p w14:paraId="79AD0C33">
      <w:pPr>
        <w:pStyle w:val="22"/>
        <w:keepNext w:val="0"/>
        <w:keepLines w:val="0"/>
        <w:pageBreakBefore w:val="0"/>
        <w:widowControl w:val="0"/>
        <w:kinsoku/>
        <w:wordWrap/>
        <w:overflowPunct/>
        <w:topLinePunct w:val="0"/>
        <w:autoSpaceDE/>
        <w:autoSpaceDN/>
        <w:bidi w:val="0"/>
        <w:adjustRightInd/>
        <w:spacing w:line="360" w:lineRule="auto"/>
        <w:textAlignment w:val="auto"/>
        <w:rPr>
          <w:rFonts w:hint="eastAsia" w:ascii="宋体" w:hAnsi="宋体" w:eastAsia="宋体" w:cs="宋体"/>
          <w:b/>
          <w:bCs/>
          <w:color w:val="000000" w:themeColor="text1"/>
          <w:sz w:val="21"/>
          <w:szCs w:val="21"/>
          <w:highlight w:val="none"/>
          <w14:textFill>
            <w14:solidFill>
              <w14:schemeClr w14:val="tx1"/>
            </w14:solidFill>
          </w14:textFill>
        </w:rPr>
      </w:pPr>
    </w:p>
    <w:p w14:paraId="71EF8EA3">
      <w:pPr>
        <w:keepNext w:val="0"/>
        <w:keepLines w:val="0"/>
        <w:pageBreakBefore w:val="0"/>
        <w:widowControl w:val="0"/>
        <w:kinsoku/>
        <w:wordWrap/>
        <w:overflowPunct/>
        <w:topLinePunct w:val="0"/>
        <w:autoSpaceDE/>
        <w:autoSpaceDN/>
        <w:bidi w:val="0"/>
        <w:adjustRightInd/>
        <w:spacing w:line="360" w:lineRule="auto"/>
        <w:ind w:firstLine="4410" w:firstLineChars="2100"/>
        <w:textAlignment w:val="auto"/>
        <w:rPr>
          <w:rFonts w:hint="eastAsia" w:ascii="宋体" w:hAnsi="宋体" w:eastAsia="宋体" w:cs="宋体"/>
          <w:color w:val="000000" w:themeColor="text1"/>
          <w:szCs w:val="21"/>
          <w:highlight w:val="none"/>
          <w:u w:val="singl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供应商</w:t>
      </w:r>
      <w:r>
        <w:rPr>
          <w:rFonts w:hint="eastAsia" w:ascii="宋体" w:hAnsi="宋体" w:eastAsia="宋体" w:cs="宋体"/>
          <w:color w:val="000000" w:themeColor="text1"/>
          <w:kern w:val="0"/>
          <w:szCs w:val="21"/>
          <w:highlight w:val="none"/>
          <w14:textFill>
            <w14:solidFill>
              <w14:schemeClr w14:val="tx1"/>
            </w14:solidFill>
          </w14:textFill>
        </w:rPr>
        <w:t>名称</w:t>
      </w:r>
      <w:r>
        <w:rPr>
          <w:rFonts w:hint="eastAsia" w:ascii="宋体" w:hAnsi="宋体" w:eastAsia="宋体" w:cs="宋体"/>
          <w:color w:val="000000" w:themeColor="text1"/>
          <w:szCs w:val="21"/>
          <w:highlight w:val="none"/>
          <w14:textFill>
            <w14:solidFill>
              <w14:schemeClr w14:val="tx1"/>
            </w14:solidFill>
          </w14:textFill>
        </w:rPr>
        <w:t>（盖公章）：</w:t>
      </w:r>
      <w:r>
        <w:rPr>
          <w:rFonts w:hint="eastAsia" w:ascii="宋体" w:hAnsi="宋体" w:eastAsia="宋体" w:cs="宋体"/>
          <w:color w:val="000000" w:themeColor="text1"/>
          <w:szCs w:val="21"/>
          <w:highlight w:val="none"/>
          <w:u w:val="single"/>
          <w14:textFill>
            <w14:solidFill>
              <w14:schemeClr w14:val="tx1"/>
            </w14:solidFill>
          </w14:textFill>
        </w:rPr>
        <w:t xml:space="preserve">                   </w:t>
      </w:r>
    </w:p>
    <w:p w14:paraId="30903E6A">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ascii="宋体" w:hAnsi="宋体" w:eastAsia="宋体" w:cs="宋体"/>
          <w:b/>
          <w:color w:val="000000" w:themeColor="text1"/>
          <w:sz w:val="30"/>
          <w:szCs w:val="30"/>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 xml:space="preserve">                                      日期：</w:t>
      </w:r>
      <w:r>
        <w:rPr>
          <w:rFonts w:hint="eastAsia" w:ascii="宋体" w:hAnsi="宋体" w:eastAsia="宋体" w:cs="宋体"/>
          <w:color w:val="000000" w:themeColor="text1"/>
          <w:szCs w:val="21"/>
          <w:highlight w:val="none"/>
          <w:u w:val="single"/>
          <w14:textFill>
            <w14:solidFill>
              <w14:schemeClr w14:val="tx1"/>
            </w14:solidFill>
          </w14:textFill>
        </w:rPr>
        <w:t xml:space="preserve">         </w:t>
      </w:r>
      <w:r>
        <w:rPr>
          <w:rFonts w:hint="eastAsia" w:ascii="宋体" w:hAnsi="宋体" w:eastAsia="宋体" w:cs="宋体"/>
          <w:color w:val="000000" w:themeColor="text1"/>
          <w:szCs w:val="21"/>
          <w:highlight w:val="none"/>
          <w14:textFill>
            <w14:solidFill>
              <w14:schemeClr w14:val="tx1"/>
            </w14:solidFill>
          </w14:textFill>
        </w:rPr>
        <w:t>年</w:t>
      </w:r>
      <w:r>
        <w:rPr>
          <w:rFonts w:hint="eastAsia" w:ascii="宋体" w:hAnsi="宋体" w:eastAsia="宋体" w:cs="宋体"/>
          <w:color w:val="000000" w:themeColor="text1"/>
          <w:szCs w:val="21"/>
          <w:highlight w:val="none"/>
          <w:u w:val="single"/>
          <w14:textFill>
            <w14:solidFill>
              <w14:schemeClr w14:val="tx1"/>
            </w14:solidFill>
          </w14:textFill>
        </w:rPr>
        <w:t xml:space="preserve">        </w:t>
      </w:r>
      <w:r>
        <w:rPr>
          <w:rFonts w:hint="eastAsia" w:ascii="宋体" w:hAnsi="宋体" w:eastAsia="宋体" w:cs="宋体"/>
          <w:color w:val="000000" w:themeColor="text1"/>
          <w:szCs w:val="21"/>
          <w:highlight w:val="none"/>
          <w14:textFill>
            <w14:solidFill>
              <w14:schemeClr w14:val="tx1"/>
            </w14:solidFill>
          </w14:textFill>
        </w:rPr>
        <w:t>月</w:t>
      </w:r>
      <w:r>
        <w:rPr>
          <w:rFonts w:hint="eastAsia" w:ascii="宋体" w:hAnsi="宋体" w:eastAsia="宋体" w:cs="宋体"/>
          <w:color w:val="000000" w:themeColor="text1"/>
          <w:szCs w:val="21"/>
          <w:highlight w:val="none"/>
          <w:u w:val="single"/>
          <w14:textFill>
            <w14:solidFill>
              <w14:schemeClr w14:val="tx1"/>
            </w14:solidFill>
          </w14:textFill>
        </w:rPr>
        <w:t xml:space="preserve">        </w:t>
      </w:r>
      <w:r>
        <w:rPr>
          <w:rFonts w:hint="eastAsia" w:ascii="宋体" w:hAnsi="宋体" w:eastAsia="宋体" w:cs="宋体"/>
          <w:color w:val="000000" w:themeColor="text1"/>
          <w:szCs w:val="21"/>
          <w:highlight w:val="none"/>
          <w14:textFill>
            <w14:solidFill>
              <w14:schemeClr w14:val="tx1"/>
            </w14:solidFill>
          </w14:textFill>
        </w:rPr>
        <w:t>日</w:t>
      </w:r>
    </w:p>
    <w:p w14:paraId="46BABE53">
      <w:pPr>
        <w:snapToGrid w:val="0"/>
        <w:spacing w:before="120" w:beforeLines="50" w:after="50" w:line="360" w:lineRule="auto"/>
        <w:jc w:val="left"/>
        <w:outlineLvl w:val="2"/>
        <w:rPr>
          <w:b/>
          <w:bCs/>
          <w:color w:val="000000" w:themeColor="text1"/>
          <w:sz w:val="28"/>
          <w:szCs w:val="28"/>
          <w:highlight w:val="none"/>
          <w14:textFill>
            <w14:solidFill>
              <w14:schemeClr w14:val="tx1"/>
            </w14:solidFill>
          </w14:textFill>
        </w:rPr>
      </w:pPr>
      <w:r>
        <w:rPr>
          <w:b/>
          <w:bCs/>
          <w:color w:val="000000" w:themeColor="text1"/>
          <w:szCs w:val="21"/>
          <w:highlight w:val="none"/>
          <w14:textFill>
            <w14:solidFill>
              <w14:schemeClr w14:val="tx1"/>
            </w14:solidFill>
          </w14:textFill>
        </w:rPr>
        <w:br w:type="page"/>
      </w:r>
      <w:bookmarkStart w:id="215" w:name="_Toc2814"/>
      <w:r>
        <w:rPr>
          <w:b/>
          <w:bCs/>
          <w:color w:val="000000" w:themeColor="text1"/>
          <w:sz w:val="28"/>
          <w:szCs w:val="28"/>
          <w:highlight w:val="none"/>
          <w14:textFill>
            <w14:solidFill>
              <w14:schemeClr w14:val="tx1"/>
            </w14:solidFill>
          </w14:textFill>
        </w:rPr>
        <w:t>4.法定</w:t>
      </w:r>
      <w:r>
        <w:rPr>
          <w:rFonts w:ascii="Times New Roman" w:hAnsi="Times New Roman" w:eastAsia="宋体" w:cs="Times New Roman"/>
          <w:b/>
          <w:bCs/>
          <w:color w:val="000000" w:themeColor="text1"/>
          <w:sz w:val="28"/>
          <w:szCs w:val="28"/>
          <w:highlight w:val="none"/>
          <w14:textFill>
            <w14:solidFill>
              <w14:schemeClr w14:val="tx1"/>
            </w14:solidFill>
          </w14:textFill>
        </w:rPr>
        <w:t>代表人</w:t>
      </w:r>
      <w:r>
        <w:rPr>
          <w:b/>
          <w:bCs/>
          <w:color w:val="000000" w:themeColor="text1"/>
          <w:sz w:val="28"/>
          <w:szCs w:val="28"/>
          <w:highlight w:val="none"/>
          <w14:textFill>
            <w14:solidFill>
              <w14:schemeClr w14:val="tx1"/>
            </w14:solidFill>
          </w14:textFill>
        </w:rPr>
        <w:t>身份证明的格式：</w:t>
      </w:r>
      <w:bookmarkEnd w:id="215"/>
    </w:p>
    <w:p w14:paraId="0852B831">
      <w:pPr>
        <w:spacing w:line="500" w:lineRule="exact"/>
        <w:jc w:val="center"/>
        <w:rPr>
          <w:rFonts w:ascii="宋体" w:hAnsi="宋体" w:cs="宋体"/>
          <w:b/>
          <w:bCs/>
          <w:color w:val="000000" w:themeColor="text1"/>
          <w:sz w:val="32"/>
          <w:szCs w:val="32"/>
          <w:highlight w:val="none"/>
          <w14:textFill>
            <w14:solidFill>
              <w14:schemeClr w14:val="tx1"/>
            </w14:solidFill>
          </w14:textFill>
        </w:rPr>
      </w:pPr>
      <w:r>
        <w:rPr>
          <w:rFonts w:ascii="宋体" w:hAnsi="宋体" w:cs="宋体"/>
          <w:b/>
          <w:bCs/>
          <w:color w:val="000000" w:themeColor="text1"/>
          <w:sz w:val="32"/>
          <w:szCs w:val="32"/>
          <w:highlight w:val="none"/>
          <w14:textFill>
            <w14:solidFill>
              <w14:schemeClr w14:val="tx1"/>
            </w14:solidFill>
          </w14:textFill>
        </w:rPr>
        <w:t>法定代表人身份证明</w:t>
      </w:r>
    </w:p>
    <w:p w14:paraId="0E132660">
      <w:pPr>
        <w:spacing w:line="360" w:lineRule="auto"/>
        <w:ind w:left="540"/>
        <w:contextualSpacing/>
        <w:rPr>
          <w:rFonts w:eastAsia="仿宋_GB2312"/>
          <w:color w:val="000000" w:themeColor="text1"/>
          <w:sz w:val="32"/>
          <w:szCs w:val="32"/>
          <w:highlight w:val="none"/>
          <w14:textFill>
            <w14:solidFill>
              <w14:schemeClr w14:val="tx1"/>
            </w14:solidFill>
          </w14:textFill>
        </w:rPr>
      </w:pPr>
    </w:p>
    <w:p w14:paraId="03D81A2E">
      <w:pPr>
        <w:keepNext w:val="0"/>
        <w:keepLines w:val="0"/>
        <w:pageBreakBefore w:val="0"/>
        <w:widowControl w:val="0"/>
        <w:kinsoku/>
        <w:wordWrap/>
        <w:overflowPunct/>
        <w:topLinePunct w:val="0"/>
        <w:autoSpaceDE/>
        <w:autoSpaceDN/>
        <w:bidi w:val="0"/>
        <w:adjustRightInd/>
        <w:spacing w:line="360" w:lineRule="auto"/>
        <w:ind w:firstLine="525" w:firstLineChars="250"/>
        <w:textAlignment w:val="auto"/>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供 应 商：</w:t>
      </w:r>
      <w:r>
        <w:rPr>
          <w:rFonts w:hint="eastAsia" w:ascii="宋体" w:hAnsi="宋体" w:eastAsia="宋体" w:cs="宋体"/>
          <w:color w:val="000000" w:themeColor="text1"/>
          <w:szCs w:val="21"/>
          <w:highlight w:val="none"/>
          <w:u w:val="single"/>
          <w14:textFill>
            <w14:solidFill>
              <w14:schemeClr w14:val="tx1"/>
            </w14:solidFill>
          </w14:textFill>
        </w:rPr>
        <w:t xml:space="preserve">                                                        </w:t>
      </w:r>
    </w:p>
    <w:p w14:paraId="05C4EEDF">
      <w:pPr>
        <w:keepNext w:val="0"/>
        <w:keepLines w:val="0"/>
        <w:pageBreakBefore w:val="0"/>
        <w:widowControl w:val="0"/>
        <w:kinsoku/>
        <w:wordWrap/>
        <w:overflowPunct/>
        <w:topLinePunct w:val="0"/>
        <w:autoSpaceDE/>
        <w:autoSpaceDN/>
        <w:bidi w:val="0"/>
        <w:adjustRightInd/>
        <w:spacing w:line="360" w:lineRule="auto"/>
        <w:ind w:firstLine="525" w:firstLineChars="250"/>
        <w:textAlignment w:val="auto"/>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单位性质：</w:t>
      </w:r>
      <w:r>
        <w:rPr>
          <w:rFonts w:hint="eastAsia" w:ascii="宋体" w:hAnsi="宋体" w:eastAsia="宋体" w:cs="宋体"/>
          <w:color w:val="000000" w:themeColor="text1"/>
          <w:szCs w:val="21"/>
          <w:highlight w:val="none"/>
          <w:u w:val="single"/>
          <w14:textFill>
            <w14:solidFill>
              <w14:schemeClr w14:val="tx1"/>
            </w14:solidFill>
          </w14:textFill>
        </w:rPr>
        <w:t xml:space="preserve">                                                        </w:t>
      </w:r>
    </w:p>
    <w:p w14:paraId="20C175F6">
      <w:pPr>
        <w:keepNext w:val="0"/>
        <w:keepLines w:val="0"/>
        <w:pageBreakBefore w:val="0"/>
        <w:widowControl w:val="0"/>
        <w:kinsoku/>
        <w:wordWrap/>
        <w:overflowPunct/>
        <w:topLinePunct w:val="0"/>
        <w:autoSpaceDE/>
        <w:autoSpaceDN/>
        <w:bidi w:val="0"/>
        <w:adjustRightInd/>
        <w:spacing w:line="360" w:lineRule="auto"/>
        <w:ind w:firstLine="525" w:firstLineChars="250"/>
        <w:textAlignment w:val="auto"/>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地    址：</w:t>
      </w:r>
      <w:r>
        <w:rPr>
          <w:rFonts w:hint="eastAsia" w:ascii="宋体" w:hAnsi="宋体" w:eastAsia="宋体" w:cs="宋体"/>
          <w:color w:val="000000" w:themeColor="text1"/>
          <w:szCs w:val="21"/>
          <w:highlight w:val="none"/>
          <w:u w:val="single"/>
          <w14:textFill>
            <w14:solidFill>
              <w14:schemeClr w14:val="tx1"/>
            </w14:solidFill>
          </w14:textFill>
        </w:rPr>
        <w:t xml:space="preserve">                                                        </w:t>
      </w:r>
    </w:p>
    <w:p w14:paraId="04BAA3C5">
      <w:pPr>
        <w:keepNext w:val="0"/>
        <w:keepLines w:val="0"/>
        <w:pageBreakBefore w:val="0"/>
        <w:widowControl w:val="0"/>
        <w:kinsoku/>
        <w:wordWrap/>
        <w:overflowPunct/>
        <w:topLinePunct w:val="0"/>
        <w:autoSpaceDE/>
        <w:autoSpaceDN/>
        <w:bidi w:val="0"/>
        <w:adjustRightInd/>
        <w:spacing w:line="360" w:lineRule="auto"/>
        <w:ind w:firstLine="525" w:firstLineChars="250"/>
        <w:textAlignment w:val="auto"/>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成立时间：</w:t>
      </w:r>
      <w:r>
        <w:rPr>
          <w:rFonts w:hint="eastAsia" w:ascii="宋体" w:hAnsi="宋体" w:eastAsia="宋体" w:cs="宋体"/>
          <w:color w:val="000000" w:themeColor="text1"/>
          <w:szCs w:val="21"/>
          <w:highlight w:val="none"/>
          <w:u w:val="single"/>
          <w14:textFill>
            <w14:solidFill>
              <w14:schemeClr w14:val="tx1"/>
            </w14:solidFill>
          </w14:textFill>
        </w:rPr>
        <w:t xml:space="preserve">                 </w:t>
      </w:r>
      <w:r>
        <w:rPr>
          <w:rFonts w:hint="eastAsia" w:ascii="宋体" w:hAnsi="宋体" w:eastAsia="宋体" w:cs="宋体"/>
          <w:color w:val="000000" w:themeColor="text1"/>
          <w:szCs w:val="21"/>
          <w:highlight w:val="none"/>
          <w14:textFill>
            <w14:solidFill>
              <w14:schemeClr w14:val="tx1"/>
            </w14:solidFill>
          </w14:textFill>
        </w:rPr>
        <w:t>年</w:t>
      </w:r>
      <w:r>
        <w:rPr>
          <w:rFonts w:hint="eastAsia" w:ascii="宋体" w:hAnsi="宋体" w:eastAsia="宋体" w:cs="宋体"/>
          <w:color w:val="000000" w:themeColor="text1"/>
          <w:szCs w:val="21"/>
          <w:highlight w:val="none"/>
          <w:u w:val="single"/>
          <w14:textFill>
            <w14:solidFill>
              <w14:schemeClr w14:val="tx1"/>
            </w14:solidFill>
          </w14:textFill>
        </w:rPr>
        <w:t xml:space="preserve">              </w:t>
      </w:r>
      <w:r>
        <w:rPr>
          <w:rFonts w:hint="eastAsia" w:ascii="宋体" w:hAnsi="宋体" w:eastAsia="宋体" w:cs="宋体"/>
          <w:color w:val="000000" w:themeColor="text1"/>
          <w:szCs w:val="21"/>
          <w:highlight w:val="none"/>
          <w14:textFill>
            <w14:solidFill>
              <w14:schemeClr w14:val="tx1"/>
            </w14:solidFill>
          </w14:textFill>
        </w:rPr>
        <w:t>月</w:t>
      </w:r>
      <w:r>
        <w:rPr>
          <w:rFonts w:hint="eastAsia" w:ascii="宋体" w:hAnsi="宋体" w:eastAsia="宋体" w:cs="宋体"/>
          <w:color w:val="000000" w:themeColor="text1"/>
          <w:szCs w:val="21"/>
          <w:highlight w:val="none"/>
          <w:u w:val="single"/>
          <w14:textFill>
            <w14:solidFill>
              <w14:schemeClr w14:val="tx1"/>
            </w14:solidFill>
          </w14:textFill>
        </w:rPr>
        <w:t xml:space="preserve">              </w:t>
      </w:r>
      <w:r>
        <w:rPr>
          <w:rFonts w:hint="eastAsia" w:ascii="宋体" w:hAnsi="宋体" w:eastAsia="宋体" w:cs="宋体"/>
          <w:color w:val="000000" w:themeColor="text1"/>
          <w:szCs w:val="21"/>
          <w:highlight w:val="none"/>
          <w14:textFill>
            <w14:solidFill>
              <w14:schemeClr w14:val="tx1"/>
            </w14:solidFill>
          </w14:textFill>
        </w:rPr>
        <w:t>日</w:t>
      </w:r>
    </w:p>
    <w:p w14:paraId="7F848E4E">
      <w:pPr>
        <w:keepNext w:val="0"/>
        <w:keepLines w:val="0"/>
        <w:pageBreakBefore w:val="0"/>
        <w:widowControl w:val="0"/>
        <w:kinsoku/>
        <w:wordWrap/>
        <w:overflowPunct/>
        <w:topLinePunct w:val="0"/>
        <w:autoSpaceDE/>
        <w:autoSpaceDN/>
        <w:bidi w:val="0"/>
        <w:adjustRightInd/>
        <w:spacing w:line="360" w:lineRule="auto"/>
        <w:ind w:firstLine="525" w:firstLineChars="250"/>
        <w:textAlignment w:val="auto"/>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经营期限：</w:t>
      </w:r>
      <w:r>
        <w:rPr>
          <w:rFonts w:hint="eastAsia" w:ascii="宋体" w:hAnsi="宋体" w:eastAsia="宋体" w:cs="宋体"/>
          <w:color w:val="000000" w:themeColor="text1"/>
          <w:szCs w:val="21"/>
          <w:highlight w:val="none"/>
          <w:u w:val="single"/>
          <w14:textFill>
            <w14:solidFill>
              <w14:schemeClr w14:val="tx1"/>
            </w14:solidFill>
          </w14:textFill>
        </w:rPr>
        <w:t xml:space="preserve">                                                        </w:t>
      </w:r>
    </w:p>
    <w:p w14:paraId="17FAEE52">
      <w:pPr>
        <w:keepNext w:val="0"/>
        <w:keepLines w:val="0"/>
        <w:pageBreakBefore w:val="0"/>
        <w:widowControl w:val="0"/>
        <w:kinsoku/>
        <w:wordWrap/>
        <w:overflowPunct/>
        <w:topLinePunct w:val="0"/>
        <w:autoSpaceDE/>
        <w:autoSpaceDN/>
        <w:bidi w:val="0"/>
        <w:adjustRightInd/>
        <w:spacing w:line="360" w:lineRule="auto"/>
        <w:ind w:firstLine="525" w:firstLineChars="250"/>
        <w:textAlignment w:val="auto"/>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姓    名：</w:t>
      </w:r>
      <w:r>
        <w:rPr>
          <w:rFonts w:hint="eastAsia" w:ascii="宋体" w:hAnsi="宋体" w:eastAsia="宋体" w:cs="宋体"/>
          <w:color w:val="000000" w:themeColor="text1"/>
          <w:szCs w:val="21"/>
          <w:highlight w:val="none"/>
          <w:u w:val="single"/>
          <w14:textFill>
            <w14:solidFill>
              <w14:schemeClr w14:val="tx1"/>
            </w14:solidFill>
          </w14:textFill>
        </w:rPr>
        <w:t xml:space="preserve">                          </w:t>
      </w:r>
      <w:r>
        <w:rPr>
          <w:rFonts w:hint="eastAsia" w:ascii="宋体" w:hAnsi="宋体" w:eastAsia="宋体" w:cs="宋体"/>
          <w:color w:val="000000" w:themeColor="text1"/>
          <w:szCs w:val="21"/>
          <w:highlight w:val="none"/>
          <w14:textFill>
            <w14:solidFill>
              <w14:schemeClr w14:val="tx1"/>
            </w14:solidFill>
          </w14:textFill>
        </w:rPr>
        <w:t>性     别：</w:t>
      </w:r>
      <w:r>
        <w:rPr>
          <w:rFonts w:hint="eastAsia" w:ascii="宋体" w:hAnsi="宋体" w:eastAsia="宋体" w:cs="宋体"/>
          <w:color w:val="000000" w:themeColor="text1"/>
          <w:szCs w:val="21"/>
          <w:highlight w:val="none"/>
          <w:u w:val="single"/>
          <w14:textFill>
            <w14:solidFill>
              <w14:schemeClr w14:val="tx1"/>
            </w14:solidFill>
          </w14:textFill>
        </w:rPr>
        <w:t xml:space="preserve">                   </w:t>
      </w:r>
    </w:p>
    <w:p w14:paraId="5CDA629C">
      <w:pPr>
        <w:keepNext w:val="0"/>
        <w:keepLines w:val="0"/>
        <w:pageBreakBefore w:val="0"/>
        <w:widowControl w:val="0"/>
        <w:kinsoku/>
        <w:wordWrap/>
        <w:overflowPunct/>
        <w:topLinePunct w:val="0"/>
        <w:autoSpaceDE/>
        <w:autoSpaceDN/>
        <w:bidi w:val="0"/>
        <w:adjustRightInd/>
        <w:spacing w:line="360" w:lineRule="auto"/>
        <w:ind w:firstLine="525" w:firstLineChars="250"/>
        <w:textAlignment w:val="auto"/>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年    龄：</w:t>
      </w:r>
      <w:r>
        <w:rPr>
          <w:rFonts w:hint="eastAsia" w:ascii="宋体" w:hAnsi="宋体" w:eastAsia="宋体" w:cs="宋体"/>
          <w:color w:val="000000" w:themeColor="text1"/>
          <w:szCs w:val="21"/>
          <w:highlight w:val="none"/>
          <w:u w:val="single"/>
          <w14:textFill>
            <w14:solidFill>
              <w14:schemeClr w14:val="tx1"/>
            </w14:solidFill>
          </w14:textFill>
        </w:rPr>
        <w:t xml:space="preserve">                          </w:t>
      </w:r>
      <w:r>
        <w:rPr>
          <w:rFonts w:hint="eastAsia" w:ascii="宋体" w:hAnsi="宋体" w:eastAsia="宋体" w:cs="宋体"/>
          <w:color w:val="000000" w:themeColor="text1"/>
          <w:szCs w:val="21"/>
          <w:highlight w:val="none"/>
          <w14:textFill>
            <w14:solidFill>
              <w14:schemeClr w14:val="tx1"/>
            </w14:solidFill>
          </w14:textFill>
        </w:rPr>
        <w:t>职     务：</w:t>
      </w:r>
      <w:r>
        <w:rPr>
          <w:rFonts w:hint="eastAsia" w:ascii="宋体" w:hAnsi="宋体" w:eastAsia="宋体" w:cs="宋体"/>
          <w:color w:val="000000" w:themeColor="text1"/>
          <w:szCs w:val="21"/>
          <w:highlight w:val="none"/>
          <w:u w:val="single"/>
          <w14:textFill>
            <w14:solidFill>
              <w14:schemeClr w14:val="tx1"/>
            </w14:solidFill>
          </w14:textFill>
        </w:rPr>
        <w:t xml:space="preserve">                   </w:t>
      </w:r>
    </w:p>
    <w:p w14:paraId="31CB608E">
      <w:pPr>
        <w:keepNext w:val="0"/>
        <w:keepLines w:val="0"/>
        <w:pageBreakBefore w:val="0"/>
        <w:widowControl w:val="0"/>
        <w:kinsoku/>
        <w:wordWrap/>
        <w:overflowPunct/>
        <w:topLinePunct w:val="0"/>
        <w:autoSpaceDE/>
        <w:autoSpaceDN/>
        <w:bidi w:val="0"/>
        <w:adjustRightInd/>
        <w:spacing w:line="360" w:lineRule="auto"/>
        <w:ind w:firstLine="525" w:firstLineChars="250"/>
        <w:textAlignment w:val="auto"/>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系</w:t>
      </w:r>
      <w:r>
        <w:rPr>
          <w:rFonts w:hint="eastAsia" w:ascii="宋体" w:hAnsi="宋体" w:eastAsia="宋体" w:cs="宋体"/>
          <w:color w:val="000000" w:themeColor="text1"/>
          <w:szCs w:val="21"/>
          <w:highlight w:val="none"/>
          <w:u w:val="single"/>
          <w14:textFill>
            <w14:solidFill>
              <w14:schemeClr w14:val="tx1"/>
            </w14:solidFill>
          </w14:textFill>
        </w:rPr>
        <w:t xml:space="preserve">                                                 </w:t>
      </w:r>
      <w:r>
        <w:rPr>
          <w:rFonts w:hint="eastAsia" w:ascii="宋体" w:hAnsi="宋体" w:eastAsia="宋体" w:cs="宋体"/>
          <w:color w:val="000000" w:themeColor="text1"/>
          <w:szCs w:val="21"/>
          <w:highlight w:val="none"/>
          <w14:textFill>
            <w14:solidFill>
              <w14:schemeClr w14:val="tx1"/>
            </w14:solidFill>
          </w14:textFill>
        </w:rPr>
        <w:t>（供应商名称）的法定代表人。</w:t>
      </w:r>
    </w:p>
    <w:p w14:paraId="2FB94181">
      <w:pPr>
        <w:keepNext w:val="0"/>
        <w:keepLines w:val="0"/>
        <w:pageBreakBefore w:val="0"/>
        <w:widowControl w:val="0"/>
        <w:kinsoku/>
        <w:wordWrap/>
        <w:overflowPunct/>
        <w:topLinePunct w:val="0"/>
        <w:autoSpaceDE/>
        <w:autoSpaceDN/>
        <w:bidi w:val="0"/>
        <w:adjustRightInd/>
        <w:spacing w:line="360" w:lineRule="auto"/>
        <w:ind w:firstLine="525" w:firstLineChars="250"/>
        <w:textAlignment w:val="auto"/>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特此证明。</w:t>
      </w:r>
    </w:p>
    <w:p w14:paraId="667265A3">
      <w:pPr>
        <w:keepNext w:val="0"/>
        <w:keepLines w:val="0"/>
        <w:pageBreakBefore w:val="0"/>
        <w:widowControl w:val="0"/>
        <w:kinsoku/>
        <w:wordWrap/>
        <w:overflowPunct/>
        <w:topLinePunct w:val="0"/>
        <w:autoSpaceDE/>
        <w:autoSpaceDN/>
        <w:bidi w:val="0"/>
        <w:adjustRightInd/>
        <w:spacing w:line="360" w:lineRule="auto"/>
        <w:ind w:left="540"/>
        <w:contextualSpacing/>
        <w:textAlignment w:val="auto"/>
        <w:rPr>
          <w:rFonts w:hint="eastAsia" w:ascii="宋体" w:hAnsi="宋体" w:eastAsia="宋体" w:cs="宋体"/>
          <w:color w:val="000000" w:themeColor="text1"/>
          <w:szCs w:val="21"/>
          <w:highlight w:val="none"/>
          <w14:textFill>
            <w14:solidFill>
              <w14:schemeClr w14:val="tx1"/>
            </w14:solidFill>
          </w14:textFill>
        </w:rPr>
      </w:pPr>
    </w:p>
    <w:p w14:paraId="1CCCDBB8">
      <w:pPr>
        <w:keepNext w:val="0"/>
        <w:keepLines w:val="0"/>
        <w:pageBreakBefore w:val="0"/>
        <w:widowControl w:val="0"/>
        <w:kinsoku/>
        <w:wordWrap/>
        <w:overflowPunct/>
        <w:topLinePunct w:val="0"/>
        <w:autoSpaceDE/>
        <w:autoSpaceDN/>
        <w:bidi w:val="0"/>
        <w:adjustRightInd/>
        <w:spacing w:line="360" w:lineRule="auto"/>
        <w:ind w:left="540"/>
        <w:contextualSpacing/>
        <w:textAlignment w:val="auto"/>
        <w:rPr>
          <w:rFonts w:hint="eastAsia" w:ascii="宋体" w:hAnsi="宋体" w:eastAsia="宋体" w:cs="宋体"/>
          <w:color w:val="000000" w:themeColor="text1"/>
          <w:szCs w:val="21"/>
          <w:highlight w:val="none"/>
          <w14:textFill>
            <w14:solidFill>
              <w14:schemeClr w14:val="tx1"/>
            </w14:solidFill>
          </w14:textFill>
        </w:rPr>
      </w:pPr>
    </w:p>
    <w:p w14:paraId="31F1683C">
      <w:pPr>
        <w:keepNext w:val="0"/>
        <w:keepLines w:val="0"/>
        <w:pageBreakBefore w:val="0"/>
        <w:widowControl w:val="0"/>
        <w:kinsoku/>
        <w:wordWrap/>
        <w:overflowPunct/>
        <w:topLinePunct w:val="0"/>
        <w:autoSpaceDE/>
        <w:autoSpaceDN/>
        <w:bidi w:val="0"/>
        <w:adjustRightInd/>
        <w:spacing w:line="360" w:lineRule="auto"/>
        <w:ind w:left="540"/>
        <w:contextualSpacing/>
        <w:textAlignment w:val="auto"/>
        <w:rPr>
          <w:rFonts w:hint="eastAsia" w:ascii="宋体" w:hAnsi="宋体" w:eastAsia="宋体" w:cs="宋体"/>
          <w:color w:val="000000" w:themeColor="text1"/>
          <w:szCs w:val="21"/>
          <w:highlight w:val="none"/>
          <w14:textFill>
            <w14:solidFill>
              <w14:schemeClr w14:val="tx1"/>
            </w14:solidFill>
          </w14:textFill>
        </w:rPr>
      </w:pPr>
    </w:p>
    <w:p w14:paraId="70E27E48">
      <w:pPr>
        <w:keepNext w:val="0"/>
        <w:keepLines w:val="0"/>
        <w:pageBreakBefore w:val="0"/>
        <w:widowControl w:val="0"/>
        <w:kinsoku/>
        <w:wordWrap/>
        <w:overflowPunct/>
        <w:topLinePunct w:val="0"/>
        <w:autoSpaceDE/>
        <w:autoSpaceDN/>
        <w:bidi w:val="0"/>
        <w:adjustRightInd/>
        <w:spacing w:line="360" w:lineRule="auto"/>
        <w:ind w:left="540"/>
        <w:contextualSpacing/>
        <w:textAlignment w:val="auto"/>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附件：法定代表人有效身份证正反面复印件</w:t>
      </w:r>
    </w:p>
    <w:p w14:paraId="6721A9C8">
      <w:pPr>
        <w:keepNext w:val="0"/>
        <w:keepLines w:val="0"/>
        <w:pageBreakBefore w:val="0"/>
        <w:widowControl w:val="0"/>
        <w:kinsoku/>
        <w:wordWrap/>
        <w:overflowPunct/>
        <w:topLinePunct w:val="0"/>
        <w:autoSpaceDE/>
        <w:autoSpaceDN/>
        <w:bidi w:val="0"/>
        <w:adjustRightInd/>
        <w:spacing w:line="360" w:lineRule="auto"/>
        <w:ind w:left="540"/>
        <w:contextualSpacing/>
        <w:textAlignment w:val="auto"/>
        <w:rPr>
          <w:rFonts w:hint="eastAsia" w:ascii="宋体" w:hAnsi="宋体" w:eastAsia="宋体" w:cs="宋体"/>
          <w:color w:val="000000" w:themeColor="text1"/>
          <w:szCs w:val="21"/>
          <w:highlight w:val="none"/>
          <w14:textFill>
            <w14:solidFill>
              <w14:schemeClr w14:val="tx1"/>
            </w14:solidFill>
          </w14:textFill>
        </w:rPr>
      </w:pPr>
    </w:p>
    <w:p w14:paraId="7BEBB9B5">
      <w:pPr>
        <w:keepNext w:val="0"/>
        <w:keepLines w:val="0"/>
        <w:pageBreakBefore w:val="0"/>
        <w:widowControl w:val="0"/>
        <w:kinsoku/>
        <w:wordWrap/>
        <w:overflowPunct/>
        <w:topLinePunct w:val="0"/>
        <w:autoSpaceDE/>
        <w:autoSpaceDN/>
        <w:bidi w:val="0"/>
        <w:adjustRightInd/>
        <w:spacing w:line="360" w:lineRule="auto"/>
        <w:ind w:firstLine="4410" w:firstLineChars="2100"/>
        <w:textAlignment w:val="auto"/>
        <w:rPr>
          <w:rFonts w:hint="eastAsia" w:ascii="宋体" w:hAnsi="宋体" w:eastAsia="宋体" w:cs="宋体"/>
          <w:color w:val="000000" w:themeColor="text1"/>
          <w:szCs w:val="21"/>
          <w:highlight w:val="none"/>
          <w:u w:val="singl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供应商</w:t>
      </w:r>
      <w:r>
        <w:rPr>
          <w:rFonts w:hint="eastAsia" w:ascii="宋体" w:hAnsi="宋体" w:eastAsia="宋体" w:cs="宋体"/>
          <w:color w:val="000000" w:themeColor="text1"/>
          <w:kern w:val="0"/>
          <w:szCs w:val="21"/>
          <w:highlight w:val="none"/>
          <w14:textFill>
            <w14:solidFill>
              <w14:schemeClr w14:val="tx1"/>
            </w14:solidFill>
          </w14:textFill>
        </w:rPr>
        <w:t>名称</w:t>
      </w:r>
      <w:r>
        <w:rPr>
          <w:rFonts w:hint="eastAsia" w:ascii="宋体" w:hAnsi="宋体" w:eastAsia="宋体" w:cs="宋体"/>
          <w:color w:val="000000" w:themeColor="text1"/>
          <w:szCs w:val="21"/>
          <w:highlight w:val="none"/>
          <w14:textFill>
            <w14:solidFill>
              <w14:schemeClr w14:val="tx1"/>
            </w14:solidFill>
          </w14:textFill>
        </w:rPr>
        <w:t>（盖公章）：</w:t>
      </w:r>
      <w:r>
        <w:rPr>
          <w:rFonts w:hint="eastAsia" w:ascii="宋体" w:hAnsi="宋体" w:eastAsia="宋体" w:cs="宋体"/>
          <w:color w:val="000000" w:themeColor="text1"/>
          <w:szCs w:val="21"/>
          <w:highlight w:val="none"/>
          <w:u w:val="single"/>
          <w14:textFill>
            <w14:solidFill>
              <w14:schemeClr w14:val="tx1"/>
            </w14:solidFill>
          </w14:textFill>
        </w:rPr>
        <w:t xml:space="preserve">                   </w:t>
      </w:r>
    </w:p>
    <w:p w14:paraId="58D45F2B">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ascii="宋体" w:hAnsi="宋体" w:eastAsia="宋体" w:cs="宋体"/>
          <w:b/>
          <w:color w:val="000000" w:themeColor="text1"/>
          <w:sz w:val="30"/>
          <w:szCs w:val="30"/>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 xml:space="preserve">                                      日期：</w:t>
      </w:r>
      <w:r>
        <w:rPr>
          <w:rFonts w:hint="eastAsia" w:ascii="宋体" w:hAnsi="宋体" w:eastAsia="宋体" w:cs="宋体"/>
          <w:color w:val="000000" w:themeColor="text1"/>
          <w:szCs w:val="21"/>
          <w:highlight w:val="none"/>
          <w:u w:val="single"/>
          <w14:textFill>
            <w14:solidFill>
              <w14:schemeClr w14:val="tx1"/>
            </w14:solidFill>
          </w14:textFill>
        </w:rPr>
        <w:t xml:space="preserve">         </w:t>
      </w:r>
      <w:r>
        <w:rPr>
          <w:rFonts w:hint="eastAsia" w:ascii="宋体" w:hAnsi="宋体" w:eastAsia="宋体" w:cs="宋体"/>
          <w:color w:val="000000" w:themeColor="text1"/>
          <w:szCs w:val="21"/>
          <w:highlight w:val="none"/>
          <w14:textFill>
            <w14:solidFill>
              <w14:schemeClr w14:val="tx1"/>
            </w14:solidFill>
          </w14:textFill>
        </w:rPr>
        <w:t>年</w:t>
      </w:r>
      <w:r>
        <w:rPr>
          <w:rFonts w:hint="eastAsia" w:ascii="宋体" w:hAnsi="宋体" w:eastAsia="宋体" w:cs="宋体"/>
          <w:color w:val="000000" w:themeColor="text1"/>
          <w:szCs w:val="21"/>
          <w:highlight w:val="none"/>
          <w:u w:val="single"/>
          <w14:textFill>
            <w14:solidFill>
              <w14:schemeClr w14:val="tx1"/>
            </w14:solidFill>
          </w14:textFill>
        </w:rPr>
        <w:t xml:space="preserve">        </w:t>
      </w:r>
      <w:r>
        <w:rPr>
          <w:rFonts w:hint="eastAsia" w:ascii="宋体" w:hAnsi="宋体" w:eastAsia="宋体" w:cs="宋体"/>
          <w:color w:val="000000" w:themeColor="text1"/>
          <w:szCs w:val="21"/>
          <w:highlight w:val="none"/>
          <w14:textFill>
            <w14:solidFill>
              <w14:schemeClr w14:val="tx1"/>
            </w14:solidFill>
          </w14:textFill>
        </w:rPr>
        <w:t>月</w:t>
      </w:r>
      <w:r>
        <w:rPr>
          <w:rFonts w:hint="eastAsia" w:ascii="宋体" w:hAnsi="宋体" w:eastAsia="宋体" w:cs="宋体"/>
          <w:color w:val="000000" w:themeColor="text1"/>
          <w:szCs w:val="21"/>
          <w:highlight w:val="none"/>
          <w:u w:val="single"/>
          <w14:textFill>
            <w14:solidFill>
              <w14:schemeClr w14:val="tx1"/>
            </w14:solidFill>
          </w14:textFill>
        </w:rPr>
        <w:t xml:space="preserve">        </w:t>
      </w:r>
      <w:r>
        <w:rPr>
          <w:rFonts w:hint="eastAsia" w:ascii="宋体" w:hAnsi="宋体" w:eastAsia="宋体" w:cs="宋体"/>
          <w:color w:val="000000" w:themeColor="text1"/>
          <w:szCs w:val="21"/>
          <w:highlight w:val="none"/>
          <w14:textFill>
            <w14:solidFill>
              <w14:schemeClr w14:val="tx1"/>
            </w14:solidFill>
          </w14:textFill>
        </w:rPr>
        <w:t>日</w:t>
      </w:r>
    </w:p>
    <w:p w14:paraId="5267F007">
      <w:pPr>
        <w:keepNext w:val="0"/>
        <w:keepLines w:val="0"/>
        <w:pageBreakBefore w:val="0"/>
        <w:widowControl w:val="0"/>
        <w:kinsoku/>
        <w:wordWrap/>
        <w:overflowPunct/>
        <w:topLinePunct w:val="0"/>
        <w:autoSpaceDE/>
        <w:autoSpaceDN/>
        <w:bidi w:val="0"/>
        <w:adjustRightInd/>
        <w:spacing w:line="360" w:lineRule="auto"/>
        <w:contextualSpacing/>
        <w:jc w:val="left"/>
        <w:textAlignment w:val="auto"/>
        <w:rPr>
          <w:rFonts w:hint="eastAsia" w:ascii="宋体" w:hAnsi="宋体" w:eastAsia="宋体" w:cs="宋体"/>
          <w:color w:val="000000" w:themeColor="text1"/>
          <w:sz w:val="24"/>
          <w:highlight w:val="none"/>
          <w14:textFill>
            <w14:solidFill>
              <w14:schemeClr w14:val="tx1"/>
            </w14:solidFill>
          </w14:textFill>
        </w:rPr>
      </w:pPr>
    </w:p>
    <w:p w14:paraId="2973B0FD">
      <w:pPr>
        <w:keepNext w:val="0"/>
        <w:keepLines w:val="0"/>
        <w:pageBreakBefore w:val="0"/>
        <w:widowControl w:val="0"/>
        <w:kinsoku/>
        <w:wordWrap/>
        <w:overflowPunct/>
        <w:topLinePunct w:val="0"/>
        <w:autoSpaceDE/>
        <w:autoSpaceDN/>
        <w:bidi w:val="0"/>
        <w:adjustRightInd/>
        <w:spacing w:line="360" w:lineRule="auto"/>
        <w:contextualSpacing/>
        <w:jc w:val="left"/>
        <w:textAlignment w:val="auto"/>
        <w:rPr>
          <w:rFonts w:hint="eastAsia" w:ascii="宋体" w:hAnsi="宋体" w:eastAsia="宋体" w:cs="宋体"/>
          <w:color w:val="000000" w:themeColor="text1"/>
          <w:sz w:val="24"/>
          <w:highlight w:val="none"/>
          <w14:textFill>
            <w14:solidFill>
              <w14:schemeClr w14:val="tx1"/>
            </w14:solidFill>
          </w14:textFill>
        </w:rPr>
      </w:pPr>
    </w:p>
    <w:p w14:paraId="22CF5BDA">
      <w:pPr>
        <w:keepNext w:val="0"/>
        <w:keepLines w:val="0"/>
        <w:pageBreakBefore w:val="0"/>
        <w:widowControl w:val="0"/>
        <w:kinsoku/>
        <w:wordWrap/>
        <w:overflowPunct/>
        <w:topLinePunct w:val="0"/>
        <w:autoSpaceDE/>
        <w:autoSpaceDN/>
        <w:bidi w:val="0"/>
        <w:adjustRightInd/>
        <w:spacing w:line="360" w:lineRule="auto"/>
        <w:ind w:firstLine="420" w:firstLineChars="200"/>
        <w:contextualSpacing/>
        <w:jc w:val="left"/>
        <w:textAlignment w:val="auto"/>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注：</w:t>
      </w:r>
    </w:p>
    <w:p w14:paraId="2F3B1F71">
      <w:pPr>
        <w:keepNext w:val="0"/>
        <w:keepLines w:val="0"/>
        <w:pageBreakBefore w:val="0"/>
        <w:widowControl w:val="0"/>
        <w:kinsoku/>
        <w:wordWrap/>
        <w:overflowPunct/>
        <w:topLinePunct w:val="0"/>
        <w:autoSpaceDE/>
        <w:autoSpaceDN/>
        <w:bidi w:val="0"/>
        <w:adjustRightInd/>
        <w:spacing w:line="360" w:lineRule="auto"/>
        <w:ind w:firstLine="420" w:firstLineChars="200"/>
        <w:contextualSpacing/>
        <w:jc w:val="left"/>
        <w:textAlignment w:val="auto"/>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1.自然人竞标的无需提供，联合体竞标的只需牵头人出具。</w:t>
      </w:r>
    </w:p>
    <w:p w14:paraId="5ADB051E">
      <w:pPr>
        <w:keepNext w:val="0"/>
        <w:keepLines w:val="0"/>
        <w:pageBreakBefore w:val="0"/>
        <w:widowControl w:val="0"/>
        <w:kinsoku/>
        <w:wordWrap/>
        <w:overflowPunct/>
        <w:topLinePunct w:val="0"/>
        <w:autoSpaceDE/>
        <w:autoSpaceDN/>
        <w:bidi w:val="0"/>
        <w:adjustRightInd/>
        <w:spacing w:line="360" w:lineRule="auto"/>
        <w:ind w:firstLine="420" w:firstLineChars="200"/>
        <w:contextualSpacing/>
        <w:jc w:val="left"/>
        <w:textAlignment w:val="auto"/>
        <w:rPr>
          <w:rFonts w:hint="eastAsia" w:ascii="宋体" w:hAnsi="宋体" w:eastAsia="宋体" w:cs="宋体"/>
          <w:color w:val="000000" w:themeColor="text1"/>
          <w:szCs w:val="21"/>
          <w:highlight w:val="none"/>
          <w14:textFill>
            <w14:solidFill>
              <w14:schemeClr w14:val="tx1"/>
            </w14:solidFill>
          </w14:textFill>
        </w:rPr>
        <w:sectPr>
          <w:pgSz w:w="11911" w:h="16838"/>
          <w:pgMar w:top="1134" w:right="1134" w:bottom="1134" w:left="1134" w:header="720" w:footer="720" w:gutter="0"/>
          <w:cols w:space="720" w:num="1"/>
        </w:sectPr>
      </w:pPr>
      <w:r>
        <w:rPr>
          <w:rFonts w:hint="eastAsia" w:ascii="宋体" w:hAnsi="宋体" w:eastAsia="宋体" w:cs="宋体"/>
          <w:color w:val="000000" w:themeColor="text1"/>
          <w:szCs w:val="21"/>
          <w:highlight w:val="none"/>
          <w14:textFill>
            <w14:solidFill>
              <w14:schemeClr w14:val="tx1"/>
            </w14:solidFill>
          </w14:textFill>
        </w:rPr>
        <w:t>2.供应商为其他组织或者自然人时，本磋商文件规定的法定代表人指负责人或者自然人。本磋商文件所称负责人是指参加竞标的其他组织营业执照上的负责人，本磋商文件所称自然人指参与竞标的自然人本人。</w:t>
      </w:r>
    </w:p>
    <w:p w14:paraId="67FB920C">
      <w:pPr>
        <w:spacing w:line="360" w:lineRule="auto"/>
        <w:contextualSpacing/>
        <w:jc w:val="left"/>
        <w:rPr>
          <w:rFonts w:hint="eastAsia"/>
          <w:b/>
          <w:color w:val="000000" w:themeColor="text1"/>
          <w:szCs w:val="21"/>
          <w:highlight w:val="none"/>
          <w14:textFill>
            <w14:solidFill>
              <w14:schemeClr w14:val="tx1"/>
            </w14:solidFill>
          </w14:textFill>
        </w:rPr>
      </w:pPr>
      <w:r>
        <w:rPr>
          <w:rFonts w:hint="eastAsia" w:ascii="Calibri"/>
          <w:b/>
          <w:color w:val="000000" w:themeColor="text1"/>
          <w:sz w:val="24"/>
          <w:highlight w:val="none"/>
          <w14:textFill>
            <w14:solidFill>
              <w14:schemeClr w14:val="tx1"/>
            </w14:solidFill>
          </w14:textFill>
        </w:rPr>
        <w:t>附件：</w:t>
      </w:r>
    </w:p>
    <w:tbl>
      <w:tblPr>
        <w:tblStyle w:val="29"/>
        <w:tblpPr w:leftFromText="180" w:rightFromText="180" w:vertAnchor="text" w:horzAnchor="page" w:tblpX="1957" w:tblpY="335"/>
        <w:tblW w:w="846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61"/>
      </w:tblGrid>
      <w:tr w14:paraId="532480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05" w:hRule="atLeast"/>
        </w:trPr>
        <w:tc>
          <w:tcPr>
            <w:tcW w:w="8461" w:type="dxa"/>
            <w:noWrap w:val="0"/>
            <w:vAlign w:val="top"/>
          </w:tcPr>
          <w:p w14:paraId="4E450010">
            <w:pPr>
              <w:spacing w:line="360" w:lineRule="auto"/>
              <w:rPr>
                <w:rFonts w:hAnsi="Calibri"/>
                <w:b/>
                <w:color w:val="000000" w:themeColor="text1"/>
                <w:sz w:val="24"/>
                <w:highlight w:val="none"/>
                <w14:textFill>
                  <w14:solidFill>
                    <w14:schemeClr w14:val="tx1"/>
                  </w14:solidFill>
                </w14:textFill>
              </w:rPr>
            </w:pPr>
            <w:r>
              <w:rPr>
                <w:rFonts w:hint="eastAsia" w:hAnsi="Calibri"/>
                <w:b/>
                <w:color w:val="000000" w:themeColor="text1"/>
                <w:sz w:val="24"/>
                <w:highlight w:val="none"/>
                <w14:textFill>
                  <w14:solidFill>
                    <w14:schemeClr w14:val="tx1"/>
                  </w14:solidFill>
                </w14:textFill>
              </w:rPr>
              <w:t>法定代表人身份证复印件</w:t>
            </w:r>
            <w:r>
              <w:rPr>
                <w:rFonts w:hint="eastAsia" w:hAnsi="Calibri" w:eastAsia="宋体"/>
                <w:b/>
                <w:color w:val="000000" w:themeColor="text1"/>
                <w:sz w:val="24"/>
                <w:highlight w:val="none"/>
                <w14:textFill>
                  <w14:solidFill>
                    <w14:schemeClr w14:val="tx1"/>
                  </w14:solidFill>
                </w14:textFill>
              </w:rPr>
              <w:t>粘</w:t>
            </w:r>
            <w:r>
              <w:rPr>
                <w:rFonts w:hint="eastAsia" w:hAnsi="Calibri" w:eastAsia="宋体"/>
                <w:b/>
                <w:color w:val="000000" w:themeColor="text1"/>
                <w:sz w:val="24"/>
                <w:highlight w:val="none"/>
                <w:lang w:val="en-US" w:eastAsia="zh-CN"/>
                <w14:textFill>
                  <w14:solidFill>
                    <w14:schemeClr w14:val="tx1"/>
                  </w14:solidFill>
                </w14:textFill>
              </w:rPr>
              <w:t>贴</w:t>
            </w:r>
            <w:r>
              <w:rPr>
                <w:rFonts w:hint="eastAsia" w:hAnsi="Calibri" w:eastAsia="宋体"/>
                <w:b/>
                <w:color w:val="000000" w:themeColor="text1"/>
                <w:sz w:val="24"/>
                <w:highlight w:val="none"/>
                <w14:textFill>
                  <w14:solidFill>
                    <w14:schemeClr w14:val="tx1"/>
                  </w14:solidFill>
                </w14:textFill>
              </w:rPr>
              <w:t>处</w:t>
            </w:r>
            <w:r>
              <w:rPr>
                <w:rFonts w:hint="eastAsia" w:hAnsi="Calibri"/>
                <w:b/>
                <w:color w:val="000000" w:themeColor="text1"/>
                <w:sz w:val="24"/>
                <w:highlight w:val="none"/>
                <w14:textFill>
                  <w14:solidFill>
                    <w14:schemeClr w14:val="tx1"/>
                  </w14:solidFill>
                </w14:textFill>
              </w:rPr>
              <w:t>（正、反面）</w:t>
            </w:r>
          </w:p>
        </w:tc>
      </w:tr>
    </w:tbl>
    <w:p w14:paraId="38CDED4E">
      <w:pPr>
        <w:spacing w:line="520" w:lineRule="exact"/>
        <w:jc w:val="left"/>
        <w:rPr>
          <w:rFonts w:hint="eastAsia" w:ascii="宋体" w:hAnsi="宋体" w:cs="宋体"/>
          <w:color w:val="000000" w:themeColor="text1"/>
          <w:szCs w:val="21"/>
          <w:highlight w:val="none"/>
          <w14:textFill>
            <w14:solidFill>
              <w14:schemeClr w14:val="tx1"/>
            </w14:solidFill>
          </w14:textFill>
        </w:rPr>
      </w:pPr>
    </w:p>
    <w:p w14:paraId="2A34C503">
      <w:pPr>
        <w:spacing w:line="520" w:lineRule="exact"/>
        <w:ind w:firstLine="880"/>
        <w:jc w:val="left"/>
        <w:rPr>
          <w:rFonts w:hint="eastAsia" w:ascii="宋体" w:hAnsi="宋体" w:cs="宋体"/>
          <w:color w:val="000000" w:themeColor="text1"/>
          <w:szCs w:val="21"/>
          <w:highlight w:val="none"/>
          <w14:textFill>
            <w14:solidFill>
              <w14:schemeClr w14:val="tx1"/>
            </w14:solidFill>
          </w14:textFill>
        </w:rPr>
      </w:pPr>
    </w:p>
    <w:p w14:paraId="4194C04E">
      <w:pPr>
        <w:spacing w:line="520" w:lineRule="exact"/>
        <w:ind w:firstLine="880"/>
        <w:jc w:val="left"/>
        <w:rPr>
          <w:rFonts w:hint="eastAsia" w:ascii="宋体" w:hAnsi="宋体" w:cs="宋体"/>
          <w:color w:val="000000" w:themeColor="text1"/>
          <w:szCs w:val="21"/>
          <w:highlight w:val="none"/>
          <w14:textFill>
            <w14:solidFill>
              <w14:schemeClr w14:val="tx1"/>
            </w14:solidFill>
          </w14:textFill>
        </w:rPr>
      </w:pPr>
    </w:p>
    <w:p w14:paraId="18A2616C">
      <w:pPr>
        <w:spacing w:line="520" w:lineRule="exact"/>
        <w:ind w:firstLine="880"/>
        <w:jc w:val="left"/>
        <w:rPr>
          <w:rFonts w:hint="eastAsia" w:ascii="宋体" w:hAnsi="宋体" w:cs="宋体"/>
          <w:color w:val="000000" w:themeColor="text1"/>
          <w:szCs w:val="21"/>
          <w:highlight w:val="none"/>
          <w14:textFill>
            <w14:solidFill>
              <w14:schemeClr w14:val="tx1"/>
            </w14:solidFill>
          </w14:textFill>
        </w:rPr>
      </w:pPr>
    </w:p>
    <w:p w14:paraId="24431C97">
      <w:pPr>
        <w:spacing w:line="520" w:lineRule="exact"/>
        <w:ind w:firstLine="880"/>
        <w:jc w:val="left"/>
        <w:rPr>
          <w:rFonts w:hint="eastAsia" w:ascii="宋体" w:hAnsi="宋体" w:cs="宋体"/>
          <w:color w:val="000000" w:themeColor="text1"/>
          <w:szCs w:val="21"/>
          <w:highlight w:val="none"/>
          <w14:textFill>
            <w14:solidFill>
              <w14:schemeClr w14:val="tx1"/>
            </w14:solidFill>
          </w14:textFill>
        </w:rPr>
      </w:pPr>
    </w:p>
    <w:p w14:paraId="44749C9F">
      <w:pPr>
        <w:spacing w:line="520" w:lineRule="exact"/>
        <w:ind w:firstLine="880"/>
        <w:jc w:val="left"/>
        <w:rPr>
          <w:rFonts w:hint="eastAsia" w:ascii="宋体" w:hAnsi="宋体" w:cs="宋体"/>
          <w:color w:val="000000" w:themeColor="text1"/>
          <w:szCs w:val="21"/>
          <w:highlight w:val="none"/>
          <w14:textFill>
            <w14:solidFill>
              <w14:schemeClr w14:val="tx1"/>
            </w14:solidFill>
          </w14:textFill>
        </w:rPr>
      </w:pPr>
    </w:p>
    <w:p w14:paraId="063772A0">
      <w:pPr>
        <w:spacing w:line="520" w:lineRule="exact"/>
        <w:ind w:firstLine="880"/>
        <w:jc w:val="left"/>
        <w:rPr>
          <w:rFonts w:hint="eastAsia" w:ascii="宋体" w:hAnsi="宋体" w:cs="宋体"/>
          <w:color w:val="000000" w:themeColor="text1"/>
          <w:szCs w:val="21"/>
          <w:highlight w:val="none"/>
          <w14:textFill>
            <w14:solidFill>
              <w14:schemeClr w14:val="tx1"/>
            </w14:solidFill>
          </w14:textFill>
        </w:rPr>
      </w:pPr>
    </w:p>
    <w:p w14:paraId="6A471340">
      <w:pPr>
        <w:spacing w:line="520" w:lineRule="exact"/>
        <w:ind w:firstLine="880"/>
        <w:jc w:val="left"/>
        <w:rPr>
          <w:rFonts w:hint="eastAsia" w:ascii="宋体" w:hAnsi="宋体" w:cs="宋体"/>
          <w:color w:val="000000" w:themeColor="text1"/>
          <w:szCs w:val="21"/>
          <w:highlight w:val="none"/>
          <w14:textFill>
            <w14:solidFill>
              <w14:schemeClr w14:val="tx1"/>
            </w14:solidFill>
          </w14:textFill>
        </w:rPr>
      </w:pPr>
    </w:p>
    <w:p w14:paraId="70D47C2F">
      <w:pPr>
        <w:spacing w:line="520" w:lineRule="exact"/>
        <w:ind w:firstLine="880"/>
        <w:jc w:val="left"/>
        <w:rPr>
          <w:rFonts w:hint="eastAsia" w:ascii="宋体" w:hAnsi="宋体" w:cs="宋体"/>
          <w:color w:val="000000" w:themeColor="text1"/>
          <w:szCs w:val="21"/>
          <w:highlight w:val="none"/>
          <w14:textFill>
            <w14:solidFill>
              <w14:schemeClr w14:val="tx1"/>
            </w14:solidFill>
          </w14:textFill>
        </w:rPr>
      </w:pPr>
    </w:p>
    <w:p w14:paraId="1EA62924">
      <w:pPr>
        <w:spacing w:line="520" w:lineRule="exact"/>
        <w:ind w:firstLine="880"/>
        <w:jc w:val="left"/>
        <w:rPr>
          <w:rFonts w:hint="eastAsia" w:ascii="宋体" w:hAnsi="宋体" w:cs="宋体"/>
          <w:color w:val="000000" w:themeColor="text1"/>
          <w:szCs w:val="21"/>
          <w:highlight w:val="none"/>
          <w14:textFill>
            <w14:solidFill>
              <w14:schemeClr w14:val="tx1"/>
            </w14:solidFill>
          </w14:textFill>
        </w:rPr>
      </w:pPr>
    </w:p>
    <w:p w14:paraId="7D6CE3FD">
      <w:pPr>
        <w:spacing w:line="520" w:lineRule="exact"/>
        <w:ind w:firstLine="880"/>
        <w:jc w:val="left"/>
        <w:rPr>
          <w:rFonts w:hint="eastAsia" w:ascii="宋体" w:hAnsi="宋体" w:cs="宋体"/>
          <w:color w:val="000000" w:themeColor="text1"/>
          <w:szCs w:val="21"/>
          <w:highlight w:val="none"/>
          <w14:textFill>
            <w14:solidFill>
              <w14:schemeClr w14:val="tx1"/>
            </w14:solidFill>
          </w14:textFill>
        </w:rPr>
      </w:pPr>
    </w:p>
    <w:p w14:paraId="4C6B18EA">
      <w:pPr>
        <w:spacing w:line="520" w:lineRule="exact"/>
        <w:ind w:firstLine="880"/>
        <w:jc w:val="left"/>
        <w:rPr>
          <w:rFonts w:hint="eastAsia" w:ascii="宋体" w:hAnsi="宋体" w:cs="宋体"/>
          <w:color w:val="000000" w:themeColor="text1"/>
          <w:szCs w:val="21"/>
          <w:highlight w:val="none"/>
          <w14:textFill>
            <w14:solidFill>
              <w14:schemeClr w14:val="tx1"/>
            </w14:solidFill>
          </w14:textFill>
        </w:rPr>
      </w:pPr>
    </w:p>
    <w:p w14:paraId="325B543D">
      <w:pPr>
        <w:spacing w:line="520" w:lineRule="exact"/>
        <w:ind w:firstLine="880"/>
        <w:jc w:val="left"/>
        <w:rPr>
          <w:rFonts w:hint="eastAsia" w:ascii="宋体" w:hAnsi="宋体" w:cs="宋体"/>
          <w:color w:val="000000" w:themeColor="text1"/>
          <w:szCs w:val="21"/>
          <w:highlight w:val="none"/>
          <w14:textFill>
            <w14:solidFill>
              <w14:schemeClr w14:val="tx1"/>
            </w14:solidFill>
          </w14:textFill>
        </w:rPr>
      </w:pPr>
    </w:p>
    <w:p w14:paraId="3FFEA8C3">
      <w:pPr>
        <w:spacing w:line="520" w:lineRule="exact"/>
        <w:ind w:firstLine="880"/>
        <w:jc w:val="left"/>
        <w:rPr>
          <w:rFonts w:hint="eastAsia" w:ascii="宋体" w:hAnsi="宋体" w:cs="宋体"/>
          <w:color w:val="000000" w:themeColor="text1"/>
          <w:szCs w:val="21"/>
          <w:highlight w:val="none"/>
          <w14:textFill>
            <w14:solidFill>
              <w14:schemeClr w14:val="tx1"/>
            </w14:solidFill>
          </w14:textFill>
        </w:rPr>
      </w:pPr>
    </w:p>
    <w:p w14:paraId="088975EB">
      <w:pPr>
        <w:spacing w:line="520" w:lineRule="exact"/>
        <w:ind w:firstLine="880"/>
        <w:jc w:val="left"/>
        <w:rPr>
          <w:rFonts w:hint="eastAsia" w:ascii="宋体" w:hAnsi="宋体" w:cs="宋体"/>
          <w:color w:val="000000" w:themeColor="text1"/>
          <w:szCs w:val="21"/>
          <w:highlight w:val="none"/>
          <w14:textFill>
            <w14:solidFill>
              <w14:schemeClr w14:val="tx1"/>
            </w14:solidFill>
          </w14:textFill>
        </w:rPr>
      </w:pPr>
    </w:p>
    <w:p w14:paraId="24381F21">
      <w:pPr>
        <w:spacing w:line="520" w:lineRule="exact"/>
        <w:ind w:firstLine="880"/>
        <w:jc w:val="left"/>
        <w:rPr>
          <w:rFonts w:hint="eastAsia" w:ascii="宋体" w:hAnsi="宋体" w:cs="宋体"/>
          <w:color w:val="000000" w:themeColor="text1"/>
          <w:szCs w:val="21"/>
          <w:highlight w:val="none"/>
          <w14:textFill>
            <w14:solidFill>
              <w14:schemeClr w14:val="tx1"/>
            </w14:solidFill>
          </w14:textFill>
        </w:rPr>
      </w:pPr>
    </w:p>
    <w:p w14:paraId="0A6EE323">
      <w:pPr>
        <w:spacing w:line="520" w:lineRule="exact"/>
        <w:ind w:firstLine="880"/>
        <w:jc w:val="left"/>
        <w:rPr>
          <w:rFonts w:hint="eastAsia" w:ascii="宋体" w:hAnsi="宋体" w:cs="宋体"/>
          <w:color w:val="000000" w:themeColor="text1"/>
          <w:szCs w:val="21"/>
          <w:highlight w:val="none"/>
          <w14:textFill>
            <w14:solidFill>
              <w14:schemeClr w14:val="tx1"/>
            </w14:solidFill>
          </w14:textFill>
        </w:rPr>
      </w:pPr>
    </w:p>
    <w:p w14:paraId="24AA2A30">
      <w:pPr>
        <w:spacing w:line="520" w:lineRule="exact"/>
        <w:ind w:firstLine="880"/>
        <w:jc w:val="left"/>
        <w:rPr>
          <w:rFonts w:hint="eastAsia" w:ascii="宋体" w:hAnsi="宋体" w:cs="宋体"/>
          <w:color w:val="000000" w:themeColor="text1"/>
          <w:szCs w:val="21"/>
          <w:highlight w:val="none"/>
          <w14:textFill>
            <w14:solidFill>
              <w14:schemeClr w14:val="tx1"/>
            </w14:solidFill>
          </w14:textFill>
        </w:rPr>
      </w:pPr>
    </w:p>
    <w:p w14:paraId="16F66808">
      <w:pPr>
        <w:snapToGrid w:val="0"/>
        <w:spacing w:before="120" w:beforeLines="50" w:after="50" w:line="360" w:lineRule="auto"/>
        <w:jc w:val="left"/>
        <w:outlineLvl w:val="2"/>
        <w:rPr>
          <w:rFonts w:hint="eastAsia" w:ascii="宋体" w:hAnsi="宋体" w:eastAsia="宋体" w:cs="宋体"/>
          <w:bCs/>
          <w:i w:val="0"/>
          <w:iCs w:val="0"/>
          <w:color w:val="000000" w:themeColor="text1"/>
          <w:sz w:val="44"/>
          <w:szCs w:val="44"/>
          <w:highlight w:val="none"/>
          <w14:textFill>
            <w14:solidFill>
              <w14:schemeClr w14:val="tx1"/>
            </w14:solidFill>
          </w14:textFill>
        </w:rPr>
      </w:pPr>
      <w:r>
        <w:rPr>
          <w:rFonts w:hint="eastAsia" w:ascii="方正小标宋简体" w:hAnsi="方正小标宋简体" w:eastAsia="方正小标宋简体" w:cs="方正小标宋简体"/>
          <w:color w:val="000000" w:themeColor="text1"/>
          <w:sz w:val="44"/>
          <w:szCs w:val="44"/>
          <w:highlight w:val="none"/>
          <w14:textFill>
            <w14:solidFill>
              <w14:schemeClr w14:val="tx1"/>
            </w14:solidFill>
          </w14:textFill>
        </w:rPr>
        <w:br w:type="page"/>
      </w:r>
      <w:bookmarkStart w:id="216" w:name="_Toc18041"/>
      <w:r>
        <w:rPr>
          <w:rFonts w:hint="eastAsia" w:ascii="宋体" w:hAnsi="宋体" w:eastAsia="宋体" w:cs="宋体"/>
          <w:b/>
          <w:bCs/>
          <w:i w:val="0"/>
          <w:iCs w:val="0"/>
          <w:color w:val="000000" w:themeColor="text1"/>
          <w:sz w:val="28"/>
          <w:szCs w:val="28"/>
          <w:highlight w:val="none"/>
          <w14:textFill>
            <w14:solidFill>
              <w14:schemeClr w14:val="tx1"/>
            </w14:solidFill>
          </w14:textFill>
        </w:rPr>
        <w:t>5.法定</w:t>
      </w:r>
      <w:r>
        <w:rPr>
          <w:rFonts w:hint="eastAsia" w:ascii="Times New Roman" w:hAnsi="Times New Roman" w:eastAsia="宋体" w:cs="Times New Roman"/>
          <w:b/>
          <w:bCs/>
          <w:color w:val="000000" w:themeColor="text1"/>
          <w:sz w:val="28"/>
          <w:szCs w:val="28"/>
          <w:highlight w:val="none"/>
          <w14:textFill>
            <w14:solidFill>
              <w14:schemeClr w14:val="tx1"/>
            </w14:solidFill>
          </w14:textFill>
        </w:rPr>
        <w:t>代表人</w:t>
      </w:r>
      <w:r>
        <w:rPr>
          <w:rFonts w:hint="eastAsia" w:ascii="宋体" w:hAnsi="宋体" w:eastAsia="宋体" w:cs="宋体"/>
          <w:b/>
          <w:bCs/>
          <w:i w:val="0"/>
          <w:iCs w:val="0"/>
          <w:color w:val="000000" w:themeColor="text1"/>
          <w:sz w:val="28"/>
          <w:szCs w:val="28"/>
          <w:highlight w:val="none"/>
          <w14:textFill>
            <w14:solidFill>
              <w14:schemeClr w14:val="tx1"/>
            </w14:solidFill>
          </w14:textFill>
        </w:rPr>
        <w:t>授权委托书的格式：</w:t>
      </w:r>
      <w:bookmarkEnd w:id="216"/>
    </w:p>
    <w:p w14:paraId="05DD5279">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i w:val="0"/>
          <w:iCs w:val="0"/>
          <w:color w:val="000000" w:themeColor="text1"/>
          <w:sz w:val="44"/>
          <w:szCs w:val="44"/>
          <w:highlight w:val="none"/>
          <w14:textFill>
            <w14:solidFill>
              <w14:schemeClr w14:val="tx1"/>
            </w14:solidFill>
          </w14:textFill>
        </w:rPr>
      </w:pPr>
    </w:p>
    <w:p w14:paraId="165D1C33">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i w:val="0"/>
          <w:iCs w:val="0"/>
          <w:color w:val="000000" w:themeColor="text1"/>
          <w:sz w:val="32"/>
          <w:szCs w:val="32"/>
          <w:highlight w:val="none"/>
          <w14:textFill>
            <w14:solidFill>
              <w14:schemeClr w14:val="tx1"/>
            </w14:solidFill>
          </w14:textFill>
        </w:rPr>
      </w:pPr>
      <w:r>
        <w:rPr>
          <w:rFonts w:hint="eastAsia" w:ascii="宋体" w:hAnsi="宋体" w:eastAsia="宋体" w:cs="宋体"/>
          <w:b/>
          <w:bCs/>
          <w:i w:val="0"/>
          <w:iCs w:val="0"/>
          <w:color w:val="000000" w:themeColor="text1"/>
          <w:sz w:val="32"/>
          <w:szCs w:val="32"/>
          <w:highlight w:val="none"/>
          <w14:textFill>
            <w14:solidFill>
              <w14:schemeClr w14:val="tx1"/>
            </w14:solidFill>
          </w14:textFill>
        </w:rPr>
        <w:t>授权委托书</w:t>
      </w:r>
    </w:p>
    <w:p w14:paraId="5557A23D">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i w:val="0"/>
          <w:iCs w:val="0"/>
          <w:color w:val="000000" w:themeColor="text1"/>
          <w:sz w:val="32"/>
          <w:szCs w:val="32"/>
          <w:highlight w:val="none"/>
          <w14:textFill>
            <w14:solidFill>
              <w14:schemeClr w14:val="tx1"/>
            </w14:solidFill>
          </w14:textFill>
        </w:rPr>
      </w:pPr>
    </w:p>
    <w:p w14:paraId="77429092">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i w:val="0"/>
          <w:iCs w:val="0"/>
          <w:color w:val="000000" w:themeColor="text1"/>
          <w:szCs w:val="21"/>
          <w:highlight w:val="none"/>
          <w14:textFill>
            <w14:solidFill>
              <w14:schemeClr w14:val="tx1"/>
            </w14:solidFill>
          </w14:textFill>
        </w:rPr>
      </w:pPr>
      <w:r>
        <w:rPr>
          <w:rFonts w:hint="eastAsia" w:ascii="宋体" w:hAnsi="宋体" w:eastAsia="宋体" w:cs="宋体"/>
          <w:i w:val="0"/>
          <w:iCs w:val="0"/>
          <w:color w:val="000000" w:themeColor="text1"/>
          <w:szCs w:val="21"/>
          <w:highlight w:val="none"/>
          <w14:textFill>
            <w14:solidFill>
              <w14:schemeClr w14:val="tx1"/>
            </w14:solidFill>
          </w14:textFill>
        </w:rPr>
        <w:t>致：</w:t>
      </w:r>
      <w:r>
        <w:rPr>
          <w:rFonts w:hint="eastAsia" w:ascii="宋体" w:hAnsi="宋体" w:eastAsia="宋体" w:cs="宋体"/>
          <w:i w:val="0"/>
          <w:iCs w:val="0"/>
          <w:color w:val="000000" w:themeColor="text1"/>
          <w:szCs w:val="21"/>
          <w:highlight w:val="none"/>
          <w:u w:val="single"/>
          <w14:textFill>
            <w14:solidFill>
              <w14:schemeClr w14:val="tx1"/>
            </w14:solidFill>
          </w14:textFill>
        </w:rPr>
        <w:t>（采购人名称）</w:t>
      </w:r>
      <w:r>
        <w:rPr>
          <w:rFonts w:hint="eastAsia" w:ascii="宋体" w:hAnsi="宋体" w:eastAsia="宋体" w:cs="宋体"/>
          <w:i w:val="0"/>
          <w:iCs w:val="0"/>
          <w:color w:val="000000" w:themeColor="text1"/>
          <w:szCs w:val="21"/>
          <w:highlight w:val="none"/>
          <w14:textFill>
            <w14:solidFill>
              <w14:schemeClr w14:val="tx1"/>
            </w14:solidFill>
          </w14:textFill>
        </w:rPr>
        <w:t>：</w:t>
      </w:r>
    </w:p>
    <w:p w14:paraId="49EBA74D">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i w:val="0"/>
          <w:iCs w:val="0"/>
          <w:color w:val="000000" w:themeColor="text1"/>
          <w:szCs w:val="21"/>
          <w:highlight w:val="none"/>
          <w14:textFill>
            <w14:solidFill>
              <w14:schemeClr w14:val="tx1"/>
            </w14:solidFill>
          </w14:textFill>
        </w:rPr>
      </w:pPr>
      <w:r>
        <w:rPr>
          <w:rFonts w:hint="eastAsia" w:ascii="宋体" w:hAnsi="宋体" w:eastAsia="宋体" w:cs="宋体"/>
          <w:i w:val="0"/>
          <w:iCs w:val="0"/>
          <w:color w:val="000000" w:themeColor="text1"/>
          <w:szCs w:val="21"/>
          <w:highlight w:val="none"/>
          <w14:textFill>
            <w14:solidFill>
              <w14:schemeClr w14:val="tx1"/>
            </w14:solidFill>
          </w14:textFill>
        </w:rPr>
        <w:t>我</w:t>
      </w:r>
      <w:r>
        <w:rPr>
          <w:rFonts w:hint="eastAsia" w:ascii="宋体" w:hAnsi="宋体" w:eastAsia="宋体" w:cs="宋体"/>
          <w:i w:val="0"/>
          <w:iCs w:val="0"/>
          <w:color w:val="000000" w:themeColor="text1"/>
          <w:szCs w:val="21"/>
          <w:highlight w:val="none"/>
          <w:u w:val="single"/>
          <w14:textFill>
            <w14:solidFill>
              <w14:schemeClr w14:val="tx1"/>
            </w14:solidFill>
          </w14:textFill>
        </w:rPr>
        <w:t xml:space="preserve">  （姓名）  </w:t>
      </w:r>
      <w:r>
        <w:rPr>
          <w:rFonts w:hint="eastAsia" w:ascii="宋体" w:hAnsi="宋体" w:eastAsia="宋体" w:cs="宋体"/>
          <w:i w:val="0"/>
          <w:iCs w:val="0"/>
          <w:color w:val="000000" w:themeColor="text1"/>
          <w:szCs w:val="21"/>
          <w:highlight w:val="none"/>
          <w14:textFill>
            <w14:solidFill>
              <w14:schemeClr w14:val="tx1"/>
            </w14:solidFill>
          </w14:textFill>
        </w:rPr>
        <w:t>系</w:t>
      </w:r>
      <w:r>
        <w:rPr>
          <w:rFonts w:hint="eastAsia" w:ascii="宋体" w:hAnsi="宋体" w:eastAsia="宋体" w:cs="宋体"/>
          <w:i w:val="0"/>
          <w:iCs w:val="0"/>
          <w:color w:val="000000" w:themeColor="text1"/>
          <w:szCs w:val="21"/>
          <w:highlight w:val="none"/>
          <w:u w:val="single"/>
          <w14:textFill>
            <w14:solidFill>
              <w14:schemeClr w14:val="tx1"/>
            </w14:solidFill>
          </w14:textFill>
        </w:rPr>
        <w:t xml:space="preserve">  （供应商名称）  </w:t>
      </w:r>
      <w:r>
        <w:rPr>
          <w:rFonts w:hint="eastAsia" w:ascii="宋体" w:hAnsi="宋体" w:eastAsia="宋体" w:cs="宋体"/>
          <w:i w:val="0"/>
          <w:iCs w:val="0"/>
          <w:color w:val="000000" w:themeColor="text1"/>
          <w:szCs w:val="21"/>
          <w:highlight w:val="none"/>
          <w14:textFill>
            <w14:solidFill>
              <w14:schemeClr w14:val="tx1"/>
            </w14:solidFill>
          </w14:textFill>
        </w:rPr>
        <w:t>的（</w:t>
      </w:r>
      <w:r>
        <w:rPr>
          <w:rFonts w:hint="eastAsia" w:ascii="宋体" w:hAnsi="宋体" w:eastAsia="宋体" w:cs="宋体"/>
          <w:i w:val="0"/>
          <w:iCs w:val="0"/>
          <w:color w:val="000000" w:themeColor="text1"/>
          <w:szCs w:val="21"/>
          <w:highlight w:val="none"/>
          <w:u w:val="single"/>
          <w14:textFill>
            <w14:solidFill>
              <w14:schemeClr w14:val="tx1"/>
            </w14:solidFill>
          </w14:textFill>
        </w:rPr>
        <w:t>□法定代表人/□负责人/</w:t>
      </w:r>
      <w:r>
        <w:rPr>
          <w:rFonts w:hint="eastAsia" w:ascii="宋体" w:hAnsi="宋体" w:eastAsia="宋体" w:cs="宋体"/>
          <w:i w:val="0"/>
          <w:iCs w:val="0"/>
          <w:color w:val="000000" w:themeColor="text1"/>
          <w:szCs w:val="21"/>
          <w:highlight w:val="none"/>
          <w:u w:val="single"/>
          <w:lang w:eastAsia="zh-CN"/>
          <w14:textFill>
            <w14:solidFill>
              <w14:schemeClr w14:val="tx1"/>
            </w14:solidFill>
          </w14:textFill>
        </w:rPr>
        <w:t>□</w:t>
      </w:r>
      <w:r>
        <w:rPr>
          <w:rFonts w:hint="eastAsia" w:ascii="宋体" w:hAnsi="宋体" w:eastAsia="宋体" w:cs="宋体"/>
          <w:i w:val="0"/>
          <w:iCs w:val="0"/>
          <w:color w:val="000000" w:themeColor="text1"/>
          <w:szCs w:val="21"/>
          <w:highlight w:val="none"/>
          <w:u w:val="single"/>
          <w14:textFill>
            <w14:solidFill>
              <w14:schemeClr w14:val="tx1"/>
            </w14:solidFill>
          </w14:textFill>
        </w:rPr>
        <w:t>自然人本人</w:t>
      </w:r>
      <w:r>
        <w:rPr>
          <w:rFonts w:hint="eastAsia" w:ascii="宋体" w:hAnsi="宋体" w:eastAsia="宋体" w:cs="宋体"/>
          <w:i w:val="0"/>
          <w:iCs w:val="0"/>
          <w:color w:val="000000" w:themeColor="text1"/>
          <w:szCs w:val="21"/>
          <w:highlight w:val="none"/>
          <w14:textFill>
            <w14:solidFill>
              <w14:schemeClr w14:val="tx1"/>
            </w14:solidFill>
          </w14:textFill>
        </w:rPr>
        <w:t>），现授权</w:t>
      </w:r>
      <w:r>
        <w:rPr>
          <w:rFonts w:hint="eastAsia" w:ascii="宋体" w:hAnsi="宋体" w:eastAsia="宋体" w:cs="宋体"/>
          <w:i w:val="0"/>
          <w:iCs w:val="0"/>
          <w:color w:val="000000" w:themeColor="text1"/>
          <w:szCs w:val="21"/>
          <w:highlight w:val="none"/>
          <w:u w:val="single"/>
          <w14:textFill>
            <w14:solidFill>
              <w14:schemeClr w14:val="tx1"/>
            </w14:solidFill>
          </w14:textFill>
        </w:rPr>
        <w:t xml:space="preserve"> （姓名） </w:t>
      </w:r>
      <w:r>
        <w:rPr>
          <w:rFonts w:hint="eastAsia" w:ascii="宋体" w:hAnsi="宋体" w:eastAsia="宋体" w:cs="宋体"/>
          <w:i w:val="0"/>
          <w:iCs w:val="0"/>
          <w:color w:val="000000" w:themeColor="text1"/>
          <w:szCs w:val="21"/>
          <w:highlight w:val="none"/>
          <w14:textFill>
            <w14:solidFill>
              <w14:schemeClr w14:val="tx1"/>
            </w14:solidFill>
          </w14:textFill>
        </w:rPr>
        <w:t>以我方的名义参加</w:t>
      </w:r>
      <w:r>
        <w:rPr>
          <w:rFonts w:hint="eastAsia" w:ascii="宋体" w:hAnsi="宋体" w:eastAsia="宋体" w:cs="宋体"/>
          <w:i w:val="0"/>
          <w:iCs w:val="0"/>
          <w:color w:val="000000" w:themeColor="text1"/>
          <w:szCs w:val="21"/>
          <w:highlight w:val="none"/>
          <w:u w:val="single"/>
          <w14:textFill>
            <w14:solidFill>
              <w14:schemeClr w14:val="tx1"/>
            </w14:solidFill>
          </w14:textFill>
        </w:rPr>
        <w:t xml:space="preserve">      （项目名称）        </w:t>
      </w:r>
      <w:r>
        <w:rPr>
          <w:rFonts w:hint="eastAsia" w:ascii="宋体" w:hAnsi="宋体" w:eastAsia="宋体" w:cs="宋体"/>
          <w:i w:val="0"/>
          <w:iCs w:val="0"/>
          <w:color w:val="000000" w:themeColor="text1"/>
          <w:szCs w:val="21"/>
          <w:highlight w:val="none"/>
          <w14:textFill>
            <w14:solidFill>
              <w14:schemeClr w14:val="tx1"/>
            </w14:solidFill>
          </w14:textFill>
        </w:rPr>
        <w:t>项目的竞标活动，并代表我方全权办理针对上述项目的所有采购程序和环节的具体事务和签署相关文件。</w:t>
      </w:r>
    </w:p>
    <w:p w14:paraId="32581E56">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i w:val="0"/>
          <w:iCs w:val="0"/>
          <w:color w:val="000000" w:themeColor="text1"/>
          <w:szCs w:val="21"/>
          <w:highlight w:val="none"/>
          <w14:textFill>
            <w14:solidFill>
              <w14:schemeClr w14:val="tx1"/>
            </w14:solidFill>
          </w14:textFill>
        </w:rPr>
      </w:pPr>
      <w:r>
        <w:rPr>
          <w:rFonts w:hint="eastAsia" w:ascii="宋体" w:hAnsi="宋体" w:eastAsia="宋体" w:cs="宋体"/>
          <w:i w:val="0"/>
          <w:iCs w:val="0"/>
          <w:color w:val="000000" w:themeColor="text1"/>
          <w:szCs w:val="21"/>
          <w:highlight w:val="none"/>
          <w14:textFill>
            <w14:solidFill>
              <w14:schemeClr w14:val="tx1"/>
            </w14:solidFill>
          </w14:textFill>
        </w:rPr>
        <w:t xml:space="preserve">    我方对委托代理人的签字事项负全部责任。</w:t>
      </w:r>
    </w:p>
    <w:p w14:paraId="1E7526FE">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i w:val="0"/>
          <w:iCs w:val="0"/>
          <w:color w:val="000000" w:themeColor="text1"/>
          <w:szCs w:val="21"/>
          <w:highlight w:val="none"/>
          <w14:textFill>
            <w14:solidFill>
              <w14:schemeClr w14:val="tx1"/>
            </w14:solidFill>
          </w14:textFill>
        </w:rPr>
      </w:pPr>
      <w:r>
        <w:rPr>
          <w:rFonts w:hint="eastAsia" w:ascii="宋体" w:hAnsi="宋体" w:eastAsia="宋体" w:cs="宋体"/>
          <w:i w:val="0"/>
          <w:iCs w:val="0"/>
          <w:color w:val="000000" w:themeColor="text1"/>
          <w:szCs w:val="21"/>
          <w:highlight w:val="none"/>
          <w14:textFill>
            <w14:solidFill>
              <w14:schemeClr w14:val="tx1"/>
            </w14:solidFill>
          </w14:textFill>
        </w:rPr>
        <w:t>本授权书自签署之日起生效，在撤销授权的书面通知以前，本授权书一直有效。委托代理人在授权书有效期内签署的所有文件不因授权的撤销而失效。</w:t>
      </w:r>
    </w:p>
    <w:p w14:paraId="15521DF1">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i w:val="0"/>
          <w:iCs w:val="0"/>
          <w:color w:val="000000" w:themeColor="text1"/>
          <w:szCs w:val="21"/>
          <w:highlight w:val="none"/>
          <w14:textFill>
            <w14:solidFill>
              <w14:schemeClr w14:val="tx1"/>
            </w14:solidFill>
          </w14:textFill>
        </w:rPr>
      </w:pPr>
      <w:r>
        <w:rPr>
          <w:rFonts w:hint="eastAsia" w:ascii="宋体" w:hAnsi="宋体" w:eastAsia="宋体" w:cs="宋体"/>
          <w:i w:val="0"/>
          <w:iCs w:val="0"/>
          <w:color w:val="000000" w:themeColor="text1"/>
          <w:szCs w:val="21"/>
          <w:highlight w:val="none"/>
          <w14:textFill>
            <w14:solidFill>
              <w14:schemeClr w14:val="tx1"/>
            </w14:solidFill>
          </w14:textFill>
        </w:rPr>
        <w:t>委托代理人无转委托权，特此委托。</w:t>
      </w:r>
    </w:p>
    <w:p w14:paraId="559412F4">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i w:val="0"/>
          <w:iCs w:val="0"/>
          <w:color w:val="000000" w:themeColor="text1"/>
          <w:szCs w:val="21"/>
          <w:highlight w:val="none"/>
          <w14:textFill>
            <w14:solidFill>
              <w14:schemeClr w14:val="tx1"/>
            </w14:solidFill>
          </w14:textFill>
        </w:rPr>
      </w:pPr>
      <w:r>
        <w:rPr>
          <w:rFonts w:hint="eastAsia" w:ascii="宋体" w:hAnsi="宋体" w:eastAsia="宋体" w:cs="宋体"/>
          <w:i w:val="0"/>
          <w:iCs w:val="0"/>
          <w:color w:val="000000" w:themeColor="text1"/>
          <w:szCs w:val="21"/>
          <w:highlight w:val="none"/>
          <w14:textFill>
            <w14:solidFill>
              <w14:schemeClr w14:val="tx1"/>
            </w14:solidFill>
          </w14:textFill>
        </w:rPr>
        <w:t>附：委托代理人有效身份证正反面复印件</w:t>
      </w:r>
    </w:p>
    <w:p w14:paraId="3BC40AF0">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i w:val="0"/>
          <w:iCs w:val="0"/>
          <w:color w:val="000000" w:themeColor="text1"/>
          <w:szCs w:val="21"/>
          <w:highlight w:val="none"/>
          <w14:textFill>
            <w14:solidFill>
              <w14:schemeClr w14:val="tx1"/>
            </w14:solidFill>
          </w14:textFill>
        </w:rPr>
      </w:pPr>
    </w:p>
    <w:p w14:paraId="223068B3">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i w:val="0"/>
          <w:iCs w:val="0"/>
          <w:color w:val="000000" w:themeColor="text1"/>
          <w:szCs w:val="21"/>
          <w:highlight w:val="none"/>
          <w14:textFill>
            <w14:solidFill>
              <w14:schemeClr w14:val="tx1"/>
            </w14:solidFill>
          </w14:textFill>
        </w:rPr>
      </w:pPr>
      <w:r>
        <w:rPr>
          <w:rFonts w:hint="eastAsia" w:ascii="宋体" w:hAnsi="宋体" w:eastAsia="宋体" w:cs="宋体"/>
          <w:i w:val="0"/>
          <w:iCs w:val="0"/>
          <w:color w:val="000000" w:themeColor="text1"/>
          <w:szCs w:val="21"/>
          <w:highlight w:val="none"/>
          <w14:textFill>
            <w14:solidFill>
              <w14:schemeClr w14:val="tx1"/>
            </w14:solidFill>
          </w14:textFill>
        </w:rPr>
        <w:t xml:space="preserve">委托代理人（签字）：         法定代表人（签字）：                    </w:t>
      </w:r>
    </w:p>
    <w:p w14:paraId="3EAF2AB8">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i w:val="0"/>
          <w:iCs w:val="0"/>
          <w:color w:val="000000" w:themeColor="text1"/>
          <w:szCs w:val="21"/>
          <w:highlight w:val="none"/>
          <w14:textFill>
            <w14:solidFill>
              <w14:schemeClr w14:val="tx1"/>
            </w14:solidFill>
          </w14:textFill>
        </w:rPr>
      </w:pPr>
      <w:r>
        <w:rPr>
          <w:rFonts w:hint="eastAsia" w:ascii="宋体" w:hAnsi="宋体" w:eastAsia="宋体" w:cs="宋体"/>
          <w:i w:val="0"/>
          <w:iCs w:val="0"/>
          <w:color w:val="000000" w:themeColor="text1"/>
          <w:szCs w:val="21"/>
          <w:highlight w:val="none"/>
          <w14:textFill>
            <w14:solidFill>
              <w14:schemeClr w14:val="tx1"/>
            </w14:solidFill>
          </w14:textFill>
        </w:rPr>
        <w:t xml:space="preserve">委托代理人身份证号码：                              </w:t>
      </w:r>
    </w:p>
    <w:p w14:paraId="13A8709F">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i w:val="0"/>
          <w:iCs w:val="0"/>
          <w:color w:val="000000" w:themeColor="text1"/>
          <w:szCs w:val="21"/>
          <w:highlight w:val="none"/>
          <w14:textFill>
            <w14:solidFill>
              <w14:schemeClr w14:val="tx1"/>
            </w14:solidFill>
          </w14:textFill>
        </w:rPr>
      </w:pPr>
      <w:r>
        <w:rPr>
          <w:rFonts w:hint="eastAsia" w:ascii="宋体" w:hAnsi="宋体" w:eastAsia="宋体" w:cs="宋体"/>
          <w:i w:val="0"/>
          <w:iCs w:val="0"/>
          <w:color w:val="000000" w:themeColor="text1"/>
          <w:szCs w:val="21"/>
          <w:highlight w:val="none"/>
          <w14:textFill>
            <w14:solidFill>
              <w14:schemeClr w14:val="tx1"/>
            </w14:solidFill>
          </w14:textFill>
        </w:rPr>
        <w:t xml:space="preserve">                                </w:t>
      </w:r>
    </w:p>
    <w:p w14:paraId="2AA2F057">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i w:val="0"/>
          <w:iCs w:val="0"/>
          <w:color w:val="000000" w:themeColor="text1"/>
          <w:szCs w:val="21"/>
          <w:highlight w:val="none"/>
          <w14:textFill>
            <w14:solidFill>
              <w14:schemeClr w14:val="tx1"/>
            </w14:solidFill>
          </w14:textFill>
        </w:rPr>
      </w:pPr>
      <w:r>
        <w:rPr>
          <w:rFonts w:hint="eastAsia" w:ascii="宋体" w:hAnsi="宋体" w:eastAsia="宋体" w:cs="宋体"/>
          <w:i w:val="0"/>
          <w:iCs w:val="0"/>
          <w:color w:val="000000" w:themeColor="text1"/>
          <w:szCs w:val="21"/>
          <w:highlight w:val="none"/>
          <w14:textFill>
            <w14:solidFill>
              <w14:schemeClr w14:val="tx1"/>
            </w14:solidFill>
          </w14:textFill>
        </w:rPr>
        <w:t xml:space="preserve">                         </w:t>
      </w:r>
      <w:r>
        <w:rPr>
          <w:rFonts w:hint="eastAsia" w:ascii="宋体" w:hAnsi="宋体" w:eastAsia="宋体" w:cs="宋体"/>
          <w:i w:val="0"/>
          <w:iCs w:val="0"/>
          <w:color w:val="000000" w:themeColor="text1"/>
          <w:kern w:val="0"/>
          <w:szCs w:val="21"/>
          <w:highlight w:val="none"/>
          <w14:textFill>
            <w14:solidFill>
              <w14:schemeClr w14:val="tx1"/>
            </w14:solidFill>
          </w14:textFill>
        </w:rPr>
        <w:t>供应商名称（盖公章）：</w:t>
      </w:r>
    </w:p>
    <w:p w14:paraId="7CA82F83">
      <w:pPr>
        <w:keepNext w:val="0"/>
        <w:keepLines w:val="0"/>
        <w:pageBreakBefore w:val="0"/>
        <w:widowControl w:val="0"/>
        <w:kinsoku/>
        <w:wordWrap/>
        <w:overflowPunct/>
        <w:topLinePunct w:val="0"/>
        <w:autoSpaceDE/>
        <w:autoSpaceDN/>
        <w:bidi w:val="0"/>
        <w:adjustRightInd/>
        <w:snapToGrid/>
        <w:spacing w:line="360" w:lineRule="auto"/>
        <w:contextualSpacing/>
        <w:jc w:val="center"/>
        <w:textAlignment w:val="auto"/>
        <w:rPr>
          <w:rFonts w:hint="eastAsia" w:ascii="宋体" w:hAnsi="宋体" w:eastAsia="宋体" w:cs="宋体"/>
          <w:b/>
          <w:i w:val="0"/>
          <w:iCs w:val="0"/>
          <w:color w:val="000000" w:themeColor="text1"/>
          <w:szCs w:val="21"/>
          <w:highlight w:val="none"/>
          <w14:textFill>
            <w14:solidFill>
              <w14:schemeClr w14:val="tx1"/>
            </w14:solidFill>
          </w14:textFill>
        </w:rPr>
      </w:pPr>
      <w:r>
        <w:rPr>
          <w:rFonts w:hint="eastAsia" w:ascii="宋体" w:hAnsi="宋体" w:eastAsia="宋体" w:cs="宋体"/>
          <w:i w:val="0"/>
          <w:iCs w:val="0"/>
          <w:color w:val="000000" w:themeColor="text1"/>
          <w:kern w:val="0"/>
          <w:szCs w:val="21"/>
          <w:highlight w:val="none"/>
          <w:lang w:val="zh-CN"/>
          <w14:textFill>
            <w14:solidFill>
              <w14:schemeClr w14:val="tx1"/>
            </w14:solidFill>
          </w14:textFill>
        </w:rPr>
        <w:t xml:space="preserve">                                                   日期：  年  月   日</w:t>
      </w:r>
    </w:p>
    <w:p w14:paraId="610ACBB9">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i w:val="0"/>
          <w:iCs w:val="0"/>
          <w:color w:val="000000" w:themeColor="text1"/>
          <w:szCs w:val="21"/>
          <w:highlight w:val="none"/>
          <w14:textFill>
            <w14:solidFill>
              <w14:schemeClr w14:val="tx1"/>
            </w14:solidFill>
          </w14:textFill>
        </w:rPr>
      </w:pPr>
    </w:p>
    <w:p w14:paraId="2E28F61E">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i w:val="0"/>
          <w:iCs w:val="0"/>
          <w:color w:val="000000" w:themeColor="text1"/>
          <w:szCs w:val="21"/>
          <w:highlight w:val="none"/>
          <w14:textFill>
            <w14:solidFill>
              <w14:schemeClr w14:val="tx1"/>
            </w14:solidFill>
          </w14:textFill>
        </w:rPr>
      </w:pPr>
      <w:r>
        <w:rPr>
          <w:rFonts w:hint="eastAsia" w:ascii="宋体" w:hAnsi="宋体" w:eastAsia="宋体" w:cs="宋体"/>
          <w:i w:val="0"/>
          <w:iCs w:val="0"/>
          <w:color w:val="000000" w:themeColor="text1"/>
          <w:szCs w:val="21"/>
          <w:highlight w:val="none"/>
          <w14:textFill>
            <w14:solidFill>
              <w14:schemeClr w14:val="tx1"/>
            </w14:solidFill>
          </w14:textFill>
        </w:rPr>
        <w:t>注：</w:t>
      </w:r>
    </w:p>
    <w:p w14:paraId="282E809B">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i w:val="0"/>
          <w:iCs w:val="0"/>
          <w:color w:val="000000" w:themeColor="text1"/>
          <w:szCs w:val="21"/>
          <w:highlight w:val="none"/>
          <w14:textFill>
            <w14:solidFill>
              <w14:schemeClr w14:val="tx1"/>
            </w14:solidFill>
          </w14:textFill>
        </w:rPr>
      </w:pPr>
      <w:r>
        <w:rPr>
          <w:rFonts w:hint="eastAsia" w:ascii="宋体" w:hAnsi="宋体" w:eastAsia="宋体" w:cs="宋体"/>
          <w:i w:val="0"/>
          <w:iCs w:val="0"/>
          <w:color w:val="000000" w:themeColor="text1"/>
          <w:szCs w:val="21"/>
          <w:highlight w:val="none"/>
          <w14:textFill>
            <w14:solidFill>
              <w14:schemeClr w14:val="tx1"/>
            </w14:solidFill>
          </w14:textFill>
        </w:rPr>
        <w:t>1.法定代表人和委托代理人必须在授权委托书上签字，</w:t>
      </w:r>
      <w:r>
        <w:rPr>
          <w:rFonts w:hint="eastAsia" w:ascii="宋体" w:hAnsi="宋体" w:eastAsia="宋体" w:cs="宋体"/>
          <w:b/>
          <w:i w:val="0"/>
          <w:iCs w:val="0"/>
          <w:color w:val="000000" w:themeColor="text1"/>
          <w:szCs w:val="21"/>
          <w:highlight w:val="none"/>
          <w14:textFill>
            <w14:solidFill>
              <w14:schemeClr w14:val="tx1"/>
            </w14:solidFill>
          </w14:textFill>
        </w:rPr>
        <w:t>否则其响应文件按无效响应处理。</w:t>
      </w:r>
    </w:p>
    <w:p w14:paraId="4F0321E7">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i w:val="0"/>
          <w:iCs w:val="0"/>
          <w:color w:val="000000" w:themeColor="text1"/>
          <w:szCs w:val="21"/>
          <w:highlight w:val="none"/>
          <w14:textFill>
            <w14:solidFill>
              <w14:schemeClr w14:val="tx1"/>
            </w14:solidFill>
          </w14:textFill>
        </w:rPr>
      </w:pPr>
      <w:r>
        <w:rPr>
          <w:rFonts w:hint="eastAsia" w:ascii="宋体" w:hAnsi="宋体" w:eastAsia="宋体" w:cs="宋体"/>
          <w:i w:val="0"/>
          <w:iCs w:val="0"/>
          <w:color w:val="000000" w:themeColor="text1"/>
          <w:szCs w:val="21"/>
          <w:highlight w:val="none"/>
          <w14:textFill>
            <w14:solidFill>
              <w14:schemeClr w14:val="tx1"/>
            </w14:solidFill>
          </w14:textFill>
        </w:rPr>
        <w:t>2.供应商为其他组织或者自然人时，本磋商文件规定的法定代表人指负责人或者自然人。本磋商文件所称负责人是指参加竞标的其他组织营业执照上的负责人，本磋商文件所称自然人指参与竞标的自然人本人。</w:t>
      </w:r>
    </w:p>
    <w:p w14:paraId="4E0FB4E6">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color w:val="000000" w:themeColor="text1"/>
          <w:szCs w:val="21"/>
          <w:highlight w:val="none"/>
          <w14:textFill>
            <w14:solidFill>
              <w14:schemeClr w14:val="tx1"/>
            </w14:solidFill>
          </w14:textFill>
        </w:rPr>
      </w:pPr>
      <w:r>
        <w:rPr>
          <w:rFonts w:hint="eastAsia" w:ascii="宋体" w:hAnsi="宋体" w:eastAsia="宋体" w:cs="宋体"/>
          <w:i w:val="0"/>
          <w:iCs w:val="0"/>
          <w:color w:val="000000" w:themeColor="text1"/>
          <w:szCs w:val="21"/>
          <w:highlight w:val="none"/>
          <w14:textFill>
            <w14:solidFill>
              <w14:schemeClr w14:val="tx1"/>
            </w14:solidFill>
          </w14:textFill>
        </w:rPr>
        <w:t>3.法人、其他组织竞标时</w:t>
      </w:r>
      <w:r>
        <w:rPr>
          <w:rFonts w:hint="eastAsia" w:ascii="宋体" w:hAnsi="宋体" w:eastAsia="宋体" w:cs="宋体"/>
          <w:i w:val="0"/>
          <w:iCs w:val="0"/>
          <w:color w:val="000000" w:themeColor="text1"/>
          <w:szCs w:val="21"/>
          <w:highlight w:val="none"/>
          <w:lang w:eastAsia="zh-CN"/>
          <w14:textFill>
            <w14:solidFill>
              <w14:schemeClr w14:val="tx1"/>
            </w14:solidFill>
          </w14:textFill>
        </w:rPr>
        <w:t>“</w:t>
      </w:r>
      <w:r>
        <w:rPr>
          <w:rFonts w:hint="eastAsia" w:ascii="宋体" w:hAnsi="宋体" w:eastAsia="宋体" w:cs="宋体"/>
          <w:i w:val="0"/>
          <w:iCs w:val="0"/>
          <w:color w:val="000000" w:themeColor="text1"/>
          <w:szCs w:val="21"/>
          <w:highlight w:val="none"/>
          <w14:textFill>
            <w14:solidFill>
              <w14:schemeClr w14:val="tx1"/>
            </w14:solidFill>
          </w14:textFill>
        </w:rPr>
        <w:t>我方</w:t>
      </w:r>
      <w:r>
        <w:rPr>
          <w:rFonts w:hint="eastAsia" w:ascii="宋体" w:hAnsi="宋体" w:eastAsia="宋体" w:cs="宋体"/>
          <w:i w:val="0"/>
          <w:iCs w:val="0"/>
          <w:color w:val="000000" w:themeColor="text1"/>
          <w:szCs w:val="21"/>
          <w:highlight w:val="none"/>
          <w:lang w:eastAsia="zh-CN"/>
          <w14:textFill>
            <w14:solidFill>
              <w14:schemeClr w14:val="tx1"/>
            </w14:solidFill>
          </w14:textFill>
        </w:rPr>
        <w:t>”</w:t>
      </w:r>
      <w:r>
        <w:rPr>
          <w:rFonts w:hint="eastAsia" w:ascii="宋体" w:hAnsi="宋体" w:eastAsia="宋体" w:cs="宋体"/>
          <w:i w:val="0"/>
          <w:iCs w:val="0"/>
          <w:color w:val="000000" w:themeColor="text1"/>
          <w:szCs w:val="21"/>
          <w:highlight w:val="none"/>
          <w14:textFill>
            <w14:solidFill>
              <w14:schemeClr w14:val="tx1"/>
            </w14:solidFill>
          </w14:textFill>
        </w:rPr>
        <w:t>是指</w:t>
      </w:r>
      <w:r>
        <w:rPr>
          <w:rFonts w:hint="eastAsia" w:ascii="宋体" w:hAnsi="宋体" w:eastAsia="宋体" w:cs="宋体"/>
          <w:i w:val="0"/>
          <w:iCs w:val="0"/>
          <w:color w:val="000000" w:themeColor="text1"/>
          <w:szCs w:val="21"/>
          <w:highlight w:val="none"/>
          <w:lang w:eastAsia="zh-CN"/>
          <w14:textFill>
            <w14:solidFill>
              <w14:schemeClr w14:val="tx1"/>
            </w14:solidFill>
          </w14:textFill>
        </w:rPr>
        <w:t>“</w:t>
      </w:r>
      <w:r>
        <w:rPr>
          <w:rFonts w:hint="eastAsia" w:ascii="宋体" w:hAnsi="宋体" w:eastAsia="宋体" w:cs="宋体"/>
          <w:i w:val="0"/>
          <w:iCs w:val="0"/>
          <w:color w:val="000000" w:themeColor="text1"/>
          <w:szCs w:val="21"/>
          <w:highlight w:val="none"/>
          <w14:textFill>
            <w14:solidFill>
              <w14:schemeClr w14:val="tx1"/>
            </w14:solidFill>
          </w14:textFill>
        </w:rPr>
        <w:t>我单位</w:t>
      </w:r>
      <w:r>
        <w:rPr>
          <w:rFonts w:hint="eastAsia" w:ascii="宋体" w:hAnsi="宋体" w:eastAsia="宋体" w:cs="宋体"/>
          <w:i w:val="0"/>
          <w:iCs w:val="0"/>
          <w:color w:val="000000" w:themeColor="text1"/>
          <w:szCs w:val="21"/>
          <w:highlight w:val="none"/>
          <w:lang w:eastAsia="zh-CN"/>
          <w14:textFill>
            <w14:solidFill>
              <w14:schemeClr w14:val="tx1"/>
            </w14:solidFill>
          </w14:textFill>
        </w:rPr>
        <w:t>”</w:t>
      </w:r>
      <w:r>
        <w:rPr>
          <w:rFonts w:hint="eastAsia" w:ascii="宋体" w:hAnsi="宋体" w:eastAsia="宋体" w:cs="宋体"/>
          <w:i w:val="0"/>
          <w:iCs w:val="0"/>
          <w:color w:val="000000" w:themeColor="text1"/>
          <w:szCs w:val="21"/>
          <w:highlight w:val="none"/>
          <w14:textFill>
            <w14:solidFill>
              <w14:schemeClr w14:val="tx1"/>
            </w14:solidFill>
          </w14:textFill>
        </w:rPr>
        <w:t>，自然人竞标时</w:t>
      </w:r>
      <w:r>
        <w:rPr>
          <w:rFonts w:hint="eastAsia" w:ascii="宋体" w:hAnsi="宋体" w:eastAsia="宋体" w:cs="宋体"/>
          <w:i w:val="0"/>
          <w:iCs w:val="0"/>
          <w:color w:val="000000" w:themeColor="text1"/>
          <w:szCs w:val="21"/>
          <w:highlight w:val="none"/>
          <w:lang w:eastAsia="zh-CN"/>
          <w14:textFill>
            <w14:solidFill>
              <w14:schemeClr w14:val="tx1"/>
            </w14:solidFill>
          </w14:textFill>
        </w:rPr>
        <w:t>“</w:t>
      </w:r>
      <w:r>
        <w:rPr>
          <w:rFonts w:hint="eastAsia" w:ascii="宋体" w:hAnsi="宋体" w:eastAsia="宋体" w:cs="宋体"/>
          <w:i w:val="0"/>
          <w:iCs w:val="0"/>
          <w:color w:val="000000" w:themeColor="text1"/>
          <w:szCs w:val="21"/>
          <w:highlight w:val="none"/>
          <w14:textFill>
            <w14:solidFill>
              <w14:schemeClr w14:val="tx1"/>
            </w14:solidFill>
          </w14:textFill>
        </w:rPr>
        <w:t>我方</w:t>
      </w:r>
      <w:r>
        <w:rPr>
          <w:rFonts w:hint="eastAsia" w:ascii="宋体" w:hAnsi="宋体" w:eastAsia="宋体" w:cs="宋体"/>
          <w:i w:val="0"/>
          <w:iCs w:val="0"/>
          <w:color w:val="000000" w:themeColor="text1"/>
          <w:szCs w:val="21"/>
          <w:highlight w:val="none"/>
          <w:lang w:eastAsia="zh-CN"/>
          <w14:textFill>
            <w14:solidFill>
              <w14:schemeClr w14:val="tx1"/>
            </w14:solidFill>
          </w14:textFill>
        </w:rPr>
        <w:t>”</w:t>
      </w:r>
      <w:r>
        <w:rPr>
          <w:rFonts w:hint="eastAsia" w:ascii="宋体" w:hAnsi="宋体" w:eastAsia="宋体" w:cs="宋体"/>
          <w:i w:val="0"/>
          <w:iCs w:val="0"/>
          <w:color w:val="000000" w:themeColor="text1"/>
          <w:szCs w:val="21"/>
          <w:highlight w:val="none"/>
          <w14:textFill>
            <w14:solidFill>
              <w14:schemeClr w14:val="tx1"/>
            </w14:solidFill>
          </w14:textFill>
        </w:rPr>
        <w:t>是指</w:t>
      </w:r>
      <w:r>
        <w:rPr>
          <w:rFonts w:hint="eastAsia" w:ascii="宋体" w:hAnsi="宋体" w:eastAsia="宋体" w:cs="宋体"/>
          <w:i w:val="0"/>
          <w:iCs w:val="0"/>
          <w:color w:val="000000" w:themeColor="text1"/>
          <w:szCs w:val="21"/>
          <w:highlight w:val="none"/>
          <w:lang w:eastAsia="zh-CN"/>
          <w14:textFill>
            <w14:solidFill>
              <w14:schemeClr w14:val="tx1"/>
            </w14:solidFill>
          </w14:textFill>
        </w:rPr>
        <w:t>“</w:t>
      </w:r>
      <w:r>
        <w:rPr>
          <w:rFonts w:hint="eastAsia" w:ascii="宋体" w:hAnsi="宋体" w:eastAsia="宋体" w:cs="宋体"/>
          <w:i w:val="0"/>
          <w:iCs w:val="0"/>
          <w:color w:val="000000" w:themeColor="text1"/>
          <w:szCs w:val="21"/>
          <w:highlight w:val="none"/>
          <w14:textFill>
            <w14:solidFill>
              <w14:schemeClr w14:val="tx1"/>
            </w14:solidFill>
          </w14:textFill>
        </w:rPr>
        <w:t>本人</w:t>
      </w:r>
      <w:r>
        <w:rPr>
          <w:rFonts w:hint="eastAsia" w:ascii="宋体" w:hAnsi="宋体" w:eastAsia="宋体" w:cs="宋体"/>
          <w:i w:val="0"/>
          <w:iCs w:val="0"/>
          <w:color w:val="000000" w:themeColor="text1"/>
          <w:szCs w:val="21"/>
          <w:highlight w:val="none"/>
          <w:lang w:eastAsia="zh-CN"/>
          <w14:textFill>
            <w14:solidFill>
              <w14:schemeClr w14:val="tx1"/>
            </w14:solidFill>
          </w14:textFill>
        </w:rPr>
        <w:t>”</w:t>
      </w:r>
      <w:r>
        <w:rPr>
          <w:color w:val="000000" w:themeColor="text1"/>
          <w:szCs w:val="21"/>
          <w:highlight w:val="none"/>
          <w14:textFill>
            <w14:solidFill>
              <w14:schemeClr w14:val="tx1"/>
            </w14:solidFill>
          </w14:textFill>
        </w:rPr>
        <w:t>。</w:t>
      </w:r>
    </w:p>
    <w:p w14:paraId="135F5BBC">
      <w:pPr>
        <w:snapToGrid w:val="0"/>
        <w:spacing w:before="120" w:beforeLines="50" w:after="50" w:line="360" w:lineRule="auto"/>
        <w:jc w:val="left"/>
        <w:outlineLvl w:val="2"/>
        <w:rPr>
          <w:rFonts w:eastAsia="仿宋"/>
          <w:b/>
          <w:color w:val="000000" w:themeColor="text1"/>
          <w:sz w:val="30"/>
          <w:szCs w:val="30"/>
          <w:highlight w:val="none"/>
          <w14:textFill>
            <w14:solidFill>
              <w14:schemeClr w14:val="tx1"/>
            </w14:solidFill>
          </w14:textFill>
        </w:rPr>
      </w:pPr>
      <w:r>
        <w:rPr>
          <w:rFonts w:ascii="仿宋_GB2312" w:hAnsi="仿宋_GB2312" w:eastAsia="仿宋_GB2312" w:cs="仿宋_GB2312"/>
          <w:color w:val="000000" w:themeColor="text1"/>
          <w:szCs w:val="21"/>
          <w:highlight w:val="none"/>
          <w14:textFill>
            <w14:solidFill>
              <w14:schemeClr w14:val="tx1"/>
            </w14:solidFill>
          </w14:textFill>
        </w:rPr>
        <w:br w:type="page"/>
      </w:r>
      <w:bookmarkStart w:id="217" w:name="_Toc8419"/>
      <w:r>
        <w:rPr>
          <w:b/>
          <w:color w:val="000000" w:themeColor="text1"/>
          <w:sz w:val="28"/>
          <w:szCs w:val="28"/>
          <w:highlight w:val="none"/>
          <w14:textFill>
            <w14:solidFill>
              <w14:schemeClr w14:val="tx1"/>
            </w14:solidFill>
          </w14:textFill>
        </w:rPr>
        <w:t>6.商务条款偏离表的格式：</w:t>
      </w:r>
      <w:bookmarkEnd w:id="217"/>
    </w:p>
    <w:p w14:paraId="7DD9021D">
      <w:pPr>
        <w:pStyle w:val="22"/>
        <w:rPr>
          <w:color w:val="000000" w:themeColor="text1"/>
          <w:highlight w:val="none"/>
          <w:lang w:eastAsia="zh-CN"/>
          <w14:textFill>
            <w14:solidFill>
              <w14:schemeClr w14:val="tx1"/>
            </w14:solidFill>
          </w14:textFill>
        </w:rPr>
      </w:pPr>
    </w:p>
    <w:p w14:paraId="5A961E8C">
      <w:pPr>
        <w:spacing w:line="500" w:lineRule="exact"/>
        <w:jc w:val="center"/>
        <w:rPr>
          <w:rFonts w:ascii="宋体" w:hAnsi="宋体" w:cs="宋体"/>
          <w:b/>
          <w:bCs/>
          <w:color w:val="000000" w:themeColor="text1"/>
          <w:sz w:val="32"/>
          <w:szCs w:val="32"/>
          <w:highlight w:val="none"/>
          <w14:textFill>
            <w14:solidFill>
              <w14:schemeClr w14:val="tx1"/>
            </w14:solidFill>
          </w14:textFill>
        </w:rPr>
      </w:pPr>
      <w:r>
        <w:rPr>
          <w:rFonts w:ascii="宋体" w:hAnsi="宋体" w:cs="宋体"/>
          <w:b/>
          <w:bCs/>
          <w:color w:val="000000" w:themeColor="text1"/>
          <w:sz w:val="32"/>
          <w:szCs w:val="32"/>
          <w:highlight w:val="none"/>
          <w14:textFill>
            <w14:solidFill>
              <w14:schemeClr w14:val="tx1"/>
            </w14:solidFill>
          </w14:textFill>
        </w:rPr>
        <w:t>商务条款偏离表</w:t>
      </w:r>
    </w:p>
    <w:p w14:paraId="415A5EF2">
      <w:pPr>
        <w:spacing w:line="520" w:lineRule="exact"/>
        <w:rPr>
          <w:color w:val="000000" w:themeColor="text1"/>
          <w:sz w:val="32"/>
          <w:szCs w:val="32"/>
          <w:highlight w:val="none"/>
          <w14:textFill>
            <w14:solidFill>
              <w14:schemeClr w14:val="tx1"/>
            </w14:solidFill>
          </w14:textFill>
        </w:rPr>
      </w:pPr>
    </w:p>
    <w:p w14:paraId="07D7175E">
      <w:pPr>
        <w:spacing w:line="360" w:lineRule="auto"/>
        <w:contextualSpacing/>
        <w:rPr>
          <w:color w:val="000000" w:themeColor="text1"/>
          <w:szCs w:val="21"/>
          <w:highlight w:val="none"/>
          <w:u w:val="single"/>
          <w14:textFill>
            <w14:solidFill>
              <w14:schemeClr w14:val="tx1"/>
            </w14:solidFill>
          </w14:textFill>
        </w:rPr>
      </w:pPr>
      <w:r>
        <w:rPr>
          <w:color w:val="000000" w:themeColor="text1"/>
          <w:szCs w:val="21"/>
          <w:highlight w:val="none"/>
          <w14:textFill>
            <w14:solidFill>
              <w14:schemeClr w14:val="tx1"/>
            </w14:solidFill>
          </w14:textFill>
        </w:rPr>
        <w:t>项目名称：</w:t>
      </w:r>
      <w:r>
        <w:rPr>
          <w:color w:val="000000" w:themeColor="text1"/>
          <w:szCs w:val="21"/>
          <w:highlight w:val="none"/>
          <w:u w:val="single"/>
          <w14:textFill>
            <w14:solidFill>
              <w14:schemeClr w14:val="tx1"/>
            </w14:solidFill>
          </w14:textFill>
        </w:rPr>
        <w:t xml:space="preserve">                 </w:t>
      </w:r>
    </w:p>
    <w:p w14:paraId="2D07A9D4">
      <w:pPr>
        <w:spacing w:line="360" w:lineRule="auto"/>
        <w:contextualSpacing/>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项目编号：</w:t>
      </w:r>
      <w:r>
        <w:rPr>
          <w:color w:val="000000" w:themeColor="text1"/>
          <w:szCs w:val="21"/>
          <w:highlight w:val="none"/>
          <w:u w:val="single"/>
          <w14:textFill>
            <w14:solidFill>
              <w14:schemeClr w14:val="tx1"/>
            </w14:solidFill>
          </w14:textFill>
        </w:rPr>
        <w:t xml:space="preserve">                 </w:t>
      </w:r>
    </w:p>
    <w:p w14:paraId="7E0D2E17">
      <w:pPr>
        <w:spacing w:line="360" w:lineRule="auto"/>
        <w:contextualSpacing/>
        <w:rPr>
          <w:color w:val="000000" w:themeColor="text1"/>
          <w:szCs w:val="21"/>
          <w:highlight w:val="none"/>
          <w:u w:val="single"/>
          <w14:textFill>
            <w14:solidFill>
              <w14:schemeClr w14:val="tx1"/>
            </w14:solidFill>
          </w14:textFill>
        </w:rPr>
      </w:pPr>
      <w:r>
        <w:rPr>
          <w:color w:val="000000" w:themeColor="text1"/>
          <w:szCs w:val="21"/>
          <w:highlight w:val="none"/>
          <w14:textFill>
            <w14:solidFill>
              <w14:schemeClr w14:val="tx1"/>
            </w14:solidFill>
          </w14:textFill>
        </w:rPr>
        <w:t>所竞分标（如有则填写，无分标时填写</w:t>
      </w:r>
      <w:r>
        <w:rPr>
          <w:rFonts w:hint="eastAsia"/>
          <w:color w:val="000000" w:themeColor="text1"/>
          <w:szCs w:val="21"/>
          <w:highlight w:val="none"/>
          <w:lang w:eastAsia="zh-CN"/>
          <w14:textFill>
            <w14:solidFill>
              <w14:schemeClr w14:val="tx1"/>
            </w14:solidFill>
          </w14:textFill>
        </w:rPr>
        <w:t>“</w:t>
      </w:r>
      <w:r>
        <w:rPr>
          <w:color w:val="000000" w:themeColor="text1"/>
          <w:szCs w:val="21"/>
          <w:highlight w:val="none"/>
          <w14:textFill>
            <w14:solidFill>
              <w14:schemeClr w14:val="tx1"/>
            </w14:solidFill>
          </w14:textFill>
        </w:rPr>
        <w:t>无</w:t>
      </w:r>
      <w:r>
        <w:rPr>
          <w:rFonts w:hint="eastAsia"/>
          <w:color w:val="000000" w:themeColor="text1"/>
          <w:szCs w:val="21"/>
          <w:highlight w:val="none"/>
          <w:lang w:eastAsia="zh-CN"/>
          <w14:textFill>
            <w14:solidFill>
              <w14:schemeClr w14:val="tx1"/>
            </w14:solidFill>
          </w14:textFill>
        </w:rPr>
        <w:t>”</w:t>
      </w:r>
      <w:r>
        <w:rPr>
          <w:color w:val="000000" w:themeColor="text1"/>
          <w:szCs w:val="21"/>
          <w:highlight w:val="none"/>
          <w14:textFill>
            <w14:solidFill>
              <w14:schemeClr w14:val="tx1"/>
            </w14:solidFill>
          </w14:textFill>
        </w:rPr>
        <w:t>或者留空）：</w:t>
      </w:r>
      <w:r>
        <w:rPr>
          <w:color w:val="000000" w:themeColor="text1"/>
          <w:szCs w:val="21"/>
          <w:highlight w:val="none"/>
          <w:u w:val="single"/>
          <w14:textFill>
            <w14:solidFill>
              <w14:schemeClr w14:val="tx1"/>
            </w14:solidFill>
          </w14:textFill>
        </w:rPr>
        <w:t xml:space="preserve">                </w:t>
      </w:r>
    </w:p>
    <w:tbl>
      <w:tblPr>
        <w:tblStyle w:val="29"/>
        <w:tblW w:w="94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1"/>
        <w:gridCol w:w="3926"/>
        <w:gridCol w:w="3589"/>
        <w:gridCol w:w="1274"/>
      </w:tblGrid>
      <w:tr w14:paraId="6AE78F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91"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29F37AC">
            <w:pPr>
              <w:spacing w:line="340" w:lineRule="exact"/>
              <w:jc w:val="center"/>
              <w:rPr>
                <w:b/>
                <w:bCs/>
                <w:color w:val="000000" w:themeColor="text1"/>
                <w:szCs w:val="21"/>
                <w:highlight w:val="none"/>
                <w14:textFill>
                  <w14:solidFill>
                    <w14:schemeClr w14:val="tx1"/>
                  </w14:solidFill>
                </w14:textFill>
              </w:rPr>
            </w:pPr>
            <w:r>
              <w:rPr>
                <w:b/>
                <w:bCs/>
                <w:color w:val="000000" w:themeColor="text1"/>
                <w:szCs w:val="21"/>
                <w:highlight w:val="none"/>
                <w14:textFill>
                  <w14:solidFill>
                    <w14:schemeClr w14:val="tx1"/>
                  </w14:solidFill>
                </w14:textFill>
              </w:rPr>
              <w:t>项号</w:t>
            </w:r>
          </w:p>
        </w:tc>
        <w:tc>
          <w:tcPr>
            <w:tcW w:w="3926"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0F0B83A7">
            <w:pPr>
              <w:spacing w:line="340" w:lineRule="exact"/>
              <w:jc w:val="center"/>
              <w:rPr>
                <w:rFonts w:hint="eastAsia" w:eastAsia="宋体"/>
                <w:b/>
                <w:bCs/>
                <w:color w:val="000000" w:themeColor="text1"/>
                <w:szCs w:val="21"/>
                <w:highlight w:val="none"/>
                <w:lang w:eastAsia="zh-CN"/>
                <w14:textFill>
                  <w14:solidFill>
                    <w14:schemeClr w14:val="tx1"/>
                  </w14:solidFill>
                </w14:textFill>
              </w:rPr>
            </w:pPr>
            <w:r>
              <w:rPr>
                <w:b/>
                <w:bCs/>
                <w:color w:val="000000" w:themeColor="text1"/>
                <w:szCs w:val="21"/>
                <w:highlight w:val="none"/>
                <w14:textFill>
                  <w14:solidFill>
                    <w14:schemeClr w14:val="tx1"/>
                  </w14:solidFill>
                </w14:textFill>
              </w:rPr>
              <w:t>竞争性磋商文件的商务</w:t>
            </w:r>
            <w:r>
              <w:rPr>
                <w:rFonts w:hint="eastAsia"/>
                <w:b/>
                <w:bCs/>
                <w:color w:val="000000" w:themeColor="text1"/>
                <w:szCs w:val="21"/>
                <w:highlight w:val="none"/>
                <w:lang w:eastAsia="zh-CN"/>
                <w14:textFill>
                  <w14:solidFill>
                    <w14:schemeClr w14:val="tx1"/>
                  </w14:solidFill>
                </w14:textFill>
              </w:rPr>
              <w:t>条款</w:t>
            </w:r>
          </w:p>
        </w:tc>
        <w:tc>
          <w:tcPr>
            <w:tcW w:w="3589"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27136EF5">
            <w:pPr>
              <w:spacing w:line="340" w:lineRule="exact"/>
              <w:jc w:val="center"/>
              <w:rPr>
                <w:b/>
                <w:bCs/>
                <w:color w:val="000000" w:themeColor="text1"/>
                <w:szCs w:val="21"/>
                <w:highlight w:val="none"/>
                <w14:textFill>
                  <w14:solidFill>
                    <w14:schemeClr w14:val="tx1"/>
                  </w14:solidFill>
                </w14:textFill>
              </w:rPr>
            </w:pPr>
            <w:r>
              <w:rPr>
                <w:b/>
                <w:bCs/>
                <w:color w:val="000000" w:themeColor="text1"/>
                <w:szCs w:val="21"/>
                <w:highlight w:val="none"/>
                <w14:textFill>
                  <w14:solidFill>
                    <w14:schemeClr w14:val="tx1"/>
                  </w14:solidFill>
                </w14:textFill>
              </w:rPr>
              <w:t>响应文件响应的商务条款</w:t>
            </w:r>
          </w:p>
        </w:tc>
        <w:tc>
          <w:tcPr>
            <w:tcW w:w="1274"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B63ABE7">
            <w:pPr>
              <w:spacing w:line="340" w:lineRule="exact"/>
              <w:jc w:val="center"/>
              <w:rPr>
                <w:b/>
                <w:bCs/>
                <w:color w:val="000000" w:themeColor="text1"/>
                <w:szCs w:val="21"/>
                <w:highlight w:val="none"/>
                <w14:textFill>
                  <w14:solidFill>
                    <w14:schemeClr w14:val="tx1"/>
                  </w14:solidFill>
                </w14:textFill>
              </w:rPr>
            </w:pPr>
            <w:r>
              <w:rPr>
                <w:b/>
                <w:bCs/>
                <w:color w:val="000000" w:themeColor="text1"/>
                <w:szCs w:val="21"/>
                <w:highlight w:val="none"/>
                <w14:textFill>
                  <w14:solidFill>
                    <w14:schemeClr w14:val="tx1"/>
                  </w14:solidFill>
                </w14:textFill>
              </w:rPr>
              <w:t>偏离说明</w:t>
            </w:r>
          </w:p>
        </w:tc>
      </w:tr>
      <w:tr w14:paraId="2CE18E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91" w:type="dxa"/>
            <w:tcBorders>
              <w:top w:val="single" w:color="auto" w:sz="4" w:space="0"/>
              <w:left w:val="single" w:color="auto" w:sz="4" w:space="0"/>
              <w:bottom w:val="single" w:color="auto" w:sz="4" w:space="0"/>
              <w:right w:val="single" w:color="auto" w:sz="4" w:space="0"/>
            </w:tcBorders>
            <w:noWrap w:val="0"/>
            <w:vAlign w:val="center"/>
          </w:tcPr>
          <w:p w14:paraId="2BB48AA5">
            <w:pPr>
              <w:spacing w:line="340" w:lineRule="exact"/>
              <w:jc w:val="center"/>
              <w:rPr>
                <w:rFonts w:hint="eastAsia"/>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1</w:t>
            </w:r>
          </w:p>
        </w:tc>
        <w:tc>
          <w:tcPr>
            <w:tcW w:w="3926" w:type="dxa"/>
            <w:tcBorders>
              <w:top w:val="single" w:color="auto" w:sz="4" w:space="0"/>
              <w:left w:val="single" w:color="auto" w:sz="4" w:space="0"/>
              <w:bottom w:val="single" w:color="auto" w:sz="4" w:space="0"/>
              <w:right w:val="single" w:color="auto" w:sz="4" w:space="0"/>
            </w:tcBorders>
            <w:noWrap w:val="0"/>
            <w:vAlign w:val="center"/>
          </w:tcPr>
          <w:p w14:paraId="3EE4311C">
            <w:pPr>
              <w:spacing w:line="340" w:lineRule="exact"/>
              <w:rPr>
                <w:rFonts w:hint="eastAsia"/>
                <w:color w:val="000000" w:themeColor="text1"/>
                <w:szCs w:val="21"/>
                <w:highlight w:val="none"/>
                <w14:textFill>
                  <w14:solidFill>
                    <w14:schemeClr w14:val="tx1"/>
                  </w14:solidFill>
                </w14:textFill>
              </w:rPr>
            </w:pPr>
          </w:p>
        </w:tc>
        <w:tc>
          <w:tcPr>
            <w:tcW w:w="3589" w:type="dxa"/>
            <w:tcBorders>
              <w:top w:val="single" w:color="auto" w:sz="4" w:space="0"/>
              <w:left w:val="single" w:color="auto" w:sz="4" w:space="0"/>
              <w:bottom w:val="single" w:color="auto" w:sz="4" w:space="0"/>
              <w:right w:val="single" w:color="auto" w:sz="4" w:space="0"/>
            </w:tcBorders>
            <w:noWrap w:val="0"/>
            <w:vAlign w:val="center"/>
          </w:tcPr>
          <w:p w14:paraId="7C88F37F">
            <w:pPr>
              <w:spacing w:line="340" w:lineRule="exact"/>
              <w:rPr>
                <w:color w:val="000000" w:themeColor="text1"/>
                <w:szCs w:val="21"/>
                <w:highlight w:val="none"/>
                <w14:textFill>
                  <w14:solidFill>
                    <w14:schemeClr w14:val="tx1"/>
                  </w14:solidFill>
                </w14:textFill>
              </w:rPr>
            </w:pPr>
          </w:p>
        </w:tc>
        <w:tc>
          <w:tcPr>
            <w:tcW w:w="1274" w:type="dxa"/>
            <w:tcBorders>
              <w:top w:val="single" w:color="auto" w:sz="4" w:space="0"/>
              <w:left w:val="single" w:color="auto" w:sz="4" w:space="0"/>
              <w:bottom w:val="single" w:color="auto" w:sz="4" w:space="0"/>
              <w:right w:val="single" w:color="auto" w:sz="4" w:space="0"/>
            </w:tcBorders>
            <w:noWrap w:val="0"/>
            <w:vAlign w:val="center"/>
          </w:tcPr>
          <w:p w14:paraId="1881DF51">
            <w:pPr>
              <w:spacing w:line="300" w:lineRule="exact"/>
              <w:rPr>
                <w:color w:val="000000" w:themeColor="text1"/>
                <w:szCs w:val="21"/>
                <w:highlight w:val="none"/>
                <w14:textFill>
                  <w14:solidFill>
                    <w14:schemeClr w14:val="tx1"/>
                  </w14:solidFill>
                </w14:textFill>
              </w:rPr>
            </w:pPr>
          </w:p>
        </w:tc>
      </w:tr>
      <w:tr w14:paraId="57B1CA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91" w:type="dxa"/>
            <w:tcBorders>
              <w:top w:val="single" w:color="auto" w:sz="4" w:space="0"/>
              <w:left w:val="single" w:color="auto" w:sz="4" w:space="0"/>
              <w:bottom w:val="single" w:color="auto" w:sz="4" w:space="0"/>
              <w:right w:val="single" w:color="auto" w:sz="4" w:space="0"/>
            </w:tcBorders>
            <w:noWrap w:val="0"/>
            <w:vAlign w:val="center"/>
          </w:tcPr>
          <w:p w14:paraId="419F0A81">
            <w:pPr>
              <w:spacing w:line="340" w:lineRule="exact"/>
              <w:jc w:val="center"/>
              <w:rPr>
                <w:rFonts w:hint="eastAsia"/>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2</w:t>
            </w:r>
          </w:p>
        </w:tc>
        <w:tc>
          <w:tcPr>
            <w:tcW w:w="3926" w:type="dxa"/>
            <w:tcBorders>
              <w:top w:val="single" w:color="auto" w:sz="4" w:space="0"/>
              <w:left w:val="single" w:color="auto" w:sz="4" w:space="0"/>
              <w:bottom w:val="single" w:color="auto" w:sz="4" w:space="0"/>
              <w:right w:val="single" w:color="auto" w:sz="4" w:space="0"/>
            </w:tcBorders>
            <w:noWrap w:val="0"/>
            <w:vAlign w:val="center"/>
          </w:tcPr>
          <w:p w14:paraId="2B947EA5">
            <w:pPr>
              <w:spacing w:line="340" w:lineRule="exact"/>
              <w:rPr>
                <w:rFonts w:hint="eastAsia"/>
                <w:color w:val="000000" w:themeColor="text1"/>
                <w:szCs w:val="21"/>
                <w:highlight w:val="none"/>
                <w14:textFill>
                  <w14:solidFill>
                    <w14:schemeClr w14:val="tx1"/>
                  </w14:solidFill>
                </w14:textFill>
              </w:rPr>
            </w:pPr>
          </w:p>
        </w:tc>
        <w:tc>
          <w:tcPr>
            <w:tcW w:w="3589" w:type="dxa"/>
            <w:tcBorders>
              <w:top w:val="single" w:color="auto" w:sz="4" w:space="0"/>
              <w:left w:val="single" w:color="auto" w:sz="4" w:space="0"/>
              <w:bottom w:val="single" w:color="auto" w:sz="4" w:space="0"/>
              <w:right w:val="single" w:color="auto" w:sz="4" w:space="0"/>
            </w:tcBorders>
            <w:noWrap w:val="0"/>
            <w:vAlign w:val="center"/>
          </w:tcPr>
          <w:p w14:paraId="5C430F74">
            <w:pPr>
              <w:spacing w:line="340" w:lineRule="exact"/>
              <w:rPr>
                <w:color w:val="000000" w:themeColor="text1"/>
                <w:szCs w:val="21"/>
                <w:highlight w:val="none"/>
                <w14:textFill>
                  <w14:solidFill>
                    <w14:schemeClr w14:val="tx1"/>
                  </w14:solidFill>
                </w14:textFill>
              </w:rPr>
            </w:pPr>
          </w:p>
        </w:tc>
        <w:tc>
          <w:tcPr>
            <w:tcW w:w="1274" w:type="dxa"/>
            <w:tcBorders>
              <w:top w:val="single" w:color="auto" w:sz="4" w:space="0"/>
              <w:left w:val="single" w:color="auto" w:sz="4" w:space="0"/>
              <w:bottom w:val="single" w:color="auto" w:sz="4" w:space="0"/>
              <w:right w:val="single" w:color="auto" w:sz="4" w:space="0"/>
            </w:tcBorders>
            <w:noWrap w:val="0"/>
            <w:vAlign w:val="center"/>
          </w:tcPr>
          <w:p w14:paraId="5A59FB99">
            <w:pPr>
              <w:spacing w:line="300" w:lineRule="exact"/>
              <w:rPr>
                <w:color w:val="000000" w:themeColor="text1"/>
                <w:szCs w:val="21"/>
                <w:highlight w:val="none"/>
                <w14:textFill>
                  <w14:solidFill>
                    <w14:schemeClr w14:val="tx1"/>
                  </w14:solidFill>
                </w14:textFill>
              </w:rPr>
            </w:pPr>
          </w:p>
        </w:tc>
      </w:tr>
      <w:tr w14:paraId="5A639F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91" w:type="dxa"/>
            <w:tcBorders>
              <w:top w:val="single" w:color="auto" w:sz="4" w:space="0"/>
              <w:left w:val="single" w:color="auto" w:sz="4" w:space="0"/>
              <w:bottom w:val="single" w:color="auto" w:sz="4" w:space="0"/>
              <w:right w:val="single" w:color="auto" w:sz="4" w:space="0"/>
            </w:tcBorders>
            <w:noWrap w:val="0"/>
            <w:vAlign w:val="center"/>
          </w:tcPr>
          <w:p w14:paraId="53554559">
            <w:pPr>
              <w:spacing w:line="340" w:lineRule="exact"/>
              <w:jc w:val="center"/>
              <w:rPr>
                <w:rFonts w:hint="eastAsia"/>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3</w:t>
            </w:r>
          </w:p>
        </w:tc>
        <w:tc>
          <w:tcPr>
            <w:tcW w:w="3926" w:type="dxa"/>
            <w:tcBorders>
              <w:top w:val="single" w:color="auto" w:sz="4" w:space="0"/>
              <w:left w:val="single" w:color="auto" w:sz="4" w:space="0"/>
              <w:bottom w:val="single" w:color="auto" w:sz="4" w:space="0"/>
              <w:right w:val="single" w:color="auto" w:sz="4" w:space="0"/>
            </w:tcBorders>
            <w:noWrap w:val="0"/>
            <w:vAlign w:val="center"/>
          </w:tcPr>
          <w:p w14:paraId="69317588">
            <w:pPr>
              <w:spacing w:line="340" w:lineRule="exact"/>
              <w:rPr>
                <w:rFonts w:hint="eastAsia"/>
                <w:color w:val="000000" w:themeColor="text1"/>
                <w:szCs w:val="21"/>
                <w:highlight w:val="none"/>
                <w14:textFill>
                  <w14:solidFill>
                    <w14:schemeClr w14:val="tx1"/>
                  </w14:solidFill>
                </w14:textFill>
              </w:rPr>
            </w:pPr>
          </w:p>
        </w:tc>
        <w:tc>
          <w:tcPr>
            <w:tcW w:w="3589" w:type="dxa"/>
            <w:tcBorders>
              <w:top w:val="single" w:color="auto" w:sz="4" w:space="0"/>
              <w:left w:val="single" w:color="auto" w:sz="4" w:space="0"/>
              <w:bottom w:val="single" w:color="auto" w:sz="4" w:space="0"/>
              <w:right w:val="single" w:color="auto" w:sz="4" w:space="0"/>
            </w:tcBorders>
            <w:noWrap w:val="0"/>
            <w:vAlign w:val="center"/>
          </w:tcPr>
          <w:p w14:paraId="7EAC4C97">
            <w:pPr>
              <w:spacing w:line="340" w:lineRule="exact"/>
              <w:rPr>
                <w:color w:val="000000" w:themeColor="text1"/>
                <w:szCs w:val="21"/>
                <w:highlight w:val="none"/>
                <w14:textFill>
                  <w14:solidFill>
                    <w14:schemeClr w14:val="tx1"/>
                  </w14:solidFill>
                </w14:textFill>
              </w:rPr>
            </w:pPr>
          </w:p>
        </w:tc>
        <w:tc>
          <w:tcPr>
            <w:tcW w:w="1274" w:type="dxa"/>
            <w:tcBorders>
              <w:top w:val="single" w:color="auto" w:sz="4" w:space="0"/>
              <w:left w:val="single" w:color="auto" w:sz="4" w:space="0"/>
              <w:bottom w:val="single" w:color="auto" w:sz="4" w:space="0"/>
              <w:right w:val="single" w:color="auto" w:sz="4" w:space="0"/>
            </w:tcBorders>
            <w:noWrap w:val="0"/>
            <w:vAlign w:val="center"/>
          </w:tcPr>
          <w:p w14:paraId="3B3D94F3">
            <w:pPr>
              <w:spacing w:line="300" w:lineRule="exact"/>
              <w:rPr>
                <w:color w:val="000000" w:themeColor="text1"/>
                <w:szCs w:val="21"/>
                <w:highlight w:val="none"/>
                <w14:textFill>
                  <w14:solidFill>
                    <w14:schemeClr w14:val="tx1"/>
                  </w14:solidFill>
                </w14:textFill>
              </w:rPr>
            </w:pPr>
          </w:p>
        </w:tc>
      </w:tr>
      <w:tr w14:paraId="1C38D7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91" w:type="dxa"/>
            <w:tcBorders>
              <w:top w:val="single" w:color="auto" w:sz="4" w:space="0"/>
              <w:left w:val="single" w:color="auto" w:sz="4" w:space="0"/>
              <w:bottom w:val="single" w:color="auto" w:sz="4" w:space="0"/>
              <w:right w:val="single" w:color="auto" w:sz="4" w:space="0"/>
            </w:tcBorders>
            <w:noWrap w:val="0"/>
            <w:vAlign w:val="center"/>
          </w:tcPr>
          <w:p w14:paraId="496582B1">
            <w:pPr>
              <w:spacing w:line="340" w:lineRule="exact"/>
              <w:jc w:val="center"/>
              <w:rPr>
                <w:rFonts w:hint="eastAsia"/>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4</w:t>
            </w:r>
          </w:p>
        </w:tc>
        <w:tc>
          <w:tcPr>
            <w:tcW w:w="3926" w:type="dxa"/>
            <w:tcBorders>
              <w:top w:val="single" w:color="auto" w:sz="4" w:space="0"/>
              <w:left w:val="single" w:color="auto" w:sz="4" w:space="0"/>
              <w:bottom w:val="single" w:color="auto" w:sz="4" w:space="0"/>
              <w:right w:val="single" w:color="auto" w:sz="4" w:space="0"/>
            </w:tcBorders>
            <w:noWrap w:val="0"/>
            <w:vAlign w:val="center"/>
          </w:tcPr>
          <w:p w14:paraId="29479C30">
            <w:pPr>
              <w:spacing w:line="340" w:lineRule="exact"/>
              <w:rPr>
                <w:rFonts w:hint="eastAsia"/>
                <w:color w:val="000000" w:themeColor="text1"/>
                <w:szCs w:val="21"/>
                <w:highlight w:val="none"/>
                <w14:textFill>
                  <w14:solidFill>
                    <w14:schemeClr w14:val="tx1"/>
                  </w14:solidFill>
                </w14:textFill>
              </w:rPr>
            </w:pPr>
          </w:p>
        </w:tc>
        <w:tc>
          <w:tcPr>
            <w:tcW w:w="3589" w:type="dxa"/>
            <w:tcBorders>
              <w:top w:val="single" w:color="auto" w:sz="4" w:space="0"/>
              <w:left w:val="single" w:color="auto" w:sz="4" w:space="0"/>
              <w:bottom w:val="single" w:color="auto" w:sz="4" w:space="0"/>
              <w:right w:val="single" w:color="auto" w:sz="4" w:space="0"/>
            </w:tcBorders>
            <w:noWrap w:val="0"/>
            <w:vAlign w:val="center"/>
          </w:tcPr>
          <w:p w14:paraId="6A9D83AD">
            <w:pPr>
              <w:spacing w:line="340" w:lineRule="exact"/>
              <w:rPr>
                <w:color w:val="000000" w:themeColor="text1"/>
                <w:szCs w:val="21"/>
                <w:highlight w:val="none"/>
                <w14:textFill>
                  <w14:solidFill>
                    <w14:schemeClr w14:val="tx1"/>
                  </w14:solidFill>
                </w14:textFill>
              </w:rPr>
            </w:pPr>
          </w:p>
        </w:tc>
        <w:tc>
          <w:tcPr>
            <w:tcW w:w="1274" w:type="dxa"/>
            <w:tcBorders>
              <w:top w:val="single" w:color="auto" w:sz="4" w:space="0"/>
              <w:left w:val="single" w:color="auto" w:sz="4" w:space="0"/>
              <w:bottom w:val="single" w:color="auto" w:sz="4" w:space="0"/>
              <w:right w:val="single" w:color="auto" w:sz="4" w:space="0"/>
            </w:tcBorders>
            <w:noWrap w:val="0"/>
            <w:vAlign w:val="center"/>
          </w:tcPr>
          <w:p w14:paraId="70C9D08F">
            <w:pPr>
              <w:spacing w:line="300" w:lineRule="exact"/>
              <w:rPr>
                <w:color w:val="000000" w:themeColor="text1"/>
                <w:szCs w:val="21"/>
                <w:highlight w:val="none"/>
                <w14:textFill>
                  <w14:solidFill>
                    <w14:schemeClr w14:val="tx1"/>
                  </w14:solidFill>
                </w14:textFill>
              </w:rPr>
            </w:pPr>
          </w:p>
        </w:tc>
      </w:tr>
      <w:tr w14:paraId="3C39ED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91" w:type="dxa"/>
            <w:tcBorders>
              <w:top w:val="single" w:color="auto" w:sz="4" w:space="0"/>
              <w:left w:val="single" w:color="auto" w:sz="4" w:space="0"/>
              <w:bottom w:val="single" w:color="auto" w:sz="4" w:space="0"/>
              <w:right w:val="single" w:color="auto" w:sz="4" w:space="0"/>
            </w:tcBorders>
            <w:noWrap w:val="0"/>
            <w:vAlign w:val="center"/>
          </w:tcPr>
          <w:p w14:paraId="5928ED98">
            <w:pPr>
              <w:spacing w:line="340" w:lineRule="exact"/>
              <w:jc w:val="center"/>
              <w:rPr>
                <w:rFonts w:hint="eastAsia"/>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5</w:t>
            </w:r>
          </w:p>
        </w:tc>
        <w:tc>
          <w:tcPr>
            <w:tcW w:w="3926" w:type="dxa"/>
            <w:tcBorders>
              <w:top w:val="single" w:color="auto" w:sz="4" w:space="0"/>
              <w:left w:val="single" w:color="auto" w:sz="4" w:space="0"/>
              <w:bottom w:val="single" w:color="auto" w:sz="4" w:space="0"/>
              <w:right w:val="single" w:color="auto" w:sz="4" w:space="0"/>
            </w:tcBorders>
            <w:noWrap w:val="0"/>
            <w:vAlign w:val="center"/>
          </w:tcPr>
          <w:p w14:paraId="365C0E1A">
            <w:pPr>
              <w:spacing w:line="340" w:lineRule="exact"/>
              <w:rPr>
                <w:rFonts w:hint="eastAsia"/>
                <w:color w:val="000000" w:themeColor="text1"/>
                <w:szCs w:val="21"/>
                <w:highlight w:val="none"/>
                <w14:textFill>
                  <w14:solidFill>
                    <w14:schemeClr w14:val="tx1"/>
                  </w14:solidFill>
                </w14:textFill>
              </w:rPr>
            </w:pPr>
          </w:p>
        </w:tc>
        <w:tc>
          <w:tcPr>
            <w:tcW w:w="3589" w:type="dxa"/>
            <w:tcBorders>
              <w:top w:val="single" w:color="auto" w:sz="4" w:space="0"/>
              <w:left w:val="single" w:color="auto" w:sz="4" w:space="0"/>
              <w:bottom w:val="single" w:color="auto" w:sz="4" w:space="0"/>
              <w:right w:val="single" w:color="auto" w:sz="4" w:space="0"/>
            </w:tcBorders>
            <w:noWrap w:val="0"/>
            <w:vAlign w:val="center"/>
          </w:tcPr>
          <w:p w14:paraId="38BD4348">
            <w:pPr>
              <w:spacing w:line="340" w:lineRule="exact"/>
              <w:rPr>
                <w:color w:val="000000" w:themeColor="text1"/>
                <w:szCs w:val="21"/>
                <w:highlight w:val="none"/>
                <w14:textFill>
                  <w14:solidFill>
                    <w14:schemeClr w14:val="tx1"/>
                  </w14:solidFill>
                </w14:textFill>
              </w:rPr>
            </w:pPr>
          </w:p>
        </w:tc>
        <w:tc>
          <w:tcPr>
            <w:tcW w:w="1274" w:type="dxa"/>
            <w:tcBorders>
              <w:top w:val="single" w:color="auto" w:sz="4" w:space="0"/>
              <w:left w:val="single" w:color="auto" w:sz="4" w:space="0"/>
              <w:bottom w:val="single" w:color="auto" w:sz="4" w:space="0"/>
              <w:right w:val="single" w:color="auto" w:sz="4" w:space="0"/>
            </w:tcBorders>
            <w:noWrap w:val="0"/>
            <w:vAlign w:val="center"/>
          </w:tcPr>
          <w:p w14:paraId="34BE47D2">
            <w:pPr>
              <w:spacing w:line="300" w:lineRule="exact"/>
              <w:rPr>
                <w:color w:val="000000" w:themeColor="text1"/>
                <w:szCs w:val="21"/>
                <w:highlight w:val="none"/>
                <w14:textFill>
                  <w14:solidFill>
                    <w14:schemeClr w14:val="tx1"/>
                  </w14:solidFill>
                </w14:textFill>
              </w:rPr>
            </w:pPr>
          </w:p>
        </w:tc>
      </w:tr>
      <w:tr w14:paraId="0B965E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91" w:type="dxa"/>
            <w:tcBorders>
              <w:top w:val="single" w:color="auto" w:sz="4" w:space="0"/>
              <w:left w:val="single" w:color="auto" w:sz="4" w:space="0"/>
              <w:bottom w:val="single" w:color="auto" w:sz="4" w:space="0"/>
              <w:right w:val="single" w:color="auto" w:sz="4" w:space="0"/>
            </w:tcBorders>
            <w:noWrap w:val="0"/>
            <w:vAlign w:val="center"/>
          </w:tcPr>
          <w:p w14:paraId="6B4A07DE">
            <w:pPr>
              <w:spacing w:line="340" w:lineRule="exact"/>
              <w:jc w:val="center"/>
              <w:rPr>
                <w:rFonts w:hint="eastAsia"/>
                <w:color w:val="000000" w:themeColor="text1"/>
                <w:szCs w:val="21"/>
                <w:highlight w:val="none"/>
                <w14:textFill>
                  <w14:solidFill>
                    <w14:schemeClr w14:val="tx1"/>
                  </w14:solidFill>
                </w14:textFill>
              </w:rPr>
            </w:pPr>
          </w:p>
        </w:tc>
        <w:tc>
          <w:tcPr>
            <w:tcW w:w="3926" w:type="dxa"/>
            <w:tcBorders>
              <w:top w:val="single" w:color="auto" w:sz="4" w:space="0"/>
              <w:left w:val="single" w:color="auto" w:sz="4" w:space="0"/>
              <w:bottom w:val="single" w:color="auto" w:sz="4" w:space="0"/>
              <w:right w:val="single" w:color="auto" w:sz="4" w:space="0"/>
            </w:tcBorders>
            <w:noWrap w:val="0"/>
            <w:vAlign w:val="center"/>
          </w:tcPr>
          <w:p w14:paraId="215AC396">
            <w:pPr>
              <w:spacing w:line="340" w:lineRule="exact"/>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w:t>
            </w:r>
          </w:p>
        </w:tc>
        <w:tc>
          <w:tcPr>
            <w:tcW w:w="3589" w:type="dxa"/>
            <w:tcBorders>
              <w:top w:val="single" w:color="auto" w:sz="4" w:space="0"/>
              <w:left w:val="single" w:color="auto" w:sz="4" w:space="0"/>
              <w:bottom w:val="single" w:color="auto" w:sz="4" w:space="0"/>
              <w:right w:val="single" w:color="auto" w:sz="4" w:space="0"/>
            </w:tcBorders>
            <w:noWrap w:val="0"/>
            <w:vAlign w:val="center"/>
          </w:tcPr>
          <w:p w14:paraId="13FA3342">
            <w:pPr>
              <w:spacing w:line="340" w:lineRule="exact"/>
              <w:rPr>
                <w:color w:val="000000" w:themeColor="text1"/>
                <w:szCs w:val="21"/>
                <w:highlight w:val="none"/>
                <w14:textFill>
                  <w14:solidFill>
                    <w14:schemeClr w14:val="tx1"/>
                  </w14:solidFill>
                </w14:textFill>
              </w:rPr>
            </w:pPr>
          </w:p>
        </w:tc>
        <w:tc>
          <w:tcPr>
            <w:tcW w:w="1274" w:type="dxa"/>
            <w:tcBorders>
              <w:top w:val="single" w:color="auto" w:sz="4" w:space="0"/>
              <w:left w:val="single" w:color="auto" w:sz="4" w:space="0"/>
              <w:bottom w:val="single" w:color="auto" w:sz="4" w:space="0"/>
              <w:right w:val="single" w:color="auto" w:sz="4" w:space="0"/>
            </w:tcBorders>
            <w:noWrap w:val="0"/>
            <w:vAlign w:val="center"/>
          </w:tcPr>
          <w:p w14:paraId="2B493A76">
            <w:pPr>
              <w:spacing w:line="300" w:lineRule="exact"/>
              <w:rPr>
                <w:color w:val="000000" w:themeColor="text1"/>
                <w:szCs w:val="21"/>
                <w:highlight w:val="none"/>
                <w14:textFill>
                  <w14:solidFill>
                    <w14:schemeClr w14:val="tx1"/>
                  </w14:solidFill>
                </w14:textFill>
              </w:rPr>
            </w:pPr>
          </w:p>
        </w:tc>
      </w:tr>
    </w:tbl>
    <w:p w14:paraId="6D4F6C6A">
      <w:pPr>
        <w:pStyle w:val="15"/>
        <w:spacing w:line="400" w:lineRule="exact"/>
        <w:ind w:firstLine="0" w:firstLineChars="0"/>
        <w:contextualSpacing/>
        <w:rPr>
          <w:rFonts w:ascii="Times New Roman" w:eastAsia="宋体"/>
          <w:color w:val="000000" w:themeColor="text1"/>
          <w:sz w:val="21"/>
          <w:szCs w:val="21"/>
          <w:highlight w:val="none"/>
          <w14:textFill>
            <w14:solidFill>
              <w14:schemeClr w14:val="tx1"/>
            </w14:solidFill>
          </w14:textFill>
        </w:rPr>
      </w:pPr>
      <w:r>
        <w:rPr>
          <w:rFonts w:ascii="Times New Roman" w:eastAsia="宋体"/>
          <w:color w:val="000000" w:themeColor="text1"/>
          <w:sz w:val="21"/>
          <w:szCs w:val="21"/>
          <w:highlight w:val="none"/>
          <w14:textFill>
            <w14:solidFill>
              <w14:schemeClr w14:val="tx1"/>
            </w14:solidFill>
          </w14:textFill>
        </w:rPr>
        <w:t>注：</w:t>
      </w:r>
    </w:p>
    <w:p w14:paraId="6D797A30">
      <w:pPr>
        <w:pStyle w:val="15"/>
        <w:spacing w:line="400" w:lineRule="exact"/>
        <w:ind w:firstLine="420" w:firstLineChars="200"/>
        <w:contextualSpacing/>
        <w:rPr>
          <w:rFonts w:ascii="宋体" w:hAnsi="宋体" w:eastAsia="宋体"/>
          <w:color w:val="000000" w:themeColor="text1"/>
          <w:sz w:val="21"/>
          <w:szCs w:val="21"/>
          <w:highlight w:val="none"/>
          <w14:textFill>
            <w14:solidFill>
              <w14:schemeClr w14:val="tx1"/>
            </w14:solidFill>
          </w14:textFill>
        </w:rPr>
      </w:pPr>
      <w:r>
        <w:rPr>
          <w:rFonts w:ascii="宋体" w:hAnsi="宋体" w:eastAsia="宋体"/>
          <w:color w:val="000000" w:themeColor="text1"/>
          <w:sz w:val="21"/>
          <w:szCs w:val="21"/>
          <w:highlight w:val="none"/>
          <w14:textFill>
            <w14:solidFill>
              <w14:schemeClr w14:val="tx1"/>
            </w14:solidFill>
          </w14:textFill>
        </w:rPr>
        <w:t>1.应对照磋商文件“第二章 采购需求”中的商务条款逐条作出明确响应，并作出偏离说明。</w:t>
      </w:r>
    </w:p>
    <w:p w14:paraId="40653417">
      <w:pPr>
        <w:pStyle w:val="15"/>
        <w:spacing w:line="400" w:lineRule="exact"/>
        <w:ind w:firstLine="420" w:firstLineChars="200"/>
        <w:contextualSpacing/>
        <w:rPr>
          <w:rFonts w:hint="eastAsia" w:ascii="宋体" w:hAnsi="宋体" w:eastAsia="宋体"/>
          <w:color w:val="000000" w:themeColor="text1"/>
          <w:sz w:val="21"/>
          <w:szCs w:val="21"/>
          <w:highlight w:val="none"/>
          <w:lang w:val="en-US" w:eastAsia="zh-CN"/>
          <w14:textFill>
            <w14:solidFill>
              <w14:schemeClr w14:val="tx1"/>
            </w14:solidFill>
          </w14:textFill>
        </w:rPr>
      </w:pPr>
      <w:r>
        <w:rPr>
          <w:rFonts w:ascii="宋体" w:hAnsi="宋体" w:eastAsia="宋体"/>
          <w:color w:val="000000" w:themeColor="text1"/>
          <w:sz w:val="21"/>
          <w:szCs w:val="21"/>
          <w:highlight w:val="none"/>
          <w14:textFill>
            <w14:solidFill>
              <w14:schemeClr w14:val="tx1"/>
            </w14:solidFill>
          </w14:textFill>
        </w:rPr>
        <w:t>2.供应商应根据自身的承诺，对照磋商文件要求，在“偏离说明”中注明“正偏离”</w:t>
      </w:r>
      <w:r>
        <w:rPr>
          <w:rFonts w:ascii="宋体" w:hAnsi="宋体" w:eastAsia="宋体"/>
          <w:color w:val="000000" w:themeColor="text1"/>
          <w:sz w:val="21"/>
          <w:szCs w:val="21"/>
          <w:highlight w:val="none"/>
          <w:lang w:eastAsia="zh-CN"/>
          <w14:textFill>
            <w14:solidFill>
              <w14:schemeClr w14:val="tx1"/>
            </w14:solidFill>
          </w14:textFill>
        </w:rPr>
        <w:t>或者</w:t>
      </w:r>
      <w:r>
        <w:rPr>
          <w:rFonts w:ascii="宋体" w:hAnsi="宋体" w:eastAsia="宋体"/>
          <w:color w:val="000000" w:themeColor="text1"/>
          <w:sz w:val="21"/>
          <w:szCs w:val="21"/>
          <w:highlight w:val="none"/>
          <w14:textFill>
            <w14:solidFill>
              <w14:schemeClr w14:val="tx1"/>
            </w14:solidFill>
          </w14:textFill>
        </w:rPr>
        <w:t>“负偏离”或者“无偏离”。既不属于“正偏离”也不属于“负偏离”即为“无偏离”。 当响应文件的商务内容低于竞争性磋商文件要求时，</w:t>
      </w:r>
      <w:r>
        <w:rPr>
          <w:rFonts w:ascii="宋体" w:hAnsi="宋体" w:eastAsia="宋体"/>
          <w:color w:val="000000" w:themeColor="text1"/>
          <w:sz w:val="21"/>
          <w:szCs w:val="21"/>
          <w:highlight w:val="none"/>
          <w:lang w:eastAsia="zh-CN"/>
          <w14:textFill>
            <w14:solidFill>
              <w14:schemeClr w14:val="tx1"/>
            </w14:solidFill>
          </w14:textFill>
        </w:rPr>
        <w:t>供应商</w:t>
      </w:r>
      <w:r>
        <w:rPr>
          <w:rFonts w:ascii="宋体" w:hAnsi="宋体" w:eastAsia="宋体"/>
          <w:color w:val="000000" w:themeColor="text1"/>
          <w:sz w:val="21"/>
          <w:szCs w:val="21"/>
          <w:highlight w:val="none"/>
          <w14:textFill>
            <w14:solidFill>
              <w14:schemeClr w14:val="tx1"/>
            </w14:solidFill>
          </w14:textFill>
        </w:rPr>
        <w:t>应当如实写明“负偏离”</w:t>
      </w:r>
      <w:r>
        <w:rPr>
          <w:rFonts w:hint="eastAsia" w:ascii="宋体" w:hAnsi="宋体" w:eastAsia="宋体"/>
          <w:color w:val="000000" w:themeColor="text1"/>
          <w:sz w:val="21"/>
          <w:szCs w:val="21"/>
          <w:highlight w:val="none"/>
          <w:lang w:eastAsia="zh-CN"/>
          <w14:textFill>
            <w14:solidFill>
              <w14:schemeClr w14:val="tx1"/>
            </w14:solidFill>
          </w14:textFill>
        </w:rPr>
        <w:t>。</w:t>
      </w:r>
    </w:p>
    <w:p w14:paraId="1C184F51">
      <w:pPr>
        <w:spacing w:line="400" w:lineRule="exact"/>
        <w:ind w:firstLine="420" w:firstLineChars="200"/>
        <w:rPr>
          <w:rFonts w:ascii="宋体" w:hAnsi="宋体"/>
          <w:color w:val="000000" w:themeColor="text1"/>
          <w:kern w:val="0"/>
          <w:szCs w:val="21"/>
          <w:highlight w:val="none"/>
          <w14:textFill>
            <w14:solidFill>
              <w14:schemeClr w14:val="tx1"/>
            </w14:solidFill>
          </w14:textFill>
        </w:rPr>
      </w:pPr>
      <w:r>
        <w:rPr>
          <w:rFonts w:ascii="宋体" w:hAnsi="宋体"/>
          <w:color w:val="000000" w:themeColor="text1"/>
          <w:kern w:val="0"/>
          <w:szCs w:val="21"/>
          <w:highlight w:val="none"/>
          <w14:textFill>
            <w14:solidFill>
              <w14:schemeClr w14:val="tx1"/>
            </w14:solidFill>
          </w14:textFill>
        </w:rPr>
        <w:t>3.表格内容均需按要求填写，不得留空，</w:t>
      </w:r>
      <w:r>
        <w:rPr>
          <w:rFonts w:ascii="宋体" w:hAnsi="宋体"/>
          <w:b/>
          <w:bCs/>
          <w:color w:val="000000" w:themeColor="text1"/>
          <w:kern w:val="0"/>
          <w:szCs w:val="21"/>
          <w:highlight w:val="none"/>
          <w14:textFill>
            <w14:solidFill>
              <w14:schemeClr w14:val="tx1"/>
            </w14:solidFill>
          </w14:textFill>
        </w:rPr>
        <w:t>否则按竞标无效处理。</w:t>
      </w:r>
    </w:p>
    <w:p w14:paraId="3408433C">
      <w:pPr>
        <w:spacing w:line="400" w:lineRule="exact"/>
        <w:ind w:firstLine="420" w:firstLineChars="200"/>
        <w:contextualSpacing/>
        <w:rPr>
          <w:color w:val="000000" w:themeColor="text1"/>
          <w:kern w:val="0"/>
          <w:szCs w:val="21"/>
          <w:highlight w:val="none"/>
          <w14:textFill>
            <w14:solidFill>
              <w14:schemeClr w14:val="tx1"/>
            </w14:solidFill>
          </w14:textFill>
        </w:rPr>
      </w:pPr>
    </w:p>
    <w:p w14:paraId="412FC0A8">
      <w:pPr>
        <w:spacing w:line="400" w:lineRule="exact"/>
        <w:ind w:firstLine="4410" w:firstLineChars="2100"/>
        <w:rPr>
          <w:color w:val="000000" w:themeColor="text1"/>
          <w:szCs w:val="21"/>
          <w:highlight w:val="none"/>
          <w:u w:val="single"/>
          <w14:textFill>
            <w14:solidFill>
              <w14:schemeClr w14:val="tx1"/>
            </w14:solidFill>
          </w14:textFill>
        </w:rPr>
      </w:pPr>
      <w:r>
        <w:rPr>
          <w:color w:val="000000" w:themeColor="text1"/>
          <w:szCs w:val="21"/>
          <w:highlight w:val="none"/>
          <w14:textFill>
            <w14:solidFill>
              <w14:schemeClr w14:val="tx1"/>
            </w14:solidFill>
          </w14:textFill>
        </w:rPr>
        <w:t>供应商</w:t>
      </w:r>
      <w:r>
        <w:rPr>
          <w:color w:val="000000" w:themeColor="text1"/>
          <w:kern w:val="0"/>
          <w:szCs w:val="21"/>
          <w:highlight w:val="none"/>
          <w14:textFill>
            <w14:solidFill>
              <w14:schemeClr w14:val="tx1"/>
            </w14:solidFill>
          </w14:textFill>
        </w:rPr>
        <w:t>名称</w:t>
      </w:r>
      <w:r>
        <w:rPr>
          <w:color w:val="000000" w:themeColor="text1"/>
          <w:szCs w:val="21"/>
          <w:highlight w:val="none"/>
          <w14:textFill>
            <w14:solidFill>
              <w14:schemeClr w14:val="tx1"/>
            </w14:solidFill>
          </w14:textFill>
        </w:rPr>
        <w:t>（盖公章）：</w:t>
      </w:r>
      <w:r>
        <w:rPr>
          <w:color w:val="000000" w:themeColor="text1"/>
          <w:szCs w:val="21"/>
          <w:highlight w:val="none"/>
          <w:u w:val="single"/>
          <w14:textFill>
            <w14:solidFill>
              <w14:schemeClr w14:val="tx1"/>
            </w14:solidFill>
          </w14:textFill>
        </w:rPr>
        <w:t xml:space="preserve">                   </w:t>
      </w:r>
    </w:p>
    <w:p w14:paraId="1257B7B2">
      <w:pPr>
        <w:snapToGrid w:val="0"/>
        <w:spacing w:line="360" w:lineRule="auto"/>
        <w:ind w:firstLine="420" w:firstLineChars="200"/>
        <w:rPr>
          <w:rFonts w:hint="eastAsia" w:ascii="仿宋" w:hAnsi="仿宋" w:eastAsia="仿宋" w:cs="仿宋_GB2312"/>
          <w:b/>
          <w:color w:val="000000" w:themeColor="text1"/>
          <w:sz w:val="30"/>
          <w:szCs w:val="30"/>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 xml:space="preserve">                                      </w:t>
      </w:r>
      <w:r>
        <w:rPr>
          <w:color w:val="000000" w:themeColor="text1"/>
          <w:szCs w:val="21"/>
          <w:highlight w:val="none"/>
          <w14:textFill>
            <w14:solidFill>
              <w14:schemeClr w14:val="tx1"/>
            </w14:solidFill>
          </w14:textFill>
        </w:rPr>
        <w:t>日期：</w:t>
      </w:r>
      <w:r>
        <w:rPr>
          <w:color w:val="000000" w:themeColor="text1"/>
          <w:szCs w:val="21"/>
          <w:highlight w:val="none"/>
          <w:u w:val="single"/>
          <w14:textFill>
            <w14:solidFill>
              <w14:schemeClr w14:val="tx1"/>
            </w14:solidFill>
          </w14:textFill>
        </w:rPr>
        <w:t xml:space="preserve">         </w:t>
      </w:r>
      <w:r>
        <w:rPr>
          <w:color w:val="000000" w:themeColor="text1"/>
          <w:szCs w:val="21"/>
          <w:highlight w:val="none"/>
          <w14:textFill>
            <w14:solidFill>
              <w14:schemeClr w14:val="tx1"/>
            </w14:solidFill>
          </w14:textFill>
        </w:rPr>
        <w:t>年</w:t>
      </w:r>
      <w:r>
        <w:rPr>
          <w:color w:val="000000" w:themeColor="text1"/>
          <w:szCs w:val="21"/>
          <w:highlight w:val="none"/>
          <w:u w:val="single"/>
          <w14:textFill>
            <w14:solidFill>
              <w14:schemeClr w14:val="tx1"/>
            </w14:solidFill>
          </w14:textFill>
        </w:rPr>
        <w:t xml:space="preserve">        </w:t>
      </w:r>
      <w:r>
        <w:rPr>
          <w:color w:val="000000" w:themeColor="text1"/>
          <w:szCs w:val="21"/>
          <w:highlight w:val="none"/>
          <w14:textFill>
            <w14:solidFill>
              <w14:schemeClr w14:val="tx1"/>
            </w14:solidFill>
          </w14:textFill>
        </w:rPr>
        <w:t>月</w:t>
      </w:r>
      <w:r>
        <w:rPr>
          <w:color w:val="000000" w:themeColor="text1"/>
          <w:szCs w:val="21"/>
          <w:highlight w:val="none"/>
          <w:u w:val="single"/>
          <w14:textFill>
            <w14:solidFill>
              <w14:schemeClr w14:val="tx1"/>
            </w14:solidFill>
          </w14:textFill>
        </w:rPr>
        <w:t xml:space="preserve">        </w:t>
      </w:r>
      <w:r>
        <w:rPr>
          <w:color w:val="000000" w:themeColor="text1"/>
          <w:szCs w:val="21"/>
          <w:highlight w:val="none"/>
          <w14:textFill>
            <w14:solidFill>
              <w14:schemeClr w14:val="tx1"/>
            </w14:solidFill>
          </w14:textFill>
        </w:rPr>
        <w:t>日</w:t>
      </w:r>
    </w:p>
    <w:p w14:paraId="408EC521">
      <w:pPr>
        <w:snapToGrid w:val="0"/>
        <w:spacing w:line="360" w:lineRule="auto"/>
        <w:ind w:firstLine="602" w:firstLineChars="200"/>
        <w:rPr>
          <w:rFonts w:hint="eastAsia" w:ascii="仿宋" w:hAnsi="仿宋" w:eastAsia="仿宋" w:cs="仿宋_GB2312"/>
          <w:b/>
          <w:color w:val="000000" w:themeColor="text1"/>
          <w:sz w:val="30"/>
          <w:szCs w:val="30"/>
          <w:highlight w:val="none"/>
          <w14:textFill>
            <w14:solidFill>
              <w14:schemeClr w14:val="tx1"/>
            </w14:solidFill>
          </w14:textFill>
        </w:rPr>
      </w:pPr>
    </w:p>
    <w:p w14:paraId="37EF250B">
      <w:pPr>
        <w:snapToGrid w:val="0"/>
        <w:spacing w:line="360" w:lineRule="auto"/>
        <w:ind w:firstLine="602" w:firstLineChars="200"/>
        <w:rPr>
          <w:rFonts w:ascii="仿宋" w:hAnsi="仿宋" w:eastAsia="仿宋" w:cs="仿宋_GB2312"/>
          <w:b/>
          <w:color w:val="000000" w:themeColor="text1"/>
          <w:sz w:val="30"/>
          <w:szCs w:val="30"/>
          <w:highlight w:val="none"/>
          <w14:textFill>
            <w14:solidFill>
              <w14:schemeClr w14:val="tx1"/>
            </w14:solidFill>
          </w14:textFill>
        </w:rPr>
      </w:pPr>
    </w:p>
    <w:p w14:paraId="197451B8">
      <w:pPr>
        <w:pStyle w:val="11"/>
        <w:rPr>
          <w:rFonts w:ascii="仿宋" w:hAnsi="仿宋" w:eastAsia="仿宋" w:cs="仿宋_GB2312"/>
          <w:b/>
          <w:color w:val="000000" w:themeColor="text1"/>
          <w:sz w:val="30"/>
          <w:szCs w:val="30"/>
          <w:highlight w:val="none"/>
          <w14:textFill>
            <w14:solidFill>
              <w14:schemeClr w14:val="tx1"/>
            </w14:solidFill>
          </w14:textFill>
        </w:rPr>
      </w:pPr>
    </w:p>
    <w:p w14:paraId="5B5EF868">
      <w:pPr>
        <w:pStyle w:val="11"/>
        <w:rPr>
          <w:rFonts w:ascii="仿宋" w:hAnsi="仿宋" w:eastAsia="仿宋" w:cs="仿宋_GB2312"/>
          <w:b/>
          <w:color w:val="000000" w:themeColor="text1"/>
          <w:sz w:val="30"/>
          <w:szCs w:val="30"/>
          <w:highlight w:val="none"/>
          <w14:textFill>
            <w14:solidFill>
              <w14:schemeClr w14:val="tx1"/>
            </w14:solidFill>
          </w14:textFill>
        </w:rPr>
      </w:pPr>
    </w:p>
    <w:p w14:paraId="414B84C7">
      <w:pPr>
        <w:snapToGrid w:val="0"/>
        <w:spacing w:before="120" w:beforeLines="50" w:after="50"/>
        <w:rPr>
          <w:rFonts w:hint="eastAsia"/>
          <w:b/>
          <w:color w:val="000000" w:themeColor="text1"/>
          <w:sz w:val="28"/>
          <w:szCs w:val="28"/>
          <w:highlight w:val="none"/>
          <w14:textFill>
            <w14:solidFill>
              <w14:schemeClr w14:val="tx1"/>
            </w14:solidFill>
          </w14:textFill>
        </w:rPr>
        <w:sectPr>
          <w:pgSz w:w="11911" w:h="16838"/>
          <w:pgMar w:top="1134" w:right="1134" w:bottom="1134" w:left="1134" w:header="720" w:footer="720" w:gutter="0"/>
          <w:cols w:space="720" w:num="1"/>
        </w:sectPr>
      </w:pPr>
    </w:p>
    <w:p w14:paraId="19A464E2">
      <w:pPr>
        <w:snapToGrid w:val="0"/>
        <w:spacing w:before="120" w:beforeLines="50" w:after="50" w:line="360" w:lineRule="auto"/>
        <w:jc w:val="left"/>
        <w:outlineLvl w:val="2"/>
        <w:rPr>
          <w:b/>
          <w:color w:val="000000" w:themeColor="text1"/>
          <w:sz w:val="28"/>
          <w:szCs w:val="28"/>
          <w:highlight w:val="none"/>
          <w14:textFill>
            <w14:solidFill>
              <w14:schemeClr w14:val="tx1"/>
            </w14:solidFill>
          </w14:textFill>
        </w:rPr>
      </w:pPr>
      <w:bookmarkStart w:id="218" w:name="_Toc9925"/>
      <w:r>
        <w:rPr>
          <w:b/>
          <w:color w:val="000000" w:themeColor="text1"/>
          <w:sz w:val="28"/>
          <w:szCs w:val="28"/>
          <w:highlight w:val="none"/>
          <w14:textFill>
            <w14:solidFill>
              <w14:schemeClr w14:val="tx1"/>
            </w14:solidFill>
          </w14:textFill>
        </w:rPr>
        <w:t>7.建设</w:t>
      </w:r>
      <w:r>
        <w:rPr>
          <w:rFonts w:ascii="Times New Roman" w:hAnsi="Times New Roman" w:eastAsia="宋体" w:cs="Times New Roman"/>
          <w:b/>
          <w:bCs/>
          <w:color w:val="000000" w:themeColor="text1"/>
          <w:sz w:val="28"/>
          <w:szCs w:val="28"/>
          <w:highlight w:val="none"/>
          <w14:textFill>
            <w14:solidFill>
              <w14:schemeClr w14:val="tx1"/>
            </w14:solidFill>
          </w14:textFill>
        </w:rPr>
        <w:t>工程</w:t>
      </w:r>
      <w:r>
        <w:rPr>
          <w:b/>
          <w:color w:val="000000" w:themeColor="text1"/>
          <w:sz w:val="28"/>
          <w:szCs w:val="28"/>
          <w:highlight w:val="none"/>
          <w14:textFill>
            <w14:solidFill>
              <w14:schemeClr w14:val="tx1"/>
            </w14:solidFill>
          </w14:textFill>
        </w:rPr>
        <w:t>项目管理承诺书的格式：</w:t>
      </w:r>
      <w:bookmarkEnd w:id="218"/>
    </w:p>
    <w:p w14:paraId="016CD75D">
      <w:pPr>
        <w:keepNext w:val="0"/>
        <w:keepLines w:val="0"/>
        <w:pageBreakBefore w:val="0"/>
        <w:widowControl w:val="0"/>
        <w:kinsoku/>
        <w:wordWrap/>
        <w:overflowPunct/>
        <w:topLinePunct w:val="0"/>
        <w:autoSpaceDE/>
        <w:autoSpaceDN/>
        <w:bidi w:val="0"/>
        <w:adjustRightInd/>
        <w:spacing w:line="360" w:lineRule="auto"/>
        <w:textAlignment w:val="auto"/>
        <w:rPr>
          <w:rFonts w:cs="宋体"/>
          <w:b/>
          <w:bCs/>
          <w:color w:val="000000" w:themeColor="text1"/>
          <w:sz w:val="28"/>
          <w:szCs w:val="28"/>
          <w:highlight w:val="none"/>
          <w14:textFill>
            <w14:solidFill>
              <w14:schemeClr w14:val="tx1"/>
            </w14:solidFill>
          </w14:textFill>
        </w:rPr>
      </w:pPr>
    </w:p>
    <w:p w14:paraId="1B07027B">
      <w:pPr>
        <w:keepNext w:val="0"/>
        <w:keepLines w:val="0"/>
        <w:pageBreakBefore w:val="0"/>
        <w:widowControl w:val="0"/>
        <w:kinsoku/>
        <w:wordWrap/>
        <w:overflowPunct/>
        <w:topLinePunct w:val="0"/>
        <w:autoSpaceDE/>
        <w:autoSpaceDN/>
        <w:bidi w:val="0"/>
        <w:adjustRightInd/>
        <w:spacing w:line="360" w:lineRule="auto"/>
        <w:jc w:val="center"/>
        <w:textAlignment w:val="auto"/>
        <w:rPr>
          <w:rFonts w:ascii="宋体" w:hAnsi="宋体" w:cs="宋体"/>
          <w:b/>
          <w:bCs/>
          <w:color w:val="000000" w:themeColor="text1"/>
          <w:sz w:val="32"/>
          <w:szCs w:val="32"/>
          <w:highlight w:val="none"/>
          <w14:textFill>
            <w14:solidFill>
              <w14:schemeClr w14:val="tx1"/>
            </w14:solidFill>
          </w14:textFill>
        </w:rPr>
      </w:pPr>
      <w:r>
        <w:rPr>
          <w:rFonts w:hint="eastAsia" w:ascii="宋体" w:hAnsi="宋体" w:cs="宋体"/>
          <w:b/>
          <w:bCs/>
          <w:color w:val="000000" w:themeColor="text1"/>
          <w:sz w:val="32"/>
          <w:szCs w:val="32"/>
          <w:highlight w:val="none"/>
          <w14:textFill>
            <w14:solidFill>
              <w14:schemeClr w14:val="tx1"/>
            </w14:solidFill>
          </w14:textFill>
        </w:rPr>
        <w:t>建设工程项目管理承诺书</w:t>
      </w:r>
    </w:p>
    <w:p w14:paraId="57AE323B">
      <w:pPr>
        <w:keepNext w:val="0"/>
        <w:keepLines w:val="0"/>
        <w:pageBreakBefore w:val="0"/>
        <w:widowControl w:val="0"/>
        <w:kinsoku/>
        <w:wordWrap/>
        <w:overflowPunct/>
        <w:topLinePunct w:val="0"/>
        <w:autoSpaceDE/>
        <w:autoSpaceDN/>
        <w:bidi w:val="0"/>
        <w:adjustRightInd/>
        <w:spacing w:line="360" w:lineRule="auto"/>
        <w:textAlignment w:val="auto"/>
        <w:rPr>
          <w:rFonts w:ascii="宋体" w:hAnsi="宋体"/>
          <w:color w:val="000000" w:themeColor="text1"/>
          <w:sz w:val="24"/>
          <w:highlight w:val="none"/>
          <w14:textFill>
            <w14:solidFill>
              <w14:schemeClr w14:val="tx1"/>
            </w14:solidFill>
          </w14:textFill>
        </w:rPr>
      </w:pPr>
    </w:p>
    <w:p w14:paraId="3DD1EAC7">
      <w:pPr>
        <w:keepNext w:val="0"/>
        <w:keepLines w:val="0"/>
        <w:pageBreakBefore w:val="0"/>
        <w:widowControl w:val="0"/>
        <w:kinsoku/>
        <w:wordWrap/>
        <w:overflowPunct/>
        <w:topLinePunct w:val="0"/>
        <w:autoSpaceDE/>
        <w:autoSpaceDN/>
        <w:bidi w:val="0"/>
        <w:adjustRightInd/>
        <w:spacing w:line="360" w:lineRule="auto"/>
        <w:textAlignment w:val="auto"/>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致</w:t>
      </w:r>
      <w:r>
        <w:rPr>
          <w:color w:val="000000" w:themeColor="text1"/>
          <w:szCs w:val="21"/>
          <w:highlight w:val="none"/>
          <w:u w:val="single"/>
          <w14:textFill>
            <w14:solidFill>
              <w14:schemeClr w14:val="tx1"/>
            </w14:solidFill>
          </w14:textFill>
        </w:rPr>
        <w:t xml:space="preserve">                        </w:t>
      </w:r>
      <w:r>
        <w:rPr>
          <w:color w:val="000000" w:themeColor="text1"/>
          <w:szCs w:val="21"/>
          <w:highlight w:val="none"/>
          <w14:textFill>
            <w14:solidFill>
              <w14:schemeClr w14:val="tx1"/>
            </w14:solidFill>
          </w14:textFill>
        </w:rPr>
        <w:t>（采购人名称）：</w:t>
      </w:r>
    </w:p>
    <w:p w14:paraId="2C21A759">
      <w:pPr>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作为参与</w:t>
      </w:r>
      <w:r>
        <w:rPr>
          <w:color w:val="000000" w:themeColor="text1"/>
          <w:szCs w:val="21"/>
          <w:highlight w:val="none"/>
          <w:u w:val="single"/>
          <w14:textFill>
            <w14:solidFill>
              <w14:schemeClr w14:val="tx1"/>
            </w14:solidFill>
          </w14:textFill>
        </w:rPr>
        <w:t xml:space="preserve">                  </w:t>
      </w:r>
      <w:r>
        <w:rPr>
          <w:color w:val="000000" w:themeColor="text1"/>
          <w:szCs w:val="21"/>
          <w:highlight w:val="none"/>
          <w14:textFill>
            <w14:solidFill>
              <w14:schemeClr w14:val="tx1"/>
            </w14:solidFill>
          </w14:textFill>
        </w:rPr>
        <w:t>（项目名称）项目的供应商，根据国家、自治区相关文件规定，我方在此向采购人承诺：</w:t>
      </w:r>
    </w:p>
    <w:p w14:paraId="259B59D6">
      <w:pPr>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1、一旦成交，我方保证按照政府相关部门的规定，在成交后7个工作日内，按照《保障农民工工资支付条例》规定及广西壮族自治区有关规定开设农民工工资专用账户，专项用于支付本工程提供劳动的农民工工资。并按照与农民工依法约定的工资支付周期和具体支付日期支付工资，保证每月至少向农民工足额支付一次工资。</w:t>
      </w:r>
    </w:p>
    <w:p w14:paraId="7D35C2EA">
      <w:pPr>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2、一旦成交，我方保证在施工过程中，严格执行《广西壮族自治区建筑工程安全文明施工费使用管理细则》（桂建质〔2015〕16号）的有关规定，确保建设工程各项安全防护、文明施工措施落实到位。如我方在该项目的承包中出现未按桂建质〔2015〕16号文附件一规定执行的情形，我方愿意按照相关规定接受建设单位及有关主管部门的处罚。</w:t>
      </w:r>
    </w:p>
    <w:p w14:paraId="3900D0D2">
      <w:pPr>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3、一旦成交，我方保证在施工过程中，严格执行散装水泥和预拌混凝土管理的有关规定，确保建设工程按规定使用散装水泥和预拌混凝土。如我方在该项目的承包中出现未按规定执行的情形，我方愿意按照相关规定接受建设单位及有关主管部门的处罚。</w:t>
      </w:r>
    </w:p>
    <w:p w14:paraId="105F01C0">
      <w:pPr>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4、一旦成交，我方保证在施工过程中，严格执行《关于禁止使用不符合规范要求的竹脚手架的通知》（桂建管字〔2003〕40号）的有关规定，不使用竹脚手架。如我方在该项目的承包中出现未按规定执行的情形，我方愿意按照相关规定接受建设单位及有关主管部门的处罚。</w:t>
      </w:r>
    </w:p>
    <w:p w14:paraId="71656415">
      <w:pPr>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5、一旦成交，我方保证严格执行《危险性较大的分部分项工程安全管理规定》（建办质〔2018〕31号）的规定，强化对深基坑、高切坡、高大模板、人工挖孔桩、起重吊装、临时活动板房等重大危险源的专项施工方案的编制、论证、审批、实施、检测的风险管理。</w:t>
      </w:r>
    </w:p>
    <w:p w14:paraId="756DFEBA">
      <w:pPr>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color w:val="000000" w:themeColor="text1"/>
          <w:szCs w:val="21"/>
          <w:highlight w:val="none"/>
          <w14:textFill>
            <w14:solidFill>
              <w14:schemeClr w14:val="tx1"/>
            </w14:solidFill>
          </w14:textFill>
        </w:rPr>
      </w:pPr>
    </w:p>
    <w:p w14:paraId="3C7DD8BF">
      <w:pPr>
        <w:keepNext w:val="0"/>
        <w:keepLines w:val="0"/>
        <w:pageBreakBefore w:val="0"/>
        <w:widowControl w:val="0"/>
        <w:kinsoku/>
        <w:wordWrap/>
        <w:overflowPunct/>
        <w:topLinePunct w:val="0"/>
        <w:autoSpaceDE/>
        <w:autoSpaceDN/>
        <w:bidi w:val="0"/>
        <w:adjustRightInd/>
        <w:spacing w:line="360" w:lineRule="auto"/>
        <w:ind w:firstLine="4410" w:firstLineChars="2100"/>
        <w:textAlignment w:val="auto"/>
        <w:rPr>
          <w:color w:val="000000" w:themeColor="text1"/>
          <w:szCs w:val="21"/>
          <w:highlight w:val="none"/>
          <w:u w:val="single"/>
          <w14:textFill>
            <w14:solidFill>
              <w14:schemeClr w14:val="tx1"/>
            </w14:solidFill>
          </w14:textFill>
        </w:rPr>
      </w:pPr>
      <w:r>
        <w:rPr>
          <w:color w:val="000000" w:themeColor="text1"/>
          <w:szCs w:val="21"/>
          <w:highlight w:val="none"/>
          <w14:textFill>
            <w14:solidFill>
              <w14:schemeClr w14:val="tx1"/>
            </w14:solidFill>
          </w14:textFill>
        </w:rPr>
        <w:t>供应商</w:t>
      </w:r>
      <w:r>
        <w:rPr>
          <w:color w:val="000000" w:themeColor="text1"/>
          <w:kern w:val="0"/>
          <w:szCs w:val="21"/>
          <w:highlight w:val="none"/>
          <w14:textFill>
            <w14:solidFill>
              <w14:schemeClr w14:val="tx1"/>
            </w14:solidFill>
          </w14:textFill>
        </w:rPr>
        <w:t>名称</w:t>
      </w:r>
      <w:r>
        <w:rPr>
          <w:color w:val="000000" w:themeColor="text1"/>
          <w:szCs w:val="21"/>
          <w:highlight w:val="none"/>
          <w14:textFill>
            <w14:solidFill>
              <w14:schemeClr w14:val="tx1"/>
            </w14:solidFill>
          </w14:textFill>
        </w:rPr>
        <w:t>（盖公章）：</w:t>
      </w:r>
      <w:r>
        <w:rPr>
          <w:color w:val="000000" w:themeColor="text1"/>
          <w:szCs w:val="21"/>
          <w:highlight w:val="none"/>
          <w:u w:val="single"/>
          <w14:textFill>
            <w14:solidFill>
              <w14:schemeClr w14:val="tx1"/>
            </w14:solidFill>
          </w14:textFill>
        </w:rPr>
        <w:t xml:space="preserve">                   </w:t>
      </w:r>
    </w:p>
    <w:p w14:paraId="4E1E764C">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 xml:space="preserve">                         </w:t>
      </w:r>
      <w:r>
        <w:rPr>
          <w:color w:val="000000" w:themeColor="text1"/>
          <w:szCs w:val="21"/>
          <w:highlight w:val="none"/>
          <w14:textFill>
            <w14:solidFill>
              <w14:schemeClr w14:val="tx1"/>
            </w14:solidFill>
          </w14:textFill>
        </w:rPr>
        <w:t>日期：</w:t>
      </w:r>
      <w:r>
        <w:rPr>
          <w:color w:val="000000" w:themeColor="text1"/>
          <w:szCs w:val="21"/>
          <w:highlight w:val="none"/>
          <w:u w:val="single"/>
          <w14:textFill>
            <w14:solidFill>
              <w14:schemeClr w14:val="tx1"/>
            </w14:solidFill>
          </w14:textFill>
        </w:rPr>
        <w:t xml:space="preserve">         </w:t>
      </w:r>
      <w:r>
        <w:rPr>
          <w:color w:val="000000" w:themeColor="text1"/>
          <w:szCs w:val="21"/>
          <w:highlight w:val="none"/>
          <w14:textFill>
            <w14:solidFill>
              <w14:schemeClr w14:val="tx1"/>
            </w14:solidFill>
          </w14:textFill>
        </w:rPr>
        <w:t>年</w:t>
      </w:r>
      <w:r>
        <w:rPr>
          <w:color w:val="000000" w:themeColor="text1"/>
          <w:szCs w:val="21"/>
          <w:highlight w:val="none"/>
          <w:u w:val="single"/>
          <w14:textFill>
            <w14:solidFill>
              <w14:schemeClr w14:val="tx1"/>
            </w14:solidFill>
          </w14:textFill>
        </w:rPr>
        <w:t xml:space="preserve">        </w:t>
      </w:r>
      <w:r>
        <w:rPr>
          <w:color w:val="000000" w:themeColor="text1"/>
          <w:szCs w:val="21"/>
          <w:highlight w:val="none"/>
          <w14:textFill>
            <w14:solidFill>
              <w14:schemeClr w14:val="tx1"/>
            </w14:solidFill>
          </w14:textFill>
        </w:rPr>
        <w:t>月</w:t>
      </w:r>
      <w:r>
        <w:rPr>
          <w:color w:val="000000" w:themeColor="text1"/>
          <w:szCs w:val="21"/>
          <w:highlight w:val="none"/>
          <w:u w:val="single"/>
          <w14:textFill>
            <w14:solidFill>
              <w14:schemeClr w14:val="tx1"/>
            </w14:solidFill>
          </w14:textFill>
        </w:rPr>
        <w:t xml:space="preserve">        </w:t>
      </w:r>
      <w:r>
        <w:rPr>
          <w:color w:val="000000" w:themeColor="text1"/>
          <w:szCs w:val="21"/>
          <w:highlight w:val="none"/>
          <w14:textFill>
            <w14:solidFill>
              <w14:schemeClr w14:val="tx1"/>
            </w14:solidFill>
          </w14:textFill>
        </w:rPr>
        <w:t>日</w:t>
      </w:r>
      <w:r>
        <w:rPr>
          <w:color w:val="000000" w:themeColor="text1"/>
          <w:szCs w:val="21"/>
          <w:highlight w:val="none"/>
          <w14:textFill>
            <w14:solidFill>
              <w14:schemeClr w14:val="tx1"/>
            </w14:solidFill>
          </w14:textFill>
        </w:rPr>
        <w:br w:type="page"/>
      </w:r>
      <w:r>
        <w:rPr>
          <w:rFonts w:hint="eastAsia" w:ascii="宋体" w:hAnsi="宋体" w:eastAsia="宋体" w:cs="宋体"/>
          <w:b/>
          <w:bCs/>
          <w:color w:val="000000" w:themeColor="text1"/>
          <w:sz w:val="24"/>
          <w:szCs w:val="24"/>
          <w:highlight w:val="none"/>
          <w14:textFill>
            <w14:solidFill>
              <w14:schemeClr w14:val="tx1"/>
            </w14:solidFill>
          </w14:textFill>
        </w:rPr>
        <w:t>广西壮族自治区建筑工程安全文明施工措施项目清单内容</w:t>
      </w:r>
    </w:p>
    <w:p w14:paraId="70EDA12E">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（桂建质〔2015〕16号文附件一）</w:t>
      </w:r>
    </w:p>
    <w:p w14:paraId="3D89D10B">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广西壮族自治区</w:t>
      </w:r>
    </w:p>
    <w:p w14:paraId="185C009B">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color w:val="000000" w:themeColor="text1"/>
          <w:w w:val="90"/>
          <w:sz w:val="24"/>
          <w:szCs w:val="24"/>
          <w:highlight w:val="none"/>
          <w14:textFill>
            <w14:solidFill>
              <w14:schemeClr w14:val="tx1"/>
            </w14:solidFill>
          </w14:textFill>
        </w:rPr>
      </w:pPr>
      <w:r>
        <w:rPr>
          <w:rFonts w:hint="eastAsia" w:ascii="宋体" w:hAnsi="宋体" w:eastAsia="宋体" w:cs="宋体"/>
          <w:b/>
          <w:bCs/>
          <w:color w:val="000000" w:themeColor="text1"/>
          <w:w w:val="90"/>
          <w:sz w:val="24"/>
          <w:szCs w:val="24"/>
          <w:highlight w:val="none"/>
          <w14:textFill>
            <w14:solidFill>
              <w14:schemeClr w14:val="tx1"/>
            </w14:solidFill>
          </w14:textFill>
        </w:rPr>
        <w:t>建设工程安全文明施工措施项目清单内容</w:t>
      </w:r>
    </w:p>
    <w:tbl>
      <w:tblPr>
        <w:tblStyle w:val="29"/>
        <w:tblW w:w="9453" w:type="dxa"/>
        <w:tblInd w:w="108"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38"/>
        <w:gridCol w:w="525"/>
        <w:gridCol w:w="1545"/>
        <w:gridCol w:w="6645"/>
      </w:tblGrid>
      <w:tr w14:paraId="4EB6E7B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01" w:hRule="exact"/>
        </w:trPr>
        <w:tc>
          <w:tcPr>
            <w:tcW w:w="738" w:type="dxa"/>
            <w:tcBorders>
              <w:top w:val="single" w:color="auto" w:sz="12" w:space="0"/>
            </w:tcBorders>
            <w:noWrap w:val="0"/>
            <w:vAlign w:val="center"/>
          </w:tcPr>
          <w:p w14:paraId="02C63300">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color w:val="000000" w:themeColor="text1"/>
                <w:sz w:val="18"/>
                <w:szCs w:val="18"/>
                <w:highlight w:val="none"/>
                <w14:textFill>
                  <w14:solidFill>
                    <w14:schemeClr w14:val="tx1"/>
                  </w14:solidFill>
                </w14:textFill>
              </w:rPr>
            </w:pPr>
            <w:r>
              <w:rPr>
                <w:rFonts w:hint="eastAsia" w:ascii="宋体" w:hAnsi="宋体" w:eastAsia="宋体" w:cs="宋体"/>
                <w:b/>
                <w:bCs/>
                <w:color w:val="000000" w:themeColor="text1"/>
                <w:sz w:val="18"/>
                <w:szCs w:val="18"/>
                <w:highlight w:val="none"/>
                <w14:textFill>
                  <w14:solidFill>
                    <w14:schemeClr w14:val="tx1"/>
                  </w14:solidFill>
                </w14:textFill>
              </w:rPr>
              <w:t>类别</w:t>
            </w:r>
          </w:p>
        </w:tc>
        <w:tc>
          <w:tcPr>
            <w:tcW w:w="2070" w:type="dxa"/>
            <w:gridSpan w:val="2"/>
            <w:tcBorders>
              <w:top w:val="single" w:color="auto" w:sz="12" w:space="0"/>
            </w:tcBorders>
            <w:noWrap w:val="0"/>
            <w:vAlign w:val="center"/>
          </w:tcPr>
          <w:p w14:paraId="048157BE">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color w:val="000000" w:themeColor="text1"/>
                <w:sz w:val="18"/>
                <w:szCs w:val="18"/>
                <w:highlight w:val="none"/>
                <w14:textFill>
                  <w14:solidFill>
                    <w14:schemeClr w14:val="tx1"/>
                  </w14:solidFill>
                </w14:textFill>
              </w:rPr>
            </w:pPr>
            <w:r>
              <w:rPr>
                <w:rFonts w:hint="eastAsia" w:ascii="宋体" w:hAnsi="宋体" w:eastAsia="宋体" w:cs="宋体"/>
                <w:b/>
                <w:bCs/>
                <w:color w:val="000000" w:themeColor="text1"/>
                <w:sz w:val="18"/>
                <w:szCs w:val="18"/>
                <w:highlight w:val="none"/>
                <w14:textFill>
                  <w14:solidFill>
                    <w14:schemeClr w14:val="tx1"/>
                  </w14:solidFill>
                </w14:textFill>
              </w:rPr>
              <w:t>项目名称</w:t>
            </w:r>
          </w:p>
        </w:tc>
        <w:tc>
          <w:tcPr>
            <w:tcW w:w="6645" w:type="dxa"/>
            <w:tcBorders>
              <w:top w:val="single" w:color="auto" w:sz="12" w:space="0"/>
            </w:tcBorders>
            <w:noWrap w:val="0"/>
            <w:vAlign w:val="center"/>
          </w:tcPr>
          <w:p w14:paraId="0AE2AB52">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color w:val="000000" w:themeColor="text1"/>
                <w:sz w:val="18"/>
                <w:szCs w:val="18"/>
                <w:highlight w:val="none"/>
                <w14:textFill>
                  <w14:solidFill>
                    <w14:schemeClr w14:val="tx1"/>
                  </w14:solidFill>
                </w14:textFill>
              </w:rPr>
            </w:pPr>
            <w:r>
              <w:rPr>
                <w:rFonts w:hint="eastAsia" w:ascii="宋体" w:hAnsi="宋体" w:eastAsia="宋体" w:cs="宋体"/>
                <w:b/>
                <w:bCs/>
                <w:color w:val="000000" w:themeColor="text1"/>
                <w:sz w:val="18"/>
                <w:szCs w:val="18"/>
                <w:highlight w:val="none"/>
                <w14:textFill>
                  <w14:solidFill>
                    <w14:schemeClr w14:val="tx1"/>
                  </w14:solidFill>
                </w14:textFill>
              </w:rPr>
              <w:t>主要内容和要求</w:t>
            </w:r>
          </w:p>
        </w:tc>
      </w:tr>
      <w:tr w14:paraId="0F3E39C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738" w:type="dxa"/>
            <w:vMerge w:val="restart"/>
            <w:noWrap w:val="0"/>
            <w:vAlign w:val="center"/>
          </w:tcPr>
          <w:p w14:paraId="16CA323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文明</w:t>
            </w:r>
          </w:p>
          <w:p w14:paraId="639A81C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施工</w:t>
            </w:r>
          </w:p>
          <w:p w14:paraId="1F30741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与</w:t>
            </w:r>
          </w:p>
          <w:p w14:paraId="71949E3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环境</w:t>
            </w:r>
          </w:p>
          <w:p w14:paraId="62120D7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保护</w:t>
            </w:r>
          </w:p>
        </w:tc>
        <w:tc>
          <w:tcPr>
            <w:tcW w:w="2070" w:type="dxa"/>
            <w:gridSpan w:val="2"/>
            <w:noWrap w:val="0"/>
            <w:vAlign w:val="center"/>
          </w:tcPr>
          <w:p w14:paraId="494472FF">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安全警示标志牌</w:t>
            </w:r>
          </w:p>
        </w:tc>
        <w:tc>
          <w:tcPr>
            <w:tcW w:w="6645" w:type="dxa"/>
            <w:noWrap w:val="0"/>
            <w:vAlign w:val="center"/>
          </w:tcPr>
          <w:p w14:paraId="0A202A0F">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在易发伤亡事故（或危险）处设置明显的、符合国家标准要求的安全警示标志牌。</w:t>
            </w:r>
          </w:p>
        </w:tc>
      </w:tr>
      <w:tr w14:paraId="6D25FCB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738" w:type="dxa"/>
            <w:vMerge w:val="continue"/>
            <w:noWrap w:val="0"/>
            <w:vAlign w:val="center"/>
          </w:tcPr>
          <w:p w14:paraId="006B61E3">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000000" w:themeColor="text1"/>
                <w:sz w:val="18"/>
                <w:szCs w:val="18"/>
                <w:highlight w:val="none"/>
                <w14:textFill>
                  <w14:solidFill>
                    <w14:schemeClr w14:val="tx1"/>
                  </w14:solidFill>
                </w14:textFill>
              </w:rPr>
            </w:pPr>
          </w:p>
        </w:tc>
        <w:tc>
          <w:tcPr>
            <w:tcW w:w="2070" w:type="dxa"/>
            <w:gridSpan w:val="2"/>
            <w:noWrap w:val="0"/>
            <w:vAlign w:val="center"/>
          </w:tcPr>
          <w:p w14:paraId="01275D23">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现场围挡</w:t>
            </w:r>
          </w:p>
        </w:tc>
        <w:tc>
          <w:tcPr>
            <w:tcW w:w="6645" w:type="dxa"/>
            <w:noWrap w:val="0"/>
            <w:vAlign w:val="center"/>
          </w:tcPr>
          <w:p w14:paraId="22A8E32D">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1</w:t>
            </w:r>
            <w:r>
              <w:rPr>
                <w:rFonts w:hint="eastAsia" w:ascii="宋体" w:hAnsi="宋体" w:eastAsia="宋体" w:cs="宋体"/>
                <w:color w:val="000000" w:themeColor="text1"/>
                <w:sz w:val="18"/>
                <w:szCs w:val="18"/>
                <w:highlight w:val="none"/>
                <w:lang w:eastAsia="zh-CN"/>
                <w14:textFill>
                  <w14:solidFill>
                    <w14:schemeClr w14:val="tx1"/>
                  </w14:solidFill>
                </w14:textFill>
              </w:rPr>
              <w:t>、</w:t>
            </w:r>
            <w:r>
              <w:rPr>
                <w:rFonts w:hint="eastAsia" w:ascii="宋体" w:hAnsi="宋体" w:eastAsia="宋体" w:cs="宋体"/>
                <w:color w:val="000000" w:themeColor="text1"/>
                <w:sz w:val="18"/>
                <w:szCs w:val="18"/>
                <w:highlight w:val="none"/>
                <w14:textFill>
                  <w14:solidFill>
                    <w14:schemeClr w14:val="tx1"/>
                  </w14:solidFill>
                </w14:textFill>
              </w:rPr>
              <w:t>现场采用封闭围挡，高度不小于1.8m。</w:t>
            </w:r>
          </w:p>
          <w:p w14:paraId="508F2B7B">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2</w:t>
            </w:r>
            <w:r>
              <w:rPr>
                <w:rFonts w:hint="eastAsia" w:ascii="宋体" w:hAnsi="宋体" w:eastAsia="宋体" w:cs="宋体"/>
                <w:color w:val="000000" w:themeColor="text1"/>
                <w:sz w:val="18"/>
                <w:szCs w:val="18"/>
                <w:highlight w:val="none"/>
                <w:lang w:eastAsia="zh-CN"/>
                <w14:textFill>
                  <w14:solidFill>
                    <w14:schemeClr w14:val="tx1"/>
                  </w14:solidFill>
                </w14:textFill>
              </w:rPr>
              <w:t>、</w:t>
            </w:r>
            <w:r>
              <w:rPr>
                <w:rFonts w:hint="eastAsia" w:ascii="宋体" w:hAnsi="宋体" w:eastAsia="宋体" w:cs="宋体"/>
                <w:color w:val="000000" w:themeColor="text1"/>
                <w:sz w:val="18"/>
                <w:szCs w:val="18"/>
                <w:highlight w:val="none"/>
                <w14:textFill>
                  <w14:solidFill>
                    <w14:schemeClr w14:val="tx1"/>
                  </w14:solidFill>
                </w14:textFill>
              </w:rPr>
              <w:t>围挡材料可用彩色、定型钢板，砌块等墙体。</w:t>
            </w:r>
          </w:p>
        </w:tc>
      </w:tr>
      <w:tr w14:paraId="1AD3E5C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738" w:type="dxa"/>
            <w:vMerge w:val="continue"/>
            <w:noWrap w:val="0"/>
            <w:vAlign w:val="center"/>
          </w:tcPr>
          <w:p w14:paraId="1A7850AC">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000000" w:themeColor="text1"/>
                <w:sz w:val="18"/>
                <w:szCs w:val="18"/>
                <w:highlight w:val="none"/>
                <w14:textFill>
                  <w14:solidFill>
                    <w14:schemeClr w14:val="tx1"/>
                  </w14:solidFill>
                </w14:textFill>
              </w:rPr>
            </w:pPr>
          </w:p>
        </w:tc>
        <w:tc>
          <w:tcPr>
            <w:tcW w:w="2070" w:type="dxa"/>
            <w:gridSpan w:val="2"/>
            <w:noWrap w:val="0"/>
            <w:vAlign w:val="center"/>
          </w:tcPr>
          <w:p w14:paraId="7FB6582F">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七牌二图</w:t>
            </w:r>
          </w:p>
        </w:tc>
        <w:tc>
          <w:tcPr>
            <w:tcW w:w="6645" w:type="dxa"/>
            <w:noWrap w:val="0"/>
            <w:vAlign w:val="center"/>
          </w:tcPr>
          <w:p w14:paraId="71B96F65">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在进门处悬挂工程概况、现场出入制度、管理人员名单及监督电话、安全生产规定、文明施工、消防保卫、节能公示等七牌以及施工现场总平面图、工程效果图。</w:t>
            </w:r>
          </w:p>
        </w:tc>
      </w:tr>
      <w:tr w14:paraId="1E010C9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10" w:hRule="atLeast"/>
        </w:trPr>
        <w:tc>
          <w:tcPr>
            <w:tcW w:w="738" w:type="dxa"/>
            <w:vMerge w:val="continue"/>
            <w:noWrap w:val="0"/>
            <w:vAlign w:val="center"/>
          </w:tcPr>
          <w:p w14:paraId="128A8BB6">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000000" w:themeColor="text1"/>
                <w:sz w:val="18"/>
                <w:szCs w:val="18"/>
                <w:highlight w:val="none"/>
                <w14:textFill>
                  <w14:solidFill>
                    <w14:schemeClr w14:val="tx1"/>
                  </w14:solidFill>
                </w14:textFill>
              </w:rPr>
            </w:pPr>
          </w:p>
        </w:tc>
        <w:tc>
          <w:tcPr>
            <w:tcW w:w="2070" w:type="dxa"/>
            <w:gridSpan w:val="2"/>
            <w:noWrap w:val="0"/>
            <w:vAlign w:val="center"/>
          </w:tcPr>
          <w:p w14:paraId="16373086">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企业标志</w:t>
            </w:r>
          </w:p>
        </w:tc>
        <w:tc>
          <w:tcPr>
            <w:tcW w:w="6645" w:type="dxa"/>
            <w:noWrap w:val="0"/>
            <w:vAlign w:val="center"/>
          </w:tcPr>
          <w:p w14:paraId="1117AFCA">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现场出入的大门应设有本企业标志或企业标识。</w:t>
            </w:r>
          </w:p>
        </w:tc>
      </w:tr>
      <w:tr w14:paraId="43E2F82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738" w:type="dxa"/>
            <w:vMerge w:val="continue"/>
            <w:noWrap w:val="0"/>
            <w:vAlign w:val="center"/>
          </w:tcPr>
          <w:p w14:paraId="1B511F61">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000000" w:themeColor="text1"/>
                <w:sz w:val="18"/>
                <w:szCs w:val="18"/>
                <w:highlight w:val="none"/>
                <w14:textFill>
                  <w14:solidFill>
                    <w14:schemeClr w14:val="tx1"/>
                  </w14:solidFill>
                </w14:textFill>
              </w:rPr>
            </w:pPr>
          </w:p>
        </w:tc>
        <w:tc>
          <w:tcPr>
            <w:tcW w:w="2070" w:type="dxa"/>
            <w:gridSpan w:val="2"/>
            <w:noWrap w:val="0"/>
            <w:vAlign w:val="center"/>
          </w:tcPr>
          <w:p w14:paraId="14FA8ABC">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场容场貌</w:t>
            </w:r>
          </w:p>
        </w:tc>
        <w:tc>
          <w:tcPr>
            <w:tcW w:w="6645" w:type="dxa"/>
            <w:noWrap w:val="0"/>
            <w:vAlign w:val="center"/>
          </w:tcPr>
          <w:p w14:paraId="00CD762E">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1</w:t>
            </w:r>
            <w:r>
              <w:rPr>
                <w:rFonts w:hint="eastAsia" w:ascii="宋体" w:hAnsi="宋体" w:eastAsia="宋体" w:cs="宋体"/>
                <w:color w:val="000000" w:themeColor="text1"/>
                <w:sz w:val="18"/>
                <w:szCs w:val="18"/>
                <w:highlight w:val="none"/>
                <w:lang w:eastAsia="zh-CN"/>
                <w14:textFill>
                  <w14:solidFill>
                    <w14:schemeClr w14:val="tx1"/>
                  </w14:solidFill>
                </w14:textFill>
              </w:rPr>
              <w:t>、</w:t>
            </w:r>
            <w:r>
              <w:rPr>
                <w:rFonts w:hint="eastAsia" w:ascii="宋体" w:hAnsi="宋体" w:eastAsia="宋体" w:cs="宋体"/>
                <w:color w:val="000000" w:themeColor="text1"/>
                <w:sz w:val="18"/>
                <w:szCs w:val="18"/>
                <w:highlight w:val="none"/>
                <w14:textFill>
                  <w14:solidFill>
                    <w14:schemeClr w14:val="tx1"/>
                  </w14:solidFill>
                </w14:textFill>
              </w:rPr>
              <w:t>道路畅通。</w:t>
            </w:r>
          </w:p>
          <w:p w14:paraId="00D10E7D">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2</w:t>
            </w:r>
            <w:r>
              <w:rPr>
                <w:rFonts w:hint="eastAsia" w:ascii="宋体" w:hAnsi="宋体" w:eastAsia="宋体" w:cs="宋体"/>
                <w:color w:val="000000" w:themeColor="text1"/>
                <w:sz w:val="18"/>
                <w:szCs w:val="18"/>
                <w:highlight w:val="none"/>
                <w:lang w:eastAsia="zh-CN"/>
                <w14:textFill>
                  <w14:solidFill>
                    <w14:schemeClr w14:val="tx1"/>
                  </w14:solidFill>
                </w14:textFill>
              </w:rPr>
              <w:t>、</w:t>
            </w:r>
            <w:r>
              <w:rPr>
                <w:rFonts w:hint="eastAsia" w:ascii="宋体" w:hAnsi="宋体" w:eastAsia="宋体" w:cs="宋体"/>
                <w:color w:val="000000" w:themeColor="text1"/>
                <w:sz w:val="18"/>
                <w:szCs w:val="18"/>
                <w:highlight w:val="none"/>
                <w14:textFill>
                  <w14:solidFill>
                    <w14:schemeClr w14:val="tx1"/>
                  </w14:solidFill>
                </w14:textFill>
              </w:rPr>
              <w:t>排水设施齐全畅通。</w:t>
            </w:r>
          </w:p>
          <w:p w14:paraId="16A4478F">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3</w:t>
            </w:r>
            <w:r>
              <w:rPr>
                <w:rFonts w:hint="eastAsia" w:ascii="宋体" w:hAnsi="宋体" w:eastAsia="宋体" w:cs="宋体"/>
                <w:color w:val="000000" w:themeColor="text1"/>
                <w:sz w:val="18"/>
                <w:szCs w:val="18"/>
                <w:highlight w:val="none"/>
                <w:lang w:eastAsia="zh-CN"/>
                <w14:textFill>
                  <w14:solidFill>
                    <w14:schemeClr w14:val="tx1"/>
                  </w14:solidFill>
                </w14:textFill>
              </w:rPr>
              <w:t>、</w:t>
            </w:r>
            <w:r>
              <w:rPr>
                <w:rFonts w:hint="eastAsia" w:ascii="宋体" w:hAnsi="宋体" w:eastAsia="宋体" w:cs="宋体"/>
                <w:color w:val="000000" w:themeColor="text1"/>
                <w:sz w:val="18"/>
                <w:szCs w:val="18"/>
                <w:highlight w:val="none"/>
                <w14:textFill>
                  <w14:solidFill>
                    <w14:schemeClr w14:val="tx1"/>
                  </w14:solidFill>
                </w14:textFill>
              </w:rPr>
              <w:t>工地地面硬化处理（办公区、生活区、现场道路、材料堆放、混凝土搅拌、砂浆搅拌、钢筋加工等场地和外脚手架基础等）。</w:t>
            </w:r>
          </w:p>
        </w:tc>
      </w:tr>
      <w:tr w14:paraId="4A250C3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738" w:type="dxa"/>
            <w:vMerge w:val="continue"/>
            <w:noWrap w:val="0"/>
            <w:vAlign w:val="center"/>
          </w:tcPr>
          <w:p w14:paraId="732138D1">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000000" w:themeColor="text1"/>
                <w:sz w:val="18"/>
                <w:szCs w:val="18"/>
                <w:highlight w:val="none"/>
                <w14:textFill>
                  <w14:solidFill>
                    <w14:schemeClr w14:val="tx1"/>
                  </w14:solidFill>
                </w14:textFill>
              </w:rPr>
            </w:pPr>
          </w:p>
        </w:tc>
        <w:tc>
          <w:tcPr>
            <w:tcW w:w="2070" w:type="dxa"/>
            <w:gridSpan w:val="2"/>
            <w:noWrap w:val="0"/>
            <w:vAlign w:val="center"/>
          </w:tcPr>
          <w:p w14:paraId="5BF95F10">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材料堆放</w:t>
            </w:r>
          </w:p>
        </w:tc>
        <w:tc>
          <w:tcPr>
            <w:tcW w:w="6645" w:type="dxa"/>
            <w:noWrap w:val="0"/>
            <w:vAlign w:val="center"/>
          </w:tcPr>
          <w:p w14:paraId="36817F8B">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sz w:val="18"/>
                <w:szCs w:val="18"/>
                <w:highlight w:val="none"/>
                <w:lang w:val="en-US" w:eastAsia="zh-CN"/>
                <w14:textFill>
                  <w14:solidFill>
                    <w14:schemeClr w14:val="tx1"/>
                  </w14:solidFill>
                </w14:textFill>
              </w:rPr>
              <w:t>1、</w:t>
            </w:r>
            <w:r>
              <w:rPr>
                <w:rFonts w:hint="eastAsia" w:ascii="宋体" w:hAnsi="宋体" w:eastAsia="宋体" w:cs="宋体"/>
                <w:color w:val="000000" w:themeColor="text1"/>
                <w:sz w:val="18"/>
                <w:szCs w:val="18"/>
                <w:highlight w:val="none"/>
                <w14:textFill>
                  <w14:solidFill>
                    <w14:schemeClr w14:val="tx1"/>
                  </w14:solidFill>
                </w14:textFill>
              </w:rPr>
              <w:t>材料、构件、料具等堆放时，应有名称、品种、规格等标牌。</w:t>
            </w:r>
          </w:p>
          <w:p w14:paraId="5E8F5A8B">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2</w:t>
            </w:r>
            <w:r>
              <w:rPr>
                <w:rFonts w:hint="eastAsia" w:ascii="宋体" w:hAnsi="宋体" w:eastAsia="宋体" w:cs="宋体"/>
                <w:color w:val="000000" w:themeColor="text1"/>
                <w:sz w:val="18"/>
                <w:szCs w:val="18"/>
                <w:highlight w:val="none"/>
                <w:lang w:eastAsia="zh-CN"/>
                <w14:textFill>
                  <w14:solidFill>
                    <w14:schemeClr w14:val="tx1"/>
                  </w14:solidFill>
                </w14:textFill>
              </w:rPr>
              <w:t>、</w:t>
            </w:r>
            <w:r>
              <w:rPr>
                <w:rFonts w:hint="eastAsia" w:ascii="宋体" w:hAnsi="宋体" w:eastAsia="宋体" w:cs="宋体"/>
                <w:color w:val="000000" w:themeColor="text1"/>
                <w:sz w:val="18"/>
                <w:szCs w:val="18"/>
                <w:highlight w:val="none"/>
                <w14:textFill>
                  <w14:solidFill>
                    <w14:schemeClr w14:val="tx1"/>
                  </w14:solidFill>
                </w14:textFill>
              </w:rPr>
              <w:t>水泥和其它易飞扬细颗粒建筑材料应封闭存放或采取覆盖等措施。</w:t>
            </w:r>
          </w:p>
          <w:p w14:paraId="6F04C031">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3</w:t>
            </w:r>
            <w:r>
              <w:rPr>
                <w:rFonts w:hint="eastAsia" w:ascii="宋体" w:hAnsi="宋体" w:eastAsia="宋体" w:cs="宋体"/>
                <w:color w:val="000000" w:themeColor="text1"/>
                <w:sz w:val="18"/>
                <w:szCs w:val="18"/>
                <w:highlight w:val="none"/>
                <w:lang w:eastAsia="zh-CN"/>
                <w14:textFill>
                  <w14:solidFill>
                    <w14:schemeClr w14:val="tx1"/>
                  </w14:solidFill>
                </w14:textFill>
              </w:rPr>
              <w:t>、</w:t>
            </w:r>
            <w:r>
              <w:rPr>
                <w:rFonts w:hint="eastAsia" w:ascii="宋体" w:hAnsi="宋体" w:eastAsia="宋体" w:cs="宋体"/>
                <w:color w:val="000000" w:themeColor="text1"/>
                <w:sz w:val="18"/>
                <w:szCs w:val="18"/>
                <w:highlight w:val="none"/>
                <w14:textFill>
                  <w14:solidFill>
                    <w14:schemeClr w14:val="tx1"/>
                  </w14:solidFill>
                </w14:textFill>
              </w:rPr>
              <w:t>易燃、易爆和有毒有害物品分类存放。</w:t>
            </w:r>
          </w:p>
        </w:tc>
      </w:tr>
      <w:tr w14:paraId="6DA2EEC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10" w:hRule="exact"/>
        </w:trPr>
        <w:tc>
          <w:tcPr>
            <w:tcW w:w="738" w:type="dxa"/>
            <w:vMerge w:val="continue"/>
            <w:noWrap w:val="0"/>
            <w:vAlign w:val="center"/>
          </w:tcPr>
          <w:p w14:paraId="4CD86D0F">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000000" w:themeColor="text1"/>
                <w:sz w:val="18"/>
                <w:szCs w:val="18"/>
                <w:highlight w:val="none"/>
                <w14:textFill>
                  <w14:solidFill>
                    <w14:schemeClr w14:val="tx1"/>
                  </w14:solidFill>
                </w14:textFill>
              </w:rPr>
            </w:pPr>
          </w:p>
        </w:tc>
        <w:tc>
          <w:tcPr>
            <w:tcW w:w="2070" w:type="dxa"/>
            <w:gridSpan w:val="2"/>
            <w:noWrap w:val="0"/>
            <w:vAlign w:val="center"/>
          </w:tcPr>
          <w:p w14:paraId="15594729">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现场防火</w:t>
            </w:r>
          </w:p>
        </w:tc>
        <w:tc>
          <w:tcPr>
            <w:tcW w:w="6645" w:type="dxa"/>
            <w:noWrap w:val="0"/>
            <w:vAlign w:val="center"/>
          </w:tcPr>
          <w:p w14:paraId="3E8510C5">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消防器材配置合理，符合消防要求。</w:t>
            </w:r>
          </w:p>
        </w:tc>
      </w:tr>
      <w:tr w14:paraId="2F42463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738" w:type="dxa"/>
            <w:vMerge w:val="continue"/>
            <w:noWrap w:val="0"/>
            <w:vAlign w:val="center"/>
          </w:tcPr>
          <w:p w14:paraId="3A1B79C9">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000000" w:themeColor="text1"/>
                <w:sz w:val="18"/>
                <w:szCs w:val="18"/>
                <w:highlight w:val="none"/>
                <w14:textFill>
                  <w14:solidFill>
                    <w14:schemeClr w14:val="tx1"/>
                  </w14:solidFill>
                </w14:textFill>
              </w:rPr>
            </w:pPr>
          </w:p>
        </w:tc>
        <w:tc>
          <w:tcPr>
            <w:tcW w:w="2070" w:type="dxa"/>
            <w:gridSpan w:val="2"/>
            <w:noWrap w:val="0"/>
            <w:vAlign w:val="center"/>
          </w:tcPr>
          <w:p w14:paraId="11FE327A">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垃圾清运</w:t>
            </w:r>
          </w:p>
        </w:tc>
        <w:tc>
          <w:tcPr>
            <w:tcW w:w="6645" w:type="dxa"/>
            <w:noWrap w:val="0"/>
            <w:vAlign w:val="center"/>
          </w:tcPr>
          <w:p w14:paraId="7DC34A2C">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1</w:t>
            </w:r>
            <w:r>
              <w:rPr>
                <w:rFonts w:hint="eastAsia" w:ascii="宋体" w:hAnsi="宋体" w:eastAsia="宋体" w:cs="宋体"/>
                <w:color w:val="000000" w:themeColor="text1"/>
                <w:sz w:val="18"/>
                <w:szCs w:val="18"/>
                <w:highlight w:val="none"/>
                <w:lang w:eastAsia="zh-CN"/>
                <w14:textFill>
                  <w14:solidFill>
                    <w14:schemeClr w14:val="tx1"/>
                  </w14:solidFill>
                </w14:textFill>
              </w:rPr>
              <w:t>、</w:t>
            </w:r>
            <w:r>
              <w:rPr>
                <w:rFonts w:hint="eastAsia" w:ascii="宋体" w:hAnsi="宋体" w:eastAsia="宋体" w:cs="宋体"/>
                <w:color w:val="000000" w:themeColor="text1"/>
                <w:sz w:val="18"/>
                <w:szCs w:val="18"/>
                <w:highlight w:val="none"/>
                <w14:textFill>
                  <w14:solidFill>
                    <w14:schemeClr w14:val="tx1"/>
                  </w14:solidFill>
                </w14:textFill>
              </w:rPr>
              <w:t>施工现场应设置密闭式垃圾站，施工垃圾、生活垃圾应分类存放。</w:t>
            </w:r>
          </w:p>
          <w:p w14:paraId="46B4DE82">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2</w:t>
            </w:r>
            <w:r>
              <w:rPr>
                <w:rFonts w:hint="eastAsia" w:ascii="宋体" w:hAnsi="宋体" w:eastAsia="宋体" w:cs="宋体"/>
                <w:color w:val="000000" w:themeColor="text1"/>
                <w:sz w:val="18"/>
                <w:szCs w:val="18"/>
                <w:highlight w:val="none"/>
                <w:lang w:eastAsia="zh-CN"/>
                <w14:textFill>
                  <w14:solidFill>
                    <w14:schemeClr w14:val="tx1"/>
                  </w14:solidFill>
                </w14:textFill>
              </w:rPr>
              <w:t>、</w:t>
            </w:r>
            <w:r>
              <w:rPr>
                <w:rFonts w:hint="eastAsia" w:ascii="宋体" w:hAnsi="宋体" w:eastAsia="宋体" w:cs="宋体"/>
                <w:color w:val="000000" w:themeColor="text1"/>
                <w:sz w:val="18"/>
                <w:szCs w:val="18"/>
                <w:highlight w:val="none"/>
                <w14:textFill>
                  <w14:solidFill>
                    <w14:schemeClr w14:val="tx1"/>
                  </w14:solidFill>
                </w14:textFill>
              </w:rPr>
              <w:t>施工垃圾必须采用相应容器或管道运输。</w:t>
            </w:r>
          </w:p>
        </w:tc>
      </w:tr>
      <w:tr w14:paraId="0AD1DE5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738" w:type="dxa"/>
            <w:vMerge w:val="continue"/>
            <w:noWrap w:val="0"/>
            <w:vAlign w:val="center"/>
          </w:tcPr>
          <w:p w14:paraId="5A833954">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000000" w:themeColor="text1"/>
                <w:sz w:val="18"/>
                <w:szCs w:val="18"/>
                <w:highlight w:val="none"/>
                <w14:textFill>
                  <w14:solidFill>
                    <w14:schemeClr w14:val="tx1"/>
                  </w14:solidFill>
                </w14:textFill>
              </w:rPr>
            </w:pPr>
          </w:p>
        </w:tc>
        <w:tc>
          <w:tcPr>
            <w:tcW w:w="2070" w:type="dxa"/>
            <w:gridSpan w:val="2"/>
            <w:noWrap w:val="0"/>
            <w:vAlign w:val="center"/>
          </w:tcPr>
          <w:p w14:paraId="43B24966">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宣传栏、环保及不扰民措施</w:t>
            </w:r>
          </w:p>
        </w:tc>
        <w:tc>
          <w:tcPr>
            <w:tcW w:w="6645" w:type="dxa"/>
            <w:noWrap w:val="0"/>
            <w:vAlign w:val="center"/>
          </w:tcPr>
          <w:p w14:paraId="3BCE7B42">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宣传栏、安全宣传标语等，洗车（防止污染市区道路）、粉尘、噪声控制和排污（污水、废气）措施等。</w:t>
            </w:r>
          </w:p>
        </w:tc>
      </w:tr>
      <w:tr w14:paraId="79E60FD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738" w:type="dxa"/>
            <w:vMerge w:val="restart"/>
            <w:noWrap w:val="0"/>
            <w:vAlign w:val="center"/>
          </w:tcPr>
          <w:p w14:paraId="0ADA02D4">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sz w:val="18"/>
                <w:szCs w:val="18"/>
                <w:highlight w:val="none"/>
                <w:lang w:eastAsia="zh-CN"/>
                <w14:textFill>
                  <w14:solidFill>
                    <w14:schemeClr w14:val="tx1"/>
                  </w14:solidFill>
                </w14:textFill>
              </w:rPr>
              <w:t>临时</w:t>
            </w:r>
            <w:r>
              <w:rPr>
                <w:rFonts w:hint="eastAsia" w:ascii="宋体" w:hAnsi="宋体" w:eastAsia="宋体" w:cs="宋体"/>
                <w:color w:val="000000" w:themeColor="text1"/>
                <w:sz w:val="18"/>
                <w:szCs w:val="18"/>
                <w:highlight w:val="none"/>
                <w14:textFill>
                  <w14:solidFill>
                    <w14:schemeClr w14:val="tx1"/>
                  </w14:solidFill>
                </w14:textFill>
              </w:rPr>
              <w:t>设施</w:t>
            </w:r>
          </w:p>
        </w:tc>
        <w:tc>
          <w:tcPr>
            <w:tcW w:w="2070" w:type="dxa"/>
            <w:gridSpan w:val="2"/>
            <w:noWrap w:val="0"/>
            <w:vAlign w:val="center"/>
          </w:tcPr>
          <w:p w14:paraId="0B657750">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现场办公生活设施</w:t>
            </w:r>
          </w:p>
        </w:tc>
        <w:tc>
          <w:tcPr>
            <w:tcW w:w="6645" w:type="dxa"/>
            <w:noWrap w:val="0"/>
            <w:vAlign w:val="center"/>
          </w:tcPr>
          <w:p w14:paraId="0E7B1250">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1</w:t>
            </w:r>
            <w:r>
              <w:rPr>
                <w:rFonts w:hint="eastAsia" w:ascii="宋体" w:hAnsi="宋体" w:eastAsia="宋体" w:cs="宋体"/>
                <w:color w:val="000000" w:themeColor="text1"/>
                <w:sz w:val="18"/>
                <w:szCs w:val="18"/>
                <w:highlight w:val="none"/>
                <w:lang w:eastAsia="zh-CN"/>
                <w14:textFill>
                  <w14:solidFill>
                    <w14:schemeClr w14:val="tx1"/>
                  </w14:solidFill>
                </w14:textFill>
              </w:rPr>
              <w:t>、</w:t>
            </w:r>
            <w:r>
              <w:rPr>
                <w:rFonts w:hint="eastAsia" w:ascii="宋体" w:hAnsi="宋体" w:eastAsia="宋体" w:cs="宋体"/>
                <w:color w:val="000000" w:themeColor="text1"/>
                <w:sz w:val="18"/>
                <w:szCs w:val="18"/>
                <w:highlight w:val="none"/>
                <w14:textFill>
                  <w14:solidFill>
                    <w14:schemeClr w14:val="tx1"/>
                  </w14:solidFill>
                </w14:textFill>
              </w:rPr>
              <w:t>施工现场办公、生活区与作业区分开设置，保持安全距离。</w:t>
            </w:r>
          </w:p>
          <w:p w14:paraId="1A15DF88">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2</w:t>
            </w:r>
            <w:r>
              <w:rPr>
                <w:rFonts w:hint="eastAsia" w:ascii="宋体" w:hAnsi="宋体" w:eastAsia="宋体" w:cs="宋体"/>
                <w:color w:val="000000" w:themeColor="text1"/>
                <w:sz w:val="18"/>
                <w:szCs w:val="18"/>
                <w:highlight w:val="none"/>
                <w:lang w:eastAsia="zh-CN"/>
                <w14:textFill>
                  <w14:solidFill>
                    <w14:schemeClr w14:val="tx1"/>
                  </w14:solidFill>
                </w14:textFill>
              </w:rPr>
              <w:t>、</w:t>
            </w:r>
            <w:r>
              <w:rPr>
                <w:rFonts w:hint="eastAsia" w:ascii="宋体" w:hAnsi="宋体" w:eastAsia="宋体" w:cs="宋体"/>
                <w:color w:val="000000" w:themeColor="text1"/>
                <w:sz w:val="18"/>
                <w:szCs w:val="18"/>
                <w:highlight w:val="none"/>
                <w14:textFill>
                  <w14:solidFill>
                    <w14:schemeClr w14:val="tx1"/>
                  </w14:solidFill>
                </w14:textFill>
              </w:rPr>
              <w:t>工地办公室、现场宿舍、食堂、厕所、饮水、沐浴、休息场所等符合卫生、消防安全要求。</w:t>
            </w:r>
          </w:p>
        </w:tc>
      </w:tr>
      <w:tr w14:paraId="45D03E3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738" w:type="dxa"/>
            <w:vMerge w:val="continue"/>
            <w:noWrap w:val="0"/>
            <w:vAlign w:val="center"/>
          </w:tcPr>
          <w:p w14:paraId="3B78702B">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000000" w:themeColor="text1"/>
                <w:sz w:val="18"/>
                <w:szCs w:val="18"/>
                <w:highlight w:val="none"/>
                <w14:textFill>
                  <w14:solidFill>
                    <w14:schemeClr w14:val="tx1"/>
                  </w14:solidFill>
                </w14:textFill>
              </w:rPr>
            </w:pPr>
          </w:p>
        </w:tc>
        <w:tc>
          <w:tcPr>
            <w:tcW w:w="525" w:type="dxa"/>
            <w:vMerge w:val="restart"/>
            <w:noWrap w:val="0"/>
            <w:vAlign w:val="center"/>
          </w:tcPr>
          <w:p w14:paraId="5D3CAC73">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施工现场</w:t>
            </w:r>
          </w:p>
          <w:p w14:paraId="56E94931">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临时用电</w:t>
            </w:r>
          </w:p>
        </w:tc>
        <w:tc>
          <w:tcPr>
            <w:tcW w:w="1545" w:type="dxa"/>
            <w:noWrap w:val="0"/>
            <w:vAlign w:val="center"/>
          </w:tcPr>
          <w:p w14:paraId="5A7E7A87">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配电线路</w:t>
            </w:r>
          </w:p>
        </w:tc>
        <w:tc>
          <w:tcPr>
            <w:tcW w:w="6645" w:type="dxa"/>
            <w:noWrap w:val="0"/>
            <w:vAlign w:val="center"/>
          </w:tcPr>
          <w:p w14:paraId="5B15AAB9">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1</w:t>
            </w:r>
            <w:r>
              <w:rPr>
                <w:rFonts w:hint="eastAsia" w:ascii="宋体" w:hAnsi="宋体" w:eastAsia="宋体" w:cs="宋体"/>
                <w:color w:val="000000" w:themeColor="text1"/>
                <w:sz w:val="18"/>
                <w:szCs w:val="18"/>
                <w:highlight w:val="none"/>
                <w:lang w:eastAsia="zh-CN"/>
                <w14:textFill>
                  <w14:solidFill>
                    <w14:schemeClr w14:val="tx1"/>
                  </w14:solidFill>
                </w14:textFill>
              </w:rPr>
              <w:t>、</w:t>
            </w:r>
            <w:r>
              <w:rPr>
                <w:rFonts w:hint="eastAsia" w:ascii="宋体" w:hAnsi="宋体" w:eastAsia="宋体" w:cs="宋体"/>
                <w:color w:val="000000" w:themeColor="text1"/>
                <w:sz w:val="18"/>
                <w:szCs w:val="18"/>
                <w:highlight w:val="none"/>
                <w14:textFill>
                  <w14:solidFill>
                    <w14:schemeClr w14:val="tx1"/>
                  </w14:solidFill>
                </w14:textFill>
              </w:rPr>
              <w:t>按照TN-S系统要求配备五芯电缆、四芯电缆和三芯电缆。</w:t>
            </w:r>
          </w:p>
          <w:p w14:paraId="27D64E0D">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2</w:t>
            </w:r>
            <w:r>
              <w:rPr>
                <w:rFonts w:hint="eastAsia" w:ascii="宋体" w:hAnsi="宋体" w:eastAsia="宋体" w:cs="宋体"/>
                <w:color w:val="000000" w:themeColor="text1"/>
                <w:sz w:val="18"/>
                <w:szCs w:val="18"/>
                <w:highlight w:val="none"/>
                <w:lang w:eastAsia="zh-CN"/>
                <w14:textFill>
                  <w14:solidFill>
                    <w14:schemeClr w14:val="tx1"/>
                  </w14:solidFill>
                </w14:textFill>
              </w:rPr>
              <w:t>、</w:t>
            </w:r>
            <w:r>
              <w:rPr>
                <w:rFonts w:hint="eastAsia" w:ascii="宋体" w:hAnsi="宋体" w:eastAsia="宋体" w:cs="宋体"/>
                <w:color w:val="000000" w:themeColor="text1"/>
                <w:sz w:val="18"/>
                <w:szCs w:val="18"/>
                <w:highlight w:val="none"/>
                <w14:textFill>
                  <w14:solidFill>
                    <w14:schemeClr w14:val="tx1"/>
                  </w14:solidFill>
                </w14:textFill>
              </w:rPr>
              <w:t>按要求架设临时用电线路的电杆、横担、瓷夹、瓷瓶等，或电缆埋地的地沟。</w:t>
            </w:r>
          </w:p>
          <w:p w14:paraId="0C6FAB85">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3</w:t>
            </w:r>
            <w:r>
              <w:rPr>
                <w:rFonts w:hint="eastAsia" w:ascii="宋体" w:hAnsi="宋体" w:eastAsia="宋体" w:cs="宋体"/>
                <w:color w:val="000000" w:themeColor="text1"/>
                <w:sz w:val="18"/>
                <w:szCs w:val="18"/>
                <w:highlight w:val="none"/>
                <w:lang w:eastAsia="zh-CN"/>
                <w14:textFill>
                  <w14:solidFill>
                    <w14:schemeClr w14:val="tx1"/>
                  </w14:solidFill>
                </w14:textFill>
              </w:rPr>
              <w:t>、</w:t>
            </w:r>
            <w:r>
              <w:rPr>
                <w:rFonts w:hint="eastAsia" w:ascii="宋体" w:hAnsi="宋体" w:eastAsia="宋体" w:cs="宋体"/>
                <w:color w:val="000000" w:themeColor="text1"/>
                <w:sz w:val="18"/>
                <w:szCs w:val="18"/>
                <w:highlight w:val="none"/>
                <w14:textFill>
                  <w14:solidFill>
                    <w14:schemeClr w14:val="tx1"/>
                  </w14:solidFill>
                </w14:textFill>
              </w:rPr>
              <w:t>对靠近施工现场的外电线路，设置木质、塑料等绝缘体的防护设施。</w:t>
            </w:r>
          </w:p>
        </w:tc>
      </w:tr>
      <w:tr w14:paraId="7116D39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738" w:type="dxa"/>
            <w:vMerge w:val="continue"/>
            <w:noWrap w:val="0"/>
            <w:vAlign w:val="center"/>
          </w:tcPr>
          <w:p w14:paraId="2AA65779">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000000" w:themeColor="text1"/>
                <w:sz w:val="18"/>
                <w:szCs w:val="18"/>
                <w:highlight w:val="none"/>
                <w14:textFill>
                  <w14:solidFill>
                    <w14:schemeClr w14:val="tx1"/>
                  </w14:solidFill>
                </w14:textFill>
              </w:rPr>
            </w:pPr>
          </w:p>
        </w:tc>
        <w:tc>
          <w:tcPr>
            <w:tcW w:w="525" w:type="dxa"/>
            <w:vMerge w:val="continue"/>
            <w:noWrap w:val="0"/>
            <w:vAlign w:val="center"/>
          </w:tcPr>
          <w:p w14:paraId="380A1C61">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000000" w:themeColor="text1"/>
                <w:sz w:val="18"/>
                <w:szCs w:val="18"/>
                <w:highlight w:val="none"/>
                <w14:textFill>
                  <w14:solidFill>
                    <w14:schemeClr w14:val="tx1"/>
                  </w14:solidFill>
                </w14:textFill>
              </w:rPr>
            </w:pPr>
          </w:p>
        </w:tc>
        <w:tc>
          <w:tcPr>
            <w:tcW w:w="1545" w:type="dxa"/>
            <w:noWrap w:val="0"/>
            <w:vAlign w:val="center"/>
          </w:tcPr>
          <w:p w14:paraId="75BDAD13">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配电箱开关箱</w:t>
            </w:r>
          </w:p>
        </w:tc>
        <w:tc>
          <w:tcPr>
            <w:tcW w:w="6645" w:type="dxa"/>
            <w:noWrap w:val="0"/>
            <w:vAlign w:val="center"/>
          </w:tcPr>
          <w:p w14:paraId="70E3B58F">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1</w:t>
            </w:r>
            <w:r>
              <w:rPr>
                <w:rFonts w:hint="eastAsia" w:ascii="宋体" w:hAnsi="宋体" w:eastAsia="宋体" w:cs="宋体"/>
                <w:color w:val="000000" w:themeColor="text1"/>
                <w:sz w:val="18"/>
                <w:szCs w:val="18"/>
                <w:highlight w:val="none"/>
                <w:lang w:eastAsia="zh-CN"/>
                <w14:textFill>
                  <w14:solidFill>
                    <w14:schemeClr w14:val="tx1"/>
                  </w14:solidFill>
                </w14:textFill>
              </w:rPr>
              <w:t>、</w:t>
            </w:r>
            <w:r>
              <w:rPr>
                <w:rFonts w:hint="eastAsia" w:ascii="宋体" w:hAnsi="宋体" w:eastAsia="宋体" w:cs="宋体"/>
                <w:color w:val="000000" w:themeColor="text1"/>
                <w:sz w:val="18"/>
                <w:szCs w:val="18"/>
                <w:highlight w:val="none"/>
                <w14:textFill>
                  <w14:solidFill>
                    <w14:schemeClr w14:val="tx1"/>
                  </w14:solidFill>
                </w14:textFill>
              </w:rPr>
              <w:t>按三级配电要求，配备总配电箱、分配电箱、开关箱三类（铁质）标准电箱，开关箱应符合</w:t>
            </w:r>
            <w:r>
              <w:rPr>
                <w:rFonts w:hint="eastAsia" w:ascii="宋体" w:hAnsi="宋体" w:eastAsia="宋体" w:cs="宋体"/>
                <w:color w:val="000000" w:themeColor="text1"/>
                <w:sz w:val="18"/>
                <w:szCs w:val="18"/>
                <w:highlight w:val="none"/>
                <w:lang w:eastAsia="zh-CN"/>
                <w14:textFill>
                  <w14:solidFill>
                    <w14:schemeClr w14:val="tx1"/>
                  </w14:solidFill>
                </w14:textFill>
              </w:rPr>
              <w:t>“</w:t>
            </w:r>
            <w:r>
              <w:rPr>
                <w:rFonts w:hint="eastAsia" w:ascii="宋体" w:hAnsi="宋体" w:eastAsia="宋体" w:cs="宋体"/>
                <w:color w:val="000000" w:themeColor="text1"/>
                <w:sz w:val="18"/>
                <w:szCs w:val="18"/>
                <w:highlight w:val="none"/>
                <w14:textFill>
                  <w14:solidFill>
                    <w14:schemeClr w14:val="tx1"/>
                  </w14:solidFill>
                </w14:textFill>
              </w:rPr>
              <w:t>一机、一箱、一闸、一漏</w:t>
            </w:r>
            <w:r>
              <w:rPr>
                <w:rFonts w:hint="eastAsia" w:ascii="宋体" w:hAnsi="宋体" w:eastAsia="宋体" w:cs="宋体"/>
                <w:color w:val="000000" w:themeColor="text1"/>
                <w:sz w:val="18"/>
                <w:szCs w:val="18"/>
                <w:highlight w:val="none"/>
                <w:lang w:eastAsia="zh-CN"/>
                <w14:textFill>
                  <w14:solidFill>
                    <w14:schemeClr w14:val="tx1"/>
                  </w14:solidFill>
                </w14:textFill>
              </w:rPr>
              <w:t>”</w:t>
            </w:r>
            <w:r>
              <w:rPr>
                <w:rFonts w:hint="eastAsia" w:ascii="宋体" w:hAnsi="宋体" w:eastAsia="宋体" w:cs="宋体"/>
                <w:color w:val="000000" w:themeColor="text1"/>
                <w:sz w:val="18"/>
                <w:szCs w:val="18"/>
                <w:highlight w:val="none"/>
                <w14:textFill>
                  <w14:solidFill>
                    <w14:schemeClr w14:val="tx1"/>
                  </w14:solidFill>
                </w14:textFill>
              </w:rPr>
              <w:t>，三类电箱中的各类电器应是合格品。</w:t>
            </w:r>
          </w:p>
          <w:p w14:paraId="3E82DDDE">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2</w:t>
            </w:r>
            <w:r>
              <w:rPr>
                <w:rFonts w:hint="eastAsia" w:ascii="宋体" w:hAnsi="宋体" w:eastAsia="宋体" w:cs="宋体"/>
                <w:color w:val="000000" w:themeColor="text1"/>
                <w:sz w:val="18"/>
                <w:szCs w:val="18"/>
                <w:highlight w:val="none"/>
                <w:lang w:eastAsia="zh-CN"/>
                <w14:textFill>
                  <w14:solidFill>
                    <w14:schemeClr w14:val="tx1"/>
                  </w14:solidFill>
                </w14:textFill>
              </w:rPr>
              <w:t>、</w:t>
            </w:r>
            <w:r>
              <w:rPr>
                <w:rFonts w:hint="eastAsia" w:ascii="宋体" w:hAnsi="宋体" w:eastAsia="宋体" w:cs="宋体"/>
                <w:color w:val="000000" w:themeColor="text1"/>
                <w:sz w:val="18"/>
                <w:szCs w:val="18"/>
                <w:highlight w:val="none"/>
                <w14:textFill>
                  <w14:solidFill>
                    <w14:schemeClr w14:val="tx1"/>
                  </w14:solidFill>
                </w14:textFill>
              </w:rPr>
              <w:t>按两级保护的要求，选取符合容量要求和质量合格的总配电箱和开关箱中的漏电保护器。</w:t>
            </w:r>
          </w:p>
          <w:p w14:paraId="414E86BB">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3</w:t>
            </w:r>
            <w:r>
              <w:rPr>
                <w:rFonts w:hint="eastAsia" w:ascii="宋体" w:hAnsi="宋体" w:eastAsia="宋体" w:cs="宋体"/>
                <w:color w:val="000000" w:themeColor="text1"/>
                <w:sz w:val="18"/>
                <w:szCs w:val="18"/>
                <w:highlight w:val="none"/>
                <w:lang w:eastAsia="zh-CN"/>
                <w14:textFill>
                  <w14:solidFill>
                    <w14:schemeClr w14:val="tx1"/>
                  </w14:solidFill>
                </w14:textFill>
              </w:rPr>
              <w:t>、</w:t>
            </w:r>
            <w:r>
              <w:rPr>
                <w:rFonts w:hint="eastAsia" w:ascii="宋体" w:hAnsi="宋体" w:eastAsia="宋体" w:cs="宋体"/>
                <w:color w:val="000000" w:themeColor="text1"/>
                <w:sz w:val="18"/>
                <w:szCs w:val="18"/>
                <w:highlight w:val="none"/>
                <w14:textFill>
                  <w14:solidFill>
                    <w14:schemeClr w14:val="tx1"/>
                  </w14:solidFill>
                </w14:textFill>
              </w:rPr>
              <w:t>对大型、落地式分配电箱、开关箱设置防护棚和通透式围挡。</w:t>
            </w:r>
          </w:p>
        </w:tc>
      </w:tr>
      <w:tr w14:paraId="7DB0B92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75" w:hRule="atLeast"/>
        </w:trPr>
        <w:tc>
          <w:tcPr>
            <w:tcW w:w="738" w:type="dxa"/>
            <w:vMerge w:val="continue"/>
            <w:noWrap w:val="0"/>
            <w:vAlign w:val="center"/>
          </w:tcPr>
          <w:p w14:paraId="6838FA97">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000000" w:themeColor="text1"/>
                <w:sz w:val="18"/>
                <w:szCs w:val="18"/>
                <w:highlight w:val="none"/>
                <w14:textFill>
                  <w14:solidFill>
                    <w14:schemeClr w14:val="tx1"/>
                  </w14:solidFill>
                </w14:textFill>
              </w:rPr>
            </w:pPr>
          </w:p>
        </w:tc>
        <w:tc>
          <w:tcPr>
            <w:tcW w:w="525" w:type="dxa"/>
            <w:vMerge w:val="continue"/>
            <w:noWrap w:val="0"/>
            <w:vAlign w:val="center"/>
          </w:tcPr>
          <w:p w14:paraId="19D5B1BE">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000000" w:themeColor="text1"/>
                <w:sz w:val="18"/>
                <w:szCs w:val="18"/>
                <w:highlight w:val="none"/>
                <w14:textFill>
                  <w14:solidFill>
                    <w14:schemeClr w14:val="tx1"/>
                  </w14:solidFill>
                </w14:textFill>
              </w:rPr>
            </w:pPr>
          </w:p>
        </w:tc>
        <w:tc>
          <w:tcPr>
            <w:tcW w:w="1545" w:type="dxa"/>
            <w:noWrap w:val="0"/>
            <w:vAlign w:val="center"/>
          </w:tcPr>
          <w:p w14:paraId="5CD95BAB">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接地装置</w:t>
            </w:r>
          </w:p>
        </w:tc>
        <w:tc>
          <w:tcPr>
            <w:tcW w:w="6645" w:type="dxa"/>
            <w:noWrap w:val="0"/>
            <w:vAlign w:val="center"/>
          </w:tcPr>
          <w:p w14:paraId="31719F86">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施工现场应设置不少于三处的重复接地装置。</w:t>
            </w:r>
          </w:p>
        </w:tc>
      </w:tr>
      <w:tr w14:paraId="471985F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916" w:hRule="atLeast"/>
        </w:trPr>
        <w:tc>
          <w:tcPr>
            <w:tcW w:w="738" w:type="dxa"/>
            <w:vMerge w:val="continue"/>
            <w:noWrap w:val="0"/>
            <w:vAlign w:val="center"/>
          </w:tcPr>
          <w:p w14:paraId="377ABF27">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000000" w:themeColor="text1"/>
                <w:sz w:val="18"/>
                <w:szCs w:val="18"/>
                <w:highlight w:val="none"/>
                <w14:textFill>
                  <w14:solidFill>
                    <w14:schemeClr w14:val="tx1"/>
                  </w14:solidFill>
                </w14:textFill>
              </w:rPr>
            </w:pPr>
          </w:p>
        </w:tc>
        <w:tc>
          <w:tcPr>
            <w:tcW w:w="525" w:type="dxa"/>
            <w:vMerge w:val="continue"/>
            <w:noWrap w:val="0"/>
            <w:vAlign w:val="center"/>
          </w:tcPr>
          <w:p w14:paraId="3806293E">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000000" w:themeColor="text1"/>
                <w:sz w:val="18"/>
                <w:szCs w:val="18"/>
                <w:highlight w:val="none"/>
                <w14:textFill>
                  <w14:solidFill>
                    <w14:schemeClr w14:val="tx1"/>
                  </w14:solidFill>
                </w14:textFill>
              </w:rPr>
            </w:pPr>
          </w:p>
        </w:tc>
        <w:tc>
          <w:tcPr>
            <w:tcW w:w="1545" w:type="dxa"/>
            <w:noWrap w:val="0"/>
            <w:vAlign w:val="center"/>
          </w:tcPr>
          <w:p w14:paraId="0D003EBA">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现场</w:t>
            </w:r>
          </w:p>
          <w:p w14:paraId="662ADA0A">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变配电装置</w:t>
            </w:r>
          </w:p>
        </w:tc>
        <w:tc>
          <w:tcPr>
            <w:tcW w:w="6645" w:type="dxa"/>
            <w:noWrap w:val="0"/>
            <w:vAlign w:val="center"/>
          </w:tcPr>
          <w:p w14:paraId="77EA0F00">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总配电房建筑材料必须达到消防防火要求，室内做硬地坪、电缆沟。</w:t>
            </w:r>
          </w:p>
        </w:tc>
      </w:tr>
      <w:tr w14:paraId="403ECC6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12" w:hRule="atLeast"/>
        </w:trPr>
        <w:tc>
          <w:tcPr>
            <w:tcW w:w="738" w:type="dxa"/>
            <w:noWrap w:val="0"/>
            <w:vAlign w:val="center"/>
          </w:tcPr>
          <w:p w14:paraId="1F39D0EE">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color w:val="000000" w:themeColor="text1"/>
                <w:sz w:val="18"/>
                <w:szCs w:val="18"/>
                <w:highlight w:val="none"/>
                <w14:textFill>
                  <w14:solidFill>
                    <w14:schemeClr w14:val="tx1"/>
                  </w14:solidFill>
                </w14:textFill>
              </w:rPr>
            </w:pPr>
            <w:r>
              <w:rPr>
                <w:rFonts w:hint="eastAsia" w:ascii="宋体" w:hAnsi="宋体" w:eastAsia="宋体" w:cs="宋体"/>
                <w:b/>
                <w:bCs/>
                <w:color w:val="000000" w:themeColor="text1"/>
                <w:sz w:val="18"/>
                <w:szCs w:val="18"/>
                <w:highlight w:val="none"/>
                <w14:textFill>
                  <w14:solidFill>
                    <w14:schemeClr w14:val="tx1"/>
                  </w14:solidFill>
                </w14:textFill>
              </w:rPr>
              <w:t>类别</w:t>
            </w:r>
          </w:p>
        </w:tc>
        <w:tc>
          <w:tcPr>
            <w:tcW w:w="2070" w:type="dxa"/>
            <w:gridSpan w:val="2"/>
            <w:noWrap w:val="0"/>
            <w:vAlign w:val="center"/>
          </w:tcPr>
          <w:p w14:paraId="5437A406">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color w:val="000000" w:themeColor="text1"/>
                <w:sz w:val="18"/>
                <w:szCs w:val="18"/>
                <w:highlight w:val="none"/>
                <w14:textFill>
                  <w14:solidFill>
                    <w14:schemeClr w14:val="tx1"/>
                  </w14:solidFill>
                </w14:textFill>
              </w:rPr>
            </w:pPr>
            <w:r>
              <w:rPr>
                <w:rFonts w:hint="eastAsia" w:ascii="宋体" w:hAnsi="宋体" w:eastAsia="宋体" w:cs="宋体"/>
                <w:b/>
                <w:bCs/>
                <w:color w:val="000000" w:themeColor="text1"/>
                <w:sz w:val="18"/>
                <w:szCs w:val="18"/>
                <w:highlight w:val="none"/>
                <w14:textFill>
                  <w14:solidFill>
                    <w14:schemeClr w14:val="tx1"/>
                  </w14:solidFill>
                </w14:textFill>
              </w:rPr>
              <w:t>项目名称</w:t>
            </w:r>
          </w:p>
        </w:tc>
        <w:tc>
          <w:tcPr>
            <w:tcW w:w="6645" w:type="dxa"/>
            <w:noWrap w:val="0"/>
            <w:vAlign w:val="center"/>
          </w:tcPr>
          <w:p w14:paraId="4EC1DC05">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color w:val="000000" w:themeColor="text1"/>
                <w:sz w:val="18"/>
                <w:szCs w:val="18"/>
                <w:highlight w:val="none"/>
                <w14:textFill>
                  <w14:solidFill>
                    <w14:schemeClr w14:val="tx1"/>
                  </w14:solidFill>
                </w14:textFill>
              </w:rPr>
            </w:pPr>
            <w:r>
              <w:rPr>
                <w:rFonts w:hint="eastAsia" w:ascii="宋体" w:hAnsi="宋体" w:eastAsia="宋体" w:cs="宋体"/>
                <w:b/>
                <w:bCs/>
                <w:color w:val="000000" w:themeColor="text1"/>
                <w:sz w:val="18"/>
                <w:szCs w:val="18"/>
                <w:highlight w:val="none"/>
                <w14:textFill>
                  <w14:solidFill>
                    <w14:schemeClr w14:val="tx1"/>
                  </w14:solidFill>
                </w14:textFill>
              </w:rPr>
              <w:t>主要内容和要求</w:t>
            </w:r>
          </w:p>
        </w:tc>
      </w:tr>
      <w:tr w14:paraId="212489B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738" w:type="dxa"/>
            <w:vMerge w:val="restart"/>
            <w:noWrap w:val="0"/>
            <w:vAlign w:val="center"/>
          </w:tcPr>
          <w:p w14:paraId="1AA1BDA7">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安全施工</w:t>
            </w:r>
          </w:p>
        </w:tc>
        <w:tc>
          <w:tcPr>
            <w:tcW w:w="525" w:type="dxa"/>
            <w:vMerge w:val="restart"/>
            <w:noWrap w:val="0"/>
            <w:vAlign w:val="center"/>
          </w:tcPr>
          <w:p w14:paraId="169E4F19">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高处作业防护</w:t>
            </w:r>
          </w:p>
        </w:tc>
        <w:tc>
          <w:tcPr>
            <w:tcW w:w="1545" w:type="dxa"/>
            <w:noWrap w:val="0"/>
            <w:vAlign w:val="center"/>
          </w:tcPr>
          <w:p w14:paraId="7D800630">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楼层、屋面、阳台等临边</w:t>
            </w:r>
          </w:p>
        </w:tc>
        <w:tc>
          <w:tcPr>
            <w:tcW w:w="6645" w:type="dxa"/>
            <w:noWrap w:val="0"/>
            <w:vAlign w:val="center"/>
          </w:tcPr>
          <w:p w14:paraId="30258388">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设两道防护栏杆和18cm高的踢脚板，用密目式安全立网全封闭。</w:t>
            </w:r>
          </w:p>
        </w:tc>
      </w:tr>
      <w:tr w14:paraId="04D8638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738" w:type="dxa"/>
            <w:vMerge w:val="continue"/>
            <w:noWrap w:val="0"/>
            <w:vAlign w:val="center"/>
          </w:tcPr>
          <w:p w14:paraId="44556B18">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000000" w:themeColor="text1"/>
                <w:sz w:val="18"/>
                <w:szCs w:val="18"/>
                <w:highlight w:val="none"/>
                <w14:textFill>
                  <w14:solidFill>
                    <w14:schemeClr w14:val="tx1"/>
                  </w14:solidFill>
                </w14:textFill>
              </w:rPr>
            </w:pPr>
          </w:p>
        </w:tc>
        <w:tc>
          <w:tcPr>
            <w:tcW w:w="525" w:type="dxa"/>
            <w:vMerge w:val="continue"/>
            <w:noWrap w:val="0"/>
            <w:vAlign w:val="center"/>
          </w:tcPr>
          <w:p w14:paraId="596A4A25">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18"/>
                <w:szCs w:val="18"/>
                <w:highlight w:val="none"/>
                <w14:textFill>
                  <w14:solidFill>
                    <w14:schemeClr w14:val="tx1"/>
                  </w14:solidFill>
                </w14:textFill>
              </w:rPr>
            </w:pPr>
          </w:p>
        </w:tc>
        <w:tc>
          <w:tcPr>
            <w:tcW w:w="1545" w:type="dxa"/>
            <w:noWrap w:val="0"/>
            <w:vAlign w:val="center"/>
          </w:tcPr>
          <w:p w14:paraId="3A7E3258">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通道口</w:t>
            </w:r>
          </w:p>
        </w:tc>
        <w:tc>
          <w:tcPr>
            <w:tcW w:w="6645" w:type="dxa"/>
            <w:noWrap w:val="0"/>
            <w:vAlign w:val="center"/>
          </w:tcPr>
          <w:p w14:paraId="0DB8EA15">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设防护棚，防护棚应为不小于5cm厚的木板或两道相距50cm的竹笆。两侧应沿栏杆架用密目式安全网封闭。</w:t>
            </w:r>
          </w:p>
        </w:tc>
      </w:tr>
      <w:tr w14:paraId="7BA3D1A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738" w:type="dxa"/>
            <w:vMerge w:val="continue"/>
            <w:noWrap w:val="0"/>
            <w:vAlign w:val="center"/>
          </w:tcPr>
          <w:p w14:paraId="5160102E">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000000" w:themeColor="text1"/>
                <w:sz w:val="18"/>
                <w:szCs w:val="18"/>
                <w:highlight w:val="none"/>
                <w14:textFill>
                  <w14:solidFill>
                    <w14:schemeClr w14:val="tx1"/>
                  </w14:solidFill>
                </w14:textFill>
              </w:rPr>
            </w:pPr>
          </w:p>
        </w:tc>
        <w:tc>
          <w:tcPr>
            <w:tcW w:w="525" w:type="dxa"/>
            <w:vMerge w:val="continue"/>
            <w:noWrap w:val="0"/>
            <w:vAlign w:val="center"/>
          </w:tcPr>
          <w:p w14:paraId="132D5990">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18"/>
                <w:szCs w:val="18"/>
                <w:highlight w:val="none"/>
                <w14:textFill>
                  <w14:solidFill>
                    <w14:schemeClr w14:val="tx1"/>
                  </w14:solidFill>
                </w14:textFill>
              </w:rPr>
            </w:pPr>
          </w:p>
        </w:tc>
        <w:tc>
          <w:tcPr>
            <w:tcW w:w="1545" w:type="dxa"/>
            <w:noWrap w:val="0"/>
            <w:vAlign w:val="center"/>
          </w:tcPr>
          <w:p w14:paraId="199486A0">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预留洞口</w:t>
            </w:r>
          </w:p>
        </w:tc>
        <w:tc>
          <w:tcPr>
            <w:tcW w:w="6645" w:type="dxa"/>
            <w:noWrap w:val="0"/>
            <w:vAlign w:val="center"/>
          </w:tcPr>
          <w:p w14:paraId="29A72BE5">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用硬质材料全封闭，短边超过1.5m长的洞口，除封闭外四周还应设有防护栏杆。</w:t>
            </w:r>
          </w:p>
        </w:tc>
      </w:tr>
      <w:tr w14:paraId="3C045BD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05" w:hRule="atLeast"/>
        </w:trPr>
        <w:tc>
          <w:tcPr>
            <w:tcW w:w="738" w:type="dxa"/>
            <w:vMerge w:val="continue"/>
            <w:noWrap w:val="0"/>
            <w:vAlign w:val="center"/>
          </w:tcPr>
          <w:p w14:paraId="553023E0">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000000" w:themeColor="text1"/>
                <w:sz w:val="18"/>
                <w:szCs w:val="18"/>
                <w:highlight w:val="none"/>
                <w14:textFill>
                  <w14:solidFill>
                    <w14:schemeClr w14:val="tx1"/>
                  </w14:solidFill>
                </w14:textFill>
              </w:rPr>
            </w:pPr>
          </w:p>
        </w:tc>
        <w:tc>
          <w:tcPr>
            <w:tcW w:w="525" w:type="dxa"/>
            <w:vMerge w:val="continue"/>
            <w:noWrap w:val="0"/>
            <w:vAlign w:val="center"/>
          </w:tcPr>
          <w:p w14:paraId="000EB2B9">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18"/>
                <w:szCs w:val="18"/>
                <w:highlight w:val="none"/>
                <w14:textFill>
                  <w14:solidFill>
                    <w14:schemeClr w14:val="tx1"/>
                  </w14:solidFill>
                </w14:textFill>
              </w:rPr>
            </w:pPr>
          </w:p>
        </w:tc>
        <w:tc>
          <w:tcPr>
            <w:tcW w:w="1545" w:type="dxa"/>
            <w:noWrap w:val="0"/>
            <w:vAlign w:val="center"/>
          </w:tcPr>
          <w:p w14:paraId="1F85EFAC">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电梯井口</w:t>
            </w:r>
          </w:p>
        </w:tc>
        <w:tc>
          <w:tcPr>
            <w:tcW w:w="6645" w:type="dxa"/>
            <w:noWrap w:val="0"/>
            <w:vAlign w:val="center"/>
          </w:tcPr>
          <w:p w14:paraId="18F79FDE">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设置定型化、工具化的防护门，在电梯井内每隔2层（不大于10m）设置一道水平防护。</w:t>
            </w:r>
          </w:p>
        </w:tc>
      </w:tr>
      <w:tr w14:paraId="4B50094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738" w:type="dxa"/>
            <w:vMerge w:val="continue"/>
            <w:noWrap w:val="0"/>
            <w:vAlign w:val="center"/>
          </w:tcPr>
          <w:p w14:paraId="4559D24B">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000000" w:themeColor="text1"/>
                <w:sz w:val="18"/>
                <w:szCs w:val="18"/>
                <w:highlight w:val="none"/>
                <w14:textFill>
                  <w14:solidFill>
                    <w14:schemeClr w14:val="tx1"/>
                  </w14:solidFill>
                </w14:textFill>
              </w:rPr>
            </w:pPr>
          </w:p>
        </w:tc>
        <w:tc>
          <w:tcPr>
            <w:tcW w:w="525" w:type="dxa"/>
            <w:vMerge w:val="continue"/>
            <w:noWrap w:val="0"/>
            <w:vAlign w:val="center"/>
          </w:tcPr>
          <w:p w14:paraId="067A118D">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18"/>
                <w:szCs w:val="18"/>
                <w:highlight w:val="none"/>
                <w14:textFill>
                  <w14:solidFill>
                    <w14:schemeClr w14:val="tx1"/>
                  </w14:solidFill>
                </w14:textFill>
              </w:rPr>
            </w:pPr>
          </w:p>
        </w:tc>
        <w:tc>
          <w:tcPr>
            <w:tcW w:w="1545" w:type="dxa"/>
            <w:noWrap w:val="0"/>
            <w:vAlign w:val="center"/>
          </w:tcPr>
          <w:p w14:paraId="5F051104">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楼梯边</w:t>
            </w:r>
          </w:p>
        </w:tc>
        <w:tc>
          <w:tcPr>
            <w:tcW w:w="6645" w:type="dxa"/>
            <w:noWrap w:val="0"/>
            <w:vAlign w:val="center"/>
          </w:tcPr>
          <w:p w14:paraId="2EE1567A">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设1.2m高的定型化、工具化的防护栏，18cm高的踢脚板。</w:t>
            </w:r>
          </w:p>
        </w:tc>
      </w:tr>
      <w:tr w14:paraId="0EA9205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738" w:type="dxa"/>
            <w:vMerge w:val="continue"/>
            <w:noWrap w:val="0"/>
            <w:vAlign w:val="center"/>
          </w:tcPr>
          <w:p w14:paraId="63CBBFF3">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000000" w:themeColor="text1"/>
                <w:sz w:val="18"/>
                <w:szCs w:val="18"/>
                <w:highlight w:val="none"/>
                <w14:textFill>
                  <w14:solidFill>
                    <w14:schemeClr w14:val="tx1"/>
                  </w14:solidFill>
                </w14:textFill>
              </w:rPr>
            </w:pPr>
          </w:p>
        </w:tc>
        <w:tc>
          <w:tcPr>
            <w:tcW w:w="525" w:type="dxa"/>
            <w:vMerge w:val="continue"/>
            <w:noWrap w:val="0"/>
            <w:vAlign w:val="center"/>
          </w:tcPr>
          <w:p w14:paraId="5C7BBA28">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18"/>
                <w:szCs w:val="18"/>
                <w:highlight w:val="none"/>
                <w14:textFill>
                  <w14:solidFill>
                    <w14:schemeClr w14:val="tx1"/>
                  </w14:solidFill>
                </w14:textFill>
              </w:rPr>
            </w:pPr>
          </w:p>
        </w:tc>
        <w:tc>
          <w:tcPr>
            <w:tcW w:w="1545" w:type="dxa"/>
            <w:noWrap w:val="0"/>
            <w:vAlign w:val="center"/>
          </w:tcPr>
          <w:p w14:paraId="16B92DF4">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垂直方向交叉作业</w:t>
            </w:r>
          </w:p>
        </w:tc>
        <w:tc>
          <w:tcPr>
            <w:tcW w:w="6645" w:type="dxa"/>
            <w:noWrap w:val="0"/>
            <w:vAlign w:val="center"/>
          </w:tcPr>
          <w:p w14:paraId="761B685B">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设置防护隔离棚或其它设施。</w:t>
            </w:r>
          </w:p>
        </w:tc>
      </w:tr>
      <w:tr w14:paraId="6EA1BF2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738" w:type="dxa"/>
            <w:vMerge w:val="continue"/>
            <w:noWrap w:val="0"/>
            <w:vAlign w:val="center"/>
          </w:tcPr>
          <w:p w14:paraId="6B6A4D33">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000000" w:themeColor="text1"/>
                <w:sz w:val="18"/>
                <w:szCs w:val="18"/>
                <w:highlight w:val="none"/>
                <w14:textFill>
                  <w14:solidFill>
                    <w14:schemeClr w14:val="tx1"/>
                  </w14:solidFill>
                </w14:textFill>
              </w:rPr>
            </w:pPr>
          </w:p>
        </w:tc>
        <w:tc>
          <w:tcPr>
            <w:tcW w:w="525" w:type="dxa"/>
            <w:vMerge w:val="continue"/>
            <w:noWrap w:val="0"/>
            <w:vAlign w:val="center"/>
          </w:tcPr>
          <w:p w14:paraId="52B313DF">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18"/>
                <w:szCs w:val="18"/>
                <w:highlight w:val="none"/>
                <w14:textFill>
                  <w14:solidFill>
                    <w14:schemeClr w14:val="tx1"/>
                  </w14:solidFill>
                </w14:textFill>
              </w:rPr>
            </w:pPr>
          </w:p>
        </w:tc>
        <w:tc>
          <w:tcPr>
            <w:tcW w:w="1545" w:type="dxa"/>
            <w:noWrap w:val="0"/>
            <w:vAlign w:val="center"/>
          </w:tcPr>
          <w:p w14:paraId="578471D6">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高处作业</w:t>
            </w:r>
          </w:p>
        </w:tc>
        <w:tc>
          <w:tcPr>
            <w:tcW w:w="6645" w:type="dxa"/>
            <w:noWrap w:val="0"/>
            <w:vAlign w:val="center"/>
          </w:tcPr>
          <w:p w14:paraId="5F76296B">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有悬挂安全带的悬索或其它设施，有操作平台，有上下的梯子或其它形式的通道。</w:t>
            </w:r>
          </w:p>
        </w:tc>
      </w:tr>
      <w:tr w14:paraId="026581D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738" w:type="dxa"/>
            <w:vMerge w:val="continue"/>
            <w:noWrap w:val="0"/>
            <w:vAlign w:val="center"/>
          </w:tcPr>
          <w:p w14:paraId="0D125EA8">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000000" w:themeColor="text1"/>
                <w:sz w:val="18"/>
                <w:szCs w:val="18"/>
                <w:highlight w:val="none"/>
                <w14:textFill>
                  <w14:solidFill>
                    <w14:schemeClr w14:val="tx1"/>
                  </w14:solidFill>
                </w14:textFill>
              </w:rPr>
            </w:pPr>
          </w:p>
        </w:tc>
        <w:tc>
          <w:tcPr>
            <w:tcW w:w="525" w:type="dxa"/>
            <w:vMerge w:val="continue"/>
            <w:noWrap w:val="0"/>
            <w:vAlign w:val="center"/>
          </w:tcPr>
          <w:p w14:paraId="357C4A83">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18"/>
                <w:szCs w:val="18"/>
                <w:highlight w:val="none"/>
                <w14:textFill>
                  <w14:solidFill>
                    <w14:schemeClr w14:val="tx1"/>
                  </w14:solidFill>
                </w14:textFill>
              </w:rPr>
            </w:pPr>
          </w:p>
        </w:tc>
        <w:tc>
          <w:tcPr>
            <w:tcW w:w="1545" w:type="dxa"/>
            <w:noWrap w:val="0"/>
            <w:vAlign w:val="center"/>
          </w:tcPr>
          <w:p w14:paraId="40A53C88">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基坑、物料平台</w:t>
            </w:r>
          </w:p>
        </w:tc>
        <w:tc>
          <w:tcPr>
            <w:tcW w:w="6645" w:type="dxa"/>
            <w:noWrap w:val="0"/>
            <w:vAlign w:val="center"/>
          </w:tcPr>
          <w:p w14:paraId="5AC96570">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设1.2m高标准化的防护栏，用密目式安全立网封闭，悬挂标识。</w:t>
            </w:r>
          </w:p>
        </w:tc>
      </w:tr>
      <w:tr w14:paraId="135012A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738" w:type="dxa"/>
            <w:vMerge w:val="continue"/>
            <w:noWrap w:val="0"/>
            <w:vAlign w:val="center"/>
          </w:tcPr>
          <w:p w14:paraId="066CF1BD">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000000" w:themeColor="text1"/>
                <w:sz w:val="18"/>
                <w:szCs w:val="18"/>
                <w:highlight w:val="none"/>
                <w14:textFill>
                  <w14:solidFill>
                    <w14:schemeClr w14:val="tx1"/>
                  </w14:solidFill>
                </w14:textFill>
              </w:rPr>
            </w:pPr>
          </w:p>
        </w:tc>
        <w:tc>
          <w:tcPr>
            <w:tcW w:w="2070" w:type="dxa"/>
            <w:gridSpan w:val="2"/>
            <w:noWrap w:val="0"/>
            <w:vAlign w:val="center"/>
          </w:tcPr>
          <w:p w14:paraId="6F7FD027">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安全防护用品</w:t>
            </w:r>
          </w:p>
        </w:tc>
        <w:tc>
          <w:tcPr>
            <w:tcW w:w="6645" w:type="dxa"/>
            <w:noWrap w:val="0"/>
            <w:vAlign w:val="center"/>
          </w:tcPr>
          <w:p w14:paraId="26D5E5C9">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安全帽、安全带、特种作业人员（电工、焊工、架子工等）防护服装、用品等。</w:t>
            </w:r>
          </w:p>
        </w:tc>
      </w:tr>
      <w:tr w14:paraId="24E10A3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55" w:hRule="atLeast"/>
        </w:trPr>
        <w:tc>
          <w:tcPr>
            <w:tcW w:w="738" w:type="dxa"/>
            <w:vMerge w:val="restart"/>
            <w:noWrap w:val="0"/>
            <w:vAlign w:val="center"/>
          </w:tcPr>
          <w:p w14:paraId="5110F466">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其它</w:t>
            </w:r>
          </w:p>
        </w:tc>
        <w:tc>
          <w:tcPr>
            <w:tcW w:w="525" w:type="dxa"/>
            <w:vMerge w:val="restart"/>
            <w:noWrap w:val="0"/>
            <w:vAlign w:val="center"/>
          </w:tcPr>
          <w:p w14:paraId="4BF55838">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机械设备防护</w:t>
            </w:r>
          </w:p>
        </w:tc>
        <w:tc>
          <w:tcPr>
            <w:tcW w:w="1545" w:type="dxa"/>
            <w:noWrap w:val="0"/>
            <w:vAlign w:val="center"/>
          </w:tcPr>
          <w:p w14:paraId="40F60AA0">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中小型机械</w:t>
            </w:r>
          </w:p>
        </w:tc>
        <w:tc>
          <w:tcPr>
            <w:tcW w:w="6645" w:type="dxa"/>
            <w:noWrap w:val="0"/>
            <w:vAlign w:val="center"/>
          </w:tcPr>
          <w:p w14:paraId="28132FF1">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设防护棚（同通道口防护并有防雨措施）。</w:t>
            </w:r>
          </w:p>
        </w:tc>
      </w:tr>
      <w:tr w14:paraId="7F02043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738" w:type="dxa"/>
            <w:vMerge w:val="continue"/>
            <w:noWrap w:val="0"/>
            <w:vAlign w:val="center"/>
          </w:tcPr>
          <w:p w14:paraId="37B7BAE8">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18"/>
                <w:szCs w:val="18"/>
                <w:highlight w:val="none"/>
                <w14:textFill>
                  <w14:solidFill>
                    <w14:schemeClr w14:val="tx1"/>
                  </w14:solidFill>
                </w14:textFill>
              </w:rPr>
            </w:pPr>
          </w:p>
        </w:tc>
        <w:tc>
          <w:tcPr>
            <w:tcW w:w="525" w:type="dxa"/>
            <w:vMerge w:val="continue"/>
            <w:noWrap w:val="0"/>
            <w:vAlign w:val="center"/>
          </w:tcPr>
          <w:p w14:paraId="5B6BA480">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18"/>
                <w:szCs w:val="18"/>
                <w:highlight w:val="none"/>
                <w14:textFill>
                  <w14:solidFill>
                    <w14:schemeClr w14:val="tx1"/>
                  </w14:solidFill>
                </w14:textFill>
              </w:rPr>
            </w:pPr>
          </w:p>
        </w:tc>
        <w:tc>
          <w:tcPr>
            <w:tcW w:w="1545" w:type="dxa"/>
            <w:noWrap w:val="0"/>
            <w:vAlign w:val="center"/>
          </w:tcPr>
          <w:p w14:paraId="4B6F8B6E">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垂直运输设备</w:t>
            </w:r>
          </w:p>
        </w:tc>
        <w:tc>
          <w:tcPr>
            <w:tcW w:w="6645" w:type="dxa"/>
            <w:noWrap w:val="0"/>
            <w:vAlign w:val="center"/>
          </w:tcPr>
          <w:p w14:paraId="1174009B">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1</w:t>
            </w:r>
            <w:r>
              <w:rPr>
                <w:rFonts w:hint="eastAsia" w:ascii="宋体" w:hAnsi="宋体" w:eastAsia="宋体" w:cs="宋体"/>
                <w:color w:val="000000" w:themeColor="text1"/>
                <w:sz w:val="18"/>
                <w:szCs w:val="18"/>
                <w:highlight w:val="none"/>
                <w:lang w:eastAsia="zh-CN"/>
                <w14:textFill>
                  <w14:solidFill>
                    <w14:schemeClr w14:val="tx1"/>
                  </w14:solidFill>
                </w14:textFill>
              </w:rPr>
              <w:t>、</w:t>
            </w:r>
            <w:r>
              <w:rPr>
                <w:rFonts w:hint="eastAsia" w:ascii="宋体" w:hAnsi="宋体" w:eastAsia="宋体" w:cs="宋体"/>
                <w:color w:val="000000" w:themeColor="text1"/>
                <w:sz w:val="18"/>
                <w:szCs w:val="18"/>
                <w:highlight w:val="none"/>
                <w14:textFill>
                  <w14:solidFill>
                    <w14:schemeClr w14:val="tx1"/>
                  </w14:solidFill>
                </w14:textFill>
              </w:rPr>
              <w:t>垂直运输设备检测、检验、日常维护、保养等。</w:t>
            </w:r>
          </w:p>
          <w:p w14:paraId="790CCDB3">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2</w:t>
            </w:r>
            <w:r>
              <w:rPr>
                <w:rFonts w:hint="eastAsia" w:ascii="宋体" w:hAnsi="宋体" w:eastAsia="宋体" w:cs="宋体"/>
                <w:color w:val="000000" w:themeColor="text1"/>
                <w:sz w:val="18"/>
                <w:szCs w:val="18"/>
                <w:highlight w:val="none"/>
                <w:lang w:eastAsia="zh-CN"/>
                <w14:textFill>
                  <w14:solidFill>
                    <w14:schemeClr w14:val="tx1"/>
                  </w14:solidFill>
                </w14:textFill>
              </w:rPr>
              <w:t>、</w:t>
            </w:r>
            <w:r>
              <w:rPr>
                <w:rFonts w:hint="eastAsia" w:ascii="宋体" w:hAnsi="宋体" w:eastAsia="宋体" w:cs="宋体"/>
                <w:color w:val="000000" w:themeColor="text1"/>
                <w:sz w:val="18"/>
                <w:szCs w:val="18"/>
                <w:highlight w:val="none"/>
                <w14:textFill>
                  <w14:solidFill>
                    <w14:schemeClr w14:val="tx1"/>
                  </w14:solidFill>
                </w14:textFill>
              </w:rPr>
              <w:t>物料提升机、施工电梯等物料平台搭设、外侧用密目式安全立网全封闭，有安全通道、安全防护门、防护棚等。</w:t>
            </w:r>
          </w:p>
        </w:tc>
      </w:tr>
      <w:tr w14:paraId="688BF30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10" w:hRule="exact"/>
        </w:trPr>
        <w:tc>
          <w:tcPr>
            <w:tcW w:w="738" w:type="dxa"/>
            <w:vMerge w:val="continue"/>
            <w:noWrap w:val="0"/>
            <w:vAlign w:val="center"/>
          </w:tcPr>
          <w:p w14:paraId="6201808A">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18"/>
                <w:szCs w:val="18"/>
                <w:highlight w:val="none"/>
                <w14:textFill>
                  <w14:solidFill>
                    <w14:schemeClr w14:val="tx1"/>
                  </w14:solidFill>
                </w14:textFill>
              </w:rPr>
            </w:pPr>
          </w:p>
        </w:tc>
        <w:tc>
          <w:tcPr>
            <w:tcW w:w="2070" w:type="dxa"/>
            <w:gridSpan w:val="2"/>
            <w:noWrap w:val="0"/>
            <w:vAlign w:val="center"/>
          </w:tcPr>
          <w:p w14:paraId="05432429">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专家论证审查</w:t>
            </w:r>
          </w:p>
        </w:tc>
        <w:tc>
          <w:tcPr>
            <w:tcW w:w="6645" w:type="dxa"/>
            <w:noWrap w:val="0"/>
            <w:vAlign w:val="center"/>
          </w:tcPr>
          <w:p w14:paraId="36CF6492">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超过一定规模的危险性较大分部分项工程专家论证审查。</w:t>
            </w:r>
          </w:p>
        </w:tc>
      </w:tr>
      <w:tr w14:paraId="40FE085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10" w:hRule="exact"/>
        </w:trPr>
        <w:tc>
          <w:tcPr>
            <w:tcW w:w="738" w:type="dxa"/>
            <w:vMerge w:val="continue"/>
            <w:noWrap w:val="0"/>
            <w:vAlign w:val="center"/>
          </w:tcPr>
          <w:p w14:paraId="398CC3E6">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18"/>
                <w:szCs w:val="18"/>
                <w:highlight w:val="none"/>
                <w14:textFill>
                  <w14:solidFill>
                    <w14:schemeClr w14:val="tx1"/>
                  </w14:solidFill>
                </w14:textFill>
              </w:rPr>
            </w:pPr>
          </w:p>
        </w:tc>
        <w:tc>
          <w:tcPr>
            <w:tcW w:w="2070" w:type="dxa"/>
            <w:gridSpan w:val="2"/>
            <w:noWrap w:val="0"/>
            <w:vAlign w:val="center"/>
          </w:tcPr>
          <w:p w14:paraId="3FC7539B">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应急救援预案</w:t>
            </w:r>
          </w:p>
        </w:tc>
        <w:tc>
          <w:tcPr>
            <w:tcW w:w="6645" w:type="dxa"/>
            <w:noWrap w:val="0"/>
            <w:vAlign w:val="center"/>
          </w:tcPr>
          <w:p w14:paraId="5EFACA9A">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救援器材准备及演练等。</w:t>
            </w:r>
          </w:p>
        </w:tc>
      </w:tr>
      <w:tr w14:paraId="0D21FE6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738" w:type="dxa"/>
            <w:vMerge w:val="continue"/>
            <w:tcBorders>
              <w:bottom w:val="single" w:color="auto" w:sz="12" w:space="0"/>
            </w:tcBorders>
            <w:noWrap w:val="0"/>
            <w:vAlign w:val="center"/>
          </w:tcPr>
          <w:p w14:paraId="7A9AEA1B">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18"/>
                <w:szCs w:val="18"/>
                <w:highlight w:val="none"/>
                <w14:textFill>
                  <w14:solidFill>
                    <w14:schemeClr w14:val="tx1"/>
                  </w14:solidFill>
                </w14:textFill>
              </w:rPr>
            </w:pPr>
          </w:p>
        </w:tc>
        <w:tc>
          <w:tcPr>
            <w:tcW w:w="2070" w:type="dxa"/>
            <w:gridSpan w:val="2"/>
            <w:tcBorders>
              <w:bottom w:val="single" w:color="auto" w:sz="12" w:space="0"/>
            </w:tcBorders>
            <w:noWrap w:val="0"/>
            <w:vAlign w:val="center"/>
          </w:tcPr>
          <w:p w14:paraId="1F579EBA">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非正常情况施工</w:t>
            </w:r>
          </w:p>
        </w:tc>
        <w:tc>
          <w:tcPr>
            <w:tcW w:w="6645" w:type="dxa"/>
            <w:tcBorders>
              <w:bottom w:val="single" w:color="auto" w:sz="12" w:space="0"/>
            </w:tcBorders>
            <w:noWrap w:val="0"/>
            <w:vAlign w:val="center"/>
          </w:tcPr>
          <w:p w14:paraId="64E61625">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其它特殊情况下的防护费用，如：城市主干道、人流密集、河边等处施工及文物、古建筑、古树保护等。</w:t>
            </w:r>
          </w:p>
        </w:tc>
      </w:tr>
    </w:tbl>
    <w:p w14:paraId="251FA6AD">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注：本表所列建筑工程安全文明施工费，是依据现行法律法规及标准规范确定的。如法律法规和标准规范修订，本表所列项目应按照修订后的法律法规和标准规范进行调整。</w:t>
      </w:r>
    </w:p>
    <w:p w14:paraId="7F72668B">
      <w:pPr>
        <w:snapToGrid w:val="0"/>
        <w:spacing w:before="120" w:beforeLines="50" w:after="50"/>
        <w:rPr>
          <w:rFonts w:hint="eastAsia"/>
          <w:b/>
          <w:color w:val="000000" w:themeColor="text1"/>
          <w:sz w:val="28"/>
          <w:szCs w:val="28"/>
          <w:highlight w:val="none"/>
          <w14:textFill>
            <w14:solidFill>
              <w14:schemeClr w14:val="tx1"/>
            </w14:solidFill>
          </w14:textFill>
        </w:rPr>
        <w:sectPr>
          <w:pgSz w:w="11911" w:h="16838"/>
          <w:pgMar w:top="1134" w:right="1134" w:bottom="1134" w:left="1134" w:header="720" w:footer="720" w:gutter="0"/>
          <w:cols w:space="720" w:num="1"/>
        </w:sectPr>
      </w:pPr>
    </w:p>
    <w:p w14:paraId="4A9B6FCE">
      <w:pPr>
        <w:snapToGrid w:val="0"/>
        <w:spacing w:before="120" w:beforeLines="50" w:after="50" w:line="360" w:lineRule="auto"/>
        <w:jc w:val="left"/>
        <w:outlineLvl w:val="2"/>
        <w:rPr>
          <w:b/>
          <w:color w:val="000000" w:themeColor="text1"/>
          <w:sz w:val="28"/>
          <w:szCs w:val="28"/>
          <w:highlight w:val="none"/>
          <w14:textFill>
            <w14:solidFill>
              <w14:schemeClr w14:val="tx1"/>
            </w14:solidFill>
          </w14:textFill>
        </w:rPr>
      </w:pPr>
      <w:bookmarkStart w:id="219" w:name="_Toc25266"/>
      <w:r>
        <w:rPr>
          <w:rFonts w:hint="eastAsia"/>
          <w:b/>
          <w:color w:val="000000" w:themeColor="text1"/>
          <w:sz w:val="28"/>
          <w:szCs w:val="28"/>
          <w:highlight w:val="none"/>
          <w14:textFill>
            <w14:solidFill>
              <w14:schemeClr w14:val="tx1"/>
            </w14:solidFill>
          </w14:textFill>
        </w:rPr>
        <w:t>8</w:t>
      </w:r>
      <w:r>
        <w:rPr>
          <w:b/>
          <w:color w:val="000000" w:themeColor="text1"/>
          <w:sz w:val="28"/>
          <w:szCs w:val="28"/>
          <w:highlight w:val="none"/>
          <w14:textFill>
            <w14:solidFill>
              <w14:schemeClr w14:val="tx1"/>
            </w14:solidFill>
          </w14:textFill>
        </w:rPr>
        <w:t>.供应商</w:t>
      </w:r>
      <w:r>
        <w:rPr>
          <w:rFonts w:ascii="Times New Roman" w:hAnsi="Times New Roman" w:eastAsia="宋体" w:cs="Times New Roman"/>
          <w:b/>
          <w:bCs/>
          <w:color w:val="000000" w:themeColor="text1"/>
          <w:sz w:val="28"/>
          <w:szCs w:val="28"/>
          <w:highlight w:val="none"/>
          <w14:textFill>
            <w14:solidFill>
              <w14:schemeClr w14:val="tx1"/>
            </w14:solidFill>
          </w14:textFill>
        </w:rPr>
        <w:t>类似</w:t>
      </w:r>
      <w:r>
        <w:rPr>
          <w:b/>
          <w:color w:val="000000" w:themeColor="text1"/>
          <w:sz w:val="28"/>
          <w:szCs w:val="28"/>
          <w:highlight w:val="none"/>
          <w14:textFill>
            <w14:solidFill>
              <w14:schemeClr w14:val="tx1"/>
            </w14:solidFill>
          </w14:textFill>
        </w:rPr>
        <w:t>的业绩证明文件</w:t>
      </w:r>
      <w:r>
        <w:rPr>
          <w:b/>
          <w:bCs/>
          <w:color w:val="000000" w:themeColor="text1"/>
          <w:sz w:val="30"/>
          <w:szCs w:val="30"/>
          <w:highlight w:val="none"/>
          <w14:textFill>
            <w14:solidFill>
              <w14:schemeClr w14:val="tx1"/>
            </w14:solidFill>
          </w14:textFill>
        </w:rPr>
        <w:t>（如有要求）：</w:t>
      </w:r>
      <w:bookmarkEnd w:id="219"/>
    </w:p>
    <w:p w14:paraId="582E3D15">
      <w:pPr>
        <w:pStyle w:val="24"/>
        <w:keepNext w:val="0"/>
        <w:keepLines w:val="0"/>
        <w:pageBreakBefore w:val="0"/>
        <w:widowControl w:val="0"/>
        <w:kinsoku/>
        <w:wordWrap/>
        <w:overflowPunct/>
        <w:topLinePunct w:val="0"/>
        <w:bidi w:val="0"/>
        <w:adjustRightInd/>
        <w:snapToGrid w:val="0"/>
        <w:spacing w:line="360" w:lineRule="auto"/>
        <w:ind w:left="480" w:hanging="480"/>
        <w:textAlignment w:val="auto"/>
        <w:rPr>
          <w:color w:val="000000" w:themeColor="text1"/>
          <w:sz w:val="24"/>
          <w:highlight w:val="none"/>
          <w14:textFill>
            <w14:solidFill>
              <w14:schemeClr w14:val="tx1"/>
            </w14:solidFill>
          </w14:textFill>
        </w:rPr>
      </w:pPr>
    </w:p>
    <w:p w14:paraId="53704734">
      <w:pPr>
        <w:keepNext w:val="0"/>
        <w:keepLines w:val="0"/>
        <w:pageBreakBefore w:val="0"/>
        <w:widowControl w:val="0"/>
        <w:kinsoku/>
        <w:wordWrap/>
        <w:overflowPunct/>
        <w:topLinePunct w:val="0"/>
        <w:autoSpaceDE w:val="0"/>
        <w:autoSpaceDN w:val="0"/>
        <w:bidi w:val="0"/>
        <w:adjustRightInd/>
        <w:snapToGrid/>
        <w:spacing w:line="360" w:lineRule="auto"/>
        <w:ind w:firstLine="422" w:firstLineChars="200"/>
        <w:textAlignment w:val="auto"/>
        <w:rPr>
          <w:color w:val="000000" w:themeColor="text1"/>
          <w:szCs w:val="21"/>
          <w:highlight w:val="none"/>
          <w14:textFill>
            <w14:solidFill>
              <w14:schemeClr w14:val="tx1"/>
            </w14:solidFill>
          </w14:textFill>
        </w:rPr>
      </w:pPr>
      <w:r>
        <w:rPr>
          <w:b/>
          <w:color w:val="000000" w:themeColor="text1"/>
          <w:szCs w:val="21"/>
          <w:highlight w:val="none"/>
          <w14:textFill>
            <w14:solidFill>
              <w14:schemeClr w14:val="tx1"/>
            </w14:solidFill>
          </w14:textFill>
        </w:rPr>
        <w:t>附表:相关项目业绩一览表（供应商类似项目合同复印件、用户验收报告、用户评价意见格式自拟）</w:t>
      </w:r>
    </w:p>
    <w:p w14:paraId="4DCCF92B">
      <w:pPr>
        <w:keepNext w:val="0"/>
        <w:keepLines w:val="0"/>
        <w:pageBreakBefore w:val="0"/>
        <w:widowControl w:val="0"/>
        <w:kinsoku/>
        <w:wordWrap/>
        <w:overflowPunct/>
        <w:topLinePunct w:val="0"/>
        <w:bidi w:val="0"/>
        <w:adjustRightInd/>
        <w:snapToGrid/>
        <w:spacing w:line="360" w:lineRule="auto"/>
        <w:ind w:left="72" w:firstLine="420" w:firstLineChars="200"/>
        <w:textAlignment w:val="auto"/>
        <w:rPr>
          <w:color w:val="000000" w:themeColor="text1"/>
          <w:kern w:val="0"/>
          <w:szCs w:val="21"/>
          <w:highlight w:val="none"/>
          <w14:textFill>
            <w14:solidFill>
              <w14:schemeClr w14:val="tx1"/>
            </w14:solidFill>
          </w14:textFill>
        </w:rPr>
      </w:pPr>
      <w:r>
        <w:rPr>
          <w:color w:val="000000" w:themeColor="text1"/>
          <w:kern w:val="0"/>
          <w:szCs w:val="21"/>
          <w:highlight w:val="none"/>
          <w14:textFill>
            <w14:solidFill>
              <w14:schemeClr w14:val="tx1"/>
            </w14:solidFill>
          </w14:textFill>
        </w:rPr>
        <w:t>注：供应商可参照下述的格式自行编制，须随表提交相应的合同复印件和用户单位验收证明并注明所在供应商商务技术文件页码。</w:t>
      </w:r>
    </w:p>
    <w:tbl>
      <w:tblPr>
        <w:tblStyle w:val="29"/>
        <w:tblW w:w="9874"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414"/>
        <w:gridCol w:w="1813"/>
        <w:gridCol w:w="1134"/>
        <w:gridCol w:w="1134"/>
        <w:gridCol w:w="1379"/>
        <w:gridCol w:w="1410"/>
        <w:gridCol w:w="1590"/>
      </w:tblGrid>
      <w:tr w14:paraId="613FD9B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87" w:hRule="atLeast"/>
        </w:trPr>
        <w:tc>
          <w:tcPr>
            <w:tcW w:w="1414" w:type="dxa"/>
            <w:vMerge w:val="restart"/>
            <w:tcBorders>
              <w:top w:val="single" w:color="auto" w:sz="4" w:space="0"/>
              <w:left w:val="single" w:color="auto" w:sz="4" w:space="0"/>
              <w:bottom w:val="single" w:color="auto" w:sz="4" w:space="0"/>
              <w:right w:val="single" w:color="auto" w:sz="4" w:space="0"/>
            </w:tcBorders>
            <w:shd w:val="clear" w:color="auto" w:fill="auto"/>
            <w:noWrap w:val="0"/>
            <w:vAlign w:val="center"/>
          </w:tcPr>
          <w:p w14:paraId="3FE226C6">
            <w:pPr>
              <w:keepNext w:val="0"/>
              <w:keepLines w:val="0"/>
              <w:pageBreakBefore w:val="0"/>
              <w:widowControl w:val="0"/>
              <w:kinsoku/>
              <w:wordWrap/>
              <w:overflowPunct/>
              <w:topLinePunct w:val="0"/>
              <w:bidi w:val="0"/>
              <w:adjustRightInd/>
              <w:snapToGrid w:val="0"/>
              <w:spacing w:line="360" w:lineRule="auto"/>
              <w:jc w:val="center"/>
              <w:textAlignment w:val="auto"/>
              <w:rPr>
                <w:rFonts w:hint="eastAsia" w:ascii="宋体" w:hAnsi="宋体" w:eastAsia="宋体" w:cs="宋体"/>
                <w:b/>
                <w:bCs/>
                <w:color w:val="000000" w:themeColor="text1"/>
                <w:sz w:val="21"/>
                <w:szCs w:val="21"/>
                <w:highlight w:val="none"/>
                <w14:textFill>
                  <w14:solidFill>
                    <w14:schemeClr w14:val="tx1"/>
                  </w14:solidFill>
                </w14:textFill>
              </w:rPr>
            </w:pPr>
            <w:r>
              <w:rPr>
                <w:rFonts w:hint="eastAsia" w:ascii="宋体" w:hAnsi="宋体" w:eastAsia="宋体" w:cs="宋体"/>
                <w:b/>
                <w:bCs/>
                <w:color w:val="000000" w:themeColor="text1"/>
                <w:sz w:val="21"/>
                <w:szCs w:val="21"/>
                <w:highlight w:val="none"/>
                <w14:textFill>
                  <w14:solidFill>
                    <w14:schemeClr w14:val="tx1"/>
                  </w14:solidFill>
                </w14:textFill>
              </w:rPr>
              <w:t>采购人名称</w:t>
            </w:r>
          </w:p>
        </w:tc>
        <w:tc>
          <w:tcPr>
            <w:tcW w:w="1813" w:type="dxa"/>
            <w:vMerge w:val="restart"/>
            <w:tcBorders>
              <w:top w:val="single" w:color="auto" w:sz="4" w:space="0"/>
              <w:left w:val="single" w:color="auto" w:sz="4" w:space="0"/>
              <w:bottom w:val="single" w:color="auto" w:sz="4" w:space="0"/>
              <w:right w:val="single" w:color="auto" w:sz="4" w:space="0"/>
            </w:tcBorders>
            <w:shd w:val="clear" w:color="auto" w:fill="auto"/>
            <w:noWrap w:val="0"/>
            <w:vAlign w:val="center"/>
          </w:tcPr>
          <w:p w14:paraId="5CB16471">
            <w:pPr>
              <w:keepNext w:val="0"/>
              <w:keepLines w:val="0"/>
              <w:pageBreakBefore w:val="0"/>
              <w:widowControl w:val="0"/>
              <w:kinsoku/>
              <w:wordWrap/>
              <w:overflowPunct/>
              <w:topLinePunct w:val="0"/>
              <w:bidi w:val="0"/>
              <w:adjustRightInd/>
              <w:snapToGrid w:val="0"/>
              <w:spacing w:line="360" w:lineRule="auto"/>
              <w:jc w:val="center"/>
              <w:textAlignment w:val="auto"/>
              <w:rPr>
                <w:rFonts w:hint="eastAsia" w:ascii="宋体" w:hAnsi="宋体" w:eastAsia="宋体" w:cs="宋体"/>
                <w:b/>
                <w:bCs/>
                <w:color w:val="000000" w:themeColor="text1"/>
                <w:sz w:val="21"/>
                <w:szCs w:val="21"/>
                <w:highlight w:val="none"/>
                <w14:textFill>
                  <w14:solidFill>
                    <w14:schemeClr w14:val="tx1"/>
                  </w14:solidFill>
                </w14:textFill>
              </w:rPr>
            </w:pPr>
            <w:r>
              <w:rPr>
                <w:rFonts w:hint="eastAsia" w:ascii="宋体" w:hAnsi="宋体" w:eastAsia="宋体" w:cs="宋体"/>
                <w:b/>
                <w:bCs/>
                <w:color w:val="000000" w:themeColor="text1"/>
                <w:sz w:val="21"/>
                <w:szCs w:val="21"/>
                <w:highlight w:val="none"/>
                <w14:textFill>
                  <w14:solidFill>
                    <w14:schemeClr w14:val="tx1"/>
                  </w14:solidFill>
                </w14:textFill>
              </w:rPr>
              <w:t>项目名称</w:t>
            </w:r>
          </w:p>
        </w:tc>
        <w:tc>
          <w:tcPr>
            <w:tcW w:w="1134" w:type="dxa"/>
            <w:vMerge w:val="restart"/>
            <w:tcBorders>
              <w:top w:val="single" w:color="auto" w:sz="4" w:space="0"/>
              <w:left w:val="single" w:color="auto" w:sz="4" w:space="0"/>
              <w:bottom w:val="single" w:color="auto" w:sz="4" w:space="0"/>
              <w:right w:val="single" w:color="auto" w:sz="4" w:space="0"/>
            </w:tcBorders>
            <w:shd w:val="clear" w:color="auto" w:fill="auto"/>
            <w:noWrap w:val="0"/>
            <w:vAlign w:val="center"/>
          </w:tcPr>
          <w:p w14:paraId="1C280A12">
            <w:pPr>
              <w:keepNext w:val="0"/>
              <w:keepLines w:val="0"/>
              <w:pageBreakBefore w:val="0"/>
              <w:widowControl w:val="0"/>
              <w:kinsoku/>
              <w:wordWrap/>
              <w:overflowPunct/>
              <w:topLinePunct w:val="0"/>
              <w:bidi w:val="0"/>
              <w:adjustRightInd/>
              <w:snapToGrid w:val="0"/>
              <w:spacing w:line="360" w:lineRule="auto"/>
              <w:jc w:val="center"/>
              <w:textAlignment w:val="auto"/>
              <w:rPr>
                <w:rFonts w:hint="eastAsia" w:ascii="宋体" w:hAnsi="宋体" w:eastAsia="宋体" w:cs="宋体"/>
                <w:b/>
                <w:bCs/>
                <w:color w:val="000000" w:themeColor="text1"/>
                <w:sz w:val="21"/>
                <w:szCs w:val="21"/>
                <w:highlight w:val="none"/>
                <w14:textFill>
                  <w14:solidFill>
                    <w14:schemeClr w14:val="tx1"/>
                  </w14:solidFill>
                </w14:textFill>
              </w:rPr>
            </w:pPr>
            <w:r>
              <w:rPr>
                <w:rFonts w:hint="eastAsia" w:ascii="宋体" w:hAnsi="宋体" w:eastAsia="宋体" w:cs="宋体"/>
                <w:b/>
                <w:bCs/>
                <w:color w:val="000000" w:themeColor="text1"/>
                <w:sz w:val="21"/>
                <w:szCs w:val="21"/>
                <w:highlight w:val="none"/>
                <w14:textFill>
                  <w14:solidFill>
                    <w14:schemeClr w14:val="tx1"/>
                  </w14:solidFill>
                </w14:textFill>
              </w:rPr>
              <w:t>合同金额</w:t>
            </w:r>
          </w:p>
          <w:p w14:paraId="530580AC">
            <w:pPr>
              <w:keepNext w:val="0"/>
              <w:keepLines w:val="0"/>
              <w:pageBreakBefore w:val="0"/>
              <w:widowControl w:val="0"/>
              <w:kinsoku/>
              <w:wordWrap/>
              <w:overflowPunct/>
              <w:topLinePunct w:val="0"/>
              <w:bidi w:val="0"/>
              <w:adjustRightInd/>
              <w:snapToGrid w:val="0"/>
              <w:spacing w:line="360" w:lineRule="auto"/>
              <w:jc w:val="center"/>
              <w:textAlignment w:val="auto"/>
              <w:rPr>
                <w:rFonts w:hint="eastAsia" w:ascii="宋体" w:hAnsi="宋体" w:eastAsia="宋体" w:cs="宋体"/>
                <w:b/>
                <w:bCs/>
                <w:color w:val="000000" w:themeColor="text1"/>
                <w:sz w:val="21"/>
                <w:szCs w:val="21"/>
                <w:highlight w:val="none"/>
                <w14:textFill>
                  <w14:solidFill>
                    <w14:schemeClr w14:val="tx1"/>
                  </w14:solidFill>
                </w14:textFill>
              </w:rPr>
            </w:pPr>
            <w:r>
              <w:rPr>
                <w:rFonts w:hint="eastAsia" w:ascii="宋体" w:hAnsi="宋体" w:eastAsia="宋体" w:cs="宋体"/>
                <w:b/>
                <w:bCs/>
                <w:color w:val="000000" w:themeColor="text1"/>
                <w:sz w:val="21"/>
                <w:szCs w:val="21"/>
                <w:highlight w:val="none"/>
                <w14:textFill>
                  <w14:solidFill>
                    <w14:schemeClr w14:val="tx1"/>
                  </w14:solidFill>
                </w14:textFill>
              </w:rPr>
              <w:t>（万元）</w:t>
            </w:r>
          </w:p>
        </w:tc>
        <w:tc>
          <w:tcPr>
            <w:tcW w:w="3923" w:type="dxa"/>
            <w:gridSpan w:val="3"/>
            <w:tcBorders>
              <w:top w:val="single" w:color="auto" w:sz="4" w:space="0"/>
              <w:left w:val="single" w:color="auto" w:sz="4" w:space="0"/>
              <w:bottom w:val="single" w:color="auto" w:sz="4" w:space="0"/>
              <w:right w:val="single" w:color="auto" w:sz="4" w:space="0"/>
            </w:tcBorders>
            <w:shd w:val="clear" w:color="auto" w:fill="auto"/>
            <w:noWrap w:val="0"/>
            <w:vAlign w:val="center"/>
          </w:tcPr>
          <w:p w14:paraId="5311F566">
            <w:pPr>
              <w:keepNext w:val="0"/>
              <w:keepLines w:val="0"/>
              <w:pageBreakBefore w:val="0"/>
              <w:widowControl w:val="0"/>
              <w:kinsoku/>
              <w:wordWrap/>
              <w:overflowPunct/>
              <w:topLinePunct w:val="0"/>
              <w:bidi w:val="0"/>
              <w:adjustRightInd/>
              <w:snapToGrid w:val="0"/>
              <w:spacing w:line="360" w:lineRule="auto"/>
              <w:jc w:val="center"/>
              <w:textAlignment w:val="auto"/>
              <w:rPr>
                <w:rFonts w:hint="eastAsia" w:ascii="宋体" w:hAnsi="宋体" w:eastAsia="宋体" w:cs="宋体"/>
                <w:b/>
                <w:bCs/>
                <w:color w:val="000000" w:themeColor="text1"/>
                <w:sz w:val="21"/>
                <w:szCs w:val="21"/>
                <w:highlight w:val="none"/>
                <w14:textFill>
                  <w14:solidFill>
                    <w14:schemeClr w14:val="tx1"/>
                  </w14:solidFill>
                </w14:textFill>
              </w:rPr>
            </w:pPr>
            <w:r>
              <w:rPr>
                <w:rFonts w:hint="eastAsia" w:ascii="宋体" w:hAnsi="宋体" w:eastAsia="宋体" w:cs="宋体"/>
                <w:b/>
                <w:bCs/>
                <w:color w:val="000000" w:themeColor="text1"/>
                <w:sz w:val="21"/>
                <w:szCs w:val="21"/>
                <w:highlight w:val="none"/>
                <w14:textFill>
                  <w14:solidFill>
                    <w14:schemeClr w14:val="tx1"/>
                  </w14:solidFill>
                </w14:textFill>
              </w:rPr>
              <w:t>附件在响应文件中页码</w:t>
            </w:r>
          </w:p>
        </w:tc>
        <w:tc>
          <w:tcPr>
            <w:tcW w:w="1590" w:type="dxa"/>
            <w:vMerge w:val="restart"/>
            <w:tcBorders>
              <w:top w:val="single" w:color="auto" w:sz="4" w:space="0"/>
              <w:left w:val="single" w:color="auto" w:sz="4" w:space="0"/>
              <w:bottom w:val="single" w:color="auto" w:sz="4" w:space="0"/>
              <w:right w:val="single" w:color="auto" w:sz="4" w:space="0"/>
            </w:tcBorders>
            <w:shd w:val="clear" w:color="auto" w:fill="auto"/>
            <w:noWrap w:val="0"/>
            <w:vAlign w:val="center"/>
          </w:tcPr>
          <w:p w14:paraId="7016C08F">
            <w:pPr>
              <w:keepNext w:val="0"/>
              <w:keepLines w:val="0"/>
              <w:pageBreakBefore w:val="0"/>
              <w:widowControl w:val="0"/>
              <w:kinsoku/>
              <w:wordWrap/>
              <w:overflowPunct/>
              <w:topLinePunct w:val="0"/>
              <w:bidi w:val="0"/>
              <w:adjustRightInd/>
              <w:snapToGrid w:val="0"/>
              <w:spacing w:line="360" w:lineRule="auto"/>
              <w:jc w:val="center"/>
              <w:textAlignment w:val="auto"/>
              <w:rPr>
                <w:rFonts w:hint="eastAsia" w:ascii="宋体" w:hAnsi="宋体" w:eastAsia="宋体" w:cs="宋体"/>
                <w:b/>
                <w:bCs/>
                <w:color w:val="000000" w:themeColor="text1"/>
                <w:sz w:val="21"/>
                <w:szCs w:val="21"/>
                <w:highlight w:val="none"/>
                <w14:textFill>
                  <w14:solidFill>
                    <w14:schemeClr w14:val="tx1"/>
                  </w14:solidFill>
                </w14:textFill>
              </w:rPr>
            </w:pPr>
            <w:r>
              <w:rPr>
                <w:rFonts w:hint="eastAsia" w:ascii="宋体" w:hAnsi="宋体" w:eastAsia="宋体" w:cs="宋体"/>
                <w:b/>
                <w:bCs/>
                <w:color w:val="000000" w:themeColor="text1"/>
                <w:sz w:val="21"/>
                <w:szCs w:val="21"/>
                <w:highlight w:val="none"/>
                <w14:textFill>
                  <w14:solidFill>
                    <w14:schemeClr w14:val="tx1"/>
                  </w14:solidFill>
                </w14:textFill>
              </w:rPr>
              <w:t>采购人联系人及联系电话</w:t>
            </w:r>
          </w:p>
        </w:tc>
      </w:tr>
      <w:tr w14:paraId="472CC96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196" w:hRule="atLeast"/>
        </w:trPr>
        <w:tc>
          <w:tcPr>
            <w:tcW w:w="1414" w:type="dxa"/>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14:paraId="460153C4">
            <w:pPr>
              <w:keepNext w:val="0"/>
              <w:keepLines w:val="0"/>
              <w:pageBreakBefore w:val="0"/>
              <w:widowControl w:val="0"/>
              <w:kinsoku/>
              <w:wordWrap/>
              <w:overflowPunct/>
              <w:topLinePunct w:val="0"/>
              <w:bidi w:val="0"/>
              <w:adjustRightInd/>
              <w:spacing w:line="360" w:lineRule="auto"/>
              <w:jc w:val="left"/>
              <w:textAlignment w:val="auto"/>
              <w:rPr>
                <w:rFonts w:hint="eastAsia" w:ascii="宋体" w:hAnsi="宋体" w:eastAsia="宋体" w:cs="宋体"/>
                <w:b/>
                <w:bCs/>
                <w:color w:val="000000" w:themeColor="text1"/>
                <w:sz w:val="21"/>
                <w:szCs w:val="21"/>
                <w:highlight w:val="none"/>
                <w14:textFill>
                  <w14:solidFill>
                    <w14:schemeClr w14:val="tx1"/>
                  </w14:solidFill>
                </w14:textFill>
              </w:rPr>
            </w:pPr>
          </w:p>
        </w:tc>
        <w:tc>
          <w:tcPr>
            <w:tcW w:w="1813" w:type="dxa"/>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14:paraId="70DC07C7">
            <w:pPr>
              <w:keepNext w:val="0"/>
              <w:keepLines w:val="0"/>
              <w:pageBreakBefore w:val="0"/>
              <w:widowControl w:val="0"/>
              <w:kinsoku/>
              <w:wordWrap/>
              <w:overflowPunct/>
              <w:topLinePunct w:val="0"/>
              <w:bidi w:val="0"/>
              <w:adjustRightInd/>
              <w:spacing w:line="360" w:lineRule="auto"/>
              <w:jc w:val="left"/>
              <w:textAlignment w:val="auto"/>
              <w:rPr>
                <w:rFonts w:hint="eastAsia" w:ascii="宋体" w:hAnsi="宋体" w:eastAsia="宋体" w:cs="宋体"/>
                <w:b/>
                <w:bCs/>
                <w:color w:val="000000" w:themeColor="text1"/>
                <w:sz w:val="21"/>
                <w:szCs w:val="21"/>
                <w:highlight w:val="none"/>
                <w14:textFill>
                  <w14:solidFill>
                    <w14:schemeClr w14:val="tx1"/>
                  </w14:solidFill>
                </w14:textFill>
              </w:rPr>
            </w:pPr>
          </w:p>
        </w:tc>
        <w:tc>
          <w:tcPr>
            <w:tcW w:w="1134" w:type="dxa"/>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14:paraId="50F2BD37">
            <w:pPr>
              <w:keepNext w:val="0"/>
              <w:keepLines w:val="0"/>
              <w:pageBreakBefore w:val="0"/>
              <w:widowControl w:val="0"/>
              <w:kinsoku/>
              <w:wordWrap/>
              <w:overflowPunct/>
              <w:topLinePunct w:val="0"/>
              <w:bidi w:val="0"/>
              <w:adjustRightInd/>
              <w:spacing w:line="360" w:lineRule="auto"/>
              <w:jc w:val="left"/>
              <w:textAlignment w:val="auto"/>
              <w:rPr>
                <w:rFonts w:hint="eastAsia" w:ascii="宋体" w:hAnsi="宋体" w:eastAsia="宋体" w:cs="宋体"/>
                <w:b/>
                <w:bCs/>
                <w:color w:val="000000" w:themeColor="text1"/>
                <w:sz w:val="21"/>
                <w:szCs w:val="21"/>
                <w:highlight w:val="none"/>
                <w14:textFill>
                  <w14:solidFill>
                    <w14:schemeClr w14:val="tx1"/>
                  </w14:solidFill>
                </w14:textFill>
              </w:rPr>
            </w:pPr>
          </w:p>
        </w:tc>
        <w:tc>
          <w:tcPr>
            <w:tcW w:w="1134"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85B428B">
            <w:pPr>
              <w:keepNext w:val="0"/>
              <w:keepLines w:val="0"/>
              <w:pageBreakBefore w:val="0"/>
              <w:widowControl w:val="0"/>
              <w:kinsoku/>
              <w:wordWrap/>
              <w:overflowPunct/>
              <w:topLinePunct w:val="0"/>
              <w:bidi w:val="0"/>
              <w:adjustRightInd/>
              <w:snapToGrid w:val="0"/>
              <w:spacing w:line="360" w:lineRule="auto"/>
              <w:jc w:val="center"/>
              <w:textAlignment w:val="auto"/>
              <w:rPr>
                <w:rFonts w:hint="eastAsia" w:ascii="宋体" w:hAnsi="宋体" w:eastAsia="宋体" w:cs="宋体"/>
                <w:b/>
                <w:bCs/>
                <w:color w:val="000000" w:themeColor="text1"/>
                <w:sz w:val="21"/>
                <w:szCs w:val="21"/>
                <w:highlight w:val="none"/>
                <w14:textFill>
                  <w14:solidFill>
                    <w14:schemeClr w14:val="tx1"/>
                  </w14:solidFill>
                </w14:textFill>
              </w:rPr>
            </w:pPr>
            <w:r>
              <w:rPr>
                <w:rFonts w:hint="eastAsia" w:ascii="宋体" w:hAnsi="宋体" w:eastAsia="宋体" w:cs="宋体"/>
                <w:b/>
                <w:bCs/>
                <w:color w:val="000000" w:themeColor="text1"/>
                <w:sz w:val="21"/>
                <w:szCs w:val="21"/>
                <w:highlight w:val="none"/>
                <w14:textFill>
                  <w14:solidFill>
                    <w14:schemeClr w14:val="tx1"/>
                  </w14:solidFill>
                </w14:textFill>
              </w:rPr>
              <w:t>合同</w:t>
            </w:r>
          </w:p>
        </w:tc>
        <w:tc>
          <w:tcPr>
            <w:tcW w:w="1379"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E156F93">
            <w:pPr>
              <w:keepNext w:val="0"/>
              <w:keepLines w:val="0"/>
              <w:pageBreakBefore w:val="0"/>
              <w:widowControl w:val="0"/>
              <w:kinsoku/>
              <w:wordWrap/>
              <w:overflowPunct/>
              <w:topLinePunct w:val="0"/>
              <w:bidi w:val="0"/>
              <w:adjustRightInd/>
              <w:snapToGrid w:val="0"/>
              <w:spacing w:line="360" w:lineRule="auto"/>
              <w:jc w:val="center"/>
              <w:textAlignment w:val="auto"/>
              <w:rPr>
                <w:rFonts w:hint="eastAsia" w:ascii="宋体" w:hAnsi="宋体" w:eastAsia="宋体" w:cs="宋体"/>
                <w:b/>
                <w:bCs/>
                <w:color w:val="000000" w:themeColor="text1"/>
                <w:sz w:val="21"/>
                <w:szCs w:val="21"/>
                <w:highlight w:val="none"/>
                <w14:textFill>
                  <w14:solidFill>
                    <w14:schemeClr w14:val="tx1"/>
                  </w14:solidFill>
                </w14:textFill>
              </w:rPr>
            </w:pPr>
            <w:r>
              <w:rPr>
                <w:rFonts w:hint="eastAsia" w:ascii="宋体" w:hAnsi="宋体" w:eastAsia="宋体" w:cs="宋体"/>
                <w:b/>
                <w:bCs/>
                <w:color w:val="000000" w:themeColor="text1"/>
                <w:sz w:val="21"/>
                <w:szCs w:val="21"/>
                <w:highlight w:val="none"/>
                <w14:textFill>
                  <w14:solidFill>
                    <w14:schemeClr w14:val="tx1"/>
                  </w14:solidFill>
                </w14:textFill>
              </w:rPr>
              <w:t>验收报告</w:t>
            </w:r>
          </w:p>
        </w:tc>
        <w:tc>
          <w:tcPr>
            <w:tcW w:w="141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27CF22EE">
            <w:pPr>
              <w:keepNext w:val="0"/>
              <w:keepLines w:val="0"/>
              <w:pageBreakBefore w:val="0"/>
              <w:widowControl w:val="0"/>
              <w:kinsoku/>
              <w:wordWrap/>
              <w:overflowPunct/>
              <w:topLinePunct w:val="0"/>
              <w:bidi w:val="0"/>
              <w:adjustRightInd/>
              <w:snapToGrid w:val="0"/>
              <w:spacing w:line="360" w:lineRule="auto"/>
              <w:jc w:val="center"/>
              <w:textAlignment w:val="auto"/>
              <w:rPr>
                <w:rFonts w:hint="eastAsia" w:ascii="宋体" w:hAnsi="宋体" w:eastAsia="宋体" w:cs="宋体"/>
                <w:b/>
                <w:bCs/>
                <w:color w:val="000000" w:themeColor="text1"/>
                <w:sz w:val="21"/>
                <w:szCs w:val="21"/>
                <w:highlight w:val="none"/>
                <w14:textFill>
                  <w14:solidFill>
                    <w14:schemeClr w14:val="tx1"/>
                  </w14:solidFill>
                </w14:textFill>
              </w:rPr>
            </w:pPr>
            <w:r>
              <w:rPr>
                <w:rFonts w:hint="eastAsia" w:ascii="宋体" w:hAnsi="宋体" w:eastAsia="宋体" w:cs="宋体"/>
                <w:b/>
                <w:bCs/>
                <w:color w:val="000000" w:themeColor="text1"/>
                <w:sz w:val="21"/>
                <w:szCs w:val="21"/>
                <w:highlight w:val="none"/>
                <w14:textFill>
                  <w14:solidFill>
                    <w14:schemeClr w14:val="tx1"/>
                  </w14:solidFill>
                </w14:textFill>
              </w:rPr>
              <w:t>用户评价</w:t>
            </w:r>
          </w:p>
        </w:tc>
        <w:tc>
          <w:tcPr>
            <w:tcW w:w="1590" w:type="dxa"/>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14:paraId="07F729A9">
            <w:pPr>
              <w:keepNext w:val="0"/>
              <w:keepLines w:val="0"/>
              <w:pageBreakBefore w:val="0"/>
              <w:widowControl w:val="0"/>
              <w:kinsoku/>
              <w:wordWrap/>
              <w:overflowPunct/>
              <w:topLinePunct w:val="0"/>
              <w:bidi w:val="0"/>
              <w:adjustRightInd/>
              <w:spacing w:line="360" w:lineRule="auto"/>
              <w:jc w:val="left"/>
              <w:textAlignment w:val="auto"/>
              <w:rPr>
                <w:rFonts w:hint="eastAsia" w:ascii="宋体" w:hAnsi="宋体" w:eastAsia="宋体" w:cs="宋体"/>
                <w:b/>
                <w:bCs/>
                <w:color w:val="000000" w:themeColor="text1"/>
                <w:sz w:val="21"/>
                <w:szCs w:val="21"/>
                <w:highlight w:val="none"/>
                <w14:textFill>
                  <w14:solidFill>
                    <w14:schemeClr w14:val="tx1"/>
                  </w14:solidFill>
                </w14:textFill>
              </w:rPr>
            </w:pPr>
          </w:p>
        </w:tc>
      </w:tr>
      <w:tr w14:paraId="3676526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9" w:hRule="atLeast"/>
        </w:trPr>
        <w:tc>
          <w:tcPr>
            <w:tcW w:w="1414" w:type="dxa"/>
            <w:tcBorders>
              <w:top w:val="single" w:color="auto" w:sz="4" w:space="0"/>
              <w:left w:val="single" w:color="auto" w:sz="4" w:space="0"/>
              <w:bottom w:val="single" w:color="auto" w:sz="4" w:space="0"/>
              <w:right w:val="single" w:color="auto" w:sz="4" w:space="0"/>
            </w:tcBorders>
            <w:noWrap w:val="0"/>
            <w:vAlign w:val="top"/>
          </w:tcPr>
          <w:p w14:paraId="6502A010">
            <w:pPr>
              <w:keepNext w:val="0"/>
              <w:keepLines w:val="0"/>
              <w:pageBreakBefore w:val="0"/>
              <w:widowControl w:val="0"/>
              <w:kinsoku/>
              <w:wordWrap/>
              <w:overflowPunct/>
              <w:topLinePunct w:val="0"/>
              <w:bidi w:val="0"/>
              <w:adjustRightInd/>
              <w:snapToGrid w:val="0"/>
              <w:spacing w:line="360" w:lineRule="auto"/>
              <w:jc w:val="left"/>
              <w:textAlignment w:val="auto"/>
              <w:rPr>
                <w:rFonts w:hint="eastAsia" w:ascii="宋体" w:hAnsi="宋体" w:eastAsia="宋体" w:cs="宋体"/>
                <w:color w:val="000000" w:themeColor="text1"/>
                <w:sz w:val="21"/>
                <w:szCs w:val="21"/>
                <w:highlight w:val="none"/>
                <w14:textFill>
                  <w14:solidFill>
                    <w14:schemeClr w14:val="tx1"/>
                  </w14:solidFill>
                </w14:textFill>
              </w:rPr>
            </w:pPr>
          </w:p>
        </w:tc>
        <w:tc>
          <w:tcPr>
            <w:tcW w:w="1813" w:type="dxa"/>
            <w:tcBorders>
              <w:top w:val="single" w:color="auto" w:sz="4" w:space="0"/>
              <w:left w:val="single" w:color="auto" w:sz="4" w:space="0"/>
              <w:bottom w:val="single" w:color="auto" w:sz="4" w:space="0"/>
              <w:right w:val="single" w:color="auto" w:sz="4" w:space="0"/>
            </w:tcBorders>
            <w:noWrap w:val="0"/>
            <w:vAlign w:val="top"/>
          </w:tcPr>
          <w:p w14:paraId="4FCF7904">
            <w:pPr>
              <w:keepNext w:val="0"/>
              <w:keepLines w:val="0"/>
              <w:pageBreakBefore w:val="0"/>
              <w:widowControl w:val="0"/>
              <w:kinsoku/>
              <w:wordWrap/>
              <w:overflowPunct/>
              <w:topLinePunct w:val="0"/>
              <w:bidi w:val="0"/>
              <w:adjustRightInd/>
              <w:snapToGrid w:val="0"/>
              <w:spacing w:line="360" w:lineRule="auto"/>
              <w:jc w:val="left"/>
              <w:textAlignment w:val="auto"/>
              <w:rPr>
                <w:rFonts w:hint="eastAsia" w:ascii="宋体" w:hAnsi="宋体" w:eastAsia="宋体" w:cs="宋体"/>
                <w:color w:val="000000" w:themeColor="text1"/>
                <w:sz w:val="21"/>
                <w:szCs w:val="21"/>
                <w:highlight w:val="none"/>
                <w14:textFill>
                  <w14:solidFill>
                    <w14:schemeClr w14:val="tx1"/>
                  </w14:solidFill>
                </w14:textFill>
              </w:rPr>
            </w:pPr>
          </w:p>
        </w:tc>
        <w:tc>
          <w:tcPr>
            <w:tcW w:w="1134" w:type="dxa"/>
            <w:tcBorders>
              <w:top w:val="single" w:color="auto" w:sz="4" w:space="0"/>
              <w:left w:val="single" w:color="auto" w:sz="4" w:space="0"/>
              <w:bottom w:val="single" w:color="auto" w:sz="4" w:space="0"/>
              <w:right w:val="single" w:color="auto" w:sz="4" w:space="0"/>
            </w:tcBorders>
            <w:noWrap w:val="0"/>
            <w:vAlign w:val="top"/>
          </w:tcPr>
          <w:p w14:paraId="3BA3BFFB">
            <w:pPr>
              <w:keepNext w:val="0"/>
              <w:keepLines w:val="0"/>
              <w:pageBreakBefore w:val="0"/>
              <w:widowControl w:val="0"/>
              <w:kinsoku/>
              <w:wordWrap/>
              <w:overflowPunct/>
              <w:topLinePunct w:val="0"/>
              <w:bidi w:val="0"/>
              <w:adjustRightInd/>
              <w:snapToGrid w:val="0"/>
              <w:spacing w:line="360" w:lineRule="auto"/>
              <w:jc w:val="left"/>
              <w:textAlignment w:val="auto"/>
              <w:rPr>
                <w:rFonts w:hint="eastAsia" w:ascii="宋体" w:hAnsi="宋体" w:eastAsia="宋体" w:cs="宋体"/>
                <w:color w:val="000000" w:themeColor="text1"/>
                <w:sz w:val="21"/>
                <w:szCs w:val="21"/>
                <w:highlight w:val="none"/>
                <w14:textFill>
                  <w14:solidFill>
                    <w14:schemeClr w14:val="tx1"/>
                  </w14:solidFill>
                </w14:textFill>
              </w:rPr>
            </w:pPr>
          </w:p>
        </w:tc>
        <w:tc>
          <w:tcPr>
            <w:tcW w:w="1134" w:type="dxa"/>
            <w:tcBorders>
              <w:top w:val="single" w:color="auto" w:sz="4" w:space="0"/>
              <w:left w:val="single" w:color="auto" w:sz="4" w:space="0"/>
              <w:bottom w:val="single" w:color="auto" w:sz="4" w:space="0"/>
              <w:right w:val="single" w:color="auto" w:sz="4" w:space="0"/>
            </w:tcBorders>
            <w:noWrap w:val="0"/>
            <w:vAlign w:val="top"/>
          </w:tcPr>
          <w:p w14:paraId="2D70A213">
            <w:pPr>
              <w:keepNext w:val="0"/>
              <w:keepLines w:val="0"/>
              <w:pageBreakBefore w:val="0"/>
              <w:widowControl w:val="0"/>
              <w:kinsoku/>
              <w:wordWrap/>
              <w:overflowPunct/>
              <w:topLinePunct w:val="0"/>
              <w:bidi w:val="0"/>
              <w:adjustRightInd/>
              <w:snapToGrid w:val="0"/>
              <w:spacing w:line="360" w:lineRule="auto"/>
              <w:jc w:val="left"/>
              <w:textAlignment w:val="auto"/>
              <w:rPr>
                <w:rFonts w:hint="eastAsia" w:ascii="宋体" w:hAnsi="宋体" w:eastAsia="宋体" w:cs="宋体"/>
                <w:color w:val="000000" w:themeColor="text1"/>
                <w:sz w:val="21"/>
                <w:szCs w:val="21"/>
                <w:highlight w:val="none"/>
                <w14:textFill>
                  <w14:solidFill>
                    <w14:schemeClr w14:val="tx1"/>
                  </w14:solidFill>
                </w14:textFill>
              </w:rPr>
            </w:pPr>
          </w:p>
        </w:tc>
        <w:tc>
          <w:tcPr>
            <w:tcW w:w="1379" w:type="dxa"/>
            <w:tcBorders>
              <w:top w:val="single" w:color="auto" w:sz="4" w:space="0"/>
              <w:left w:val="single" w:color="auto" w:sz="4" w:space="0"/>
              <w:bottom w:val="single" w:color="auto" w:sz="4" w:space="0"/>
              <w:right w:val="single" w:color="auto" w:sz="4" w:space="0"/>
            </w:tcBorders>
            <w:noWrap w:val="0"/>
            <w:vAlign w:val="top"/>
          </w:tcPr>
          <w:p w14:paraId="6C05DB83">
            <w:pPr>
              <w:keepNext w:val="0"/>
              <w:keepLines w:val="0"/>
              <w:pageBreakBefore w:val="0"/>
              <w:widowControl w:val="0"/>
              <w:kinsoku/>
              <w:wordWrap/>
              <w:overflowPunct/>
              <w:topLinePunct w:val="0"/>
              <w:bidi w:val="0"/>
              <w:adjustRightInd/>
              <w:snapToGrid w:val="0"/>
              <w:spacing w:line="360" w:lineRule="auto"/>
              <w:jc w:val="left"/>
              <w:textAlignment w:val="auto"/>
              <w:rPr>
                <w:rFonts w:hint="eastAsia" w:ascii="宋体" w:hAnsi="宋体" w:eastAsia="宋体" w:cs="宋体"/>
                <w:color w:val="000000" w:themeColor="text1"/>
                <w:sz w:val="21"/>
                <w:szCs w:val="21"/>
                <w:highlight w:val="none"/>
                <w14:textFill>
                  <w14:solidFill>
                    <w14:schemeClr w14:val="tx1"/>
                  </w14:solidFill>
                </w14:textFill>
              </w:rPr>
            </w:pPr>
          </w:p>
        </w:tc>
        <w:tc>
          <w:tcPr>
            <w:tcW w:w="1410" w:type="dxa"/>
            <w:tcBorders>
              <w:top w:val="single" w:color="auto" w:sz="4" w:space="0"/>
              <w:left w:val="single" w:color="auto" w:sz="4" w:space="0"/>
              <w:bottom w:val="single" w:color="auto" w:sz="4" w:space="0"/>
              <w:right w:val="single" w:color="auto" w:sz="4" w:space="0"/>
            </w:tcBorders>
            <w:noWrap w:val="0"/>
            <w:vAlign w:val="top"/>
          </w:tcPr>
          <w:p w14:paraId="19AC9FFB">
            <w:pPr>
              <w:keepNext w:val="0"/>
              <w:keepLines w:val="0"/>
              <w:pageBreakBefore w:val="0"/>
              <w:widowControl w:val="0"/>
              <w:kinsoku/>
              <w:wordWrap/>
              <w:overflowPunct/>
              <w:topLinePunct w:val="0"/>
              <w:bidi w:val="0"/>
              <w:adjustRightInd/>
              <w:snapToGrid w:val="0"/>
              <w:spacing w:line="360" w:lineRule="auto"/>
              <w:jc w:val="left"/>
              <w:textAlignment w:val="auto"/>
              <w:rPr>
                <w:rFonts w:hint="eastAsia" w:ascii="宋体" w:hAnsi="宋体" w:eastAsia="宋体" w:cs="宋体"/>
                <w:color w:val="000000" w:themeColor="text1"/>
                <w:sz w:val="21"/>
                <w:szCs w:val="21"/>
                <w:highlight w:val="none"/>
                <w14:textFill>
                  <w14:solidFill>
                    <w14:schemeClr w14:val="tx1"/>
                  </w14:solidFill>
                </w14:textFill>
              </w:rPr>
            </w:pPr>
          </w:p>
        </w:tc>
        <w:tc>
          <w:tcPr>
            <w:tcW w:w="1590" w:type="dxa"/>
            <w:tcBorders>
              <w:top w:val="single" w:color="auto" w:sz="4" w:space="0"/>
              <w:left w:val="single" w:color="auto" w:sz="4" w:space="0"/>
              <w:bottom w:val="single" w:color="auto" w:sz="4" w:space="0"/>
              <w:right w:val="single" w:color="auto" w:sz="4" w:space="0"/>
            </w:tcBorders>
            <w:noWrap w:val="0"/>
            <w:vAlign w:val="top"/>
          </w:tcPr>
          <w:p w14:paraId="33DEC5CC">
            <w:pPr>
              <w:keepNext w:val="0"/>
              <w:keepLines w:val="0"/>
              <w:pageBreakBefore w:val="0"/>
              <w:widowControl w:val="0"/>
              <w:kinsoku/>
              <w:wordWrap/>
              <w:overflowPunct/>
              <w:topLinePunct w:val="0"/>
              <w:bidi w:val="0"/>
              <w:adjustRightInd/>
              <w:snapToGrid w:val="0"/>
              <w:spacing w:line="360" w:lineRule="auto"/>
              <w:jc w:val="left"/>
              <w:textAlignment w:val="auto"/>
              <w:rPr>
                <w:rFonts w:hint="eastAsia" w:ascii="宋体" w:hAnsi="宋体" w:eastAsia="宋体" w:cs="宋体"/>
                <w:color w:val="000000" w:themeColor="text1"/>
                <w:sz w:val="21"/>
                <w:szCs w:val="21"/>
                <w:highlight w:val="none"/>
                <w14:textFill>
                  <w14:solidFill>
                    <w14:schemeClr w14:val="tx1"/>
                  </w14:solidFill>
                </w14:textFill>
              </w:rPr>
            </w:pPr>
          </w:p>
        </w:tc>
      </w:tr>
      <w:tr w14:paraId="210A8E9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414" w:type="dxa"/>
            <w:tcBorders>
              <w:top w:val="single" w:color="auto" w:sz="4" w:space="0"/>
              <w:left w:val="single" w:color="auto" w:sz="4" w:space="0"/>
              <w:bottom w:val="single" w:color="auto" w:sz="4" w:space="0"/>
              <w:right w:val="single" w:color="auto" w:sz="4" w:space="0"/>
            </w:tcBorders>
            <w:noWrap w:val="0"/>
            <w:vAlign w:val="top"/>
          </w:tcPr>
          <w:p w14:paraId="15EBF640">
            <w:pPr>
              <w:keepNext w:val="0"/>
              <w:keepLines w:val="0"/>
              <w:pageBreakBefore w:val="0"/>
              <w:widowControl w:val="0"/>
              <w:kinsoku/>
              <w:wordWrap/>
              <w:overflowPunct/>
              <w:topLinePunct w:val="0"/>
              <w:bidi w:val="0"/>
              <w:adjustRightInd/>
              <w:snapToGrid w:val="0"/>
              <w:spacing w:before="50" w:after="120" w:afterLines="50" w:line="360" w:lineRule="auto"/>
              <w:jc w:val="left"/>
              <w:textAlignment w:val="auto"/>
              <w:rPr>
                <w:rFonts w:hint="eastAsia" w:ascii="宋体" w:hAnsi="宋体" w:eastAsia="宋体" w:cs="宋体"/>
                <w:color w:val="000000" w:themeColor="text1"/>
                <w:sz w:val="21"/>
                <w:szCs w:val="21"/>
                <w:highlight w:val="none"/>
                <w14:textFill>
                  <w14:solidFill>
                    <w14:schemeClr w14:val="tx1"/>
                  </w14:solidFill>
                </w14:textFill>
              </w:rPr>
            </w:pPr>
          </w:p>
        </w:tc>
        <w:tc>
          <w:tcPr>
            <w:tcW w:w="1813" w:type="dxa"/>
            <w:tcBorders>
              <w:top w:val="single" w:color="auto" w:sz="4" w:space="0"/>
              <w:left w:val="single" w:color="auto" w:sz="4" w:space="0"/>
              <w:bottom w:val="single" w:color="auto" w:sz="4" w:space="0"/>
              <w:right w:val="single" w:color="auto" w:sz="4" w:space="0"/>
            </w:tcBorders>
            <w:noWrap w:val="0"/>
            <w:vAlign w:val="top"/>
          </w:tcPr>
          <w:p w14:paraId="70542783">
            <w:pPr>
              <w:keepNext w:val="0"/>
              <w:keepLines w:val="0"/>
              <w:pageBreakBefore w:val="0"/>
              <w:widowControl w:val="0"/>
              <w:kinsoku/>
              <w:wordWrap/>
              <w:overflowPunct/>
              <w:topLinePunct w:val="0"/>
              <w:bidi w:val="0"/>
              <w:adjustRightInd/>
              <w:snapToGrid w:val="0"/>
              <w:spacing w:before="50" w:after="120" w:afterLines="50" w:line="360" w:lineRule="auto"/>
              <w:jc w:val="left"/>
              <w:textAlignment w:val="auto"/>
              <w:rPr>
                <w:rFonts w:hint="eastAsia" w:ascii="宋体" w:hAnsi="宋体" w:eastAsia="宋体" w:cs="宋体"/>
                <w:color w:val="000000" w:themeColor="text1"/>
                <w:sz w:val="21"/>
                <w:szCs w:val="21"/>
                <w:highlight w:val="none"/>
                <w14:textFill>
                  <w14:solidFill>
                    <w14:schemeClr w14:val="tx1"/>
                  </w14:solidFill>
                </w14:textFill>
              </w:rPr>
            </w:pPr>
          </w:p>
        </w:tc>
        <w:tc>
          <w:tcPr>
            <w:tcW w:w="1134" w:type="dxa"/>
            <w:tcBorders>
              <w:top w:val="single" w:color="auto" w:sz="4" w:space="0"/>
              <w:left w:val="single" w:color="auto" w:sz="4" w:space="0"/>
              <w:bottom w:val="single" w:color="auto" w:sz="4" w:space="0"/>
              <w:right w:val="single" w:color="auto" w:sz="4" w:space="0"/>
            </w:tcBorders>
            <w:noWrap w:val="0"/>
            <w:vAlign w:val="top"/>
          </w:tcPr>
          <w:p w14:paraId="760BB1CB">
            <w:pPr>
              <w:keepNext w:val="0"/>
              <w:keepLines w:val="0"/>
              <w:pageBreakBefore w:val="0"/>
              <w:widowControl w:val="0"/>
              <w:kinsoku/>
              <w:wordWrap/>
              <w:overflowPunct/>
              <w:topLinePunct w:val="0"/>
              <w:bidi w:val="0"/>
              <w:adjustRightInd/>
              <w:snapToGrid w:val="0"/>
              <w:spacing w:before="50" w:after="120" w:afterLines="50" w:line="360" w:lineRule="auto"/>
              <w:jc w:val="left"/>
              <w:textAlignment w:val="auto"/>
              <w:rPr>
                <w:rFonts w:hint="eastAsia" w:ascii="宋体" w:hAnsi="宋体" w:eastAsia="宋体" w:cs="宋体"/>
                <w:color w:val="000000" w:themeColor="text1"/>
                <w:sz w:val="21"/>
                <w:szCs w:val="21"/>
                <w:highlight w:val="none"/>
                <w14:textFill>
                  <w14:solidFill>
                    <w14:schemeClr w14:val="tx1"/>
                  </w14:solidFill>
                </w14:textFill>
              </w:rPr>
            </w:pPr>
          </w:p>
        </w:tc>
        <w:tc>
          <w:tcPr>
            <w:tcW w:w="1134" w:type="dxa"/>
            <w:tcBorders>
              <w:top w:val="single" w:color="auto" w:sz="4" w:space="0"/>
              <w:left w:val="single" w:color="auto" w:sz="4" w:space="0"/>
              <w:bottom w:val="single" w:color="auto" w:sz="4" w:space="0"/>
              <w:right w:val="single" w:color="auto" w:sz="4" w:space="0"/>
            </w:tcBorders>
            <w:noWrap w:val="0"/>
            <w:vAlign w:val="top"/>
          </w:tcPr>
          <w:p w14:paraId="41B34490">
            <w:pPr>
              <w:keepNext w:val="0"/>
              <w:keepLines w:val="0"/>
              <w:pageBreakBefore w:val="0"/>
              <w:widowControl w:val="0"/>
              <w:kinsoku/>
              <w:wordWrap/>
              <w:overflowPunct/>
              <w:topLinePunct w:val="0"/>
              <w:bidi w:val="0"/>
              <w:adjustRightInd/>
              <w:snapToGrid w:val="0"/>
              <w:spacing w:before="50" w:after="120" w:afterLines="50" w:line="360" w:lineRule="auto"/>
              <w:jc w:val="left"/>
              <w:textAlignment w:val="auto"/>
              <w:rPr>
                <w:rFonts w:hint="eastAsia" w:ascii="宋体" w:hAnsi="宋体" w:eastAsia="宋体" w:cs="宋体"/>
                <w:color w:val="000000" w:themeColor="text1"/>
                <w:sz w:val="21"/>
                <w:szCs w:val="21"/>
                <w:highlight w:val="none"/>
                <w14:textFill>
                  <w14:solidFill>
                    <w14:schemeClr w14:val="tx1"/>
                  </w14:solidFill>
                </w14:textFill>
              </w:rPr>
            </w:pPr>
          </w:p>
        </w:tc>
        <w:tc>
          <w:tcPr>
            <w:tcW w:w="1379" w:type="dxa"/>
            <w:tcBorders>
              <w:top w:val="single" w:color="auto" w:sz="4" w:space="0"/>
              <w:left w:val="single" w:color="auto" w:sz="4" w:space="0"/>
              <w:bottom w:val="single" w:color="auto" w:sz="4" w:space="0"/>
              <w:right w:val="single" w:color="auto" w:sz="4" w:space="0"/>
            </w:tcBorders>
            <w:noWrap w:val="0"/>
            <w:vAlign w:val="top"/>
          </w:tcPr>
          <w:p w14:paraId="25DB402F">
            <w:pPr>
              <w:keepNext w:val="0"/>
              <w:keepLines w:val="0"/>
              <w:pageBreakBefore w:val="0"/>
              <w:widowControl w:val="0"/>
              <w:kinsoku/>
              <w:wordWrap/>
              <w:overflowPunct/>
              <w:topLinePunct w:val="0"/>
              <w:bidi w:val="0"/>
              <w:adjustRightInd/>
              <w:snapToGrid w:val="0"/>
              <w:spacing w:before="50" w:after="120" w:afterLines="50" w:line="360" w:lineRule="auto"/>
              <w:jc w:val="left"/>
              <w:textAlignment w:val="auto"/>
              <w:rPr>
                <w:rFonts w:hint="eastAsia" w:ascii="宋体" w:hAnsi="宋体" w:eastAsia="宋体" w:cs="宋体"/>
                <w:color w:val="000000" w:themeColor="text1"/>
                <w:sz w:val="21"/>
                <w:szCs w:val="21"/>
                <w:highlight w:val="none"/>
                <w14:textFill>
                  <w14:solidFill>
                    <w14:schemeClr w14:val="tx1"/>
                  </w14:solidFill>
                </w14:textFill>
              </w:rPr>
            </w:pPr>
          </w:p>
        </w:tc>
        <w:tc>
          <w:tcPr>
            <w:tcW w:w="1410" w:type="dxa"/>
            <w:tcBorders>
              <w:top w:val="single" w:color="auto" w:sz="4" w:space="0"/>
              <w:left w:val="single" w:color="auto" w:sz="4" w:space="0"/>
              <w:bottom w:val="single" w:color="auto" w:sz="4" w:space="0"/>
              <w:right w:val="single" w:color="auto" w:sz="4" w:space="0"/>
            </w:tcBorders>
            <w:noWrap w:val="0"/>
            <w:vAlign w:val="top"/>
          </w:tcPr>
          <w:p w14:paraId="1C4CC910">
            <w:pPr>
              <w:keepNext w:val="0"/>
              <w:keepLines w:val="0"/>
              <w:pageBreakBefore w:val="0"/>
              <w:widowControl w:val="0"/>
              <w:kinsoku/>
              <w:wordWrap/>
              <w:overflowPunct/>
              <w:topLinePunct w:val="0"/>
              <w:bidi w:val="0"/>
              <w:adjustRightInd/>
              <w:snapToGrid w:val="0"/>
              <w:spacing w:before="50" w:after="120" w:afterLines="50" w:line="360" w:lineRule="auto"/>
              <w:jc w:val="left"/>
              <w:textAlignment w:val="auto"/>
              <w:rPr>
                <w:rFonts w:hint="eastAsia" w:ascii="宋体" w:hAnsi="宋体" w:eastAsia="宋体" w:cs="宋体"/>
                <w:color w:val="000000" w:themeColor="text1"/>
                <w:sz w:val="21"/>
                <w:szCs w:val="21"/>
                <w:highlight w:val="none"/>
                <w14:textFill>
                  <w14:solidFill>
                    <w14:schemeClr w14:val="tx1"/>
                  </w14:solidFill>
                </w14:textFill>
              </w:rPr>
            </w:pPr>
          </w:p>
        </w:tc>
        <w:tc>
          <w:tcPr>
            <w:tcW w:w="1590" w:type="dxa"/>
            <w:tcBorders>
              <w:top w:val="single" w:color="auto" w:sz="4" w:space="0"/>
              <w:left w:val="single" w:color="auto" w:sz="4" w:space="0"/>
              <w:bottom w:val="single" w:color="auto" w:sz="4" w:space="0"/>
              <w:right w:val="single" w:color="auto" w:sz="4" w:space="0"/>
            </w:tcBorders>
            <w:noWrap w:val="0"/>
            <w:vAlign w:val="top"/>
          </w:tcPr>
          <w:p w14:paraId="4637739C">
            <w:pPr>
              <w:keepNext w:val="0"/>
              <w:keepLines w:val="0"/>
              <w:pageBreakBefore w:val="0"/>
              <w:widowControl w:val="0"/>
              <w:kinsoku/>
              <w:wordWrap/>
              <w:overflowPunct/>
              <w:topLinePunct w:val="0"/>
              <w:bidi w:val="0"/>
              <w:adjustRightInd/>
              <w:snapToGrid w:val="0"/>
              <w:spacing w:before="50" w:after="120" w:afterLines="50" w:line="360" w:lineRule="auto"/>
              <w:jc w:val="left"/>
              <w:textAlignment w:val="auto"/>
              <w:rPr>
                <w:rFonts w:hint="eastAsia" w:ascii="宋体" w:hAnsi="宋体" w:eastAsia="宋体" w:cs="宋体"/>
                <w:color w:val="000000" w:themeColor="text1"/>
                <w:sz w:val="21"/>
                <w:szCs w:val="21"/>
                <w:highlight w:val="none"/>
                <w14:textFill>
                  <w14:solidFill>
                    <w14:schemeClr w14:val="tx1"/>
                  </w14:solidFill>
                </w14:textFill>
              </w:rPr>
            </w:pPr>
          </w:p>
        </w:tc>
      </w:tr>
      <w:tr w14:paraId="4B602BC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10" w:hRule="atLeast"/>
        </w:trPr>
        <w:tc>
          <w:tcPr>
            <w:tcW w:w="1414" w:type="dxa"/>
            <w:tcBorders>
              <w:top w:val="single" w:color="auto" w:sz="4" w:space="0"/>
              <w:left w:val="single" w:color="auto" w:sz="4" w:space="0"/>
              <w:bottom w:val="single" w:color="auto" w:sz="4" w:space="0"/>
              <w:right w:val="single" w:color="auto" w:sz="4" w:space="0"/>
            </w:tcBorders>
            <w:noWrap w:val="0"/>
            <w:vAlign w:val="top"/>
          </w:tcPr>
          <w:p w14:paraId="62684F44">
            <w:pPr>
              <w:keepNext w:val="0"/>
              <w:keepLines w:val="0"/>
              <w:pageBreakBefore w:val="0"/>
              <w:widowControl w:val="0"/>
              <w:kinsoku/>
              <w:wordWrap/>
              <w:overflowPunct/>
              <w:topLinePunct w:val="0"/>
              <w:bidi w:val="0"/>
              <w:adjustRightInd/>
              <w:snapToGrid w:val="0"/>
              <w:spacing w:before="50" w:after="120" w:afterLines="50" w:line="360" w:lineRule="auto"/>
              <w:jc w:val="left"/>
              <w:textAlignment w:val="auto"/>
              <w:rPr>
                <w:rFonts w:hint="eastAsia" w:ascii="宋体" w:hAnsi="宋体" w:eastAsia="宋体" w:cs="宋体"/>
                <w:color w:val="000000" w:themeColor="text1"/>
                <w:sz w:val="21"/>
                <w:szCs w:val="21"/>
                <w:highlight w:val="none"/>
                <w14:textFill>
                  <w14:solidFill>
                    <w14:schemeClr w14:val="tx1"/>
                  </w14:solidFill>
                </w14:textFill>
              </w:rPr>
            </w:pPr>
          </w:p>
        </w:tc>
        <w:tc>
          <w:tcPr>
            <w:tcW w:w="1813" w:type="dxa"/>
            <w:tcBorders>
              <w:top w:val="single" w:color="auto" w:sz="4" w:space="0"/>
              <w:left w:val="single" w:color="auto" w:sz="4" w:space="0"/>
              <w:bottom w:val="single" w:color="auto" w:sz="4" w:space="0"/>
              <w:right w:val="single" w:color="auto" w:sz="4" w:space="0"/>
            </w:tcBorders>
            <w:noWrap w:val="0"/>
            <w:vAlign w:val="top"/>
          </w:tcPr>
          <w:p w14:paraId="3549169C">
            <w:pPr>
              <w:keepNext w:val="0"/>
              <w:keepLines w:val="0"/>
              <w:pageBreakBefore w:val="0"/>
              <w:widowControl w:val="0"/>
              <w:kinsoku/>
              <w:wordWrap/>
              <w:overflowPunct/>
              <w:topLinePunct w:val="0"/>
              <w:bidi w:val="0"/>
              <w:adjustRightInd/>
              <w:snapToGrid w:val="0"/>
              <w:spacing w:before="50" w:after="120" w:afterLines="50" w:line="360" w:lineRule="auto"/>
              <w:jc w:val="left"/>
              <w:textAlignment w:val="auto"/>
              <w:rPr>
                <w:rFonts w:hint="eastAsia" w:ascii="宋体" w:hAnsi="宋体" w:eastAsia="宋体" w:cs="宋体"/>
                <w:color w:val="000000" w:themeColor="text1"/>
                <w:sz w:val="21"/>
                <w:szCs w:val="21"/>
                <w:highlight w:val="none"/>
                <w14:textFill>
                  <w14:solidFill>
                    <w14:schemeClr w14:val="tx1"/>
                  </w14:solidFill>
                </w14:textFill>
              </w:rPr>
            </w:pPr>
          </w:p>
        </w:tc>
        <w:tc>
          <w:tcPr>
            <w:tcW w:w="1134" w:type="dxa"/>
            <w:tcBorders>
              <w:top w:val="single" w:color="auto" w:sz="4" w:space="0"/>
              <w:left w:val="single" w:color="auto" w:sz="4" w:space="0"/>
              <w:bottom w:val="single" w:color="auto" w:sz="4" w:space="0"/>
              <w:right w:val="single" w:color="auto" w:sz="4" w:space="0"/>
            </w:tcBorders>
            <w:noWrap w:val="0"/>
            <w:vAlign w:val="top"/>
          </w:tcPr>
          <w:p w14:paraId="16AB99B4">
            <w:pPr>
              <w:keepNext w:val="0"/>
              <w:keepLines w:val="0"/>
              <w:pageBreakBefore w:val="0"/>
              <w:widowControl w:val="0"/>
              <w:kinsoku/>
              <w:wordWrap/>
              <w:overflowPunct/>
              <w:topLinePunct w:val="0"/>
              <w:bidi w:val="0"/>
              <w:adjustRightInd/>
              <w:snapToGrid w:val="0"/>
              <w:spacing w:before="50" w:after="120" w:afterLines="50" w:line="360" w:lineRule="auto"/>
              <w:jc w:val="left"/>
              <w:textAlignment w:val="auto"/>
              <w:rPr>
                <w:rFonts w:hint="eastAsia" w:ascii="宋体" w:hAnsi="宋体" w:eastAsia="宋体" w:cs="宋体"/>
                <w:color w:val="000000" w:themeColor="text1"/>
                <w:sz w:val="21"/>
                <w:szCs w:val="21"/>
                <w:highlight w:val="none"/>
                <w14:textFill>
                  <w14:solidFill>
                    <w14:schemeClr w14:val="tx1"/>
                  </w14:solidFill>
                </w14:textFill>
              </w:rPr>
            </w:pPr>
          </w:p>
        </w:tc>
        <w:tc>
          <w:tcPr>
            <w:tcW w:w="1134" w:type="dxa"/>
            <w:tcBorders>
              <w:top w:val="single" w:color="auto" w:sz="4" w:space="0"/>
              <w:left w:val="single" w:color="auto" w:sz="4" w:space="0"/>
              <w:bottom w:val="single" w:color="auto" w:sz="4" w:space="0"/>
              <w:right w:val="single" w:color="auto" w:sz="4" w:space="0"/>
            </w:tcBorders>
            <w:noWrap w:val="0"/>
            <w:vAlign w:val="top"/>
          </w:tcPr>
          <w:p w14:paraId="2881BA4E">
            <w:pPr>
              <w:keepNext w:val="0"/>
              <w:keepLines w:val="0"/>
              <w:pageBreakBefore w:val="0"/>
              <w:widowControl w:val="0"/>
              <w:kinsoku/>
              <w:wordWrap/>
              <w:overflowPunct/>
              <w:topLinePunct w:val="0"/>
              <w:bidi w:val="0"/>
              <w:adjustRightInd/>
              <w:snapToGrid w:val="0"/>
              <w:spacing w:before="50" w:after="120" w:afterLines="50" w:line="360" w:lineRule="auto"/>
              <w:jc w:val="left"/>
              <w:textAlignment w:val="auto"/>
              <w:rPr>
                <w:rFonts w:hint="eastAsia" w:ascii="宋体" w:hAnsi="宋体" w:eastAsia="宋体" w:cs="宋体"/>
                <w:color w:val="000000" w:themeColor="text1"/>
                <w:sz w:val="21"/>
                <w:szCs w:val="21"/>
                <w:highlight w:val="none"/>
                <w14:textFill>
                  <w14:solidFill>
                    <w14:schemeClr w14:val="tx1"/>
                  </w14:solidFill>
                </w14:textFill>
              </w:rPr>
            </w:pPr>
          </w:p>
        </w:tc>
        <w:tc>
          <w:tcPr>
            <w:tcW w:w="1379" w:type="dxa"/>
            <w:tcBorders>
              <w:top w:val="single" w:color="auto" w:sz="4" w:space="0"/>
              <w:left w:val="single" w:color="auto" w:sz="4" w:space="0"/>
              <w:bottom w:val="single" w:color="auto" w:sz="4" w:space="0"/>
              <w:right w:val="single" w:color="auto" w:sz="4" w:space="0"/>
            </w:tcBorders>
            <w:noWrap w:val="0"/>
            <w:vAlign w:val="top"/>
          </w:tcPr>
          <w:p w14:paraId="313AF496">
            <w:pPr>
              <w:keepNext w:val="0"/>
              <w:keepLines w:val="0"/>
              <w:pageBreakBefore w:val="0"/>
              <w:widowControl w:val="0"/>
              <w:kinsoku/>
              <w:wordWrap/>
              <w:overflowPunct/>
              <w:topLinePunct w:val="0"/>
              <w:bidi w:val="0"/>
              <w:adjustRightInd/>
              <w:snapToGrid w:val="0"/>
              <w:spacing w:before="50" w:after="120" w:afterLines="50" w:line="360" w:lineRule="auto"/>
              <w:jc w:val="left"/>
              <w:textAlignment w:val="auto"/>
              <w:rPr>
                <w:rFonts w:hint="eastAsia" w:ascii="宋体" w:hAnsi="宋体" w:eastAsia="宋体" w:cs="宋体"/>
                <w:color w:val="000000" w:themeColor="text1"/>
                <w:sz w:val="21"/>
                <w:szCs w:val="21"/>
                <w:highlight w:val="none"/>
                <w14:textFill>
                  <w14:solidFill>
                    <w14:schemeClr w14:val="tx1"/>
                  </w14:solidFill>
                </w14:textFill>
              </w:rPr>
            </w:pPr>
          </w:p>
        </w:tc>
        <w:tc>
          <w:tcPr>
            <w:tcW w:w="1410" w:type="dxa"/>
            <w:tcBorders>
              <w:top w:val="single" w:color="auto" w:sz="4" w:space="0"/>
              <w:left w:val="single" w:color="auto" w:sz="4" w:space="0"/>
              <w:bottom w:val="single" w:color="auto" w:sz="4" w:space="0"/>
              <w:right w:val="single" w:color="auto" w:sz="4" w:space="0"/>
            </w:tcBorders>
            <w:noWrap w:val="0"/>
            <w:vAlign w:val="top"/>
          </w:tcPr>
          <w:p w14:paraId="5153B023">
            <w:pPr>
              <w:keepNext w:val="0"/>
              <w:keepLines w:val="0"/>
              <w:pageBreakBefore w:val="0"/>
              <w:widowControl w:val="0"/>
              <w:kinsoku/>
              <w:wordWrap/>
              <w:overflowPunct/>
              <w:topLinePunct w:val="0"/>
              <w:bidi w:val="0"/>
              <w:adjustRightInd/>
              <w:snapToGrid w:val="0"/>
              <w:spacing w:before="50" w:after="120" w:afterLines="50" w:line="360" w:lineRule="auto"/>
              <w:jc w:val="left"/>
              <w:textAlignment w:val="auto"/>
              <w:rPr>
                <w:rFonts w:hint="eastAsia" w:ascii="宋体" w:hAnsi="宋体" w:eastAsia="宋体" w:cs="宋体"/>
                <w:color w:val="000000" w:themeColor="text1"/>
                <w:sz w:val="21"/>
                <w:szCs w:val="21"/>
                <w:highlight w:val="none"/>
                <w14:textFill>
                  <w14:solidFill>
                    <w14:schemeClr w14:val="tx1"/>
                  </w14:solidFill>
                </w14:textFill>
              </w:rPr>
            </w:pPr>
          </w:p>
        </w:tc>
        <w:tc>
          <w:tcPr>
            <w:tcW w:w="1590" w:type="dxa"/>
            <w:tcBorders>
              <w:top w:val="single" w:color="auto" w:sz="4" w:space="0"/>
              <w:left w:val="single" w:color="auto" w:sz="4" w:space="0"/>
              <w:bottom w:val="single" w:color="auto" w:sz="4" w:space="0"/>
              <w:right w:val="single" w:color="auto" w:sz="4" w:space="0"/>
            </w:tcBorders>
            <w:noWrap w:val="0"/>
            <w:vAlign w:val="top"/>
          </w:tcPr>
          <w:p w14:paraId="42F21E3E">
            <w:pPr>
              <w:keepNext w:val="0"/>
              <w:keepLines w:val="0"/>
              <w:pageBreakBefore w:val="0"/>
              <w:widowControl w:val="0"/>
              <w:kinsoku/>
              <w:wordWrap/>
              <w:overflowPunct/>
              <w:topLinePunct w:val="0"/>
              <w:bidi w:val="0"/>
              <w:adjustRightInd/>
              <w:snapToGrid w:val="0"/>
              <w:spacing w:before="50" w:after="120" w:afterLines="50" w:line="360" w:lineRule="auto"/>
              <w:jc w:val="left"/>
              <w:textAlignment w:val="auto"/>
              <w:rPr>
                <w:rFonts w:hint="eastAsia" w:ascii="宋体" w:hAnsi="宋体" w:eastAsia="宋体" w:cs="宋体"/>
                <w:color w:val="000000" w:themeColor="text1"/>
                <w:sz w:val="21"/>
                <w:szCs w:val="21"/>
                <w:highlight w:val="none"/>
                <w14:textFill>
                  <w14:solidFill>
                    <w14:schemeClr w14:val="tx1"/>
                  </w14:solidFill>
                </w14:textFill>
              </w:rPr>
            </w:pPr>
          </w:p>
        </w:tc>
      </w:tr>
      <w:tr w14:paraId="35A04CF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414" w:type="dxa"/>
            <w:tcBorders>
              <w:top w:val="single" w:color="auto" w:sz="4" w:space="0"/>
              <w:left w:val="single" w:color="auto" w:sz="4" w:space="0"/>
              <w:bottom w:val="single" w:color="auto" w:sz="4" w:space="0"/>
              <w:right w:val="single" w:color="auto" w:sz="4" w:space="0"/>
            </w:tcBorders>
            <w:noWrap w:val="0"/>
            <w:vAlign w:val="top"/>
          </w:tcPr>
          <w:p w14:paraId="0BBB0735">
            <w:pPr>
              <w:keepNext w:val="0"/>
              <w:keepLines w:val="0"/>
              <w:pageBreakBefore w:val="0"/>
              <w:widowControl w:val="0"/>
              <w:kinsoku/>
              <w:wordWrap/>
              <w:overflowPunct/>
              <w:topLinePunct w:val="0"/>
              <w:bidi w:val="0"/>
              <w:adjustRightInd/>
              <w:snapToGrid w:val="0"/>
              <w:spacing w:before="50" w:after="120" w:afterLines="50" w:line="360" w:lineRule="auto"/>
              <w:jc w:val="left"/>
              <w:textAlignment w:val="auto"/>
              <w:rPr>
                <w:rFonts w:hint="eastAsia" w:ascii="宋体" w:hAnsi="宋体" w:eastAsia="宋体" w:cs="宋体"/>
                <w:color w:val="000000" w:themeColor="text1"/>
                <w:sz w:val="21"/>
                <w:szCs w:val="21"/>
                <w:highlight w:val="none"/>
                <w14:textFill>
                  <w14:solidFill>
                    <w14:schemeClr w14:val="tx1"/>
                  </w14:solidFill>
                </w14:textFill>
              </w:rPr>
            </w:pPr>
          </w:p>
        </w:tc>
        <w:tc>
          <w:tcPr>
            <w:tcW w:w="1813" w:type="dxa"/>
            <w:tcBorders>
              <w:top w:val="single" w:color="auto" w:sz="4" w:space="0"/>
              <w:left w:val="single" w:color="auto" w:sz="4" w:space="0"/>
              <w:bottom w:val="single" w:color="auto" w:sz="4" w:space="0"/>
              <w:right w:val="single" w:color="auto" w:sz="4" w:space="0"/>
            </w:tcBorders>
            <w:noWrap w:val="0"/>
            <w:vAlign w:val="top"/>
          </w:tcPr>
          <w:p w14:paraId="4F2AE5D1">
            <w:pPr>
              <w:keepNext w:val="0"/>
              <w:keepLines w:val="0"/>
              <w:pageBreakBefore w:val="0"/>
              <w:widowControl w:val="0"/>
              <w:kinsoku/>
              <w:wordWrap/>
              <w:overflowPunct/>
              <w:topLinePunct w:val="0"/>
              <w:bidi w:val="0"/>
              <w:adjustRightInd/>
              <w:snapToGrid w:val="0"/>
              <w:spacing w:before="50" w:after="120" w:afterLines="50" w:line="360" w:lineRule="auto"/>
              <w:jc w:val="left"/>
              <w:textAlignment w:val="auto"/>
              <w:rPr>
                <w:rFonts w:hint="eastAsia" w:ascii="宋体" w:hAnsi="宋体" w:eastAsia="宋体" w:cs="宋体"/>
                <w:color w:val="000000" w:themeColor="text1"/>
                <w:sz w:val="21"/>
                <w:szCs w:val="21"/>
                <w:highlight w:val="none"/>
                <w14:textFill>
                  <w14:solidFill>
                    <w14:schemeClr w14:val="tx1"/>
                  </w14:solidFill>
                </w14:textFill>
              </w:rPr>
            </w:pPr>
          </w:p>
        </w:tc>
        <w:tc>
          <w:tcPr>
            <w:tcW w:w="1134" w:type="dxa"/>
            <w:tcBorders>
              <w:top w:val="single" w:color="auto" w:sz="4" w:space="0"/>
              <w:left w:val="single" w:color="auto" w:sz="4" w:space="0"/>
              <w:bottom w:val="single" w:color="auto" w:sz="4" w:space="0"/>
              <w:right w:val="single" w:color="auto" w:sz="4" w:space="0"/>
            </w:tcBorders>
            <w:noWrap w:val="0"/>
            <w:vAlign w:val="top"/>
          </w:tcPr>
          <w:p w14:paraId="48443EF5">
            <w:pPr>
              <w:keepNext w:val="0"/>
              <w:keepLines w:val="0"/>
              <w:pageBreakBefore w:val="0"/>
              <w:widowControl w:val="0"/>
              <w:kinsoku/>
              <w:wordWrap/>
              <w:overflowPunct/>
              <w:topLinePunct w:val="0"/>
              <w:bidi w:val="0"/>
              <w:adjustRightInd/>
              <w:snapToGrid w:val="0"/>
              <w:spacing w:before="50" w:after="120" w:afterLines="50" w:line="360" w:lineRule="auto"/>
              <w:jc w:val="left"/>
              <w:textAlignment w:val="auto"/>
              <w:rPr>
                <w:rFonts w:hint="eastAsia" w:ascii="宋体" w:hAnsi="宋体" w:eastAsia="宋体" w:cs="宋体"/>
                <w:color w:val="000000" w:themeColor="text1"/>
                <w:sz w:val="21"/>
                <w:szCs w:val="21"/>
                <w:highlight w:val="none"/>
                <w14:textFill>
                  <w14:solidFill>
                    <w14:schemeClr w14:val="tx1"/>
                  </w14:solidFill>
                </w14:textFill>
              </w:rPr>
            </w:pPr>
          </w:p>
        </w:tc>
        <w:tc>
          <w:tcPr>
            <w:tcW w:w="1134" w:type="dxa"/>
            <w:tcBorders>
              <w:top w:val="single" w:color="auto" w:sz="4" w:space="0"/>
              <w:left w:val="single" w:color="auto" w:sz="4" w:space="0"/>
              <w:bottom w:val="single" w:color="auto" w:sz="4" w:space="0"/>
              <w:right w:val="single" w:color="auto" w:sz="4" w:space="0"/>
            </w:tcBorders>
            <w:noWrap w:val="0"/>
            <w:vAlign w:val="top"/>
          </w:tcPr>
          <w:p w14:paraId="6F1CCF89">
            <w:pPr>
              <w:keepNext w:val="0"/>
              <w:keepLines w:val="0"/>
              <w:pageBreakBefore w:val="0"/>
              <w:widowControl w:val="0"/>
              <w:kinsoku/>
              <w:wordWrap/>
              <w:overflowPunct/>
              <w:topLinePunct w:val="0"/>
              <w:bidi w:val="0"/>
              <w:adjustRightInd/>
              <w:snapToGrid w:val="0"/>
              <w:spacing w:before="50" w:after="120" w:afterLines="50" w:line="360" w:lineRule="auto"/>
              <w:jc w:val="left"/>
              <w:textAlignment w:val="auto"/>
              <w:rPr>
                <w:rFonts w:hint="eastAsia" w:ascii="宋体" w:hAnsi="宋体" w:eastAsia="宋体" w:cs="宋体"/>
                <w:color w:val="000000" w:themeColor="text1"/>
                <w:sz w:val="21"/>
                <w:szCs w:val="21"/>
                <w:highlight w:val="none"/>
                <w14:textFill>
                  <w14:solidFill>
                    <w14:schemeClr w14:val="tx1"/>
                  </w14:solidFill>
                </w14:textFill>
              </w:rPr>
            </w:pPr>
          </w:p>
        </w:tc>
        <w:tc>
          <w:tcPr>
            <w:tcW w:w="1379" w:type="dxa"/>
            <w:tcBorders>
              <w:top w:val="single" w:color="auto" w:sz="4" w:space="0"/>
              <w:left w:val="single" w:color="auto" w:sz="4" w:space="0"/>
              <w:bottom w:val="single" w:color="auto" w:sz="4" w:space="0"/>
              <w:right w:val="single" w:color="auto" w:sz="4" w:space="0"/>
            </w:tcBorders>
            <w:noWrap w:val="0"/>
            <w:vAlign w:val="top"/>
          </w:tcPr>
          <w:p w14:paraId="65983122">
            <w:pPr>
              <w:keepNext w:val="0"/>
              <w:keepLines w:val="0"/>
              <w:pageBreakBefore w:val="0"/>
              <w:widowControl w:val="0"/>
              <w:kinsoku/>
              <w:wordWrap/>
              <w:overflowPunct/>
              <w:topLinePunct w:val="0"/>
              <w:bidi w:val="0"/>
              <w:adjustRightInd/>
              <w:snapToGrid w:val="0"/>
              <w:spacing w:before="50" w:after="120" w:afterLines="50" w:line="360" w:lineRule="auto"/>
              <w:jc w:val="left"/>
              <w:textAlignment w:val="auto"/>
              <w:rPr>
                <w:rFonts w:hint="eastAsia" w:ascii="宋体" w:hAnsi="宋体" w:eastAsia="宋体" w:cs="宋体"/>
                <w:color w:val="000000" w:themeColor="text1"/>
                <w:sz w:val="21"/>
                <w:szCs w:val="21"/>
                <w:highlight w:val="none"/>
                <w14:textFill>
                  <w14:solidFill>
                    <w14:schemeClr w14:val="tx1"/>
                  </w14:solidFill>
                </w14:textFill>
              </w:rPr>
            </w:pPr>
          </w:p>
        </w:tc>
        <w:tc>
          <w:tcPr>
            <w:tcW w:w="1410" w:type="dxa"/>
            <w:tcBorders>
              <w:top w:val="single" w:color="auto" w:sz="4" w:space="0"/>
              <w:left w:val="single" w:color="auto" w:sz="4" w:space="0"/>
              <w:bottom w:val="single" w:color="auto" w:sz="4" w:space="0"/>
              <w:right w:val="single" w:color="auto" w:sz="4" w:space="0"/>
            </w:tcBorders>
            <w:noWrap w:val="0"/>
            <w:vAlign w:val="top"/>
          </w:tcPr>
          <w:p w14:paraId="174A79A8">
            <w:pPr>
              <w:keepNext w:val="0"/>
              <w:keepLines w:val="0"/>
              <w:pageBreakBefore w:val="0"/>
              <w:widowControl w:val="0"/>
              <w:kinsoku/>
              <w:wordWrap/>
              <w:overflowPunct/>
              <w:topLinePunct w:val="0"/>
              <w:bidi w:val="0"/>
              <w:adjustRightInd/>
              <w:snapToGrid w:val="0"/>
              <w:spacing w:before="50" w:after="120" w:afterLines="50" w:line="360" w:lineRule="auto"/>
              <w:jc w:val="left"/>
              <w:textAlignment w:val="auto"/>
              <w:rPr>
                <w:rFonts w:hint="eastAsia" w:ascii="宋体" w:hAnsi="宋体" w:eastAsia="宋体" w:cs="宋体"/>
                <w:color w:val="000000" w:themeColor="text1"/>
                <w:sz w:val="21"/>
                <w:szCs w:val="21"/>
                <w:highlight w:val="none"/>
                <w14:textFill>
                  <w14:solidFill>
                    <w14:schemeClr w14:val="tx1"/>
                  </w14:solidFill>
                </w14:textFill>
              </w:rPr>
            </w:pPr>
          </w:p>
        </w:tc>
        <w:tc>
          <w:tcPr>
            <w:tcW w:w="1590" w:type="dxa"/>
            <w:tcBorders>
              <w:top w:val="single" w:color="auto" w:sz="4" w:space="0"/>
              <w:left w:val="single" w:color="auto" w:sz="4" w:space="0"/>
              <w:bottom w:val="single" w:color="auto" w:sz="4" w:space="0"/>
              <w:right w:val="single" w:color="auto" w:sz="4" w:space="0"/>
            </w:tcBorders>
            <w:noWrap w:val="0"/>
            <w:vAlign w:val="top"/>
          </w:tcPr>
          <w:p w14:paraId="74CAB09A">
            <w:pPr>
              <w:keepNext w:val="0"/>
              <w:keepLines w:val="0"/>
              <w:pageBreakBefore w:val="0"/>
              <w:widowControl w:val="0"/>
              <w:kinsoku/>
              <w:wordWrap/>
              <w:overflowPunct/>
              <w:topLinePunct w:val="0"/>
              <w:bidi w:val="0"/>
              <w:adjustRightInd/>
              <w:snapToGrid w:val="0"/>
              <w:spacing w:before="50" w:after="120" w:afterLines="50" w:line="360" w:lineRule="auto"/>
              <w:jc w:val="left"/>
              <w:textAlignment w:val="auto"/>
              <w:rPr>
                <w:rFonts w:hint="eastAsia" w:ascii="宋体" w:hAnsi="宋体" w:eastAsia="宋体" w:cs="宋体"/>
                <w:color w:val="000000" w:themeColor="text1"/>
                <w:sz w:val="21"/>
                <w:szCs w:val="21"/>
                <w:highlight w:val="none"/>
                <w14:textFill>
                  <w14:solidFill>
                    <w14:schemeClr w14:val="tx1"/>
                  </w14:solidFill>
                </w14:textFill>
              </w:rPr>
            </w:pPr>
          </w:p>
        </w:tc>
      </w:tr>
      <w:tr w14:paraId="7751DCC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414" w:type="dxa"/>
            <w:tcBorders>
              <w:top w:val="single" w:color="auto" w:sz="4" w:space="0"/>
              <w:left w:val="single" w:color="auto" w:sz="4" w:space="0"/>
              <w:bottom w:val="single" w:color="auto" w:sz="4" w:space="0"/>
              <w:right w:val="single" w:color="auto" w:sz="4" w:space="0"/>
            </w:tcBorders>
            <w:noWrap w:val="0"/>
            <w:vAlign w:val="top"/>
          </w:tcPr>
          <w:p w14:paraId="737AFE32">
            <w:pPr>
              <w:keepNext w:val="0"/>
              <w:keepLines w:val="0"/>
              <w:pageBreakBefore w:val="0"/>
              <w:widowControl w:val="0"/>
              <w:kinsoku/>
              <w:wordWrap/>
              <w:overflowPunct/>
              <w:topLinePunct w:val="0"/>
              <w:bidi w:val="0"/>
              <w:adjustRightInd/>
              <w:snapToGrid w:val="0"/>
              <w:spacing w:before="50" w:after="120" w:afterLines="50" w:line="360" w:lineRule="auto"/>
              <w:jc w:val="left"/>
              <w:textAlignment w:val="auto"/>
              <w:rPr>
                <w:rFonts w:hint="eastAsia" w:ascii="宋体" w:hAnsi="宋体" w:eastAsia="宋体" w:cs="宋体"/>
                <w:color w:val="000000" w:themeColor="text1"/>
                <w:sz w:val="21"/>
                <w:szCs w:val="21"/>
                <w:highlight w:val="none"/>
                <w14:textFill>
                  <w14:solidFill>
                    <w14:schemeClr w14:val="tx1"/>
                  </w14:solidFill>
                </w14:textFill>
              </w:rPr>
            </w:pPr>
          </w:p>
        </w:tc>
        <w:tc>
          <w:tcPr>
            <w:tcW w:w="1813" w:type="dxa"/>
            <w:tcBorders>
              <w:top w:val="single" w:color="auto" w:sz="4" w:space="0"/>
              <w:left w:val="single" w:color="auto" w:sz="4" w:space="0"/>
              <w:bottom w:val="single" w:color="auto" w:sz="4" w:space="0"/>
              <w:right w:val="single" w:color="auto" w:sz="4" w:space="0"/>
            </w:tcBorders>
            <w:noWrap w:val="0"/>
            <w:vAlign w:val="top"/>
          </w:tcPr>
          <w:p w14:paraId="4AE6E45E">
            <w:pPr>
              <w:keepNext w:val="0"/>
              <w:keepLines w:val="0"/>
              <w:pageBreakBefore w:val="0"/>
              <w:widowControl w:val="0"/>
              <w:kinsoku/>
              <w:wordWrap/>
              <w:overflowPunct/>
              <w:topLinePunct w:val="0"/>
              <w:bidi w:val="0"/>
              <w:adjustRightInd/>
              <w:snapToGrid w:val="0"/>
              <w:spacing w:before="50" w:after="120" w:afterLines="50" w:line="360" w:lineRule="auto"/>
              <w:jc w:val="left"/>
              <w:textAlignment w:val="auto"/>
              <w:rPr>
                <w:rFonts w:hint="eastAsia" w:ascii="宋体" w:hAnsi="宋体" w:eastAsia="宋体" w:cs="宋体"/>
                <w:color w:val="000000" w:themeColor="text1"/>
                <w:sz w:val="21"/>
                <w:szCs w:val="21"/>
                <w:highlight w:val="none"/>
                <w14:textFill>
                  <w14:solidFill>
                    <w14:schemeClr w14:val="tx1"/>
                  </w14:solidFill>
                </w14:textFill>
              </w:rPr>
            </w:pPr>
          </w:p>
        </w:tc>
        <w:tc>
          <w:tcPr>
            <w:tcW w:w="1134" w:type="dxa"/>
            <w:tcBorders>
              <w:top w:val="single" w:color="auto" w:sz="4" w:space="0"/>
              <w:left w:val="single" w:color="auto" w:sz="4" w:space="0"/>
              <w:bottom w:val="single" w:color="auto" w:sz="4" w:space="0"/>
              <w:right w:val="single" w:color="auto" w:sz="4" w:space="0"/>
            </w:tcBorders>
            <w:noWrap w:val="0"/>
            <w:vAlign w:val="top"/>
          </w:tcPr>
          <w:p w14:paraId="3E8F69E6">
            <w:pPr>
              <w:keepNext w:val="0"/>
              <w:keepLines w:val="0"/>
              <w:pageBreakBefore w:val="0"/>
              <w:widowControl w:val="0"/>
              <w:kinsoku/>
              <w:wordWrap/>
              <w:overflowPunct/>
              <w:topLinePunct w:val="0"/>
              <w:bidi w:val="0"/>
              <w:adjustRightInd/>
              <w:snapToGrid w:val="0"/>
              <w:spacing w:before="50" w:after="120" w:afterLines="50" w:line="360" w:lineRule="auto"/>
              <w:jc w:val="left"/>
              <w:textAlignment w:val="auto"/>
              <w:rPr>
                <w:rFonts w:hint="eastAsia" w:ascii="宋体" w:hAnsi="宋体" w:eastAsia="宋体" w:cs="宋体"/>
                <w:color w:val="000000" w:themeColor="text1"/>
                <w:sz w:val="21"/>
                <w:szCs w:val="21"/>
                <w:highlight w:val="none"/>
                <w14:textFill>
                  <w14:solidFill>
                    <w14:schemeClr w14:val="tx1"/>
                  </w14:solidFill>
                </w14:textFill>
              </w:rPr>
            </w:pPr>
          </w:p>
        </w:tc>
        <w:tc>
          <w:tcPr>
            <w:tcW w:w="1134" w:type="dxa"/>
            <w:tcBorders>
              <w:top w:val="single" w:color="auto" w:sz="4" w:space="0"/>
              <w:left w:val="single" w:color="auto" w:sz="4" w:space="0"/>
              <w:bottom w:val="single" w:color="auto" w:sz="4" w:space="0"/>
              <w:right w:val="single" w:color="auto" w:sz="4" w:space="0"/>
            </w:tcBorders>
            <w:noWrap w:val="0"/>
            <w:vAlign w:val="top"/>
          </w:tcPr>
          <w:p w14:paraId="2DF18D1D">
            <w:pPr>
              <w:keepNext w:val="0"/>
              <w:keepLines w:val="0"/>
              <w:pageBreakBefore w:val="0"/>
              <w:widowControl w:val="0"/>
              <w:kinsoku/>
              <w:wordWrap/>
              <w:overflowPunct/>
              <w:topLinePunct w:val="0"/>
              <w:bidi w:val="0"/>
              <w:adjustRightInd/>
              <w:snapToGrid w:val="0"/>
              <w:spacing w:before="50" w:after="120" w:afterLines="50" w:line="360" w:lineRule="auto"/>
              <w:jc w:val="left"/>
              <w:textAlignment w:val="auto"/>
              <w:rPr>
                <w:rFonts w:hint="eastAsia" w:ascii="宋体" w:hAnsi="宋体" w:eastAsia="宋体" w:cs="宋体"/>
                <w:color w:val="000000" w:themeColor="text1"/>
                <w:sz w:val="21"/>
                <w:szCs w:val="21"/>
                <w:highlight w:val="none"/>
                <w14:textFill>
                  <w14:solidFill>
                    <w14:schemeClr w14:val="tx1"/>
                  </w14:solidFill>
                </w14:textFill>
              </w:rPr>
            </w:pPr>
          </w:p>
        </w:tc>
        <w:tc>
          <w:tcPr>
            <w:tcW w:w="1379" w:type="dxa"/>
            <w:tcBorders>
              <w:top w:val="single" w:color="auto" w:sz="4" w:space="0"/>
              <w:left w:val="single" w:color="auto" w:sz="4" w:space="0"/>
              <w:bottom w:val="single" w:color="auto" w:sz="4" w:space="0"/>
              <w:right w:val="single" w:color="auto" w:sz="4" w:space="0"/>
            </w:tcBorders>
            <w:noWrap w:val="0"/>
            <w:vAlign w:val="top"/>
          </w:tcPr>
          <w:p w14:paraId="41DB7146">
            <w:pPr>
              <w:keepNext w:val="0"/>
              <w:keepLines w:val="0"/>
              <w:pageBreakBefore w:val="0"/>
              <w:widowControl w:val="0"/>
              <w:kinsoku/>
              <w:wordWrap/>
              <w:overflowPunct/>
              <w:topLinePunct w:val="0"/>
              <w:bidi w:val="0"/>
              <w:adjustRightInd/>
              <w:snapToGrid w:val="0"/>
              <w:spacing w:before="50" w:after="120" w:afterLines="50" w:line="360" w:lineRule="auto"/>
              <w:jc w:val="left"/>
              <w:textAlignment w:val="auto"/>
              <w:rPr>
                <w:rFonts w:hint="eastAsia" w:ascii="宋体" w:hAnsi="宋体" w:eastAsia="宋体" w:cs="宋体"/>
                <w:color w:val="000000" w:themeColor="text1"/>
                <w:sz w:val="21"/>
                <w:szCs w:val="21"/>
                <w:highlight w:val="none"/>
                <w14:textFill>
                  <w14:solidFill>
                    <w14:schemeClr w14:val="tx1"/>
                  </w14:solidFill>
                </w14:textFill>
              </w:rPr>
            </w:pPr>
          </w:p>
        </w:tc>
        <w:tc>
          <w:tcPr>
            <w:tcW w:w="1410" w:type="dxa"/>
            <w:tcBorders>
              <w:top w:val="single" w:color="auto" w:sz="4" w:space="0"/>
              <w:left w:val="single" w:color="auto" w:sz="4" w:space="0"/>
              <w:bottom w:val="single" w:color="auto" w:sz="4" w:space="0"/>
              <w:right w:val="single" w:color="auto" w:sz="4" w:space="0"/>
            </w:tcBorders>
            <w:noWrap w:val="0"/>
            <w:vAlign w:val="top"/>
          </w:tcPr>
          <w:p w14:paraId="13E2B132">
            <w:pPr>
              <w:keepNext w:val="0"/>
              <w:keepLines w:val="0"/>
              <w:pageBreakBefore w:val="0"/>
              <w:widowControl w:val="0"/>
              <w:kinsoku/>
              <w:wordWrap/>
              <w:overflowPunct/>
              <w:topLinePunct w:val="0"/>
              <w:bidi w:val="0"/>
              <w:adjustRightInd/>
              <w:snapToGrid w:val="0"/>
              <w:spacing w:before="50" w:after="120" w:afterLines="50" w:line="360" w:lineRule="auto"/>
              <w:jc w:val="left"/>
              <w:textAlignment w:val="auto"/>
              <w:rPr>
                <w:rFonts w:hint="eastAsia" w:ascii="宋体" w:hAnsi="宋体" w:eastAsia="宋体" w:cs="宋体"/>
                <w:color w:val="000000" w:themeColor="text1"/>
                <w:sz w:val="21"/>
                <w:szCs w:val="21"/>
                <w:highlight w:val="none"/>
                <w14:textFill>
                  <w14:solidFill>
                    <w14:schemeClr w14:val="tx1"/>
                  </w14:solidFill>
                </w14:textFill>
              </w:rPr>
            </w:pPr>
          </w:p>
        </w:tc>
        <w:tc>
          <w:tcPr>
            <w:tcW w:w="1590" w:type="dxa"/>
            <w:tcBorders>
              <w:top w:val="single" w:color="auto" w:sz="4" w:space="0"/>
              <w:left w:val="single" w:color="auto" w:sz="4" w:space="0"/>
              <w:bottom w:val="single" w:color="auto" w:sz="4" w:space="0"/>
              <w:right w:val="single" w:color="auto" w:sz="4" w:space="0"/>
            </w:tcBorders>
            <w:noWrap w:val="0"/>
            <w:vAlign w:val="top"/>
          </w:tcPr>
          <w:p w14:paraId="0BEA9DC3">
            <w:pPr>
              <w:keepNext w:val="0"/>
              <w:keepLines w:val="0"/>
              <w:pageBreakBefore w:val="0"/>
              <w:widowControl w:val="0"/>
              <w:kinsoku/>
              <w:wordWrap/>
              <w:overflowPunct/>
              <w:topLinePunct w:val="0"/>
              <w:bidi w:val="0"/>
              <w:adjustRightInd/>
              <w:snapToGrid w:val="0"/>
              <w:spacing w:before="50" w:after="120" w:afterLines="50" w:line="360" w:lineRule="auto"/>
              <w:jc w:val="left"/>
              <w:textAlignment w:val="auto"/>
              <w:rPr>
                <w:rFonts w:hint="eastAsia" w:ascii="宋体" w:hAnsi="宋体" w:eastAsia="宋体" w:cs="宋体"/>
                <w:color w:val="000000" w:themeColor="text1"/>
                <w:sz w:val="21"/>
                <w:szCs w:val="21"/>
                <w:highlight w:val="none"/>
                <w14:textFill>
                  <w14:solidFill>
                    <w14:schemeClr w14:val="tx1"/>
                  </w14:solidFill>
                </w14:textFill>
              </w:rPr>
            </w:pPr>
          </w:p>
        </w:tc>
      </w:tr>
    </w:tbl>
    <w:p w14:paraId="2E3C58A4">
      <w:pPr>
        <w:keepNext w:val="0"/>
        <w:keepLines w:val="0"/>
        <w:pageBreakBefore w:val="0"/>
        <w:widowControl w:val="0"/>
        <w:kinsoku/>
        <w:wordWrap/>
        <w:overflowPunct/>
        <w:topLinePunct w:val="0"/>
        <w:bidi w:val="0"/>
        <w:adjustRightInd/>
        <w:spacing w:line="360" w:lineRule="auto"/>
        <w:textAlignment w:val="auto"/>
        <w:rPr>
          <w:color w:val="000000" w:themeColor="text1"/>
          <w:szCs w:val="21"/>
          <w:highlight w:val="none"/>
          <w14:textFill>
            <w14:solidFill>
              <w14:schemeClr w14:val="tx1"/>
            </w14:solidFill>
          </w14:textFill>
        </w:rPr>
      </w:pPr>
    </w:p>
    <w:p w14:paraId="6CDE2DC7">
      <w:pPr>
        <w:keepNext w:val="0"/>
        <w:keepLines w:val="0"/>
        <w:pageBreakBefore w:val="0"/>
        <w:widowControl w:val="0"/>
        <w:kinsoku/>
        <w:wordWrap/>
        <w:overflowPunct/>
        <w:topLinePunct w:val="0"/>
        <w:bidi w:val="0"/>
        <w:adjustRightInd/>
        <w:spacing w:line="360" w:lineRule="auto"/>
        <w:ind w:firstLine="4410" w:firstLineChars="2100"/>
        <w:textAlignment w:val="auto"/>
        <w:rPr>
          <w:color w:val="000000" w:themeColor="text1"/>
          <w:szCs w:val="21"/>
          <w:highlight w:val="none"/>
          <w14:textFill>
            <w14:solidFill>
              <w14:schemeClr w14:val="tx1"/>
            </w14:solidFill>
          </w14:textFill>
        </w:rPr>
      </w:pPr>
    </w:p>
    <w:p w14:paraId="3969224A">
      <w:pPr>
        <w:keepNext w:val="0"/>
        <w:keepLines w:val="0"/>
        <w:pageBreakBefore w:val="0"/>
        <w:widowControl w:val="0"/>
        <w:kinsoku/>
        <w:wordWrap/>
        <w:overflowPunct/>
        <w:topLinePunct w:val="0"/>
        <w:bidi w:val="0"/>
        <w:adjustRightInd/>
        <w:spacing w:line="360" w:lineRule="auto"/>
        <w:ind w:firstLine="4410" w:firstLineChars="2100"/>
        <w:textAlignment w:val="auto"/>
        <w:rPr>
          <w:color w:val="000000" w:themeColor="text1"/>
          <w:szCs w:val="21"/>
          <w:highlight w:val="none"/>
          <w:u w:val="single"/>
          <w14:textFill>
            <w14:solidFill>
              <w14:schemeClr w14:val="tx1"/>
            </w14:solidFill>
          </w14:textFill>
        </w:rPr>
      </w:pPr>
      <w:r>
        <w:rPr>
          <w:color w:val="000000" w:themeColor="text1"/>
          <w:szCs w:val="21"/>
          <w:highlight w:val="none"/>
          <w14:textFill>
            <w14:solidFill>
              <w14:schemeClr w14:val="tx1"/>
            </w14:solidFill>
          </w14:textFill>
        </w:rPr>
        <w:t>供应商</w:t>
      </w:r>
      <w:r>
        <w:rPr>
          <w:color w:val="000000" w:themeColor="text1"/>
          <w:kern w:val="0"/>
          <w:szCs w:val="21"/>
          <w:highlight w:val="none"/>
          <w14:textFill>
            <w14:solidFill>
              <w14:schemeClr w14:val="tx1"/>
            </w14:solidFill>
          </w14:textFill>
        </w:rPr>
        <w:t>名称</w:t>
      </w:r>
      <w:r>
        <w:rPr>
          <w:color w:val="000000" w:themeColor="text1"/>
          <w:szCs w:val="21"/>
          <w:highlight w:val="none"/>
          <w14:textFill>
            <w14:solidFill>
              <w14:schemeClr w14:val="tx1"/>
            </w14:solidFill>
          </w14:textFill>
        </w:rPr>
        <w:t>（盖公章）：</w:t>
      </w:r>
      <w:r>
        <w:rPr>
          <w:color w:val="000000" w:themeColor="text1"/>
          <w:szCs w:val="21"/>
          <w:highlight w:val="none"/>
          <w:u w:val="single"/>
          <w14:textFill>
            <w14:solidFill>
              <w14:schemeClr w14:val="tx1"/>
            </w14:solidFill>
          </w14:textFill>
        </w:rPr>
        <w:t xml:space="preserve">                   </w:t>
      </w:r>
    </w:p>
    <w:p w14:paraId="4A778E46">
      <w:pPr>
        <w:keepNext w:val="0"/>
        <w:keepLines w:val="0"/>
        <w:pageBreakBefore w:val="0"/>
        <w:widowControl w:val="0"/>
        <w:kinsoku/>
        <w:wordWrap/>
        <w:overflowPunct/>
        <w:topLinePunct w:val="0"/>
        <w:bidi w:val="0"/>
        <w:adjustRightInd/>
        <w:snapToGrid w:val="0"/>
        <w:spacing w:line="360" w:lineRule="auto"/>
        <w:ind w:firstLine="420" w:firstLineChars="200"/>
        <w:textAlignment w:val="auto"/>
        <w:rPr>
          <w:rFonts w:hint="eastAsia" w:ascii="仿宋" w:hAnsi="仿宋" w:eastAsia="仿宋" w:cs="仿宋_GB2312"/>
          <w:b/>
          <w:color w:val="000000" w:themeColor="text1"/>
          <w:sz w:val="30"/>
          <w:szCs w:val="30"/>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 xml:space="preserve">                                      </w:t>
      </w:r>
      <w:r>
        <w:rPr>
          <w:color w:val="000000" w:themeColor="text1"/>
          <w:szCs w:val="21"/>
          <w:highlight w:val="none"/>
          <w14:textFill>
            <w14:solidFill>
              <w14:schemeClr w14:val="tx1"/>
            </w14:solidFill>
          </w14:textFill>
        </w:rPr>
        <w:t>日期：</w:t>
      </w:r>
      <w:r>
        <w:rPr>
          <w:color w:val="000000" w:themeColor="text1"/>
          <w:szCs w:val="21"/>
          <w:highlight w:val="none"/>
          <w:u w:val="single"/>
          <w14:textFill>
            <w14:solidFill>
              <w14:schemeClr w14:val="tx1"/>
            </w14:solidFill>
          </w14:textFill>
        </w:rPr>
        <w:t xml:space="preserve">         </w:t>
      </w:r>
      <w:r>
        <w:rPr>
          <w:color w:val="000000" w:themeColor="text1"/>
          <w:szCs w:val="21"/>
          <w:highlight w:val="none"/>
          <w14:textFill>
            <w14:solidFill>
              <w14:schemeClr w14:val="tx1"/>
            </w14:solidFill>
          </w14:textFill>
        </w:rPr>
        <w:t>年</w:t>
      </w:r>
      <w:r>
        <w:rPr>
          <w:color w:val="000000" w:themeColor="text1"/>
          <w:szCs w:val="21"/>
          <w:highlight w:val="none"/>
          <w:u w:val="single"/>
          <w14:textFill>
            <w14:solidFill>
              <w14:schemeClr w14:val="tx1"/>
            </w14:solidFill>
          </w14:textFill>
        </w:rPr>
        <w:t xml:space="preserve">        </w:t>
      </w:r>
      <w:r>
        <w:rPr>
          <w:color w:val="000000" w:themeColor="text1"/>
          <w:szCs w:val="21"/>
          <w:highlight w:val="none"/>
          <w14:textFill>
            <w14:solidFill>
              <w14:schemeClr w14:val="tx1"/>
            </w14:solidFill>
          </w14:textFill>
        </w:rPr>
        <w:t>月</w:t>
      </w:r>
      <w:r>
        <w:rPr>
          <w:color w:val="000000" w:themeColor="text1"/>
          <w:szCs w:val="21"/>
          <w:highlight w:val="none"/>
          <w:u w:val="single"/>
          <w14:textFill>
            <w14:solidFill>
              <w14:schemeClr w14:val="tx1"/>
            </w14:solidFill>
          </w14:textFill>
        </w:rPr>
        <w:t xml:space="preserve">        </w:t>
      </w:r>
      <w:r>
        <w:rPr>
          <w:color w:val="000000" w:themeColor="text1"/>
          <w:szCs w:val="21"/>
          <w:highlight w:val="none"/>
          <w14:textFill>
            <w14:solidFill>
              <w14:schemeClr w14:val="tx1"/>
            </w14:solidFill>
          </w14:textFill>
        </w:rPr>
        <w:t>日</w:t>
      </w:r>
    </w:p>
    <w:p w14:paraId="1D2070DE">
      <w:pPr>
        <w:rPr>
          <w:rFonts w:hint="eastAsia"/>
          <w:b/>
          <w:color w:val="000000" w:themeColor="text1"/>
          <w:sz w:val="28"/>
          <w:szCs w:val="28"/>
          <w:highlight w:val="none"/>
          <w14:textFill>
            <w14:solidFill>
              <w14:schemeClr w14:val="tx1"/>
            </w14:solidFill>
          </w14:textFill>
        </w:rPr>
      </w:pPr>
      <w:r>
        <w:rPr>
          <w:rFonts w:hint="eastAsia"/>
          <w:b/>
          <w:color w:val="000000" w:themeColor="text1"/>
          <w:sz w:val="28"/>
          <w:szCs w:val="28"/>
          <w:highlight w:val="none"/>
          <w14:textFill>
            <w14:solidFill>
              <w14:schemeClr w14:val="tx1"/>
            </w14:solidFill>
          </w14:textFill>
        </w:rPr>
        <w:br w:type="page"/>
      </w:r>
    </w:p>
    <w:p w14:paraId="19C2D931">
      <w:pPr>
        <w:snapToGrid w:val="0"/>
        <w:spacing w:before="120" w:beforeLines="50" w:after="50" w:line="360" w:lineRule="auto"/>
        <w:jc w:val="left"/>
        <w:outlineLvl w:val="2"/>
        <w:rPr>
          <w:color w:val="000000" w:themeColor="text1"/>
          <w:sz w:val="28"/>
          <w:szCs w:val="28"/>
          <w:highlight w:val="none"/>
          <w14:textFill>
            <w14:solidFill>
              <w14:schemeClr w14:val="tx1"/>
            </w14:solidFill>
          </w14:textFill>
        </w:rPr>
      </w:pPr>
      <w:bookmarkStart w:id="220" w:name="_Toc24413"/>
      <w:r>
        <w:rPr>
          <w:rFonts w:hint="eastAsia"/>
          <w:b/>
          <w:color w:val="000000" w:themeColor="text1"/>
          <w:sz w:val="28"/>
          <w:szCs w:val="28"/>
          <w:highlight w:val="none"/>
          <w14:textFill>
            <w14:solidFill>
              <w14:schemeClr w14:val="tx1"/>
            </w14:solidFill>
          </w14:textFill>
        </w:rPr>
        <w:t>9</w:t>
      </w:r>
      <w:r>
        <w:rPr>
          <w:b/>
          <w:color w:val="000000" w:themeColor="text1"/>
          <w:sz w:val="28"/>
          <w:szCs w:val="28"/>
          <w:highlight w:val="none"/>
          <w14:textFill>
            <w14:solidFill>
              <w14:schemeClr w14:val="tx1"/>
            </w14:solidFill>
          </w14:textFill>
        </w:rPr>
        <w:t>.</w:t>
      </w:r>
      <w:r>
        <w:rPr>
          <w:rFonts w:hint="eastAsia"/>
          <w:b/>
          <w:color w:val="000000" w:themeColor="text1"/>
          <w:sz w:val="28"/>
          <w:szCs w:val="28"/>
          <w:highlight w:val="none"/>
          <w14:textFill>
            <w14:solidFill>
              <w14:schemeClr w14:val="tx1"/>
            </w14:solidFill>
          </w14:textFill>
        </w:rPr>
        <w:t>技术</w:t>
      </w:r>
      <w:r>
        <w:rPr>
          <w:b/>
          <w:color w:val="000000" w:themeColor="text1"/>
          <w:sz w:val="28"/>
          <w:szCs w:val="28"/>
          <w:highlight w:val="none"/>
          <w14:textFill>
            <w14:solidFill>
              <w14:schemeClr w14:val="tx1"/>
            </w14:solidFill>
          </w14:textFill>
        </w:rPr>
        <w:t>需求偏离表的格式：</w:t>
      </w:r>
      <w:bookmarkEnd w:id="220"/>
    </w:p>
    <w:p w14:paraId="72FA6366">
      <w:pPr>
        <w:spacing w:line="500" w:lineRule="exact"/>
        <w:jc w:val="center"/>
        <w:rPr>
          <w:rFonts w:ascii="宋体" w:hAnsi="宋体" w:cs="宋体"/>
          <w:b/>
          <w:bCs/>
          <w:color w:val="000000" w:themeColor="text1"/>
          <w:sz w:val="32"/>
          <w:szCs w:val="32"/>
          <w:highlight w:val="none"/>
          <w14:textFill>
            <w14:solidFill>
              <w14:schemeClr w14:val="tx1"/>
            </w14:solidFill>
          </w14:textFill>
        </w:rPr>
      </w:pPr>
      <w:r>
        <w:rPr>
          <w:rFonts w:hint="eastAsia" w:ascii="宋体" w:hAnsi="宋体" w:cs="宋体"/>
          <w:b/>
          <w:bCs/>
          <w:color w:val="000000" w:themeColor="text1"/>
          <w:sz w:val="32"/>
          <w:szCs w:val="32"/>
          <w:highlight w:val="none"/>
          <w14:textFill>
            <w14:solidFill>
              <w14:schemeClr w14:val="tx1"/>
            </w14:solidFill>
          </w14:textFill>
        </w:rPr>
        <w:t>技术</w:t>
      </w:r>
      <w:r>
        <w:rPr>
          <w:rFonts w:ascii="宋体" w:hAnsi="宋体" w:cs="宋体"/>
          <w:b/>
          <w:bCs/>
          <w:color w:val="000000" w:themeColor="text1"/>
          <w:sz w:val="32"/>
          <w:szCs w:val="32"/>
          <w:highlight w:val="none"/>
          <w14:textFill>
            <w14:solidFill>
              <w14:schemeClr w14:val="tx1"/>
            </w14:solidFill>
          </w14:textFill>
        </w:rPr>
        <w:t>需求偏离表</w:t>
      </w:r>
    </w:p>
    <w:p w14:paraId="27037761">
      <w:pPr>
        <w:spacing w:line="500" w:lineRule="exact"/>
        <w:jc w:val="center"/>
        <w:rPr>
          <w:rFonts w:ascii="宋体" w:hAnsi="宋体" w:cs="宋体"/>
          <w:b/>
          <w:bCs/>
          <w:color w:val="000000" w:themeColor="text1"/>
          <w:sz w:val="32"/>
          <w:szCs w:val="32"/>
          <w:highlight w:val="none"/>
          <w14:textFill>
            <w14:solidFill>
              <w14:schemeClr w14:val="tx1"/>
            </w14:solidFill>
          </w14:textFill>
        </w:rPr>
      </w:pPr>
      <w:r>
        <w:rPr>
          <w:rFonts w:ascii="宋体" w:hAnsi="宋体" w:cs="宋体"/>
          <w:b/>
          <w:bCs/>
          <w:color w:val="000000" w:themeColor="text1"/>
          <w:sz w:val="32"/>
          <w:szCs w:val="32"/>
          <w:highlight w:val="none"/>
          <w14:textFill>
            <w14:solidFill>
              <w14:schemeClr w14:val="tx1"/>
            </w14:solidFill>
          </w14:textFill>
        </w:rPr>
        <w:t>(注：按采购需求具体条款修改)</w:t>
      </w:r>
    </w:p>
    <w:p w14:paraId="6E54B257">
      <w:pPr>
        <w:spacing w:line="360" w:lineRule="auto"/>
        <w:contextualSpacing/>
        <w:jc w:val="left"/>
        <w:rPr>
          <w:color w:val="000000" w:themeColor="text1"/>
          <w:sz w:val="24"/>
          <w:highlight w:val="none"/>
          <w14:textFill>
            <w14:solidFill>
              <w14:schemeClr w14:val="tx1"/>
            </w14:solidFill>
          </w14:textFill>
        </w:rPr>
      </w:pPr>
    </w:p>
    <w:p w14:paraId="6C2BCCEA">
      <w:pPr>
        <w:spacing w:line="360" w:lineRule="auto"/>
        <w:ind w:firstLine="720" w:firstLineChars="300"/>
        <w:contextualSpacing/>
        <w:rPr>
          <w:color w:val="000000" w:themeColor="text1"/>
          <w:sz w:val="24"/>
          <w:highlight w:val="none"/>
          <w:u w:val="single"/>
          <w14:textFill>
            <w14:solidFill>
              <w14:schemeClr w14:val="tx1"/>
            </w14:solidFill>
          </w14:textFill>
        </w:rPr>
      </w:pPr>
      <w:r>
        <w:rPr>
          <w:color w:val="000000" w:themeColor="text1"/>
          <w:sz w:val="24"/>
          <w:highlight w:val="none"/>
          <w14:textFill>
            <w14:solidFill>
              <w14:schemeClr w14:val="tx1"/>
            </w14:solidFill>
          </w14:textFill>
        </w:rPr>
        <w:t>项目名称：</w:t>
      </w:r>
      <w:r>
        <w:rPr>
          <w:color w:val="000000" w:themeColor="text1"/>
          <w:sz w:val="24"/>
          <w:highlight w:val="none"/>
          <w:u w:val="single"/>
          <w14:textFill>
            <w14:solidFill>
              <w14:schemeClr w14:val="tx1"/>
            </w14:solidFill>
          </w14:textFill>
        </w:rPr>
        <w:t xml:space="preserve">                 </w:t>
      </w:r>
    </w:p>
    <w:p w14:paraId="1D641C5C">
      <w:pPr>
        <w:spacing w:line="360" w:lineRule="auto"/>
        <w:ind w:firstLine="720" w:firstLineChars="300"/>
        <w:contextualSpacing/>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项目编号：</w:t>
      </w:r>
      <w:r>
        <w:rPr>
          <w:color w:val="000000" w:themeColor="text1"/>
          <w:sz w:val="24"/>
          <w:highlight w:val="none"/>
          <w:u w:val="single"/>
          <w14:textFill>
            <w14:solidFill>
              <w14:schemeClr w14:val="tx1"/>
            </w14:solidFill>
          </w14:textFill>
        </w:rPr>
        <w:t xml:space="preserve">                 </w:t>
      </w:r>
    </w:p>
    <w:p w14:paraId="15C0D464">
      <w:pPr>
        <w:spacing w:line="360" w:lineRule="auto"/>
        <w:ind w:firstLine="720" w:firstLineChars="300"/>
        <w:contextualSpacing/>
        <w:rPr>
          <w:color w:val="000000" w:themeColor="text1"/>
          <w:sz w:val="24"/>
          <w:highlight w:val="none"/>
          <w:u w:val="single"/>
          <w14:textFill>
            <w14:solidFill>
              <w14:schemeClr w14:val="tx1"/>
            </w14:solidFill>
          </w14:textFill>
        </w:rPr>
      </w:pPr>
      <w:r>
        <w:rPr>
          <w:color w:val="000000" w:themeColor="text1"/>
          <w:sz w:val="24"/>
          <w:highlight w:val="none"/>
          <w14:textFill>
            <w14:solidFill>
              <w14:schemeClr w14:val="tx1"/>
            </w14:solidFill>
          </w14:textFill>
        </w:rPr>
        <w:t>所竞分标（如有则填写，无分标时填写</w:t>
      </w:r>
      <w:r>
        <w:rPr>
          <w:rFonts w:hint="eastAsia"/>
          <w:color w:val="000000" w:themeColor="text1"/>
          <w:sz w:val="24"/>
          <w:highlight w:val="none"/>
          <w:lang w:eastAsia="zh-CN"/>
          <w14:textFill>
            <w14:solidFill>
              <w14:schemeClr w14:val="tx1"/>
            </w14:solidFill>
          </w14:textFill>
        </w:rPr>
        <w:t>“</w:t>
      </w:r>
      <w:r>
        <w:rPr>
          <w:color w:val="000000" w:themeColor="text1"/>
          <w:sz w:val="24"/>
          <w:highlight w:val="none"/>
          <w14:textFill>
            <w14:solidFill>
              <w14:schemeClr w14:val="tx1"/>
            </w14:solidFill>
          </w14:textFill>
        </w:rPr>
        <w:t>无</w:t>
      </w:r>
      <w:r>
        <w:rPr>
          <w:rFonts w:hint="eastAsia"/>
          <w:color w:val="000000" w:themeColor="text1"/>
          <w:sz w:val="24"/>
          <w:highlight w:val="none"/>
          <w:lang w:eastAsia="zh-CN"/>
          <w14:textFill>
            <w14:solidFill>
              <w14:schemeClr w14:val="tx1"/>
            </w14:solidFill>
          </w14:textFill>
        </w:rPr>
        <w:t>”</w:t>
      </w:r>
      <w:r>
        <w:rPr>
          <w:color w:val="000000" w:themeColor="text1"/>
          <w:sz w:val="24"/>
          <w:highlight w:val="none"/>
          <w14:textFill>
            <w14:solidFill>
              <w14:schemeClr w14:val="tx1"/>
            </w14:solidFill>
          </w14:textFill>
        </w:rPr>
        <w:t>或者留空）：</w:t>
      </w:r>
      <w:r>
        <w:rPr>
          <w:color w:val="000000" w:themeColor="text1"/>
          <w:sz w:val="24"/>
          <w:highlight w:val="none"/>
          <w:u w:val="single"/>
          <w14:textFill>
            <w14:solidFill>
              <w14:schemeClr w14:val="tx1"/>
            </w14:solidFill>
          </w14:textFill>
        </w:rPr>
        <w:t xml:space="preserve">              </w:t>
      </w:r>
    </w:p>
    <w:tbl>
      <w:tblPr>
        <w:tblStyle w:val="29"/>
        <w:tblW w:w="9765"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1"/>
        <w:gridCol w:w="3487"/>
        <w:gridCol w:w="3952"/>
        <w:gridCol w:w="1635"/>
      </w:tblGrid>
      <w:tr w14:paraId="784957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691"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0EEFABAE">
            <w:pPr>
              <w:spacing w:line="340" w:lineRule="exact"/>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项号</w:t>
            </w:r>
          </w:p>
        </w:tc>
        <w:tc>
          <w:tcPr>
            <w:tcW w:w="3487"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73FD105">
            <w:pPr>
              <w:spacing w:line="340" w:lineRule="exact"/>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竞争性磋商文件的</w:t>
            </w:r>
            <w:r>
              <w:rPr>
                <w:rFonts w:hint="eastAsia"/>
                <w:b/>
                <w:bCs/>
                <w:color w:val="000000" w:themeColor="text1"/>
                <w:sz w:val="21"/>
                <w:szCs w:val="21"/>
                <w:highlight w:val="none"/>
                <w14:textFill>
                  <w14:solidFill>
                    <w14:schemeClr w14:val="tx1"/>
                  </w14:solidFill>
                </w14:textFill>
              </w:rPr>
              <w:t>技术要</w:t>
            </w:r>
            <w:r>
              <w:rPr>
                <w:b/>
                <w:bCs/>
                <w:color w:val="000000" w:themeColor="text1"/>
                <w:sz w:val="21"/>
                <w:szCs w:val="21"/>
                <w:highlight w:val="none"/>
                <w14:textFill>
                  <w14:solidFill>
                    <w14:schemeClr w14:val="tx1"/>
                  </w14:solidFill>
                </w14:textFill>
              </w:rPr>
              <w:t>求</w:t>
            </w:r>
          </w:p>
        </w:tc>
        <w:tc>
          <w:tcPr>
            <w:tcW w:w="3952"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52C48A3">
            <w:pPr>
              <w:spacing w:line="340" w:lineRule="exact"/>
              <w:jc w:val="center"/>
              <w:rPr>
                <w:rFonts w:hint="eastAsia"/>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响应文件响应的</w:t>
            </w:r>
            <w:r>
              <w:rPr>
                <w:rFonts w:hint="eastAsia"/>
                <w:b/>
                <w:bCs/>
                <w:color w:val="000000" w:themeColor="text1"/>
                <w:sz w:val="21"/>
                <w:szCs w:val="21"/>
                <w:highlight w:val="none"/>
                <w14:textFill>
                  <w14:solidFill>
                    <w14:schemeClr w14:val="tx1"/>
                  </w14:solidFill>
                </w14:textFill>
              </w:rPr>
              <w:t>技术要求</w:t>
            </w:r>
          </w:p>
        </w:tc>
        <w:tc>
          <w:tcPr>
            <w:tcW w:w="1635"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3100094">
            <w:pPr>
              <w:spacing w:line="340" w:lineRule="exact"/>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偏离说明</w:t>
            </w:r>
          </w:p>
        </w:tc>
      </w:tr>
      <w:tr w14:paraId="4256E2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691" w:type="dxa"/>
            <w:tcBorders>
              <w:top w:val="single" w:color="auto" w:sz="4" w:space="0"/>
              <w:left w:val="single" w:color="auto" w:sz="4" w:space="0"/>
              <w:bottom w:val="single" w:color="auto" w:sz="4" w:space="0"/>
              <w:right w:val="single" w:color="auto" w:sz="4" w:space="0"/>
            </w:tcBorders>
            <w:noWrap w:val="0"/>
            <w:vAlign w:val="center"/>
          </w:tcPr>
          <w:p w14:paraId="5D39D969">
            <w:pPr>
              <w:spacing w:line="340" w:lineRule="exact"/>
              <w:jc w:val="center"/>
              <w:rPr>
                <w:rFonts w:hint="eastAsia"/>
                <w:color w:val="000000" w:themeColor="text1"/>
                <w:szCs w:val="21"/>
                <w:highlight w:val="none"/>
                <w14:textFill>
                  <w14:solidFill>
                    <w14:schemeClr w14:val="tx1"/>
                  </w14:solidFill>
                </w14:textFill>
              </w:rPr>
            </w:pPr>
          </w:p>
        </w:tc>
        <w:tc>
          <w:tcPr>
            <w:tcW w:w="3487" w:type="dxa"/>
            <w:tcBorders>
              <w:top w:val="single" w:color="auto" w:sz="4" w:space="0"/>
              <w:left w:val="single" w:color="auto" w:sz="4" w:space="0"/>
              <w:bottom w:val="single" w:color="auto" w:sz="4" w:space="0"/>
              <w:right w:val="single" w:color="auto" w:sz="4" w:space="0"/>
            </w:tcBorders>
            <w:noWrap w:val="0"/>
            <w:vAlign w:val="center"/>
          </w:tcPr>
          <w:p w14:paraId="584A7D1B">
            <w:pPr>
              <w:spacing w:line="340" w:lineRule="exact"/>
              <w:rPr>
                <w:rFonts w:hint="eastAsia"/>
                <w:color w:val="000000" w:themeColor="text1"/>
                <w:szCs w:val="21"/>
                <w:highlight w:val="none"/>
                <w14:textFill>
                  <w14:solidFill>
                    <w14:schemeClr w14:val="tx1"/>
                  </w14:solidFill>
                </w14:textFill>
              </w:rPr>
            </w:pPr>
          </w:p>
        </w:tc>
        <w:tc>
          <w:tcPr>
            <w:tcW w:w="3952" w:type="dxa"/>
            <w:tcBorders>
              <w:top w:val="single" w:color="auto" w:sz="4" w:space="0"/>
              <w:left w:val="single" w:color="auto" w:sz="4" w:space="0"/>
              <w:bottom w:val="single" w:color="auto" w:sz="4" w:space="0"/>
              <w:right w:val="single" w:color="auto" w:sz="4" w:space="0"/>
            </w:tcBorders>
            <w:noWrap w:val="0"/>
            <w:vAlign w:val="center"/>
          </w:tcPr>
          <w:p w14:paraId="05162E34">
            <w:pPr>
              <w:spacing w:line="340" w:lineRule="exact"/>
              <w:rPr>
                <w:color w:val="000000" w:themeColor="text1"/>
                <w:szCs w:val="21"/>
                <w:highlight w:val="none"/>
                <w14:textFill>
                  <w14:solidFill>
                    <w14:schemeClr w14:val="tx1"/>
                  </w14:solidFill>
                </w14:textFill>
              </w:rPr>
            </w:pPr>
          </w:p>
        </w:tc>
        <w:tc>
          <w:tcPr>
            <w:tcW w:w="1635" w:type="dxa"/>
            <w:tcBorders>
              <w:top w:val="single" w:color="auto" w:sz="4" w:space="0"/>
              <w:left w:val="single" w:color="auto" w:sz="4" w:space="0"/>
              <w:bottom w:val="single" w:color="auto" w:sz="4" w:space="0"/>
              <w:right w:val="single" w:color="auto" w:sz="4" w:space="0"/>
            </w:tcBorders>
            <w:noWrap w:val="0"/>
            <w:vAlign w:val="center"/>
          </w:tcPr>
          <w:p w14:paraId="202E59FB">
            <w:pPr>
              <w:spacing w:line="300" w:lineRule="exact"/>
              <w:rPr>
                <w:color w:val="000000" w:themeColor="text1"/>
                <w:szCs w:val="21"/>
                <w:highlight w:val="none"/>
                <w14:textFill>
                  <w14:solidFill>
                    <w14:schemeClr w14:val="tx1"/>
                  </w14:solidFill>
                </w14:textFill>
              </w:rPr>
            </w:pPr>
          </w:p>
        </w:tc>
      </w:tr>
      <w:tr w14:paraId="7A2E41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trPr>
        <w:tc>
          <w:tcPr>
            <w:tcW w:w="691" w:type="dxa"/>
            <w:tcBorders>
              <w:top w:val="single" w:color="auto" w:sz="4" w:space="0"/>
              <w:left w:val="single" w:color="auto" w:sz="4" w:space="0"/>
              <w:bottom w:val="single" w:color="auto" w:sz="4" w:space="0"/>
              <w:right w:val="single" w:color="auto" w:sz="4" w:space="0"/>
            </w:tcBorders>
            <w:noWrap w:val="0"/>
            <w:vAlign w:val="center"/>
          </w:tcPr>
          <w:p w14:paraId="711ABBDC">
            <w:pPr>
              <w:spacing w:line="340" w:lineRule="exact"/>
              <w:jc w:val="center"/>
              <w:rPr>
                <w:rFonts w:hint="eastAsia"/>
                <w:color w:val="000000" w:themeColor="text1"/>
                <w:szCs w:val="21"/>
                <w:highlight w:val="none"/>
                <w14:textFill>
                  <w14:solidFill>
                    <w14:schemeClr w14:val="tx1"/>
                  </w14:solidFill>
                </w14:textFill>
              </w:rPr>
            </w:pPr>
          </w:p>
        </w:tc>
        <w:tc>
          <w:tcPr>
            <w:tcW w:w="3487" w:type="dxa"/>
            <w:tcBorders>
              <w:top w:val="single" w:color="auto" w:sz="4" w:space="0"/>
              <w:left w:val="single" w:color="auto" w:sz="4" w:space="0"/>
              <w:bottom w:val="single" w:color="auto" w:sz="4" w:space="0"/>
              <w:right w:val="single" w:color="auto" w:sz="4" w:space="0"/>
            </w:tcBorders>
            <w:noWrap w:val="0"/>
            <w:vAlign w:val="center"/>
          </w:tcPr>
          <w:p w14:paraId="619D1539">
            <w:pPr>
              <w:spacing w:line="340" w:lineRule="exact"/>
              <w:rPr>
                <w:rFonts w:hint="eastAsia"/>
                <w:color w:val="000000" w:themeColor="text1"/>
                <w:szCs w:val="21"/>
                <w:highlight w:val="none"/>
                <w14:textFill>
                  <w14:solidFill>
                    <w14:schemeClr w14:val="tx1"/>
                  </w14:solidFill>
                </w14:textFill>
              </w:rPr>
            </w:pPr>
          </w:p>
        </w:tc>
        <w:tc>
          <w:tcPr>
            <w:tcW w:w="3952" w:type="dxa"/>
            <w:tcBorders>
              <w:top w:val="single" w:color="auto" w:sz="4" w:space="0"/>
              <w:left w:val="single" w:color="auto" w:sz="4" w:space="0"/>
              <w:bottom w:val="single" w:color="auto" w:sz="4" w:space="0"/>
              <w:right w:val="single" w:color="auto" w:sz="4" w:space="0"/>
            </w:tcBorders>
            <w:noWrap w:val="0"/>
            <w:vAlign w:val="center"/>
          </w:tcPr>
          <w:p w14:paraId="5D8BB5FC">
            <w:pPr>
              <w:spacing w:line="340" w:lineRule="exact"/>
              <w:rPr>
                <w:color w:val="000000" w:themeColor="text1"/>
                <w:szCs w:val="21"/>
                <w:highlight w:val="none"/>
                <w14:textFill>
                  <w14:solidFill>
                    <w14:schemeClr w14:val="tx1"/>
                  </w14:solidFill>
                </w14:textFill>
              </w:rPr>
            </w:pPr>
          </w:p>
        </w:tc>
        <w:tc>
          <w:tcPr>
            <w:tcW w:w="1635" w:type="dxa"/>
            <w:tcBorders>
              <w:top w:val="single" w:color="auto" w:sz="4" w:space="0"/>
              <w:left w:val="single" w:color="auto" w:sz="4" w:space="0"/>
              <w:bottom w:val="single" w:color="auto" w:sz="4" w:space="0"/>
              <w:right w:val="single" w:color="auto" w:sz="4" w:space="0"/>
            </w:tcBorders>
            <w:noWrap w:val="0"/>
            <w:vAlign w:val="center"/>
          </w:tcPr>
          <w:p w14:paraId="27F1CF95">
            <w:pPr>
              <w:spacing w:line="300" w:lineRule="exact"/>
              <w:rPr>
                <w:color w:val="000000" w:themeColor="text1"/>
                <w:szCs w:val="21"/>
                <w:highlight w:val="none"/>
                <w14:textFill>
                  <w14:solidFill>
                    <w14:schemeClr w14:val="tx1"/>
                  </w14:solidFill>
                </w14:textFill>
              </w:rPr>
            </w:pPr>
          </w:p>
        </w:tc>
      </w:tr>
      <w:tr w14:paraId="0A735E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6" w:hRule="atLeast"/>
        </w:trPr>
        <w:tc>
          <w:tcPr>
            <w:tcW w:w="691" w:type="dxa"/>
            <w:tcBorders>
              <w:top w:val="single" w:color="auto" w:sz="4" w:space="0"/>
              <w:left w:val="single" w:color="auto" w:sz="4" w:space="0"/>
              <w:bottom w:val="single" w:color="auto" w:sz="4" w:space="0"/>
              <w:right w:val="single" w:color="auto" w:sz="4" w:space="0"/>
            </w:tcBorders>
            <w:noWrap w:val="0"/>
            <w:vAlign w:val="center"/>
          </w:tcPr>
          <w:p w14:paraId="646EFD3C">
            <w:pPr>
              <w:spacing w:line="340" w:lineRule="exact"/>
              <w:jc w:val="center"/>
              <w:rPr>
                <w:rFonts w:hint="eastAsia"/>
                <w:color w:val="000000" w:themeColor="text1"/>
                <w:szCs w:val="21"/>
                <w:highlight w:val="none"/>
                <w14:textFill>
                  <w14:solidFill>
                    <w14:schemeClr w14:val="tx1"/>
                  </w14:solidFill>
                </w14:textFill>
              </w:rPr>
            </w:pPr>
          </w:p>
        </w:tc>
        <w:tc>
          <w:tcPr>
            <w:tcW w:w="3487" w:type="dxa"/>
            <w:tcBorders>
              <w:top w:val="single" w:color="auto" w:sz="4" w:space="0"/>
              <w:left w:val="single" w:color="auto" w:sz="4" w:space="0"/>
              <w:bottom w:val="single" w:color="auto" w:sz="4" w:space="0"/>
              <w:right w:val="single" w:color="auto" w:sz="4" w:space="0"/>
            </w:tcBorders>
            <w:noWrap w:val="0"/>
            <w:vAlign w:val="center"/>
          </w:tcPr>
          <w:p w14:paraId="0BB6B8D2">
            <w:pPr>
              <w:spacing w:line="340" w:lineRule="exact"/>
              <w:rPr>
                <w:rFonts w:hint="eastAsia"/>
                <w:color w:val="000000" w:themeColor="text1"/>
                <w:szCs w:val="21"/>
                <w:highlight w:val="none"/>
                <w14:textFill>
                  <w14:solidFill>
                    <w14:schemeClr w14:val="tx1"/>
                  </w14:solidFill>
                </w14:textFill>
              </w:rPr>
            </w:pPr>
          </w:p>
        </w:tc>
        <w:tc>
          <w:tcPr>
            <w:tcW w:w="3952" w:type="dxa"/>
            <w:tcBorders>
              <w:top w:val="single" w:color="auto" w:sz="4" w:space="0"/>
              <w:left w:val="single" w:color="auto" w:sz="4" w:space="0"/>
              <w:bottom w:val="single" w:color="auto" w:sz="4" w:space="0"/>
              <w:right w:val="single" w:color="auto" w:sz="4" w:space="0"/>
            </w:tcBorders>
            <w:noWrap w:val="0"/>
            <w:vAlign w:val="center"/>
          </w:tcPr>
          <w:p w14:paraId="28346630">
            <w:pPr>
              <w:spacing w:line="340" w:lineRule="exact"/>
              <w:rPr>
                <w:color w:val="000000" w:themeColor="text1"/>
                <w:szCs w:val="21"/>
                <w:highlight w:val="none"/>
                <w14:textFill>
                  <w14:solidFill>
                    <w14:schemeClr w14:val="tx1"/>
                  </w14:solidFill>
                </w14:textFill>
              </w:rPr>
            </w:pPr>
          </w:p>
        </w:tc>
        <w:tc>
          <w:tcPr>
            <w:tcW w:w="1635" w:type="dxa"/>
            <w:tcBorders>
              <w:top w:val="single" w:color="auto" w:sz="4" w:space="0"/>
              <w:left w:val="single" w:color="auto" w:sz="4" w:space="0"/>
              <w:bottom w:val="single" w:color="auto" w:sz="4" w:space="0"/>
              <w:right w:val="single" w:color="auto" w:sz="4" w:space="0"/>
            </w:tcBorders>
            <w:noWrap w:val="0"/>
            <w:vAlign w:val="center"/>
          </w:tcPr>
          <w:p w14:paraId="5FD04521">
            <w:pPr>
              <w:spacing w:line="300" w:lineRule="exact"/>
              <w:rPr>
                <w:color w:val="000000" w:themeColor="text1"/>
                <w:szCs w:val="21"/>
                <w:highlight w:val="none"/>
                <w14:textFill>
                  <w14:solidFill>
                    <w14:schemeClr w14:val="tx1"/>
                  </w14:solidFill>
                </w14:textFill>
              </w:rPr>
            </w:pPr>
          </w:p>
        </w:tc>
      </w:tr>
      <w:tr w14:paraId="32B188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6" w:hRule="atLeast"/>
        </w:trPr>
        <w:tc>
          <w:tcPr>
            <w:tcW w:w="691" w:type="dxa"/>
            <w:tcBorders>
              <w:top w:val="single" w:color="auto" w:sz="4" w:space="0"/>
              <w:left w:val="single" w:color="auto" w:sz="4" w:space="0"/>
              <w:bottom w:val="single" w:color="auto" w:sz="4" w:space="0"/>
              <w:right w:val="single" w:color="auto" w:sz="4" w:space="0"/>
            </w:tcBorders>
            <w:noWrap w:val="0"/>
            <w:vAlign w:val="center"/>
          </w:tcPr>
          <w:p w14:paraId="3DDD607C">
            <w:pPr>
              <w:spacing w:line="340" w:lineRule="exact"/>
              <w:jc w:val="center"/>
              <w:rPr>
                <w:rFonts w:hint="eastAsia"/>
                <w:color w:val="000000" w:themeColor="text1"/>
                <w:szCs w:val="21"/>
                <w:highlight w:val="none"/>
                <w14:textFill>
                  <w14:solidFill>
                    <w14:schemeClr w14:val="tx1"/>
                  </w14:solidFill>
                </w14:textFill>
              </w:rPr>
            </w:pPr>
          </w:p>
        </w:tc>
        <w:tc>
          <w:tcPr>
            <w:tcW w:w="3487" w:type="dxa"/>
            <w:tcBorders>
              <w:top w:val="single" w:color="auto" w:sz="4" w:space="0"/>
              <w:left w:val="single" w:color="auto" w:sz="4" w:space="0"/>
              <w:bottom w:val="single" w:color="auto" w:sz="4" w:space="0"/>
              <w:right w:val="single" w:color="auto" w:sz="4" w:space="0"/>
            </w:tcBorders>
            <w:noWrap w:val="0"/>
            <w:vAlign w:val="center"/>
          </w:tcPr>
          <w:p w14:paraId="38597CFC">
            <w:pPr>
              <w:spacing w:line="340" w:lineRule="exact"/>
              <w:rPr>
                <w:rFonts w:hint="eastAsia"/>
                <w:color w:val="000000" w:themeColor="text1"/>
                <w:szCs w:val="21"/>
                <w:highlight w:val="none"/>
                <w14:textFill>
                  <w14:solidFill>
                    <w14:schemeClr w14:val="tx1"/>
                  </w14:solidFill>
                </w14:textFill>
              </w:rPr>
            </w:pPr>
          </w:p>
        </w:tc>
        <w:tc>
          <w:tcPr>
            <w:tcW w:w="3952" w:type="dxa"/>
            <w:tcBorders>
              <w:top w:val="single" w:color="auto" w:sz="4" w:space="0"/>
              <w:left w:val="single" w:color="auto" w:sz="4" w:space="0"/>
              <w:bottom w:val="single" w:color="auto" w:sz="4" w:space="0"/>
              <w:right w:val="single" w:color="auto" w:sz="4" w:space="0"/>
            </w:tcBorders>
            <w:noWrap w:val="0"/>
            <w:vAlign w:val="center"/>
          </w:tcPr>
          <w:p w14:paraId="5BA720B3">
            <w:pPr>
              <w:spacing w:line="340" w:lineRule="exact"/>
              <w:rPr>
                <w:color w:val="000000" w:themeColor="text1"/>
                <w:szCs w:val="21"/>
                <w:highlight w:val="none"/>
                <w14:textFill>
                  <w14:solidFill>
                    <w14:schemeClr w14:val="tx1"/>
                  </w14:solidFill>
                </w14:textFill>
              </w:rPr>
            </w:pPr>
          </w:p>
        </w:tc>
        <w:tc>
          <w:tcPr>
            <w:tcW w:w="1635" w:type="dxa"/>
            <w:tcBorders>
              <w:top w:val="single" w:color="auto" w:sz="4" w:space="0"/>
              <w:left w:val="single" w:color="auto" w:sz="4" w:space="0"/>
              <w:bottom w:val="single" w:color="auto" w:sz="4" w:space="0"/>
              <w:right w:val="single" w:color="auto" w:sz="4" w:space="0"/>
            </w:tcBorders>
            <w:noWrap w:val="0"/>
            <w:vAlign w:val="center"/>
          </w:tcPr>
          <w:p w14:paraId="527EFB07">
            <w:pPr>
              <w:spacing w:line="300" w:lineRule="exact"/>
              <w:rPr>
                <w:color w:val="000000" w:themeColor="text1"/>
                <w:szCs w:val="21"/>
                <w:highlight w:val="none"/>
                <w14:textFill>
                  <w14:solidFill>
                    <w14:schemeClr w14:val="tx1"/>
                  </w14:solidFill>
                </w14:textFill>
              </w:rPr>
            </w:pPr>
          </w:p>
        </w:tc>
      </w:tr>
      <w:tr w14:paraId="3CD2D4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6" w:hRule="atLeast"/>
        </w:trPr>
        <w:tc>
          <w:tcPr>
            <w:tcW w:w="691" w:type="dxa"/>
            <w:tcBorders>
              <w:top w:val="single" w:color="auto" w:sz="4" w:space="0"/>
              <w:left w:val="single" w:color="auto" w:sz="4" w:space="0"/>
              <w:bottom w:val="single" w:color="auto" w:sz="4" w:space="0"/>
              <w:right w:val="single" w:color="auto" w:sz="4" w:space="0"/>
            </w:tcBorders>
            <w:noWrap w:val="0"/>
            <w:vAlign w:val="center"/>
          </w:tcPr>
          <w:p w14:paraId="4C850F18">
            <w:pPr>
              <w:spacing w:line="340" w:lineRule="exact"/>
              <w:jc w:val="center"/>
              <w:rPr>
                <w:rFonts w:hint="eastAsia"/>
                <w:color w:val="000000" w:themeColor="text1"/>
                <w:szCs w:val="21"/>
                <w:highlight w:val="none"/>
                <w14:textFill>
                  <w14:solidFill>
                    <w14:schemeClr w14:val="tx1"/>
                  </w14:solidFill>
                </w14:textFill>
              </w:rPr>
            </w:pPr>
          </w:p>
        </w:tc>
        <w:tc>
          <w:tcPr>
            <w:tcW w:w="3487" w:type="dxa"/>
            <w:tcBorders>
              <w:top w:val="single" w:color="auto" w:sz="4" w:space="0"/>
              <w:left w:val="single" w:color="auto" w:sz="4" w:space="0"/>
              <w:bottom w:val="single" w:color="auto" w:sz="4" w:space="0"/>
              <w:right w:val="single" w:color="auto" w:sz="4" w:space="0"/>
            </w:tcBorders>
            <w:noWrap w:val="0"/>
            <w:vAlign w:val="center"/>
          </w:tcPr>
          <w:p w14:paraId="60544D28">
            <w:pPr>
              <w:spacing w:line="340" w:lineRule="exact"/>
              <w:rPr>
                <w:rFonts w:hint="eastAsia"/>
                <w:color w:val="000000" w:themeColor="text1"/>
                <w:szCs w:val="21"/>
                <w:highlight w:val="none"/>
                <w14:textFill>
                  <w14:solidFill>
                    <w14:schemeClr w14:val="tx1"/>
                  </w14:solidFill>
                </w14:textFill>
              </w:rPr>
            </w:pPr>
          </w:p>
        </w:tc>
        <w:tc>
          <w:tcPr>
            <w:tcW w:w="3952" w:type="dxa"/>
            <w:tcBorders>
              <w:top w:val="single" w:color="auto" w:sz="4" w:space="0"/>
              <w:left w:val="single" w:color="auto" w:sz="4" w:space="0"/>
              <w:bottom w:val="single" w:color="auto" w:sz="4" w:space="0"/>
              <w:right w:val="single" w:color="auto" w:sz="4" w:space="0"/>
            </w:tcBorders>
            <w:noWrap w:val="0"/>
            <w:vAlign w:val="center"/>
          </w:tcPr>
          <w:p w14:paraId="79F19202">
            <w:pPr>
              <w:spacing w:line="340" w:lineRule="exact"/>
              <w:rPr>
                <w:color w:val="000000" w:themeColor="text1"/>
                <w:szCs w:val="21"/>
                <w:highlight w:val="none"/>
                <w14:textFill>
                  <w14:solidFill>
                    <w14:schemeClr w14:val="tx1"/>
                  </w14:solidFill>
                </w14:textFill>
              </w:rPr>
            </w:pPr>
          </w:p>
        </w:tc>
        <w:tc>
          <w:tcPr>
            <w:tcW w:w="1635" w:type="dxa"/>
            <w:tcBorders>
              <w:top w:val="single" w:color="auto" w:sz="4" w:space="0"/>
              <w:left w:val="single" w:color="auto" w:sz="4" w:space="0"/>
              <w:bottom w:val="single" w:color="auto" w:sz="4" w:space="0"/>
              <w:right w:val="single" w:color="auto" w:sz="4" w:space="0"/>
            </w:tcBorders>
            <w:noWrap w:val="0"/>
            <w:vAlign w:val="center"/>
          </w:tcPr>
          <w:p w14:paraId="0DDBDDD2">
            <w:pPr>
              <w:spacing w:line="300" w:lineRule="exact"/>
              <w:rPr>
                <w:color w:val="000000" w:themeColor="text1"/>
                <w:szCs w:val="21"/>
                <w:highlight w:val="none"/>
                <w14:textFill>
                  <w14:solidFill>
                    <w14:schemeClr w14:val="tx1"/>
                  </w14:solidFill>
                </w14:textFill>
              </w:rPr>
            </w:pPr>
          </w:p>
        </w:tc>
      </w:tr>
      <w:tr w14:paraId="4646C9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6" w:hRule="atLeast"/>
        </w:trPr>
        <w:tc>
          <w:tcPr>
            <w:tcW w:w="691" w:type="dxa"/>
            <w:tcBorders>
              <w:top w:val="single" w:color="auto" w:sz="4" w:space="0"/>
              <w:left w:val="single" w:color="auto" w:sz="4" w:space="0"/>
              <w:bottom w:val="single" w:color="auto" w:sz="4" w:space="0"/>
              <w:right w:val="single" w:color="auto" w:sz="4" w:space="0"/>
            </w:tcBorders>
            <w:noWrap w:val="0"/>
            <w:vAlign w:val="center"/>
          </w:tcPr>
          <w:p w14:paraId="08C3D79E">
            <w:pPr>
              <w:spacing w:line="340" w:lineRule="exact"/>
              <w:jc w:val="center"/>
              <w:rPr>
                <w:rFonts w:hint="eastAsia"/>
                <w:color w:val="000000" w:themeColor="text1"/>
                <w:szCs w:val="21"/>
                <w:highlight w:val="none"/>
                <w14:textFill>
                  <w14:solidFill>
                    <w14:schemeClr w14:val="tx1"/>
                  </w14:solidFill>
                </w14:textFill>
              </w:rPr>
            </w:pPr>
          </w:p>
        </w:tc>
        <w:tc>
          <w:tcPr>
            <w:tcW w:w="3487" w:type="dxa"/>
            <w:tcBorders>
              <w:top w:val="single" w:color="auto" w:sz="4" w:space="0"/>
              <w:left w:val="single" w:color="auto" w:sz="4" w:space="0"/>
              <w:bottom w:val="single" w:color="auto" w:sz="4" w:space="0"/>
              <w:right w:val="single" w:color="auto" w:sz="4" w:space="0"/>
            </w:tcBorders>
            <w:noWrap w:val="0"/>
            <w:vAlign w:val="center"/>
          </w:tcPr>
          <w:p w14:paraId="25C2476F">
            <w:pPr>
              <w:spacing w:line="340" w:lineRule="exact"/>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w:t>
            </w:r>
          </w:p>
        </w:tc>
        <w:tc>
          <w:tcPr>
            <w:tcW w:w="3952" w:type="dxa"/>
            <w:tcBorders>
              <w:top w:val="single" w:color="auto" w:sz="4" w:space="0"/>
              <w:left w:val="single" w:color="auto" w:sz="4" w:space="0"/>
              <w:bottom w:val="single" w:color="auto" w:sz="4" w:space="0"/>
              <w:right w:val="single" w:color="auto" w:sz="4" w:space="0"/>
            </w:tcBorders>
            <w:noWrap w:val="0"/>
            <w:vAlign w:val="center"/>
          </w:tcPr>
          <w:p w14:paraId="52BC99E9">
            <w:pPr>
              <w:spacing w:line="340" w:lineRule="exact"/>
              <w:rPr>
                <w:color w:val="000000" w:themeColor="text1"/>
                <w:szCs w:val="21"/>
                <w:highlight w:val="none"/>
                <w14:textFill>
                  <w14:solidFill>
                    <w14:schemeClr w14:val="tx1"/>
                  </w14:solidFill>
                </w14:textFill>
              </w:rPr>
            </w:pPr>
          </w:p>
        </w:tc>
        <w:tc>
          <w:tcPr>
            <w:tcW w:w="1635" w:type="dxa"/>
            <w:tcBorders>
              <w:top w:val="single" w:color="auto" w:sz="4" w:space="0"/>
              <w:left w:val="single" w:color="auto" w:sz="4" w:space="0"/>
              <w:bottom w:val="single" w:color="auto" w:sz="4" w:space="0"/>
              <w:right w:val="single" w:color="auto" w:sz="4" w:space="0"/>
            </w:tcBorders>
            <w:noWrap w:val="0"/>
            <w:vAlign w:val="center"/>
          </w:tcPr>
          <w:p w14:paraId="09C8FB9A">
            <w:pPr>
              <w:spacing w:line="300" w:lineRule="exact"/>
              <w:rPr>
                <w:color w:val="000000" w:themeColor="text1"/>
                <w:szCs w:val="21"/>
                <w:highlight w:val="none"/>
                <w14:textFill>
                  <w14:solidFill>
                    <w14:schemeClr w14:val="tx1"/>
                  </w14:solidFill>
                </w14:textFill>
              </w:rPr>
            </w:pPr>
          </w:p>
        </w:tc>
      </w:tr>
    </w:tbl>
    <w:p w14:paraId="4EFBC954">
      <w:pPr>
        <w:pStyle w:val="13"/>
        <w:keepNext w:val="0"/>
        <w:keepLines w:val="0"/>
        <w:pageBreakBefore w:val="0"/>
        <w:widowControl w:val="0"/>
        <w:kinsoku/>
        <w:wordWrap/>
        <w:overflowPunct/>
        <w:topLinePunct w:val="0"/>
        <w:autoSpaceDE/>
        <w:autoSpaceDN/>
        <w:bidi w:val="0"/>
        <w:adjustRightInd/>
        <w:spacing w:after="0" w:line="360" w:lineRule="auto"/>
        <w:contextualSpacing/>
        <w:textAlignment w:val="auto"/>
        <w:rPr>
          <w:color w:val="000000" w:themeColor="text1"/>
          <w:kern w:val="0"/>
          <w:sz w:val="21"/>
          <w:szCs w:val="21"/>
          <w:highlight w:val="none"/>
          <w14:textFill>
            <w14:solidFill>
              <w14:schemeClr w14:val="tx1"/>
            </w14:solidFill>
          </w14:textFill>
        </w:rPr>
      </w:pPr>
      <w:r>
        <w:rPr>
          <w:color w:val="000000" w:themeColor="text1"/>
          <w:kern w:val="0"/>
          <w:sz w:val="21"/>
          <w:szCs w:val="21"/>
          <w:highlight w:val="none"/>
          <w14:textFill>
            <w14:solidFill>
              <w14:schemeClr w14:val="tx1"/>
            </w14:solidFill>
          </w14:textFill>
        </w:rPr>
        <w:t>注：</w:t>
      </w:r>
    </w:p>
    <w:p w14:paraId="107111EC">
      <w:pPr>
        <w:pStyle w:val="13"/>
        <w:keepNext w:val="0"/>
        <w:keepLines w:val="0"/>
        <w:pageBreakBefore w:val="0"/>
        <w:widowControl w:val="0"/>
        <w:kinsoku/>
        <w:wordWrap/>
        <w:overflowPunct/>
        <w:topLinePunct w:val="0"/>
        <w:autoSpaceDE/>
        <w:autoSpaceDN/>
        <w:bidi w:val="0"/>
        <w:adjustRightInd/>
        <w:spacing w:after="0" w:line="360" w:lineRule="auto"/>
        <w:ind w:firstLine="420" w:firstLineChars="200"/>
        <w:contextualSpacing/>
        <w:textAlignment w:val="auto"/>
        <w:rPr>
          <w:color w:val="000000" w:themeColor="text1"/>
          <w:kern w:val="0"/>
          <w:sz w:val="21"/>
          <w:szCs w:val="21"/>
          <w:highlight w:val="none"/>
          <w14:textFill>
            <w14:solidFill>
              <w14:schemeClr w14:val="tx1"/>
            </w14:solidFill>
          </w14:textFill>
        </w:rPr>
      </w:pPr>
      <w:r>
        <w:rPr>
          <w:color w:val="000000" w:themeColor="text1"/>
          <w:kern w:val="0"/>
          <w:sz w:val="21"/>
          <w:szCs w:val="21"/>
          <w:highlight w:val="none"/>
          <w14:textFill>
            <w14:solidFill>
              <w14:schemeClr w14:val="tx1"/>
            </w14:solidFill>
          </w14:textFill>
        </w:rPr>
        <w:t>1.说明：应对照磋商文件</w:t>
      </w:r>
      <w:r>
        <w:rPr>
          <w:rFonts w:hint="eastAsia"/>
          <w:color w:val="000000" w:themeColor="text1"/>
          <w:kern w:val="0"/>
          <w:sz w:val="21"/>
          <w:szCs w:val="21"/>
          <w:highlight w:val="none"/>
          <w:lang w:eastAsia="zh-CN"/>
          <w14:textFill>
            <w14:solidFill>
              <w14:schemeClr w14:val="tx1"/>
            </w14:solidFill>
          </w14:textFill>
        </w:rPr>
        <w:t>“</w:t>
      </w:r>
      <w:r>
        <w:rPr>
          <w:color w:val="000000" w:themeColor="text1"/>
          <w:kern w:val="0"/>
          <w:sz w:val="21"/>
          <w:szCs w:val="21"/>
          <w:highlight w:val="none"/>
          <w14:textFill>
            <w14:solidFill>
              <w14:schemeClr w14:val="tx1"/>
            </w14:solidFill>
          </w14:textFill>
        </w:rPr>
        <w:t>第二章</w:t>
      </w:r>
      <w:r>
        <w:rPr>
          <w:rFonts w:hint="eastAsia"/>
          <w:color w:val="000000" w:themeColor="text1"/>
          <w:kern w:val="0"/>
          <w:sz w:val="21"/>
          <w:szCs w:val="21"/>
          <w:highlight w:val="none"/>
          <w:lang w:eastAsia="zh-CN"/>
          <w14:textFill>
            <w14:solidFill>
              <w14:schemeClr w14:val="tx1"/>
            </w14:solidFill>
          </w14:textFill>
        </w:rPr>
        <w:t>”</w:t>
      </w:r>
      <w:r>
        <w:rPr>
          <w:color w:val="000000" w:themeColor="text1"/>
          <w:kern w:val="0"/>
          <w:sz w:val="21"/>
          <w:szCs w:val="21"/>
          <w:highlight w:val="none"/>
          <w14:textFill>
            <w14:solidFill>
              <w14:schemeClr w14:val="tx1"/>
            </w14:solidFill>
          </w14:textFill>
        </w:rPr>
        <w:t>中</w:t>
      </w:r>
      <w:r>
        <w:rPr>
          <w:rFonts w:hint="eastAsia"/>
          <w:color w:val="000000" w:themeColor="text1"/>
          <w:kern w:val="0"/>
          <w:sz w:val="21"/>
          <w:szCs w:val="21"/>
          <w:highlight w:val="none"/>
          <w:lang w:eastAsia="zh-CN"/>
          <w14:textFill>
            <w14:solidFill>
              <w14:schemeClr w14:val="tx1"/>
            </w14:solidFill>
          </w14:textFill>
        </w:rPr>
        <w:t>“</w:t>
      </w:r>
      <w:r>
        <w:rPr>
          <w:color w:val="000000" w:themeColor="text1"/>
          <w:kern w:val="0"/>
          <w:sz w:val="21"/>
          <w:szCs w:val="21"/>
          <w:highlight w:val="none"/>
          <w14:textFill>
            <w14:solidFill>
              <w14:schemeClr w14:val="tx1"/>
            </w14:solidFill>
          </w14:textFill>
        </w:rPr>
        <w:t>需求一览表</w:t>
      </w:r>
      <w:r>
        <w:rPr>
          <w:rFonts w:hint="eastAsia"/>
          <w:color w:val="000000" w:themeColor="text1"/>
          <w:kern w:val="0"/>
          <w:sz w:val="21"/>
          <w:szCs w:val="21"/>
          <w:highlight w:val="none"/>
          <w:lang w:eastAsia="zh-CN"/>
          <w14:textFill>
            <w14:solidFill>
              <w14:schemeClr w14:val="tx1"/>
            </w14:solidFill>
          </w14:textFill>
        </w:rPr>
        <w:t>”</w:t>
      </w:r>
      <w:r>
        <w:rPr>
          <w:color w:val="000000" w:themeColor="text1"/>
          <w:kern w:val="0"/>
          <w:sz w:val="21"/>
          <w:szCs w:val="21"/>
          <w:highlight w:val="none"/>
          <w14:textFill>
            <w14:solidFill>
              <w14:schemeClr w14:val="tx1"/>
            </w14:solidFill>
          </w14:textFill>
        </w:rPr>
        <w:t>的</w:t>
      </w:r>
      <w:r>
        <w:rPr>
          <w:rFonts w:hint="eastAsia"/>
          <w:color w:val="000000" w:themeColor="text1"/>
          <w:kern w:val="0"/>
          <w:sz w:val="21"/>
          <w:szCs w:val="21"/>
          <w:highlight w:val="none"/>
          <w:lang w:eastAsia="zh-CN"/>
          <w14:textFill>
            <w14:solidFill>
              <w14:schemeClr w14:val="tx1"/>
            </w14:solidFill>
          </w14:textFill>
        </w:rPr>
        <w:t>技术要求</w:t>
      </w:r>
      <w:r>
        <w:rPr>
          <w:color w:val="000000" w:themeColor="text1"/>
          <w:kern w:val="0"/>
          <w:sz w:val="21"/>
          <w:szCs w:val="21"/>
          <w:highlight w:val="none"/>
          <w14:textFill>
            <w14:solidFill>
              <w14:schemeClr w14:val="tx1"/>
            </w14:solidFill>
          </w14:textFill>
        </w:rPr>
        <w:t>逐条作出明确响应，并作出偏离说明。</w:t>
      </w:r>
    </w:p>
    <w:p w14:paraId="598ACA27">
      <w:pPr>
        <w:pStyle w:val="15"/>
        <w:keepNext w:val="0"/>
        <w:keepLines w:val="0"/>
        <w:pageBreakBefore w:val="0"/>
        <w:widowControl w:val="0"/>
        <w:kinsoku/>
        <w:wordWrap/>
        <w:overflowPunct/>
        <w:topLinePunct w:val="0"/>
        <w:autoSpaceDE/>
        <w:autoSpaceDN/>
        <w:bidi w:val="0"/>
        <w:adjustRightInd/>
        <w:spacing w:line="360" w:lineRule="auto"/>
        <w:ind w:firstLine="420" w:firstLineChars="200"/>
        <w:contextualSpacing/>
        <w:textAlignment w:val="auto"/>
        <w:rPr>
          <w:rFonts w:ascii="Times New Roman" w:eastAsia="宋体"/>
          <w:color w:val="000000" w:themeColor="text1"/>
          <w:sz w:val="21"/>
          <w:szCs w:val="21"/>
          <w:highlight w:val="none"/>
          <w:lang w:eastAsia="zh-CN"/>
          <w14:textFill>
            <w14:solidFill>
              <w14:schemeClr w14:val="tx1"/>
            </w14:solidFill>
          </w14:textFill>
        </w:rPr>
      </w:pPr>
      <w:r>
        <w:rPr>
          <w:rFonts w:ascii="Times New Roman" w:eastAsia="宋体"/>
          <w:color w:val="000000" w:themeColor="text1"/>
          <w:sz w:val="21"/>
          <w:szCs w:val="21"/>
          <w:highlight w:val="none"/>
          <w14:textFill>
            <w14:solidFill>
              <w14:schemeClr w14:val="tx1"/>
            </w14:solidFill>
          </w14:textFill>
        </w:rPr>
        <w:t>2.供应商应根据自身的承诺，对照磋商文件要求，在</w:t>
      </w:r>
      <w:r>
        <w:rPr>
          <w:rFonts w:hint="eastAsia" w:ascii="Times New Roman" w:eastAsia="宋体"/>
          <w:color w:val="000000" w:themeColor="text1"/>
          <w:sz w:val="21"/>
          <w:szCs w:val="21"/>
          <w:highlight w:val="none"/>
          <w:lang w:eastAsia="zh-CN"/>
          <w14:textFill>
            <w14:solidFill>
              <w14:schemeClr w14:val="tx1"/>
            </w14:solidFill>
          </w14:textFill>
        </w:rPr>
        <w:t>“</w:t>
      </w:r>
      <w:r>
        <w:rPr>
          <w:rFonts w:ascii="Times New Roman" w:eastAsia="宋体"/>
          <w:color w:val="000000" w:themeColor="text1"/>
          <w:sz w:val="21"/>
          <w:szCs w:val="21"/>
          <w:highlight w:val="none"/>
          <w14:textFill>
            <w14:solidFill>
              <w14:schemeClr w14:val="tx1"/>
            </w14:solidFill>
          </w14:textFill>
        </w:rPr>
        <w:t>偏离说明</w:t>
      </w:r>
      <w:r>
        <w:rPr>
          <w:rFonts w:hint="eastAsia" w:ascii="Times New Roman" w:eastAsia="宋体"/>
          <w:color w:val="000000" w:themeColor="text1"/>
          <w:sz w:val="21"/>
          <w:szCs w:val="21"/>
          <w:highlight w:val="none"/>
          <w:lang w:eastAsia="zh-CN"/>
          <w14:textFill>
            <w14:solidFill>
              <w14:schemeClr w14:val="tx1"/>
            </w14:solidFill>
          </w14:textFill>
        </w:rPr>
        <w:t>”</w:t>
      </w:r>
      <w:r>
        <w:rPr>
          <w:rFonts w:ascii="Times New Roman" w:eastAsia="宋体"/>
          <w:color w:val="000000" w:themeColor="text1"/>
          <w:sz w:val="21"/>
          <w:szCs w:val="21"/>
          <w:highlight w:val="none"/>
          <w14:textFill>
            <w14:solidFill>
              <w14:schemeClr w14:val="tx1"/>
            </w14:solidFill>
          </w14:textFill>
        </w:rPr>
        <w:t>中注明</w:t>
      </w:r>
      <w:r>
        <w:rPr>
          <w:rFonts w:hint="eastAsia" w:ascii="Times New Roman" w:eastAsia="宋体"/>
          <w:color w:val="000000" w:themeColor="text1"/>
          <w:sz w:val="21"/>
          <w:szCs w:val="21"/>
          <w:highlight w:val="none"/>
          <w:lang w:eastAsia="zh-CN"/>
          <w14:textFill>
            <w14:solidFill>
              <w14:schemeClr w14:val="tx1"/>
            </w14:solidFill>
          </w14:textFill>
        </w:rPr>
        <w:t>“</w:t>
      </w:r>
      <w:r>
        <w:rPr>
          <w:rFonts w:ascii="Times New Roman" w:eastAsia="宋体"/>
          <w:color w:val="000000" w:themeColor="text1"/>
          <w:sz w:val="21"/>
          <w:szCs w:val="21"/>
          <w:highlight w:val="none"/>
          <w14:textFill>
            <w14:solidFill>
              <w14:schemeClr w14:val="tx1"/>
            </w14:solidFill>
          </w14:textFill>
        </w:rPr>
        <w:t>正偏离</w:t>
      </w:r>
      <w:r>
        <w:rPr>
          <w:rFonts w:hint="eastAsia" w:ascii="Times New Roman" w:eastAsia="宋体"/>
          <w:color w:val="000000" w:themeColor="text1"/>
          <w:sz w:val="21"/>
          <w:szCs w:val="21"/>
          <w:highlight w:val="none"/>
          <w:lang w:eastAsia="zh-CN"/>
          <w14:textFill>
            <w14:solidFill>
              <w14:schemeClr w14:val="tx1"/>
            </w14:solidFill>
          </w14:textFill>
        </w:rPr>
        <w:t>”</w:t>
      </w:r>
      <w:r>
        <w:rPr>
          <w:rFonts w:ascii="Times New Roman" w:eastAsia="宋体"/>
          <w:color w:val="000000" w:themeColor="text1"/>
          <w:sz w:val="21"/>
          <w:szCs w:val="21"/>
          <w:highlight w:val="none"/>
          <w:lang w:eastAsia="zh-CN"/>
          <w14:textFill>
            <w14:solidFill>
              <w14:schemeClr w14:val="tx1"/>
            </w14:solidFill>
          </w14:textFill>
        </w:rPr>
        <w:t>或者</w:t>
      </w:r>
      <w:r>
        <w:rPr>
          <w:rFonts w:hint="eastAsia" w:ascii="Times New Roman" w:eastAsia="宋体"/>
          <w:color w:val="000000" w:themeColor="text1"/>
          <w:sz w:val="21"/>
          <w:szCs w:val="21"/>
          <w:highlight w:val="none"/>
          <w:lang w:eastAsia="zh-CN"/>
          <w14:textFill>
            <w14:solidFill>
              <w14:schemeClr w14:val="tx1"/>
            </w14:solidFill>
          </w14:textFill>
        </w:rPr>
        <w:t>“</w:t>
      </w:r>
      <w:r>
        <w:rPr>
          <w:rFonts w:ascii="Times New Roman" w:eastAsia="宋体"/>
          <w:color w:val="000000" w:themeColor="text1"/>
          <w:sz w:val="21"/>
          <w:szCs w:val="21"/>
          <w:highlight w:val="none"/>
          <w14:textFill>
            <w14:solidFill>
              <w14:schemeClr w14:val="tx1"/>
            </w14:solidFill>
          </w14:textFill>
        </w:rPr>
        <w:t>负偏离</w:t>
      </w:r>
      <w:r>
        <w:rPr>
          <w:rFonts w:hint="eastAsia" w:ascii="Times New Roman" w:eastAsia="宋体"/>
          <w:color w:val="000000" w:themeColor="text1"/>
          <w:sz w:val="21"/>
          <w:szCs w:val="21"/>
          <w:highlight w:val="none"/>
          <w:lang w:eastAsia="zh-CN"/>
          <w14:textFill>
            <w14:solidFill>
              <w14:schemeClr w14:val="tx1"/>
            </w14:solidFill>
          </w14:textFill>
        </w:rPr>
        <w:t>”</w:t>
      </w:r>
      <w:r>
        <w:rPr>
          <w:rFonts w:ascii="Times New Roman" w:eastAsia="宋体"/>
          <w:color w:val="000000" w:themeColor="text1"/>
          <w:sz w:val="21"/>
          <w:szCs w:val="21"/>
          <w:highlight w:val="none"/>
          <w14:textFill>
            <w14:solidFill>
              <w14:schemeClr w14:val="tx1"/>
            </w14:solidFill>
          </w14:textFill>
        </w:rPr>
        <w:t>或者</w:t>
      </w:r>
      <w:r>
        <w:rPr>
          <w:rFonts w:hint="eastAsia" w:ascii="Times New Roman" w:eastAsia="宋体"/>
          <w:color w:val="000000" w:themeColor="text1"/>
          <w:sz w:val="21"/>
          <w:szCs w:val="21"/>
          <w:highlight w:val="none"/>
          <w:lang w:eastAsia="zh-CN"/>
          <w14:textFill>
            <w14:solidFill>
              <w14:schemeClr w14:val="tx1"/>
            </w14:solidFill>
          </w14:textFill>
        </w:rPr>
        <w:t>“</w:t>
      </w:r>
      <w:r>
        <w:rPr>
          <w:rFonts w:ascii="Times New Roman" w:eastAsia="宋体"/>
          <w:color w:val="000000" w:themeColor="text1"/>
          <w:sz w:val="21"/>
          <w:szCs w:val="21"/>
          <w:highlight w:val="none"/>
          <w14:textFill>
            <w14:solidFill>
              <w14:schemeClr w14:val="tx1"/>
            </w14:solidFill>
          </w14:textFill>
        </w:rPr>
        <w:t>无偏离</w:t>
      </w:r>
      <w:r>
        <w:rPr>
          <w:rFonts w:hint="eastAsia" w:ascii="Times New Roman" w:eastAsia="宋体"/>
          <w:color w:val="000000" w:themeColor="text1"/>
          <w:sz w:val="21"/>
          <w:szCs w:val="21"/>
          <w:highlight w:val="none"/>
          <w:lang w:eastAsia="zh-CN"/>
          <w14:textFill>
            <w14:solidFill>
              <w14:schemeClr w14:val="tx1"/>
            </w14:solidFill>
          </w14:textFill>
        </w:rPr>
        <w:t>”</w:t>
      </w:r>
      <w:r>
        <w:rPr>
          <w:rFonts w:ascii="Times New Roman" w:eastAsia="宋体"/>
          <w:color w:val="000000" w:themeColor="text1"/>
          <w:sz w:val="21"/>
          <w:szCs w:val="21"/>
          <w:highlight w:val="none"/>
          <w14:textFill>
            <w14:solidFill>
              <w14:schemeClr w14:val="tx1"/>
            </w14:solidFill>
          </w14:textFill>
        </w:rPr>
        <w:t>。既不属于</w:t>
      </w:r>
      <w:r>
        <w:rPr>
          <w:rFonts w:hint="eastAsia" w:ascii="Times New Roman" w:eastAsia="宋体"/>
          <w:color w:val="000000" w:themeColor="text1"/>
          <w:sz w:val="21"/>
          <w:szCs w:val="21"/>
          <w:highlight w:val="none"/>
          <w:lang w:eastAsia="zh-CN"/>
          <w14:textFill>
            <w14:solidFill>
              <w14:schemeClr w14:val="tx1"/>
            </w14:solidFill>
          </w14:textFill>
        </w:rPr>
        <w:t>“</w:t>
      </w:r>
      <w:r>
        <w:rPr>
          <w:rFonts w:ascii="Times New Roman" w:eastAsia="宋体"/>
          <w:color w:val="000000" w:themeColor="text1"/>
          <w:sz w:val="21"/>
          <w:szCs w:val="21"/>
          <w:highlight w:val="none"/>
          <w14:textFill>
            <w14:solidFill>
              <w14:schemeClr w14:val="tx1"/>
            </w14:solidFill>
          </w14:textFill>
        </w:rPr>
        <w:t>正偏离</w:t>
      </w:r>
      <w:r>
        <w:rPr>
          <w:rFonts w:hint="eastAsia" w:ascii="Times New Roman" w:eastAsia="宋体"/>
          <w:color w:val="000000" w:themeColor="text1"/>
          <w:sz w:val="21"/>
          <w:szCs w:val="21"/>
          <w:highlight w:val="none"/>
          <w:lang w:eastAsia="zh-CN"/>
          <w14:textFill>
            <w14:solidFill>
              <w14:schemeClr w14:val="tx1"/>
            </w14:solidFill>
          </w14:textFill>
        </w:rPr>
        <w:t>”</w:t>
      </w:r>
      <w:r>
        <w:rPr>
          <w:rFonts w:ascii="Times New Roman" w:eastAsia="宋体"/>
          <w:color w:val="000000" w:themeColor="text1"/>
          <w:sz w:val="21"/>
          <w:szCs w:val="21"/>
          <w:highlight w:val="none"/>
          <w14:textFill>
            <w14:solidFill>
              <w14:schemeClr w14:val="tx1"/>
            </w14:solidFill>
          </w14:textFill>
        </w:rPr>
        <w:t>也不属于</w:t>
      </w:r>
      <w:r>
        <w:rPr>
          <w:rFonts w:hint="eastAsia" w:ascii="Times New Roman" w:eastAsia="宋体"/>
          <w:color w:val="000000" w:themeColor="text1"/>
          <w:sz w:val="21"/>
          <w:szCs w:val="21"/>
          <w:highlight w:val="none"/>
          <w:lang w:eastAsia="zh-CN"/>
          <w14:textFill>
            <w14:solidFill>
              <w14:schemeClr w14:val="tx1"/>
            </w14:solidFill>
          </w14:textFill>
        </w:rPr>
        <w:t>“</w:t>
      </w:r>
      <w:r>
        <w:rPr>
          <w:rFonts w:ascii="Times New Roman" w:eastAsia="宋体"/>
          <w:color w:val="000000" w:themeColor="text1"/>
          <w:sz w:val="21"/>
          <w:szCs w:val="21"/>
          <w:highlight w:val="none"/>
          <w14:textFill>
            <w14:solidFill>
              <w14:schemeClr w14:val="tx1"/>
            </w14:solidFill>
          </w14:textFill>
        </w:rPr>
        <w:t>负偏离</w:t>
      </w:r>
      <w:r>
        <w:rPr>
          <w:rFonts w:hint="eastAsia" w:ascii="Times New Roman" w:eastAsia="宋体"/>
          <w:color w:val="000000" w:themeColor="text1"/>
          <w:sz w:val="21"/>
          <w:szCs w:val="21"/>
          <w:highlight w:val="none"/>
          <w:lang w:eastAsia="zh-CN"/>
          <w14:textFill>
            <w14:solidFill>
              <w14:schemeClr w14:val="tx1"/>
            </w14:solidFill>
          </w14:textFill>
        </w:rPr>
        <w:t>”</w:t>
      </w:r>
      <w:r>
        <w:rPr>
          <w:rFonts w:ascii="Times New Roman" w:eastAsia="宋体"/>
          <w:color w:val="000000" w:themeColor="text1"/>
          <w:sz w:val="21"/>
          <w:szCs w:val="21"/>
          <w:highlight w:val="none"/>
          <w14:textFill>
            <w14:solidFill>
              <w14:schemeClr w14:val="tx1"/>
            </w14:solidFill>
          </w14:textFill>
        </w:rPr>
        <w:t>即为</w:t>
      </w:r>
      <w:r>
        <w:rPr>
          <w:rFonts w:hint="eastAsia" w:ascii="Times New Roman" w:eastAsia="宋体"/>
          <w:color w:val="000000" w:themeColor="text1"/>
          <w:sz w:val="21"/>
          <w:szCs w:val="21"/>
          <w:highlight w:val="none"/>
          <w:lang w:eastAsia="zh-CN"/>
          <w14:textFill>
            <w14:solidFill>
              <w14:schemeClr w14:val="tx1"/>
            </w14:solidFill>
          </w14:textFill>
        </w:rPr>
        <w:t>“</w:t>
      </w:r>
      <w:r>
        <w:rPr>
          <w:rFonts w:ascii="Times New Roman" w:eastAsia="宋体"/>
          <w:color w:val="000000" w:themeColor="text1"/>
          <w:sz w:val="21"/>
          <w:szCs w:val="21"/>
          <w:highlight w:val="none"/>
          <w14:textFill>
            <w14:solidFill>
              <w14:schemeClr w14:val="tx1"/>
            </w14:solidFill>
          </w14:textFill>
        </w:rPr>
        <w:t>无偏离</w:t>
      </w:r>
      <w:r>
        <w:rPr>
          <w:rFonts w:hint="eastAsia" w:ascii="Times New Roman" w:eastAsia="宋体"/>
          <w:color w:val="000000" w:themeColor="text1"/>
          <w:sz w:val="21"/>
          <w:szCs w:val="21"/>
          <w:highlight w:val="none"/>
          <w:lang w:eastAsia="zh-CN"/>
          <w14:textFill>
            <w14:solidFill>
              <w14:schemeClr w14:val="tx1"/>
            </w14:solidFill>
          </w14:textFill>
        </w:rPr>
        <w:t>”</w:t>
      </w:r>
      <w:r>
        <w:rPr>
          <w:rFonts w:ascii="Times New Roman" w:eastAsia="宋体"/>
          <w:color w:val="000000" w:themeColor="text1"/>
          <w:sz w:val="21"/>
          <w:szCs w:val="21"/>
          <w:highlight w:val="none"/>
          <w14:textFill>
            <w14:solidFill>
              <w14:schemeClr w14:val="tx1"/>
            </w14:solidFill>
          </w14:textFill>
        </w:rPr>
        <w:t>。 当响应文件的</w:t>
      </w:r>
      <w:r>
        <w:rPr>
          <w:rFonts w:hint="eastAsia" w:ascii="Times New Roman" w:eastAsia="宋体"/>
          <w:color w:val="000000" w:themeColor="text1"/>
          <w:sz w:val="21"/>
          <w:szCs w:val="21"/>
          <w:highlight w:val="none"/>
          <w:lang w:eastAsia="zh-CN"/>
          <w14:textFill>
            <w14:solidFill>
              <w14:schemeClr w14:val="tx1"/>
            </w14:solidFill>
          </w14:textFill>
        </w:rPr>
        <w:t>技术要求</w:t>
      </w:r>
      <w:r>
        <w:rPr>
          <w:rFonts w:ascii="Times New Roman" w:eastAsia="宋体"/>
          <w:color w:val="000000" w:themeColor="text1"/>
          <w:sz w:val="21"/>
          <w:szCs w:val="21"/>
          <w:highlight w:val="none"/>
          <w14:textFill>
            <w14:solidFill>
              <w14:schemeClr w14:val="tx1"/>
            </w14:solidFill>
          </w14:textFill>
        </w:rPr>
        <w:t>内容低于竞争性磋商文件要求时，</w:t>
      </w:r>
      <w:r>
        <w:rPr>
          <w:rFonts w:ascii="Times New Roman" w:eastAsia="宋体"/>
          <w:color w:val="000000" w:themeColor="text1"/>
          <w:sz w:val="21"/>
          <w:szCs w:val="21"/>
          <w:highlight w:val="none"/>
          <w:lang w:eastAsia="zh-CN"/>
          <w14:textFill>
            <w14:solidFill>
              <w14:schemeClr w14:val="tx1"/>
            </w14:solidFill>
          </w14:textFill>
        </w:rPr>
        <w:t>供应商</w:t>
      </w:r>
      <w:r>
        <w:rPr>
          <w:rFonts w:ascii="Times New Roman" w:eastAsia="宋体"/>
          <w:color w:val="000000" w:themeColor="text1"/>
          <w:sz w:val="21"/>
          <w:szCs w:val="21"/>
          <w:highlight w:val="none"/>
          <w14:textFill>
            <w14:solidFill>
              <w14:schemeClr w14:val="tx1"/>
            </w14:solidFill>
          </w14:textFill>
        </w:rPr>
        <w:t>应当如实写明</w:t>
      </w:r>
      <w:r>
        <w:rPr>
          <w:rFonts w:hint="eastAsia" w:ascii="Times New Roman" w:eastAsia="宋体"/>
          <w:color w:val="000000" w:themeColor="text1"/>
          <w:sz w:val="21"/>
          <w:szCs w:val="21"/>
          <w:highlight w:val="none"/>
          <w:lang w:eastAsia="zh-CN"/>
          <w14:textFill>
            <w14:solidFill>
              <w14:schemeClr w14:val="tx1"/>
            </w14:solidFill>
          </w14:textFill>
        </w:rPr>
        <w:t>“</w:t>
      </w:r>
      <w:r>
        <w:rPr>
          <w:rFonts w:ascii="Times New Roman" w:eastAsia="宋体"/>
          <w:color w:val="000000" w:themeColor="text1"/>
          <w:sz w:val="21"/>
          <w:szCs w:val="21"/>
          <w:highlight w:val="none"/>
          <w14:textFill>
            <w14:solidFill>
              <w14:schemeClr w14:val="tx1"/>
            </w14:solidFill>
          </w14:textFill>
        </w:rPr>
        <w:t>负偏离</w:t>
      </w:r>
      <w:r>
        <w:rPr>
          <w:rFonts w:hint="eastAsia" w:ascii="Times New Roman" w:eastAsia="宋体"/>
          <w:color w:val="000000" w:themeColor="text1"/>
          <w:sz w:val="21"/>
          <w:szCs w:val="21"/>
          <w:highlight w:val="none"/>
          <w:lang w:eastAsia="zh-CN"/>
          <w14:textFill>
            <w14:solidFill>
              <w14:schemeClr w14:val="tx1"/>
            </w14:solidFill>
          </w14:textFill>
        </w:rPr>
        <w:t>”</w:t>
      </w:r>
      <w:r>
        <w:rPr>
          <w:rFonts w:ascii="Times New Roman" w:eastAsia="宋体"/>
          <w:color w:val="000000" w:themeColor="text1"/>
          <w:sz w:val="21"/>
          <w:szCs w:val="21"/>
          <w:highlight w:val="none"/>
          <w14:textFill>
            <w14:solidFill>
              <w14:schemeClr w14:val="tx1"/>
            </w14:solidFill>
          </w14:textFill>
        </w:rPr>
        <w:t>，否则视为虚假应标</w:t>
      </w:r>
      <w:r>
        <w:rPr>
          <w:rFonts w:ascii="Times New Roman" w:eastAsia="宋体"/>
          <w:color w:val="000000" w:themeColor="text1"/>
          <w:sz w:val="21"/>
          <w:szCs w:val="21"/>
          <w:highlight w:val="none"/>
          <w:lang w:eastAsia="zh-CN"/>
          <w14:textFill>
            <w14:solidFill>
              <w14:schemeClr w14:val="tx1"/>
            </w14:solidFill>
          </w14:textFill>
        </w:rPr>
        <w:t>。</w:t>
      </w:r>
    </w:p>
    <w:p w14:paraId="5C611B0C">
      <w:pPr>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b/>
          <w:bCs/>
          <w:color w:val="000000" w:themeColor="text1"/>
          <w:kern w:val="0"/>
          <w:szCs w:val="21"/>
          <w:highlight w:val="none"/>
          <w14:textFill>
            <w14:solidFill>
              <w14:schemeClr w14:val="tx1"/>
            </w14:solidFill>
          </w14:textFill>
        </w:rPr>
      </w:pPr>
      <w:r>
        <w:rPr>
          <w:color w:val="000000" w:themeColor="text1"/>
          <w:kern w:val="0"/>
          <w:szCs w:val="21"/>
          <w:highlight w:val="none"/>
          <w14:textFill>
            <w14:solidFill>
              <w14:schemeClr w14:val="tx1"/>
            </w14:solidFill>
          </w14:textFill>
        </w:rPr>
        <w:t>3.表格内容均需按要求填写并盖章，不得留空，</w:t>
      </w:r>
      <w:r>
        <w:rPr>
          <w:b/>
          <w:bCs/>
          <w:color w:val="000000" w:themeColor="text1"/>
          <w:kern w:val="0"/>
          <w:szCs w:val="21"/>
          <w:highlight w:val="none"/>
          <w14:textFill>
            <w14:solidFill>
              <w14:schemeClr w14:val="tx1"/>
            </w14:solidFill>
          </w14:textFill>
        </w:rPr>
        <w:t>否则按竞标无效处理。</w:t>
      </w:r>
    </w:p>
    <w:p w14:paraId="5A0AE70B">
      <w:pPr>
        <w:keepNext w:val="0"/>
        <w:keepLines w:val="0"/>
        <w:pageBreakBefore w:val="0"/>
        <w:widowControl w:val="0"/>
        <w:kinsoku/>
        <w:wordWrap/>
        <w:overflowPunct/>
        <w:topLinePunct w:val="0"/>
        <w:autoSpaceDE/>
        <w:autoSpaceDN/>
        <w:bidi w:val="0"/>
        <w:adjustRightInd/>
        <w:spacing w:line="360" w:lineRule="auto"/>
        <w:ind w:firstLine="422" w:firstLineChars="200"/>
        <w:textAlignment w:val="auto"/>
        <w:rPr>
          <w:rFonts w:hint="eastAsia" w:eastAsia="宋体"/>
          <w:b/>
          <w:bCs/>
          <w:color w:val="000000" w:themeColor="text1"/>
          <w:kern w:val="0"/>
          <w:szCs w:val="21"/>
          <w:highlight w:val="none"/>
          <w:lang w:val="en-US" w:eastAsia="zh-CN"/>
          <w14:textFill>
            <w14:solidFill>
              <w14:schemeClr w14:val="tx1"/>
            </w14:solidFill>
          </w14:textFill>
        </w:rPr>
      </w:pPr>
      <w:r>
        <w:rPr>
          <w:rFonts w:hint="eastAsia" w:eastAsia="宋体"/>
          <w:b/>
          <w:bCs/>
          <w:color w:val="000000" w:themeColor="text1"/>
          <w:kern w:val="0"/>
          <w:szCs w:val="21"/>
          <w:highlight w:val="none"/>
          <w:lang w:val="en-US" w:eastAsia="zh-CN"/>
          <w14:textFill>
            <w14:solidFill>
              <w14:schemeClr w14:val="tx1"/>
            </w14:solidFill>
          </w14:textFill>
        </w:rPr>
        <w:t>4.按</w:t>
      </w:r>
      <w:r>
        <w:rPr>
          <w:rFonts w:hint="eastAsia" w:eastAsia="宋体"/>
          <w:b/>
          <w:bCs/>
          <w:color w:val="000000" w:themeColor="text1"/>
          <w:kern w:val="0"/>
          <w:szCs w:val="21"/>
          <w:highlight w:val="none"/>
          <w:lang w:eastAsia="zh-CN"/>
          <w14:textFill>
            <w14:solidFill>
              <w14:schemeClr w14:val="tx1"/>
            </w14:solidFill>
          </w14:textFill>
        </w:rPr>
        <w:t>磋商文件“第二章”中“需求一览表”的技术要求提供相关证明材料，否则按竞标无效处理。</w:t>
      </w:r>
    </w:p>
    <w:p w14:paraId="23226D88">
      <w:pPr>
        <w:keepNext w:val="0"/>
        <w:keepLines w:val="0"/>
        <w:pageBreakBefore w:val="0"/>
        <w:widowControl w:val="0"/>
        <w:kinsoku/>
        <w:wordWrap/>
        <w:overflowPunct/>
        <w:topLinePunct w:val="0"/>
        <w:autoSpaceDE/>
        <w:autoSpaceDN/>
        <w:bidi w:val="0"/>
        <w:adjustRightInd/>
        <w:spacing w:line="360" w:lineRule="auto"/>
        <w:ind w:firstLine="4410" w:firstLineChars="2100"/>
        <w:textAlignment w:val="auto"/>
        <w:rPr>
          <w:color w:val="000000" w:themeColor="text1"/>
          <w:szCs w:val="21"/>
          <w:highlight w:val="none"/>
          <w:u w:val="single"/>
          <w14:textFill>
            <w14:solidFill>
              <w14:schemeClr w14:val="tx1"/>
            </w14:solidFill>
          </w14:textFill>
        </w:rPr>
      </w:pPr>
      <w:r>
        <w:rPr>
          <w:color w:val="000000" w:themeColor="text1"/>
          <w:szCs w:val="21"/>
          <w:highlight w:val="none"/>
          <w14:textFill>
            <w14:solidFill>
              <w14:schemeClr w14:val="tx1"/>
            </w14:solidFill>
          </w14:textFill>
        </w:rPr>
        <w:t>供应商</w:t>
      </w:r>
      <w:r>
        <w:rPr>
          <w:color w:val="000000" w:themeColor="text1"/>
          <w:kern w:val="0"/>
          <w:szCs w:val="21"/>
          <w:highlight w:val="none"/>
          <w14:textFill>
            <w14:solidFill>
              <w14:schemeClr w14:val="tx1"/>
            </w14:solidFill>
          </w14:textFill>
        </w:rPr>
        <w:t>名称</w:t>
      </w:r>
      <w:r>
        <w:rPr>
          <w:color w:val="000000" w:themeColor="text1"/>
          <w:szCs w:val="21"/>
          <w:highlight w:val="none"/>
          <w14:textFill>
            <w14:solidFill>
              <w14:schemeClr w14:val="tx1"/>
            </w14:solidFill>
          </w14:textFill>
        </w:rPr>
        <w:t>（盖公章）：</w:t>
      </w:r>
      <w:r>
        <w:rPr>
          <w:color w:val="000000" w:themeColor="text1"/>
          <w:szCs w:val="21"/>
          <w:highlight w:val="none"/>
          <w:u w:val="single"/>
          <w14:textFill>
            <w14:solidFill>
              <w14:schemeClr w14:val="tx1"/>
            </w14:solidFill>
          </w14:textFill>
        </w:rPr>
        <w:t xml:space="preserve">                   </w:t>
      </w:r>
    </w:p>
    <w:p w14:paraId="1DE17BDC">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ascii="仿宋" w:hAnsi="仿宋" w:eastAsia="仿宋" w:cs="仿宋_GB2312"/>
          <w:b/>
          <w:color w:val="000000" w:themeColor="text1"/>
          <w:sz w:val="30"/>
          <w:szCs w:val="30"/>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 xml:space="preserve">                                      </w:t>
      </w:r>
      <w:r>
        <w:rPr>
          <w:color w:val="000000" w:themeColor="text1"/>
          <w:szCs w:val="21"/>
          <w:highlight w:val="none"/>
          <w14:textFill>
            <w14:solidFill>
              <w14:schemeClr w14:val="tx1"/>
            </w14:solidFill>
          </w14:textFill>
        </w:rPr>
        <w:t>日期：</w:t>
      </w:r>
      <w:r>
        <w:rPr>
          <w:color w:val="000000" w:themeColor="text1"/>
          <w:szCs w:val="21"/>
          <w:highlight w:val="none"/>
          <w:u w:val="single"/>
          <w14:textFill>
            <w14:solidFill>
              <w14:schemeClr w14:val="tx1"/>
            </w14:solidFill>
          </w14:textFill>
        </w:rPr>
        <w:t xml:space="preserve">         </w:t>
      </w:r>
      <w:r>
        <w:rPr>
          <w:color w:val="000000" w:themeColor="text1"/>
          <w:szCs w:val="21"/>
          <w:highlight w:val="none"/>
          <w14:textFill>
            <w14:solidFill>
              <w14:schemeClr w14:val="tx1"/>
            </w14:solidFill>
          </w14:textFill>
        </w:rPr>
        <w:t>年</w:t>
      </w:r>
      <w:r>
        <w:rPr>
          <w:color w:val="000000" w:themeColor="text1"/>
          <w:szCs w:val="21"/>
          <w:highlight w:val="none"/>
          <w:u w:val="single"/>
          <w14:textFill>
            <w14:solidFill>
              <w14:schemeClr w14:val="tx1"/>
            </w14:solidFill>
          </w14:textFill>
        </w:rPr>
        <w:t xml:space="preserve">        </w:t>
      </w:r>
      <w:r>
        <w:rPr>
          <w:color w:val="000000" w:themeColor="text1"/>
          <w:szCs w:val="21"/>
          <w:highlight w:val="none"/>
          <w14:textFill>
            <w14:solidFill>
              <w14:schemeClr w14:val="tx1"/>
            </w14:solidFill>
          </w14:textFill>
        </w:rPr>
        <w:t>月</w:t>
      </w:r>
      <w:r>
        <w:rPr>
          <w:color w:val="000000" w:themeColor="text1"/>
          <w:szCs w:val="21"/>
          <w:highlight w:val="none"/>
          <w:u w:val="single"/>
          <w14:textFill>
            <w14:solidFill>
              <w14:schemeClr w14:val="tx1"/>
            </w14:solidFill>
          </w14:textFill>
        </w:rPr>
        <w:t xml:space="preserve">        </w:t>
      </w:r>
      <w:r>
        <w:rPr>
          <w:color w:val="000000" w:themeColor="text1"/>
          <w:szCs w:val="21"/>
          <w:highlight w:val="none"/>
          <w14:textFill>
            <w14:solidFill>
              <w14:schemeClr w14:val="tx1"/>
            </w14:solidFill>
          </w14:textFill>
        </w:rPr>
        <w:t>日</w:t>
      </w:r>
    </w:p>
    <w:p w14:paraId="68E69AE6">
      <w:pPr>
        <w:adjustRightInd w:val="0"/>
        <w:snapToGrid w:val="0"/>
        <w:spacing w:line="520" w:lineRule="exact"/>
        <w:jc w:val="center"/>
        <w:rPr>
          <w:rFonts w:hint="eastAsia" w:ascii="方正小标宋简体" w:hAnsi="方正小标宋简体" w:eastAsia="方正小标宋简体" w:cs="方正小标宋简体"/>
          <w:bCs/>
          <w:color w:val="000000" w:themeColor="text1"/>
          <w:sz w:val="44"/>
          <w:szCs w:val="44"/>
          <w:highlight w:val="none"/>
          <w14:textFill>
            <w14:solidFill>
              <w14:schemeClr w14:val="tx1"/>
            </w14:solidFill>
          </w14:textFill>
        </w:rPr>
      </w:pPr>
    </w:p>
    <w:p w14:paraId="453EED1B">
      <w:pPr>
        <w:snapToGrid w:val="0"/>
        <w:spacing w:line="360" w:lineRule="auto"/>
        <w:rPr>
          <w:rFonts w:hint="eastAsia"/>
          <w:b/>
          <w:color w:val="000000" w:themeColor="text1"/>
          <w:sz w:val="28"/>
          <w:szCs w:val="28"/>
          <w:highlight w:val="none"/>
          <w14:textFill>
            <w14:solidFill>
              <w14:schemeClr w14:val="tx1"/>
            </w14:solidFill>
          </w14:textFill>
        </w:rPr>
      </w:pPr>
    </w:p>
    <w:p w14:paraId="04D449E0">
      <w:pPr>
        <w:snapToGrid w:val="0"/>
        <w:spacing w:line="360" w:lineRule="auto"/>
        <w:rPr>
          <w:rFonts w:hint="eastAsia"/>
          <w:b/>
          <w:color w:val="000000" w:themeColor="text1"/>
          <w:sz w:val="28"/>
          <w:szCs w:val="28"/>
          <w:highlight w:val="none"/>
          <w14:textFill>
            <w14:solidFill>
              <w14:schemeClr w14:val="tx1"/>
            </w14:solidFill>
          </w14:textFill>
        </w:rPr>
      </w:pPr>
    </w:p>
    <w:p w14:paraId="6E14C883">
      <w:pPr>
        <w:snapToGrid w:val="0"/>
        <w:spacing w:line="360" w:lineRule="auto"/>
        <w:rPr>
          <w:rFonts w:hint="eastAsia"/>
          <w:b/>
          <w:color w:val="000000" w:themeColor="text1"/>
          <w:sz w:val="28"/>
          <w:szCs w:val="28"/>
          <w:highlight w:val="none"/>
          <w14:textFill>
            <w14:solidFill>
              <w14:schemeClr w14:val="tx1"/>
            </w14:solidFill>
          </w14:textFill>
        </w:rPr>
      </w:pPr>
    </w:p>
    <w:p w14:paraId="0ED0F406">
      <w:pPr>
        <w:snapToGrid w:val="0"/>
        <w:spacing w:line="360" w:lineRule="auto"/>
        <w:rPr>
          <w:rFonts w:hint="eastAsia"/>
          <w:b/>
          <w:color w:val="000000" w:themeColor="text1"/>
          <w:sz w:val="28"/>
          <w:szCs w:val="28"/>
          <w:highlight w:val="none"/>
          <w14:textFill>
            <w14:solidFill>
              <w14:schemeClr w14:val="tx1"/>
            </w14:solidFill>
          </w14:textFill>
        </w:rPr>
      </w:pPr>
    </w:p>
    <w:p w14:paraId="18D0F2CA">
      <w:pPr>
        <w:snapToGrid w:val="0"/>
        <w:spacing w:before="120" w:beforeLines="50" w:after="50" w:line="360" w:lineRule="auto"/>
        <w:jc w:val="left"/>
        <w:outlineLvl w:val="2"/>
        <w:rPr>
          <w:b/>
          <w:color w:val="000000" w:themeColor="text1"/>
          <w:sz w:val="28"/>
          <w:szCs w:val="28"/>
          <w:highlight w:val="none"/>
          <w14:textFill>
            <w14:solidFill>
              <w14:schemeClr w14:val="tx1"/>
            </w14:solidFill>
          </w14:textFill>
        </w:rPr>
      </w:pPr>
      <w:bookmarkStart w:id="221" w:name="_Toc19575"/>
      <w:r>
        <w:rPr>
          <w:rFonts w:hint="eastAsia"/>
          <w:b/>
          <w:color w:val="000000" w:themeColor="text1"/>
          <w:sz w:val="28"/>
          <w:szCs w:val="28"/>
          <w:highlight w:val="none"/>
          <w14:textFill>
            <w14:solidFill>
              <w14:schemeClr w14:val="tx1"/>
            </w14:solidFill>
          </w14:textFill>
        </w:rPr>
        <w:t>10</w:t>
      </w:r>
      <w:r>
        <w:rPr>
          <w:b/>
          <w:color w:val="000000" w:themeColor="text1"/>
          <w:sz w:val="28"/>
          <w:szCs w:val="28"/>
          <w:highlight w:val="none"/>
          <w14:textFill>
            <w14:solidFill>
              <w14:schemeClr w14:val="tx1"/>
            </w14:solidFill>
          </w14:textFill>
        </w:rPr>
        <w:t>.施工</w:t>
      </w:r>
      <w:r>
        <w:rPr>
          <w:rFonts w:ascii="Times New Roman" w:hAnsi="Times New Roman" w:eastAsia="宋体" w:cs="Times New Roman"/>
          <w:b/>
          <w:bCs/>
          <w:color w:val="000000" w:themeColor="text1"/>
          <w:sz w:val="28"/>
          <w:szCs w:val="28"/>
          <w:highlight w:val="none"/>
          <w14:textFill>
            <w14:solidFill>
              <w14:schemeClr w14:val="tx1"/>
            </w14:solidFill>
          </w14:textFill>
        </w:rPr>
        <w:t>组织</w:t>
      </w:r>
      <w:r>
        <w:rPr>
          <w:b/>
          <w:color w:val="000000" w:themeColor="text1"/>
          <w:sz w:val="28"/>
          <w:szCs w:val="28"/>
          <w:highlight w:val="none"/>
          <w14:textFill>
            <w14:solidFill>
              <w14:schemeClr w14:val="tx1"/>
            </w14:solidFill>
          </w14:textFill>
        </w:rPr>
        <w:t>设计（格式自拟）</w:t>
      </w:r>
      <w:bookmarkEnd w:id="221"/>
    </w:p>
    <w:p w14:paraId="5E0ED15A">
      <w:pPr>
        <w:keepNext w:val="0"/>
        <w:keepLines w:val="0"/>
        <w:pageBreakBefore w:val="0"/>
        <w:widowControl w:val="0"/>
        <w:kinsoku/>
        <w:wordWrap/>
        <w:overflowPunct/>
        <w:topLinePunct w:val="0"/>
        <w:autoSpaceDE/>
        <w:autoSpaceDN/>
        <w:bidi w:val="0"/>
        <w:adjustRightInd/>
        <w:spacing w:line="360" w:lineRule="auto"/>
        <w:jc w:val="center"/>
        <w:textAlignment w:val="auto"/>
        <w:rPr>
          <w:color w:val="000000" w:themeColor="text1"/>
          <w:szCs w:val="21"/>
          <w:highlight w:val="none"/>
          <w14:textFill>
            <w14:solidFill>
              <w14:schemeClr w14:val="tx1"/>
            </w14:solidFill>
          </w14:textFill>
        </w:rPr>
      </w:pPr>
      <w:r>
        <w:rPr>
          <w:b/>
          <w:color w:val="000000" w:themeColor="text1"/>
          <w:sz w:val="28"/>
          <w:szCs w:val="28"/>
          <w:highlight w:val="none"/>
          <w14:textFill>
            <w14:solidFill>
              <w14:schemeClr w14:val="tx1"/>
            </w14:solidFill>
          </w14:textFill>
        </w:rPr>
        <w:t>施工</w:t>
      </w:r>
      <w:r>
        <w:rPr>
          <w:rFonts w:ascii="Times New Roman" w:hAnsi="Times New Roman" w:eastAsia="宋体" w:cs="Times New Roman"/>
          <w:b/>
          <w:bCs/>
          <w:color w:val="000000" w:themeColor="text1"/>
          <w:sz w:val="28"/>
          <w:szCs w:val="28"/>
          <w:highlight w:val="none"/>
          <w14:textFill>
            <w14:solidFill>
              <w14:schemeClr w14:val="tx1"/>
            </w14:solidFill>
          </w14:textFill>
        </w:rPr>
        <w:t>组织</w:t>
      </w:r>
      <w:r>
        <w:rPr>
          <w:b/>
          <w:color w:val="000000" w:themeColor="text1"/>
          <w:sz w:val="28"/>
          <w:szCs w:val="28"/>
          <w:highlight w:val="none"/>
          <w14:textFill>
            <w14:solidFill>
              <w14:schemeClr w14:val="tx1"/>
            </w14:solidFill>
          </w14:textFill>
        </w:rPr>
        <w:t>设计</w:t>
      </w:r>
    </w:p>
    <w:p w14:paraId="539F22A4">
      <w:pPr>
        <w:keepNext w:val="0"/>
        <w:keepLines w:val="0"/>
        <w:pageBreakBefore w:val="0"/>
        <w:widowControl w:val="0"/>
        <w:kinsoku/>
        <w:wordWrap/>
        <w:overflowPunct/>
        <w:topLinePunct w:val="0"/>
        <w:autoSpaceDE/>
        <w:autoSpaceDN/>
        <w:bidi w:val="0"/>
        <w:adjustRightInd/>
        <w:spacing w:line="360" w:lineRule="auto"/>
        <w:ind w:firstLine="4410" w:firstLineChars="2100"/>
        <w:textAlignment w:val="auto"/>
        <w:rPr>
          <w:color w:val="000000" w:themeColor="text1"/>
          <w:szCs w:val="21"/>
          <w:highlight w:val="none"/>
          <w14:textFill>
            <w14:solidFill>
              <w14:schemeClr w14:val="tx1"/>
            </w14:solidFill>
          </w14:textFill>
        </w:rPr>
      </w:pPr>
    </w:p>
    <w:p w14:paraId="6F000B03">
      <w:pPr>
        <w:keepNext w:val="0"/>
        <w:keepLines w:val="0"/>
        <w:pageBreakBefore w:val="0"/>
        <w:widowControl w:val="0"/>
        <w:kinsoku/>
        <w:wordWrap/>
        <w:overflowPunct/>
        <w:topLinePunct w:val="0"/>
        <w:autoSpaceDE/>
        <w:autoSpaceDN/>
        <w:bidi w:val="0"/>
        <w:adjustRightInd/>
        <w:spacing w:line="360" w:lineRule="auto"/>
        <w:ind w:firstLine="4410" w:firstLineChars="2100"/>
        <w:textAlignment w:val="auto"/>
        <w:rPr>
          <w:color w:val="000000" w:themeColor="text1"/>
          <w:szCs w:val="21"/>
          <w:highlight w:val="none"/>
          <w14:textFill>
            <w14:solidFill>
              <w14:schemeClr w14:val="tx1"/>
            </w14:solidFill>
          </w14:textFill>
        </w:rPr>
      </w:pPr>
    </w:p>
    <w:p w14:paraId="1EBDF7A8">
      <w:pPr>
        <w:keepNext w:val="0"/>
        <w:keepLines w:val="0"/>
        <w:pageBreakBefore w:val="0"/>
        <w:widowControl w:val="0"/>
        <w:kinsoku/>
        <w:wordWrap/>
        <w:overflowPunct/>
        <w:topLinePunct w:val="0"/>
        <w:autoSpaceDE/>
        <w:autoSpaceDN/>
        <w:bidi w:val="0"/>
        <w:adjustRightInd/>
        <w:spacing w:line="360" w:lineRule="auto"/>
        <w:ind w:firstLine="4410" w:firstLineChars="2100"/>
        <w:textAlignment w:val="auto"/>
        <w:rPr>
          <w:color w:val="000000" w:themeColor="text1"/>
          <w:szCs w:val="21"/>
          <w:highlight w:val="none"/>
          <w14:textFill>
            <w14:solidFill>
              <w14:schemeClr w14:val="tx1"/>
            </w14:solidFill>
          </w14:textFill>
        </w:rPr>
      </w:pPr>
    </w:p>
    <w:p w14:paraId="380968E8">
      <w:pPr>
        <w:keepNext w:val="0"/>
        <w:keepLines w:val="0"/>
        <w:pageBreakBefore w:val="0"/>
        <w:widowControl w:val="0"/>
        <w:kinsoku/>
        <w:wordWrap/>
        <w:overflowPunct/>
        <w:topLinePunct w:val="0"/>
        <w:autoSpaceDE/>
        <w:autoSpaceDN/>
        <w:bidi w:val="0"/>
        <w:adjustRightInd/>
        <w:spacing w:line="360" w:lineRule="auto"/>
        <w:ind w:firstLine="4410" w:firstLineChars="2100"/>
        <w:textAlignment w:val="auto"/>
        <w:rPr>
          <w:color w:val="000000" w:themeColor="text1"/>
          <w:szCs w:val="21"/>
          <w:highlight w:val="none"/>
          <w14:textFill>
            <w14:solidFill>
              <w14:schemeClr w14:val="tx1"/>
            </w14:solidFill>
          </w14:textFill>
        </w:rPr>
      </w:pPr>
    </w:p>
    <w:p w14:paraId="4C11AC07">
      <w:pPr>
        <w:keepNext w:val="0"/>
        <w:keepLines w:val="0"/>
        <w:pageBreakBefore w:val="0"/>
        <w:widowControl w:val="0"/>
        <w:kinsoku/>
        <w:wordWrap/>
        <w:overflowPunct/>
        <w:topLinePunct w:val="0"/>
        <w:autoSpaceDE/>
        <w:autoSpaceDN/>
        <w:bidi w:val="0"/>
        <w:adjustRightInd/>
        <w:spacing w:line="360" w:lineRule="auto"/>
        <w:ind w:firstLine="4410" w:firstLineChars="2100"/>
        <w:textAlignment w:val="auto"/>
        <w:rPr>
          <w:color w:val="000000" w:themeColor="text1"/>
          <w:szCs w:val="21"/>
          <w:highlight w:val="none"/>
          <w14:textFill>
            <w14:solidFill>
              <w14:schemeClr w14:val="tx1"/>
            </w14:solidFill>
          </w14:textFill>
        </w:rPr>
      </w:pPr>
    </w:p>
    <w:p w14:paraId="0A6BC3C9">
      <w:pPr>
        <w:keepNext w:val="0"/>
        <w:keepLines w:val="0"/>
        <w:pageBreakBefore w:val="0"/>
        <w:widowControl w:val="0"/>
        <w:kinsoku/>
        <w:wordWrap/>
        <w:overflowPunct/>
        <w:topLinePunct w:val="0"/>
        <w:autoSpaceDE/>
        <w:autoSpaceDN/>
        <w:bidi w:val="0"/>
        <w:adjustRightInd/>
        <w:spacing w:line="360" w:lineRule="auto"/>
        <w:ind w:firstLine="4410" w:firstLineChars="2100"/>
        <w:textAlignment w:val="auto"/>
        <w:rPr>
          <w:color w:val="000000" w:themeColor="text1"/>
          <w:szCs w:val="21"/>
          <w:highlight w:val="none"/>
          <w14:textFill>
            <w14:solidFill>
              <w14:schemeClr w14:val="tx1"/>
            </w14:solidFill>
          </w14:textFill>
        </w:rPr>
      </w:pPr>
    </w:p>
    <w:p w14:paraId="1C70D233">
      <w:pPr>
        <w:keepNext w:val="0"/>
        <w:keepLines w:val="0"/>
        <w:pageBreakBefore w:val="0"/>
        <w:widowControl w:val="0"/>
        <w:kinsoku/>
        <w:wordWrap/>
        <w:overflowPunct/>
        <w:topLinePunct w:val="0"/>
        <w:autoSpaceDE/>
        <w:autoSpaceDN/>
        <w:bidi w:val="0"/>
        <w:adjustRightInd/>
        <w:spacing w:line="360" w:lineRule="auto"/>
        <w:ind w:firstLine="4410" w:firstLineChars="2100"/>
        <w:textAlignment w:val="auto"/>
        <w:rPr>
          <w:color w:val="000000" w:themeColor="text1"/>
          <w:szCs w:val="21"/>
          <w:highlight w:val="none"/>
          <w14:textFill>
            <w14:solidFill>
              <w14:schemeClr w14:val="tx1"/>
            </w14:solidFill>
          </w14:textFill>
        </w:rPr>
      </w:pPr>
    </w:p>
    <w:p w14:paraId="6E53984F">
      <w:pPr>
        <w:keepNext w:val="0"/>
        <w:keepLines w:val="0"/>
        <w:pageBreakBefore w:val="0"/>
        <w:widowControl w:val="0"/>
        <w:kinsoku/>
        <w:wordWrap/>
        <w:overflowPunct/>
        <w:topLinePunct w:val="0"/>
        <w:autoSpaceDE/>
        <w:autoSpaceDN/>
        <w:bidi w:val="0"/>
        <w:adjustRightInd/>
        <w:spacing w:line="360" w:lineRule="auto"/>
        <w:ind w:firstLine="4410" w:firstLineChars="2100"/>
        <w:textAlignment w:val="auto"/>
        <w:rPr>
          <w:color w:val="000000" w:themeColor="text1"/>
          <w:szCs w:val="21"/>
          <w:highlight w:val="none"/>
          <w14:textFill>
            <w14:solidFill>
              <w14:schemeClr w14:val="tx1"/>
            </w14:solidFill>
          </w14:textFill>
        </w:rPr>
      </w:pPr>
    </w:p>
    <w:p w14:paraId="57CD95E0">
      <w:pPr>
        <w:keepNext w:val="0"/>
        <w:keepLines w:val="0"/>
        <w:pageBreakBefore w:val="0"/>
        <w:widowControl w:val="0"/>
        <w:kinsoku/>
        <w:wordWrap/>
        <w:overflowPunct/>
        <w:topLinePunct w:val="0"/>
        <w:autoSpaceDE/>
        <w:autoSpaceDN/>
        <w:bidi w:val="0"/>
        <w:adjustRightInd/>
        <w:spacing w:line="360" w:lineRule="auto"/>
        <w:ind w:firstLine="4410" w:firstLineChars="2100"/>
        <w:textAlignment w:val="auto"/>
        <w:rPr>
          <w:color w:val="000000" w:themeColor="text1"/>
          <w:szCs w:val="21"/>
          <w:highlight w:val="none"/>
          <w:u w:val="single"/>
          <w14:textFill>
            <w14:solidFill>
              <w14:schemeClr w14:val="tx1"/>
            </w14:solidFill>
          </w14:textFill>
        </w:rPr>
      </w:pPr>
      <w:r>
        <w:rPr>
          <w:color w:val="000000" w:themeColor="text1"/>
          <w:szCs w:val="21"/>
          <w:highlight w:val="none"/>
          <w14:textFill>
            <w14:solidFill>
              <w14:schemeClr w14:val="tx1"/>
            </w14:solidFill>
          </w14:textFill>
        </w:rPr>
        <w:t>供应商</w:t>
      </w:r>
      <w:r>
        <w:rPr>
          <w:color w:val="000000" w:themeColor="text1"/>
          <w:kern w:val="0"/>
          <w:szCs w:val="21"/>
          <w:highlight w:val="none"/>
          <w14:textFill>
            <w14:solidFill>
              <w14:schemeClr w14:val="tx1"/>
            </w14:solidFill>
          </w14:textFill>
        </w:rPr>
        <w:t>名称</w:t>
      </w:r>
      <w:r>
        <w:rPr>
          <w:color w:val="000000" w:themeColor="text1"/>
          <w:szCs w:val="21"/>
          <w:highlight w:val="none"/>
          <w14:textFill>
            <w14:solidFill>
              <w14:schemeClr w14:val="tx1"/>
            </w14:solidFill>
          </w14:textFill>
        </w:rPr>
        <w:t>（盖公章）：</w:t>
      </w:r>
      <w:r>
        <w:rPr>
          <w:color w:val="000000" w:themeColor="text1"/>
          <w:szCs w:val="21"/>
          <w:highlight w:val="none"/>
          <w:u w:val="single"/>
          <w14:textFill>
            <w14:solidFill>
              <w14:schemeClr w14:val="tx1"/>
            </w14:solidFill>
          </w14:textFill>
        </w:rPr>
        <w:t xml:space="preserve">                   </w:t>
      </w:r>
    </w:p>
    <w:p w14:paraId="67D879C1">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ascii="仿宋" w:hAnsi="仿宋" w:eastAsia="仿宋" w:cs="仿宋_GB2312"/>
          <w:b/>
          <w:color w:val="000000" w:themeColor="text1"/>
          <w:sz w:val="30"/>
          <w:szCs w:val="30"/>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 xml:space="preserve">                                      </w:t>
      </w:r>
      <w:r>
        <w:rPr>
          <w:color w:val="000000" w:themeColor="text1"/>
          <w:szCs w:val="21"/>
          <w:highlight w:val="none"/>
          <w14:textFill>
            <w14:solidFill>
              <w14:schemeClr w14:val="tx1"/>
            </w14:solidFill>
          </w14:textFill>
        </w:rPr>
        <w:t>日期：</w:t>
      </w:r>
      <w:r>
        <w:rPr>
          <w:color w:val="000000" w:themeColor="text1"/>
          <w:szCs w:val="21"/>
          <w:highlight w:val="none"/>
          <w:u w:val="single"/>
          <w14:textFill>
            <w14:solidFill>
              <w14:schemeClr w14:val="tx1"/>
            </w14:solidFill>
          </w14:textFill>
        </w:rPr>
        <w:t xml:space="preserve">         </w:t>
      </w:r>
      <w:r>
        <w:rPr>
          <w:color w:val="000000" w:themeColor="text1"/>
          <w:szCs w:val="21"/>
          <w:highlight w:val="none"/>
          <w14:textFill>
            <w14:solidFill>
              <w14:schemeClr w14:val="tx1"/>
            </w14:solidFill>
          </w14:textFill>
        </w:rPr>
        <w:t>年</w:t>
      </w:r>
      <w:r>
        <w:rPr>
          <w:color w:val="000000" w:themeColor="text1"/>
          <w:szCs w:val="21"/>
          <w:highlight w:val="none"/>
          <w:u w:val="single"/>
          <w14:textFill>
            <w14:solidFill>
              <w14:schemeClr w14:val="tx1"/>
            </w14:solidFill>
          </w14:textFill>
        </w:rPr>
        <w:t xml:space="preserve">        </w:t>
      </w:r>
      <w:r>
        <w:rPr>
          <w:color w:val="000000" w:themeColor="text1"/>
          <w:szCs w:val="21"/>
          <w:highlight w:val="none"/>
          <w14:textFill>
            <w14:solidFill>
              <w14:schemeClr w14:val="tx1"/>
            </w14:solidFill>
          </w14:textFill>
        </w:rPr>
        <w:t>月</w:t>
      </w:r>
      <w:r>
        <w:rPr>
          <w:color w:val="000000" w:themeColor="text1"/>
          <w:szCs w:val="21"/>
          <w:highlight w:val="none"/>
          <w:u w:val="single"/>
          <w14:textFill>
            <w14:solidFill>
              <w14:schemeClr w14:val="tx1"/>
            </w14:solidFill>
          </w14:textFill>
        </w:rPr>
        <w:t xml:space="preserve">        </w:t>
      </w:r>
      <w:r>
        <w:rPr>
          <w:color w:val="000000" w:themeColor="text1"/>
          <w:szCs w:val="21"/>
          <w:highlight w:val="none"/>
          <w14:textFill>
            <w14:solidFill>
              <w14:schemeClr w14:val="tx1"/>
            </w14:solidFill>
          </w14:textFill>
        </w:rPr>
        <w:t>日</w:t>
      </w:r>
    </w:p>
    <w:p w14:paraId="080E3988">
      <w:pPr>
        <w:keepLines w:val="0"/>
        <w:pageBreakBefore w:val="0"/>
        <w:widowControl w:val="0"/>
        <w:kinsoku/>
        <w:wordWrap/>
        <w:overflowPunct/>
        <w:topLinePunct w:val="0"/>
        <w:bidi w:val="0"/>
        <w:adjustRightInd/>
        <w:snapToGrid w:val="0"/>
        <w:spacing w:line="360" w:lineRule="auto"/>
        <w:textAlignment w:val="auto"/>
        <w:rPr>
          <w:rFonts w:hint="eastAsia" w:ascii="宋体" w:hAnsi="宋体" w:cs="宋体"/>
          <w:b/>
          <w:color w:val="000000" w:themeColor="text1"/>
          <w:sz w:val="30"/>
          <w:szCs w:val="30"/>
          <w:highlight w:val="none"/>
          <w14:textFill>
            <w14:solidFill>
              <w14:schemeClr w14:val="tx1"/>
            </w14:solidFill>
          </w14:textFill>
        </w:rPr>
      </w:pPr>
    </w:p>
    <w:p w14:paraId="7DA055C3">
      <w:pPr>
        <w:pStyle w:val="11"/>
        <w:keepLines w:val="0"/>
        <w:pageBreakBefore w:val="0"/>
        <w:widowControl w:val="0"/>
        <w:kinsoku/>
        <w:wordWrap/>
        <w:overflowPunct/>
        <w:topLinePunct w:val="0"/>
        <w:bidi w:val="0"/>
        <w:adjustRightInd/>
        <w:spacing w:line="360" w:lineRule="auto"/>
        <w:ind w:left="0" w:leftChars="0" w:firstLine="0" w:firstLineChars="0"/>
        <w:textAlignment w:val="auto"/>
        <w:rPr>
          <w:rFonts w:hint="eastAsia" w:ascii="宋体" w:hAnsi="宋体" w:cs="宋体"/>
          <w:b/>
          <w:color w:val="000000" w:themeColor="text1"/>
          <w:sz w:val="30"/>
          <w:szCs w:val="30"/>
          <w:highlight w:val="none"/>
          <w14:textFill>
            <w14:solidFill>
              <w14:schemeClr w14:val="tx1"/>
            </w14:solidFill>
          </w14:textFill>
        </w:rPr>
      </w:pPr>
    </w:p>
    <w:p w14:paraId="4974C608">
      <w:pPr>
        <w:rPr>
          <w:b/>
          <w:color w:val="000000" w:themeColor="text1"/>
          <w:sz w:val="28"/>
          <w:szCs w:val="28"/>
          <w:highlight w:val="none"/>
          <w14:textFill>
            <w14:solidFill>
              <w14:schemeClr w14:val="tx1"/>
            </w14:solidFill>
          </w14:textFill>
        </w:rPr>
      </w:pPr>
      <w:bookmarkStart w:id="222" w:name="_Toc16013"/>
      <w:r>
        <w:rPr>
          <w:b/>
          <w:color w:val="000000" w:themeColor="text1"/>
          <w:sz w:val="28"/>
          <w:szCs w:val="28"/>
          <w:highlight w:val="none"/>
          <w14:textFill>
            <w14:solidFill>
              <w14:schemeClr w14:val="tx1"/>
            </w14:solidFill>
          </w14:textFill>
        </w:rPr>
        <w:br w:type="page"/>
      </w:r>
    </w:p>
    <w:p w14:paraId="64186205">
      <w:pPr>
        <w:snapToGrid w:val="0"/>
        <w:spacing w:before="120" w:beforeLines="50" w:after="50" w:line="360" w:lineRule="auto"/>
        <w:jc w:val="left"/>
        <w:outlineLvl w:val="2"/>
        <w:rPr>
          <w:b/>
          <w:color w:val="000000" w:themeColor="text1"/>
          <w:sz w:val="28"/>
          <w:szCs w:val="28"/>
          <w:highlight w:val="none"/>
          <w14:textFill>
            <w14:solidFill>
              <w14:schemeClr w14:val="tx1"/>
            </w14:solidFill>
          </w14:textFill>
        </w:rPr>
      </w:pPr>
      <w:r>
        <w:rPr>
          <w:b/>
          <w:color w:val="000000" w:themeColor="text1"/>
          <w:sz w:val="28"/>
          <w:szCs w:val="28"/>
          <w:highlight w:val="none"/>
          <w14:textFill>
            <w14:solidFill>
              <w14:schemeClr w14:val="tx1"/>
            </w14:solidFill>
          </w14:textFill>
        </w:rPr>
        <w:t>1</w:t>
      </w:r>
      <w:r>
        <w:rPr>
          <w:rFonts w:hint="eastAsia"/>
          <w:b/>
          <w:color w:val="000000" w:themeColor="text1"/>
          <w:sz w:val="28"/>
          <w:szCs w:val="28"/>
          <w:highlight w:val="none"/>
          <w14:textFill>
            <w14:solidFill>
              <w14:schemeClr w14:val="tx1"/>
            </w14:solidFill>
          </w14:textFill>
        </w:rPr>
        <w:t>1</w:t>
      </w:r>
      <w:r>
        <w:rPr>
          <w:b/>
          <w:color w:val="000000" w:themeColor="text1"/>
          <w:sz w:val="28"/>
          <w:szCs w:val="28"/>
          <w:highlight w:val="none"/>
          <w14:textFill>
            <w14:solidFill>
              <w14:schemeClr w14:val="tx1"/>
            </w14:solidFill>
          </w14:textFill>
        </w:rPr>
        <w:t>.项目</w:t>
      </w:r>
      <w:r>
        <w:rPr>
          <w:rFonts w:hint="eastAsia" w:ascii="Times New Roman" w:hAnsi="Times New Roman" w:eastAsia="宋体" w:cs="Times New Roman"/>
          <w:b/>
          <w:bCs/>
          <w:color w:val="000000" w:themeColor="text1"/>
          <w:sz w:val="28"/>
          <w:szCs w:val="28"/>
          <w:highlight w:val="none"/>
          <w:lang w:eastAsia="zh-CN"/>
          <w14:textFill>
            <w14:solidFill>
              <w14:schemeClr w14:val="tx1"/>
            </w14:solidFill>
          </w14:textFill>
        </w:rPr>
        <w:t>管理</w:t>
      </w:r>
      <w:r>
        <w:rPr>
          <w:b/>
          <w:color w:val="000000" w:themeColor="text1"/>
          <w:sz w:val="28"/>
          <w:szCs w:val="28"/>
          <w:highlight w:val="none"/>
          <w14:textFill>
            <w14:solidFill>
              <w14:schemeClr w14:val="tx1"/>
            </w14:solidFill>
          </w14:textFill>
        </w:rPr>
        <w:t>人员一览表</w:t>
      </w:r>
      <w:bookmarkEnd w:id="222"/>
    </w:p>
    <w:p w14:paraId="0E309EF5">
      <w:pPr>
        <w:keepLines w:val="0"/>
        <w:pageBreakBefore w:val="0"/>
        <w:widowControl w:val="0"/>
        <w:kinsoku/>
        <w:wordWrap/>
        <w:overflowPunct/>
        <w:topLinePunct w:val="0"/>
        <w:bidi w:val="0"/>
        <w:adjustRightInd/>
        <w:spacing w:line="360" w:lineRule="auto"/>
        <w:jc w:val="center"/>
        <w:textAlignment w:val="auto"/>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（由供应商根据采购需求及采购文件要求编制）</w:t>
      </w:r>
    </w:p>
    <w:p w14:paraId="4DEF320B">
      <w:pPr>
        <w:pStyle w:val="22"/>
        <w:keepLines w:val="0"/>
        <w:pageBreakBefore w:val="0"/>
        <w:widowControl w:val="0"/>
        <w:kinsoku/>
        <w:wordWrap/>
        <w:overflowPunct/>
        <w:topLinePunct w:val="0"/>
        <w:bidi w:val="0"/>
        <w:adjustRightInd/>
        <w:spacing w:line="360" w:lineRule="auto"/>
        <w:textAlignment w:val="auto"/>
        <w:rPr>
          <w:rFonts w:hint="eastAsia"/>
          <w:color w:val="000000" w:themeColor="text1"/>
          <w:highlight w:val="none"/>
          <w14:textFill>
            <w14:solidFill>
              <w14:schemeClr w14:val="tx1"/>
            </w14:solidFill>
          </w14:textFill>
        </w:rPr>
      </w:pPr>
    </w:p>
    <w:p w14:paraId="681FCB98">
      <w:pPr>
        <w:keepLines w:val="0"/>
        <w:pageBreakBefore w:val="0"/>
        <w:widowControl w:val="0"/>
        <w:kinsoku/>
        <w:wordWrap/>
        <w:overflowPunct/>
        <w:topLinePunct w:val="0"/>
        <w:bidi w:val="0"/>
        <w:adjustRightInd/>
        <w:spacing w:line="360" w:lineRule="auto"/>
        <w:textAlignment w:val="auto"/>
        <w:rPr>
          <w:color w:val="000000" w:themeColor="text1"/>
          <w:kern w:val="0"/>
          <w:szCs w:val="21"/>
          <w:highlight w:val="none"/>
          <w14:textFill>
            <w14:solidFill>
              <w14:schemeClr w14:val="tx1"/>
            </w14:solidFill>
          </w14:textFill>
        </w:rPr>
      </w:pPr>
      <w:r>
        <w:rPr>
          <w:color w:val="000000" w:themeColor="text1"/>
          <w:szCs w:val="21"/>
          <w:highlight w:val="none"/>
          <w14:textFill>
            <w14:solidFill>
              <w14:schemeClr w14:val="tx1"/>
            </w14:solidFill>
          </w14:textFill>
        </w:rPr>
        <w:t>所竞分标（如有则填写，无分标时填写</w:t>
      </w:r>
      <w:r>
        <w:rPr>
          <w:rFonts w:hint="eastAsia"/>
          <w:color w:val="000000" w:themeColor="text1"/>
          <w:szCs w:val="21"/>
          <w:highlight w:val="none"/>
          <w:lang w:eastAsia="zh-CN"/>
          <w14:textFill>
            <w14:solidFill>
              <w14:schemeClr w14:val="tx1"/>
            </w14:solidFill>
          </w14:textFill>
        </w:rPr>
        <w:t>“</w:t>
      </w:r>
      <w:r>
        <w:rPr>
          <w:color w:val="000000" w:themeColor="text1"/>
          <w:szCs w:val="21"/>
          <w:highlight w:val="none"/>
          <w14:textFill>
            <w14:solidFill>
              <w14:schemeClr w14:val="tx1"/>
            </w14:solidFill>
          </w14:textFill>
        </w:rPr>
        <w:t>无</w:t>
      </w:r>
      <w:r>
        <w:rPr>
          <w:rFonts w:hint="eastAsia"/>
          <w:color w:val="000000" w:themeColor="text1"/>
          <w:szCs w:val="21"/>
          <w:highlight w:val="none"/>
          <w:lang w:eastAsia="zh-CN"/>
          <w14:textFill>
            <w14:solidFill>
              <w14:schemeClr w14:val="tx1"/>
            </w14:solidFill>
          </w14:textFill>
        </w:rPr>
        <w:t>”</w:t>
      </w:r>
      <w:r>
        <w:rPr>
          <w:color w:val="000000" w:themeColor="text1"/>
          <w:szCs w:val="21"/>
          <w:highlight w:val="none"/>
          <w14:textFill>
            <w14:solidFill>
              <w14:schemeClr w14:val="tx1"/>
            </w14:solidFill>
          </w14:textFill>
        </w:rPr>
        <w:t>或者留空）：</w:t>
      </w:r>
      <w:r>
        <w:rPr>
          <w:color w:val="000000" w:themeColor="text1"/>
          <w:szCs w:val="21"/>
          <w:highlight w:val="none"/>
          <w:u w:val="single"/>
          <w14:textFill>
            <w14:solidFill>
              <w14:schemeClr w14:val="tx1"/>
            </w14:solidFill>
          </w14:textFill>
        </w:rPr>
        <w:t xml:space="preserve">             </w:t>
      </w:r>
    </w:p>
    <w:p w14:paraId="37DB7383">
      <w:pPr>
        <w:keepNext/>
        <w:keepLines w:val="0"/>
        <w:pageBreakBefore w:val="0"/>
        <w:widowControl w:val="0"/>
        <w:kinsoku/>
        <w:wordWrap/>
        <w:overflowPunct/>
        <w:topLinePunct w:val="0"/>
        <w:autoSpaceDE w:val="0"/>
        <w:autoSpaceDN w:val="0"/>
        <w:bidi w:val="0"/>
        <w:adjustRightInd/>
        <w:spacing w:line="360" w:lineRule="auto"/>
        <w:ind w:firstLine="211" w:firstLineChars="100"/>
        <w:textAlignment w:val="auto"/>
        <w:rPr>
          <w:b/>
          <w:color w:val="000000" w:themeColor="text1"/>
          <w:szCs w:val="21"/>
          <w:highlight w:val="none"/>
          <w14:textFill>
            <w14:solidFill>
              <w14:schemeClr w14:val="tx1"/>
            </w14:solidFill>
          </w14:textFill>
        </w:rPr>
      </w:pPr>
      <w:r>
        <w:rPr>
          <w:b/>
          <w:color w:val="000000" w:themeColor="text1"/>
          <w:szCs w:val="21"/>
          <w:highlight w:val="none"/>
          <w14:textFill>
            <w14:solidFill>
              <w14:schemeClr w14:val="tx1"/>
            </w14:solidFill>
          </w14:textFill>
        </w:rPr>
        <w:t>项目经理</w:t>
      </w:r>
      <w:r>
        <w:rPr>
          <w:rFonts w:hint="eastAsia"/>
          <w:b/>
          <w:color w:val="000000" w:themeColor="text1"/>
          <w:szCs w:val="21"/>
          <w:highlight w:val="none"/>
          <w14:textFill>
            <w14:solidFill>
              <w14:schemeClr w14:val="tx1"/>
            </w14:solidFill>
          </w14:textFill>
        </w:rPr>
        <w:t>简历表</w:t>
      </w:r>
      <w:r>
        <w:rPr>
          <w:color w:val="000000" w:themeColor="text1"/>
          <w:szCs w:val="21"/>
          <w:highlight w:val="none"/>
          <w14:textFill>
            <w14:solidFill>
              <w14:schemeClr w14:val="tx1"/>
            </w14:solidFill>
          </w14:textFill>
        </w:rPr>
        <w:t>（参照此格式自制）</w:t>
      </w:r>
    </w:p>
    <w:tbl>
      <w:tblPr>
        <w:tblStyle w:val="29"/>
        <w:tblW w:w="928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3"/>
        <w:gridCol w:w="464"/>
        <w:gridCol w:w="1548"/>
        <w:gridCol w:w="328"/>
        <w:gridCol w:w="1219"/>
        <w:gridCol w:w="674"/>
        <w:gridCol w:w="874"/>
        <w:gridCol w:w="711"/>
        <w:gridCol w:w="836"/>
        <w:gridCol w:w="272"/>
        <w:gridCol w:w="1276"/>
      </w:tblGrid>
      <w:tr w14:paraId="59785D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083" w:type="dxa"/>
            <w:noWrap w:val="0"/>
            <w:vAlign w:val="center"/>
          </w:tcPr>
          <w:p w14:paraId="4DB89016">
            <w:pPr>
              <w:keepLines w:val="0"/>
              <w:pageBreakBefore w:val="0"/>
              <w:widowControl w:val="0"/>
              <w:kinsoku/>
              <w:wordWrap/>
              <w:overflowPunct/>
              <w:topLinePunct w:val="0"/>
              <w:bidi w:val="0"/>
              <w:adjustRightInd/>
              <w:spacing w:line="360" w:lineRule="auto"/>
              <w:jc w:val="center"/>
              <w:textAlignment w:val="auto"/>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姓名</w:t>
            </w:r>
          </w:p>
        </w:tc>
        <w:tc>
          <w:tcPr>
            <w:tcW w:w="2340" w:type="dxa"/>
            <w:gridSpan w:val="3"/>
            <w:noWrap w:val="0"/>
            <w:vAlign w:val="center"/>
          </w:tcPr>
          <w:p w14:paraId="621E3945">
            <w:pPr>
              <w:keepLines w:val="0"/>
              <w:pageBreakBefore w:val="0"/>
              <w:widowControl w:val="0"/>
              <w:kinsoku/>
              <w:wordWrap/>
              <w:overflowPunct/>
              <w:topLinePunct w:val="0"/>
              <w:bidi w:val="0"/>
              <w:adjustRightInd/>
              <w:spacing w:line="360" w:lineRule="auto"/>
              <w:jc w:val="center"/>
              <w:textAlignment w:val="auto"/>
              <w:rPr>
                <w:color w:val="000000" w:themeColor="text1"/>
                <w:szCs w:val="21"/>
                <w:highlight w:val="none"/>
                <w14:textFill>
                  <w14:solidFill>
                    <w14:schemeClr w14:val="tx1"/>
                  </w14:solidFill>
                </w14:textFill>
              </w:rPr>
            </w:pPr>
          </w:p>
        </w:tc>
        <w:tc>
          <w:tcPr>
            <w:tcW w:w="1893" w:type="dxa"/>
            <w:gridSpan w:val="2"/>
            <w:noWrap w:val="0"/>
            <w:vAlign w:val="center"/>
          </w:tcPr>
          <w:p w14:paraId="63BBE455">
            <w:pPr>
              <w:keepLines w:val="0"/>
              <w:pageBreakBefore w:val="0"/>
              <w:widowControl w:val="0"/>
              <w:kinsoku/>
              <w:wordWrap/>
              <w:overflowPunct/>
              <w:topLinePunct w:val="0"/>
              <w:bidi w:val="0"/>
              <w:adjustRightInd/>
              <w:spacing w:line="360" w:lineRule="auto"/>
              <w:jc w:val="center"/>
              <w:textAlignment w:val="auto"/>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性别</w:t>
            </w:r>
          </w:p>
        </w:tc>
        <w:tc>
          <w:tcPr>
            <w:tcW w:w="1585" w:type="dxa"/>
            <w:gridSpan w:val="2"/>
            <w:noWrap w:val="0"/>
            <w:vAlign w:val="center"/>
          </w:tcPr>
          <w:p w14:paraId="1C4B554C">
            <w:pPr>
              <w:keepLines w:val="0"/>
              <w:pageBreakBefore w:val="0"/>
              <w:widowControl w:val="0"/>
              <w:kinsoku/>
              <w:wordWrap/>
              <w:overflowPunct/>
              <w:topLinePunct w:val="0"/>
              <w:bidi w:val="0"/>
              <w:adjustRightInd/>
              <w:spacing w:line="360" w:lineRule="auto"/>
              <w:jc w:val="center"/>
              <w:textAlignment w:val="auto"/>
              <w:rPr>
                <w:color w:val="000000" w:themeColor="text1"/>
                <w:szCs w:val="21"/>
                <w:highlight w:val="none"/>
                <w14:textFill>
                  <w14:solidFill>
                    <w14:schemeClr w14:val="tx1"/>
                  </w14:solidFill>
                </w14:textFill>
              </w:rPr>
            </w:pPr>
          </w:p>
        </w:tc>
        <w:tc>
          <w:tcPr>
            <w:tcW w:w="1108" w:type="dxa"/>
            <w:gridSpan w:val="2"/>
            <w:noWrap w:val="0"/>
            <w:vAlign w:val="center"/>
          </w:tcPr>
          <w:p w14:paraId="3FEE9EF3">
            <w:pPr>
              <w:keepLines w:val="0"/>
              <w:pageBreakBefore w:val="0"/>
              <w:widowControl w:val="0"/>
              <w:kinsoku/>
              <w:wordWrap/>
              <w:overflowPunct/>
              <w:topLinePunct w:val="0"/>
              <w:bidi w:val="0"/>
              <w:adjustRightInd/>
              <w:spacing w:line="360" w:lineRule="auto"/>
              <w:jc w:val="center"/>
              <w:textAlignment w:val="auto"/>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年龄</w:t>
            </w:r>
          </w:p>
        </w:tc>
        <w:tc>
          <w:tcPr>
            <w:tcW w:w="1276" w:type="dxa"/>
            <w:noWrap w:val="0"/>
            <w:vAlign w:val="center"/>
          </w:tcPr>
          <w:p w14:paraId="72B41D41">
            <w:pPr>
              <w:keepLines w:val="0"/>
              <w:pageBreakBefore w:val="0"/>
              <w:widowControl w:val="0"/>
              <w:kinsoku/>
              <w:wordWrap/>
              <w:overflowPunct/>
              <w:topLinePunct w:val="0"/>
              <w:bidi w:val="0"/>
              <w:adjustRightInd/>
              <w:spacing w:line="360" w:lineRule="auto"/>
              <w:jc w:val="center"/>
              <w:textAlignment w:val="auto"/>
              <w:rPr>
                <w:color w:val="000000" w:themeColor="text1"/>
                <w:szCs w:val="21"/>
                <w:highlight w:val="none"/>
                <w14:textFill>
                  <w14:solidFill>
                    <w14:schemeClr w14:val="tx1"/>
                  </w14:solidFill>
                </w14:textFill>
              </w:rPr>
            </w:pPr>
          </w:p>
        </w:tc>
      </w:tr>
      <w:tr w14:paraId="66C35C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jc w:val="center"/>
        </w:trPr>
        <w:tc>
          <w:tcPr>
            <w:tcW w:w="1083" w:type="dxa"/>
            <w:noWrap w:val="0"/>
            <w:vAlign w:val="center"/>
          </w:tcPr>
          <w:p w14:paraId="61AE50C6">
            <w:pPr>
              <w:keepLines w:val="0"/>
              <w:pageBreakBefore w:val="0"/>
              <w:widowControl w:val="0"/>
              <w:kinsoku/>
              <w:wordWrap/>
              <w:overflowPunct/>
              <w:topLinePunct w:val="0"/>
              <w:bidi w:val="0"/>
              <w:adjustRightInd/>
              <w:spacing w:line="360" w:lineRule="auto"/>
              <w:jc w:val="center"/>
              <w:textAlignment w:val="auto"/>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职务</w:t>
            </w:r>
          </w:p>
        </w:tc>
        <w:tc>
          <w:tcPr>
            <w:tcW w:w="2340" w:type="dxa"/>
            <w:gridSpan w:val="3"/>
            <w:noWrap w:val="0"/>
            <w:vAlign w:val="center"/>
          </w:tcPr>
          <w:p w14:paraId="322F857D">
            <w:pPr>
              <w:keepLines w:val="0"/>
              <w:pageBreakBefore w:val="0"/>
              <w:widowControl w:val="0"/>
              <w:kinsoku/>
              <w:wordWrap/>
              <w:overflowPunct/>
              <w:topLinePunct w:val="0"/>
              <w:bidi w:val="0"/>
              <w:adjustRightInd/>
              <w:spacing w:line="360" w:lineRule="auto"/>
              <w:jc w:val="center"/>
              <w:textAlignment w:val="auto"/>
              <w:rPr>
                <w:color w:val="000000" w:themeColor="text1"/>
                <w:szCs w:val="21"/>
                <w:highlight w:val="none"/>
                <w14:textFill>
                  <w14:solidFill>
                    <w14:schemeClr w14:val="tx1"/>
                  </w14:solidFill>
                </w14:textFill>
              </w:rPr>
            </w:pPr>
          </w:p>
        </w:tc>
        <w:tc>
          <w:tcPr>
            <w:tcW w:w="1893" w:type="dxa"/>
            <w:gridSpan w:val="2"/>
            <w:noWrap w:val="0"/>
            <w:vAlign w:val="center"/>
          </w:tcPr>
          <w:p w14:paraId="01357DF3">
            <w:pPr>
              <w:keepLines w:val="0"/>
              <w:pageBreakBefore w:val="0"/>
              <w:widowControl w:val="0"/>
              <w:kinsoku/>
              <w:wordWrap/>
              <w:overflowPunct/>
              <w:topLinePunct w:val="0"/>
              <w:bidi w:val="0"/>
              <w:adjustRightInd/>
              <w:spacing w:line="360" w:lineRule="auto"/>
              <w:jc w:val="center"/>
              <w:textAlignment w:val="auto"/>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职称</w:t>
            </w:r>
          </w:p>
        </w:tc>
        <w:tc>
          <w:tcPr>
            <w:tcW w:w="1585" w:type="dxa"/>
            <w:gridSpan w:val="2"/>
            <w:noWrap w:val="0"/>
            <w:vAlign w:val="center"/>
          </w:tcPr>
          <w:p w14:paraId="763BCB81">
            <w:pPr>
              <w:keepLines w:val="0"/>
              <w:pageBreakBefore w:val="0"/>
              <w:widowControl w:val="0"/>
              <w:kinsoku/>
              <w:wordWrap/>
              <w:overflowPunct/>
              <w:topLinePunct w:val="0"/>
              <w:bidi w:val="0"/>
              <w:adjustRightInd/>
              <w:spacing w:line="360" w:lineRule="auto"/>
              <w:jc w:val="center"/>
              <w:textAlignment w:val="auto"/>
              <w:rPr>
                <w:color w:val="000000" w:themeColor="text1"/>
                <w:szCs w:val="21"/>
                <w:highlight w:val="none"/>
                <w14:textFill>
                  <w14:solidFill>
                    <w14:schemeClr w14:val="tx1"/>
                  </w14:solidFill>
                </w14:textFill>
              </w:rPr>
            </w:pPr>
          </w:p>
        </w:tc>
        <w:tc>
          <w:tcPr>
            <w:tcW w:w="1108" w:type="dxa"/>
            <w:gridSpan w:val="2"/>
            <w:noWrap w:val="0"/>
            <w:vAlign w:val="center"/>
          </w:tcPr>
          <w:p w14:paraId="24E10DE6">
            <w:pPr>
              <w:keepLines w:val="0"/>
              <w:pageBreakBefore w:val="0"/>
              <w:widowControl w:val="0"/>
              <w:kinsoku/>
              <w:wordWrap/>
              <w:overflowPunct/>
              <w:topLinePunct w:val="0"/>
              <w:bidi w:val="0"/>
              <w:adjustRightInd/>
              <w:spacing w:line="360" w:lineRule="auto"/>
              <w:jc w:val="center"/>
              <w:textAlignment w:val="auto"/>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学历</w:t>
            </w:r>
          </w:p>
        </w:tc>
        <w:tc>
          <w:tcPr>
            <w:tcW w:w="1276" w:type="dxa"/>
            <w:noWrap w:val="0"/>
            <w:vAlign w:val="center"/>
          </w:tcPr>
          <w:p w14:paraId="2C872307">
            <w:pPr>
              <w:keepLines w:val="0"/>
              <w:pageBreakBefore w:val="0"/>
              <w:widowControl w:val="0"/>
              <w:kinsoku/>
              <w:wordWrap/>
              <w:overflowPunct/>
              <w:topLinePunct w:val="0"/>
              <w:bidi w:val="0"/>
              <w:adjustRightInd/>
              <w:spacing w:line="360" w:lineRule="auto"/>
              <w:jc w:val="center"/>
              <w:textAlignment w:val="auto"/>
              <w:rPr>
                <w:color w:val="000000" w:themeColor="text1"/>
                <w:szCs w:val="21"/>
                <w:highlight w:val="none"/>
                <w14:textFill>
                  <w14:solidFill>
                    <w14:schemeClr w14:val="tx1"/>
                  </w14:solidFill>
                </w14:textFill>
              </w:rPr>
            </w:pPr>
          </w:p>
        </w:tc>
      </w:tr>
      <w:tr w14:paraId="10FD84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3423" w:type="dxa"/>
            <w:gridSpan w:val="4"/>
            <w:noWrap w:val="0"/>
            <w:vAlign w:val="center"/>
          </w:tcPr>
          <w:p w14:paraId="41CCB6A1">
            <w:pPr>
              <w:keepLines w:val="0"/>
              <w:pageBreakBefore w:val="0"/>
              <w:widowControl w:val="0"/>
              <w:kinsoku/>
              <w:wordWrap/>
              <w:overflowPunct/>
              <w:topLinePunct w:val="0"/>
              <w:bidi w:val="0"/>
              <w:adjustRightInd/>
              <w:spacing w:line="360" w:lineRule="auto"/>
              <w:jc w:val="center"/>
              <w:textAlignment w:val="auto"/>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参加工作时间</w:t>
            </w:r>
          </w:p>
        </w:tc>
        <w:tc>
          <w:tcPr>
            <w:tcW w:w="1893" w:type="dxa"/>
            <w:gridSpan w:val="2"/>
            <w:noWrap w:val="0"/>
            <w:vAlign w:val="center"/>
          </w:tcPr>
          <w:p w14:paraId="78B8DBC7">
            <w:pPr>
              <w:keepLines w:val="0"/>
              <w:pageBreakBefore w:val="0"/>
              <w:widowControl w:val="0"/>
              <w:kinsoku/>
              <w:wordWrap/>
              <w:overflowPunct/>
              <w:topLinePunct w:val="0"/>
              <w:bidi w:val="0"/>
              <w:adjustRightInd/>
              <w:spacing w:line="360" w:lineRule="auto"/>
              <w:jc w:val="center"/>
              <w:textAlignment w:val="auto"/>
              <w:rPr>
                <w:color w:val="000000" w:themeColor="text1"/>
                <w:szCs w:val="21"/>
                <w:highlight w:val="none"/>
                <w14:textFill>
                  <w14:solidFill>
                    <w14:schemeClr w14:val="tx1"/>
                  </w14:solidFill>
                </w14:textFill>
              </w:rPr>
            </w:pPr>
          </w:p>
        </w:tc>
        <w:tc>
          <w:tcPr>
            <w:tcW w:w="2693" w:type="dxa"/>
            <w:gridSpan w:val="4"/>
            <w:noWrap w:val="0"/>
            <w:vAlign w:val="center"/>
          </w:tcPr>
          <w:p w14:paraId="3B89E00E">
            <w:pPr>
              <w:keepLines w:val="0"/>
              <w:pageBreakBefore w:val="0"/>
              <w:widowControl w:val="0"/>
              <w:kinsoku/>
              <w:wordWrap/>
              <w:overflowPunct/>
              <w:topLinePunct w:val="0"/>
              <w:bidi w:val="0"/>
              <w:adjustRightInd/>
              <w:spacing w:line="360" w:lineRule="auto"/>
              <w:jc w:val="center"/>
              <w:textAlignment w:val="auto"/>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担任项目经理年限</w:t>
            </w:r>
          </w:p>
        </w:tc>
        <w:tc>
          <w:tcPr>
            <w:tcW w:w="1276" w:type="dxa"/>
            <w:noWrap w:val="0"/>
            <w:vAlign w:val="center"/>
          </w:tcPr>
          <w:p w14:paraId="54F16A3D">
            <w:pPr>
              <w:keepLines w:val="0"/>
              <w:pageBreakBefore w:val="0"/>
              <w:widowControl w:val="0"/>
              <w:kinsoku/>
              <w:wordWrap/>
              <w:overflowPunct/>
              <w:topLinePunct w:val="0"/>
              <w:bidi w:val="0"/>
              <w:adjustRightInd/>
              <w:spacing w:line="360" w:lineRule="auto"/>
              <w:jc w:val="center"/>
              <w:textAlignment w:val="auto"/>
              <w:rPr>
                <w:color w:val="000000" w:themeColor="text1"/>
                <w:szCs w:val="21"/>
                <w:highlight w:val="none"/>
                <w14:textFill>
                  <w14:solidFill>
                    <w14:schemeClr w14:val="tx1"/>
                  </w14:solidFill>
                </w14:textFill>
              </w:rPr>
            </w:pPr>
          </w:p>
        </w:tc>
      </w:tr>
      <w:tr w14:paraId="1DDA65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8" w:hRule="atLeast"/>
          <w:jc w:val="center"/>
        </w:trPr>
        <w:tc>
          <w:tcPr>
            <w:tcW w:w="3423" w:type="dxa"/>
            <w:gridSpan w:val="4"/>
            <w:noWrap w:val="0"/>
            <w:vAlign w:val="center"/>
          </w:tcPr>
          <w:p w14:paraId="52F3F9A5">
            <w:pPr>
              <w:keepLines w:val="0"/>
              <w:pageBreakBefore w:val="0"/>
              <w:widowControl w:val="0"/>
              <w:kinsoku/>
              <w:wordWrap/>
              <w:overflowPunct/>
              <w:topLinePunct w:val="0"/>
              <w:bidi w:val="0"/>
              <w:adjustRightInd/>
              <w:spacing w:line="360" w:lineRule="auto"/>
              <w:jc w:val="center"/>
              <w:textAlignment w:val="auto"/>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建造师注册证书编号</w:t>
            </w:r>
          </w:p>
        </w:tc>
        <w:tc>
          <w:tcPr>
            <w:tcW w:w="5862" w:type="dxa"/>
            <w:gridSpan w:val="7"/>
            <w:noWrap w:val="0"/>
            <w:vAlign w:val="center"/>
          </w:tcPr>
          <w:p w14:paraId="16BC9AD5">
            <w:pPr>
              <w:keepLines w:val="0"/>
              <w:pageBreakBefore w:val="0"/>
              <w:widowControl w:val="0"/>
              <w:kinsoku/>
              <w:wordWrap/>
              <w:overflowPunct/>
              <w:topLinePunct w:val="0"/>
              <w:bidi w:val="0"/>
              <w:adjustRightInd/>
              <w:spacing w:line="360" w:lineRule="auto"/>
              <w:jc w:val="center"/>
              <w:textAlignment w:val="auto"/>
              <w:rPr>
                <w:color w:val="000000" w:themeColor="text1"/>
                <w:szCs w:val="21"/>
                <w:highlight w:val="none"/>
                <w14:textFill>
                  <w14:solidFill>
                    <w14:schemeClr w14:val="tx1"/>
                  </w14:solidFill>
                </w14:textFill>
              </w:rPr>
            </w:pPr>
          </w:p>
        </w:tc>
      </w:tr>
      <w:tr w14:paraId="7E653A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9285" w:type="dxa"/>
            <w:gridSpan w:val="11"/>
            <w:noWrap w:val="0"/>
            <w:vAlign w:val="center"/>
          </w:tcPr>
          <w:p w14:paraId="1E30485D">
            <w:pPr>
              <w:keepLines w:val="0"/>
              <w:pageBreakBefore w:val="0"/>
              <w:widowControl w:val="0"/>
              <w:kinsoku/>
              <w:wordWrap/>
              <w:overflowPunct/>
              <w:topLinePunct w:val="0"/>
              <w:bidi w:val="0"/>
              <w:adjustRightInd/>
              <w:spacing w:line="360" w:lineRule="auto"/>
              <w:jc w:val="center"/>
              <w:textAlignment w:val="auto"/>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在建和已完工程项目情况</w:t>
            </w:r>
          </w:p>
        </w:tc>
      </w:tr>
      <w:tr w14:paraId="1AFDA7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547" w:type="dxa"/>
            <w:gridSpan w:val="2"/>
            <w:noWrap w:val="0"/>
            <w:vAlign w:val="center"/>
          </w:tcPr>
          <w:p w14:paraId="11B32F03">
            <w:pPr>
              <w:keepLines w:val="0"/>
              <w:pageBreakBefore w:val="0"/>
              <w:widowControl w:val="0"/>
              <w:kinsoku/>
              <w:wordWrap/>
              <w:overflowPunct/>
              <w:topLinePunct w:val="0"/>
              <w:bidi w:val="0"/>
              <w:adjustRightInd/>
              <w:spacing w:line="360" w:lineRule="auto"/>
              <w:jc w:val="center"/>
              <w:textAlignment w:val="auto"/>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建设单位</w:t>
            </w:r>
          </w:p>
        </w:tc>
        <w:tc>
          <w:tcPr>
            <w:tcW w:w="1548" w:type="dxa"/>
            <w:noWrap w:val="0"/>
            <w:vAlign w:val="center"/>
          </w:tcPr>
          <w:p w14:paraId="4EB58128">
            <w:pPr>
              <w:keepLines w:val="0"/>
              <w:pageBreakBefore w:val="0"/>
              <w:widowControl w:val="0"/>
              <w:kinsoku/>
              <w:wordWrap/>
              <w:overflowPunct/>
              <w:topLinePunct w:val="0"/>
              <w:bidi w:val="0"/>
              <w:adjustRightInd/>
              <w:spacing w:line="360" w:lineRule="auto"/>
              <w:jc w:val="center"/>
              <w:textAlignment w:val="auto"/>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项目名称</w:t>
            </w:r>
          </w:p>
        </w:tc>
        <w:tc>
          <w:tcPr>
            <w:tcW w:w="1547" w:type="dxa"/>
            <w:gridSpan w:val="2"/>
            <w:noWrap w:val="0"/>
            <w:vAlign w:val="center"/>
          </w:tcPr>
          <w:p w14:paraId="32B21AB7">
            <w:pPr>
              <w:keepLines w:val="0"/>
              <w:pageBreakBefore w:val="0"/>
              <w:widowControl w:val="0"/>
              <w:kinsoku/>
              <w:wordWrap/>
              <w:overflowPunct/>
              <w:topLinePunct w:val="0"/>
              <w:bidi w:val="0"/>
              <w:adjustRightInd/>
              <w:spacing w:line="360" w:lineRule="auto"/>
              <w:jc w:val="center"/>
              <w:textAlignment w:val="auto"/>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建设规模</w:t>
            </w:r>
          </w:p>
        </w:tc>
        <w:tc>
          <w:tcPr>
            <w:tcW w:w="1548" w:type="dxa"/>
            <w:gridSpan w:val="2"/>
            <w:noWrap w:val="0"/>
            <w:vAlign w:val="center"/>
          </w:tcPr>
          <w:p w14:paraId="116B3E97">
            <w:pPr>
              <w:keepLines w:val="0"/>
              <w:pageBreakBefore w:val="0"/>
              <w:widowControl w:val="0"/>
              <w:kinsoku/>
              <w:wordWrap/>
              <w:overflowPunct/>
              <w:topLinePunct w:val="0"/>
              <w:bidi w:val="0"/>
              <w:adjustRightInd/>
              <w:spacing w:line="360" w:lineRule="auto"/>
              <w:jc w:val="center"/>
              <w:textAlignment w:val="auto"/>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开、竣工日期</w:t>
            </w:r>
          </w:p>
        </w:tc>
        <w:tc>
          <w:tcPr>
            <w:tcW w:w="1547" w:type="dxa"/>
            <w:gridSpan w:val="2"/>
            <w:noWrap w:val="0"/>
            <w:vAlign w:val="center"/>
          </w:tcPr>
          <w:p w14:paraId="1076A7BC">
            <w:pPr>
              <w:keepLines w:val="0"/>
              <w:pageBreakBefore w:val="0"/>
              <w:widowControl w:val="0"/>
              <w:kinsoku/>
              <w:wordWrap/>
              <w:overflowPunct/>
              <w:topLinePunct w:val="0"/>
              <w:bidi w:val="0"/>
              <w:adjustRightInd/>
              <w:spacing w:line="360" w:lineRule="auto"/>
              <w:jc w:val="center"/>
              <w:textAlignment w:val="auto"/>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在建或已完</w:t>
            </w:r>
          </w:p>
        </w:tc>
        <w:tc>
          <w:tcPr>
            <w:tcW w:w="1548" w:type="dxa"/>
            <w:gridSpan w:val="2"/>
            <w:noWrap w:val="0"/>
            <w:vAlign w:val="center"/>
          </w:tcPr>
          <w:p w14:paraId="36976FA5">
            <w:pPr>
              <w:keepLines w:val="0"/>
              <w:pageBreakBefore w:val="0"/>
              <w:widowControl w:val="0"/>
              <w:kinsoku/>
              <w:wordWrap/>
              <w:overflowPunct/>
              <w:topLinePunct w:val="0"/>
              <w:bidi w:val="0"/>
              <w:adjustRightInd/>
              <w:spacing w:line="360" w:lineRule="auto"/>
              <w:jc w:val="center"/>
              <w:textAlignment w:val="auto"/>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工程质量</w:t>
            </w:r>
          </w:p>
        </w:tc>
      </w:tr>
      <w:tr w14:paraId="0CFEBA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1" w:hRule="atLeast"/>
          <w:jc w:val="center"/>
        </w:trPr>
        <w:tc>
          <w:tcPr>
            <w:tcW w:w="1547" w:type="dxa"/>
            <w:gridSpan w:val="2"/>
            <w:noWrap w:val="0"/>
            <w:vAlign w:val="center"/>
          </w:tcPr>
          <w:p w14:paraId="348832E4">
            <w:pPr>
              <w:keepLines w:val="0"/>
              <w:pageBreakBefore w:val="0"/>
              <w:widowControl w:val="0"/>
              <w:kinsoku/>
              <w:wordWrap/>
              <w:overflowPunct/>
              <w:topLinePunct w:val="0"/>
              <w:bidi w:val="0"/>
              <w:adjustRightInd/>
              <w:spacing w:line="360" w:lineRule="auto"/>
              <w:jc w:val="center"/>
              <w:textAlignment w:val="auto"/>
              <w:rPr>
                <w:color w:val="000000" w:themeColor="text1"/>
                <w:szCs w:val="21"/>
                <w:highlight w:val="none"/>
                <w14:textFill>
                  <w14:solidFill>
                    <w14:schemeClr w14:val="tx1"/>
                  </w14:solidFill>
                </w14:textFill>
              </w:rPr>
            </w:pPr>
          </w:p>
        </w:tc>
        <w:tc>
          <w:tcPr>
            <w:tcW w:w="1548" w:type="dxa"/>
            <w:noWrap w:val="0"/>
            <w:vAlign w:val="center"/>
          </w:tcPr>
          <w:p w14:paraId="17874170">
            <w:pPr>
              <w:keepLines w:val="0"/>
              <w:pageBreakBefore w:val="0"/>
              <w:widowControl w:val="0"/>
              <w:kinsoku/>
              <w:wordWrap/>
              <w:overflowPunct/>
              <w:topLinePunct w:val="0"/>
              <w:bidi w:val="0"/>
              <w:adjustRightInd/>
              <w:spacing w:line="360" w:lineRule="auto"/>
              <w:jc w:val="center"/>
              <w:textAlignment w:val="auto"/>
              <w:rPr>
                <w:color w:val="000000" w:themeColor="text1"/>
                <w:szCs w:val="21"/>
                <w:highlight w:val="none"/>
                <w14:textFill>
                  <w14:solidFill>
                    <w14:schemeClr w14:val="tx1"/>
                  </w14:solidFill>
                </w14:textFill>
              </w:rPr>
            </w:pPr>
          </w:p>
        </w:tc>
        <w:tc>
          <w:tcPr>
            <w:tcW w:w="1547" w:type="dxa"/>
            <w:gridSpan w:val="2"/>
            <w:noWrap w:val="0"/>
            <w:vAlign w:val="center"/>
          </w:tcPr>
          <w:p w14:paraId="0663A0E4">
            <w:pPr>
              <w:keepLines w:val="0"/>
              <w:pageBreakBefore w:val="0"/>
              <w:widowControl w:val="0"/>
              <w:kinsoku/>
              <w:wordWrap/>
              <w:overflowPunct/>
              <w:topLinePunct w:val="0"/>
              <w:bidi w:val="0"/>
              <w:adjustRightInd/>
              <w:spacing w:line="360" w:lineRule="auto"/>
              <w:jc w:val="center"/>
              <w:textAlignment w:val="auto"/>
              <w:rPr>
                <w:color w:val="000000" w:themeColor="text1"/>
                <w:szCs w:val="21"/>
                <w:highlight w:val="none"/>
                <w14:textFill>
                  <w14:solidFill>
                    <w14:schemeClr w14:val="tx1"/>
                  </w14:solidFill>
                </w14:textFill>
              </w:rPr>
            </w:pPr>
          </w:p>
        </w:tc>
        <w:tc>
          <w:tcPr>
            <w:tcW w:w="1548" w:type="dxa"/>
            <w:gridSpan w:val="2"/>
            <w:noWrap w:val="0"/>
            <w:vAlign w:val="center"/>
          </w:tcPr>
          <w:p w14:paraId="60A7ADB1">
            <w:pPr>
              <w:keepLines w:val="0"/>
              <w:pageBreakBefore w:val="0"/>
              <w:widowControl w:val="0"/>
              <w:kinsoku/>
              <w:wordWrap/>
              <w:overflowPunct/>
              <w:topLinePunct w:val="0"/>
              <w:bidi w:val="0"/>
              <w:adjustRightInd/>
              <w:spacing w:line="360" w:lineRule="auto"/>
              <w:jc w:val="center"/>
              <w:textAlignment w:val="auto"/>
              <w:rPr>
                <w:color w:val="000000" w:themeColor="text1"/>
                <w:szCs w:val="21"/>
                <w:highlight w:val="none"/>
                <w14:textFill>
                  <w14:solidFill>
                    <w14:schemeClr w14:val="tx1"/>
                  </w14:solidFill>
                </w14:textFill>
              </w:rPr>
            </w:pPr>
          </w:p>
        </w:tc>
        <w:tc>
          <w:tcPr>
            <w:tcW w:w="1547" w:type="dxa"/>
            <w:gridSpan w:val="2"/>
            <w:noWrap w:val="0"/>
            <w:vAlign w:val="center"/>
          </w:tcPr>
          <w:p w14:paraId="6B27EF0D">
            <w:pPr>
              <w:keepLines w:val="0"/>
              <w:pageBreakBefore w:val="0"/>
              <w:widowControl w:val="0"/>
              <w:kinsoku/>
              <w:wordWrap/>
              <w:overflowPunct/>
              <w:topLinePunct w:val="0"/>
              <w:bidi w:val="0"/>
              <w:adjustRightInd/>
              <w:spacing w:line="360" w:lineRule="auto"/>
              <w:jc w:val="center"/>
              <w:textAlignment w:val="auto"/>
              <w:rPr>
                <w:color w:val="000000" w:themeColor="text1"/>
                <w:szCs w:val="21"/>
                <w:highlight w:val="none"/>
                <w14:textFill>
                  <w14:solidFill>
                    <w14:schemeClr w14:val="tx1"/>
                  </w14:solidFill>
                </w14:textFill>
              </w:rPr>
            </w:pPr>
          </w:p>
        </w:tc>
        <w:tc>
          <w:tcPr>
            <w:tcW w:w="1548" w:type="dxa"/>
            <w:gridSpan w:val="2"/>
            <w:noWrap w:val="0"/>
            <w:vAlign w:val="center"/>
          </w:tcPr>
          <w:p w14:paraId="692E8809">
            <w:pPr>
              <w:keepLines w:val="0"/>
              <w:pageBreakBefore w:val="0"/>
              <w:widowControl w:val="0"/>
              <w:kinsoku/>
              <w:wordWrap/>
              <w:overflowPunct/>
              <w:topLinePunct w:val="0"/>
              <w:bidi w:val="0"/>
              <w:adjustRightInd/>
              <w:spacing w:line="360" w:lineRule="auto"/>
              <w:jc w:val="center"/>
              <w:textAlignment w:val="auto"/>
              <w:rPr>
                <w:color w:val="000000" w:themeColor="text1"/>
                <w:szCs w:val="21"/>
                <w:highlight w:val="none"/>
                <w14:textFill>
                  <w14:solidFill>
                    <w14:schemeClr w14:val="tx1"/>
                  </w14:solidFill>
                </w14:textFill>
              </w:rPr>
            </w:pPr>
          </w:p>
        </w:tc>
      </w:tr>
      <w:tr w14:paraId="12091B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1" w:hRule="atLeast"/>
          <w:jc w:val="center"/>
        </w:trPr>
        <w:tc>
          <w:tcPr>
            <w:tcW w:w="1547" w:type="dxa"/>
            <w:gridSpan w:val="2"/>
            <w:noWrap w:val="0"/>
            <w:vAlign w:val="center"/>
          </w:tcPr>
          <w:p w14:paraId="2CC98AC5">
            <w:pPr>
              <w:keepLines w:val="0"/>
              <w:pageBreakBefore w:val="0"/>
              <w:widowControl w:val="0"/>
              <w:kinsoku/>
              <w:wordWrap/>
              <w:overflowPunct/>
              <w:topLinePunct w:val="0"/>
              <w:bidi w:val="0"/>
              <w:adjustRightInd/>
              <w:spacing w:line="360" w:lineRule="auto"/>
              <w:jc w:val="center"/>
              <w:textAlignment w:val="auto"/>
              <w:rPr>
                <w:color w:val="000000" w:themeColor="text1"/>
                <w:szCs w:val="21"/>
                <w:highlight w:val="none"/>
                <w14:textFill>
                  <w14:solidFill>
                    <w14:schemeClr w14:val="tx1"/>
                  </w14:solidFill>
                </w14:textFill>
              </w:rPr>
            </w:pPr>
          </w:p>
        </w:tc>
        <w:tc>
          <w:tcPr>
            <w:tcW w:w="1548" w:type="dxa"/>
            <w:noWrap w:val="0"/>
            <w:vAlign w:val="center"/>
          </w:tcPr>
          <w:p w14:paraId="0E24AFE4">
            <w:pPr>
              <w:keepLines w:val="0"/>
              <w:pageBreakBefore w:val="0"/>
              <w:widowControl w:val="0"/>
              <w:kinsoku/>
              <w:wordWrap/>
              <w:overflowPunct/>
              <w:topLinePunct w:val="0"/>
              <w:bidi w:val="0"/>
              <w:adjustRightInd/>
              <w:spacing w:line="360" w:lineRule="auto"/>
              <w:jc w:val="center"/>
              <w:textAlignment w:val="auto"/>
              <w:rPr>
                <w:color w:val="000000" w:themeColor="text1"/>
                <w:szCs w:val="21"/>
                <w:highlight w:val="none"/>
                <w14:textFill>
                  <w14:solidFill>
                    <w14:schemeClr w14:val="tx1"/>
                  </w14:solidFill>
                </w14:textFill>
              </w:rPr>
            </w:pPr>
          </w:p>
        </w:tc>
        <w:tc>
          <w:tcPr>
            <w:tcW w:w="1547" w:type="dxa"/>
            <w:gridSpan w:val="2"/>
            <w:noWrap w:val="0"/>
            <w:vAlign w:val="center"/>
          </w:tcPr>
          <w:p w14:paraId="53F54EFC">
            <w:pPr>
              <w:keepLines w:val="0"/>
              <w:pageBreakBefore w:val="0"/>
              <w:widowControl w:val="0"/>
              <w:kinsoku/>
              <w:wordWrap/>
              <w:overflowPunct/>
              <w:topLinePunct w:val="0"/>
              <w:bidi w:val="0"/>
              <w:adjustRightInd/>
              <w:spacing w:line="360" w:lineRule="auto"/>
              <w:jc w:val="center"/>
              <w:textAlignment w:val="auto"/>
              <w:rPr>
                <w:color w:val="000000" w:themeColor="text1"/>
                <w:szCs w:val="21"/>
                <w:highlight w:val="none"/>
                <w14:textFill>
                  <w14:solidFill>
                    <w14:schemeClr w14:val="tx1"/>
                  </w14:solidFill>
                </w14:textFill>
              </w:rPr>
            </w:pPr>
          </w:p>
        </w:tc>
        <w:tc>
          <w:tcPr>
            <w:tcW w:w="1548" w:type="dxa"/>
            <w:gridSpan w:val="2"/>
            <w:noWrap w:val="0"/>
            <w:vAlign w:val="center"/>
          </w:tcPr>
          <w:p w14:paraId="1E7B3650">
            <w:pPr>
              <w:keepLines w:val="0"/>
              <w:pageBreakBefore w:val="0"/>
              <w:widowControl w:val="0"/>
              <w:kinsoku/>
              <w:wordWrap/>
              <w:overflowPunct/>
              <w:topLinePunct w:val="0"/>
              <w:bidi w:val="0"/>
              <w:adjustRightInd/>
              <w:spacing w:line="360" w:lineRule="auto"/>
              <w:jc w:val="center"/>
              <w:textAlignment w:val="auto"/>
              <w:rPr>
                <w:color w:val="000000" w:themeColor="text1"/>
                <w:szCs w:val="21"/>
                <w:highlight w:val="none"/>
                <w14:textFill>
                  <w14:solidFill>
                    <w14:schemeClr w14:val="tx1"/>
                  </w14:solidFill>
                </w14:textFill>
              </w:rPr>
            </w:pPr>
          </w:p>
        </w:tc>
        <w:tc>
          <w:tcPr>
            <w:tcW w:w="1547" w:type="dxa"/>
            <w:gridSpan w:val="2"/>
            <w:noWrap w:val="0"/>
            <w:vAlign w:val="center"/>
          </w:tcPr>
          <w:p w14:paraId="4C7B2C52">
            <w:pPr>
              <w:keepLines w:val="0"/>
              <w:pageBreakBefore w:val="0"/>
              <w:widowControl w:val="0"/>
              <w:kinsoku/>
              <w:wordWrap/>
              <w:overflowPunct/>
              <w:topLinePunct w:val="0"/>
              <w:bidi w:val="0"/>
              <w:adjustRightInd/>
              <w:spacing w:line="360" w:lineRule="auto"/>
              <w:jc w:val="center"/>
              <w:textAlignment w:val="auto"/>
              <w:rPr>
                <w:color w:val="000000" w:themeColor="text1"/>
                <w:szCs w:val="21"/>
                <w:highlight w:val="none"/>
                <w14:textFill>
                  <w14:solidFill>
                    <w14:schemeClr w14:val="tx1"/>
                  </w14:solidFill>
                </w14:textFill>
              </w:rPr>
            </w:pPr>
          </w:p>
        </w:tc>
        <w:tc>
          <w:tcPr>
            <w:tcW w:w="1548" w:type="dxa"/>
            <w:gridSpan w:val="2"/>
            <w:noWrap w:val="0"/>
            <w:vAlign w:val="center"/>
          </w:tcPr>
          <w:p w14:paraId="4E5CF8AE">
            <w:pPr>
              <w:keepLines w:val="0"/>
              <w:pageBreakBefore w:val="0"/>
              <w:widowControl w:val="0"/>
              <w:kinsoku/>
              <w:wordWrap/>
              <w:overflowPunct/>
              <w:topLinePunct w:val="0"/>
              <w:bidi w:val="0"/>
              <w:adjustRightInd/>
              <w:spacing w:line="360" w:lineRule="auto"/>
              <w:jc w:val="center"/>
              <w:textAlignment w:val="auto"/>
              <w:rPr>
                <w:color w:val="000000" w:themeColor="text1"/>
                <w:szCs w:val="21"/>
                <w:highlight w:val="none"/>
                <w14:textFill>
                  <w14:solidFill>
                    <w14:schemeClr w14:val="tx1"/>
                  </w14:solidFill>
                </w14:textFill>
              </w:rPr>
            </w:pPr>
          </w:p>
        </w:tc>
      </w:tr>
      <w:tr w14:paraId="368605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1" w:hRule="atLeast"/>
          <w:jc w:val="center"/>
        </w:trPr>
        <w:tc>
          <w:tcPr>
            <w:tcW w:w="1547" w:type="dxa"/>
            <w:gridSpan w:val="2"/>
            <w:noWrap w:val="0"/>
            <w:vAlign w:val="center"/>
          </w:tcPr>
          <w:p w14:paraId="6359714C">
            <w:pPr>
              <w:keepLines w:val="0"/>
              <w:pageBreakBefore w:val="0"/>
              <w:widowControl w:val="0"/>
              <w:kinsoku/>
              <w:wordWrap/>
              <w:overflowPunct/>
              <w:topLinePunct w:val="0"/>
              <w:bidi w:val="0"/>
              <w:adjustRightInd/>
              <w:spacing w:line="360" w:lineRule="auto"/>
              <w:jc w:val="center"/>
              <w:textAlignment w:val="auto"/>
              <w:rPr>
                <w:color w:val="000000" w:themeColor="text1"/>
                <w:szCs w:val="21"/>
                <w:highlight w:val="none"/>
                <w14:textFill>
                  <w14:solidFill>
                    <w14:schemeClr w14:val="tx1"/>
                  </w14:solidFill>
                </w14:textFill>
              </w:rPr>
            </w:pPr>
          </w:p>
        </w:tc>
        <w:tc>
          <w:tcPr>
            <w:tcW w:w="1548" w:type="dxa"/>
            <w:noWrap w:val="0"/>
            <w:vAlign w:val="center"/>
          </w:tcPr>
          <w:p w14:paraId="72ED6476">
            <w:pPr>
              <w:keepLines w:val="0"/>
              <w:pageBreakBefore w:val="0"/>
              <w:widowControl w:val="0"/>
              <w:kinsoku/>
              <w:wordWrap/>
              <w:overflowPunct/>
              <w:topLinePunct w:val="0"/>
              <w:bidi w:val="0"/>
              <w:adjustRightInd/>
              <w:spacing w:line="360" w:lineRule="auto"/>
              <w:jc w:val="center"/>
              <w:textAlignment w:val="auto"/>
              <w:rPr>
                <w:color w:val="000000" w:themeColor="text1"/>
                <w:szCs w:val="21"/>
                <w:highlight w:val="none"/>
                <w14:textFill>
                  <w14:solidFill>
                    <w14:schemeClr w14:val="tx1"/>
                  </w14:solidFill>
                </w14:textFill>
              </w:rPr>
            </w:pPr>
          </w:p>
        </w:tc>
        <w:tc>
          <w:tcPr>
            <w:tcW w:w="1547" w:type="dxa"/>
            <w:gridSpan w:val="2"/>
            <w:noWrap w:val="0"/>
            <w:vAlign w:val="center"/>
          </w:tcPr>
          <w:p w14:paraId="341F297F">
            <w:pPr>
              <w:keepLines w:val="0"/>
              <w:pageBreakBefore w:val="0"/>
              <w:widowControl w:val="0"/>
              <w:kinsoku/>
              <w:wordWrap/>
              <w:overflowPunct/>
              <w:topLinePunct w:val="0"/>
              <w:bidi w:val="0"/>
              <w:adjustRightInd/>
              <w:spacing w:line="360" w:lineRule="auto"/>
              <w:jc w:val="center"/>
              <w:textAlignment w:val="auto"/>
              <w:rPr>
                <w:color w:val="000000" w:themeColor="text1"/>
                <w:szCs w:val="21"/>
                <w:highlight w:val="none"/>
                <w14:textFill>
                  <w14:solidFill>
                    <w14:schemeClr w14:val="tx1"/>
                  </w14:solidFill>
                </w14:textFill>
              </w:rPr>
            </w:pPr>
          </w:p>
        </w:tc>
        <w:tc>
          <w:tcPr>
            <w:tcW w:w="1548" w:type="dxa"/>
            <w:gridSpan w:val="2"/>
            <w:noWrap w:val="0"/>
            <w:vAlign w:val="center"/>
          </w:tcPr>
          <w:p w14:paraId="1797AF8E">
            <w:pPr>
              <w:keepLines w:val="0"/>
              <w:pageBreakBefore w:val="0"/>
              <w:widowControl w:val="0"/>
              <w:kinsoku/>
              <w:wordWrap/>
              <w:overflowPunct/>
              <w:topLinePunct w:val="0"/>
              <w:bidi w:val="0"/>
              <w:adjustRightInd/>
              <w:spacing w:line="360" w:lineRule="auto"/>
              <w:jc w:val="center"/>
              <w:textAlignment w:val="auto"/>
              <w:rPr>
                <w:color w:val="000000" w:themeColor="text1"/>
                <w:szCs w:val="21"/>
                <w:highlight w:val="none"/>
                <w14:textFill>
                  <w14:solidFill>
                    <w14:schemeClr w14:val="tx1"/>
                  </w14:solidFill>
                </w14:textFill>
              </w:rPr>
            </w:pPr>
          </w:p>
        </w:tc>
        <w:tc>
          <w:tcPr>
            <w:tcW w:w="1547" w:type="dxa"/>
            <w:gridSpan w:val="2"/>
            <w:noWrap w:val="0"/>
            <w:vAlign w:val="center"/>
          </w:tcPr>
          <w:p w14:paraId="3E7E02B8">
            <w:pPr>
              <w:keepLines w:val="0"/>
              <w:pageBreakBefore w:val="0"/>
              <w:widowControl w:val="0"/>
              <w:kinsoku/>
              <w:wordWrap/>
              <w:overflowPunct/>
              <w:topLinePunct w:val="0"/>
              <w:bidi w:val="0"/>
              <w:adjustRightInd/>
              <w:spacing w:line="360" w:lineRule="auto"/>
              <w:jc w:val="center"/>
              <w:textAlignment w:val="auto"/>
              <w:rPr>
                <w:color w:val="000000" w:themeColor="text1"/>
                <w:szCs w:val="21"/>
                <w:highlight w:val="none"/>
                <w14:textFill>
                  <w14:solidFill>
                    <w14:schemeClr w14:val="tx1"/>
                  </w14:solidFill>
                </w14:textFill>
              </w:rPr>
            </w:pPr>
          </w:p>
        </w:tc>
        <w:tc>
          <w:tcPr>
            <w:tcW w:w="1548" w:type="dxa"/>
            <w:gridSpan w:val="2"/>
            <w:noWrap w:val="0"/>
            <w:vAlign w:val="center"/>
          </w:tcPr>
          <w:p w14:paraId="190241A0">
            <w:pPr>
              <w:keepLines w:val="0"/>
              <w:pageBreakBefore w:val="0"/>
              <w:widowControl w:val="0"/>
              <w:kinsoku/>
              <w:wordWrap/>
              <w:overflowPunct/>
              <w:topLinePunct w:val="0"/>
              <w:bidi w:val="0"/>
              <w:adjustRightInd/>
              <w:spacing w:line="360" w:lineRule="auto"/>
              <w:jc w:val="center"/>
              <w:textAlignment w:val="auto"/>
              <w:rPr>
                <w:color w:val="000000" w:themeColor="text1"/>
                <w:szCs w:val="21"/>
                <w:highlight w:val="none"/>
                <w14:textFill>
                  <w14:solidFill>
                    <w14:schemeClr w14:val="tx1"/>
                  </w14:solidFill>
                </w14:textFill>
              </w:rPr>
            </w:pPr>
          </w:p>
        </w:tc>
      </w:tr>
      <w:tr w14:paraId="5BC0B7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jc w:val="center"/>
        </w:trPr>
        <w:tc>
          <w:tcPr>
            <w:tcW w:w="1547" w:type="dxa"/>
            <w:gridSpan w:val="2"/>
            <w:noWrap w:val="0"/>
            <w:vAlign w:val="center"/>
          </w:tcPr>
          <w:p w14:paraId="0D165A8F">
            <w:pPr>
              <w:keepLines w:val="0"/>
              <w:pageBreakBefore w:val="0"/>
              <w:widowControl w:val="0"/>
              <w:kinsoku/>
              <w:wordWrap/>
              <w:overflowPunct/>
              <w:topLinePunct w:val="0"/>
              <w:bidi w:val="0"/>
              <w:adjustRightInd/>
              <w:spacing w:line="360" w:lineRule="auto"/>
              <w:jc w:val="center"/>
              <w:textAlignment w:val="auto"/>
              <w:rPr>
                <w:color w:val="000000" w:themeColor="text1"/>
                <w:szCs w:val="21"/>
                <w:highlight w:val="none"/>
                <w14:textFill>
                  <w14:solidFill>
                    <w14:schemeClr w14:val="tx1"/>
                  </w14:solidFill>
                </w14:textFill>
              </w:rPr>
            </w:pPr>
          </w:p>
        </w:tc>
        <w:tc>
          <w:tcPr>
            <w:tcW w:w="1548" w:type="dxa"/>
            <w:noWrap w:val="0"/>
            <w:vAlign w:val="center"/>
          </w:tcPr>
          <w:p w14:paraId="7D5BC716">
            <w:pPr>
              <w:keepLines w:val="0"/>
              <w:pageBreakBefore w:val="0"/>
              <w:widowControl w:val="0"/>
              <w:kinsoku/>
              <w:wordWrap/>
              <w:overflowPunct/>
              <w:topLinePunct w:val="0"/>
              <w:bidi w:val="0"/>
              <w:adjustRightInd/>
              <w:spacing w:line="360" w:lineRule="auto"/>
              <w:jc w:val="center"/>
              <w:textAlignment w:val="auto"/>
              <w:rPr>
                <w:color w:val="000000" w:themeColor="text1"/>
                <w:szCs w:val="21"/>
                <w:highlight w:val="none"/>
                <w14:textFill>
                  <w14:solidFill>
                    <w14:schemeClr w14:val="tx1"/>
                  </w14:solidFill>
                </w14:textFill>
              </w:rPr>
            </w:pPr>
          </w:p>
        </w:tc>
        <w:tc>
          <w:tcPr>
            <w:tcW w:w="1547" w:type="dxa"/>
            <w:gridSpan w:val="2"/>
            <w:noWrap w:val="0"/>
            <w:vAlign w:val="center"/>
          </w:tcPr>
          <w:p w14:paraId="2FAEAA6E">
            <w:pPr>
              <w:keepLines w:val="0"/>
              <w:pageBreakBefore w:val="0"/>
              <w:widowControl w:val="0"/>
              <w:kinsoku/>
              <w:wordWrap/>
              <w:overflowPunct/>
              <w:topLinePunct w:val="0"/>
              <w:bidi w:val="0"/>
              <w:adjustRightInd/>
              <w:spacing w:line="360" w:lineRule="auto"/>
              <w:jc w:val="center"/>
              <w:textAlignment w:val="auto"/>
              <w:rPr>
                <w:color w:val="000000" w:themeColor="text1"/>
                <w:szCs w:val="21"/>
                <w:highlight w:val="none"/>
                <w14:textFill>
                  <w14:solidFill>
                    <w14:schemeClr w14:val="tx1"/>
                  </w14:solidFill>
                </w14:textFill>
              </w:rPr>
            </w:pPr>
          </w:p>
        </w:tc>
        <w:tc>
          <w:tcPr>
            <w:tcW w:w="1548" w:type="dxa"/>
            <w:gridSpan w:val="2"/>
            <w:noWrap w:val="0"/>
            <w:vAlign w:val="center"/>
          </w:tcPr>
          <w:p w14:paraId="5516848D">
            <w:pPr>
              <w:keepLines w:val="0"/>
              <w:pageBreakBefore w:val="0"/>
              <w:widowControl w:val="0"/>
              <w:kinsoku/>
              <w:wordWrap/>
              <w:overflowPunct/>
              <w:topLinePunct w:val="0"/>
              <w:bidi w:val="0"/>
              <w:adjustRightInd/>
              <w:spacing w:line="360" w:lineRule="auto"/>
              <w:jc w:val="center"/>
              <w:textAlignment w:val="auto"/>
              <w:rPr>
                <w:color w:val="000000" w:themeColor="text1"/>
                <w:szCs w:val="21"/>
                <w:highlight w:val="none"/>
                <w14:textFill>
                  <w14:solidFill>
                    <w14:schemeClr w14:val="tx1"/>
                  </w14:solidFill>
                </w14:textFill>
              </w:rPr>
            </w:pPr>
          </w:p>
        </w:tc>
        <w:tc>
          <w:tcPr>
            <w:tcW w:w="1547" w:type="dxa"/>
            <w:gridSpan w:val="2"/>
            <w:noWrap w:val="0"/>
            <w:vAlign w:val="center"/>
          </w:tcPr>
          <w:p w14:paraId="48663797">
            <w:pPr>
              <w:keepLines w:val="0"/>
              <w:pageBreakBefore w:val="0"/>
              <w:widowControl w:val="0"/>
              <w:kinsoku/>
              <w:wordWrap/>
              <w:overflowPunct/>
              <w:topLinePunct w:val="0"/>
              <w:bidi w:val="0"/>
              <w:adjustRightInd/>
              <w:spacing w:line="360" w:lineRule="auto"/>
              <w:jc w:val="center"/>
              <w:textAlignment w:val="auto"/>
              <w:rPr>
                <w:color w:val="000000" w:themeColor="text1"/>
                <w:szCs w:val="21"/>
                <w:highlight w:val="none"/>
                <w14:textFill>
                  <w14:solidFill>
                    <w14:schemeClr w14:val="tx1"/>
                  </w14:solidFill>
                </w14:textFill>
              </w:rPr>
            </w:pPr>
          </w:p>
        </w:tc>
        <w:tc>
          <w:tcPr>
            <w:tcW w:w="1548" w:type="dxa"/>
            <w:gridSpan w:val="2"/>
            <w:noWrap w:val="0"/>
            <w:vAlign w:val="center"/>
          </w:tcPr>
          <w:p w14:paraId="042A65FF">
            <w:pPr>
              <w:keepLines w:val="0"/>
              <w:pageBreakBefore w:val="0"/>
              <w:widowControl w:val="0"/>
              <w:kinsoku/>
              <w:wordWrap/>
              <w:overflowPunct/>
              <w:topLinePunct w:val="0"/>
              <w:bidi w:val="0"/>
              <w:adjustRightInd/>
              <w:spacing w:line="360" w:lineRule="auto"/>
              <w:jc w:val="center"/>
              <w:textAlignment w:val="auto"/>
              <w:rPr>
                <w:color w:val="000000" w:themeColor="text1"/>
                <w:szCs w:val="21"/>
                <w:highlight w:val="none"/>
                <w14:textFill>
                  <w14:solidFill>
                    <w14:schemeClr w14:val="tx1"/>
                  </w14:solidFill>
                </w14:textFill>
              </w:rPr>
            </w:pPr>
          </w:p>
        </w:tc>
      </w:tr>
    </w:tbl>
    <w:p w14:paraId="39E48FFC">
      <w:pPr>
        <w:keepLines w:val="0"/>
        <w:pageBreakBefore w:val="0"/>
        <w:widowControl w:val="0"/>
        <w:kinsoku/>
        <w:wordWrap/>
        <w:overflowPunct/>
        <w:topLinePunct w:val="0"/>
        <w:autoSpaceDE w:val="0"/>
        <w:autoSpaceDN w:val="0"/>
        <w:bidi w:val="0"/>
        <w:adjustRightInd/>
        <w:spacing w:line="360" w:lineRule="auto"/>
        <w:textAlignment w:val="auto"/>
        <w:rPr>
          <w:b/>
          <w:color w:val="000000" w:themeColor="text1"/>
          <w:szCs w:val="21"/>
          <w:highlight w:val="none"/>
          <w14:textFill>
            <w14:solidFill>
              <w14:schemeClr w14:val="tx1"/>
            </w14:solidFill>
          </w14:textFill>
        </w:rPr>
      </w:pPr>
    </w:p>
    <w:p w14:paraId="4F26E6CB">
      <w:pPr>
        <w:keepLines w:val="0"/>
        <w:pageBreakBefore w:val="0"/>
        <w:widowControl w:val="0"/>
        <w:kinsoku/>
        <w:wordWrap/>
        <w:overflowPunct/>
        <w:topLinePunct w:val="0"/>
        <w:bidi w:val="0"/>
        <w:adjustRightInd/>
        <w:spacing w:line="360" w:lineRule="auto"/>
        <w:ind w:firstLine="420" w:firstLineChars="200"/>
        <w:textAlignment w:val="auto"/>
        <w:rPr>
          <w:rFonts w:hint="eastAsia" w:eastAsia="楷体"/>
          <w:b/>
          <w:color w:val="000000" w:themeColor="text1"/>
          <w:szCs w:val="21"/>
          <w:highlight w:val="none"/>
          <w14:textFill>
            <w14:solidFill>
              <w14:schemeClr w14:val="tx1"/>
            </w14:solidFill>
          </w14:textFill>
        </w:rPr>
      </w:pPr>
      <w:r>
        <w:rPr>
          <w:rFonts w:hint="eastAsia" w:ascii="楷体" w:hAnsi="楷体" w:eastAsia="楷体"/>
          <w:color w:val="000000" w:themeColor="text1"/>
          <w:highlight w:val="none"/>
          <w14:textFill>
            <w14:solidFill>
              <w14:schemeClr w14:val="tx1"/>
            </w14:solidFill>
          </w14:textFill>
        </w:rPr>
        <w:t>备注：</w:t>
      </w:r>
      <w:r>
        <w:rPr>
          <w:rFonts w:hint="eastAsia" w:eastAsia="楷体"/>
          <w:color w:val="000000" w:themeColor="text1"/>
          <w:highlight w:val="none"/>
          <w14:textFill>
            <w14:solidFill>
              <w14:schemeClr w14:val="tx1"/>
            </w14:solidFill>
          </w14:textFill>
        </w:rPr>
        <w:t>附身份证、注册建造师执业资格证、职称证（如有）、</w:t>
      </w:r>
      <w:r>
        <w:rPr>
          <w:rFonts w:eastAsia="楷体"/>
          <w:color w:val="000000" w:themeColor="text1"/>
          <w:highlight w:val="none"/>
          <w14:textFill>
            <w14:solidFill>
              <w14:schemeClr w14:val="tx1"/>
            </w14:solidFill>
          </w14:textFill>
        </w:rPr>
        <w:t>已完成的类似工程应附中标</w:t>
      </w:r>
      <w:r>
        <w:rPr>
          <w:rFonts w:hint="eastAsia" w:eastAsia="楷体"/>
          <w:color w:val="000000" w:themeColor="text1"/>
          <w:highlight w:val="none"/>
          <w:lang w:eastAsia="zh-CN"/>
          <w14:textFill>
            <w14:solidFill>
              <w14:schemeClr w14:val="tx1"/>
            </w14:solidFill>
          </w14:textFill>
        </w:rPr>
        <w:t>（</w:t>
      </w:r>
      <w:r>
        <w:rPr>
          <w:rFonts w:hint="eastAsia" w:eastAsia="楷体"/>
          <w:color w:val="000000" w:themeColor="text1"/>
          <w:highlight w:val="none"/>
          <w:lang w:val="en-US" w:eastAsia="zh-CN"/>
          <w14:textFill>
            <w14:solidFill>
              <w14:schemeClr w14:val="tx1"/>
            </w14:solidFill>
          </w14:textFill>
        </w:rPr>
        <w:t>成交</w:t>
      </w:r>
      <w:r>
        <w:rPr>
          <w:rFonts w:hint="eastAsia" w:eastAsia="楷体"/>
          <w:color w:val="000000" w:themeColor="text1"/>
          <w:highlight w:val="none"/>
          <w:lang w:eastAsia="zh-CN"/>
          <w14:textFill>
            <w14:solidFill>
              <w14:schemeClr w14:val="tx1"/>
            </w14:solidFill>
          </w14:textFill>
        </w:rPr>
        <w:t>）</w:t>
      </w:r>
      <w:r>
        <w:rPr>
          <w:rFonts w:eastAsia="楷体"/>
          <w:color w:val="000000" w:themeColor="text1"/>
          <w:highlight w:val="none"/>
          <w14:textFill>
            <w14:solidFill>
              <w14:schemeClr w14:val="tx1"/>
            </w14:solidFill>
          </w14:textFill>
        </w:rPr>
        <w:t>通知书（如有）、合同协议书有关页面（如有）、工程竣工验收证明材料（如有）的</w:t>
      </w:r>
      <w:r>
        <w:rPr>
          <w:rFonts w:hint="eastAsia" w:eastAsia="楷体"/>
          <w:color w:val="000000" w:themeColor="text1"/>
          <w:highlight w:val="none"/>
          <w14:textFill>
            <w14:solidFill>
              <w14:schemeClr w14:val="tx1"/>
            </w14:solidFill>
          </w14:textFill>
        </w:rPr>
        <w:t>扫描件。</w:t>
      </w:r>
    </w:p>
    <w:p w14:paraId="028F8F01">
      <w:pPr>
        <w:keepLines w:val="0"/>
        <w:pageBreakBefore w:val="0"/>
        <w:widowControl w:val="0"/>
        <w:kinsoku/>
        <w:wordWrap/>
        <w:overflowPunct/>
        <w:topLinePunct w:val="0"/>
        <w:bidi w:val="0"/>
        <w:adjustRightInd/>
        <w:spacing w:line="360" w:lineRule="auto"/>
        <w:ind w:firstLine="4410" w:firstLineChars="2100"/>
        <w:textAlignment w:val="auto"/>
        <w:rPr>
          <w:color w:val="000000" w:themeColor="text1"/>
          <w:szCs w:val="21"/>
          <w:highlight w:val="none"/>
          <w:u w:val="single"/>
          <w14:textFill>
            <w14:solidFill>
              <w14:schemeClr w14:val="tx1"/>
            </w14:solidFill>
          </w14:textFill>
        </w:rPr>
      </w:pPr>
      <w:r>
        <w:rPr>
          <w:color w:val="000000" w:themeColor="text1"/>
          <w:szCs w:val="21"/>
          <w:highlight w:val="none"/>
          <w14:textFill>
            <w14:solidFill>
              <w14:schemeClr w14:val="tx1"/>
            </w14:solidFill>
          </w14:textFill>
        </w:rPr>
        <w:t>供应商</w:t>
      </w:r>
      <w:r>
        <w:rPr>
          <w:color w:val="000000" w:themeColor="text1"/>
          <w:kern w:val="0"/>
          <w:szCs w:val="21"/>
          <w:highlight w:val="none"/>
          <w14:textFill>
            <w14:solidFill>
              <w14:schemeClr w14:val="tx1"/>
            </w14:solidFill>
          </w14:textFill>
        </w:rPr>
        <w:t>名称</w:t>
      </w:r>
      <w:r>
        <w:rPr>
          <w:color w:val="000000" w:themeColor="text1"/>
          <w:szCs w:val="21"/>
          <w:highlight w:val="none"/>
          <w14:textFill>
            <w14:solidFill>
              <w14:schemeClr w14:val="tx1"/>
            </w14:solidFill>
          </w14:textFill>
        </w:rPr>
        <w:t>（盖公章）：</w:t>
      </w:r>
      <w:r>
        <w:rPr>
          <w:color w:val="000000" w:themeColor="text1"/>
          <w:szCs w:val="21"/>
          <w:highlight w:val="none"/>
          <w:u w:val="single"/>
          <w14:textFill>
            <w14:solidFill>
              <w14:schemeClr w14:val="tx1"/>
            </w14:solidFill>
          </w14:textFill>
        </w:rPr>
        <w:t xml:space="preserve">                   </w:t>
      </w:r>
    </w:p>
    <w:p w14:paraId="1ABE3AC1">
      <w:pPr>
        <w:keepLines w:val="0"/>
        <w:pageBreakBefore w:val="0"/>
        <w:widowControl w:val="0"/>
        <w:kinsoku/>
        <w:wordWrap/>
        <w:overflowPunct/>
        <w:topLinePunct w:val="0"/>
        <w:bidi w:val="0"/>
        <w:adjustRightInd/>
        <w:snapToGrid w:val="0"/>
        <w:spacing w:line="360" w:lineRule="auto"/>
        <w:ind w:firstLine="420" w:firstLineChars="200"/>
        <w:textAlignment w:val="auto"/>
        <w:rPr>
          <w:rFonts w:hint="eastAsia" w:ascii="仿宋" w:hAnsi="仿宋" w:eastAsia="仿宋" w:cs="仿宋_GB2312"/>
          <w:b/>
          <w:color w:val="000000" w:themeColor="text1"/>
          <w:sz w:val="30"/>
          <w:szCs w:val="30"/>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 xml:space="preserve">                                      </w:t>
      </w:r>
      <w:r>
        <w:rPr>
          <w:color w:val="000000" w:themeColor="text1"/>
          <w:szCs w:val="21"/>
          <w:highlight w:val="none"/>
          <w14:textFill>
            <w14:solidFill>
              <w14:schemeClr w14:val="tx1"/>
            </w14:solidFill>
          </w14:textFill>
        </w:rPr>
        <w:t>日期：</w:t>
      </w:r>
      <w:r>
        <w:rPr>
          <w:color w:val="000000" w:themeColor="text1"/>
          <w:szCs w:val="21"/>
          <w:highlight w:val="none"/>
          <w:u w:val="single"/>
          <w14:textFill>
            <w14:solidFill>
              <w14:schemeClr w14:val="tx1"/>
            </w14:solidFill>
          </w14:textFill>
        </w:rPr>
        <w:t xml:space="preserve">         </w:t>
      </w:r>
      <w:r>
        <w:rPr>
          <w:color w:val="000000" w:themeColor="text1"/>
          <w:szCs w:val="21"/>
          <w:highlight w:val="none"/>
          <w14:textFill>
            <w14:solidFill>
              <w14:schemeClr w14:val="tx1"/>
            </w14:solidFill>
          </w14:textFill>
        </w:rPr>
        <w:t>年</w:t>
      </w:r>
      <w:r>
        <w:rPr>
          <w:color w:val="000000" w:themeColor="text1"/>
          <w:szCs w:val="21"/>
          <w:highlight w:val="none"/>
          <w:u w:val="single"/>
          <w14:textFill>
            <w14:solidFill>
              <w14:schemeClr w14:val="tx1"/>
            </w14:solidFill>
          </w14:textFill>
        </w:rPr>
        <w:t xml:space="preserve">        </w:t>
      </w:r>
      <w:r>
        <w:rPr>
          <w:color w:val="000000" w:themeColor="text1"/>
          <w:szCs w:val="21"/>
          <w:highlight w:val="none"/>
          <w14:textFill>
            <w14:solidFill>
              <w14:schemeClr w14:val="tx1"/>
            </w14:solidFill>
          </w14:textFill>
        </w:rPr>
        <w:t>月</w:t>
      </w:r>
      <w:r>
        <w:rPr>
          <w:color w:val="000000" w:themeColor="text1"/>
          <w:szCs w:val="21"/>
          <w:highlight w:val="none"/>
          <w:u w:val="single"/>
          <w14:textFill>
            <w14:solidFill>
              <w14:schemeClr w14:val="tx1"/>
            </w14:solidFill>
          </w14:textFill>
        </w:rPr>
        <w:t xml:space="preserve">        </w:t>
      </w:r>
      <w:r>
        <w:rPr>
          <w:color w:val="000000" w:themeColor="text1"/>
          <w:szCs w:val="21"/>
          <w:highlight w:val="none"/>
          <w14:textFill>
            <w14:solidFill>
              <w14:schemeClr w14:val="tx1"/>
            </w14:solidFill>
          </w14:textFill>
        </w:rPr>
        <w:t>日</w:t>
      </w:r>
    </w:p>
    <w:p w14:paraId="6F8D386E">
      <w:pPr>
        <w:keepLines w:val="0"/>
        <w:pageBreakBefore w:val="0"/>
        <w:widowControl w:val="0"/>
        <w:kinsoku/>
        <w:wordWrap/>
        <w:overflowPunct/>
        <w:topLinePunct w:val="0"/>
        <w:autoSpaceDE w:val="0"/>
        <w:autoSpaceDN w:val="0"/>
        <w:bidi w:val="0"/>
        <w:adjustRightInd/>
        <w:spacing w:line="360" w:lineRule="auto"/>
        <w:textAlignment w:val="auto"/>
        <w:rPr>
          <w:b/>
          <w:color w:val="000000" w:themeColor="text1"/>
          <w:szCs w:val="21"/>
          <w:highlight w:val="none"/>
          <w14:textFill>
            <w14:solidFill>
              <w14:schemeClr w14:val="tx1"/>
            </w14:solidFill>
          </w14:textFill>
        </w:rPr>
      </w:pPr>
    </w:p>
    <w:p w14:paraId="5B7AC977">
      <w:pPr>
        <w:pStyle w:val="11"/>
        <w:keepLines w:val="0"/>
        <w:pageBreakBefore w:val="0"/>
        <w:widowControl w:val="0"/>
        <w:kinsoku/>
        <w:wordWrap/>
        <w:overflowPunct/>
        <w:topLinePunct w:val="0"/>
        <w:bidi w:val="0"/>
        <w:adjustRightInd/>
        <w:spacing w:line="360" w:lineRule="auto"/>
        <w:textAlignment w:val="auto"/>
        <w:rPr>
          <w:b/>
          <w:color w:val="000000" w:themeColor="text1"/>
          <w:szCs w:val="21"/>
          <w:highlight w:val="none"/>
          <w14:textFill>
            <w14:solidFill>
              <w14:schemeClr w14:val="tx1"/>
            </w14:solidFill>
          </w14:textFill>
        </w:rPr>
      </w:pPr>
    </w:p>
    <w:p w14:paraId="0A1351BB">
      <w:pPr>
        <w:keepLines w:val="0"/>
        <w:pageBreakBefore w:val="0"/>
        <w:widowControl w:val="0"/>
        <w:kinsoku/>
        <w:wordWrap/>
        <w:overflowPunct/>
        <w:topLinePunct w:val="0"/>
        <w:autoSpaceDE w:val="0"/>
        <w:autoSpaceDN w:val="0"/>
        <w:bidi w:val="0"/>
        <w:adjustRightInd/>
        <w:spacing w:line="360" w:lineRule="auto"/>
        <w:textAlignment w:val="auto"/>
        <w:rPr>
          <w:rFonts w:hint="eastAsia"/>
          <w:b/>
          <w:color w:val="000000" w:themeColor="text1"/>
          <w:szCs w:val="21"/>
          <w:highlight w:val="none"/>
          <w14:textFill>
            <w14:solidFill>
              <w14:schemeClr w14:val="tx1"/>
            </w14:solidFill>
          </w14:textFill>
        </w:rPr>
      </w:pPr>
    </w:p>
    <w:p w14:paraId="6CB24957">
      <w:pPr>
        <w:keepLines w:val="0"/>
        <w:pageBreakBefore w:val="0"/>
        <w:widowControl w:val="0"/>
        <w:kinsoku/>
        <w:wordWrap/>
        <w:overflowPunct/>
        <w:topLinePunct w:val="0"/>
        <w:autoSpaceDE w:val="0"/>
        <w:autoSpaceDN w:val="0"/>
        <w:bidi w:val="0"/>
        <w:adjustRightInd/>
        <w:spacing w:line="360" w:lineRule="auto"/>
        <w:textAlignment w:val="auto"/>
        <w:rPr>
          <w:rFonts w:hint="eastAsia"/>
          <w:b/>
          <w:color w:val="000000" w:themeColor="text1"/>
          <w:szCs w:val="21"/>
          <w:highlight w:val="none"/>
          <w14:textFill>
            <w14:solidFill>
              <w14:schemeClr w14:val="tx1"/>
            </w14:solidFill>
          </w14:textFill>
        </w:rPr>
      </w:pPr>
    </w:p>
    <w:p w14:paraId="219282AB">
      <w:pPr>
        <w:keepLines w:val="0"/>
        <w:pageBreakBefore w:val="0"/>
        <w:widowControl w:val="0"/>
        <w:kinsoku/>
        <w:wordWrap/>
        <w:overflowPunct/>
        <w:topLinePunct w:val="0"/>
        <w:autoSpaceDE w:val="0"/>
        <w:autoSpaceDN w:val="0"/>
        <w:bidi w:val="0"/>
        <w:adjustRightInd/>
        <w:spacing w:line="360" w:lineRule="auto"/>
        <w:textAlignment w:val="auto"/>
        <w:rPr>
          <w:rFonts w:hint="eastAsia"/>
          <w:b/>
          <w:color w:val="000000" w:themeColor="text1"/>
          <w:szCs w:val="21"/>
          <w:highlight w:val="none"/>
          <w14:textFill>
            <w14:solidFill>
              <w14:schemeClr w14:val="tx1"/>
            </w14:solidFill>
          </w14:textFill>
        </w:rPr>
      </w:pPr>
    </w:p>
    <w:p w14:paraId="7CF8D2D9">
      <w:pPr>
        <w:keepLines w:val="0"/>
        <w:pageBreakBefore w:val="0"/>
        <w:widowControl w:val="0"/>
        <w:kinsoku/>
        <w:wordWrap/>
        <w:overflowPunct/>
        <w:topLinePunct w:val="0"/>
        <w:autoSpaceDE w:val="0"/>
        <w:autoSpaceDN w:val="0"/>
        <w:bidi w:val="0"/>
        <w:adjustRightInd/>
        <w:spacing w:line="360" w:lineRule="auto"/>
        <w:textAlignment w:val="auto"/>
        <w:rPr>
          <w:rFonts w:hint="eastAsia"/>
          <w:b/>
          <w:color w:val="000000" w:themeColor="text1"/>
          <w:szCs w:val="21"/>
          <w:highlight w:val="none"/>
          <w14:textFill>
            <w14:solidFill>
              <w14:schemeClr w14:val="tx1"/>
            </w14:solidFill>
          </w14:textFill>
        </w:rPr>
      </w:pPr>
    </w:p>
    <w:p w14:paraId="46AC8B5E">
      <w:pPr>
        <w:rPr>
          <w:rFonts w:hint="eastAsia"/>
          <w:b/>
          <w:color w:val="000000" w:themeColor="text1"/>
          <w:szCs w:val="21"/>
          <w:highlight w:val="none"/>
          <w14:textFill>
            <w14:solidFill>
              <w14:schemeClr w14:val="tx1"/>
            </w14:solidFill>
          </w14:textFill>
        </w:rPr>
      </w:pPr>
      <w:r>
        <w:rPr>
          <w:rFonts w:hint="eastAsia"/>
          <w:b/>
          <w:color w:val="000000" w:themeColor="text1"/>
          <w:szCs w:val="21"/>
          <w:highlight w:val="none"/>
          <w14:textFill>
            <w14:solidFill>
              <w14:schemeClr w14:val="tx1"/>
            </w14:solidFill>
          </w14:textFill>
        </w:rPr>
        <w:br w:type="page"/>
      </w:r>
    </w:p>
    <w:p w14:paraId="4BF905C7">
      <w:pPr>
        <w:keepNext w:val="0"/>
        <w:keepLines w:val="0"/>
        <w:pageBreakBefore w:val="0"/>
        <w:widowControl w:val="0"/>
        <w:kinsoku/>
        <w:wordWrap/>
        <w:overflowPunct/>
        <w:topLinePunct w:val="0"/>
        <w:autoSpaceDE w:val="0"/>
        <w:autoSpaceDN w:val="0"/>
        <w:bidi w:val="0"/>
        <w:adjustRightInd/>
        <w:spacing w:line="360" w:lineRule="auto"/>
        <w:jc w:val="center"/>
        <w:textAlignment w:val="auto"/>
        <w:rPr>
          <w:b/>
          <w:color w:val="000000" w:themeColor="text1"/>
          <w:sz w:val="32"/>
          <w:szCs w:val="32"/>
          <w:highlight w:val="none"/>
          <w14:textFill>
            <w14:solidFill>
              <w14:schemeClr w14:val="tx1"/>
            </w14:solidFill>
          </w14:textFill>
        </w:rPr>
      </w:pPr>
      <w:r>
        <w:rPr>
          <w:rFonts w:hint="eastAsia"/>
          <w:b/>
          <w:color w:val="000000" w:themeColor="text1"/>
          <w:sz w:val="32"/>
          <w:szCs w:val="32"/>
          <w:highlight w:val="none"/>
          <w14:textFill>
            <w14:solidFill>
              <w14:schemeClr w14:val="tx1"/>
            </w14:solidFill>
          </w14:textFill>
        </w:rPr>
        <w:t>项目管理机构配备情况表</w:t>
      </w:r>
    </w:p>
    <w:tbl>
      <w:tblPr>
        <w:tblStyle w:val="29"/>
        <w:tblW w:w="97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3"/>
        <w:gridCol w:w="829"/>
        <w:gridCol w:w="816"/>
        <w:gridCol w:w="1148"/>
        <w:gridCol w:w="1148"/>
        <w:gridCol w:w="1148"/>
        <w:gridCol w:w="1148"/>
        <w:gridCol w:w="850"/>
        <w:gridCol w:w="1679"/>
      </w:tblGrid>
      <w:tr w14:paraId="20F2D9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7" w:hRule="atLeast"/>
          <w:jc w:val="center"/>
        </w:trPr>
        <w:tc>
          <w:tcPr>
            <w:tcW w:w="993" w:type="dxa"/>
            <w:vMerge w:val="restart"/>
            <w:noWrap w:val="0"/>
            <w:vAlign w:val="center"/>
          </w:tcPr>
          <w:p w14:paraId="44F89831">
            <w:pPr>
              <w:keepNext w:val="0"/>
              <w:keepLines w:val="0"/>
              <w:pageBreakBefore w:val="0"/>
              <w:widowControl w:val="0"/>
              <w:kinsoku/>
              <w:wordWrap/>
              <w:overflowPunct/>
              <w:topLinePunct w:val="0"/>
              <w:bidi w:val="0"/>
              <w:adjustRightInd/>
              <w:spacing w:line="360" w:lineRule="auto"/>
              <w:ind w:left="223" w:hanging="222" w:hangingChars="106"/>
              <w:jc w:val="center"/>
              <w:textAlignment w:val="auto"/>
              <w:rPr>
                <w:color w:val="000000" w:themeColor="text1"/>
                <w:highlight w:val="none"/>
                <w14:textFill>
                  <w14:solidFill>
                    <w14:schemeClr w14:val="tx1"/>
                  </w14:solidFill>
                </w14:textFill>
              </w:rPr>
            </w:pPr>
            <w:r>
              <w:rPr>
                <w:rFonts w:hint="eastAsia" w:cs="宋体"/>
                <w:color w:val="000000" w:themeColor="text1"/>
                <w:highlight w:val="none"/>
                <w14:textFill>
                  <w14:solidFill>
                    <w14:schemeClr w14:val="tx1"/>
                  </w14:solidFill>
                </w14:textFill>
              </w:rPr>
              <w:t>岗位</w:t>
            </w:r>
          </w:p>
        </w:tc>
        <w:tc>
          <w:tcPr>
            <w:tcW w:w="829" w:type="dxa"/>
            <w:vMerge w:val="restart"/>
            <w:noWrap w:val="0"/>
            <w:vAlign w:val="center"/>
          </w:tcPr>
          <w:p w14:paraId="233659E1">
            <w:pPr>
              <w:keepNext w:val="0"/>
              <w:keepLines w:val="0"/>
              <w:pageBreakBefore w:val="0"/>
              <w:widowControl w:val="0"/>
              <w:kinsoku/>
              <w:wordWrap/>
              <w:overflowPunct/>
              <w:topLinePunct w:val="0"/>
              <w:bidi w:val="0"/>
              <w:adjustRightInd/>
              <w:spacing w:line="360" w:lineRule="auto"/>
              <w:ind w:left="223" w:hanging="222" w:hangingChars="106"/>
              <w:jc w:val="center"/>
              <w:textAlignment w:val="auto"/>
              <w:rPr>
                <w:color w:val="000000" w:themeColor="text1"/>
                <w:highlight w:val="none"/>
                <w14:textFill>
                  <w14:solidFill>
                    <w14:schemeClr w14:val="tx1"/>
                  </w14:solidFill>
                </w14:textFill>
              </w:rPr>
            </w:pPr>
            <w:r>
              <w:rPr>
                <w:rFonts w:hint="eastAsia" w:cs="宋体"/>
                <w:color w:val="000000" w:themeColor="text1"/>
                <w:highlight w:val="none"/>
                <w14:textFill>
                  <w14:solidFill>
                    <w14:schemeClr w14:val="tx1"/>
                  </w14:solidFill>
                </w14:textFill>
              </w:rPr>
              <w:t>姓名</w:t>
            </w:r>
          </w:p>
        </w:tc>
        <w:tc>
          <w:tcPr>
            <w:tcW w:w="816" w:type="dxa"/>
            <w:vMerge w:val="restart"/>
            <w:noWrap w:val="0"/>
            <w:vAlign w:val="center"/>
          </w:tcPr>
          <w:p w14:paraId="7DFE17C1">
            <w:pPr>
              <w:keepNext w:val="0"/>
              <w:keepLines w:val="0"/>
              <w:pageBreakBefore w:val="0"/>
              <w:widowControl w:val="0"/>
              <w:kinsoku/>
              <w:wordWrap/>
              <w:overflowPunct/>
              <w:topLinePunct w:val="0"/>
              <w:bidi w:val="0"/>
              <w:adjustRightInd/>
              <w:spacing w:line="360" w:lineRule="auto"/>
              <w:ind w:left="223" w:hanging="222" w:hangingChars="106"/>
              <w:jc w:val="center"/>
              <w:textAlignment w:val="auto"/>
              <w:rPr>
                <w:color w:val="000000" w:themeColor="text1"/>
                <w:highlight w:val="none"/>
                <w14:textFill>
                  <w14:solidFill>
                    <w14:schemeClr w14:val="tx1"/>
                  </w14:solidFill>
                </w14:textFill>
              </w:rPr>
            </w:pPr>
            <w:r>
              <w:rPr>
                <w:rFonts w:hint="eastAsia" w:cs="宋体"/>
                <w:color w:val="000000" w:themeColor="text1"/>
                <w:highlight w:val="none"/>
                <w14:textFill>
                  <w14:solidFill>
                    <w14:schemeClr w14:val="tx1"/>
                  </w14:solidFill>
                </w14:textFill>
              </w:rPr>
              <w:t>职称</w:t>
            </w:r>
          </w:p>
        </w:tc>
        <w:tc>
          <w:tcPr>
            <w:tcW w:w="4592" w:type="dxa"/>
            <w:gridSpan w:val="4"/>
            <w:noWrap w:val="0"/>
            <w:vAlign w:val="center"/>
          </w:tcPr>
          <w:p w14:paraId="51FE74E2">
            <w:pPr>
              <w:keepNext w:val="0"/>
              <w:keepLines w:val="0"/>
              <w:pageBreakBefore w:val="0"/>
              <w:widowControl w:val="0"/>
              <w:kinsoku/>
              <w:wordWrap/>
              <w:overflowPunct/>
              <w:topLinePunct w:val="0"/>
              <w:bidi w:val="0"/>
              <w:adjustRightInd/>
              <w:spacing w:line="360" w:lineRule="auto"/>
              <w:ind w:left="223" w:hanging="222" w:hangingChars="106"/>
              <w:jc w:val="center"/>
              <w:textAlignment w:val="auto"/>
              <w:rPr>
                <w:color w:val="000000" w:themeColor="text1"/>
                <w:highlight w:val="none"/>
                <w14:textFill>
                  <w14:solidFill>
                    <w14:schemeClr w14:val="tx1"/>
                  </w14:solidFill>
                </w14:textFill>
              </w:rPr>
            </w:pPr>
            <w:r>
              <w:rPr>
                <w:rFonts w:hint="eastAsia" w:cs="宋体"/>
                <w:color w:val="000000" w:themeColor="text1"/>
                <w:highlight w:val="none"/>
                <w14:textFill>
                  <w14:solidFill>
                    <w14:schemeClr w14:val="tx1"/>
                  </w14:solidFill>
                </w14:textFill>
              </w:rPr>
              <w:t>执业或职业资格证明</w:t>
            </w:r>
          </w:p>
        </w:tc>
        <w:tc>
          <w:tcPr>
            <w:tcW w:w="2529" w:type="dxa"/>
            <w:gridSpan w:val="2"/>
            <w:noWrap w:val="0"/>
            <w:vAlign w:val="center"/>
          </w:tcPr>
          <w:p w14:paraId="5E60003D">
            <w:pPr>
              <w:keepNext w:val="0"/>
              <w:keepLines w:val="0"/>
              <w:pageBreakBefore w:val="0"/>
              <w:widowControl w:val="0"/>
              <w:kinsoku/>
              <w:wordWrap/>
              <w:overflowPunct/>
              <w:topLinePunct w:val="0"/>
              <w:bidi w:val="0"/>
              <w:adjustRightInd/>
              <w:spacing w:line="360" w:lineRule="auto"/>
              <w:ind w:left="223" w:hanging="222" w:hangingChars="106"/>
              <w:jc w:val="center"/>
              <w:textAlignment w:val="auto"/>
              <w:rPr>
                <w:color w:val="000000" w:themeColor="text1"/>
                <w:highlight w:val="none"/>
                <w14:textFill>
                  <w14:solidFill>
                    <w14:schemeClr w14:val="tx1"/>
                  </w14:solidFill>
                </w14:textFill>
              </w:rPr>
            </w:pPr>
            <w:r>
              <w:rPr>
                <w:rFonts w:hint="eastAsia" w:cs="宋体"/>
                <w:color w:val="000000" w:themeColor="text1"/>
                <w:highlight w:val="none"/>
                <w14:textFill>
                  <w14:solidFill>
                    <w14:schemeClr w14:val="tx1"/>
                  </w14:solidFill>
                </w14:textFill>
              </w:rPr>
              <w:t>承担完工工程情况</w:t>
            </w:r>
          </w:p>
        </w:tc>
      </w:tr>
      <w:tr w14:paraId="0D4338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4" w:hRule="atLeast"/>
          <w:jc w:val="center"/>
        </w:trPr>
        <w:tc>
          <w:tcPr>
            <w:tcW w:w="993" w:type="dxa"/>
            <w:vMerge w:val="continue"/>
            <w:noWrap w:val="0"/>
            <w:vAlign w:val="center"/>
          </w:tcPr>
          <w:p w14:paraId="5DDC13EB">
            <w:pPr>
              <w:keepNext w:val="0"/>
              <w:keepLines w:val="0"/>
              <w:pageBreakBefore w:val="0"/>
              <w:widowControl w:val="0"/>
              <w:kinsoku/>
              <w:wordWrap/>
              <w:overflowPunct/>
              <w:topLinePunct w:val="0"/>
              <w:bidi w:val="0"/>
              <w:adjustRightInd/>
              <w:spacing w:line="360" w:lineRule="auto"/>
              <w:ind w:left="223" w:hanging="222" w:hangingChars="106"/>
              <w:jc w:val="center"/>
              <w:textAlignment w:val="auto"/>
              <w:rPr>
                <w:color w:val="000000" w:themeColor="text1"/>
                <w:highlight w:val="none"/>
                <w14:textFill>
                  <w14:solidFill>
                    <w14:schemeClr w14:val="tx1"/>
                  </w14:solidFill>
                </w14:textFill>
              </w:rPr>
            </w:pPr>
          </w:p>
        </w:tc>
        <w:tc>
          <w:tcPr>
            <w:tcW w:w="829" w:type="dxa"/>
            <w:vMerge w:val="continue"/>
            <w:noWrap w:val="0"/>
            <w:vAlign w:val="center"/>
          </w:tcPr>
          <w:p w14:paraId="5419A724">
            <w:pPr>
              <w:keepNext w:val="0"/>
              <w:keepLines w:val="0"/>
              <w:pageBreakBefore w:val="0"/>
              <w:widowControl w:val="0"/>
              <w:kinsoku/>
              <w:wordWrap/>
              <w:overflowPunct/>
              <w:topLinePunct w:val="0"/>
              <w:bidi w:val="0"/>
              <w:adjustRightInd/>
              <w:spacing w:line="360" w:lineRule="auto"/>
              <w:ind w:left="223" w:hanging="222" w:hangingChars="106"/>
              <w:jc w:val="center"/>
              <w:textAlignment w:val="auto"/>
              <w:rPr>
                <w:color w:val="000000" w:themeColor="text1"/>
                <w:highlight w:val="none"/>
                <w14:textFill>
                  <w14:solidFill>
                    <w14:schemeClr w14:val="tx1"/>
                  </w14:solidFill>
                </w14:textFill>
              </w:rPr>
            </w:pPr>
          </w:p>
        </w:tc>
        <w:tc>
          <w:tcPr>
            <w:tcW w:w="816" w:type="dxa"/>
            <w:vMerge w:val="continue"/>
            <w:noWrap w:val="0"/>
            <w:vAlign w:val="center"/>
          </w:tcPr>
          <w:p w14:paraId="15ECAE40">
            <w:pPr>
              <w:keepNext w:val="0"/>
              <w:keepLines w:val="0"/>
              <w:pageBreakBefore w:val="0"/>
              <w:widowControl w:val="0"/>
              <w:kinsoku/>
              <w:wordWrap/>
              <w:overflowPunct/>
              <w:topLinePunct w:val="0"/>
              <w:bidi w:val="0"/>
              <w:adjustRightInd/>
              <w:spacing w:line="360" w:lineRule="auto"/>
              <w:ind w:left="223" w:hanging="222" w:hangingChars="106"/>
              <w:jc w:val="center"/>
              <w:textAlignment w:val="auto"/>
              <w:rPr>
                <w:color w:val="000000" w:themeColor="text1"/>
                <w:highlight w:val="none"/>
                <w14:textFill>
                  <w14:solidFill>
                    <w14:schemeClr w14:val="tx1"/>
                  </w14:solidFill>
                </w14:textFill>
              </w:rPr>
            </w:pPr>
          </w:p>
        </w:tc>
        <w:tc>
          <w:tcPr>
            <w:tcW w:w="1148" w:type="dxa"/>
            <w:noWrap w:val="0"/>
            <w:vAlign w:val="center"/>
          </w:tcPr>
          <w:p w14:paraId="6116DDC6">
            <w:pPr>
              <w:keepNext w:val="0"/>
              <w:keepLines w:val="0"/>
              <w:pageBreakBefore w:val="0"/>
              <w:widowControl w:val="0"/>
              <w:kinsoku/>
              <w:wordWrap/>
              <w:overflowPunct/>
              <w:topLinePunct w:val="0"/>
              <w:bidi w:val="0"/>
              <w:adjustRightInd/>
              <w:spacing w:line="360" w:lineRule="auto"/>
              <w:ind w:left="223" w:hanging="222" w:hangingChars="106"/>
              <w:jc w:val="center"/>
              <w:textAlignment w:val="auto"/>
              <w:rPr>
                <w:color w:val="000000" w:themeColor="text1"/>
                <w:highlight w:val="none"/>
                <w14:textFill>
                  <w14:solidFill>
                    <w14:schemeClr w14:val="tx1"/>
                  </w14:solidFill>
                </w14:textFill>
              </w:rPr>
            </w:pPr>
            <w:r>
              <w:rPr>
                <w:rFonts w:hint="eastAsia" w:cs="宋体"/>
                <w:color w:val="000000" w:themeColor="text1"/>
                <w:highlight w:val="none"/>
                <w14:textFill>
                  <w14:solidFill>
                    <w14:schemeClr w14:val="tx1"/>
                  </w14:solidFill>
                </w14:textFill>
              </w:rPr>
              <w:t>证书名称</w:t>
            </w:r>
          </w:p>
        </w:tc>
        <w:tc>
          <w:tcPr>
            <w:tcW w:w="1148" w:type="dxa"/>
            <w:noWrap w:val="0"/>
            <w:vAlign w:val="center"/>
          </w:tcPr>
          <w:p w14:paraId="19991F04">
            <w:pPr>
              <w:keepNext w:val="0"/>
              <w:keepLines w:val="0"/>
              <w:pageBreakBefore w:val="0"/>
              <w:widowControl w:val="0"/>
              <w:kinsoku/>
              <w:wordWrap/>
              <w:overflowPunct/>
              <w:topLinePunct w:val="0"/>
              <w:bidi w:val="0"/>
              <w:adjustRightInd/>
              <w:spacing w:line="360" w:lineRule="auto"/>
              <w:ind w:left="223" w:hanging="222" w:hangingChars="106"/>
              <w:jc w:val="center"/>
              <w:textAlignment w:val="auto"/>
              <w:rPr>
                <w:color w:val="000000" w:themeColor="text1"/>
                <w:highlight w:val="none"/>
                <w14:textFill>
                  <w14:solidFill>
                    <w14:schemeClr w14:val="tx1"/>
                  </w14:solidFill>
                </w14:textFill>
              </w:rPr>
            </w:pPr>
            <w:r>
              <w:rPr>
                <w:rFonts w:hint="eastAsia" w:cs="宋体"/>
                <w:color w:val="000000" w:themeColor="text1"/>
                <w:highlight w:val="none"/>
                <w14:textFill>
                  <w14:solidFill>
                    <w14:schemeClr w14:val="tx1"/>
                  </w14:solidFill>
                </w14:textFill>
              </w:rPr>
              <w:t>级别</w:t>
            </w:r>
          </w:p>
        </w:tc>
        <w:tc>
          <w:tcPr>
            <w:tcW w:w="1148" w:type="dxa"/>
            <w:noWrap w:val="0"/>
            <w:vAlign w:val="center"/>
          </w:tcPr>
          <w:p w14:paraId="3FC6EDAA">
            <w:pPr>
              <w:keepNext w:val="0"/>
              <w:keepLines w:val="0"/>
              <w:pageBreakBefore w:val="0"/>
              <w:widowControl w:val="0"/>
              <w:kinsoku/>
              <w:wordWrap/>
              <w:overflowPunct/>
              <w:topLinePunct w:val="0"/>
              <w:bidi w:val="0"/>
              <w:adjustRightInd/>
              <w:spacing w:line="360" w:lineRule="auto"/>
              <w:ind w:left="223" w:hanging="222" w:hangingChars="106"/>
              <w:jc w:val="center"/>
              <w:textAlignment w:val="auto"/>
              <w:rPr>
                <w:color w:val="000000" w:themeColor="text1"/>
                <w:highlight w:val="none"/>
                <w14:textFill>
                  <w14:solidFill>
                    <w14:schemeClr w14:val="tx1"/>
                  </w14:solidFill>
                </w14:textFill>
              </w:rPr>
            </w:pPr>
            <w:r>
              <w:rPr>
                <w:rFonts w:hint="eastAsia" w:cs="宋体"/>
                <w:color w:val="000000" w:themeColor="text1"/>
                <w:highlight w:val="none"/>
                <w14:textFill>
                  <w14:solidFill>
                    <w14:schemeClr w14:val="tx1"/>
                  </w14:solidFill>
                </w14:textFill>
              </w:rPr>
              <w:t>证号</w:t>
            </w:r>
          </w:p>
        </w:tc>
        <w:tc>
          <w:tcPr>
            <w:tcW w:w="1148" w:type="dxa"/>
            <w:noWrap w:val="0"/>
            <w:vAlign w:val="center"/>
          </w:tcPr>
          <w:p w14:paraId="44181183">
            <w:pPr>
              <w:keepNext w:val="0"/>
              <w:keepLines w:val="0"/>
              <w:pageBreakBefore w:val="0"/>
              <w:widowControl w:val="0"/>
              <w:kinsoku/>
              <w:wordWrap/>
              <w:overflowPunct/>
              <w:topLinePunct w:val="0"/>
              <w:bidi w:val="0"/>
              <w:adjustRightInd/>
              <w:spacing w:line="360" w:lineRule="auto"/>
              <w:ind w:left="223" w:hanging="222" w:hangingChars="106"/>
              <w:jc w:val="center"/>
              <w:textAlignment w:val="auto"/>
              <w:rPr>
                <w:color w:val="000000" w:themeColor="text1"/>
                <w:highlight w:val="none"/>
                <w14:textFill>
                  <w14:solidFill>
                    <w14:schemeClr w14:val="tx1"/>
                  </w14:solidFill>
                </w14:textFill>
              </w:rPr>
            </w:pPr>
            <w:r>
              <w:rPr>
                <w:rFonts w:hint="eastAsia" w:cs="宋体"/>
                <w:color w:val="000000" w:themeColor="text1"/>
                <w:highlight w:val="none"/>
                <w14:textFill>
                  <w14:solidFill>
                    <w14:schemeClr w14:val="tx1"/>
                  </w14:solidFill>
                </w14:textFill>
              </w:rPr>
              <w:t>专业</w:t>
            </w:r>
          </w:p>
        </w:tc>
        <w:tc>
          <w:tcPr>
            <w:tcW w:w="850" w:type="dxa"/>
            <w:noWrap w:val="0"/>
            <w:vAlign w:val="center"/>
          </w:tcPr>
          <w:p w14:paraId="7111C3FA">
            <w:pPr>
              <w:keepNext w:val="0"/>
              <w:keepLines w:val="0"/>
              <w:pageBreakBefore w:val="0"/>
              <w:widowControl w:val="0"/>
              <w:kinsoku/>
              <w:wordWrap/>
              <w:overflowPunct/>
              <w:topLinePunct w:val="0"/>
              <w:bidi w:val="0"/>
              <w:adjustRightInd/>
              <w:spacing w:line="360" w:lineRule="auto"/>
              <w:ind w:left="223" w:hanging="222" w:hangingChars="106"/>
              <w:jc w:val="center"/>
              <w:textAlignment w:val="auto"/>
              <w:rPr>
                <w:color w:val="000000" w:themeColor="text1"/>
                <w:highlight w:val="none"/>
                <w14:textFill>
                  <w14:solidFill>
                    <w14:schemeClr w14:val="tx1"/>
                  </w14:solidFill>
                </w14:textFill>
              </w:rPr>
            </w:pPr>
            <w:r>
              <w:rPr>
                <w:rFonts w:hint="eastAsia" w:cs="宋体"/>
                <w:color w:val="000000" w:themeColor="text1"/>
                <w:highlight w:val="none"/>
                <w14:textFill>
                  <w14:solidFill>
                    <w14:schemeClr w14:val="tx1"/>
                  </w14:solidFill>
                </w14:textFill>
              </w:rPr>
              <w:t>项目数</w:t>
            </w:r>
          </w:p>
        </w:tc>
        <w:tc>
          <w:tcPr>
            <w:tcW w:w="1679" w:type="dxa"/>
            <w:noWrap w:val="0"/>
            <w:vAlign w:val="center"/>
          </w:tcPr>
          <w:p w14:paraId="03B4E9E5">
            <w:pPr>
              <w:keepNext w:val="0"/>
              <w:keepLines w:val="0"/>
              <w:pageBreakBefore w:val="0"/>
              <w:widowControl w:val="0"/>
              <w:kinsoku/>
              <w:wordWrap/>
              <w:overflowPunct/>
              <w:topLinePunct w:val="0"/>
              <w:bidi w:val="0"/>
              <w:adjustRightInd/>
              <w:spacing w:line="360" w:lineRule="auto"/>
              <w:ind w:left="223" w:hanging="222" w:hangingChars="106"/>
              <w:jc w:val="center"/>
              <w:textAlignment w:val="auto"/>
              <w:rPr>
                <w:color w:val="000000" w:themeColor="text1"/>
                <w:highlight w:val="none"/>
                <w14:textFill>
                  <w14:solidFill>
                    <w14:schemeClr w14:val="tx1"/>
                  </w14:solidFill>
                </w14:textFill>
              </w:rPr>
            </w:pPr>
            <w:r>
              <w:rPr>
                <w:rFonts w:hint="eastAsia" w:cs="宋体"/>
                <w:color w:val="000000" w:themeColor="text1"/>
                <w:highlight w:val="none"/>
                <w14:textFill>
                  <w14:solidFill>
                    <w14:schemeClr w14:val="tx1"/>
                  </w14:solidFill>
                </w14:textFill>
              </w:rPr>
              <w:t>主要项目</w:t>
            </w:r>
          </w:p>
          <w:p w14:paraId="2500DDF8">
            <w:pPr>
              <w:keepNext w:val="0"/>
              <w:keepLines w:val="0"/>
              <w:pageBreakBefore w:val="0"/>
              <w:widowControl w:val="0"/>
              <w:kinsoku/>
              <w:wordWrap/>
              <w:overflowPunct/>
              <w:topLinePunct w:val="0"/>
              <w:bidi w:val="0"/>
              <w:adjustRightInd/>
              <w:spacing w:line="360" w:lineRule="auto"/>
              <w:ind w:left="223" w:hanging="222" w:hangingChars="106"/>
              <w:jc w:val="center"/>
              <w:textAlignment w:val="auto"/>
              <w:rPr>
                <w:color w:val="000000" w:themeColor="text1"/>
                <w:highlight w:val="none"/>
                <w14:textFill>
                  <w14:solidFill>
                    <w14:schemeClr w14:val="tx1"/>
                  </w14:solidFill>
                </w14:textFill>
              </w:rPr>
            </w:pPr>
            <w:r>
              <w:rPr>
                <w:rFonts w:hint="eastAsia" w:cs="宋体"/>
                <w:color w:val="000000" w:themeColor="text1"/>
                <w:highlight w:val="none"/>
                <w14:textFill>
                  <w14:solidFill>
                    <w14:schemeClr w14:val="tx1"/>
                  </w14:solidFill>
                </w14:textFill>
              </w:rPr>
              <w:t>名称</w:t>
            </w:r>
          </w:p>
        </w:tc>
      </w:tr>
      <w:tr w14:paraId="51432B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993" w:type="dxa"/>
            <w:noWrap w:val="0"/>
            <w:vAlign w:val="center"/>
          </w:tcPr>
          <w:p w14:paraId="6756A66B">
            <w:pPr>
              <w:keepNext w:val="0"/>
              <w:keepLines w:val="0"/>
              <w:pageBreakBefore w:val="0"/>
              <w:widowControl w:val="0"/>
              <w:kinsoku/>
              <w:wordWrap/>
              <w:overflowPunct/>
              <w:topLinePunct w:val="0"/>
              <w:bidi w:val="0"/>
              <w:adjustRightInd/>
              <w:spacing w:line="360" w:lineRule="auto"/>
              <w:ind w:left="223" w:hanging="222" w:hangingChars="106"/>
              <w:jc w:val="center"/>
              <w:textAlignment w:val="auto"/>
              <w:rPr>
                <w:color w:val="000000" w:themeColor="text1"/>
                <w:highlight w:val="none"/>
                <w14:textFill>
                  <w14:solidFill>
                    <w14:schemeClr w14:val="tx1"/>
                  </w14:solidFill>
                </w14:textFill>
              </w:rPr>
            </w:pPr>
          </w:p>
        </w:tc>
        <w:tc>
          <w:tcPr>
            <w:tcW w:w="829" w:type="dxa"/>
            <w:noWrap w:val="0"/>
            <w:vAlign w:val="center"/>
          </w:tcPr>
          <w:p w14:paraId="7C8B5E52">
            <w:pPr>
              <w:keepNext w:val="0"/>
              <w:keepLines w:val="0"/>
              <w:pageBreakBefore w:val="0"/>
              <w:widowControl w:val="0"/>
              <w:kinsoku/>
              <w:wordWrap/>
              <w:overflowPunct/>
              <w:topLinePunct w:val="0"/>
              <w:bidi w:val="0"/>
              <w:adjustRightInd/>
              <w:spacing w:line="360" w:lineRule="auto"/>
              <w:ind w:left="223" w:hanging="222" w:hangingChars="106"/>
              <w:jc w:val="center"/>
              <w:textAlignment w:val="auto"/>
              <w:rPr>
                <w:color w:val="000000" w:themeColor="text1"/>
                <w:highlight w:val="none"/>
                <w14:textFill>
                  <w14:solidFill>
                    <w14:schemeClr w14:val="tx1"/>
                  </w14:solidFill>
                </w14:textFill>
              </w:rPr>
            </w:pPr>
          </w:p>
        </w:tc>
        <w:tc>
          <w:tcPr>
            <w:tcW w:w="816" w:type="dxa"/>
            <w:noWrap w:val="0"/>
            <w:vAlign w:val="center"/>
          </w:tcPr>
          <w:p w14:paraId="651C086B">
            <w:pPr>
              <w:keepNext w:val="0"/>
              <w:keepLines w:val="0"/>
              <w:pageBreakBefore w:val="0"/>
              <w:widowControl w:val="0"/>
              <w:kinsoku/>
              <w:wordWrap/>
              <w:overflowPunct/>
              <w:topLinePunct w:val="0"/>
              <w:bidi w:val="0"/>
              <w:adjustRightInd/>
              <w:spacing w:line="360" w:lineRule="auto"/>
              <w:ind w:left="223" w:hanging="222" w:hangingChars="106"/>
              <w:jc w:val="center"/>
              <w:textAlignment w:val="auto"/>
              <w:rPr>
                <w:color w:val="000000" w:themeColor="text1"/>
                <w:highlight w:val="none"/>
                <w14:textFill>
                  <w14:solidFill>
                    <w14:schemeClr w14:val="tx1"/>
                  </w14:solidFill>
                </w14:textFill>
              </w:rPr>
            </w:pPr>
          </w:p>
        </w:tc>
        <w:tc>
          <w:tcPr>
            <w:tcW w:w="1148" w:type="dxa"/>
            <w:noWrap w:val="0"/>
            <w:vAlign w:val="center"/>
          </w:tcPr>
          <w:p w14:paraId="4BE6B166">
            <w:pPr>
              <w:keepNext w:val="0"/>
              <w:keepLines w:val="0"/>
              <w:pageBreakBefore w:val="0"/>
              <w:widowControl w:val="0"/>
              <w:kinsoku/>
              <w:wordWrap/>
              <w:overflowPunct/>
              <w:topLinePunct w:val="0"/>
              <w:bidi w:val="0"/>
              <w:adjustRightInd/>
              <w:spacing w:line="360" w:lineRule="auto"/>
              <w:ind w:left="223" w:hanging="222" w:hangingChars="106"/>
              <w:jc w:val="center"/>
              <w:textAlignment w:val="auto"/>
              <w:rPr>
                <w:color w:val="000000" w:themeColor="text1"/>
                <w:highlight w:val="none"/>
                <w14:textFill>
                  <w14:solidFill>
                    <w14:schemeClr w14:val="tx1"/>
                  </w14:solidFill>
                </w14:textFill>
              </w:rPr>
            </w:pPr>
          </w:p>
        </w:tc>
        <w:tc>
          <w:tcPr>
            <w:tcW w:w="1148" w:type="dxa"/>
            <w:noWrap w:val="0"/>
            <w:vAlign w:val="center"/>
          </w:tcPr>
          <w:p w14:paraId="32547C19">
            <w:pPr>
              <w:keepNext w:val="0"/>
              <w:keepLines w:val="0"/>
              <w:pageBreakBefore w:val="0"/>
              <w:widowControl w:val="0"/>
              <w:kinsoku/>
              <w:wordWrap/>
              <w:overflowPunct/>
              <w:topLinePunct w:val="0"/>
              <w:bidi w:val="0"/>
              <w:adjustRightInd/>
              <w:spacing w:line="360" w:lineRule="auto"/>
              <w:ind w:left="223" w:hanging="222" w:hangingChars="106"/>
              <w:jc w:val="center"/>
              <w:textAlignment w:val="auto"/>
              <w:rPr>
                <w:color w:val="000000" w:themeColor="text1"/>
                <w:highlight w:val="none"/>
                <w14:textFill>
                  <w14:solidFill>
                    <w14:schemeClr w14:val="tx1"/>
                  </w14:solidFill>
                </w14:textFill>
              </w:rPr>
            </w:pPr>
          </w:p>
        </w:tc>
        <w:tc>
          <w:tcPr>
            <w:tcW w:w="1148" w:type="dxa"/>
            <w:noWrap w:val="0"/>
            <w:vAlign w:val="center"/>
          </w:tcPr>
          <w:p w14:paraId="608474E5">
            <w:pPr>
              <w:keepNext w:val="0"/>
              <w:keepLines w:val="0"/>
              <w:pageBreakBefore w:val="0"/>
              <w:widowControl w:val="0"/>
              <w:kinsoku/>
              <w:wordWrap/>
              <w:overflowPunct/>
              <w:topLinePunct w:val="0"/>
              <w:bidi w:val="0"/>
              <w:adjustRightInd/>
              <w:spacing w:line="360" w:lineRule="auto"/>
              <w:ind w:left="223" w:hanging="222" w:hangingChars="106"/>
              <w:jc w:val="center"/>
              <w:textAlignment w:val="auto"/>
              <w:rPr>
                <w:color w:val="000000" w:themeColor="text1"/>
                <w:highlight w:val="none"/>
                <w14:textFill>
                  <w14:solidFill>
                    <w14:schemeClr w14:val="tx1"/>
                  </w14:solidFill>
                </w14:textFill>
              </w:rPr>
            </w:pPr>
          </w:p>
        </w:tc>
        <w:tc>
          <w:tcPr>
            <w:tcW w:w="1148" w:type="dxa"/>
            <w:noWrap w:val="0"/>
            <w:vAlign w:val="center"/>
          </w:tcPr>
          <w:p w14:paraId="15E8434D">
            <w:pPr>
              <w:keepNext w:val="0"/>
              <w:keepLines w:val="0"/>
              <w:pageBreakBefore w:val="0"/>
              <w:widowControl w:val="0"/>
              <w:kinsoku/>
              <w:wordWrap/>
              <w:overflowPunct/>
              <w:topLinePunct w:val="0"/>
              <w:bidi w:val="0"/>
              <w:adjustRightInd/>
              <w:spacing w:line="360" w:lineRule="auto"/>
              <w:ind w:left="223" w:hanging="222" w:hangingChars="106"/>
              <w:jc w:val="center"/>
              <w:textAlignment w:val="auto"/>
              <w:rPr>
                <w:color w:val="000000" w:themeColor="text1"/>
                <w:highlight w:val="none"/>
                <w14:textFill>
                  <w14:solidFill>
                    <w14:schemeClr w14:val="tx1"/>
                  </w14:solidFill>
                </w14:textFill>
              </w:rPr>
            </w:pPr>
          </w:p>
        </w:tc>
        <w:tc>
          <w:tcPr>
            <w:tcW w:w="850" w:type="dxa"/>
            <w:noWrap w:val="0"/>
            <w:vAlign w:val="center"/>
          </w:tcPr>
          <w:p w14:paraId="0A22A1B8">
            <w:pPr>
              <w:keepNext w:val="0"/>
              <w:keepLines w:val="0"/>
              <w:pageBreakBefore w:val="0"/>
              <w:widowControl w:val="0"/>
              <w:kinsoku/>
              <w:wordWrap/>
              <w:overflowPunct/>
              <w:topLinePunct w:val="0"/>
              <w:bidi w:val="0"/>
              <w:adjustRightInd/>
              <w:spacing w:line="360" w:lineRule="auto"/>
              <w:ind w:left="223" w:hanging="222" w:hangingChars="106"/>
              <w:jc w:val="center"/>
              <w:textAlignment w:val="auto"/>
              <w:rPr>
                <w:color w:val="000000" w:themeColor="text1"/>
                <w:highlight w:val="none"/>
                <w14:textFill>
                  <w14:solidFill>
                    <w14:schemeClr w14:val="tx1"/>
                  </w14:solidFill>
                </w14:textFill>
              </w:rPr>
            </w:pPr>
          </w:p>
        </w:tc>
        <w:tc>
          <w:tcPr>
            <w:tcW w:w="1679" w:type="dxa"/>
            <w:noWrap w:val="0"/>
            <w:vAlign w:val="center"/>
          </w:tcPr>
          <w:p w14:paraId="25FD447F">
            <w:pPr>
              <w:keepNext w:val="0"/>
              <w:keepLines w:val="0"/>
              <w:pageBreakBefore w:val="0"/>
              <w:widowControl w:val="0"/>
              <w:kinsoku/>
              <w:wordWrap/>
              <w:overflowPunct/>
              <w:topLinePunct w:val="0"/>
              <w:bidi w:val="0"/>
              <w:adjustRightInd/>
              <w:spacing w:line="360" w:lineRule="auto"/>
              <w:ind w:left="223" w:hanging="222" w:hangingChars="106"/>
              <w:jc w:val="center"/>
              <w:textAlignment w:val="auto"/>
              <w:rPr>
                <w:color w:val="000000" w:themeColor="text1"/>
                <w:highlight w:val="none"/>
                <w14:textFill>
                  <w14:solidFill>
                    <w14:schemeClr w14:val="tx1"/>
                  </w14:solidFill>
                </w14:textFill>
              </w:rPr>
            </w:pPr>
          </w:p>
        </w:tc>
      </w:tr>
      <w:tr w14:paraId="031ABA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993" w:type="dxa"/>
            <w:noWrap w:val="0"/>
            <w:vAlign w:val="center"/>
          </w:tcPr>
          <w:p w14:paraId="4A9DCCBC">
            <w:pPr>
              <w:keepNext w:val="0"/>
              <w:keepLines w:val="0"/>
              <w:pageBreakBefore w:val="0"/>
              <w:widowControl w:val="0"/>
              <w:kinsoku/>
              <w:wordWrap/>
              <w:overflowPunct/>
              <w:topLinePunct w:val="0"/>
              <w:bidi w:val="0"/>
              <w:adjustRightInd/>
              <w:spacing w:line="360" w:lineRule="auto"/>
              <w:ind w:left="223" w:hanging="222" w:hangingChars="106"/>
              <w:jc w:val="center"/>
              <w:textAlignment w:val="auto"/>
              <w:rPr>
                <w:color w:val="000000" w:themeColor="text1"/>
                <w:highlight w:val="none"/>
                <w14:textFill>
                  <w14:solidFill>
                    <w14:schemeClr w14:val="tx1"/>
                  </w14:solidFill>
                </w14:textFill>
              </w:rPr>
            </w:pPr>
          </w:p>
        </w:tc>
        <w:tc>
          <w:tcPr>
            <w:tcW w:w="829" w:type="dxa"/>
            <w:noWrap w:val="0"/>
            <w:vAlign w:val="center"/>
          </w:tcPr>
          <w:p w14:paraId="3CCC8281">
            <w:pPr>
              <w:keepNext w:val="0"/>
              <w:keepLines w:val="0"/>
              <w:pageBreakBefore w:val="0"/>
              <w:widowControl w:val="0"/>
              <w:kinsoku/>
              <w:wordWrap/>
              <w:overflowPunct/>
              <w:topLinePunct w:val="0"/>
              <w:bidi w:val="0"/>
              <w:adjustRightInd/>
              <w:spacing w:line="360" w:lineRule="auto"/>
              <w:ind w:left="223" w:hanging="222" w:hangingChars="106"/>
              <w:jc w:val="center"/>
              <w:textAlignment w:val="auto"/>
              <w:rPr>
                <w:color w:val="000000" w:themeColor="text1"/>
                <w:highlight w:val="none"/>
                <w14:textFill>
                  <w14:solidFill>
                    <w14:schemeClr w14:val="tx1"/>
                  </w14:solidFill>
                </w14:textFill>
              </w:rPr>
            </w:pPr>
          </w:p>
        </w:tc>
        <w:tc>
          <w:tcPr>
            <w:tcW w:w="816" w:type="dxa"/>
            <w:noWrap w:val="0"/>
            <w:vAlign w:val="center"/>
          </w:tcPr>
          <w:p w14:paraId="17FA137D">
            <w:pPr>
              <w:keepNext w:val="0"/>
              <w:keepLines w:val="0"/>
              <w:pageBreakBefore w:val="0"/>
              <w:widowControl w:val="0"/>
              <w:kinsoku/>
              <w:wordWrap/>
              <w:overflowPunct/>
              <w:topLinePunct w:val="0"/>
              <w:bidi w:val="0"/>
              <w:adjustRightInd/>
              <w:spacing w:line="360" w:lineRule="auto"/>
              <w:ind w:left="223" w:hanging="222" w:hangingChars="106"/>
              <w:jc w:val="center"/>
              <w:textAlignment w:val="auto"/>
              <w:rPr>
                <w:color w:val="000000" w:themeColor="text1"/>
                <w:highlight w:val="none"/>
                <w14:textFill>
                  <w14:solidFill>
                    <w14:schemeClr w14:val="tx1"/>
                  </w14:solidFill>
                </w14:textFill>
              </w:rPr>
            </w:pPr>
          </w:p>
        </w:tc>
        <w:tc>
          <w:tcPr>
            <w:tcW w:w="1148" w:type="dxa"/>
            <w:noWrap w:val="0"/>
            <w:vAlign w:val="center"/>
          </w:tcPr>
          <w:p w14:paraId="122686B0">
            <w:pPr>
              <w:keepNext w:val="0"/>
              <w:keepLines w:val="0"/>
              <w:pageBreakBefore w:val="0"/>
              <w:widowControl w:val="0"/>
              <w:kinsoku/>
              <w:wordWrap/>
              <w:overflowPunct/>
              <w:topLinePunct w:val="0"/>
              <w:bidi w:val="0"/>
              <w:adjustRightInd/>
              <w:spacing w:line="360" w:lineRule="auto"/>
              <w:ind w:left="223" w:hanging="222" w:hangingChars="106"/>
              <w:jc w:val="center"/>
              <w:textAlignment w:val="auto"/>
              <w:rPr>
                <w:color w:val="000000" w:themeColor="text1"/>
                <w:highlight w:val="none"/>
                <w14:textFill>
                  <w14:solidFill>
                    <w14:schemeClr w14:val="tx1"/>
                  </w14:solidFill>
                </w14:textFill>
              </w:rPr>
            </w:pPr>
          </w:p>
        </w:tc>
        <w:tc>
          <w:tcPr>
            <w:tcW w:w="1148" w:type="dxa"/>
            <w:noWrap w:val="0"/>
            <w:vAlign w:val="center"/>
          </w:tcPr>
          <w:p w14:paraId="52C506D2">
            <w:pPr>
              <w:keepNext w:val="0"/>
              <w:keepLines w:val="0"/>
              <w:pageBreakBefore w:val="0"/>
              <w:widowControl w:val="0"/>
              <w:kinsoku/>
              <w:wordWrap/>
              <w:overflowPunct/>
              <w:topLinePunct w:val="0"/>
              <w:bidi w:val="0"/>
              <w:adjustRightInd/>
              <w:spacing w:line="360" w:lineRule="auto"/>
              <w:ind w:left="223" w:hanging="222" w:hangingChars="106"/>
              <w:jc w:val="center"/>
              <w:textAlignment w:val="auto"/>
              <w:rPr>
                <w:color w:val="000000" w:themeColor="text1"/>
                <w:highlight w:val="none"/>
                <w14:textFill>
                  <w14:solidFill>
                    <w14:schemeClr w14:val="tx1"/>
                  </w14:solidFill>
                </w14:textFill>
              </w:rPr>
            </w:pPr>
          </w:p>
        </w:tc>
        <w:tc>
          <w:tcPr>
            <w:tcW w:w="1148" w:type="dxa"/>
            <w:noWrap w:val="0"/>
            <w:vAlign w:val="center"/>
          </w:tcPr>
          <w:p w14:paraId="32E1B79A">
            <w:pPr>
              <w:keepNext w:val="0"/>
              <w:keepLines w:val="0"/>
              <w:pageBreakBefore w:val="0"/>
              <w:widowControl w:val="0"/>
              <w:kinsoku/>
              <w:wordWrap/>
              <w:overflowPunct/>
              <w:topLinePunct w:val="0"/>
              <w:bidi w:val="0"/>
              <w:adjustRightInd/>
              <w:spacing w:line="360" w:lineRule="auto"/>
              <w:ind w:left="223" w:hanging="222" w:hangingChars="106"/>
              <w:jc w:val="center"/>
              <w:textAlignment w:val="auto"/>
              <w:rPr>
                <w:color w:val="000000" w:themeColor="text1"/>
                <w:highlight w:val="none"/>
                <w14:textFill>
                  <w14:solidFill>
                    <w14:schemeClr w14:val="tx1"/>
                  </w14:solidFill>
                </w14:textFill>
              </w:rPr>
            </w:pPr>
          </w:p>
        </w:tc>
        <w:tc>
          <w:tcPr>
            <w:tcW w:w="1148" w:type="dxa"/>
            <w:noWrap w:val="0"/>
            <w:vAlign w:val="center"/>
          </w:tcPr>
          <w:p w14:paraId="4077603F">
            <w:pPr>
              <w:keepNext w:val="0"/>
              <w:keepLines w:val="0"/>
              <w:pageBreakBefore w:val="0"/>
              <w:widowControl w:val="0"/>
              <w:kinsoku/>
              <w:wordWrap/>
              <w:overflowPunct/>
              <w:topLinePunct w:val="0"/>
              <w:bidi w:val="0"/>
              <w:adjustRightInd/>
              <w:spacing w:line="360" w:lineRule="auto"/>
              <w:ind w:left="223" w:hanging="222" w:hangingChars="106"/>
              <w:jc w:val="center"/>
              <w:textAlignment w:val="auto"/>
              <w:rPr>
                <w:color w:val="000000" w:themeColor="text1"/>
                <w:highlight w:val="none"/>
                <w14:textFill>
                  <w14:solidFill>
                    <w14:schemeClr w14:val="tx1"/>
                  </w14:solidFill>
                </w14:textFill>
              </w:rPr>
            </w:pPr>
          </w:p>
        </w:tc>
        <w:tc>
          <w:tcPr>
            <w:tcW w:w="850" w:type="dxa"/>
            <w:noWrap w:val="0"/>
            <w:vAlign w:val="center"/>
          </w:tcPr>
          <w:p w14:paraId="189BF967">
            <w:pPr>
              <w:keepNext w:val="0"/>
              <w:keepLines w:val="0"/>
              <w:pageBreakBefore w:val="0"/>
              <w:widowControl w:val="0"/>
              <w:kinsoku/>
              <w:wordWrap/>
              <w:overflowPunct/>
              <w:topLinePunct w:val="0"/>
              <w:bidi w:val="0"/>
              <w:adjustRightInd/>
              <w:spacing w:line="360" w:lineRule="auto"/>
              <w:ind w:left="223" w:hanging="222" w:hangingChars="106"/>
              <w:jc w:val="center"/>
              <w:textAlignment w:val="auto"/>
              <w:rPr>
                <w:color w:val="000000" w:themeColor="text1"/>
                <w:highlight w:val="none"/>
                <w14:textFill>
                  <w14:solidFill>
                    <w14:schemeClr w14:val="tx1"/>
                  </w14:solidFill>
                </w14:textFill>
              </w:rPr>
            </w:pPr>
          </w:p>
        </w:tc>
        <w:tc>
          <w:tcPr>
            <w:tcW w:w="1679" w:type="dxa"/>
            <w:noWrap w:val="0"/>
            <w:vAlign w:val="center"/>
          </w:tcPr>
          <w:p w14:paraId="7571E9B5">
            <w:pPr>
              <w:keepNext w:val="0"/>
              <w:keepLines w:val="0"/>
              <w:pageBreakBefore w:val="0"/>
              <w:widowControl w:val="0"/>
              <w:kinsoku/>
              <w:wordWrap/>
              <w:overflowPunct/>
              <w:topLinePunct w:val="0"/>
              <w:bidi w:val="0"/>
              <w:adjustRightInd/>
              <w:spacing w:line="360" w:lineRule="auto"/>
              <w:ind w:left="223" w:hanging="222" w:hangingChars="106"/>
              <w:jc w:val="center"/>
              <w:textAlignment w:val="auto"/>
              <w:rPr>
                <w:color w:val="000000" w:themeColor="text1"/>
                <w:highlight w:val="none"/>
                <w14:textFill>
                  <w14:solidFill>
                    <w14:schemeClr w14:val="tx1"/>
                  </w14:solidFill>
                </w14:textFill>
              </w:rPr>
            </w:pPr>
          </w:p>
        </w:tc>
      </w:tr>
      <w:tr w14:paraId="014118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993" w:type="dxa"/>
            <w:noWrap w:val="0"/>
            <w:vAlign w:val="center"/>
          </w:tcPr>
          <w:p w14:paraId="682A9458">
            <w:pPr>
              <w:keepNext w:val="0"/>
              <w:keepLines w:val="0"/>
              <w:pageBreakBefore w:val="0"/>
              <w:widowControl w:val="0"/>
              <w:kinsoku/>
              <w:wordWrap/>
              <w:overflowPunct/>
              <w:topLinePunct w:val="0"/>
              <w:bidi w:val="0"/>
              <w:adjustRightInd/>
              <w:spacing w:line="360" w:lineRule="auto"/>
              <w:ind w:left="223" w:hanging="222" w:hangingChars="106"/>
              <w:jc w:val="center"/>
              <w:textAlignment w:val="auto"/>
              <w:rPr>
                <w:color w:val="000000" w:themeColor="text1"/>
                <w:highlight w:val="none"/>
                <w14:textFill>
                  <w14:solidFill>
                    <w14:schemeClr w14:val="tx1"/>
                  </w14:solidFill>
                </w14:textFill>
              </w:rPr>
            </w:pPr>
          </w:p>
        </w:tc>
        <w:tc>
          <w:tcPr>
            <w:tcW w:w="829" w:type="dxa"/>
            <w:noWrap w:val="0"/>
            <w:vAlign w:val="center"/>
          </w:tcPr>
          <w:p w14:paraId="43AF2013">
            <w:pPr>
              <w:keepNext w:val="0"/>
              <w:keepLines w:val="0"/>
              <w:pageBreakBefore w:val="0"/>
              <w:widowControl w:val="0"/>
              <w:kinsoku/>
              <w:wordWrap/>
              <w:overflowPunct/>
              <w:topLinePunct w:val="0"/>
              <w:bidi w:val="0"/>
              <w:adjustRightInd/>
              <w:spacing w:line="360" w:lineRule="auto"/>
              <w:ind w:left="223" w:hanging="222" w:hangingChars="106"/>
              <w:jc w:val="center"/>
              <w:textAlignment w:val="auto"/>
              <w:rPr>
                <w:color w:val="000000" w:themeColor="text1"/>
                <w:highlight w:val="none"/>
                <w14:textFill>
                  <w14:solidFill>
                    <w14:schemeClr w14:val="tx1"/>
                  </w14:solidFill>
                </w14:textFill>
              </w:rPr>
            </w:pPr>
          </w:p>
        </w:tc>
        <w:tc>
          <w:tcPr>
            <w:tcW w:w="816" w:type="dxa"/>
            <w:noWrap w:val="0"/>
            <w:vAlign w:val="center"/>
          </w:tcPr>
          <w:p w14:paraId="6C5C656F">
            <w:pPr>
              <w:keepNext w:val="0"/>
              <w:keepLines w:val="0"/>
              <w:pageBreakBefore w:val="0"/>
              <w:widowControl w:val="0"/>
              <w:kinsoku/>
              <w:wordWrap/>
              <w:overflowPunct/>
              <w:topLinePunct w:val="0"/>
              <w:bidi w:val="0"/>
              <w:adjustRightInd/>
              <w:spacing w:line="360" w:lineRule="auto"/>
              <w:ind w:left="223" w:hanging="222" w:hangingChars="106"/>
              <w:jc w:val="center"/>
              <w:textAlignment w:val="auto"/>
              <w:rPr>
                <w:color w:val="000000" w:themeColor="text1"/>
                <w:highlight w:val="none"/>
                <w14:textFill>
                  <w14:solidFill>
                    <w14:schemeClr w14:val="tx1"/>
                  </w14:solidFill>
                </w14:textFill>
              </w:rPr>
            </w:pPr>
          </w:p>
        </w:tc>
        <w:tc>
          <w:tcPr>
            <w:tcW w:w="1148" w:type="dxa"/>
            <w:noWrap w:val="0"/>
            <w:vAlign w:val="center"/>
          </w:tcPr>
          <w:p w14:paraId="0594899B">
            <w:pPr>
              <w:keepNext w:val="0"/>
              <w:keepLines w:val="0"/>
              <w:pageBreakBefore w:val="0"/>
              <w:widowControl w:val="0"/>
              <w:kinsoku/>
              <w:wordWrap/>
              <w:overflowPunct/>
              <w:topLinePunct w:val="0"/>
              <w:bidi w:val="0"/>
              <w:adjustRightInd/>
              <w:spacing w:line="360" w:lineRule="auto"/>
              <w:ind w:left="223" w:hanging="222" w:hangingChars="106"/>
              <w:jc w:val="center"/>
              <w:textAlignment w:val="auto"/>
              <w:rPr>
                <w:color w:val="000000" w:themeColor="text1"/>
                <w:highlight w:val="none"/>
                <w14:textFill>
                  <w14:solidFill>
                    <w14:schemeClr w14:val="tx1"/>
                  </w14:solidFill>
                </w14:textFill>
              </w:rPr>
            </w:pPr>
          </w:p>
        </w:tc>
        <w:tc>
          <w:tcPr>
            <w:tcW w:w="1148" w:type="dxa"/>
            <w:noWrap w:val="0"/>
            <w:vAlign w:val="center"/>
          </w:tcPr>
          <w:p w14:paraId="139D1746">
            <w:pPr>
              <w:keepNext w:val="0"/>
              <w:keepLines w:val="0"/>
              <w:pageBreakBefore w:val="0"/>
              <w:widowControl w:val="0"/>
              <w:kinsoku/>
              <w:wordWrap/>
              <w:overflowPunct/>
              <w:topLinePunct w:val="0"/>
              <w:bidi w:val="0"/>
              <w:adjustRightInd/>
              <w:spacing w:line="360" w:lineRule="auto"/>
              <w:ind w:left="223" w:hanging="222" w:hangingChars="106"/>
              <w:jc w:val="center"/>
              <w:textAlignment w:val="auto"/>
              <w:rPr>
                <w:color w:val="000000" w:themeColor="text1"/>
                <w:highlight w:val="none"/>
                <w14:textFill>
                  <w14:solidFill>
                    <w14:schemeClr w14:val="tx1"/>
                  </w14:solidFill>
                </w14:textFill>
              </w:rPr>
            </w:pPr>
          </w:p>
        </w:tc>
        <w:tc>
          <w:tcPr>
            <w:tcW w:w="1148" w:type="dxa"/>
            <w:noWrap w:val="0"/>
            <w:vAlign w:val="center"/>
          </w:tcPr>
          <w:p w14:paraId="2BC83C62">
            <w:pPr>
              <w:keepNext w:val="0"/>
              <w:keepLines w:val="0"/>
              <w:pageBreakBefore w:val="0"/>
              <w:widowControl w:val="0"/>
              <w:kinsoku/>
              <w:wordWrap/>
              <w:overflowPunct/>
              <w:topLinePunct w:val="0"/>
              <w:bidi w:val="0"/>
              <w:adjustRightInd/>
              <w:spacing w:line="360" w:lineRule="auto"/>
              <w:ind w:left="223" w:hanging="222" w:hangingChars="106"/>
              <w:jc w:val="center"/>
              <w:textAlignment w:val="auto"/>
              <w:rPr>
                <w:color w:val="000000" w:themeColor="text1"/>
                <w:highlight w:val="none"/>
                <w14:textFill>
                  <w14:solidFill>
                    <w14:schemeClr w14:val="tx1"/>
                  </w14:solidFill>
                </w14:textFill>
              </w:rPr>
            </w:pPr>
          </w:p>
        </w:tc>
        <w:tc>
          <w:tcPr>
            <w:tcW w:w="1148" w:type="dxa"/>
            <w:noWrap w:val="0"/>
            <w:vAlign w:val="center"/>
          </w:tcPr>
          <w:p w14:paraId="03A69CC1">
            <w:pPr>
              <w:keepNext w:val="0"/>
              <w:keepLines w:val="0"/>
              <w:pageBreakBefore w:val="0"/>
              <w:widowControl w:val="0"/>
              <w:kinsoku/>
              <w:wordWrap/>
              <w:overflowPunct/>
              <w:topLinePunct w:val="0"/>
              <w:bidi w:val="0"/>
              <w:adjustRightInd/>
              <w:spacing w:line="360" w:lineRule="auto"/>
              <w:ind w:left="223" w:hanging="222" w:hangingChars="106"/>
              <w:jc w:val="center"/>
              <w:textAlignment w:val="auto"/>
              <w:rPr>
                <w:color w:val="000000" w:themeColor="text1"/>
                <w:highlight w:val="none"/>
                <w14:textFill>
                  <w14:solidFill>
                    <w14:schemeClr w14:val="tx1"/>
                  </w14:solidFill>
                </w14:textFill>
              </w:rPr>
            </w:pPr>
          </w:p>
        </w:tc>
        <w:tc>
          <w:tcPr>
            <w:tcW w:w="850" w:type="dxa"/>
            <w:noWrap w:val="0"/>
            <w:vAlign w:val="center"/>
          </w:tcPr>
          <w:p w14:paraId="15E57791">
            <w:pPr>
              <w:keepNext w:val="0"/>
              <w:keepLines w:val="0"/>
              <w:pageBreakBefore w:val="0"/>
              <w:widowControl w:val="0"/>
              <w:kinsoku/>
              <w:wordWrap/>
              <w:overflowPunct/>
              <w:topLinePunct w:val="0"/>
              <w:bidi w:val="0"/>
              <w:adjustRightInd/>
              <w:spacing w:line="360" w:lineRule="auto"/>
              <w:ind w:left="223" w:hanging="222" w:hangingChars="106"/>
              <w:jc w:val="center"/>
              <w:textAlignment w:val="auto"/>
              <w:rPr>
                <w:color w:val="000000" w:themeColor="text1"/>
                <w:highlight w:val="none"/>
                <w14:textFill>
                  <w14:solidFill>
                    <w14:schemeClr w14:val="tx1"/>
                  </w14:solidFill>
                </w14:textFill>
              </w:rPr>
            </w:pPr>
          </w:p>
        </w:tc>
        <w:tc>
          <w:tcPr>
            <w:tcW w:w="1679" w:type="dxa"/>
            <w:noWrap w:val="0"/>
            <w:vAlign w:val="center"/>
          </w:tcPr>
          <w:p w14:paraId="5DC0DF85">
            <w:pPr>
              <w:keepNext w:val="0"/>
              <w:keepLines w:val="0"/>
              <w:pageBreakBefore w:val="0"/>
              <w:widowControl w:val="0"/>
              <w:kinsoku/>
              <w:wordWrap/>
              <w:overflowPunct/>
              <w:topLinePunct w:val="0"/>
              <w:bidi w:val="0"/>
              <w:adjustRightInd/>
              <w:spacing w:line="360" w:lineRule="auto"/>
              <w:ind w:left="223" w:hanging="222" w:hangingChars="106"/>
              <w:jc w:val="center"/>
              <w:textAlignment w:val="auto"/>
              <w:rPr>
                <w:color w:val="000000" w:themeColor="text1"/>
                <w:highlight w:val="none"/>
                <w14:textFill>
                  <w14:solidFill>
                    <w14:schemeClr w14:val="tx1"/>
                  </w14:solidFill>
                </w14:textFill>
              </w:rPr>
            </w:pPr>
          </w:p>
        </w:tc>
      </w:tr>
      <w:tr w14:paraId="659B43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993" w:type="dxa"/>
            <w:noWrap w:val="0"/>
            <w:vAlign w:val="center"/>
          </w:tcPr>
          <w:p w14:paraId="7FEDC9B1">
            <w:pPr>
              <w:keepNext w:val="0"/>
              <w:keepLines w:val="0"/>
              <w:pageBreakBefore w:val="0"/>
              <w:widowControl w:val="0"/>
              <w:kinsoku/>
              <w:wordWrap/>
              <w:overflowPunct/>
              <w:topLinePunct w:val="0"/>
              <w:bidi w:val="0"/>
              <w:adjustRightInd/>
              <w:spacing w:line="360" w:lineRule="auto"/>
              <w:ind w:left="223" w:hanging="222" w:hangingChars="106"/>
              <w:jc w:val="center"/>
              <w:textAlignment w:val="auto"/>
              <w:rPr>
                <w:color w:val="000000" w:themeColor="text1"/>
                <w:highlight w:val="none"/>
                <w14:textFill>
                  <w14:solidFill>
                    <w14:schemeClr w14:val="tx1"/>
                  </w14:solidFill>
                </w14:textFill>
              </w:rPr>
            </w:pPr>
          </w:p>
        </w:tc>
        <w:tc>
          <w:tcPr>
            <w:tcW w:w="829" w:type="dxa"/>
            <w:noWrap w:val="0"/>
            <w:vAlign w:val="center"/>
          </w:tcPr>
          <w:p w14:paraId="0C921913">
            <w:pPr>
              <w:keepNext w:val="0"/>
              <w:keepLines w:val="0"/>
              <w:pageBreakBefore w:val="0"/>
              <w:widowControl w:val="0"/>
              <w:kinsoku/>
              <w:wordWrap/>
              <w:overflowPunct/>
              <w:topLinePunct w:val="0"/>
              <w:bidi w:val="0"/>
              <w:adjustRightInd/>
              <w:spacing w:line="360" w:lineRule="auto"/>
              <w:ind w:left="223" w:hanging="222" w:hangingChars="106"/>
              <w:jc w:val="center"/>
              <w:textAlignment w:val="auto"/>
              <w:rPr>
                <w:color w:val="000000" w:themeColor="text1"/>
                <w:highlight w:val="none"/>
                <w14:textFill>
                  <w14:solidFill>
                    <w14:schemeClr w14:val="tx1"/>
                  </w14:solidFill>
                </w14:textFill>
              </w:rPr>
            </w:pPr>
          </w:p>
        </w:tc>
        <w:tc>
          <w:tcPr>
            <w:tcW w:w="816" w:type="dxa"/>
            <w:noWrap w:val="0"/>
            <w:vAlign w:val="center"/>
          </w:tcPr>
          <w:p w14:paraId="1B88314F">
            <w:pPr>
              <w:keepNext w:val="0"/>
              <w:keepLines w:val="0"/>
              <w:pageBreakBefore w:val="0"/>
              <w:widowControl w:val="0"/>
              <w:kinsoku/>
              <w:wordWrap/>
              <w:overflowPunct/>
              <w:topLinePunct w:val="0"/>
              <w:bidi w:val="0"/>
              <w:adjustRightInd/>
              <w:spacing w:line="360" w:lineRule="auto"/>
              <w:ind w:left="223" w:hanging="222" w:hangingChars="106"/>
              <w:jc w:val="center"/>
              <w:textAlignment w:val="auto"/>
              <w:rPr>
                <w:color w:val="000000" w:themeColor="text1"/>
                <w:highlight w:val="none"/>
                <w14:textFill>
                  <w14:solidFill>
                    <w14:schemeClr w14:val="tx1"/>
                  </w14:solidFill>
                </w14:textFill>
              </w:rPr>
            </w:pPr>
          </w:p>
        </w:tc>
        <w:tc>
          <w:tcPr>
            <w:tcW w:w="1148" w:type="dxa"/>
            <w:noWrap w:val="0"/>
            <w:vAlign w:val="center"/>
          </w:tcPr>
          <w:p w14:paraId="0A665104">
            <w:pPr>
              <w:keepNext w:val="0"/>
              <w:keepLines w:val="0"/>
              <w:pageBreakBefore w:val="0"/>
              <w:widowControl w:val="0"/>
              <w:kinsoku/>
              <w:wordWrap/>
              <w:overflowPunct/>
              <w:topLinePunct w:val="0"/>
              <w:bidi w:val="0"/>
              <w:adjustRightInd/>
              <w:spacing w:line="360" w:lineRule="auto"/>
              <w:ind w:left="223" w:hanging="222" w:hangingChars="106"/>
              <w:jc w:val="center"/>
              <w:textAlignment w:val="auto"/>
              <w:rPr>
                <w:color w:val="000000" w:themeColor="text1"/>
                <w:highlight w:val="none"/>
                <w14:textFill>
                  <w14:solidFill>
                    <w14:schemeClr w14:val="tx1"/>
                  </w14:solidFill>
                </w14:textFill>
              </w:rPr>
            </w:pPr>
          </w:p>
        </w:tc>
        <w:tc>
          <w:tcPr>
            <w:tcW w:w="1148" w:type="dxa"/>
            <w:noWrap w:val="0"/>
            <w:vAlign w:val="center"/>
          </w:tcPr>
          <w:p w14:paraId="5C42537E">
            <w:pPr>
              <w:keepNext w:val="0"/>
              <w:keepLines w:val="0"/>
              <w:pageBreakBefore w:val="0"/>
              <w:widowControl w:val="0"/>
              <w:kinsoku/>
              <w:wordWrap/>
              <w:overflowPunct/>
              <w:topLinePunct w:val="0"/>
              <w:bidi w:val="0"/>
              <w:adjustRightInd/>
              <w:spacing w:line="360" w:lineRule="auto"/>
              <w:ind w:left="223" w:hanging="222" w:hangingChars="106"/>
              <w:jc w:val="center"/>
              <w:textAlignment w:val="auto"/>
              <w:rPr>
                <w:color w:val="000000" w:themeColor="text1"/>
                <w:highlight w:val="none"/>
                <w14:textFill>
                  <w14:solidFill>
                    <w14:schemeClr w14:val="tx1"/>
                  </w14:solidFill>
                </w14:textFill>
              </w:rPr>
            </w:pPr>
          </w:p>
        </w:tc>
        <w:tc>
          <w:tcPr>
            <w:tcW w:w="1148" w:type="dxa"/>
            <w:noWrap w:val="0"/>
            <w:vAlign w:val="center"/>
          </w:tcPr>
          <w:p w14:paraId="78CA2194">
            <w:pPr>
              <w:keepNext w:val="0"/>
              <w:keepLines w:val="0"/>
              <w:pageBreakBefore w:val="0"/>
              <w:widowControl w:val="0"/>
              <w:kinsoku/>
              <w:wordWrap/>
              <w:overflowPunct/>
              <w:topLinePunct w:val="0"/>
              <w:bidi w:val="0"/>
              <w:adjustRightInd/>
              <w:spacing w:line="360" w:lineRule="auto"/>
              <w:ind w:left="223" w:hanging="222" w:hangingChars="106"/>
              <w:jc w:val="center"/>
              <w:textAlignment w:val="auto"/>
              <w:rPr>
                <w:color w:val="000000" w:themeColor="text1"/>
                <w:highlight w:val="none"/>
                <w14:textFill>
                  <w14:solidFill>
                    <w14:schemeClr w14:val="tx1"/>
                  </w14:solidFill>
                </w14:textFill>
              </w:rPr>
            </w:pPr>
          </w:p>
        </w:tc>
        <w:tc>
          <w:tcPr>
            <w:tcW w:w="1148" w:type="dxa"/>
            <w:noWrap w:val="0"/>
            <w:vAlign w:val="center"/>
          </w:tcPr>
          <w:p w14:paraId="674747B9">
            <w:pPr>
              <w:keepNext w:val="0"/>
              <w:keepLines w:val="0"/>
              <w:pageBreakBefore w:val="0"/>
              <w:widowControl w:val="0"/>
              <w:kinsoku/>
              <w:wordWrap/>
              <w:overflowPunct/>
              <w:topLinePunct w:val="0"/>
              <w:bidi w:val="0"/>
              <w:adjustRightInd/>
              <w:spacing w:line="360" w:lineRule="auto"/>
              <w:ind w:left="223" w:hanging="222" w:hangingChars="106"/>
              <w:jc w:val="center"/>
              <w:textAlignment w:val="auto"/>
              <w:rPr>
                <w:color w:val="000000" w:themeColor="text1"/>
                <w:highlight w:val="none"/>
                <w14:textFill>
                  <w14:solidFill>
                    <w14:schemeClr w14:val="tx1"/>
                  </w14:solidFill>
                </w14:textFill>
              </w:rPr>
            </w:pPr>
          </w:p>
        </w:tc>
        <w:tc>
          <w:tcPr>
            <w:tcW w:w="850" w:type="dxa"/>
            <w:noWrap w:val="0"/>
            <w:vAlign w:val="center"/>
          </w:tcPr>
          <w:p w14:paraId="31D0754C">
            <w:pPr>
              <w:keepNext w:val="0"/>
              <w:keepLines w:val="0"/>
              <w:pageBreakBefore w:val="0"/>
              <w:widowControl w:val="0"/>
              <w:kinsoku/>
              <w:wordWrap/>
              <w:overflowPunct/>
              <w:topLinePunct w:val="0"/>
              <w:bidi w:val="0"/>
              <w:adjustRightInd/>
              <w:spacing w:line="360" w:lineRule="auto"/>
              <w:ind w:left="223" w:hanging="222" w:hangingChars="106"/>
              <w:jc w:val="center"/>
              <w:textAlignment w:val="auto"/>
              <w:rPr>
                <w:color w:val="000000" w:themeColor="text1"/>
                <w:highlight w:val="none"/>
                <w14:textFill>
                  <w14:solidFill>
                    <w14:schemeClr w14:val="tx1"/>
                  </w14:solidFill>
                </w14:textFill>
              </w:rPr>
            </w:pPr>
          </w:p>
        </w:tc>
        <w:tc>
          <w:tcPr>
            <w:tcW w:w="1679" w:type="dxa"/>
            <w:noWrap w:val="0"/>
            <w:vAlign w:val="center"/>
          </w:tcPr>
          <w:p w14:paraId="62D0034D">
            <w:pPr>
              <w:keepNext w:val="0"/>
              <w:keepLines w:val="0"/>
              <w:pageBreakBefore w:val="0"/>
              <w:widowControl w:val="0"/>
              <w:kinsoku/>
              <w:wordWrap/>
              <w:overflowPunct/>
              <w:topLinePunct w:val="0"/>
              <w:bidi w:val="0"/>
              <w:adjustRightInd/>
              <w:spacing w:line="360" w:lineRule="auto"/>
              <w:ind w:left="223" w:hanging="222" w:hangingChars="106"/>
              <w:jc w:val="center"/>
              <w:textAlignment w:val="auto"/>
              <w:rPr>
                <w:color w:val="000000" w:themeColor="text1"/>
                <w:highlight w:val="none"/>
                <w14:textFill>
                  <w14:solidFill>
                    <w14:schemeClr w14:val="tx1"/>
                  </w14:solidFill>
                </w14:textFill>
              </w:rPr>
            </w:pPr>
          </w:p>
        </w:tc>
      </w:tr>
      <w:tr w14:paraId="51CF8B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993" w:type="dxa"/>
            <w:noWrap w:val="0"/>
            <w:vAlign w:val="center"/>
          </w:tcPr>
          <w:p w14:paraId="57BDA5BB">
            <w:pPr>
              <w:keepNext w:val="0"/>
              <w:keepLines w:val="0"/>
              <w:pageBreakBefore w:val="0"/>
              <w:widowControl w:val="0"/>
              <w:kinsoku/>
              <w:wordWrap/>
              <w:overflowPunct/>
              <w:topLinePunct w:val="0"/>
              <w:bidi w:val="0"/>
              <w:adjustRightInd/>
              <w:spacing w:line="360" w:lineRule="auto"/>
              <w:ind w:left="223" w:hanging="222" w:hangingChars="106"/>
              <w:jc w:val="center"/>
              <w:textAlignment w:val="auto"/>
              <w:rPr>
                <w:color w:val="000000" w:themeColor="text1"/>
                <w:highlight w:val="none"/>
                <w14:textFill>
                  <w14:solidFill>
                    <w14:schemeClr w14:val="tx1"/>
                  </w14:solidFill>
                </w14:textFill>
              </w:rPr>
            </w:pPr>
          </w:p>
        </w:tc>
        <w:tc>
          <w:tcPr>
            <w:tcW w:w="829" w:type="dxa"/>
            <w:noWrap w:val="0"/>
            <w:vAlign w:val="center"/>
          </w:tcPr>
          <w:p w14:paraId="6B94FD70">
            <w:pPr>
              <w:keepNext w:val="0"/>
              <w:keepLines w:val="0"/>
              <w:pageBreakBefore w:val="0"/>
              <w:widowControl w:val="0"/>
              <w:kinsoku/>
              <w:wordWrap/>
              <w:overflowPunct/>
              <w:topLinePunct w:val="0"/>
              <w:bidi w:val="0"/>
              <w:adjustRightInd/>
              <w:spacing w:line="360" w:lineRule="auto"/>
              <w:ind w:left="223" w:hanging="222" w:hangingChars="106"/>
              <w:jc w:val="center"/>
              <w:textAlignment w:val="auto"/>
              <w:rPr>
                <w:color w:val="000000" w:themeColor="text1"/>
                <w:highlight w:val="none"/>
                <w14:textFill>
                  <w14:solidFill>
                    <w14:schemeClr w14:val="tx1"/>
                  </w14:solidFill>
                </w14:textFill>
              </w:rPr>
            </w:pPr>
          </w:p>
        </w:tc>
        <w:tc>
          <w:tcPr>
            <w:tcW w:w="816" w:type="dxa"/>
            <w:noWrap w:val="0"/>
            <w:vAlign w:val="center"/>
          </w:tcPr>
          <w:p w14:paraId="5AC4743C">
            <w:pPr>
              <w:keepNext w:val="0"/>
              <w:keepLines w:val="0"/>
              <w:pageBreakBefore w:val="0"/>
              <w:widowControl w:val="0"/>
              <w:kinsoku/>
              <w:wordWrap/>
              <w:overflowPunct/>
              <w:topLinePunct w:val="0"/>
              <w:bidi w:val="0"/>
              <w:adjustRightInd/>
              <w:spacing w:line="360" w:lineRule="auto"/>
              <w:ind w:left="223" w:hanging="222" w:hangingChars="106"/>
              <w:jc w:val="center"/>
              <w:textAlignment w:val="auto"/>
              <w:rPr>
                <w:color w:val="000000" w:themeColor="text1"/>
                <w:highlight w:val="none"/>
                <w14:textFill>
                  <w14:solidFill>
                    <w14:schemeClr w14:val="tx1"/>
                  </w14:solidFill>
                </w14:textFill>
              </w:rPr>
            </w:pPr>
          </w:p>
        </w:tc>
        <w:tc>
          <w:tcPr>
            <w:tcW w:w="1148" w:type="dxa"/>
            <w:noWrap w:val="0"/>
            <w:vAlign w:val="center"/>
          </w:tcPr>
          <w:p w14:paraId="2634F75B">
            <w:pPr>
              <w:keepNext w:val="0"/>
              <w:keepLines w:val="0"/>
              <w:pageBreakBefore w:val="0"/>
              <w:widowControl w:val="0"/>
              <w:kinsoku/>
              <w:wordWrap/>
              <w:overflowPunct/>
              <w:topLinePunct w:val="0"/>
              <w:bidi w:val="0"/>
              <w:adjustRightInd/>
              <w:spacing w:line="360" w:lineRule="auto"/>
              <w:ind w:left="223" w:hanging="222" w:hangingChars="106"/>
              <w:jc w:val="center"/>
              <w:textAlignment w:val="auto"/>
              <w:rPr>
                <w:color w:val="000000" w:themeColor="text1"/>
                <w:highlight w:val="none"/>
                <w14:textFill>
                  <w14:solidFill>
                    <w14:schemeClr w14:val="tx1"/>
                  </w14:solidFill>
                </w14:textFill>
              </w:rPr>
            </w:pPr>
          </w:p>
        </w:tc>
        <w:tc>
          <w:tcPr>
            <w:tcW w:w="1148" w:type="dxa"/>
            <w:noWrap w:val="0"/>
            <w:vAlign w:val="center"/>
          </w:tcPr>
          <w:p w14:paraId="222F36BB">
            <w:pPr>
              <w:keepNext w:val="0"/>
              <w:keepLines w:val="0"/>
              <w:pageBreakBefore w:val="0"/>
              <w:widowControl w:val="0"/>
              <w:kinsoku/>
              <w:wordWrap/>
              <w:overflowPunct/>
              <w:topLinePunct w:val="0"/>
              <w:bidi w:val="0"/>
              <w:adjustRightInd/>
              <w:spacing w:line="360" w:lineRule="auto"/>
              <w:ind w:left="223" w:hanging="222" w:hangingChars="106"/>
              <w:jc w:val="center"/>
              <w:textAlignment w:val="auto"/>
              <w:rPr>
                <w:color w:val="000000" w:themeColor="text1"/>
                <w:highlight w:val="none"/>
                <w14:textFill>
                  <w14:solidFill>
                    <w14:schemeClr w14:val="tx1"/>
                  </w14:solidFill>
                </w14:textFill>
              </w:rPr>
            </w:pPr>
          </w:p>
        </w:tc>
        <w:tc>
          <w:tcPr>
            <w:tcW w:w="1148" w:type="dxa"/>
            <w:noWrap w:val="0"/>
            <w:vAlign w:val="center"/>
          </w:tcPr>
          <w:p w14:paraId="6295F037">
            <w:pPr>
              <w:keepNext w:val="0"/>
              <w:keepLines w:val="0"/>
              <w:pageBreakBefore w:val="0"/>
              <w:widowControl w:val="0"/>
              <w:kinsoku/>
              <w:wordWrap/>
              <w:overflowPunct/>
              <w:topLinePunct w:val="0"/>
              <w:bidi w:val="0"/>
              <w:adjustRightInd/>
              <w:spacing w:line="360" w:lineRule="auto"/>
              <w:ind w:left="223" w:hanging="222" w:hangingChars="106"/>
              <w:jc w:val="center"/>
              <w:textAlignment w:val="auto"/>
              <w:rPr>
                <w:color w:val="000000" w:themeColor="text1"/>
                <w:highlight w:val="none"/>
                <w14:textFill>
                  <w14:solidFill>
                    <w14:schemeClr w14:val="tx1"/>
                  </w14:solidFill>
                </w14:textFill>
              </w:rPr>
            </w:pPr>
          </w:p>
        </w:tc>
        <w:tc>
          <w:tcPr>
            <w:tcW w:w="1148" w:type="dxa"/>
            <w:noWrap w:val="0"/>
            <w:vAlign w:val="center"/>
          </w:tcPr>
          <w:p w14:paraId="1269CEEB">
            <w:pPr>
              <w:keepNext w:val="0"/>
              <w:keepLines w:val="0"/>
              <w:pageBreakBefore w:val="0"/>
              <w:widowControl w:val="0"/>
              <w:kinsoku/>
              <w:wordWrap/>
              <w:overflowPunct/>
              <w:topLinePunct w:val="0"/>
              <w:bidi w:val="0"/>
              <w:adjustRightInd/>
              <w:spacing w:line="360" w:lineRule="auto"/>
              <w:ind w:left="223" w:hanging="222" w:hangingChars="106"/>
              <w:jc w:val="center"/>
              <w:textAlignment w:val="auto"/>
              <w:rPr>
                <w:color w:val="000000" w:themeColor="text1"/>
                <w:highlight w:val="none"/>
                <w14:textFill>
                  <w14:solidFill>
                    <w14:schemeClr w14:val="tx1"/>
                  </w14:solidFill>
                </w14:textFill>
              </w:rPr>
            </w:pPr>
          </w:p>
        </w:tc>
        <w:tc>
          <w:tcPr>
            <w:tcW w:w="850" w:type="dxa"/>
            <w:noWrap w:val="0"/>
            <w:vAlign w:val="center"/>
          </w:tcPr>
          <w:p w14:paraId="1FD9DD44">
            <w:pPr>
              <w:keepNext w:val="0"/>
              <w:keepLines w:val="0"/>
              <w:pageBreakBefore w:val="0"/>
              <w:widowControl w:val="0"/>
              <w:kinsoku/>
              <w:wordWrap/>
              <w:overflowPunct/>
              <w:topLinePunct w:val="0"/>
              <w:bidi w:val="0"/>
              <w:adjustRightInd/>
              <w:spacing w:line="360" w:lineRule="auto"/>
              <w:ind w:left="223" w:hanging="222" w:hangingChars="106"/>
              <w:jc w:val="center"/>
              <w:textAlignment w:val="auto"/>
              <w:rPr>
                <w:color w:val="000000" w:themeColor="text1"/>
                <w:highlight w:val="none"/>
                <w14:textFill>
                  <w14:solidFill>
                    <w14:schemeClr w14:val="tx1"/>
                  </w14:solidFill>
                </w14:textFill>
              </w:rPr>
            </w:pPr>
          </w:p>
        </w:tc>
        <w:tc>
          <w:tcPr>
            <w:tcW w:w="1679" w:type="dxa"/>
            <w:noWrap w:val="0"/>
            <w:vAlign w:val="center"/>
          </w:tcPr>
          <w:p w14:paraId="61A20226">
            <w:pPr>
              <w:keepNext w:val="0"/>
              <w:keepLines w:val="0"/>
              <w:pageBreakBefore w:val="0"/>
              <w:widowControl w:val="0"/>
              <w:kinsoku/>
              <w:wordWrap/>
              <w:overflowPunct/>
              <w:topLinePunct w:val="0"/>
              <w:bidi w:val="0"/>
              <w:adjustRightInd/>
              <w:spacing w:line="360" w:lineRule="auto"/>
              <w:ind w:left="223" w:hanging="222" w:hangingChars="106"/>
              <w:jc w:val="center"/>
              <w:textAlignment w:val="auto"/>
              <w:rPr>
                <w:color w:val="000000" w:themeColor="text1"/>
                <w:highlight w:val="none"/>
                <w14:textFill>
                  <w14:solidFill>
                    <w14:schemeClr w14:val="tx1"/>
                  </w14:solidFill>
                </w14:textFill>
              </w:rPr>
            </w:pPr>
          </w:p>
        </w:tc>
      </w:tr>
      <w:tr w14:paraId="2076D3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993" w:type="dxa"/>
            <w:noWrap w:val="0"/>
            <w:vAlign w:val="center"/>
          </w:tcPr>
          <w:p w14:paraId="62599706">
            <w:pPr>
              <w:keepNext w:val="0"/>
              <w:keepLines w:val="0"/>
              <w:pageBreakBefore w:val="0"/>
              <w:widowControl w:val="0"/>
              <w:kinsoku/>
              <w:wordWrap/>
              <w:overflowPunct/>
              <w:topLinePunct w:val="0"/>
              <w:bidi w:val="0"/>
              <w:adjustRightInd/>
              <w:spacing w:line="360" w:lineRule="auto"/>
              <w:ind w:left="223" w:hanging="222" w:hangingChars="106"/>
              <w:jc w:val="center"/>
              <w:textAlignment w:val="auto"/>
              <w:rPr>
                <w:color w:val="000000" w:themeColor="text1"/>
                <w:highlight w:val="none"/>
                <w14:textFill>
                  <w14:solidFill>
                    <w14:schemeClr w14:val="tx1"/>
                  </w14:solidFill>
                </w14:textFill>
              </w:rPr>
            </w:pPr>
          </w:p>
        </w:tc>
        <w:tc>
          <w:tcPr>
            <w:tcW w:w="829" w:type="dxa"/>
            <w:noWrap w:val="0"/>
            <w:vAlign w:val="center"/>
          </w:tcPr>
          <w:p w14:paraId="38EB9902">
            <w:pPr>
              <w:keepNext w:val="0"/>
              <w:keepLines w:val="0"/>
              <w:pageBreakBefore w:val="0"/>
              <w:widowControl w:val="0"/>
              <w:kinsoku/>
              <w:wordWrap/>
              <w:overflowPunct/>
              <w:topLinePunct w:val="0"/>
              <w:bidi w:val="0"/>
              <w:adjustRightInd/>
              <w:spacing w:line="360" w:lineRule="auto"/>
              <w:ind w:left="223" w:hanging="222" w:hangingChars="106"/>
              <w:jc w:val="center"/>
              <w:textAlignment w:val="auto"/>
              <w:rPr>
                <w:color w:val="000000" w:themeColor="text1"/>
                <w:highlight w:val="none"/>
                <w14:textFill>
                  <w14:solidFill>
                    <w14:schemeClr w14:val="tx1"/>
                  </w14:solidFill>
                </w14:textFill>
              </w:rPr>
            </w:pPr>
          </w:p>
        </w:tc>
        <w:tc>
          <w:tcPr>
            <w:tcW w:w="816" w:type="dxa"/>
            <w:noWrap w:val="0"/>
            <w:vAlign w:val="center"/>
          </w:tcPr>
          <w:p w14:paraId="6ADAE2E4">
            <w:pPr>
              <w:keepNext w:val="0"/>
              <w:keepLines w:val="0"/>
              <w:pageBreakBefore w:val="0"/>
              <w:widowControl w:val="0"/>
              <w:kinsoku/>
              <w:wordWrap/>
              <w:overflowPunct/>
              <w:topLinePunct w:val="0"/>
              <w:bidi w:val="0"/>
              <w:adjustRightInd/>
              <w:spacing w:line="360" w:lineRule="auto"/>
              <w:ind w:left="223" w:hanging="222" w:hangingChars="106"/>
              <w:jc w:val="center"/>
              <w:textAlignment w:val="auto"/>
              <w:rPr>
                <w:color w:val="000000" w:themeColor="text1"/>
                <w:highlight w:val="none"/>
                <w14:textFill>
                  <w14:solidFill>
                    <w14:schemeClr w14:val="tx1"/>
                  </w14:solidFill>
                </w14:textFill>
              </w:rPr>
            </w:pPr>
          </w:p>
        </w:tc>
        <w:tc>
          <w:tcPr>
            <w:tcW w:w="1148" w:type="dxa"/>
            <w:noWrap w:val="0"/>
            <w:vAlign w:val="center"/>
          </w:tcPr>
          <w:p w14:paraId="34AA7593">
            <w:pPr>
              <w:keepNext w:val="0"/>
              <w:keepLines w:val="0"/>
              <w:pageBreakBefore w:val="0"/>
              <w:widowControl w:val="0"/>
              <w:kinsoku/>
              <w:wordWrap/>
              <w:overflowPunct/>
              <w:topLinePunct w:val="0"/>
              <w:bidi w:val="0"/>
              <w:adjustRightInd/>
              <w:spacing w:line="360" w:lineRule="auto"/>
              <w:ind w:left="223" w:hanging="222" w:hangingChars="106"/>
              <w:jc w:val="center"/>
              <w:textAlignment w:val="auto"/>
              <w:rPr>
                <w:color w:val="000000" w:themeColor="text1"/>
                <w:highlight w:val="none"/>
                <w14:textFill>
                  <w14:solidFill>
                    <w14:schemeClr w14:val="tx1"/>
                  </w14:solidFill>
                </w14:textFill>
              </w:rPr>
            </w:pPr>
          </w:p>
        </w:tc>
        <w:tc>
          <w:tcPr>
            <w:tcW w:w="1148" w:type="dxa"/>
            <w:noWrap w:val="0"/>
            <w:vAlign w:val="center"/>
          </w:tcPr>
          <w:p w14:paraId="4B6CA107">
            <w:pPr>
              <w:keepNext w:val="0"/>
              <w:keepLines w:val="0"/>
              <w:pageBreakBefore w:val="0"/>
              <w:widowControl w:val="0"/>
              <w:kinsoku/>
              <w:wordWrap/>
              <w:overflowPunct/>
              <w:topLinePunct w:val="0"/>
              <w:bidi w:val="0"/>
              <w:adjustRightInd/>
              <w:spacing w:line="360" w:lineRule="auto"/>
              <w:ind w:left="223" w:hanging="222" w:hangingChars="106"/>
              <w:jc w:val="center"/>
              <w:textAlignment w:val="auto"/>
              <w:rPr>
                <w:color w:val="000000" w:themeColor="text1"/>
                <w:highlight w:val="none"/>
                <w14:textFill>
                  <w14:solidFill>
                    <w14:schemeClr w14:val="tx1"/>
                  </w14:solidFill>
                </w14:textFill>
              </w:rPr>
            </w:pPr>
          </w:p>
        </w:tc>
        <w:tc>
          <w:tcPr>
            <w:tcW w:w="1148" w:type="dxa"/>
            <w:noWrap w:val="0"/>
            <w:vAlign w:val="center"/>
          </w:tcPr>
          <w:p w14:paraId="16EBA1F7">
            <w:pPr>
              <w:keepNext w:val="0"/>
              <w:keepLines w:val="0"/>
              <w:pageBreakBefore w:val="0"/>
              <w:widowControl w:val="0"/>
              <w:kinsoku/>
              <w:wordWrap/>
              <w:overflowPunct/>
              <w:topLinePunct w:val="0"/>
              <w:bidi w:val="0"/>
              <w:adjustRightInd/>
              <w:spacing w:line="360" w:lineRule="auto"/>
              <w:ind w:left="223" w:hanging="222" w:hangingChars="106"/>
              <w:jc w:val="center"/>
              <w:textAlignment w:val="auto"/>
              <w:rPr>
                <w:color w:val="000000" w:themeColor="text1"/>
                <w:highlight w:val="none"/>
                <w14:textFill>
                  <w14:solidFill>
                    <w14:schemeClr w14:val="tx1"/>
                  </w14:solidFill>
                </w14:textFill>
              </w:rPr>
            </w:pPr>
          </w:p>
        </w:tc>
        <w:tc>
          <w:tcPr>
            <w:tcW w:w="1148" w:type="dxa"/>
            <w:noWrap w:val="0"/>
            <w:vAlign w:val="center"/>
          </w:tcPr>
          <w:p w14:paraId="7F07B0A3">
            <w:pPr>
              <w:keepNext w:val="0"/>
              <w:keepLines w:val="0"/>
              <w:pageBreakBefore w:val="0"/>
              <w:widowControl w:val="0"/>
              <w:kinsoku/>
              <w:wordWrap/>
              <w:overflowPunct/>
              <w:topLinePunct w:val="0"/>
              <w:bidi w:val="0"/>
              <w:adjustRightInd/>
              <w:spacing w:line="360" w:lineRule="auto"/>
              <w:ind w:left="223" w:hanging="222" w:hangingChars="106"/>
              <w:jc w:val="center"/>
              <w:textAlignment w:val="auto"/>
              <w:rPr>
                <w:color w:val="000000" w:themeColor="text1"/>
                <w:highlight w:val="none"/>
                <w14:textFill>
                  <w14:solidFill>
                    <w14:schemeClr w14:val="tx1"/>
                  </w14:solidFill>
                </w14:textFill>
              </w:rPr>
            </w:pPr>
          </w:p>
        </w:tc>
        <w:tc>
          <w:tcPr>
            <w:tcW w:w="850" w:type="dxa"/>
            <w:noWrap w:val="0"/>
            <w:vAlign w:val="center"/>
          </w:tcPr>
          <w:p w14:paraId="231A0EA4">
            <w:pPr>
              <w:keepNext w:val="0"/>
              <w:keepLines w:val="0"/>
              <w:pageBreakBefore w:val="0"/>
              <w:widowControl w:val="0"/>
              <w:kinsoku/>
              <w:wordWrap/>
              <w:overflowPunct/>
              <w:topLinePunct w:val="0"/>
              <w:bidi w:val="0"/>
              <w:adjustRightInd/>
              <w:spacing w:line="360" w:lineRule="auto"/>
              <w:ind w:left="223" w:hanging="222" w:hangingChars="106"/>
              <w:jc w:val="center"/>
              <w:textAlignment w:val="auto"/>
              <w:rPr>
                <w:color w:val="000000" w:themeColor="text1"/>
                <w:highlight w:val="none"/>
                <w14:textFill>
                  <w14:solidFill>
                    <w14:schemeClr w14:val="tx1"/>
                  </w14:solidFill>
                </w14:textFill>
              </w:rPr>
            </w:pPr>
          </w:p>
        </w:tc>
        <w:tc>
          <w:tcPr>
            <w:tcW w:w="1679" w:type="dxa"/>
            <w:noWrap w:val="0"/>
            <w:vAlign w:val="center"/>
          </w:tcPr>
          <w:p w14:paraId="02A967B7">
            <w:pPr>
              <w:keepNext w:val="0"/>
              <w:keepLines w:val="0"/>
              <w:pageBreakBefore w:val="0"/>
              <w:widowControl w:val="0"/>
              <w:kinsoku/>
              <w:wordWrap/>
              <w:overflowPunct/>
              <w:topLinePunct w:val="0"/>
              <w:bidi w:val="0"/>
              <w:adjustRightInd/>
              <w:spacing w:line="360" w:lineRule="auto"/>
              <w:ind w:left="223" w:hanging="222" w:hangingChars="106"/>
              <w:jc w:val="center"/>
              <w:textAlignment w:val="auto"/>
              <w:rPr>
                <w:color w:val="000000" w:themeColor="text1"/>
                <w:highlight w:val="none"/>
                <w14:textFill>
                  <w14:solidFill>
                    <w14:schemeClr w14:val="tx1"/>
                  </w14:solidFill>
                </w14:textFill>
              </w:rPr>
            </w:pPr>
          </w:p>
        </w:tc>
      </w:tr>
      <w:tr w14:paraId="103DEB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79" w:hRule="atLeast"/>
          <w:jc w:val="center"/>
        </w:trPr>
        <w:tc>
          <w:tcPr>
            <w:tcW w:w="9759" w:type="dxa"/>
            <w:gridSpan w:val="9"/>
            <w:noWrap w:val="0"/>
            <w:vAlign w:val="top"/>
          </w:tcPr>
          <w:p w14:paraId="4C018162">
            <w:pPr>
              <w:keepNext w:val="0"/>
              <w:keepLines w:val="0"/>
              <w:pageBreakBefore w:val="0"/>
              <w:widowControl w:val="0"/>
              <w:kinsoku/>
              <w:wordWrap/>
              <w:overflowPunct/>
              <w:topLinePunct w:val="0"/>
              <w:bidi w:val="0"/>
              <w:adjustRightInd/>
              <w:spacing w:before="120" w:beforeLines="50" w:after="120" w:afterLines="50" w:line="360" w:lineRule="auto"/>
              <w:textAlignment w:val="auto"/>
              <w:rPr>
                <w:color w:val="000000" w:themeColor="text1"/>
                <w:highlight w:val="none"/>
                <w14:textFill>
                  <w14:solidFill>
                    <w14:schemeClr w14:val="tx1"/>
                  </w14:solidFill>
                </w14:textFill>
              </w:rPr>
            </w:pPr>
            <w:r>
              <w:rPr>
                <w:rFonts w:hint="eastAsia" w:cs="宋体"/>
                <w:color w:val="000000" w:themeColor="text1"/>
                <w:highlight w:val="none"/>
                <w14:textFill>
                  <w14:solidFill>
                    <w14:schemeClr w14:val="tx1"/>
                  </w14:solidFill>
                </w14:textFill>
              </w:rPr>
              <w:t>一旦我单位成交，将实行项目经理负责制，我方保证并配备上述项目管理机构。上述填报内容真实，若不真实，愿按有关规定接受处理。项目管理班子机构设置、职责分工等情况另附资料说明。</w:t>
            </w:r>
          </w:p>
        </w:tc>
      </w:tr>
    </w:tbl>
    <w:p w14:paraId="34444C08">
      <w:pPr>
        <w:keepNext w:val="0"/>
        <w:keepLines w:val="0"/>
        <w:pageBreakBefore w:val="0"/>
        <w:widowControl w:val="0"/>
        <w:kinsoku/>
        <w:wordWrap/>
        <w:overflowPunct/>
        <w:topLinePunct w:val="0"/>
        <w:bidi w:val="0"/>
        <w:adjustRightInd/>
        <w:snapToGrid w:val="0"/>
        <w:spacing w:line="360" w:lineRule="auto"/>
        <w:ind w:firstLine="422" w:firstLineChars="200"/>
        <w:textAlignment w:val="auto"/>
        <w:rPr>
          <w:b/>
          <w:color w:val="000000" w:themeColor="text1"/>
          <w:szCs w:val="21"/>
          <w:highlight w:val="none"/>
          <w14:textFill>
            <w14:solidFill>
              <w14:schemeClr w14:val="tx1"/>
            </w14:solidFill>
          </w14:textFill>
        </w:rPr>
      </w:pPr>
    </w:p>
    <w:p w14:paraId="3A660854">
      <w:pPr>
        <w:keepNext w:val="0"/>
        <w:keepLines w:val="0"/>
        <w:pageBreakBefore w:val="0"/>
        <w:widowControl w:val="0"/>
        <w:kinsoku/>
        <w:wordWrap/>
        <w:overflowPunct/>
        <w:topLinePunct w:val="0"/>
        <w:autoSpaceDE w:val="0"/>
        <w:autoSpaceDN w:val="0"/>
        <w:bidi w:val="0"/>
        <w:adjustRightInd/>
        <w:spacing w:line="360" w:lineRule="auto"/>
        <w:jc w:val="left"/>
        <w:textAlignment w:val="auto"/>
        <w:rPr>
          <w:rFonts w:hint="eastAsia" w:eastAsia="楷体_GB2312" w:cs="楷体_GB2312"/>
          <w:color w:val="000000" w:themeColor="text1"/>
          <w:highlight w:val="none"/>
          <w14:textFill>
            <w14:solidFill>
              <w14:schemeClr w14:val="tx1"/>
            </w14:solidFill>
          </w14:textFill>
        </w:rPr>
      </w:pPr>
      <w:r>
        <w:rPr>
          <w:rFonts w:hint="eastAsia" w:eastAsia="楷体_GB2312" w:cs="楷体_GB2312"/>
          <w:color w:val="000000" w:themeColor="text1"/>
          <w:highlight w:val="none"/>
          <w14:textFill>
            <w14:solidFill>
              <w14:schemeClr w14:val="tx1"/>
            </w14:solidFill>
          </w14:textFill>
        </w:rPr>
        <w:t>【</w:t>
      </w:r>
      <w:r>
        <w:rPr>
          <w:rFonts w:hint="eastAsia" w:ascii="楷体" w:hAnsi="楷体" w:eastAsia="楷体"/>
          <w:color w:val="000000" w:themeColor="text1"/>
          <w:highlight w:val="none"/>
          <w14:textFill>
            <w14:solidFill>
              <w14:schemeClr w14:val="tx1"/>
            </w14:solidFill>
          </w14:textFill>
        </w:rPr>
        <w:t>备注：附上述人员的身份证</w:t>
      </w:r>
      <w:r>
        <w:rPr>
          <w:rFonts w:hint="eastAsia" w:eastAsia="楷体"/>
          <w:color w:val="000000" w:themeColor="text1"/>
          <w:highlight w:val="none"/>
          <w14:textFill>
            <w14:solidFill>
              <w14:schemeClr w14:val="tx1"/>
            </w14:solidFill>
          </w14:textFill>
        </w:rPr>
        <w:t>、</w:t>
      </w:r>
      <w:r>
        <w:rPr>
          <w:rFonts w:hint="eastAsia" w:ascii="楷体" w:hAnsi="楷体" w:eastAsia="楷体"/>
          <w:color w:val="000000" w:themeColor="text1"/>
          <w:highlight w:val="none"/>
          <w14:textFill>
            <w14:solidFill>
              <w14:schemeClr w14:val="tx1"/>
            </w14:solidFill>
          </w14:textFill>
        </w:rPr>
        <w:t>各岗位人员资格证件（如有）扫描件</w:t>
      </w:r>
      <w:r>
        <w:rPr>
          <w:rFonts w:hint="eastAsia" w:eastAsia="楷体_GB2312" w:cs="楷体_GB2312"/>
          <w:color w:val="000000" w:themeColor="text1"/>
          <w:highlight w:val="none"/>
          <w14:textFill>
            <w14:solidFill>
              <w14:schemeClr w14:val="tx1"/>
            </w14:solidFill>
          </w14:textFill>
        </w:rPr>
        <w:t>】</w:t>
      </w:r>
    </w:p>
    <w:p w14:paraId="3D16ECA7">
      <w:pPr>
        <w:pStyle w:val="11"/>
        <w:keepNext w:val="0"/>
        <w:keepLines w:val="0"/>
        <w:pageBreakBefore w:val="0"/>
        <w:widowControl w:val="0"/>
        <w:kinsoku/>
        <w:wordWrap/>
        <w:overflowPunct/>
        <w:topLinePunct w:val="0"/>
        <w:bidi w:val="0"/>
        <w:adjustRightInd/>
        <w:spacing w:line="360" w:lineRule="auto"/>
        <w:textAlignment w:val="auto"/>
        <w:rPr>
          <w:rFonts w:hint="eastAsia" w:eastAsia="楷体_GB2312" w:cs="楷体_GB2312"/>
          <w:color w:val="000000" w:themeColor="text1"/>
          <w:highlight w:val="none"/>
          <w14:textFill>
            <w14:solidFill>
              <w14:schemeClr w14:val="tx1"/>
            </w14:solidFill>
          </w14:textFill>
        </w:rPr>
      </w:pPr>
    </w:p>
    <w:p w14:paraId="076A5207">
      <w:pPr>
        <w:pStyle w:val="11"/>
        <w:keepNext w:val="0"/>
        <w:keepLines w:val="0"/>
        <w:pageBreakBefore w:val="0"/>
        <w:widowControl w:val="0"/>
        <w:kinsoku/>
        <w:wordWrap/>
        <w:overflowPunct/>
        <w:topLinePunct w:val="0"/>
        <w:bidi w:val="0"/>
        <w:adjustRightInd/>
        <w:spacing w:line="360" w:lineRule="auto"/>
        <w:textAlignment w:val="auto"/>
        <w:rPr>
          <w:rFonts w:eastAsia="楷体_GB2312" w:cs="楷体_GB2312"/>
          <w:color w:val="000000" w:themeColor="text1"/>
          <w:highlight w:val="none"/>
          <w14:textFill>
            <w14:solidFill>
              <w14:schemeClr w14:val="tx1"/>
            </w14:solidFill>
          </w14:textFill>
        </w:rPr>
      </w:pPr>
    </w:p>
    <w:p w14:paraId="6775B03B">
      <w:pPr>
        <w:keepNext w:val="0"/>
        <w:keepLines w:val="0"/>
        <w:pageBreakBefore w:val="0"/>
        <w:widowControl w:val="0"/>
        <w:kinsoku/>
        <w:wordWrap/>
        <w:overflowPunct/>
        <w:topLinePunct w:val="0"/>
        <w:bidi w:val="0"/>
        <w:adjustRightInd/>
        <w:spacing w:line="360" w:lineRule="auto"/>
        <w:ind w:firstLine="4410" w:firstLineChars="2100"/>
        <w:textAlignment w:val="auto"/>
        <w:rPr>
          <w:color w:val="000000" w:themeColor="text1"/>
          <w:szCs w:val="21"/>
          <w:highlight w:val="none"/>
          <w:u w:val="single"/>
          <w14:textFill>
            <w14:solidFill>
              <w14:schemeClr w14:val="tx1"/>
            </w14:solidFill>
          </w14:textFill>
        </w:rPr>
      </w:pPr>
      <w:r>
        <w:rPr>
          <w:color w:val="000000" w:themeColor="text1"/>
          <w:szCs w:val="21"/>
          <w:highlight w:val="none"/>
          <w14:textFill>
            <w14:solidFill>
              <w14:schemeClr w14:val="tx1"/>
            </w14:solidFill>
          </w14:textFill>
        </w:rPr>
        <w:t>供应商</w:t>
      </w:r>
      <w:r>
        <w:rPr>
          <w:color w:val="000000" w:themeColor="text1"/>
          <w:kern w:val="0"/>
          <w:szCs w:val="21"/>
          <w:highlight w:val="none"/>
          <w14:textFill>
            <w14:solidFill>
              <w14:schemeClr w14:val="tx1"/>
            </w14:solidFill>
          </w14:textFill>
        </w:rPr>
        <w:t>名称</w:t>
      </w:r>
      <w:r>
        <w:rPr>
          <w:color w:val="000000" w:themeColor="text1"/>
          <w:szCs w:val="21"/>
          <w:highlight w:val="none"/>
          <w14:textFill>
            <w14:solidFill>
              <w14:schemeClr w14:val="tx1"/>
            </w14:solidFill>
          </w14:textFill>
        </w:rPr>
        <w:t>（盖公章）：</w:t>
      </w:r>
      <w:r>
        <w:rPr>
          <w:color w:val="000000" w:themeColor="text1"/>
          <w:szCs w:val="21"/>
          <w:highlight w:val="none"/>
          <w:u w:val="single"/>
          <w14:textFill>
            <w14:solidFill>
              <w14:schemeClr w14:val="tx1"/>
            </w14:solidFill>
          </w14:textFill>
        </w:rPr>
        <w:t xml:space="preserve">                   </w:t>
      </w:r>
    </w:p>
    <w:p w14:paraId="6387C0BF">
      <w:pPr>
        <w:keepNext w:val="0"/>
        <w:keepLines w:val="0"/>
        <w:pageBreakBefore w:val="0"/>
        <w:widowControl w:val="0"/>
        <w:kinsoku/>
        <w:wordWrap/>
        <w:overflowPunct/>
        <w:topLinePunct w:val="0"/>
        <w:bidi w:val="0"/>
        <w:adjustRightInd/>
        <w:snapToGrid w:val="0"/>
        <w:spacing w:line="360" w:lineRule="auto"/>
        <w:ind w:firstLine="420" w:firstLineChars="200"/>
        <w:textAlignment w:val="auto"/>
        <w:rPr>
          <w:rFonts w:hint="eastAsia" w:ascii="仿宋" w:hAnsi="仿宋" w:eastAsia="仿宋" w:cs="仿宋_GB2312"/>
          <w:b/>
          <w:color w:val="000000" w:themeColor="text1"/>
          <w:sz w:val="30"/>
          <w:szCs w:val="30"/>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 xml:space="preserve">                                      </w:t>
      </w:r>
      <w:r>
        <w:rPr>
          <w:color w:val="000000" w:themeColor="text1"/>
          <w:szCs w:val="21"/>
          <w:highlight w:val="none"/>
          <w14:textFill>
            <w14:solidFill>
              <w14:schemeClr w14:val="tx1"/>
            </w14:solidFill>
          </w14:textFill>
        </w:rPr>
        <w:t>日期：</w:t>
      </w:r>
      <w:r>
        <w:rPr>
          <w:color w:val="000000" w:themeColor="text1"/>
          <w:szCs w:val="21"/>
          <w:highlight w:val="none"/>
          <w:u w:val="single"/>
          <w14:textFill>
            <w14:solidFill>
              <w14:schemeClr w14:val="tx1"/>
            </w14:solidFill>
          </w14:textFill>
        </w:rPr>
        <w:t xml:space="preserve">         </w:t>
      </w:r>
      <w:r>
        <w:rPr>
          <w:color w:val="000000" w:themeColor="text1"/>
          <w:szCs w:val="21"/>
          <w:highlight w:val="none"/>
          <w14:textFill>
            <w14:solidFill>
              <w14:schemeClr w14:val="tx1"/>
            </w14:solidFill>
          </w14:textFill>
        </w:rPr>
        <w:t>年</w:t>
      </w:r>
      <w:r>
        <w:rPr>
          <w:color w:val="000000" w:themeColor="text1"/>
          <w:szCs w:val="21"/>
          <w:highlight w:val="none"/>
          <w:u w:val="single"/>
          <w14:textFill>
            <w14:solidFill>
              <w14:schemeClr w14:val="tx1"/>
            </w14:solidFill>
          </w14:textFill>
        </w:rPr>
        <w:t xml:space="preserve">        </w:t>
      </w:r>
      <w:r>
        <w:rPr>
          <w:color w:val="000000" w:themeColor="text1"/>
          <w:szCs w:val="21"/>
          <w:highlight w:val="none"/>
          <w14:textFill>
            <w14:solidFill>
              <w14:schemeClr w14:val="tx1"/>
            </w14:solidFill>
          </w14:textFill>
        </w:rPr>
        <w:t>月</w:t>
      </w:r>
      <w:r>
        <w:rPr>
          <w:color w:val="000000" w:themeColor="text1"/>
          <w:szCs w:val="21"/>
          <w:highlight w:val="none"/>
          <w:u w:val="single"/>
          <w14:textFill>
            <w14:solidFill>
              <w14:schemeClr w14:val="tx1"/>
            </w14:solidFill>
          </w14:textFill>
        </w:rPr>
        <w:t xml:space="preserve">        </w:t>
      </w:r>
      <w:r>
        <w:rPr>
          <w:color w:val="000000" w:themeColor="text1"/>
          <w:szCs w:val="21"/>
          <w:highlight w:val="none"/>
          <w14:textFill>
            <w14:solidFill>
              <w14:schemeClr w14:val="tx1"/>
            </w14:solidFill>
          </w14:textFill>
        </w:rPr>
        <w:t>日</w:t>
      </w:r>
    </w:p>
    <w:p w14:paraId="5795B82B">
      <w:pPr>
        <w:autoSpaceDE w:val="0"/>
        <w:autoSpaceDN w:val="0"/>
        <w:spacing w:line="360" w:lineRule="auto"/>
        <w:ind w:firstLine="5670" w:firstLineChars="2700"/>
        <w:rPr>
          <w:rFonts w:eastAsia="仿宋_GB2312"/>
          <w:color w:val="000000" w:themeColor="text1"/>
          <w:kern w:val="0"/>
          <w:szCs w:val="21"/>
          <w:highlight w:val="none"/>
          <w:lang w:val="zh-CN"/>
          <w14:textFill>
            <w14:solidFill>
              <w14:schemeClr w14:val="tx1"/>
            </w14:solidFill>
          </w14:textFill>
        </w:rPr>
      </w:pPr>
    </w:p>
    <w:p w14:paraId="216F22E8">
      <w:pPr>
        <w:autoSpaceDE w:val="0"/>
        <w:autoSpaceDN w:val="0"/>
        <w:spacing w:line="360" w:lineRule="auto"/>
        <w:ind w:firstLine="8132" w:firstLineChars="2700"/>
        <w:rPr>
          <w:rFonts w:ascii="仿宋_GB2312" w:hAnsi="仿宋" w:eastAsia="仿宋_GB2312" w:cs="仿宋_GB2312"/>
          <w:b/>
          <w:bCs/>
          <w:color w:val="000000" w:themeColor="text1"/>
          <w:sz w:val="24"/>
          <w:highlight w:val="none"/>
          <w14:textFill>
            <w14:solidFill>
              <w14:schemeClr w14:val="tx1"/>
            </w14:solidFill>
          </w14:textFill>
        </w:rPr>
      </w:pPr>
      <w:r>
        <w:rPr>
          <w:rFonts w:hint="eastAsia" w:ascii="仿宋" w:hAnsi="仿宋" w:eastAsia="仿宋" w:cs="仿宋_GB2312"/>
          <w:b/>
          <w:color w:val="000000" w:themeColor="text1"/>
          <w:sz w:val="30"/>
          <w:szCs w:val="30"/>
          <w:highlight w:val="none"/>
          <w14:textFill>
            <w14:solidFill>
              <w14:schemeClr w14:val="tx1"/>
            </w14:solidFill>
          </w14:textFill>
        </w:rPr>
        <w:br w:type="page"/>
      </w:r>
    </w:p>
    <w:p w14:paraId="4A133E53">
      <w:pPr>
        <w:pStyle w:val="4"/>
        <w:keepNext/>
        <w:keepLines/>
        <w:pageBreakBefore w:val="0"/>
        <w:widowControl w:val="0"/>
        <w:kinsoku/>
        <w:wordWrap/>
        <w:overflowPunct/>
        <w:topLinePunct w:val="0"/>
        <w:autoSpaceDE/>
        <w:autoSpaceDN/>
        <w:bidi w:val="0"/>
        <w:adjustRightInd/>
        <w:snapToGrid/>
        <w:spacing w:before="0" w:after="0" w:line="360" w:lineRule="auto"/>
        <w:jc w:val="center"/>
        <w:textAlignment w:val="auto"/>
        <w:outlineLvl w:val="1"/>
        <w:rPr>
          <w:rFonts w:hint="eastAsia" w:ascii="宋体" w:hAnsi="宋体" w:eastAsia="宋体" w:cs="宋体"/>
          <w:b/>
          <w:bCs/>
          <w:color w:val="000000" w:themeColor="text1"/>
          <w:sz w:val="30"/>
          <w:szCs w:val="30"/>
          <w:highlight w:val="none"/>
          <w14:textFill>
            <w14:solidFill>
              <w14:schemeClr w14:val="tx1"/>
            </w14:solidFill>
          </w14:textFill>
        </w:rPr>
      </w:pPr>
      <w:bookmarkStart w:id="223" w:name="_Toc21514"/>
      <w:bookmarkStart w:id="224" w:name="_Toc80205941"/>
      <w:bookmarkStart w:id="225" w:name="_Toc80886945"/>
      <w:bookmarkStart w:id="226" w:name="_Toc12611"/>
      <w:bookmarkStart w:id="227" w:name="_Toc31035"/>
      <w:r>
        <w:rPr>
          <w:rFonts w:hint="eastAsia" w:ascii="宋体" w:hAnsi="宋体" w:eastAsia="宋体" w:cs="宋体"/>
          <w:b/>
          <w:bCs/>
          <w:color w:val="000000" w:themeColor="text1"/>
          <w:sz w:val="30"/>
          <w:szCs w:val="30"/>
          <w:highlight w:val="none"/>
          <w14:textFill>
            <w14:solidFill>
              <w14:schemeClr w14:val="tx1"/>
            </w14:solidFill>
          </w14:textFill>
        </w:rPr>
        <w:t>第</w:t>
      </w:r>
      <w:r>
        <w:rPr>
          <w:rFonts w:hint="eastAsia" w:ascii="宋体" w:hAnsi="宋体" w:eastAsia="宋体" w:cs="宋体"/>
          <w:b/>
          <w:bCs/>
          <w:color w:val="000000" w:themeColor="text1"/>
          <w:sz w:val="30"/>
          <w:szCs w:val="30"/>
          <w:highlight w:val="none"/>
          <w:lang w:eastAsia="zh-CN"/>
          <w14:textFill>
            <w14:solidFill>
              <w14:schemeClr w14:val="tx1"/>
            </w14:solidFill>
          </w14:textFill>
        </w:rPr>
        <w:t>三</w:t>
      </w:r>
      <w:r>
        <w:rPr>
          <w:rFonts w:hint="eastAsia" w:ascii="宋体" w:hAnsi="宋体" w:eastAsia="宋体" w:cs="宋体"/>
          <w:b/>
          <w:bCs/>
          <w:color w:val="000000" w:themeColor="text1"/>
          <w:sz w:val="30"/>
          <w:szCs w:val="30"/>
          <w:highlight w:val="none"/>
          <w14:textFill>
            <w14:solidFill>
              <w14:schemeClr w14:val="tx1"/>
            </w14:solidFill>
          </w14:textFill>
        </w:rPr>
        <w:t>节 报价文件格式</w:t>
      </w:r>
      <w:bookmarkEnd w:id="223"/>
      <w:bookmarkEnd w:id="224"/>
      <w:bookmarkEnd w:id="225"/>
      <w:bookmarkEnd w:id="226"/>
      <w:bookmarkEnd w:id="227"/>
    </w:p>
    <w:p w14:paraId="5AF4E1CF">
      <w:pPr>
        <w:snapToGrid w:val="0"/>
        <w:spacing w:before="120" w:beforeLines="50" w:after="50" w:line="360" w:lineRule="auto"/>
        <w:jc w:val="left"/>
        <w:outlineLvl w:val="2"/>
        <w:rPr>
          <w:color w:val="000000" w:themeColor="text1"/>
          <w:highlight w:val="none"/>
          <w:lang w:val="zh-CN" w:eastAsia="zh-CN"/>
          <w14:textFill>
            <w14:solidFill>
              <w14:schemeClr w14:val="tx1"/>
            </w14:solidFill>
          </w14:textFill>
        </w:rPr>
      </w:pPr>
      <w:bookmarkStart w:id="228" w:name="_Toc18563"/>
      <w:r>
        <w:rPr>
          <w:b/>
          <w:bCs/>
          <w:color w:val="000000" w:themeColor="text1"/>
          <w:sz w:val="28"/>
          <w:szCs w:val="28"/>
          <w:highlight w:val="none"/>
          <w:lang w:val="en-US" w:eastAsia="zh-CN"/>
          <w14:textFill>
            <w14:solidFill>
              <w14:schemeClr w14:val="tx1"/>
            </w14:solidFill>
          </w14:textFill>
        </w:rPr>
        <w:t>1.</w:t>
      </w:r>
      <w:r>
        <w:rPr>
          <w:b/>
          <w:bCs/>
          <w:color w:val="000000" w:themeColor="text1"/>
          <w:sz w:val="28"/>
          <w:szCs w:val="28"/>
          <w:highlight w:val="none"/>
          <w14:textFill>
            <w14:solidFill>
              <w14:schemeClr w14:val="tx1"/>
            </w14:solidFill>
          </w14:textFill>
        </w:rPr>
        <w:t>报价文件</w:t>
      </w:r>
      <w:r>
        <w:rPr>
          <w:b/>
          <w:bCs/>
          <w:color w:val="000000" w:themeColor="text1"/>
          <w:sz w:val="28"/>
          <w:szCs w:val="28"/>
          <w:highlight w:val="none"/>
          <w:lang w:eastAsia="zh-CN"/>
          <w14:textFill>
            <w14:solidFill>
              <w14:schemeClr w14:val="tx1"/>
            </w14:solidFill>
          </w14:textFill>
        </w:rPr>
        <w:t>封面的格式：</w:t>
      </w:r>
      <w:bookmarkEnd w:id="228"/>
    </w:p>
    <w:p w14:paraId="78A0357A">
      <w:pPr>
        <w:pageBreakBefore w:val="0"/>
        <w:widowControl w:val="0"/>
        <w:kinsoku/>
        <w:wordWrap/>
        <w:overflowPunct/>
        <w:topLinePunct w:val="0"/>
        <w:autoSpaceDE/>
        <w:autoSpaceDN/>
        <w:bidi w:val="0"/>
        <w:adjustRightInd/>
        <w:snapToGrid w:val="0"/>
        <w:spacing w:before="120" w:beforeLines="50" w:after="50" w:line="360" w:lineRule="auto"/>
        <w:textAlignment w:val="auto"/>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 xml:space="preserve">                                             </w:t>
      </w:r>
    </w:p>
    <w:p w14:paraId="64389446">
      <w:pPr>
        <w:pageBreakBefore w:val="0"/>
        <w:widowControl w:val="0"/>
        <w:kinsoku/>
        <w:wordWrap/>
        <w:overflowPunct/>
        <w:topLinePunct w:val="0"/>
        <w:autoSpaceDE/>
        <w:autoSpaceDN/>
        <w:bidi w:val="0"/>
        <w:adjustRightInd/>
        <w:snapToGrid w:val="0"/>
        <w:spacing w:before="120" w:beforeLines="50" w:after="50" w:line="360" w:lineRule="auto"/>
        <w:ind w:firstLine="6720" w:firstLineChars="3200"/>
        <w:textAlignment w:val="auto"/>
        <w:rPr>
          <w:bCs/>
          <w:color w:val="000000" w:themeColor="text1"/>
          <w:sz w:val="32"/>
          <w:szCs w:val="20"/>
          <w:highlight w:val="none"/>
          <w14:textFill>
            <w14:solidFill>
              <w14:schemeClr w14:val="tx1"/>
            </w14:solidFill>
          </w14:textFill>
        </w:rPr>
      </w:pPr>
      <w:r>
        <w:rPr>
          <w:bCs/>
          <w:color w:val="000000" w:themeColor="text1"/>
          <w:highlight w:val="none"/>
          <w14:textFill>
            <w14:solidFill>
              <w14:schemeClr w14:val="tx1"/>
            </w14:solidFill>
          </w14:textFill>
        </w:rPr>
        <w:t>全流程电子文件</w:t>
      </w:r>
    </w:p>
    <w:p w14:paraId="25752196">
      <w:pPr>
        <w:pageBreakBefore w:val="0"/>
        <w:widowControl w:val="0"/>
        <w:kinsoku/>
        <w:wordWrap/>
        <w:overflowPunct/>
        <w:topLinePunct w:val="0"/>
        <w:autoSpaceDE/>
        <w:autoSpaceDN/>
        <w:bidi w:val="0"/>
        <w:adjustRightInd/>
        <w:snapToGrid w:val="0"/>
        <w:spacing w:before="120" w:beforeLines="50" w:after="50" w:line="360" w:lineRule="auto"/>
        <w:textAlignment w:val="auto"/>
        <w:rPr>
          <w:color w:val="000000" w:themeColor="text1"/>
          <w:sz w:val="24"/>
          <w:szCs w:val="20"/>
          <w:highlight w:val="none"/>
          <w14:textFill>
            <w14:solidFill>
              <w14:schemeClr w14:val="tx1"/>
            </w14:solidFill>
          </w14:textFill>
        </w:rPr>
      </w:pPr>
    </w:p>
    <w:p w14:paraId="0B3CFA94">
      <w:pPr>
        <w:pageBreakBefore w:val="0"/>
        <w:widowControl w:val="0"/>
        <w:kinsoku/>
        <w:wordWrap/>
        <w:overflowPunct/>
        <w:topLinePunct w:val="0"/>
        <w:autoSpaceDE/>
        <w:autoSpaceDN/>
        <w:bidi w:val="0"/>
        <w:adjustRightInd/>
        <w:snapToGrid w:val="0"/>
        <w:spacing w:before="120" w:beforeLines="50" w:after="50" w:line="360" w:lineRule="auto"/>
        <w:textAlignment w:val="auto"/>
        <w:rPr>
          <w:color w:val="000000" w:themeColor="text1"/>
          <w:sz w:val="24"/>
          <w:szCs w:val="20"/>
          <w:highlight w:val="none"/>
          <w14:textFill>
            <w14:solidFill>
              <w14:schemeClr w14:val="tx1"/>
            </w14:solidFill>
          </w14:textFill>
        </w:rPr>
      </w:pPr>
    </w:p>
    <w:p w14:paraId="7F81A998">
      <w:pPr>
        <w:pageBreakBefore w:val="0"/>
        <w:widowControl w:val="0"/>
        <w:kinsoku/>
        <w:wordWrap/>
        <w:overflowPunct/>
        <w:topLinePunct w:val="0"/>
        <w:autoSpaceDE/>
        <w:autoSpaceDN/>
        <w:bidi w:val="0"/>
        <w:adjustRightInd/>
        <w:snapToGrid w:val="0"/>
        <w:spacing w:before="120" w:beforeLines="50" w:after="50" w:line="360" w:lineRule="auto"/>
        <w:textAlignment w:val="auto"/>
        <w:rPr>
          <w:color w:val="000000" w:themeColor="text1"/>
          <w:sz w:val="24"/>
          <w:szCs w:val="20"/>
          <w:highlight w:val="none"/>
          <w14:textFill>
            <w14:solidFill>
              <w14:schemeClr w14:val="tx1"/>
            </w14:solidFill>
          </w14:textFill>
        </w:rPr>
      </w:pPr>
    </w:p>
    <w:p w14:paraId="719956D5">
      <w:pPr>
        <w:pageBreakBefore w:val="0"/>
        <w:widowControl w:val="0"/>
        <w:kinsoku/>
        <w:wordWrap/>
        <w:overflowPunct/>
        <w:topLinePunct w:val="0"/>
        <w:autoSpaceDE/>
        <w:autoSpaceDN/>
        <w:bidi w:val="0"/>
        <w:adjustRightInd/>
        <w:snapToGrid w:val="0"/>
        <w:spacing w:before="120" w:beforeLines="50" w:after="50" w:line="360" w:lineRule="auto"/>
        <w:jc w:val="center"/>
        <w:textAlignment w:val="auto"/>
        <w:rPr>
          <w:rFonts w:hint="eastAsia" w:ascii="宋体" w:hAnsi="宋体" w:cs="宋体"/>
          <w:b/>
          <w:color w:val="000000" w:themeColor="text1"/>
          <w:sz w:val="44"/>
          <w:szCs w:val="44"/>
          <w:highlight w:val="none"/>
          <w14:textFill>
            <w14:solidFill>
              <w14:schemeClr w14:val="tx1"/>
            </w14:solidFill>
          </w14:textFill>
        </w:rPr>
      </w:pPr>
      <w:r>
        <w:rPr>
          <w:rFonts w:hint="eastAsia" w:ascii="宋体" w:hAnsi="宋体" w:cs="宋体"/>
          <w:b/>
          <w:color w:val="000000" w:themeColor="text1"/>
          <w:sz w:val="44"/>
          <w:szCs w:val="44"/>
          <w:highlight w:val="none"/>
          <w14:textFill>
            <w14:solidFill>
              <w14:schemeClr w14:val="tx1"/>
            </w14:solidFill>
          </w14:textFill>
        </w:rPr>
        <w:t>报  价  文  件</w:t>
      </w:r>
    </w:p>
    <w:p w14:paraId="4D3DA7B2">
      <w:pPr>
        <w:pageBreakBefore w:val="0"/>
        <w:widowControl w:val="0"/>
        <w:kinsoku/>
        <w:wordWrap/>
        <w:overflowPunct/>
        <w:topLinePunct w:val="0"/>
        <w:autoSpaceDE/>
        <w:autoSpaceDN/>
        <w:bidi w:val="0"/>
        <w:adjustRightInd/>
        <w:snapToGrid w:val="0"/>
        <w:spacing w:before="120" w:beforeLines="50" w:after="50" w:line="360" w:lineRule="auto"/>
        <w:textAlignment w:val="auto"/>
        <w:rPr>
          <w:bCs/>
          <w:color w:val="000000" w:themeColor="text1"/>
          <w:sz w:val="24"/>
          <w:szCs w:val="20"/>
          <w:highlight w:val="none"/>
          <w14:textFill>
            <w14:solidFill>
              <w14:schemeClr w14:val="tx1"/>
            </w14:solidFill>
          </w14:textFill>
        </w:rPr>
      </w:pPr>
    </w:p>
    <w:p w14:paraId="7F38751C">
      <w:pPr>
        <w:pageBreakBefore w:val="0"/>
        <w:widowControl w:val="0"/>
        <w:kinsoku/>
        <w:wordWrap/>
        <w:overflowPunct/>
        <w:topLinePunct w:val="0"/>
        <w:autoSpaceDE/>
        <w:autoSpaceDN/>
        <w:bidi w:val="0"/>
        <w:adjustRightInd/>
        <w:snapToGrid w:val="0"/>
        <w:spacing w:before="120" w:beforeLines="50" w:after="50" w:line="360" w:lineRule="auto"/>
        <w:textAlignment w:val="auto"/>
        <w:rPr>
          <w:bCs/>
          <w:color w:val="000000" w:themeColor="text1"/>
          <w:sz w:val="24"/>
          <w:szCs w:val="20"/>
          <w:highlight w:val="none"/>
          <w14:textFill>
            <w14:solidFill>
              <w14:schemeClr w14:val="tx1"/>
            </w14:solidFill>
          </w14:textFill>
        </w:rPr>
      </w:pPr>
    </w:p>
    <w:p w14:paraId="336F5685">
      <w:pPr>
        <w:pageBreakBefore w:val="0"/>
        <w:widowControl w:val="0"/>
        <w:kinsoku/>
        <w:wordWrap/>
        <w:overflowPunct/>
        <w:topLinePunct w:val="0"/>
        <w:autoSpaceDE/>
        <w:autoSpaceDN/>
        <w:bidi w:val="0"/>
        <w:adjustRightInd/>
        <w:snapToGrid w:val="0"/>
        <w:spacing w:before="120" w:beforeLines="50" w:after="50" w:line="360" w:lineRule="auto"/>
        <w:textAlignment w:val="auto"/>
        <w:rPr>
          <w:bCs/>
          <w:color w:val="000000" w:themeColor="text1"/>
          <w:sz w:val="24"/>
          <w:szCs w:val="20"/>
          <w:highlight w:val="none"/>
          <w14:textFill>
            <w14:solidFill>
              <w14:schemeClr w14:val="tx1"/>
            </w14:solidFill>
          </w14:textFill>
        </w:rPr>
      </w:pPr>
    </w:p>
    <w:p w14:paraId="6227F042">
      <w:pPr>
        <w:pageBreakBefore w:val="0"/>
        <w:widowControl w:val="0"/>
        <w:kinsoku/>
        <w:wordWrap/>
        <w:overflowPunct/>
        <w:topLinePunct w:val="0"/>
        <w:autoSpaceDE/>
        <w:autoSpaceDN/>
        <w:bidi w:val="0"/>
        <w:adjustRightInd/>
        <w:snapToGrid w:val="0"/>
        <w:spacing w:before="120" w:beforeLines="50" w:after="50" w:line="360" w:lineRule="auto"/>
        <w:ind w:firstLine="640" w:firstLineChars="200"/>
        <w:textAlignment w:val="auto"/>
        <w:rPr>
          <w:bCs/>
          <w:color w:val="000000" w:themeColor="text1"/>
          <w:sz w:val="32"/>
          <w:szCs w:val="32"/>
          <w:highlight w:val="none"/>
          <w14:textFill>
            <w14:solidFill>
              <w14:schemeClr w14:val="tx1"/>
            </w14:solidFill>
          </w14:textFill>
        </w:rPr>
      </w:pPr>
      <w:r>
        <w:rPr>
          <w:bCs/>
          <w:color w:val="000000" w:themeColor="text1"/>
          <w:sz w:val="32"/>
          <w:szCs w:val="32"/>
          <w:highlight w:val="none"/>
          <w14:textFill>
            <w14:solidFill>
              <w14:schemeClr w14:val="tx1"/>
            </w14:solidFill>
          </w14:textFill>
        </w:rPr>
        <w:t>项目名称：</w:t>
      </w:r>
    </w:p>
    <w:p w14:paraId="4133294E">
      <w:pPr>
        <w:pageBreakBefore w:val="0"/>
        <w:widowControl w:val="0"/>
        <w:kinsoku/>
        <w:wordWrap/>
        <w:overflowPunct/>
        <w:topLinePunct w:val="0"/>
        <w:autoSpaceDE/>
        <w:autoSpaceDN/>
        <w:bidi w:val="0"/>
        <w:adjustRightInd/>
        <w:snapToGrid w:val="0"/>
        <w:spacing w:before="120" w:beforeLines="50" w:after="50" w:line="360" w:lineRule="auto"/>
        <w:ind w:firstLine="720" w:firstLineChars="225"/>
        <w:textAlignment w:val="auto"/>
        <w:rPr>
          <w:bCs/>
          <w:color w:val="000000" w:themeColor="text1"/>
          <w:sz w:val="32"/>
          <w:szCs w:val="32"/>
          <w:highlight w:val="none"/>
          <w14:textFill>
            <w14:solidFill>
              <w14:schemeClr w14:val="tx1"/>
            </w14:solidFill>
          </w14:textFill>
        </w:rPr>
      </w:pPr>
    </w:p>
    <w:p w14:paraId="2336CB0B">
      <w:pPr>
        <w:pageBreakBefore w:val="0"/>
        <w:widowControl w:val="0"/>
        <w:kinsoku/>
        <w:wordWrap/>
        <w:overflowPunct/>
        <w:topLinePunct w:val="0"/>
        <w:autoSpaceDE/>
        <w:autoSpaceDN/>
        <w:bidi w:val="0"/>
        <w:adjustRightInd/>
        <w:snapToGrid w:val="0"/>
        <w:spacing w:before="120" w:beforeLines="50" w:after="50" w:line="360" w:lineRule="auto"/>
        <w:ind w:firstLine="640" w:firstLineChars="200"/>
        <w:textAlignment w:val="auto"/>
        <w:rPr>
          <w:bCs/>
          <w:color w:val="000000" w:themeColor="text1"/>
          <w:sz w:val="32"/>
          <w:szCs w:val="32"/>
          <w:highlight w:val="none"/>
          <w14:textFill>
            <w14:solidFill>
              <w14:schemeClr w14:val="tx1"/>
            </w14:solidFill>
          </w14:textFill>
        </w:rPr>
      </w:pPr>
      <w:r>
        <w:rPr>
          <w:bCs/>
          <w:color w:val="000000" w:themeColor="text1"/>
          <w:sz w:val="32"/>
          <w:szCs w:val="32"/>
          <w:highlight w:val="none"/>
          <w14:textFill>
            <w14:solidFill>
              <w14:schemeClr w14:val="tx1"/>
            </w14:solidFill>
          </w14:textFill>
        </w:rPr>
        <w:t>项目编号：</w:t>
      </w:r>
    </w:p>
    <w:p w14:paraId="2ADB4DD3">
      <w:pPr>
        <w:pageBreakBefore w:val="0"/>
        <w:widowControl w:val="0"/>
        <w:kinsoku/>
        <w:wordWrap/>
        <w:overflowPunct/>
        <w:topLinePunct w:val="0"/>
        <w:autoSpaceDE/>
        <w:autoSpaceDN/>
        <w:bidi w:val="0"/>
        <w:adjustRightInd/>
        <w:snapToGrid w:val="0"/>
        <w:spacing w:before="120" w:beforeLines="50" w:after="50" w:line="360" w:lineRule="auto"/>
        <w:ind w:firstLine="720" w:firstLineChars="225"/>
        <w:textAlignment w:val="auto"/>
        <w:rPr>
          <w:bCs/>
          <w:color w:val="000000" w:themeColor="text1"/>
          <w:sz w:val="32"/>
          <w:szCs w:val="32"/>
          <w:highlight w:val="none"/>
          <w14:textFill>
            <w14:solidFill>
              <w14:schemeClr w14:val="tx1"/>
            </w14:solidFill>
          </w14:textFill>
        </w:rPr>
      </w:pPr>
      <w:r>
        <w:rPr>
          <w:bCs/>
          <w:color w:val="000000" w:themeColor="text1"/>
          <w:sz w:val="32"/>
          <w:szCs w:val="32"/>
          <w:highlight w:val="none"/>
          <w14:textFill>
            <w14:solidFill>
              <w14:schemeClr w14:val="tx1"/>
            </w14:solidFill>
          </w14:textFill>
        </w:rPr>
        <w:t xml:space="preserve"> </w:t>
      </w:r>
    </w:p>
    <w:p w14:paraId="1141995E">
      <w:pPr>
        <w:pageBreakBefore w:val="0"/>
        <w:widowControl w:val="0"/>
        <w:kinsoku/>
        <w:wordWrap/>
        <w:overflowPunct/>
        <w:topLinePunct w:val="0"/>
        <w:autoSpaceDE/>
        <w:autoSpaceDN/>
        <w:bidi w:val="0"/>
        <w:adjustRightInd/>
        <w:snapToGrid w:val="0"/>
        <w:spacing w:before="120" w:beforeLines="50" w:after="50" w:line="360" w:lineRule="auto"/>
        <w:ind w:firstLine="640" w:firstLineChars="200"/>
        <w:textAlignment w:val="auto"/>
        <w:rPr>
          <w:bCs/>
          <w:color w:val="000000" w:themeColor="text1"/>
          <w:sz w:val="32"/>
          <w:szCs w:val="32"/>
          <w:highlight w:val="none"/>
          <w14:textFill>
            <w14:solidFill>
              <w14:schemeClr w14:val="tx1"/>
            </w14:solidFill>
          </w14:textFill>
        </w:rPr>
      </w:pPr>
      <w:r>
        <w:rPr>
          <w:bCs/>
          <w:color w:val="000000" w:themeColor="text1"/>
          <w:sz w:val="32"/>
          <w:szCs w:val="32"/>
          <w:highlight w:val="none"/>
          <w14:textFill>
            <w14:solidFill>
              <w14:schemeClr w14:val="tx1"/>
            </w14:solidFill>
          </w14:textFill>
        </w:rPr>
        <w:t>所竞分标（如有则填写，无分标时填写</w:t>
      </w:r>
      <w:r>
        <w:rPr>
          <w:rFonts w:hint="eastAsia"/>
          <w:bCs/>
          <w:color w:val="000000" w:themeColor="text1"/>
          <w:sz w:val="32"/>
          <w:szCs w:val="32"/>
          <w:highlight w:val="none"/>
          <w:lang w:eastAsia="zh-CN"/>
          <w14:textFill>
            <w14:solidFill>
              <w14:schemeClr w14:val="tx1"/>
            </w14:solidFill>
          </w14:textFill>
        </w:rPr>
        <w:t>“</w:t>
      </w:r>
      <w:r>
        <w:rPr>
          <w:bCs/>
          <w:color w:val="000000" w:themeColor="text1"/>
          <w:sz w:val="32"/>
          <w:szCs w:val="32"/>
          <w:highlight w:val="none"/>
          <w14:textFill>
            <w14:solidFill>
              <w14:schemeClr w14:val="tx1"/>
            </w14:solidFill>
          </w14:textFill>
        </w:rPr>
        <w:t>无</w:t>
      </w:r>
      <w:r>
        <w:rPr>
          <w:rFonts w:hint="eastAsia"/>
          <w:bCs/>
          <w:color w:val="000000" w:themeColor="text1"/>
          <w:sz w:val="32"/>
          <w:szCs w:val="32"/>
          <w:highlight w:val="none"/>
          <w:lang w:eastAsia="zh-CN"/>
          <w14:textFill>
            <w14:solidFill>
              <w14:schemeClr w14:val="tx1"/>
            </w14:solidFill>
          </w14:textFill>
        </w:rPr>
        <w:t>”</w:t>
      </w:r>
      <w:r>
        <w:rPr>
          <w:bCs/>
          <w:color w:val="000000" w:themeColor="text1"/>
          <w:sz w:val="32"/>
          <w:szCs w:val="32"/>
          <w:highlight w:val="none"/>
          <w14:textFill>
            <w14:solidFill>
              <w14:schemeClr w14:val="tx1"/>
            </w14:solidFill>
          </w14:textFill>
        </w:rPr>
        <w:t>或者留空）：</w:t>
      </w:r>
    </w:p>
    <w:p w14:paraId="75FEC7AB">
      <w:pPr>
        <w:pageBreakBefore w:val="0"/>
        <w:widowControl w:val="0"/>
        <w:kinsoku/>
        <w:wordWrap/>
        <w:overflowPunct/>
        <w:topLinePunct w:val="0"/>
        <w:autoSpaceDE/>
        <w:autoSpaceDN/>
        <w:bidi w:val="0"/>
        <w:adjustRightInd/>
        <w:snapToGrid w:val="0"/>
        <w:spacing w:before="120" w:beforeLines="50" w:after="50" w:line="360" w:lineRule="auto"/>
        <w:ind w:firstLine="720" w:firstLineChars="225"/>
        <w:textAlignment w:val="auto"/>
        <w:rPr>
          <w:bCs/>
          <w:color w:val="000000" w:themeColor="text1"/>
          <w:sz w:val="32"/>
          <w:szCs w:val="32"/>
          <w:highlight w:val="none"/>
          <w14:textFill>
            <w14:solidFill>
              <w14:schemeClr w14:val="tx1"/>
            </w14:solidFill>
          </w14:textFill>
        </w:rPr>
      </w:pPr>
    </w:p>
    <w:p w14:paraId="740D2641">
      <w:pPr>
        <w:pStyle w:val="11"/>
        <w:pageBreakBefore w:val="0"/>
        <w:widowControl w:val="0"/>
        <w:kinsoku/>
        <w:wordWrap/>
        <w:overflowPunct/>
        <w:topLinePunct w:val="0"/>
        <w:autoSpaceDE/>
        <w:autoSpaceDN/>
        <w:bidi w:val="0"/>
        <w:adjustRightInd/>
        <w:snapToGrid w:val="0"/>
        <w:spacing w:before="50" w:after="50" w:line="360" w:lineRule="auto"/>
        <w:ind w:firstLine="640" w:firstLineChars="200"/>
        <w:textAlignment w:val="auto"/>
        <w:rPr>
          <w:bCs/>
          <w:color w:val="000000" w:themeColor="text1"/>
          <w:sz w:val="32"/>
          <w:szCs w:val="32"/>
          <w:highlight w:val="none"/>
          <w14:textFill>
            <w14:solidFill>
              <w14:schemeClr w14:val="tx1"/>
            </w14:solidFill>
          </w14:textFill>
        </w:rPr>
      </w:pPr>
      <w:r>
        <w:rPr>
          <w:bCs/>
          <w:color w:val="000000" w:themeColor="text1"/>
          <w:sz w:val="32"/>
          <w:szCs w:val="32"/>
          <w:highlight w:val="none"/>
          <w14:textFill>
            <w14:solidFill>
              <w14:schemeClr w14:val="tx1"/>
            </w14:solidFill>
          </w14:textFill>
        </w:rPr>
        <w:t>供应商名称：</w:t>
      </w:r>
    </w:p>
    <w:p w14:paraId="7657C20A">
      <w:pPr>
        <w:pStyle w:val="11"/>
        <w:pageBreakBefore w:val="0"/>
        <w:widowControl w:val="0"/>
        <w:kinsoku/>
        <w:wordWrap/>
        <w:overflowPunct/>
        <w:topLinePunct w:val="0"/>
        <w:autoSpaceDE/>
        <w:autoSpaceDN/>
        <w:bidi w:val="0"/>
        <w:adjustRightInd/>
        <w:snapToGrid w:val="0"/>
        <w:spacing w:before="50" w:after="50" w:line="360" w:lineRule="auto"/>
        <w:ind w:firstLine="720" w:firstLineChars="225"/>
        <w:textAlignment w:val="auto"/>
        <w:rPr>
          <w:bCs/>
          <w:color w:val="000000" w:themeColor="text1"/>
          <w:sz w:val="32"/>
          <w:szCs w:val="32"/>
          <w:highlight w:val="none"/>
          <w14:textFill>
            <w14:solidFill>
              <w14:schemeClr w14:val="tx1"/>
            </w14:solidFill>
          </w14:textFill>
        </w:rPr>
      </w:pPr>
    </w:p>
    <w:p w14:paraId="6B60008E">
      <w:pPr>
        <w:pageBreakBefore w:val="0"/>
        <w:widowControl w:val="0"/>
        <w:kinsoku/>
        <w:wordWrap/>
        <w:overflowPunct/>
        <w:topLinePunct w:val="0"/>
        <w:autoSpaceDE/>
        <w:autoSpaceDN/>
        <w:bidi w:val="0"/>
        <w:adjustRightInd/>
        <w:snapToGrid w:val="0"/>
        <w:spacing w:before="120" w:beforeLines="50" w:after="50" w:line="360" w:lineRule="auto"/>
        <w:jc w:val="center"/>
        <w:textAlignment w:val="auto"/>
        <w:rPr>
          <w:color w:val="000000" w:themeColor="text1"/>
          <w:sz w:val="32"/>
          <w:szCs w:val="32"/>
          <w:highlight w:val="none"/>
          <w14:textFill>
            <w14:solidFill>
              <w14:schemeClr w14:val="tx1"/>
            </w14:solidFill>
          </w14:textFill>
        </w:rPr>
      </w:pPr>
      <w:r>
        <w:rPr>
          <w:color w:val="000000" w:themeColor="text1"/>
          <w:sz w:val="32"/>
          <w:szCs w:val="32"/>
          <w:highlight w:val="none"/>
          <w14:textFill>
            <w14:solidFill>
              <w14:schemeClr w14:val="tx1"/>
            </w14:solidFill>
          </w14:textFill>
        </w:rPr>
        <w:t>年    月    日</w:t>
      </w:r>
    </w:p>
    <w:p w14:paraId="1FE9A3DB">
      <w:pPr>
        <w:snapToGrid w:val="0"/>
        <w:spacing w:before="120" w:beforeLines="50" w:after="50" w:line="360" w:lineRule="auto"/>
        <w:jc w:val="left"/>
        <w:outlineLvl w:val="2"/>
        <w:rPr>
          <w:color w:val="000000" w:themeColor="text1"/>
          <w:sz w:val="28"/>
          <w:szCs w:val="28"/>
          <w:highlight w:val="none"/>
          <w14:textFill>
            <w14:solidFill>
              <w14:schemeClr w14:val="tx1"/>
            </w14:solidFill>
          </w14:textFill>
        </w:rPr>
      </w:pPr>
      <w:r>
        <w:rPr>
          <w:color w:val="000000" w:themeColor="text1"/>
          <w:sz w:val="24"/>
          <w:highlight w:val="none"/>
          <w14:textFill>
            <w14:solidFill>
              <w14:schemeClr w14:val="tx1"/>
            </w14:solidFill>
          </w14:textFill>
        </w:rPr>
        <w:br w:type="page"/>
      </w:r>
      <w:bookmarkStart w:id="229" w:name="_Toc9148"/>
      <w:r>
        <w:rPr>
          <w:b/>
          <w:color w:val="000000" w:themeColor="text1"/>
          <w:sz w:val="28"/>
          <w:szCs w:val="28"/>
          <w:highlight w:val="none"/>
          <w14:textFill>
            <w14:solidFill>
              <w14:schemeClr w14:val="tx1"/>
            </w14:solidFill>
          </w14:textFill>
        </w:rPr>
        <w:t>2.</w:t>
      </w:r>
      <w:r>
        <w:rPr>
          <w:b/>
          <w:bCs/>
          <w:color w:val="000000" w:themeColor="text1"/>
          <w:sz w:val="28"/>
          <w:szCs w:val="28"/>
          <w:highlight w:val="none"/>
          <w14:textFill>
            <w14:solidFill>
              <w14:schemeClr w14:val="tx1"/>
            </w14:solidFill>
          </w14:textFill>
        </w:rPr>
        <w:t>报价</w:t>
      </w:r>
      <w:r>
        <w:rPr>
          <w:rFonts w:ascii="Times New Roman" w:hAnsi="Times New Roman" w:eastAsia="宋体" w:cs="Times New Roman"/>
          <w:b/>
          <w:bCs/>
          <w:color w:val="000000" w:themeColor="text1"/>
          <w:sz w:val="28"/>
          <w:szCs w:val="28"/>
          <w:highlight w:val="none"/>
          <w14:textFill>
            <w14:solidFill>
              <w14:schemeClr w14:val="tx1"/>
            </w14:solidFill>
          </w14:textFill>
        </w:rPr>
        <w:t>文件</w:t>
      </w:r>
      <w:r>
        <w:rPr>
          <w:b/>
          <w:bCs/>
          <w:color w:val="000000" w:themeColor="text1"/>
          <w:sz w:val="28"/>
          <w:szCs w:val="28"/>
          <w:highlight w:val="none"/>
          <w14:textFill>
            <w14:solidFill>
              <w14:schemeClr w14:val="tx1"/>
            </w14:solidFill>
          </w14:textFill>
        </w:rPr>
        <w:t>目录</w:t>
      </w:r>
      <w:bookmarkEnd w:id="229"/>
    </w:p>
    <w:p w14:paraId="42C3EC9E">
      <w:pPr>
        <w:snapToGrid w:val="0"/>
        <w:spacing w:before="50" w:after="120" w:afterLines="50" w:line="360" w:lineRule="auto"/>
        <w:ind w:firstLine="560" w:firstLineChars="200"/>
        <w:jc w:val="left"/>
        <w:rPr>
          <w:b/>
          <w:color w:val="000000" w:themeColor="text1"/>
          <w:sz w:val="28"/>
          <w:szCs w:val="28"/>
          <w:highlight w:val="none"/>
          <w14:textFill>
            <w14:solidFill>
              <w14:schemeClr w14:val="tx1"/>
            </w14:solidFill>
          </w14:textFill>
        </w:rPr>
      </w:pPr>
      <w:r>
        <w:rPr>
          <w:color w:val="000000" w:themeColor="text1"/>
          <w:sz w:val="28"/>
          <w:szCs w:val="28"/>
          <w:highlight w:val="none"/>
          <w14:textFill>
            <w14:solidFill>
              <w14:schemeClr w14:val="tx1"/>
            </w14:solidFill>
          </w14:textFill>
        </w:rPr>
        <w:t>根据竞争性磋商文件规定及供应商提供的材料自行编写目录</w:t>
      </w:r>
      <w:r>
        <w:rPr>
          <w:color w:val="000000" w:themeColor="text1"/>
          <w:kern w:val="0"/>
          <w:sz w:val="28"/>
          <w:szCs w:val="28"/>
          <w:highlight w:val="none"/>
          <w14:textFill>
            <w14:solidFill>
              <w14:schemeClr w14:val="tx1"/>
            </w14:solidFill>
          </w14:textFill>
        </w:rPr>
        <w:t>（部分格式后附）</w:t>
      </w:r>
      <w:r>
        <w:rPr>
          <w:color w:val="000000" w:themeColor="text1"/>
          <w:sz w:val="28"/>
          <w:szCs w:val="28"/>
          <w:highlight w:val="none"/>
          <w14:textFill>
            <w14:solidFill>
              <w14:schemeClr w14:val="tx1"/>
            </w14:solidFill>
          </w14:textFill>
        </w:rPr>
        <w:t>。</w:t>
      </w:r>
    </w:p>
    <w:p w14:paraId="21C13A59">
      <w:pPr>
        <w:spacing w:line="360" w:lineRule="auto"/>
        <w:rPr>
          <w:rFonts w:eastAsia="仿宋_GB2312"/>
          <w:color w:val="000000" w:themeColor="text1"/>
          <w:sz w:val="24"/>
          <w:highlight w:val="none"/>
          <w14:textFill>
            <w14:solidFill>
              <w14:schemeClr w14:val="tx1"/>
            </w14:solidFill>
          </w14:textFill>
        </w:rPr>
      </w:pPr>
    </w:p>
    <w:p w14:paraId="2AA5EED0">
      <w:pPr>
        <w:snapToGrid w:val="0"/>
        <w:spacing w:before="120" w:beforeLines="50" w:after="50" w:line="360" w:lineRule="auto"/>
        <w:ind w:left="142" w:firstLine="640" w:firstLineChars="200"/>
        <w:jc w:val="left"/>
        <w:rPr>
          <w:rFonts w:hint="eastAsia" w:ascii="仿宋_GB2312" w:hAnsi="仿宋_GB2312" w:eastAsia="仿宋_GB2312" w:cs="仿宋_GB2312"/>
          <w:color w:val="000000" w:themeColor="text1"/>
          <w:sz w:val="32"/>
          <w:szCs w:val="32"/>
          <w:highlight w:val="none"/>
          <w14:textFill>
            <w14:solidFill>
              <w14:schemeClr w14:val="tx1"/>
            </w14:solidFill>
          </w14:textFill>
        </w:rPr>
      </w:pPr>
    </w:p>
    <w:p w14:paraId="63016C29">
      <w:pPr>
        <w:snapToGrid w:val="0"/>
        <w:spacing w:before="120" w:beforeLines="50" w:after="50" w:line="360" w:lineRule="auto"/>
        <w:jc w:val="left"/>
        <w:outlineLvl w:val="2"/>
        <w:rPr>
          <w:color w:val="000000" w:themeColor="text1"/>
          <w:szCs w:val="21"/>
          <w:highlight w:val="none"/>
          <w14:textFill>
            <w14:solidFill>
              <w14:schemeClr w14:val="tx1"/>
            </w14:solidFill>
          </w14:textFill>
        </w:rPr>
      </w:pPr>
      <w:r>
        <w:rPr>
          <w:rFonts w:ascii="Calibri" w:cs="仿宋_GB2312"/>
          <w:color w:val="000000" w:themeColor="text1"/>
          <w:sz w:val="24"/>
          <w:highlight w:val="none"/>
          <w14:textFill>
            <w14:solidFill>
              <w14:schemeClr w14:val="tx1"/>
            </w14:solidFill>
          </w14:textFill>
        </w:rPr>
        <w:br w:type="page"/>
      </w:r>
      <w:bookmarkStart w:id="230" w:name="_Toc8665"/>
      <w:r>
        <w:rPr>
          <w:b/>
          <w:color w:val="000000" w:themeColor="text1"/>
          <w:sz w:val="28"/>
          <w:szCs w:val="28"/>
          <w:highlight w:val="none"/>
          <w14:textFill>
            <w14:solidFill>
              <w14:schemeClr w14:val="tx1"/>
            </w14:solidFill>
          </w14:textFill>
        </w:rPr>
        <w:t>3.</w:t>
      </w:r>
      <w:r>
        <w:rPr>
          <w:b/>
          <w:color w:val="000000" w:themeColor="text1"/>
          <w:sz w:val="28"/>
          <w:szCs w:val="28"/>
          <w:highlight w:val="none"/>
          <w:lang w:val="zh-CN"/>
          <w14:textFill>
            <w14:solidFill>
              <w14:schemeClr w14:val="tx1"/>
            </w14:solidFill>
          </w14:textFill>
        </w:rPr>
        <w:t>响应函的格式：</w:t>
      </w:r>
      <w:bookmarkEnd w:id="230"/>
    </w:p>
    <w:p w14:paraId="63DF5A98">
      <w:pPr>
        <w:keepNext w:val="0"/>
        <w:keepLines w:val="0"/>
        <w:pageBreakBefore w:val="0"/>
        <w:widowControl w:val="0"/>
        <w:kinsoku/>
        <w:wordWrap/>
        <w:overflowPunct/>
        <w:topLinePunct w:val="0"/>
        <w:autoSpaceDE/>
        <w:autoSpaceDN/>
        <w:bidi w:val="0"/>
        <w:adjustRightInd/>
        <w:spacing w:line="360" w:lineRule="auto"/>
        <w:jc w:val="center"/>
        <w:textAlignment w:val="auto"/>
        <w:rPr>
          <w:b/>
          <w:bCs/>
          <w:color w:val="000000" w:themeColor="text1"/>
          <w:kern w:val="0"/>
          <w:sz w:val="28"/>
          <w:szCs w:val="28"/>
          <w:highlight w:val="none"/>
          <w14:textFill>
            <w14:solidFill>
              <w14:schemeClr w14:val="tx1"/>
            </w14:solidFill>
          </w14:textFill>
        </w:rPr>
      </w:pPr>
      <w:r>
        <w:rPr>
          <w:b/>
          <w:bCs/>
          <w:color w:val="000000" w:themeColor="text1"/>
          <w:kern w:val="0"/>
          <w:sz w:val="28"/>
          <w:szCs w:val="28"/>
          <w:highlight w:val="none"/>
          <w14:textFill>
            <w14:solidFill>
              <w14:schemeClr w14:val="tx1"/>
            </w14:solidFill>
          </w14:textFill>
        </w:rPr>
        <w:t>响应函</w:t>
      </w:r>
    </w:p>
    <w:p w14:paraId="71CBF7CA">
      <w:pPr>
        <w:keepNext w:val="0"/>
        <w:keepLines w:val="0"/>
        <w:pageBreakBefore w:val="0"/>
        <w:widowControl w:val="0"/>
        <w:kinsoku/>
        <w:wordWrap/>
        <w:overflowPunct/>
        <w:topLinePunct w:val="0"/>
        <w:autoSpaceDE/>
        <w:autoSpaceDN/>
        <w:bidi w:val="0"/>
        <w:adjustRightInd/>
        <w:spacing w:line="360" w:lineRule="auto"/>
        <w:textAlignment w:val="auto"/>
        <w:rPr>
          <w:color w:val="000000" w:themeColor="text1"/>
          <w:kern w:val="0"/>
          <w:szCs w:val="21"/>
          <w:highlight w:val="none"/>
          <w14:textFill>
            <w14:solidFill>
              <w14:schemeClr w14:val="tx1"/>
            </w14:solidFill>
          </w14:textFill>
        </w:rPr>
      </w:pPr>
    </w:p>
    <w:p w14:paraId="6EE29237">
      <w:pPr>
        <w:keepNext w:val="0"/>
        <w:keepLines w:val="0"/>
        <w:pageBreakBefore w:val="0"/>
        <w:widowControl w:val="0"/>
        <w:kinsoku/>
        <w:wordWrap/>
        <w:overflowPunct/>
        <w:topLinePunct w:val="0"/>
        <w:autoSpaceDE/>
        <w:autoSpaceDN/>
        <w:bidi w:val="0"/>
        <w:adjustRightInd/>
        <w:spacing w:line="360" w:lineRule="auto"/>
        <w:textAlignment w:val="auto"/>
        <w:rPr>
          <w:color w:val="000000" w:themeColor="text1"/>
          <w:kern w:val="0"/>
          <w:szCs w:val="21"/>
          <w:highlight w:val="none"/>
          <w14:textFill>
            <w14:solidFill>
              <w14:schemeClr w14:val="tx1"/>
            </w14:solidFill>
          </w14:textFill>
        </w:rPr>
      </w:pPr>
      <w:r>
        <w:rPr>
          <w:color w:val="000000" w:themeColor="text1"/>
          <w:kern w:val="0"/>
          <w:szCs w:val="21"/>
          <w:highlight w:val="none"/>
          <w14:textFill>
            <w14:solidFill>
              <w14:schemeClr w14:val="tx1"/>
            </w14:solidFill>
          </w14:textFill>
        </w:rPr>
        <w:t>致：</w:t>
      </w:r>
      <w:r>
        <w:rPr>
          <w:color w:val="000000" w:themeColor="text1"/>
          <w:kern w:val="0"/>
          <w:szCs w:val="21"/>
          <w:highlight w:val="none"/>
          <w:u w:val="single"/>
          <w14:textFill>
            <w14:solidFill>
              <w14:schemeClr w14:val="tx1"/>
            </w14:solidFill>
          </w14:textFill>
        </w:rPr>
        <w:t xml:space="preserve">                      </w:t>
      </w:r>
      <w:r>
        <w:rPr>
          <w:color w:val="000000" w:themeColor="text1"/>
          <w:kern w:val="0"/>
          <w:szCs w:val="21"/>
          <w:highlight w:val="none"/>
          <w14:textFill>
            <w14:solidFill>
              <w14:schemeClr w14:val="tx1"/>
            </w14:solidFill>
          </w14:textFill>
        </w:rPr>
        <w:t>（采购代理机构名称）</w:t>
      </w:r>
    </w:p>
    <w:p w14:paraId="4685E2D1">
      <w:pPr>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color w:val="000000" w:themeColor="text1"/>
          <w:kern w:val="0"/>
          <w:szCs w:val="21"/>
          <w:highlight w:val="none"/>
          <w14:textFill>
            <w14:solidFill>
              <w14:schemeClr w14:val="tx1"/>
            </w14:solidFill>
          </w14:textFill>
        </w:rPr>
      </w:pPr>
      <w:r>
        <w:rPr>
          <w:color w:val="000000" w:themeColor="text1"/>
          <w:kern w:val="0"/>
          <w:szCs w:val="21"/>
          <w:highlight w:val="none"/>
          <w14:textFill>
            <w14:solidFill>
              <w14:schemeClr w14:val="tx1"/>
            </w14:solidFill>
          </w14:textFill>
        </w:rPr>
        <w:t>我方已仔细阅读了贵方组织的</w:t>
      </w:r>
      <w:r>
        <w:rPr>
          <w:color w:val="000000" w:themeColor="text1"/>
          <w:kern w:val="0"/>
          <w:szCs w:val="21"/>
          <w:highlight w:val="none"/>
          <w:u w:val="single"/>
          <w14:textFill>
            <w14:solidFill>
              <w14:schemeClr w14:val="tx1"/>
            </w14:solidFill>
          </w14:textFill>
        </w:rPr>
        <w:t xml:space="preserve">                </w:t>
      </w:r>
      <w:r>
        <w:rPr>
          <w:color w:val="000000" w:themeColor="text1"/>
          <w:kern w:val="0"/>
          <w:szCs w:val="21"/>
          <w:highlight w:val="none"/>
          <w14:textFill>
            <w14:solidFill>
              <w14:schemeClr w14:val="tx1"/>
            </w14:solidFill>
          </w14:textFill>
        </w:rPr>
        <w:t>项目（项目编号：</w:t>
      </w:r>
      <w:r>
        <w:rPr>
          <w:color w:val="000000" w:themeColor="text1"/>
          <w:kern w:val="0"/>
          <w:szCs w:val="21"/>
          <w:highlight w:val="none"/>
          <w:u w:val="single"/>
          <w14:textFill>
            <w14:solidFill>
              <w14:schemeClr w14:val="tx1"/>
            </w14:solidFill>
          </w14:textFill>
        </w:rPr>
        <w:t xml:space="preserve">             </w:t>
      </w:r>
      <w:r>
        <w:rPr>
          <w:color w:val="000000" w:themeColor="text1"/>
          <w:kern w:val="0"/>
          <w:szCs w:val="21"/>
          <w:highlight w:val="none"/>
          <w14:textFill>
            <w14:solidFill>
              <w14:schemeClr w14:val="tx1"/>
            </w14:solidFill>
          </w14:textFill>
        </w:rPr>
        <w:t xml:space="preserve">）的竞争性磋商文件的全部内容，现正式递交下述文件参加贵方组织的本次政府采购活动： </w:t>
      </w:r>
    </w:p>
    <w:p w14:paraId="3E8E9190">
      <w:pPr>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color w:val="000000" w:themeColor="text1"/>
          <w:kern w:val="0"/>
          <w:szCs w:val="21"/>
          <w:highlight w:val="none"/>
          <w14:textFill>
            <w14:solidFill>
              <w14:schemeClr w14:val="tx1"/>
            </w14:solidFill>
          </w14:textFill>
        </w:rPr>
      </w:pPr>
      <w:r>
        <w:rPr>
          <w:color w:val="000000" w:themeColor="text1"/>
          <w:kern w:val="0"/>
          <w:szCs w:val="21"/>
          <w:highlight w:val="none"/>
          <w14:textFill>
            <w14:solidFill>
              <w14:schemeClr w14:val="tx1"/>
            </w14:solidFill>
          </w14:textFill>
        </w:rPr>
        <w:t>一、首次报价文件电子版（包含按</w:t>
      </w:r>
      <w:r>
        <w:rPr>
          <w:rFonts w:hint="eastAsia"/>
          <w:color w:val="000000" w:themeColor="text1"/>
          <w:kern w:val="0"/>
          <w:szCs w:val="21"/>
          <w:highlight w:val="none"/>
          <w:lang w:eastAsia="zh-CN"/>
          <w14:textFill>
            <w14:solidFill>
              <w14:schemeClr w14:val="tx1"/>
            </w14:solidFill>
          </w14:textFill>
        </w:rPr>
        <w:t>“</w:t>
      </w:r>
      <w:r>
        <w:rPr>
          <w:color w:val="000000" w:themeColor="text1"/>
          <w:kern w:val="0"/>
          <w:szCs w:val="21"/>
          <w:highlight w:val="none"/>
          <w14:textFill>
            <w14:solidFill>
              <w14:schemeClr w14:val="tx1"/>
            </w14:solidFill>
          </w14:textFill>
        </w:rPr>
        <w:t>第三章 供应商须知</w:t>
      </w:r>
      <w:r>
        <w:rPr>
          <w:rFonts w:hint="eastAsia"/>
          <w:color w:val="000000" w:themeColor="text1"/>
          <w:kern w:val="0"/>
          <w:szCs w:val="21"/>
          <w:highlight w:val="none"/>
          <w:lang w:eastAsia="zh-CN"/>
          <w14:textFill>
            <w14:solidFill>
              <w14:schemeClr w14:val="tx1"/>
            </w14:solidFill>
          </w14:textFill>
        </w:rPr>
        <w:t>”</w:t>
      </w:r>
      <w:r>
        <w:rPr>
          <w:color w:val="000000" w:themeColor="text1"/>
          <w:kern w:val="0"/>
          <w:szCs w:val="21"/>
          <w:highlight w:val="none"/>
          <w14:textFill>
            <w14:solidFill>
              <w14:schemeClr w14:val="tx1"/>
            </w14:solidFill>
          </w14:textFill>
        </w:rPr>
        <w:t>提交的全部文件）；</w:t>
      </w:r>
    </w:p>
    <w:p w14:paraId="1EB5CC2D">
      <w:pPr>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color w:val="000000" w:themeColor="text1"/>
          <w:kern w:val="0"/>
          <w:szCs w:val="21"/>
          <w:highlight w:val="none"/>
          <w14:textFill>
            <w14:solidFill>
              <w14:schemeClr w14:val="tx1"/>
            </w14:solidFill>
          </w14:textFill>
        </w:rPr>
      </w:pPr>
      <w:r>
        <w:rPr>
          <w:color w:val="000000" w:themeColor="text1"/>
          <w:kern w:val="0"/>
          <w:szCs w:val="21"/>
          <w:highlight w:val="none"/>
          <w14:textFill>
            <w14:solidFill>
              <w14:schemeClr w14:val="tx1"/>
            </w14:solidFill>
          </w14:textFill>
        </w:rPr>
        <w:t>二、技术文件电子版（包含按</w:t>
      </w:r>
      <w:r>
        <w:rPr>
          <w:rFonts w:hint="eastAsia"/>
          <w:color w:val="000000" w:themeColor="text1"/>
          <w:kern w:val="0"/>
          <w:szCs w:val="21"/>
          <w:highlight w:val="none"/>
          <w:lang w:eastAsia="zh-CN"/>
          <w14:textFill>
            <w14:solidFill>
              <w14:schemeClr w14:val="tx1"/>
            </w14:solidFill>
          </w14:textFill>
        </w:rPr>
        <w:t>“</w:t>
      </w:r>
      <w:r>
        <w:rPr>
          <w:color w:val="000000" w:themeColor="text1"/>
          <w:kern w:val="0"/>
          <w:szCs w:val="21"/>
          <w:highlight w:val="none"/>
          <w14:textFill>
            <w14:solidFill>
              <w14:schemeClr w14:val="tx1"/>
            </w14:solidFill>
          </w14:textFill>
        </w:rPr>
        <w:t>第三章 供应商须知</w:t>
      </w:r>
      <w:r>
        <w:rPr>
          <w:rFonts w:hint="eastAsia"/>
          <w:color w:val="000000" w:themeColor="text1"/>
          <w:kern w:val="0"/>
          <w:szCs w:val="21"/>
          <w:highlight w:val="none"/>
          <w:lang w:eastAsia="zh-CN"/>
          <w14:textFill>
            <w14:solidFill>
              <w14:schemeClr w14:val="tx1"/>
            </w14:solidFill>
          </w14:textFill>
        </w:rPr>
        <w:t>”</w:t>
      </w:r>
      <w:r>
        <w:rPr>
          <w:color w:val="000000" w:themeColor="text1"/>
          <w:kern w:val="0"/>
          <w:szCs w:val="21"/>
          <w:highlight w:val="none"/>
          <w14:textFill>
            <w14:solidFill>
              <w14:schemeClr w14:val="tx1"/>
            </w14:solidFill>
          </w14:textFill>
        </w:rPr>
        <w:t>提交的全部文件）；商务文件电子版（包含按</w:t>
      </w:r>
      <w:r>
        <w:rPr>
          <w:rFonts w:hint="eastAsia"/>
          <w:color w:val="000000" w:themeColor="text1"/>
          <w:kern w:val="0"/>
          <w:szCs w:val="21"/>
          <w:highlight w:val="none"/>
          <w:lang w:eastAsia="zh-CN"/>
          <w14:textFill>
            <w14:solidFill>
              <w14:schemeClr w14:val="tx1"/>
            </w14:solidFill>
          </w14:textFill>
        </w:rPr>
        <w:t>“</w:t>
      </w:r>
      <w:r>
        <w:rPr>
          <w:color w:val="000000" w:themeColor="text1"/>
          <w:kern w:val="0"/>
          <w:szCs w:val="21"/>
          <w:highlight w:val="none"/>
          <w14:textFill>
            <w14:solidFill>
              <w14:schemeClr w14:val="tx1"/>
            </w14:solidFill>
          </w14:textFill>
        </w:rPr>
        <w:t>第三章 供应商须知</w:t>
      </w:r>
      <w:r>
        <w:rPr>
          <w:rFonts w:hint="eastAsia"/>
          <w:color w:val="000000" w:themeColor="text1"/>
          <w:kern w:val="0"/>
          <w:szCs w:val="21"/>
          <w:highlight w:val="none"/>
          <w:lang w:eastAsia="zh-CN"/>
          <w14:textFill>
            <w14:solidFill>
              <w14:schemeClr w14:val="tx1"/>
            </w14:solidFill>
          </w14:textFill>
        </w:rPr>
        <w:t>”</w:t>
      </w:r>
      <w:r>
        <w:rPr>
          <w:color w:val="000000" w:themeColor="text1"/>
          <w:kern w:val="0"/>
          <w:szCs w:val="21"/>
          <w:highlight w:val="none"/>
          <w14:textFill>
            <w14:solidFill>
              <w14:schemeClr w14:val="tx1"/>
            </w14:solidFill>
          </w14:textFill>
        </w:rPr>
        <w:t>提交的全部文件）；</w:t>
      </w:r>
    </w:p>
    <w:p w14:paraId="07CF637B">
      <w:pPr>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color w:val="000000" w:themeColor="text1"/>
          <w:kern w:val="0"/>
          <w:szCs w:val="21"/>
          <w:highlight w:val="none"/>
          <w14:textFill>
            <w14:solidFill>
              <w14:schemeClr w14:val="tx1"/>
            </w14:solidFill>
          </w14:textFill>
        </w:rPr>
      </w:pPr>
      <w:r>
        <w:rPr>
          <w:color w:val="000000" w:themeColor="text1"/>
          <w:kern w:val="0"/>
          <w:szCs w:val="21"/>
          <w:highlight w:val="none"/>
          <w14:textFill>
            <w14:solidFill>
              <w14:schemeClr w14:val="tx1"/>
            </w14:solidFill>
          </w14:textFill>
        </w:rPr>
        <w:t>三、资格证明文件电子版（包含按</w:t>
      </w:r>
      <w:r>
        <w:rPr>
          <w:rFonts w:hint="eastAsia"/>
          <w:color w:val="000000" w:themeColor="text1"/>
          <w:kern w:val="0"/>
          <w:szCs w:val="21"/>
          <w:highlight w:val="none"/>
          <w:lang w:eastAsia="zh-CN"/>
          <w14:textFill>
            <w14:solidFill>
              <w14:schemeClr w14:val="tx1"/>
            </w14:solidFill>
          </w14:textFill>
        </w:rPr>
        <w:t>“</w:t>
      </w:r>
      <w:r>
        <w:rPr>
          <w:color w:val="000000" w:themeColor="text1"/>
          <w:kern w:val="0"/>
          <w:szCs w:val="21"/>
          <w:highlight w:val="none"/>
          <w14:textFill>
            <w14:solidFill>
              <w14:schemeClr w14:val="tx1"/>
            </w14:solidFill>
          </w14:textFill>
        </w:rPr>
        <w:t>第三章供应商须知</w:t>
      </w:r>
      <w:r>
        <w:rPr>
          <w:rFonts w:hint="eastAsia"/>
          <w:color w:val="000000" w:themeColor="text1"/>
          <w:kern w:val="0"/>
          <w:szCs w:val="21"/>
          <w:highlight w:val="none"/>
          <w:lang w:eastAsia="zh-CN"/>
          <w14:textFill>
            <w14:solidFill>
              <w14:schemeClr w14:val="tx1"/>
            </w14:solidFill>
          </w14:textFill>
        </w:rPr>
        <w:t>”</w:t>
      </w:r>
      <w:r>
        <w:rPr>
          <w:color w:val="000000" w:themeColor="text1"/>
          <w:kern w:val="0"/>
          <w:szCs w:val="21"/>
          <w:highlight w:val="none"/>
          <w14:textFill>
            <w14:solidFill>
              <w14:schemeClr w14:val="tx1"/>
            </w14:solidFill>
          </w14:textFill>
        </w:rPr>
        <w:t>提交的全部文件）。</w:t>
      </w:r>
    </w:p>
    <w:p w14:paraId="526EC09F">
      <w:pPr>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color w:val="000000" w:themeColor="text1"/>
          <w:kern w:val="0"/>
          <w:szCs w:val="21"/>
          <w:highlight w:val="none"/>
          <w14:textFill>
            <w14:solidFill>
              <w14:schemeClr w14:val="tx1"/>
            </w14:solidFill>
          </w14:textFill>
        </w:rPr>
      </w:pPr>
      <w:r>
        <w:rPr>
          <w:color w:val="000000" w:themeColor="text1"/>
          <w:kern w:val="0"/>
          <w:szCs w:val="21"/>
          <w:highlight w:val="none"/>
          <w14:textFill>
            <w14:solidFill>
              <w14:schemeClr w14:val="tx1"/>
            </w14:solidFill>
          </w14:textFill>
        </w:rPr>
        <w:t>据此函，</w:t>
      </w:r>
      <w:r>
        <w:rPr>
          <w:rFonts w:hint="eastAsia"/>
          <w:color w:val="000000" w:themeColor="text1"/>
          <w:kern w:val="0"/>
          <w:szCs w:val="21"/>
          <w:highlight w:val="none"/>
          <w:lang w:eastAsia="zh-CN"/>
          <w14:textFill>
            <w14:solidFill>
              <w14:schemeClr w14:val="tx1"/>
            </w14:solidFill>
          </w14:textFill>
        </w:rPr>
        <w:t>我方</w:t>
      </w:r>
      <w:r>
        <w:rPr>
          <w:color w:val="000000" w:themeColor="text1"/>
          <w:kern w:val="0"/>
          <w:szCs w:val="21"/>
          <w:highlight w:val="none"/>
          <w14:textFill>
            <w14:solidFill>
              <w14:schemeClr w14:val="tx1"/>
            </w14:solidFill>
          </w14:textFill>
        </w:rPr>
        <w:t>兹宣布：</w:t>
      </w:r>
    </w:p>
    <w:p w14:paraId="04E7C91C">
      <w:pPr>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color w:val="000000" w:themeColor="text1"/>
          <w:kern w:val="0"/>
          <w:szCs w:val="21"/>
          <w:highlight w:val="none"/>
          <w14:textFill>
            <w14:solidFill>
              <w14:schemeClr w14:val="tx1"/>
            </w14:solidFill>
          </w14:textFill>
        </w:rPr>
      </w:pPr>
      <w:r>
        <w:rPr>
          <w:color w:val="000000" w:themeColor="text1"/>
          <w:kern w:val="0"/>
          <w:szCs w:val="21"/>
          <w:highlight w:val="none"/>
          <w14:textFill>
            <w14:solidFill>
              <w14:schemeClr w14:val="tx1"/>
            </w14:solidFill>
          </w14:textFill>
        </w:rPr>
        <w:t>1、我方愿意以磋商时提交的最后报价表中的</w:t>
      </w:r>
      <w:r>
        <w:rPr>
          <w:rFonts w:hint="eastAsia"/>
          <w:color w:val="000000" w:themeColor="text1"/>
          <w:kern w:val="0"/>
          <w:szCs w:val="21"/>
          <w:highlight w:val="none"/>
          <w14:textFill>
            <w14:solidFill>
              <w14:schemeClr w14:val="tx1"/>
            </w14:solidFill>
          </w14:textFill>
        </w:rPr>
        <w:t>磋商</w:t>
      </w:r>
      <w:r>
        <w:rPr>
          <w:color w:val="000000" w:themeColor="text1"/>
          <w:kern w:val="0"/>
          <w:szCs w:val="21"/>
          <w:highlight w:val="none"/>
          <w14:textFill>
            <w14:solidFill>
              <w14:schemeClr w14:val="tx1"/>
            </w14:solidFill>
          </w14:textFill>
        </w:rPr>
        <w:t>总报价，在承诺的</w:t>
      </w:r>
      <w:r>
        <w:rPr>
          <w:rFonts w:hint="eastAsia"/>
          <w:color w:val="000000" w:themeColor="text1"/>
          <w:kern w:val="0"/>
          <w:szCs w:val="21"/>
          <w:highlight w:val="none"/>
          <w14:textFill>
            <w14:solidFill>
              <w14:schemeClr w14:val="tx1"/>
            </w14:solidFill>
          </w14:textFill>
        </w:rPr>
        <w:t>工期内</w:t>
      </w:r>
      <w:r>
        <w:rPr>
          <w:color w:val="000000" w:themeColor="text1"/>
          <w:kern w:val="0"/>
          <w:szCs w:val="21"/>
          <w:highlight w:val="none"/>
          <w14:textFill>
            <w14:solidFill>
              <w14:schemeClr w14:val="tx1"/>
            </w14:solidFill>
          </w14:textFill>
        </w:rPr>
        <w:t>提供本项目竞争性磋商文件第二章</w:t>
      </w:r>
      <w:r>
        <w:rPr>
          <w:rFonts w:hint="eastAsia"/>
          <w:color w:val="000000" w:themeColor="text1"/>
          <w:kern w:val="0"/>
          <w:szCs w:val="21"/>
          <w:highlight w:val="none"/>
          <w:lang w:eastAsia="zh-CN"/>
          <w14:textFill>
            <w14:solidFill>
              <w14:schemeClr w14:val="tx1"/>
            </w14:solidFill>
          </w14:textFill>
        </w:rPr>
        <w:t>“</w:t>
      </w:r>
      <w:r>
        <w:rPr>
          <w:color w:val="000000" w:themeColor="text1"/>
          <w:kern w:val="0"/>
          <w:szCs w:val="21"/>
          <w:highlight w:val="none"/>
          <w14:textFill>
            <w14:solidFill>
              <w14:schemeClr w14:val="tx1"/>
            </w14:solidFill>
          </w14:textFill>
        </w:rPr>
        <w:t>采购需求</w:t>
      </w:r>
      <w:r>
        <w:rPr>
          <w:rFonts w:hint="eastAsia"/>
          <w:color w:val="000000" w:themeColor="text1"/>
          <w:kern w:val="0"/>
          <w:szCs w:val="21"/>
          <w:highlight w:val="none"/>
          <w:lang w:eastAsia="zh-CN"/>
          <w14:textFill>
            <w14:solidFill>
              <w14:schemeClr w14:val="tx1"/>
            </w14:solidFill>
          </w14:textFill>
        </w:rPr>
        <w:t>”</w:t>
      </w:r>
      <w:r>
        <w:rPr>
          <w:color w:val="000000" w:themeColor="text1"/>
          <w:kern w:val="0"/>
          <w:szCs w:val="21"/>
          <w:highlight w:val="none"/>
          <w14:textFill>
            <w14:solidFill>
              <w14:schemeClr w14:val="tx1"/>
            </w14:solidFill>
          </w14:textFill>
        </w:rPr>
        <w:t>中相应的采购内容，具体详见最后报价表。</w:t>
      </w:r>
    </w:p>
    <w:p w14:paraId="39B90F5F">
      <w:pPr>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color w:val="000000" w:themeColor="text1"/>
          <w:kern w:val="0"/>
          <w:szCs w:val="21"/>
          <w:highlight w:val="none"/>
          <w14:textFill>
            <w14:solidFill>
              <w14:schemeClr w14:val="tx1"/>
            </w14:solidFill>
          </w14:textFill>
        </w:rPr>
      </w:pPr>
      <w:r>
        <w:rPr>
          <w:color w:val="000000" w:themeColor="text1"/>
          <w:kern w:val="0"/>
          <w:szCs w:val="21"/>
          <w:highlight w:val="none"/>
          <w14:textFill>
            <w14:solidFill>
              <w14:schemeClr w14:val="tx1"/>
            </w14:solidFill>
          </w14:textFill>
        </w:rPr>
        <w:t>2、</w:t>
      </w:r>
      <w:r>
        <w:rPr>
          <w:rFonts w:hint="eastAsia"/>
          <w:color w:val="000000" w:themeColor="text1"/>
          <w:kern w:val="0"/>
          <w:szCs w:val="21"/>
          <w:highlight w:val="none"/>
          <w14:textFill>
            <w14:solidFill>
              <w14:schemeClr w14:val="tx1"/>
            </w14:solidFill>
          </w14:textFill>
        </w:rPr>
        <w:t>我方同意自本项目竞争性磋商文件采购公告规定的</w:t>
      </w:r>
      <w:r>
        <w:rPr>
          <w:rFonts w:hint="eastAsia"/>
          <w:color w:val="000000" w:themeColor="text1"/>
          <w:kern w:val="0"/>
          <w:szCs w:val="21"/>
          <w:highlight w:val="none"/>
          <w:lang w:eastAsia="zh-CN"/>
          <w14:textFill>
            <w14:solidFill>
              <w14:schemeClr w14:val="tx1"/>
            </w14:solidFill>
          </w14:textFill>
        </w:rPr>
        <w:t>提</w:t>
      </w:r>
      <w:r>
        <w:rPr>
          <w:rFonts w:hint="eastAsia"/>
          <w:color w:val="000000" w:themeColor="text1"/>
          <w:kern w:val="0"/>
          <w:szCs w:val="21"/>
          <w:highlight w:val="none"/>
          <w14:textFill>
            <w14:solidFill>
              <w14:schemeClr w14:val="tx1"/>
            </w14:solidFill>
          </w14:textFill>
        </w:rPr>
        <w:t>交响应文件截止时间起遵循本响应函，并承诺在“第三章 供应商须知”规定的</w:t>
      </w:r>
      <w:r>
        <w:rPr>
          <w:rFonts w:hint="eastAsia"/>
          <w:color w:val="000000" w:themeColor="text1"/>
          <w:kern w:val="0"/>
          <w:szCs w:val="21"/>
          <w:highlight w:val="none"/>
          <w:lang w:val="en-US" w:eastAsia="zh-CN"/>
          <w14:textFill>
            <w14:solidFill>
              <w14:schemeClr w14:val="tx1"/>
            </w14:solidFill>
          </w14:textFill>
        </w:rPr>
        <w:t>竞标</w:t>
      </w:r>
      <w:r>
        <w:rPr>
          <w:rFonts w:hint="eastAsia"/>
          <w:color w:val="000000" w:themeColor="text1"/>
          <w:kern w:val="0"/>
          <w:szCs w:val="21"/>
          <w:highlight w:val="none"/>
          <w14:textFill>
            <w14:solidFill>
              <w14:schemeClr w14:val="tx1"/>
            </w14:solidFill>
          </w14:textFill>
        </w:rPr>
        <w:t>有效期内不修改、撤销响应文件</w:t>
      </w:r>
      <w:r>
        <w:rPr>
          <w:color w:val="000000" w:themeColor="text1"/>
          <w:kern w:val="0"/>
          <w:szCs w:val="21"/>
          <w:highlight w:val="none"/>
          <w14:textFill>
            <w14:solidFill>
              <w14:schemeClr w14:val="tx1"/>
            </w14:solidFill>
          </w14:textFill>
        </w:rPr>
        <w:t>。</w:t>
      </w:r>
    </w:p>
    <w:p w14:paraId="7870A399">
      <w:pPr>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color w:val="000000" w:themeColor="text1"/>
          <w:kern w:val="0"/>
          <w:szCs w:val="21"/>
          <w:highlight w:val="none"/>
          <w14:textFill>
            <w14:solidFill>
              <w14:schemeClr w14:val="tx1"/>
            </w14:solidFill>
          </w14:textFill>
        </w:rPr>
      </w:pPr>
      <w:r>
        <w:rPr>
          <w:color w:val="000000" w:themeColor="text1"/>
          <w:kern w:val="0"/>
          <w:szCs w:val="21"/>
          <w:highlight w:val="none"/>
          <w14:textFill>
            <w14:solidFill>
              <w14:schemeClr w14:val="tx1"/>
            </w14:solidFill>
          </w14:textFill>
        </w:rPr>
        <w:t>3、我方在此声明，所递交的响应文件及有关资料内容完整、真实和准确。</w:t>
      </w:r>
    </w:p>
    <w:p w14:paraId="3407FE28">
      <w:pPr>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color w:val="000000" w:themeColor="text1"/>
          <w:kern w:val="0"/>
          <w:szCs w:val="21"/>
          <w:highlight w:val="none"/>
          <w14:textFill>
            <w14:solidFill>
              <w14:schemeClr w14:val="tx1"/>
            </w14:solidFill>
          </w14:textFill>
        </w:rPr>
      </w:pPr>
      <w:r>
        <w:rPr>
          <w:color w:val="000000" w:themeColor="text1"/>
          <w:kern w:val="0"/>
          <w:szCs w:val="21"/>
          <w:highlight w:val="none"/>
          <w14:textFill>
            <w14:solidFill>
              <w14:schemeClr w14:val="tx1"/>
            </w14:solidFill>
          </w14:textFill>
        </w:rPr>
        <w:t>4、如本项目采购内容涉及须符合国家强制规定的，我方承诺我方本次竞标均符合国家有关强制规定。</w:t>
      </w:r>
    </w:p>
    <w:p w14:paraId="16A139C1">
      <w:pPr>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hint="eastAsia"/>
          <w:color w:val="000000" w:themeColor="text1"/>
          <w:kern w:val="0"/>
          <w:szCs w:val="21"/>
          <w:highlight w:val="none"/>
          <w14:textFill>
            <w14:solidFill>
              <w14:schemeClr w14:val="tx1"/>
            </w14:solidFill>
          </w14:textFill>
        </w:rPr>
      </w:pPr>
      <w:r>
        <w:rPr>
          <w:rFonts w:hint="eastAsia"/>
          <w:color w:val="000000" w:themeColor="text1"/>
          <w:kern w:val="0"/>
          <w:szCs w:val="21"/>
          <w:highlight w:val="none"/>
          <w14:textFill>
            <w14:solidFill>
              <w14:schemeClr w14:val="tx1"/>
            </w14:solidFill>
          </w14:textFill>
        </w:rPr>
        <w:t>5、如我方成交，我方承诺在收到成交通知书后，在成交通知书规定的期限内，根据竞争性磋商文件、我方的响应文件及有关澄清承诺书的要求按第六章“合同文本”与采购人订立书面合同，并按照合同约定承担完成合同的责任和义务。</w:t>
      </w:r>
    </w:p>
    <w:p w14:paraId="023E902B">
      <w:pPr>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hint="eastAsia"/>
          <w:color w:val="000000" w:themeColor="text1"/>
          <w:kern w:val="0"/>
          <w:szCs w:val="21"/>
          <w:highlight w:val="none"/>
          <w14:textFill>
            <w14:solidFill>
              <w14:schemeClr w14:val="tx1"/>
            </w14:solidFill>
          </w14:textFill>
        </w:rPr>
      </w:pPr>
      <w:r>
        <w:rPr>
          <w:rFonts w:hint="eastAsia"/>
          <w:color w:val="000000" w:themeColor="text1"/>
          <w:kern w:val="0"/>
          <w:szCs w:val="21"/>
          <w:highlight w:val="none"/>
          <w:lang w:val="en-US" w:eastAsia="zh-CN"/>
          <w14:textFill>
            <w14:solidFill>
              <w14:schemeClr w14:val="tx1"/>
            </w14:solidFill>
          </w14:textFill>
        </w:rPr>
        <w:t>6</w:t>
      </w:r>
      <w:r>
        <w:rPr>
          <w:rFonts w:hint="eastAsia"/>
          <w:color w:val="000000" w:themeColor="text1"/>
          <w:kern w:val="0"/>
          <w:szCs w:val="21"/>
          <w:highlight w:val="none"/>
          <w14:textFill>
            <w14:solidFill>
              <w14:schemeClr w14:val="tx1"/>
            </w14:solidFill>
          </w14:textFill>
        </w:rPr>
        <w:t>、我方已详细审核竞争性磋商文件，我方知道必须放弃提出含糊不清或误解问题的权利。</w:t>
      </w:r>
    </w:p>
    <w:p w14:paraId="518A4978">
      <w:pPr>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hint="eastAsia"/>
          <w:color w:val="000000" w:themeColor="text1"/>
          <w:kern w:val="0"/>
          <w:szCs w:val="21"/>
          <w:highlight w:val="none"/>
          <w14:textFill>
            <w14:solidFill>
              <w14:schemeClr w14:val="tx1"/>
            </w14:solidFill>
          </w14:textFill>
        </w:rPr>
      </w:pPr>
      <w:r>
        <w:rPr>
          <w:rFonts w:hint="eastAsia"/>
          <w:color w:val="000000" w:themeColor="text1"/>
          <w:kern w:val="0"/>
          <w:szCs w:val="21"/>
          <w:highlight w:val="none"/>
          <w:lang w:val="en-US" w:eastAsia="zh-CN"/>
          <w14:textFill>
            <w14:solidFill>
              <w14:schemeClr w14:val="tx1"/>
            </w14:solidFill>
          </w14:textFill>
        </w:rPr>
        <w:t>7</w:t>
      </w:r>
      <w:r>
        <w:rPr>
          <w:rFonts w:hint="eastAsia"/>
          <w:color w:val="000000" w:themeColor="text1"/>
          <w:kern w:val="0"/>
          <w:szCs w:val="21"/>
          <w:highlight w:val="none"/>
          <w14:textFill>
            <w14:solidFill>
              <w14:schemeClr w14:val="tx1"/>
            </w14:solidFill>
          </w14:textFill>
        </w:rPr>
        <w:t>、我方承诺满足竞争性磋商文件第六章“合同文本”的条款，承担完成合同的责任和义务。</w:t>
      </w:r>
    </w:p>
    <w:p w14:paraId="2DB053D3">
      <w:pPr>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hint="eastAsia"/>
          <w:color w:val="000000" w:themeColor="text1"/>
          <w:kern w:val="0"/>
          <w:szCs w:val="21"/>
          <w:highlight w:val="none"/>
          <w14:textFill>
            <w14:solidFill>
              <w14:schemeClr w14:val="tx1"/>
            </w14:solidFill>
          </w14:textFill>
        </w:rPr>
      </w:pPr>
      <w:r>
        <w:rPr>
          <w:rFonts w:hint="eastAsia"/>
          <w:color w:val="000000" w:themeColor="text1"/>
          <w:kern w:val="0"/>
          <w:szCs w:val="21"/>
          <w:highlight w:val="none"/>
          <w:lang w:val="en-US" w:eastAsia="zh-CN"/>
          <w14:textFill>
            <w14:solidFill>
              <w14:schemeClr w14:val="tx1"/>
            </w14:solidFill>
          </w14:textFill>
        </w:rPr>
        <w:t>8</w:t>
      </w:r>
      <w:r>
        <w:rPr>
          <w:rFonts w:hint="eastAsia"/>
          <w:color w:val="000000" w:themeColor="text1"/>
          <w:kern w:val="0"/>
          <w:szCs w:val="21"/>
          <w:highlight w:val="none"/>
          <w14:textFill>
            <w14:solidFill>
              <w14:schemeClr w14:val="tx1"/>
            </w14:solidFill>
          </w14:textFill>
        </w:rPr>
        <w:t>、我方同意应贵方要求提供与本竞标有关的任何数据或资料。若贵方需要，我方愿意提供我方作出的一切承诺的证明材料。</w:t>
      </w:r>
    </w:p>
    <w:p w14:paraId="2FC34088">
      <w:pPr>
        <w:keepNext w:val="0"/>
        <w:keepLines w:val="0"/>
        <w:pageBreakBefore w:val="0"/>
        <w:widowControl w:val="0"/>
        <w:kinsoku/>
        <w:wordWrap/>
        <w:overflowPunct/>
        <w:topLinePunct w:val="0"/>
        <w:autoSpaceDE/>
        <w:autoSpaceDN/>
        <w:bidi w:val="0"/>
        <w:adjustRightInd/>
        <w:spacing w:line="360" w:lineRule="auto"/>
        <w:ind w:firstLine="482"/>
        <w:textAlignment w:val="auto"/>
        <w:rPr>
          <w:rFonts w:hint="eastAsia"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eastAsia="宋体" w:cs="宋体"/>
          <w:color w:val="000000" w:themeColor="text1"/>
          <w:kern w:val="0"/>
          <w:sz w:val="21"/>
          <w:szCs w:val="21"/>
          <w:highlight w:val="none"/>
          <w:lang w:val="en-US" w:eastAsia="zh-CN"/>
          <w14:textFill>
            <w14:solidFill>
              <w14:schemeClr w14:val="tx1"/>
            </w14:solidFill>
          </w14:textFill>
        </w:rPr>
        <w:t>9</w:t>
      </w:r>
      <w:r>
        <w:rPr>
          <w:rFonts w:hint="eastAsia" w:ascii="宋体" w:hAnsi="宋体" w:eastAsia="宋体" w:cs="宋体"/>
          <w:color w:val="000000" w:themeColor="text1"/>
          <w:kern w:val="0"/>
          <w:sz w:val="21"/>
          <w:szCs w:val="21"/>
          <w:highlight w:val="none"/>
          <w14:textFill>
            <w14:solidFill>
              <w14:schemeClr w14:val="tx1"/>
            </w14:solidFill>
          </w14:textFill>
        </w:rPr>
        <w:t>、我方完全理解贵方不一定接受响应报价最低的</w:t>
      </w:r>
      <w:r>
        <w:rPr>
          <w:rFonts w:hint="eastAsia" w:ascii="宋体" w:hAnsi="宋体" w:eastAsia="宋体" w:cs="宋体"/>
          <w:color w:val="000000" w:themeColor="text1"/>
          <w:kern w:val="0"/>
          <w:sz w:val="21"/>
          <w:szCs w:val="21"/>
          <w:highlight w:val="none"/>
          <w:lang w:eastAsia="zh-CN"/>
          <w14:textFill>
            <w14:solidFill>
              <w14:schemeClr w14:val="tx1"/>
            </w14:solidFill>
          </w14:textFill>
        </w:rPr>
        <w:t>供应商</w:t>
      </w:r>
      <w:r>
        <w:rPr>
          <w:rFonts w:hint="eastAsia" w:ascii="宋体" w:hAnsi="宋体" w:eastAsia="宋体" w:cs="宋体"/>
          <w:color w:val="000000" w:themeColor="text1"/>
          <w:kern w:val="0"/>
          <w:sz w:val="21"/>
          <w:szCs w:val="21"/>
          <w:highlight w:val="none"/>
          <w14:textFill>
            <w14:solidFill>
              <w14:schemeClr w14:val="tx1"/>
            </w14:solidFill>
          </w14:textFill>
        </w:rPr>
        <w:t>为成交供应商的行为。</w:t>
      </w:r>
    </w:p>
    <w:p w14:paraId="7AAF2C92">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eastAsia"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1</w:t>
      </w:r>
      <w:r>
        <w:rPr>
          <w:rFonts w:hint="eastAsia" w:ascii="宋体" w:hAnsi="宋体" w:eastAsia="宋体" w:cs="宋体"/>
          <w:color w:val="000000" w:themeColor="text1"/>
          <w:kern w:val="0"/>
          <w:sz w:val="21"/>
          <w:szCs w:val="21"/>
          <w:highlight w:val="none"/>
          <w:lang w:val="en-US" w:eastAsia="zh-CN"/>
          <w14:textFill>
            <w14:solidFill>
              <w14:schemeClr w14:val="tx1"/>
            </w14:solidFill>
          </w14:textFill>
        </w:rPr>
        <w:t>0</w:t>
      </w:r>
      <w:r>
        <w:rPr>
          <w:rFonts w:hint="eastAsia" w:ascii="宋体" w:hAnsi="宋体" w:eastAsia="宋体" w:cs="宋体"/>
          <w:color w:val="000000" w:themeColor="text1"/>
          <w:kern w:val="0"/>
          <w:sz w:val="21"/>
          <w:szCs w:val="21"/>
          <w:highlight w:val="none"/>
          <w14:textFill>
            <w14:solidFill>
              <w14:schemeClr w14:val="tx1"/>
            </w14:solidFill>
          </w14:textFill>
        </w:rPr>
        <w:t>、我方将严格遵守《中华人民共和国政府采购法》第七十七条的规定，即供应商有下列情形之一的，处以采购金额千分之五以上千分之十以下的罚款，列入不良行为记录名单，在一至三年内禁止参加政府采购活动，有违法所得的，并处没收违法所得，情节严重的，由工商行政管理机关吊销营业执照；构成犯罪的，依法追究刑事责任：</w:t>
      </w:r>
    </w:p>
    <w:p w14:paraId="5A4609D6">
      <w:pPr>
        <w:keepNext w:val="0"/>
        <w:keepLines w:val="0"/>
        <w:pageBreakBefore w:val="0"/>
        <w:widowControl w:val="0"/>
        <w:numPr>
          <w:ilvl w:val="0"/>
          <w:numId w:val="3"/>
        </w:numPr>
        <w:tabs>
          <w:tab w:val="left" w:pos="945"/>
        </w:tabs>
        <w:kinsoku/>
        <w:wordWrap/>
        <w:overflowPunct/>
        <w:topLinePunct w:val="0"/>
        <w:autoSpaceDE/>
        <w:autoSpaceDN/>
        <w:bidi w:val="0"/>
        <w:adjustRightInd/>
        <w:snapToGrid/>
        <w:spacing w:line="360" w:lineRule="auto"/>
        <w:ind w:left="1140"/>
        <w:textAlignment w:val="auto"/>
        <w:rPr>
          <w:rFonts w:hint="eastAsia"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提供虚假材料谋取中标、成交的；</w:t>
      </w:r>
    </w:p>
    <w:p w14:paraId="295C3500">
      <w:pPr>
        <w:keepNext w:val="0"/>
        <w:keepLines w:val="0"/>
        <w:pageBreakBefore w:val="0"/>
        <w:widowControl w:val="0"/>
        <w:numPr>
          <w:ilvl w:val="0"/>
          <w:numId w:val="3"/>
        </w:numPr>
        <w:tabs>
          <w:tab w:val="left" w:pos="945"/>
        </w:tabs>
        <w:kinsoku/>
        <w:wordWrap/>
        <w:overflowPunct/>
        <w:topLinePunct w:val="0"/>
        <w:autoSpaceDE/>
        <w:autoSpaceDN/>
        <w:bidi w:val="0"/>
        <w:adjustRightInd/>
        <w:snapToGrid/>
        <w:spacing w:line="360" w:lineRule="auto"/>
        <w:ind w:left="1140"/>
        <w:textAlignment w:val="auto"/>
        <w:rPr>
          <w:rFonts w:hint="eastAsia"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采取不正当手段诋毁、排挤其他供应商的；</w:t>
      </w:r>
    </w:p>
    <w:p w14:paraId="61C4A5DC">
      <w:pPr>
        <w:keepNext w:val="0"/>
        <w:keepLines w:val="0"/>
        <w:pageBreakBefore w:val="0"/>
        <w:widowControl w:val="0"/>
        <w:numPr>
          <w:ilvl w:val="0"/>
          <w:numId w:val="3"/>
        </w:numPr>
        <w:tabs>
          <w:tab w:val="left" w:pos="945"/>
        </w:tabs>
        <w:kinsoku/>
        <w:wordWrap/>
        <w:overflowPunct/>
        <w:topLinePunct w:val="0"/>
        <w:autoSpaceDE/>
        <w:autoSpaceDN/>
        <w:bidi w:val="0"/>
        <w:adjustRightInd/>
        <w:snapToGrid/>
        <w:spacing w:line="360" w:lineRule="auto"/>
        <w:ind w:left="1140"/>
        <w:textAlignment w:val="auto"/>
        <w:rPr>
          <w:rFonts w:hint="eastAsia"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与采购人、其他供应商或者采购代理机构恶意串通的；</w:t>
      </w:r>
    </w:p>
    <w:p w14:paraId="0F769D95">
      <w:pPr>
        <w:keepNext w:val="0"/>
        <w:keepLines w:val="0"/>
        <w:pageBreakBefore w:val="0"/>
        <w:widowControl w:val="0"/>
        <w:numPr>
          <w:ilvl w:val="0"/>
          <w:numId w:val="3"/>
        </w:numPr>
        <w:tabs>
          <w:tab w:val="left" w:pos="945"/>
        </w:tabs>
        <w:kinsoku/>
        <w:wordWrap/>
        <w:overflowPunct/>
        <w:topLinePunct w:val="0"/>
        <w:autoSpaceDE/>
        <w:autoSpaceDN/>
        <w:bidi w:val="0"/>
        <w:adjustRightInd/>
        <w:snapToGrid/>
        <w:spacing w:line="360" w:lineRule="auto"/>
        <w:ind w:left="1140"/>
        <w:textAlignment w:val="auto"/>
        <w:rPr>
          <w:rFonts w:hint="eastAsia"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向采购人、采购代理机构行贿或者提供其他不正当利益的；</w:t>
      </w:r>
    </w:p>
    <w:p w14:paraId="139374FB">
      <w:pPr>
        <w:keepNext w:val="0"/>
        <w:keepLines w:val="0"/>
        <w:pageBreakBefore w:val="0"/>
        <w:widowControl w:val="0"/>
        <w:numPr>
          <w:ilvl w:val="0"/>
          <w:numId w:val="3"/>
        </w:numPr>
        <w:tabs>
          <w:tab w:val="left" w:pos="945"/>
        </w:tabs>
        <w:kinsoku/>
        <w:wordWrap/>
        <w:overflowPunct/>
        <w:topLinePunct w:val="0"/>
        <w:autoSpaceDE/>
        <w:autoSpaceDN/>
        <w:bidi w:val="0"/>
        <w:adjustRightInd/>
        <w:snapToGrid/>
        <w:spacing w:line="360" w:lineRule="auto"/>
        <w:ind w:left="1140"/>
        <w:textAlignment w:val="auto"/>
        <w:rPr>
          <w:rFonts w:hint="eastAsia"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在采购过程中与采购人进行协商</w:t>
      </w:r>
      <w:r>
        <w:rPr>
          <w:rFonts w:hint="eastAsia" w:ascii="宋体" w:hAnsi="宋体" w:eastAsia="宋体" w:cs="宋体"/>
          <w:color w:val="000000" w:themeColor="text1"/>
          <w:kern w:val="0"/>
          <w:sz w:val="21"/>
          <w:szCs w:val="21"/>
          <w:highlight w:val="none"/>
          <w:lang w:eastAsia="zh-CN"/>
          <w14:textFill>
            <w14:solidFill>
              <w14:schemeClr w14:val="tx1"/>
            </w14:solidFill>
          </w14:textFill>
        </w:rPr>
        <w:t>磋商</w:t>
      </w:r>
      <w:r>
        <w:rPr>
          <w:rFonts w:hint="eastAsia" w:ascii="宋体" w:hAnsi="宋体" w:eastAsia="宋体" w:cs="宋体"/>
          <w:color w:val="000000" w:themeColor="text1"/>
          <w:kern w:val="0"/>
          <w:sz w:val="21"/>
          <w:szCs w:val="21"/>
          <w:highlight w:val="none"/>
          <w14:textFill>
            <w14:solidFill>
              <w14:schemeClr w14:val="tx1"/>
            </w14:solidFill>
          </w14:textFill>
        </w:rPr>
        <w:t>的；</w:t>
      </w:r>
    </w:p>
    <w:p w14:paraId="579E2696">
      <w:pPr>
        <w:keepNext w:val="0"/>
        <w:keepLines w:val="0"/>
        <w:pageBreakBefore w:val="0"/>
        <w:widowControl w:val="0"/>
        <w:numPr>
          <w:ilvl w:val="0"/>
          <w:numId w:val="3"/>
        </w:numPr>
        <w:tabs>
          <w:tab w:val="left" w:pos="945"/>
        </w:tabs>
        <w:kinsoku/>
        <w:wordWrap/>
        <w:overflowPunct/>
        <w:topLinePunct w:val="0"/>
        <w:autoSpaceDE/>
        <w:autoSpaceDN/>
        <w:bidi w:val="0"/>
        <w:adjustRightInd/>
        <w:snapToGrid/>
        <w:spacing w:line="360" w:lineRule="auto"/>
        <w:ind w:left="1140"/>
        <w:textAlignment w:val="auto"/>
        <w:rPr>
          <w:rFonts w:hint="eastAsia"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拒绝有关部门监督检查或提供虚假情况的。</w:t>
      </w:r>
    </w:p>
    <w:p w14:paraId="7DCB411A">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color w:val="000000" w:themeColor="text1"/>
          <w:kern w:val="0"/>
          <w:sz w:val="21"/>
          <w:szCs w:val="21"/>
          <w:highlight w:val="none"/>
          <w14:textFill>
            <w14:solidFill>
              <w14:schemeClr w14:val="tx1"/>
            </w14:solidFill>
          </w14:textFill>
        </w:rPr>
      </w:pPr>
      <w:r>
        <w:rPr>
          <w:rFonts w:hint="eastAsia" w:ascii="宋体" w:hAnsi="宋体" w:eastAsia="宋体" w:cs="宋体"/>
          <w:color w:val="000000" w:themeColor="text1"/>
          <w:kern w:val="0"/>
          <w:sz w:val="21"/>
          <w:szCs w:val="21"/>
          <w:highlight w:val="none"/>
          <w:lang w:val="en-US" w:eastAsia="zh-CN"/>
          <w14:textFill>
            <w14:solidFill>
              <w14:schemeClr w14:val="tx1"/>
            </w14:solidFill>
          </w14:textFill>
        </w:rPr>
        <w:t>11、</w:t>
      </w:r>
      <w:r>
        <w:rPr>
          <w:rFonts w:hint="eastAsia" w:eastAsia="宋体" w:cs="Times New Roman"/>
          <w:color w:val="000000" w:themeColor="text1"/>
          <w:sz w:val="21"/>
          <w:szCs w:val="21"/>
          <w:highlight w:val="none"/>
          <w14:textFill>
            <w14:solidFill>
              <w14:schemeClr w14:val="tx1"/>
            </w14:solidFill>
          </w14:textFill>
        </w:rPr>
        <w:t>以上事项如有虚假或</w:t>
      </w:r>
      <w:r>
        <w:rPr>
          <w:rFonts w:hint="eastAsia" w:cs="Times New Roman"/>
          <w:color w:val="000000" w:themeColor="text1"/>
          <w:sz w:val="21"/>
          <w:szCs w:val="21"/>
          <w:highlight w:val="none"/>
          <w:lang w:val="en-US" w:eastAsia="zh-CN"/>
          <w14:textFill>
            <w14:solidFill>
              <w14:schemeClr w14:val="tx1"/>
            </w14:solidFill>
          </w14:textFill>
        </w:rPr>
        <w:t>者</w:t>
      </w:r>
      <w:r>
        <w:rPr>
          <w:rFonts w:hint="eastAsia" w:eastAsia="宋体" w:cs="Times New Roman"/>
          <w:color w:val="000000" w:themeColor="text1"/>
          <w:sz w:val="21"/>
          <w:szCs w:val="21"/>
          <w:highlight w:val="none"/>
          <w14:textFill>
            <w14:solidFill>
              <w14:schemeClr w14:val="tx1"/>
            </w14:solidFill>
          </w14:textFill>
        </w:rPr>
        <w:t>隐瞒，我方愿意承担一切后果，并不再寻求任何旨在减轻或</w:t>
      </w:r>
      <w:r>
        <w:rPr>
          <w:rFonts w:hint="eastAsia" w:cs="Times New Roman"/>
          <w:color w:val="000000" w:themeColor="text1"/>
          <w:sz w:val="21"/>
          <w:szCs w:val="21"/>
          <w:highlight w:val="none"/>
          <w:lang w:val="en-US" w:eastAsia="zh-CN"/>
          <w14:textFill>
            <w14:solidFill>
              <w14:schemeClr w14:val="tx1"/>
            </w14:solidFill>
          </w14:textFill>
        </w:rPr>
        <w:t>者</w:t>
      </w:r>
      <w:r>
        <w:rPr>
          <w:rFonts w:hint="eastAsia" w:eastAsia="宋体" w:cs="Times New Roman"/>
          <w:color w:val="000000" w:themeColor="text1"/>
          <w:sz w:val="21"/>
          <w:szCs w:val="21"/>
          <w:highlight w:val="none"/>
          <w14:textFill>
            <w14:solidFill>
              <w14:schemeClr w14:val="tx1"/>
            </w14:solidFill>
          </w14:textFill>
        </w:rPr>
        <w:t>免除法律责任的辩解</w:t>
      </w:r>
      <w:r>
        <w:rPr>
          <w:rFonts w:hint="eastAsia" w:eastAsia="宋体" w:cs="Times New Roman"/>
          <w:color w:val="000000" w:themeColor="text1"/>
          <w:sz w:val="21"/>
          <w:szCs w:val="21"/>
          <w:highlight w:val="none"/>
          <w:lang w:eastAsia="zh-CN"/>
          <w14:textFill>
            <w14:solidFill>
              <w14:schemeClr w14:val="tx1"/>
            </w14:solidFill>
          </w14:textFill>
        </w:rPr>
        <w:t>。</w:t>
      </w:r>
    </w:p>
    <w:p w14:paraId="78CD40BE">
      <w:pPr>
        <w:keepNext w:val="0"/>
        <w:keepLines w:val="0"/>
        <w:pageBreakBefore w:val="0"/>
        <w:widowControl w:val="0"/>
        <w:kinsoku/>
        <w:wordWrap/>
        <w:overflowPunct/>
        <w:topLinePunct w:val="0"/>
        <w:autoSpaceDE/>
        <w:autoSpaceDN/>
        <w:bidi w:val="0"/>
        <w:adjustRightInd/>
        <w:snapToGrid/>
        <w:spacing w:line="360" w:lineRule="auto"/>
        <w:ind w:firstLine="420"/>
        <w:textAlignment w:val="auto"/>
        <w:rPr>
          <w:b/>
          <w:bCs/>
          <w:color w:val="000000" w:themeColor="text1"/>
          <w:kern w:val="0"/>
          <w:szCs w:val="21"/>
          <w:highlight w:val="none"/>
          <w14:textFill>
            <w14:solidFill>
              <w14:schemeClr w14:val="tx1"/>
            </w14:solidFill>
          </w14:textFill>
        </w:rPr>
      </w:pPr>
      <w:r>
        <w:rPr>
          <w:b/>
          <w:bCs/>
          <w:color w:val="000000" w:themeColor="text1"/>
          <w:kern w:val="0"/>
          <w:szCs w:val="21"/>
          <w:highlight w:val="none"/>
          <w14:textFill>
            <w14:solidFill>
              <w14:schemeClr w14:val="tx1"/>
            </w14:solidFill>
          </w14:textFill>
        </w:rPr>
        <w:t>12</w:t>
      </w:r>
      <w:r>
        <w:rPr>
          <w:rFonts w:hint="eastAsia"/>
          <w:b/>
          <w:bCs/>
          <w:color w:val="000000" w:themeColor="text1"/>
          <w:kern w:val="0"/>
          <w:szCs w:val="21"/>
          <w:highlight w:val="none"/>
          <w:lang w:eastAsia="zh-CN"/>
          <w14:textFill>
            <w14:solidFill>
              <w14:schemeClr w14:val="tx1"/>
            </w14:solidFill>
          </w14:textFill>
        </w:rPr>
        <w:t>、</w:t>
      </w:r>
      <w:r>
        <w:rPr>
          <w:b/>
          <w:bCs/>
          <w:color w:val="000000" w:themeColor="text1"/>
          <w:kern w:val="0"/>
          <w:szCs w:val="21"/>
          <w:highlight w:val="none"/>
          <w14:textFill>
            <w14:solidFill>
              <w14:schemeClr w14:val="tx1"/>
            </w14:solidFill>
          </w14:textFill>
        </w:rPr>
        <w:t xml:space="preserve">与本磋商有关的一切正式往来信函请寄： </w:t>
      </w:r>
    </w:p>
    <w:p w14:paraId="36C76486">
      <w:pPr>
        <w:keepNext w:val="0"/>
        <w:keepLines w:val="0"/>
        <w:pageBreakBefore w:val="0"/>
        <w:widowControl w:val="0"/>
        <w:kinsoku/>
        <w:wordWrap/>
        <w:overflowPunct/>
        <w:topLinePunct w:val="0"/>
        <w:autoSpaceDE/>
        <w:autoSpaceDN/>
        <w:bidi w:val="0"/>
        <w:adjustRightInd/>
        <w:snapToGrid/>
        <w:spacing w:line="360" w:lineRule="auto"/>
        <w:ind w:firstLine="420"/>
        <w:textAlignment w:val="auto"/>
        <w:rPr>
          <w:color w:val="000000" w:themeColor="text1"/>
          <w:kern w:val="0"/>
          <w:szCs w:val="21"/>
          <w:highlight w:val="none"/>
          <w14:textFill>
            <w14:solidFill>
              <w14:schemeClr w14:val="tx1"/>
            </w14:solidFill>
          </w14:textFill>
        </w:rPr>
      </w:pPr>
      <w:r>
        <w:rPr>
          <w:color w:val="000000" w:themeColor="text1"/>
          <w:kern w:val="0"/>
          <w:szCs w:val="21"/>
          <w:highlight w:val="none"/>
          <w14:textFill>
            <w14:solidFill>
              <w14:schemeClr w14:val="tx1"/>
            </w14:solidFill>
          </w14:textFill>
        </w:rPr>
        <w:t>地址：</w:t>
      </w:r>
      <w:r>
        <w:rPr>
          <w:color w:val="000000" w:themeColor="text1"/>
          <w:kern w:val="0"/>
          <w:szCs w:val="21"/>
          <w:highlight w:val="none"/>
          <w:u w:val="single"/>
          <w14:textFill>
            <w14:solidFill>
              <w14:schemeClr w14:val="tx1"/>
            </w14:solidFill>
          </w14:textFill>
        </w:rPr>
        <w:t xml:space="preserve">                                                        </w:t>
      </w:r>
      <w:r>
        <w:rPr>
          <w:color w:val="000000" w:themeColor="text1"/>
          <w:kern w:val="0"/>
          <w:szCs w:val="21"/>
          <w:highlight w:val="none"/>
          <w14:textFill>
            <w14:solidFill>
              <w14:schemeClr w14:val="tx1"/>
            </w14:solidFill>
          </w14:textFill>
        </w:rPr>
        <w:t xml:space="preserve"> </w:t>
      </w:r>
    </w:p>
    <w:p w14:paraId="33521B49">
      <w:pPr>
        <w:keepNext w:val="0"/>
        <w:keepLines w:val="0"/>
        <w:pageBreakBefore w:val="0"/>
        <w:widowControl w:val="0"/>
        <w:kinsoku/>
        <w:wordWrap/>
        <w:overflowPunct/>
        <w:topLinePunct w:val="0"/>
        <w:autoSpaceDE/>
        <w:autoSpaceDN/>
        <w:bidi w:val="0"/>
        <w:adjustRightInd/>
        <w:snapToGrid/>
        <w:spacing w:line="360" w:lineRule="auto"/>
        <w:ind w:firstLine="420"/>
        <w:textAlignment w:val="auto"/>
        <w:rPr>
          <w:color w:val="000000" w:themeColor="text1"/>
          <w:kern w:val="0"/>
          <w:szCs w:val="21"/>
          <w:highlight w:val="none"/>
          <w:u w:val="single"/>
          <w14:textFill>
            <w14:solidFill>
              <w14:schemeClr w14:val="tx1"/>
            </w14:solidFill>
          </w14:textFill>
        </w:rPr>
      </w:pPr>
      <w:r>
        <w:rPr>
          <w:color w:val="000000" w:themeColor="text1"/>
          <w:kern w:val="0"/>
          <w:szCs w:val="21"/>
          <w:highlight w:val="none"/>
          <w14:textFill>
            <w14:solidFill>
              <w14:schemeClr w14:val="tx1"/>
            </w14:solidFill>
          </w14:textFill>
        </w:rPr>
        <w:t>电话：</w:t>
      </w:r>
      <w:r>
        <w:rPr>
          <w:color w:val="000000" w:themeColor="text1"/>
          <w:kern w:val="0"/>
          <w:szCs w:val="21"/>
          <w:highlight w:val="none"/>
          <w:u w:val="single"/>
          <w14:textFill>
            <w14:solidFill>
              <w14:schemeClr w14:val="tx1"/>
            </w14:solidFill>
          </w14:textFill>
        </w:rPr>
        <w:t xml:space="preserve">                                      　　　　　　　　　</w:t>
      </w:r>
    </w:p>
    <w:p w14:paraId="68190772">
      <w:pPr>
        <w:keepNext w:val="0"/>
        <w:keepLines w:val="0"/>
        <w:pageBreakBefore w:val="0"/>
        <w:widowControl w:val="0"/>
        <w:kinsoku/>
        <w:wordWrap/>
        <w:overflowPunct/>
        <w:topLinePunct w:val="0"/>
        <w:autoSpaceDE/>
        <w:autoSpaceDN/>
        <w:bidi w:val="0"/>
        <w:adjustRightInd/>
        <w:snapToGrid/>
        <w:spacing w:line="360" w:lineRule="auto"/>
        <w:ind w:firstLine="420"/>
        <w:textAlignment w:val="auto"/>
        <w:rPr>
          <w:color w:val="000000" w:themeColor="text1"/>
          <w:kern w:val="0"/>
          <w:szCs w:val="21"/>
          <w:highlight w:val="none"/>
          <w:u w:val="single"/>
          <w14:textFill>
            <w14:solidFill>
              <w14:schemeClr w14:val="tx1"/>
            </w14:solidFill>
          </w14:textFill>
        </w:rPr>
      </w:pPr>
      <w:r>
        <w:rPr>
          <w:color w:val="000000" w:themeColor="text1"/>
          <w:kern w:val="0"/>
          <w:szCs w:val="21"/>
          <w:highlight w:val="none"/>
          <w14:textFill>
            <w14:solidFill>
              <w14:schemeClr w14:val="tx1"/>
            </w14:solidFill>
          </w14:textFill>
        </w:rPr>
        <w:t>传真：</w:t>
      </w:r>
      <w:r>
        <w:rPr>
          <w:color w:val="000000" w:themeColor="text1"/>
          <w:kern w:val="0"/>
          <w:szCs w:val="21"/>
          <w:highlight w:val="none"/>
          <w:u w:val="single"/>
          <w14:textFill>
            <w14:solidFill>
              <w14:schemeClr w14:val="tx1"/>
            </w14:solidFill>
          </w14:textFill>
        </w:rPr>
        <w:t>　　　　　　　　　　　　　　　　　　　　　　　　　　　　</w:t>
      </w:r>
    </w:p>
    <w:p w14:paraId="742E6CF9">
      <w:pPr>
        <w:keepNext w:val="0"/>
        <w:keepLines w:val="0"/>
        <w:pageBreakBefore w:val="0"/>
        <w:widowControl w:val="0"/>
        <w:kinsoku/>
        <w:wordWrap/>
        <w:overflowPunct/>
        <w:topLinePunct w:val="0"/>
        <w:autoSpaceDE/>
        <w:autoSpaceDN/>
        <w:bidi w:val="0"/>
        <w:adjustRightInd/>
        <w:snapToGrid/>
        <w:spacing w:line="360" w:lineRule="auto"/>
        <w:ind w:firstLine="420"/>
        <w:textAlignment w:val="auto"/>
        <w:rPr>
          <w:color w:val="000000" w:themeColor="text1"/>
          <w:szCs w:val="21"/>
          <w:highlight w:val="none"/>
          <w14:textFill>
            <w14:solidFill>
              <w14:schemeClr w14:val="tx1"/>
            </w14:solidFill>
          </w14:textFill>
        </w:rPr>
      </w:pPr>
      <w:r>
        <w:rPr>
          <w:color w:val="000000" w:themeColor="text1"/>
          <w:kern w:val="0"/>
          <w:szCs w:val="21"/>
          <w:highlight w:val="none"/>
          <w14:textFill>
            <w14:solidFill>
              <w14:schemeClr w14:val="tx1"/>
            </w14:solidFill>
          </w14:textFill>
        </w:rPr>
        <w:t>电子邮箱：</w:t>
      </w:r>
      <w:r>
        <w:rPr>
          <w:color w:val="000000" w:themeColor="text1"/>
          <w:kern w:val="0"/>
          <w:szCs w:val="21"/>
          <w:highlight w:val="none"/>
          <w:u w:val="single"/>
          <w14:textFill>
            <w14:solidFill>
              <w14:schemeClr w14:val="tx1"/>
            </w14:solidFill>
          </w14:textFill>
        </w:rPr>
        <w:t>　　　　　　　　　　　　　　　　　　　　　　　　　　</w:t>
      </w:r>
    </w:p>
    <w:p w14:paraId="224CACDD">
      <w:pPr>
        <w:keepNext w:val="0"/>
        <w:keepLines w:val="0"/>
        <w:pageBreakBefore w:val="0"/>
        <w:widowControl w:val="0"/>
        <w:kinsoku/>
        <w:wordWrap/>
        <w:overflowPunct/>
        <w:topLinePunct w:val="0"/>
        <w:autoSpaceDE/>
        <w:autoSpaceDN/>
        <w:bidi w:val="0"/>
        <w:adjustRightInd/>
        <w:snapToGrid/>
        <w:spacing w:line="360" w:lineRule="auto"/>
        <w:ind w:firstLine="420"/>
        <w:textAlignment w:val="auto"/>
        <w:rPr>
          <w:color w:val="000000" w:themeColor="text1"/>
          <w:kern w:val="0"/>
          <w:szCs w:val="21"/>
          <w:highlight w:val="none"/>
          <w:u w:val="single"/>
          <w14:textFill>
            <w14:solidFill>
              <w14:schemeClr w14:val="tx1"/>
            </w14:solidFill>
          </w14:textFill>
        </w:rPr>
      </w:pPr>
      <w:r>
        <w:rPr>
          <w:color w:val="000000" w:themeColor="text1"/>
          <w:kern w:val="0"/>
          <w:szCs w:val="21"/>
          <w:highlight w:val="none"/>
          <w14:textFill>
            <w14:solidFill>
              <w14:schemeClr w14:val="tx1"/>
            </w14:solidFill>
          </w14:textFill>
        </w:rPr>
        <w:t>邮政编码：</w:t>
      </w:r>
      <w:r>
        <w:rPr>
          <w:color w:val="000000" w:themeColor="text1"/>
          <w:kern w:val="0"/>
          <w:szCs w:val="21"/>
          <w:highlight w:val="none"/>
          <w:u w:val="single"/>
          <w14:textFill>
            <w14:solidFill>
              <w14:schemeClr w14:val="tx1"/>
            </w14:solidFill>
          </w14:textFill>
        </w:rPr>
        <w:t xml:space="preserve">                                                    </w:t>
      </w:r>
    </w:p>
    <w:p w14:paraId="07A3291A">
      <w:pPr>
        <w:keepNext w:val="0"/>
        <w:keepLines w:val="0"/>
        <w:pageBreakBefore w:val="0"/>
        <w:widowControl w:val="0"/>
        <w:kinsoku/>
        <w:wordWrap/>
        <w:overflowPunct/>
        <w:topLinePunct w:val="0"/>
        <w:autoSpaceDE/>
        <w:autoSpaceDN/>
        <w:bidi w:val="0"/>
        <w:adjustRightInd/>
        <w:snapToGrid/>
        <w:spacing w:line="360" w:lineRule="auto"/>
        <w:ind w:firstLine="420"/>
        <w:textAlignment w:val="auto"/>
        <w:rPr>
          <w:color w:val="000000" w:themeColor="text1"/>
          <w:kern w:val="0"/>
          <w:szCs w:val="21"/>
          <w:highlight w:val="none"/>
          <w:u w:val="single"/>
          <w14:textFill>
            <w14:solidFill>
              <w14:schemeClr w14:val="tx1"/>
            </w14:solidFill>
          </w14:textFill>
        </w:rPr>
      </w:pPr>
      <w:r>
        <w:rPr>
          <w:color w:val="000000" w:themeColor="text1"/>
          <w:kern w:val="0"/>
          <w:szCs w:val="21"/>
          <w:highlight w:val="none"/>
          <w14:textFill>
            <w14:solidFill>
              <w14:schemeClr w14:val="tx1"/>
            </w14:solidFill>
          </w14:textFill>
        </w:rPr>
        <w:t>开户名称：</w:t>
      </w:r>
      <w:r>
        <w:rPr>
          <w:color w:val="000000" w:themeColor="text1"/>
          <w:kern w:val="0"/>
          <w:szCs w:val="21"/>
          <w:highlight w:val="none"/>
          <w:u w:val="single"/>
          <w14:textFill>
            <w14:solidFill>
              <w14:schemeClr w14:val="tx1"/>
            </w14:solidFill>
          </w14:textFill>
        </w:rPr>
        <w:t xml:space="preserve">                                                    </w:t>
      </w:r>
    </w:p>
    <w:p w14:paraId="4A1163BC">
      <w:pPr>
        <w:keepNext w:val="0"/>
        <w:keepLines w:val="0"/>
        <w:pageBreakBefore w:val="0"/>
        <w:widowControl w:val="0"/>
        <w:kinsoku/>
        <w:wordWrap/>
        <w:overflowPunct/>
        <w:topLinePunct w:val="0"/>
        <w:autoSpaceDE/>
        <w:autoSpaceDN/>
        <w:bidi w:val="0"/>
        <w:adjustRightInd/>
        <w:snapToGrid/>
        <w:spacing w:line="360" w:lineRule="auto"/>
        <w:ind w:firstLine="420"/>
        <w:textAlignment w:val="auto"/>
        <w:rPr>
          <w:color w:val="000000" w:themeColor="text1"/>
          <w:kern w:val="0"/>
          <w:szCs w:val="21"/>
          <w:highlight w:val="none"/>
          <w:u w:val="single"/>
          <w14:textFill>
            <w14:solidFill>
              <w14:schemeClr w14:val="tx1"/>
            </w14:solidFill>
          </w14:textFill>
        </w:rPr>
      </w:pPr>
      <w:r>
        <w:rPr>
          <w:color w:val="000000" w:themeColor="text1"/>
          <w:kern w:val="0"/>
          <w:szCs w:val="21"/>
          <w:highlight w:val="none"/>
          <w14:textFill>
            <w14:solidFill>
              <w14:schemeClr w14:val="tx1"/>
            </w14:solidFill>
          </w14:textFill>
        </w:rPr>
        <w:t>开户银行：</w:t>
      </w:r>
      <w:r>
        <w:rPr>
          <w:color w:val="000000" w:themeColor="text1"/>
          <w:kern w:val="0"/>
          <w:szCs w:val="21"/>
          <w:highlight w:val="none"/>
          <w:u w:val="single"/>
          <w14:textFill>
            <w14:solidFill>
              <w14:schemeClr w14:val="tx1"/>
            </w14:solidFill>
          </w14:textFill>
        </w:rPr>
        <w:t xml:space="preserve">                                                    </w:t>
      </w:r>
    </w:p>
    <w:p w14:paraId="7A97CE9D">
      <w:pPr>
        <w:keepNext w:val="0"/>
        <w:keepLines w:val="0"/>
        <w:pageBreakBefore w:val="0"/>
        <w:widowControl w:val="0"/>
        <w:kinsoku/>
        <w:wordWrap/>
        <w:overflowPunct/>
        <w:topLinePunct w:val="0"/>
        <w:autoSpaceDE/>
        <w:autoSpaceDN/>
        <w:bidi w:val="0"/>
        <w:adjustRightInd/>
        <w:snapToGrid/>
        <w:spacing w:line="360" w:lineRule="auto"/>
        <w:ind w:firstLine="420"/>
        <w:textAlignment w:val="auto"/>
        <w:rPr>
          <w:color w:val="000000" w:themeColor="text1"/>
          <w:kern w:val="0"/>
          <w:szCs w:val="21"/>
          <w:highlight w:val="none"/>
          <w:u w:val="single"/>
          <w14:textFill>
            <w14:solidFill>
              <w14:schemeClr w14:val="tx1"/>
            </w14:solidFill>
          </w14:textFill>
        </w:rPr>
      </w:pPr>
      <w:r>
        <w:rPr>
          <w:color w:val="000000" w:themeColor="text1"/>
          <w:kern w:val="0"/>
          <w:szCs w:val="21"/>
          <w:highlight w:val="none"/>
          <w14:textFill>
            <w14:solidFill>
              <w14:schemeClr w14:val="tx1"/>
            </w14:solidFill>
          </w14:textFill>
        </w:rPr>
        <w:t>银行账号：</w:t>
      </w:r>
      <w:r>
        <w:rPr>
          <w:color w:val="000000" w:themeColor="text1"/>
          <w:kern w:val="0"/>
          <w:szCs w:val="21"/>
          <w:highlight w:val="none"/>
          <w:u w:val="single"/>
          <w14:textFill>
            <w14:solidFill>
              <w14:schemeClr w14:val="tx1"/>
            </w14:solidFill>
          </w14:textFill>
        </w:rPr>
        <w:t xml:space="preserve">                                                    </w:t>
      </w:r>
    </w:p>
    <w:p w14:paraId="7339BFE4">
      <w:pPr>
        <w:pStyle w:val="17"/>
        <w:keepNext w:val="0"/>
        <w:keepLines w:val="0"/>
        <w:pageBreakBefore w:val="0"/>
        <w:widowControl w:val="0"/>
        <w:tabs>
          <w:tab w:val="left" w:pos="939"/>
        </w:tabs>
        <w:kinsoku/>
        <w:wordWrap/>
        <w:overflowPunct/>
        <w:topLinePunct w:val="0"/>
        <w:autoSpaceDE/>
        <w:autoSpaceDN/>
        <w:bidi w:val="0"/>
        <w:adjustRightInd/>
        <w:snapToGrid/>
        <w:spacing w:line="360" w:lineRule="auto"/>
        <w:ind w:left="141" w:leftChars="67" w:firstLine="315" w:firstLineChars="150"/>
        <w:textAlignment w:val="auto"/>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特此承诺。</w:t>
      </w:r>
    </w:p>
    <w:p w14:paraId="2C83AB7B">
      <w:pPr>
        <w:keepNext w:val="0"/>
        <w:keepLines w:val="0"/>
        <w:pageBreakBefore w:val="0"/>
        <w:widowControl w:val="0"/>
        <w:kinsoku/>
        <w:wordWrap/>
        <w:overflowPunct/>
        <w:topLinePunct w:val="0"/>
        <w:autoSpaceDE/>
        <w:autoSpaceDN/>
        <w:bidi w:val="0"/>
        <w:adjustRightInd/>
        <w:spacing w:line="360" w:lineRule="auto"/>
        <w:contextualSpacing/>
        <w:jc w:val="left"/>
        <w:textAlignment w:val="auto"/>
        <w:rPr>
          <w:color w:val="000000" w:themeColor="text1"/>
          <w:szCs w:val="21"/>
          <w:highlight w:val="none"/>
          <w14:textFill>
            <w14:solidFill>
              <w14:schemeClr w14:val="tx1"/>
            </w14:solidFill>
          </w14:textFill>
        </w:rPr>
      </w:pPr>
    </w:p>
    <w:p w14:paraId="634B1EC6">
      <w:pPr>
        <w:keepNext w:val="0"/>
        <w:keepLines w:val="0"/>
        <w:pageBreakBefore w:val="0"/>
        <w:widowControl w:val="0"/>
        <w:kinsoku/>
        <w:wordWrap/>
        <w:overflowPunct/>
        <w:topLinePunct w:val="0"/>
        <w:autoSpaceDE/>
        <w:autoSpaceDN/>
        <w:bidi w:val="0"/>
        <w:adjustRightInd/>
        <w:spacing w:line="360" w:lineRule="auto"/>
        <w:ind w:firstLine="4410" w:firstLineChars="2100"/>
        <w:textAlignment w:val="auto"/>
        <w:rPr>
          <w:color w:val="000000" w:themeColor="text1"/>
          <w:szCs w:val="21"/>
          <w:highlight w:val="none"/>
          <w:u w:val="single"/>
          <w14:textFill>
            <w14:solidFill>
              <w14:schemeClr w14:val="tx1"/>
            </w14:solidFill>
          </w14:textFill>
        </w:rPr>
      </w:pPr>
      <w:r>
        <w:rPr>
          <w:color w:val="000000" w:themeColor="text1"/>
          <w:szCs w:val="21"/>
          <w:highlight w:val="none"/>
          <w14:textFill>
            <w14:solidFill>
              <w14:schemeClr w14:val="tx1"/>
            </w14:solidFill>
          </w14:textFill>
        </w:rPr>
        <w:t>供应商</w:t>
      </w:r>
      <w:r>
        <w:rPr>
          <w:color w:val="000000" w:themeColor="text1"/>
          <w:kern w:val="0"/>
          <w:szCs w:val="21"/>
          <w:highlight w:val="none"/>
          <w14:textFill>
            <w14:solidFill>
              <w14:schemeClr w14:val="tx1"/>
            </w14:solidFill>
          </w14:textFill>
        </w:rPr>
        <w:t>名称</w:t>
      </w:r>
      <w:r>
        <w:rPr>
          <w:color w:val="000000" w:themeColor="text1"/>
          <w:szCs w:val="21"/>
          <w:highlight w:val="none"/>
          <w14:textFill>
            <w14:solidFill>
              <w14:schemeClr w14:val="tx1"/>
            </w14:solidFill>
          </w14:textFill>
        </w:rPr>
        <w:t>（盖公章）：</w:t>
      </w:r>
      <w:r>
        <w:rPr>
          <w:color w:val="000000" w:themeColor="text1"/>
          <w:szCs w:val="21"/>
          <w:highlight w:val="none"/>
          <w:u w:val="single"/>
          <w14:textFill>
            <w14:solidFill>
              <w14:schemeClr w14:val="tx1"/>
            </w14:solidFill>
          </w14:textFill>
        </w:rPr>
        <w:t xml:space="preserve">                   </w:t>
      </w:r>
    </w:p>
    <w:p w14:paraId="71777038">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ascii="仿宋" w:hAnsi="仿宋" w:eastAsia="仿宋" w:cs="仿宋_GB2312"/>
          <w:b/>
          <w:color w:val="000000" w:themeColor="text1"/>
          <w:sz w:val="30"/>
          <w:szCs w:val="30"/>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 xml:space="preserve">                                      </w:t>
      </w:r>
      <w:r>
        <w:rPr>
          <w:color w:val="000000" w:themeColor="text1"/>
          <w:szCs w:val="21"/>
          <w:highlight w:val="none"/>
          <w14:textFill>
            <w14:solidFill>
              <w14:schemeClr w14:val="tx1"/>
            </w14:solidFill>
          </w14:textFill>
        </w:rPr>
        <w:t>日期：</w:t>
      </w:r>
      <w:r>
        <w:rPr>
          <w:color w:val="000000" w:themeColor="text1"/>
          <w:szCs w:val="21"/>
          <w:highlight w:val="none"/>
          <w:u w:val="single"/>
          <w14:textFill>
            <w14:solidFill>
              <w14:schemeClr w14:val="tx1"/>
            </w14:solidFill>
          </w14:textFill>
        </w:rPr>
        <w:t xml:space="preserve">         </w:t>
      </w:r>
      <w:r>
        <w:rPr>
          <w:color w:val="000000" w:themeColor="text1"/>
          <w:szCs w:val="21"/>
          <w:highlight w:val="none"/>
          <w14:textFill>
            <w14:solidFill>
              <w14:schemeClr w14:val="tx1"/>
            </w14:solidFill>
          </w14:textFill>
        </w:rPr>
        <w:t>年</w:t>
      </w:r>
      <w:r>
        <w:rPr>
          <w:color w:val="000000" w:themeColor="text1"/>
          <w:szCs w:val="21"/>
          <w:highlight w:val="none"/>
          <w:u w:val="single"/>
          <w14:textFill>
            <w14:solidFill>
              <w14:schemeClr w14:val="tx1"/>
            </w14:solidFill>
          </w14:textFill>
        </w:rPr>
        <w:t xml:space="preserve">        </w:t>
      </w:r>
      <w:r>
        <w:rPr>
          <w:color w:val="000000" w:themeColor="text1"/>
          <w:szCs w:val="21"/>
          <w:highlight w:val="none"/>
          <w14:textFill>
            <w14:solidFill>
              <w14:schemeClr w14:val="tx1"/>
            </w14:solidFill>
          </w14:textFill>
        </w:rPr>
        <w:t>月</w:t>
      </w:r>
      <w:r>
        <w:rPr>
          <w:color w:val="000000" w:themeColor="text1"/>
          <w:szCs w:val="21"/>
          <w:highlight w:val="none"/>
          <w:u w:val="single"/>
          <w14:textFill>
            <w14:solidFill>
              <w14:schemeClr w14:val="tx1"/>
            </w14:solidFill>
          </w14:textFill>
        </w:rPr>
        <w:t xml:space="preserve">        </w:t>
      </w:r>
      <w:r>
        <w:rPr>
          <w:color w:val="000000" w:themeColor="text1"/>
          <w:szCs w:val="21"/>
          <w:highlight w:val="none"/>
          <w14:textFill>
            <w14:solidFill>
              <w14:schemeClr w14:val="tx1"/>
            </w14:solidFill>
          </w14:textFill>
        </w:rPr>
        <w:t>日</w:t>
      </w:r>
    </w:p>
    <w:p w14:paraId="1111D4BE">
      <w:pPr>
        <w:spacing w:line="500" w:lineRule="exact"/>
        <w:rPr>
          <w:b/>
          <w:color w:val="000000" w:themeColor="text1"/>
          <w:szCs w:val="21"/>
          <w:highlight w:val="none"/>
          <w14:textFill>
            <w14:solidFill>
              <w14:schemeClr w14:val="tx1"/>
            </w14:solidFill>
          </w14:textFill>
        </w:rPr>
      </w:pPr>
    </w:p>
    <w:p w14:paraId="6D9BBC21">
      <w:pPr>
        <w:snapToGrid w:val="0"/>
        <w:spacing w:before="120" w:beforeLines="50" w:after="50" w:line="360" w:lineRule="auto"/>
        <w:jc w:val="left"/>
        <w:outlineLvl w:val="2"/>
        <w:rPr>
          <w:color w:val="000000" w:themeColor="text1"/>
          <w:highlight w:val="none"/>
          <w14:textFill>
            <w14:solidFill>
              <w14:schemeClr w14:val="tx1"/>
            </w14:solidFill>
          </w14:textFill>
        </w:rPr>
      </w:pPr>
      <w:r>
        <w:rPr>
          <w:rFonts w:hint="eastAsia" w:ascii="宋体" w:hAnsi="宋体" w:cs="宋体"/>
          <w:b/>
          <w:color w:val="000000" w:themeColor="text1"/>
          <w:sz w:val="28"/>
          <w:szCs w:val="28"/>
          <w:highlight w:val="none"/>
          <w14:textFill>
            <w14:solidFill>
              <w14:schemeClr w14:val="tx1"/>
            </w14:solidFill>
          </w14:textFill>
        </w:rPr>
        <w:br w:type="page"/>
      </w:r>
      <w:bookmarkStart w:id="231" w:name="_Toc2842"/>
      <w:r>
        <w:rPr>
          <w:b/>
          <w:color w:val="000000" w:themeColor="text1"/>
          <w:sz w:val="28"/>
          <w:szCs w:val="28"/>
          <w:highlight w:val="none"/>
          <w14:textFill>
            <w14:solidFill>
              <w14:schemeClr w14:val="tx1"/>
            </w14:solidFill>
          </w14:textFill>
        </w:rPr>
        <w:t>4.</w:t>
      </w:r>
      <w:r>
        <w:rPr>
          <w:b/>
          <w:color w:val="000000" w:themeColor="text1"/>
          <w:sz w:val="28"/>
          <w:szCs w:val="28"/>
          <w:highlight w:val="none"/>
          <w:lang w:val="zh-CN"/>
          <w14:textFill>
            <w14:solidFill>
              <w14:schemeClr w14:val="tx1"/>
            </w14:solidFill>
          </w14:textFill>
        </w:rPr>
        <w:t>响应报价表的格式：</w:t>
      </w:r>
      <w:bookmarkEnd w:id="231"/>
    </w:p>
    <w:p w14:paraId="7770A1C4">
      <w:pPr>
        <w:keepNext w:val="0"/>
        <w:keepLines w:val="0"/>
        <w:pageBreakBefore w:val="0"/>
        <w:widowControl w:val="0"/>
        <w:kinsoku/>
        <w:wordWrap/>
        <w:overflowPunct/>
        <w:topLinePunct w:val="0"/>
        <w:bidi w:val="0"/>
        <w:adjustRightInd/>
        <w:spacing w:line="360" w:lineRule="auto"/>
        <w:jc w:val="center"/>
        <w:textAlignment w:val="auto"/>
        <w:rPr>
          <w:b/>
          <w:bCs/>
          <w:color w:val="000000" w:themeColor="text1"/>
          <w:sz w:val="32"/>
          <w:szCs w:val="32"/>
          <w:highlight w:val="none"/>
          <w14:textFill>
            <w14:solidFill>
              <w14:schemeClr w14:val="tx1"/>
            </w14:solidFill>
          </w14:textFill>
        </w:rPr>
      </w:pPr>
      <w:r>
        <w:rPr>
          <w:b/>
          <w:bCs/>
          <w:color w:val="000000" w:themeColor="text1"/>
          <w:sz w:val="32"/>
          <w:szCs w:val="32"/>
          <w:highlight w:val="none"/>
          <w14:textFill>
            <w14:solidFill>
              <w14:schemeClr w14:val="tx1"/>
            </w14:solidFill>
          </w14:textFill>
        </w:rPr>
        <w:t>响应报价表</w:t>
      </w:r>
    </w:p>
    <w:p w14:paraId="6DF3531F">
      <w:pPr>
        <w:keepNext w:val="0"/>
        <w:keepLines w:val="0"/>
        <w:pageBreakBefore w:val="0"/>
        <w:widowControl w:val="0"/>
        <w:kinsoku/>
        <w:wordWrap/>
        <w:overflowPunct/>
        <w:topLinePunct w:val="0"/>
        <w:autoSpaceDE/>
        <w:autoSpaceDN/>
        <w:bidi w:val="0"/>
        <w:adjustRightInd/>
        <w:snapToGrid w:val="0"/>
        <w:spacing w:before="50" w:after="50" w:line="360" w:lineRule="auto"/>
        <w:textAlignment w:val="auto"/>
        <w:rPr>
          <w:b/>
          <w:bCs/>
          <w:color w:val="000000" w:themeColor="text1"/>
          <w:szCs w:val="21"/>
          <w:highlight w:val="none"/>
          <w14:textFill>
            <w14:solidFill>
              <w14:schemeClr w14:val="tx1"/>
            </w14:solidFill>
          </w14:textFill>
        </w:rPr>
      </w:pPr>
      <w:r>
        <w:rPr>
          <w:rFonts w:hint="eastAsia" w:ascii="宋体" w:hAnsi="宋体" w:cs="宋体"/>
          <w:b/>
          <w:bCs/>
          <w:color w:val="000000" w:themeColor="text1"/>
          <w:szCs w:val="21"/>
          <w:highlight w:val="none"/>
          <w14:textFill>
            <w14:solidFill>
              <w14:schemeClr w14:val="tx1"/>
            </w14:solidFill>
          </w14:textFill>
        </w:rPr>
        <w:t>项</w:t>
      </w:r>
      <w:r>
        <w:rPr>
          <w:b/>
          <w:bCs/>
          <w:color w:val="000000" w:themeColor="text1"/>
          <w:szCs w:val="21"/>
          <w:highlight w:val="none"/>
          <w14:textFill>
            <w14:solidFill>
              <w14:schemeClr w14:val="tx1"/>
            </w14:solidFill>
          </w14:textFill>
        </w:rPr>
        <w:t>目名称：</w:t>
      </w:r>
      <w:r>
        <w:rPr>
          <w:b/>
          <w:bCs/>
          <w:color w:val="000000" w:themeColor="text1"/>
          <w:szCs w:val="21"/>
          <w:highlight w:val="none"/>
          <w:u w:val="single"/>
          <w14:textFill>
            <w14:solidFill>
              <w14:schemeClr w14:val="tx1"/>
            </w14:solidFill>
          </w14:textFill>
        </w:rPr>
        <w:t xml:space="preserve">                     </w:t>
      </w:r>
    </w:p>
    <w:p w14:paraId="638C7A04">
      <w:pPr>
        <w:keepNext w:val="0"/>
        <w:keepLines w:val="0"/>
        <w:pageBreakBefore w:val="0"/>
        <w:widowControl w:val="0"/>
        <w:kinsoku/>
        <w:wordWrap/>
        <w:overflowPunct/>
        <w:topLinePunct w:val="0"/>
        <w:autoSpaceDE/>
        <w:autoSpaceDN/>
        <w:bidi w:val="0"/>
        <w:adjustRightInd/>
        <w:snapToGrid w:val="0"/>
        <w:spacing w:before="50" w:after="50" w:line="360" w:lineRule="auto"/>
        <w:textAlignment w:val="auto"/>
        <w:rPr>
          <w:b/>
          <w:bCs/>
          <w:color w:val="000000" w:themeColor="text1"/>
          <w:szCs w:val="21"/>
          <w:highlight w:val="none"/>
          <w14:textFill>
            <w14:solidFill>
              <w14:schemeClr w14:val="tx1"/>
            </w14:solidFill>
          </w14:textFill>
        </w:rPr>
      </w:pPr>
      <w:r>
        <w:rPr>
          <w:b/>
          <w:bCs/>
          <w:color w:val="000000" w:themeColor="text1"/>
          <w:szCs w:val="21"/>
          <w:highlight w:val="none"/>
          <w14:textFill>
            <w14:solidFill>
              <w14:schemeClr w14:val="tx1"/>
            </w14:solidFill>
          </w14:textFill>
        </w:rPr>
        <w:t>项目编号：</w:t>
      </w:r>
      <w:r>
        <w:rPr>
          <w:b/>
          <w:bCs/>
          <w:color w:val="000000" w:themeColor="text1"/>
          <w:szCs w:val="21"/>
          <w:highlight w:val="none"/>
          <w:u w:val="single"/>
          <w14:textFill>
            <w14:solidFill>
              <w14:schemeClr w14:val="tx1"/>
            </w14:solidFill>
          </w14:textFill>
        </w:rPr>
        <w:t xml:space="preserve">                     </w:t>
      </w:r>
    </w:p>
    <w:p w14:paraId="4F324BF2">
      <w:pPr>
        <w:keepNext w:val="0"/>
        <w:keepLines w:val="0"/>
        <w:pageBreakBefore w:val="0"/>
        <w:widowControl w:val="0"/>
        <w:kinsoku/>
        <w:wordWrap/>
        <w:overflowPunct/>
        <w:topLinePunct w:val="0"/>
        <w:autoSpaceDE/>
        <w:autoSpaceDN/>
        <w:bidi w:val="0"/>
        <w:adjustRightInd/>
        <w:snapToGrid w:val="0"/>
        <w:spacing w:line="400" w:lineRule="exact"/>
        <w:textAlignment w:val="auto"/>
        <w:rPr>
          <w:color w:val="000000" w:themeColor="text1"/>
          <w:szCs w:val="21"/>
          <w:highlight w:val="none"/>
          <w14:textFill>
            <w14:solidFill>
              <w14:schemeClr w14:val="tx1"/>
            </w14:solidFill>
          </w14:textFill>
        </w:rPr>
      </w:pPr>
      <w:r>
        <w:rPr>
          <w:rFonts w:hint="eastAsia" w:cs="宋体"/>
          <w:b/>
          <w:bCs/>
          <w:color w:val="000000" w:themeColor="text1"/>
          <w:szCs w:val="21"/>
          <w14:textFill>
            <w14:solidFill>
              <w14:schemeClr w14:val="tx1"/>
            </w14:solidFill>
          </w14:textFill>
        </w:rPr>
        <w:t>所竞分标（如有则填写，无分标时填写“无”或者留空）：</w:t>
      </w:r>
      <w:r>
        <w:rPr>
          <w:rFonts w:hint="eastAsia" w:cs="宋体"/>
          <w:b/>
          <w:bCs/>
          <w:color w:val="000000" w:themeColor="text1"/>
          <w:szCs w:val="21"/>
          <w:u w:val="single"/>
          <w14:textFill>
            <w14:solidFill>
              <w14:schemeClr w14:val="tx1"/>
            </w14:solidFill>
          </w14:textFill>
        </w:rPr>
        <w:t xml:space="preserve">                  </w:t>
      </w:r>
    </w:p>
    <w:tbl>
      <w:tblPr>
        <w:tblStyle w:val="29"/>
        <w:tblW w:w="9705" w:type="dxa"/>
        <w:tblInd w:w="13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4"/>
        <w:gridCol w:w="3461"/>
        <w:gridCol w:w="1007"/>
        <w:gridCol w:w="3243"/>
        <w:gridCol w:w="1170"/>
      </w:tblGrid>
      <w:tr w14:paraId="0C0622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97" w:hRule="atLeast"/>
        </w:trPr>
        <w:tc>
          <w:tcPr>
            <w:tcW w:w="824"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88DA609">
            <w:pPr>
              <w:keepNext w:val="0"/>
              <w:keepLines w:val="0"/>
              <w:pageBreakBefore w:val="0"/>
              <w:widowControl w:val="0"/>
              <w:kinsoku/>
              <w:wordWrap/>
              <w:overflowPunct/>
              <w:topLinePunct w:val="0"/>
              <w:autoSpaceDE/>
              <w:autoSpaceDN/>
              <w:bidi w:val="0"/>
              <w:adjustRightInd/>
              <w:spacing w:line="400" w:lineRule="exact"/>
              <w:contextualSpacing/>
              <w:jc w:val="center"/>
              <w:textAlignment w:val="auto"/>
              <w:rPr>
                <w:rFonts w:ascii="宋体" w:hAnsi="宋体" w:cs="仿宋_GB2312"/>
                <w:b/>
                <w:bCs/>
                <w:color w:val="000000" w:themeColor="text1"/>
                <w:sz w:val="21"/>
                <w:szCs w:val="21"/>
                <w:highlight w:val="none"/>
                <w14:textFill>
                  <w14:solidFill>
                    <w14:schemeClr w14:val="tx1"/>
                  </w14:solidFill>
                </w14:textFill>
              </w:rPr>
            </w:pPr>
            <w:bookmarkStart w:id="232" w:name="OLE_LINK46"/>
            <w:r>
              <w:rPr>
                <w:rFonts w:ascii="宋体" w:hAnsi="宋体" w:cs="仿宋_GB2312"/>
                <w:b/>
                <w:bCs/>
                <w:color w:val="000000" w:themeColor="text1"/>
                <w:sz w:val="21"/>
                <w:szCs w:val="21"/>
                <w:highlight w:val="none"/>
                <w14:textFill>
                  <w14:solidFill>
                    <w14:schemeClr w14:val="tx1"/>
                  </w14:solidFill>
                </w14:textFill>
              </w:rPr>
              <w:t>序号</w:t>
            </w:r>
          </w:p>
        </w:tc>
        <w:tc>
          <w:tcPr>
            <w:tcW w:w="3461"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7E2FC1E">
            <w:pPr>
              <w:keepNext w:val="0"/>
              <w:keepLines w:val="0"/>
              <w:pageBreakBefore w:val="0"/>
              <w:widowControl w:val="0"/>
              <w:kinsoku/>
              <w:wordWrap/>
              <w:overflowPunct/>
              <w:topLinePunct w:val="0"/>
              <w:autoSpaceDE/>
              <w:autoSpaceDN/>
              <w:bidi w:val="0"/>
              <w:adjustRightInd/>
              <w:spacing w:line="400" w:lineRule="exact"/>
              <w:contextualSpacing/>
              <w:jc w:val="center"/>
              <w:textAlignment w:val="auto"/>
              <w:rPr>
                <w:rFonts w:ascii="宋体" w:hAnsi="宋体" w:cs="仿宋_GB2312"/>
                <w:b/>
                <w:bCs/>
                <w:color w:val="000000" w:themeColor="text1"/>
                <w:sz w:val="21"/>
                <w:szCs w:val="21"/>
                <w:highlight w:val="none"/>
                <w14:textFill>
                  <w14:solidFill>
                    <w14:schemeClr w14:val="tx1"/>
                  </w14:solidFill>
                </w14:textFill>
              </w:rPr>
            </w:pPr>
            <w:r>
              <w:rPr>
                <w:rFonts w:hint="eastAsia" w:ascii="宋体" w:hAnsi="宋体" w:cs="仿宋_GB2312"/>
                <w:b/>
                <w:bCs/>
                <w:color w:val="000000" w:themeColor="text1"/>
                <w:sz w:val="21"/>
                <w:szCs w:val="21"/>
                <w:highlight w:val="none"/>
                <w14:textFill>
                  <w14:solidFill>
                    <w14:schemeClr w14:val="tx1"/>
                  </w14:solidFill>
                </w14:textFill>
              </w:rPr>
              <w:t>标的名称</w:t>
            </w:r>
          </w:p>
        </w:tc>
        <w:tc>
          <w:tcPr>
            <w:tcW w:w="1007"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BF4F659">
            <w:pPr>
              <w:keepNext w:val="0"/>
              <w:keepLines w:val="0"/>
              <w:pageBreakBefore w:val="0"/>
              <w:widowControl w:val="0"/>
              <w:kinsoku/>
              <w:wordWrap/>
              <w:overflowPunct/>
              <w:topLinePunct w:val="0"/>
              <w:autoSpaceDE/>
              <w:autoSpaceDN/>
              <w:bidi w:val="0"/>
              <w:adjustRightInd/>
              <w:spacing w:line="400" w:lineRule="exact"/>
              <w:contextualSpacing/>
              <w:jc w:val="center"/>
              <w:textAlignment w:val="auto"/>
              <w:rPr>
                <w:rFonts w:ascii="宋体" w:hAnsi="宋体" w:cs="仿宋_GB2312"/>
                <w:b/>
                <w:bCs/>
                <w:color w:val="000000" w:themeColor="text1"/>
                <w:sz w:val="21"/>
                <w:szCs w:val="21"/>
                <w:highlight w:val="none"/>
                <w14:textFill>
                  <w14:solidFill>
                    <w14:schemeClr w14:val="tx1"/>
                  </w14:solidFill>
                </w14:textFill>
              </w:rPr>
            </w:pPr>
            <w:r>
              <w:rPr>
                <w:rFonts w:hint="eastAsia" w:ascii="宋体" w:hAnsi="宋体" w:cs="仿宋_GB2312"/>
                <w:b/>
                <w:bCs/>
                <w:color w:val="000000" w:themeColor="text1"/>
                <w:sz w:val="21"/>
                <w:szCs w:val="21"/>
                <w:highlight w:val="none"/>
                <w14:textFill>
                  <w14:solidFill>
                    <w14:schemeClr w14:val="tx1"/>
                  </w14:solidFill>
                </w14:textFill>
              </w:rPr>
              <w:t>数量</w:t>
            </w:r>
          </w:p>
        </w:tc>
        <w:tc>
          <w:tcPr>
            <w:tcW w:w="3243"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48C20A8">
            <w:pPr>
              <w:keepNext w:val="0"/>
              <w:keepLines w:val="0"/>
              <w:pageBreakBefore w:val="0"/>
              <w:widowControl w:val="0"/>
              <w:kinsoku/>
              <w:wordWrap/>
              <w:overflowPunct/>
              <w:topLinePunct w:val="0"/>
              <w:autoSpaceDE/>
              <w:autoSpaceDN/>
              <w:bidi w:val="0"/>
              <w:adjustRightInd/>
              <w:spacing w:line="400" w:lineRule="exact"/>
              <w:contextualSpacing/>
              <w:jc w:val="center"/>
              <w:textAlignment w:val="auto"/>
              <w:rPr>
                <w:rFonts w:hint="eastAsia" w:ascii="宋体" w:hAnsi="宋体" w:cs="仿宋_GB2312"/>
                <w:b/>
                <w:bCs/>
                <w:color w:val="000000" w:themeColor="text1"/>
                <w:sz w:val="21"/>
                <w:szCs w:val="21"/>
                <w:highlight w:val="none"/>
                <w14:textFill>
                  <w14:solidFill>
                    <w14:schemeClr w14:val="tx1"/>
                  </w14:solidFill>
                </w14:textFill>
              </w:rPr>
            </w:pPr>
            <w:r>
              <w:rPr>
                <w:rFonts w:hint="eastAsia" w:ascii="宋体" w:hAnsi="宋体" w:cs="仿宋_GB2312"/>
                <w:b/>
                <w:bCs/>
                <w:color w:val="000000" w:themeColor="text1"/>
                <w:sz w:val="21"/>
                <w:szCs w:val="21"/>
                <w:highlight w:val="none"/>
                <w:lang w:eastAsia="zh-CN"/>
                <w14:textFill>
                  <w14:solidFill>
                    <w14:schemeClr w14:val="tx1"/>
                  </w14:solidFill>
                </w14:textFill>
              </w:rPr>
              <w:t>响应</w:t>
            </w:r>
            <w:r>
              <w:rPr>
                <w:rFonts w:hint="eastAsia" w:ascii="宋体" w:hAnsi="宋体" w:cs="仿宋_GB2312"/>
                <w:b/>
                <w:bCs/>
                <w:color w:val="000000" w:themeColor="text1"/>
                <w:sz w:val="21"/>
                <w:szCs w:val="21"/>
                <w:highlight w:val="none"/>
                <w14:textFill>
                  <w14:solidFill>
                    <w14:schemeClr w14:val="tx1"/>
                  </w14:solidFill>
                </w14:textFill>
              </w:rPr>
              <w:t>报价(元)</w:t>
            </w:r>
          </w:p>
        </w:tc>
        <w:tc>
          <w:tcPr>
            <w:tcW w:w="117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A4A8181">
            <w:pPr>
              <w:keepNext w:val="0"/>
              <w:keepLines w:val="0"/>
              <w:pageBreakBefore w:val="0"/>
              <w:widowControl w:val="0"/>
              <w:kinsoku/>
              <w:wordWrap/>
              <w:overflowPunct/>
              <w:topLinePunct w:val="0"/>
              <w:autoSpaceDE/>
              <w:autoSpaceDN/>
              <w:bidi w:val="0"/>
              <w:adjustRightInd/>
              <w:spacing w:line="400" w:lineRule="exact"/>
              <w:contextualSpacing/>
              <w:jc w:val="center"/>
              <w:textAlignment w:val="auto"/>
              <w:rPr>
                <w:rFonts w:ascii="宋体" w:hAnsi="宋体" w:cs="仿宋_GB2312"/>
                <w:b/>
                <w:bCs/>
                <w:color w:val="000000" w:themeColor="text1"/>
                <w:sz w:val="21"/>
                <w:szCs w:val="21"/>
                <w:highlight w:val="none"/>
                <w14:textFill>
                  <w14:solidFill>
                    <w14:schemeClr w14:val="tx1"/>
                  </w14:solidFill>
                </w14:textFill>
              </w:rPr>
            </w:pPr>
            <w:r>
              <w:rPr>
                <w:rFonts w:ascii="宋体" w:hAnsi="宋体" w:cs="仿宋_GB2312"/>
                <w:b/>
                <w:bCs/>
                <w:color w:val="000000" w:themeColor="text1"/>
                <w:sz w:val="21"/>
                <w:szCs w:val="21"/>
                <w:highlight w:val="none"/>
                <w14:textFill>
                  <w14:solidFill>
                    <w14:schemeClr w14:val="tx1"/>
                  </w14:solidFill>
                </w14:textFill>
              </w:rPr>
              <w:t>备注</w:t>
            </w:r>
          </w:p>
        </w:tc>
      </w:tr>
      <w:tr w14:paraId="4E2BD2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7" w:hRule="atLeast"/>
        </w:trPr>
        <w:tc>
          <w:tcPr>
            <w:tcW w:w="824" w:type="dxa"/>
            <w:tcBorders>
              <w:top w:val="single" w:color="auto" w:sz="4" w:space="0"/>
              <w:left w:val="single" w:color="auto" w:sz="4" w:space="0"/>
              <w:bottom w:val="single" w:color="auto" w:sz="4" w:space="0"/>
              <w:right w:val="single" w:color="auto" w:sz="4" w:space="0"/>
            </w:tcBorders>
            <w:noWrap w:val="0"/>
            <w:vAlign w:val="center"/>
          </w:tcPr>
          <w:p w14:paraId="0E1BB722">
            <w:pPr>
              <w:keepNext w:val="0"/>
              <w:keepLines w:val="0"/>
              <w:pageBreakBefore w:val="0"/>
              <w:widowControl w:val="0"/>
              <w:kinsoku/>
              <w:wordWrap/>
              <w:overflowPunct/>
              <w:topLinePunct w:val="0"/>
              <w:autoSpaceDE/>
              <w:autoSpaceDN/>
              <w:bidi w:val="0"/>
              <w:adjustRightInd/>
              <w:spacing w:line="400" w:lineRule="exact"/>
              <w:contextualSpacing/>
              <w:jc w:val="center"/>
              <w:textAlignment w:val="auto"/>
              <w:rPr>
                <w:rFonts w:ascii="宋体" w:hAnsi="宋体" w:cs="仿宋_GB2312"/>
                <w:color w:val="000000" w:themeColor="text1"/>
                <w:sz w:val="21"/>
                <w:szCs w:val="21"/>
                <w:highlight w:val="none"/>
                <w14:textFill>
                  <w14:solidFill>
                    <w14:schemeClr w14:val="tx1"/>
                  </w14:solidFill>
                </w14:textFill>
              </w:rPr>
            </w:pPr>
            <w:r>
              <w:rPr>
                <w:rFonts w:ascii="宋体" w:hAnsi="宋体" w:cs="仿宋_GB2312"/>
                <w:color w:val="000000" w:themeColor="text1"/>
                <w:sz w:val="21"/>
                <w:szCs w:val="21"/>
                <w:highlight w:val="none"/>
                <w14:textFill>
                  <w14:solidFill>
                    <w14:schemeClr w14:val="tx1"/>
                  </w14:solidFill>
                </w14:textFill>
              </w:rPr>
              <w:t>1</w:t>
            </w:r>
          </w:p>
        </w:tc>
        <w:tc>
          <w:tcPr>
            <w:tcW w:w="3461" w:type="dxa"/>
            <w:tcBorders>
              <w:top w:val="single" w:color="auto" w:sz="4" w:space="0"/>
              <w:left w:val="single" w:color="auto" w:sz="4" w:space="0"/>
              <w:bottom w:val="single" w:color="auto" w:sz="4" w:space="0"/>
              <w:right w:val="single" w:color="auto" w:sz="4" w:space="0"/>
            </w:tcBorders>
            <w:noWrap w:val="0"/>
            <w:vAlign w:val="center"/>
          </w:tcPr>
          <w:p w14:paraId="459BDE56">
            <w:pPr>
              <w:keepNext w:val="0"/>
              <w:keepLines w:val="0"/>
              <w:pageBreakBefore w:val="0"/>
              <w:widowControl w:val="0"/>
              <w:kinsoku/>
              <w:wordWrap/>
              <w:overflowPunct/>
              <w:topLinePunct w:val="0"/>
              <w:autoSpaceDE/>
              <w:autoSpaceDN/>
              <w:bidi w:val="0"/>
              <w:adjustRightInd/>
              <w:spacing w:line="400" w:lineRule="exact"/>
              <w:contextualSpacing/>
              <w:jc w:val="center"/>
              <w:textAlignment w:val="auto"/>
              <w:rPr>
                <w:rFonts w:hint="eastAsia" w:ascii="宋体" w:hAnsi="宋体" w:eastAsia="宋体" w:cs="仿宋_GB2312"/>
                <w:color w:val="000000" w:themeColor="text1"/>
                <w:sz w:val="21"/>
                <w:szCs w:val="21"/>
                <w:highlight w:val="none"/>
                <w:lang w:val="en-US" w:eastAsia="zh-CN"/>
                <w14:textFill>
                  <w14:solidFill>
                    <w14:schemeClr w14:val="tx1"/>
                  </w14:solidFill>
                </w14:textFill>
              </w:rPr>
            </w:pPr>
            <w:r>
              <w:rPr>
                <w:rFonts w:hint="eastAsia" w:ascii="宋体" w:hAnsi="宋体" w:cs="仿宋_GB2312"/>
                <w:color w:val="000000" w:themeColor="text1"/>
                <w:sz w:val="21"/>
                <w:szCs w:val="21"/>
                <w:highlight w:val="none"/>
                <w:lang w:val="en-US" w:eastAsia="zh-CN"/>
                <w14:textFill>
                  <w14:solidFill>
                    <w14:schemeClr w14:val="tx1"/>
                  </w14:solidFill>
                </w14:textFill>
              </w:rPr>
              <w:t>桂林市中西医结合医院消化内镜中心装修改造工程</w:t>
            </w:r>
          </w:p>
        </w:tc>
        <w:tc>
          <w:tcPr>
            <w:tcW w:w="1007" w:type="dxa"/>
            <w:tcBorders>
              <w:top w:val="single" w:color="auto" w:sz="4" w:space="0"/>
              <w:left w:val="single" w:color="auto" w:sz="4" w:space="0"/>
              <w:bottom w:val="single" w:color="auto" w:sz="4" w:space="0"/>
              <w:right w:val="single" w:color="auto" w:sz="4" w:space="0"/>
            </w:tcBorders>
            <w:noWrap w:val="0"/>
            <w:vAlign w:val="center"/>
          </w:tcPr>
          <w:p w14:paraId="6A35028D">
            <w:pPr>
              <w:keepNext w:val="0"/>
              <w:keepLines w:val="0"/>
              <w:pageBreakBefore w:val="0"/>
              <w:widowControl w:val="0"/>
              <w:kinsoku/>
              <w:wordWrap/>
              <w:overflowPunct/>
              <w:topLinePunct w:val="0"/>
              <w:autoSpaceDE/>
              <w:autoSpaceDN/>
              <w:bidi w:val="0"/>
              <w:adjustRightInd/>
              <w:spacing w:line="400" w:lineRule="exact"/>
              <w:contextualSpacing/>
              <w:jc w:val="center"/>
              <w:textAlignment w:val="auto"/>
              <w:rPr>
                <w:rFonts w:hint="eastAsia" w:ascii="宋体" w:hAnsi="宋体" w:eastAsia="宋体" w:cs="仿宋_GB2312"/>
                <w:color w:val="000000" w:themeColor="text1"/>
                <w:sz w:val="21"/>
                <w:szCs w:val="21"/>
                <w:highlight w:val="none"/>
                <w:lang w:val="en-US" w:eastAsia="zh-CN"/>
                <w14:textFill>
                  <w14:solidFill>
                    <w14:schemeClr w14:val="tx1"/>
                  </w14:solidFill>
                </w14:textFill>
              </w:rPr>
            </w:pPr>
            <w:r>
              <w:rPr>
                <w:rFonts w:hint="eastAsia" w:ascii="宋体" w:hAnsi="宋体" w:cs="仿宋_GB2312"/>
                <w:color w:val="000000" w:themeColor="text1"/>
                <w:sz w:val="21"/>
                <w:szCs w:val="21"/>
                <w:highlight w:val="none"/>
                <w:lang w:val="en-US" w:eastAsia="zh-CN"/>
                <w14:textFill>
                  <w14:solidFill>
                    <w14:schemeClr w14:val="tx1"/>
                  </w14:solidFill>
                </w14:textFill>
              </w:rPr>
              <w:t>1项</w:t>
            </w:r>
          </w:p>
        </w:tc>
        <w:tc>
          <w:tcPr>
            <w:tcW w:w="3243" w:type="dxa"/>
            <w:tcBorders>
              <w:top w:val="single" w:color="auto" w:sz="4" w:space="0"/>
              <w:left w:val="single" w:color="auto" w:sz="4" w:space="0"/>
              <w:bottom w:val="single" w:color="auto" w:sz="4" w:space="0"/>
              <w:right w:val="single" w:color="auto" w:sz="4" w:space="0"/>
            </w:tcBorders>
            <w:noWrap w:val="0"/>
            <w:vAlign w:val="center"/>
          </w:tcPr>
          <w:p w14:paraId="70D268C0">
            <w:pPr>
              <w:keepNext w:val="0"/>
              <w:keepLines w:val="0"/>
              <w:pageBreakBefore w:val="0"/>
              <w:widowControl w:val="0"/>
              <w:kinsoku/>
              <w:wordWrap/>
              <w:overflowPunct/>
              <w:topLinePunct w:val="0"/>
              <w:autoSpaceDE/>
              <w:autoSpaceDN/>
              <w:bidi w:val="0"/>
              <w:adjustRightInd/>
              <w:spacing w:line="400" w:lineRule="exact"/>
              <w:contextualSpacing/>
              <w:jc w:val="center"/>
              <w:textAlignment w:val="auto"/>
              <w:rPr>
                <w:rFonts w:ascii="宋体" w:hAnsi="宋体" w:cs="仿宋_GB2312"/>
                <w:color w:val="000000" w:themeColor="text1"/>
                <w:sz w:val="21"/>
                <w:szCs w:val="21"/>
                <w:highlight w:val="none"/>
                <w14:textFill>
                  <w14:solidFill>
                    <w14:schemeClr w14:val="tx1"/>
                  </w14:solidFill>
                </w14:textFill>
              </w:rPr>
            </w:pPr>
          </w:p>
        </w:tc>
        <w:tc>
          <w:tcPr>
            <w:tcW w:w="1170" w:type="dxa"/>
            <w:tcBorders>
              <w:top w:val="single" w:color="auto" w:sz="4" w:space="0"/>
              <w:left w:val="single" w:color="auto" w:sz="4" w:space="0"/>
              <w:bottom w:val="single" w:color="auto" w:sz="4" w:space="0"/>
              <w:right w:val="single" w:color="auto" w:sz="4" w:space="0"/>
            </w:tcBorders>
            <w:noWrap w:val="0"/>
            <w:vAlign w:val="center"/>
          </w:tcPr>
          <w:p w14:paraId="032546A5">
            <w:pPr>
              <w:keepNext w:val="0"/>
              <w:keepLines w:val="0"/>
              <w:pageBreakBefore w:val="0"/>
              <w:widowControl w:val="0"/>
              <w:kinsoku/>
              <w:wordWrap/>
              <w:overflowPunct/>
              <w:topLinePunct w:val="0"/>
              <w:autoSpaceDE/>
              <w:autoSpaceDN/>
              <w:bidi w:val="0"/>
              <w:adjustRightInd/>
              <w:spacing w:line="400" w:lineRule="exact"/>
              <w:contextualSpacing/>
              <w:textAlignment w:val="auto"/>
              <w:rPr>
                <w:rFonts w:hint="eastAsia" w:ascii="宋体" w:hAnsi="宋体" w:eastAsia="宋体" w:cs="仿宋_GB2312"/>
                <w:color w:val="000000" w:themeColor="text1"/>
                <w:sz w:val="21"/>
                <w:szCs w:val="21"/>
                <w:highlight w:val="none"/>
                <w:lang w:eastAsia="zh-CN"/>
                <w14:textFill>
                  <w14:solidFill>
                    <w14:schemeClr w14:val="tx1"/>
                  </w14:solidFill>
                </w14:textFill>
              </w:rPr>
            </w:pPr>
            <w:r>
              <w:rPr>
                <w:rFonts w:hint="eastAsia" w:ascii="宋体" w:hAnsi="宋体" w:cs="仿宋_GB2312"/>
                <w:color w:val="000000" w:themeColor="text1"/>
                <w:sz w:val="21"/>
                <w:szCs w:val="21"/>
                <w:highlight w:val="none"/>
                <w:lang w:eastAsia="zh-CN"/>
                <w14:textFill>
                  <w14:solidFill>
                    <w14:schemeClr w14:val="tx1"/>
                  </w14:solidFill>
                </w14:textFill>
              </w:rPr>
              <w:t>具体详见“已标价工程量清单”。</w:t>
            </w:r>
          </w:p>
        </w:tc>
      </w:tr>
      <w:tr w14:paraId="1A44F9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5" w:hRule="atLeast"/>
        </w:trPr>
        <w:tc>
          <w:tcPr>
            <w:tcW w:w="9705" w:type="dxa"/>
            <w:gridSpan w:val="5"/>
            <w:tcBorders>
              <w:top w:val="single" w:color="auto" w:sz="4" w:space="0"/>
              <w:left w:val="single" w:color="auto" w:sz="4" w:space="0"/>
              <w:bottom w:val="single" w:color="auto" w:sz="4" w:space="0"/>
              <w:right w:val="single" w:color="auto" w:sz="4" w:space="0"/>
            </w:tcBorders>
            <w:noWrap w:val="0"/>
            <w:vAlign w:val="center"/>
          </w:tcPr>
          <w:p w14:paraId="383F015D">
            <w:pPr>
              <w:keepNext w:val="0"/>
              <w:keepLines w:val="0"/>
              <w:pageBreakBefore w:val="0"/>
              <w:widowControl w:val="0"/>
              <w:kinsoku/>
              <w:wordWrap/>
              <w:overflowPunct/>
              <w:topLinePunct w:val="0"/>
              <w:autoSpaceDE/>
              <w:autoSpaceDN/>
              <w:bidi w:val="0"/>
              <w:adjustRightInd/>
              <w:spacing w:line="400" w:lineRule="exact"/>
              <w:contextualSpacing/>
              <w:textAlignment w:val="auto"/>
              <w:rPr>
                <w:rFonts w:ascii="宋体" w:hAnsi="宋体" w:cs="仿宋_GB2312"/>
                <w:color w:val="000000" w:themeColor="text1"/>
                <w:sz w:val="21"/>
                <w:szCs w:val="21"/>
                <w:highlight w:val="none"/>
                <w14:textFill>
                  <w14:solidFill>
                    <w14:schemeClr w14:val="tx1"/>
                  </w14:solidFill>
                </w14:textFill>
              </w:rPr>
            </w:pPr>
            <w:r>
              <w:rPr>
                <w:rFonts w:hint="eastAsia" w:ascii="宋体" w:hAnsi="宋体" w:cs="仿宋_GB2312"/>
                <w:color w:val="000000" w:themeColor="text1"/>
                <w:sz w:val="21"/>
                <w:szCs w:val="21"/>
                <w:highlight w:val="none"/>
                <w14:textFill>
                  <w14:solidFill>
                    <w14:schemeClr w14:val="tx1"/>
                  </w14:solidFill>
                </w14:textFill>
              </w:rPr>
              <w:t>竞标总报价</w:t>
            </w:r>
            <w:r>
              <w:rPr>
                <w:rFonts w:hint="eastAsia" w:ascii="宋体" w:hAnsi="宋体" w:cs="仿宋_GB2312"/>
                <w:color w:val="000000" w:themeColor="text1"/>
                <w:sz w:val="21"/>
                <w:szCs w:val="21"/>
                <w:highlight w:val="none"/>
                <w:lang w:eastAsia="zh-CN"/>
                <w14:textFill>
                  <w14:solidFill>
                    <w14:schemeClr w14:val="tx1"/>
                  </w14:solidFill>
                </w14:textFill>
              </w:rPr>
              <w:t>：（</w:t>
            </w:r>
            <w:r>
              <w:rPr>
                <w:rFonts w:hint="eastAsia" w:ascii="宋体" w:hAnsi="宋体" w:cs="仿宋_GB2312"/>
                <w:color w:val="000000" w:themeColor="text1"/>
                <w:sz w:val="21"/>
                <w:szCs w:val="21"/>
                <w:highlight w:val="none"/>
                <w14:textFill>
                  <w14:solidFill>
                    <w14:schemeClr w14:val="tx1"/>
                  </w14:solidFill>
                </w14:textFill>
              </w:rPr>
              <w:t>大写</w:t>
            </w:r>
            <w:r>
              <w:rPr>
                <w:rFonts w:hint="eastAsia" w:ascii="宋体" w:hAnsi="宋体" w:cs="仿宋_GB2312"/>
                <w:color w:val="000000" w:themeColor="text1"/>
                <w:sz w:val="21"/>
                <w:szCs w:val="21"/>
                <w:highlight w:val="none"/>
                <w:lang w:eastAsia="zh-CN"/>
                <w14:textFill>
                  <w14:solidFill>
                    <w14:schemeClr w14:val="tx1"/>
                  </w14:solidFill>
                </w14:textFill>
              </w:rPr>
              <w:t>）</w:t>
            </w:r>
            <w:r>
              <w:rPr>
                <w:rFonts w:hint="eastAsia" w:ascii="宋体" w:hAnsi="宋体" w:cs="仿宋_GB2312"/>
                <w:color w:val="000000" w:themeColor="text1"/>
                <w:sz w:val="21"/>
                <w:szCs w:val="21"/>
                <w:highlight w:val="none"/>
                <w14:textFill>
                  <w14:solidFill>
                    <w14:schemeClr w14:val="tx1"/>
                  </w14:solidFill>
                </w14:textFill>
              </w:rPr>
              <w:t>人民币</w:t>
            </w:r>
            <w:r>
              <w:rPr>
                <w:rFonts w:hint="eastAsia" w:ascii="宋体" w:hAnsi="宋体" w:cs="仿宋_GB2312"/>
                <w:color w:val="000000" w:themeColor="text1"/>
                <w:sz w:val="21"/>
                <w:szCs w:val="21"/>
                <w:highlight w:val="none"/>
                <w:u w:val="single"/>
                <w14:textFill>
                  <w14:solidFill>
                    <w14:schemeClr w14:val="tx1"/>
                  </w14:solidFill>
                </w14:textFill>
              </w:rPr>
              <w:t xml:space="preserve">   </w:t>
            </w:r>
            <w:r>
              <w:rPr>
                <w:rFonts w:ascii="宋体" w:hAnsi="宋体" w:cs="仿宋_GB2312"/>
                <w:color w:val="000000" w:themeColor="text1"/>
                <w:sz w:val="21"/>
                <w:szCs w:val="21"/>
                <w:highlight w:val="none"/>
                <w:u w:val="single"/>
                <w14:textFill>
                  <w14:solidFill>
                    <w14:schemeClr w14:val="tx1"/>
                  </w14:solidFill>
                </w14:textFill>
              </w:rPr>
              <w:t xml:space="preserve">             </w:t>
            </w:r>
            <w:r>
              <w:rPr>
                <w:rFonts w:hint="eastAsia" w:ascii="宋体" w:hAnsi="宋体" w:cs="仿宋_GB2312"/>
                <w:color w:val="000000" w:themeColor="text1"/>
                <w:sz w:val="21"/>
                <w:szCs w:val="21"/>
                <w:highlight w:val="none"/>
                <w:u w:val="single"/>
                <w14:textFill>
                  <w14:solidFill>
                    <w14:schemeClr w14:val="tx1"/>
                  </w14:solidFill>
                </w14:textFill>
              </w:rPr>
              <w:t xml:space="preserve">        </w:t>
            </w:r>
            <w:r>
              <w:rPr>
                <w:rFonts w:ascii="宋体" w:hAnsi="宋体" w:cs="仿宋_GB2312"/>
                <w:color w:val="000000" w:themeColor="text1"/>
                <w:sz w:val="21"/>
                <w:szCs w:val="21"/>
                <w:highlight w:val="none"/>
                <w:u w:val="single"/>
                <w14:textFill>
                  <w14:solidFill>
                    <w14:schemeClr w14:val="tx1"/>
                  </w14:solidFill>
                </w14:textFill>
              </w:rPr>
              <w:t xml:space="preserve">  </w:t>
            </w:r>
            <w:r>
              <w:rPr>
                <w:rFonts w:ascii="宋体" w:hAnsi="宋体" w:cs="仿宋_GB2312"/>
                <w:color w:val="000000" w:themeColor="text1"/>
                <w:sz w:val="21"/>
                <w:szCs w:val="21"/>
                <w:highlight w:val="none"/>
                <w14:textFill>
                  <w14:solidFill>
                    <w14:schemeClr w14:val="tx1"/>
                  </w14:solidFill>
                </w14:textFill>
              </w:rPr>
              <w:t xml:space="preserve"> </w:t>
            </w:r>
            <w:r>
              <w:rPr>
                <w:rFonts w:hint="eastAsia" w:ascii="宋体" w:hAnsi="宋体" w:cs="仿宋_GB2312"/>
                <w:color w:val="000000" w:themeColor="text1"/>
                <w:sz w:val="21"/>
                <w:szCs w:val="21"/>
                <w:highlight w:val="none"/>
                <w:lang w:eastAsia="zh-CN"/>
                <w14:textFill>
                  <w14:solidFill>
                    <w14:schemeClr w14:val="tx1"/>
                  </w14:solidFill>
                </w14:textFill>
              </w:rPr>
              <w:t>（</w:t>
            </w:r>
            <w:r>
              <w:rPr>
                <w:rFonts w:hint="eastAsia" w:ascii="宋体" w:hAnsi="宋体" w:cs="仿宋_GB2312"/>
                <w:color w:val="000000" w:themeColor="text1"/>
                <w:sz w:val="21"/>
                <w:szCs w:val="21"/>
                <w:highlight w:val="none"/>
                <w:u w:val="none"/>
                <w:lang w:val="en-US" w:eastAsia="zh-CN"/>
                <w14:textFill>
                  <w14:solidFill>
                    <w14:schemeClr w14:val="tx1"/>
                  </w14:solidFill>
                </w14:textFill>
              </w:rPr>
              <w:t>小写</w:t>
            </w:r>
            <w:r>
              <w:rPr>
                <w:rFonts w:hint="eastAsia" w:ascii="宋体" w:hAnsi="宋体" w:cs="仿宋_GB2312"/>
                <w:color w:val="000000" w:themeColor="text1"/>
                <w:sz w:val="21"/>
                <w:szCs w:val="21"/>
                <w:highlight w:val="none"/>
                <w:lang w:eastAsia="zh-CN"/>
                <w14:textFill>
                  <w14:solidFill>
                    <w14:schemeClr w14:val="tx1"/>
                  </w14:solidFill>
                </w14:textFill>
              </w:rPr>
              <w:t>）</w:t>
            </w:r>
            <w:r>
              <w:rPr>
                <w:rFonts w:hint="eastAsia" w:ascii="宋体" w:hAnsi="宋体" w:cs="仿宋_GB2312"/>
                <w:color w:val="000000" w:themeColor="text1"/>
                <w:sz w:val="21"/>
                <w:szCs w:val="21"/>
                <w:highlight w:val="none"/>
                <w14:textFill>
                  <w14:solidFill>
                    <w14:schemeClr w14:val="tx1"/>
                  </w14:solidFill>
                </w14:textFill>
              </w:rPr>
              <w:t>（¥</w:t>
            </w:r>
            <w:r>
              <w:rPr>
                <w:rFonts w:hint="eastAsia" w:ascii="宋体" w:hAnsi="宋体" w:cs="仿宋_GB2312"/>
                <w:color w:val="000000" w:themeColor="text1"/>
                <w:sz w:val="21"/>
                <w:szCs w:val="21"/>
                <w:highlight w:val="none"/>
                <w:u w:val="single"/>
                <w14:textFill>
                  <w14:solidFill>
                    <w14:schemeClr w14:val="tx1"/>
                  </w14:solidFill>
                </w14:textFill>
              </w:rPr>
              <w:t xml:space="preserve">     </w:t>
            </w:r>
            <w:r>
              <w:rPr>
                <w:rFonts w:hint="eastAsia" w:ascii="宋体" w:hAnsi="宋体" w:cs="仿宋_GB2312"/>
                <w:color w:val="000000" w:themeColor="text1"/>
                <w:sz w:val="21"/>
                <w:szCs w:val="21"/>
                <w:highlight w:val="none"/>
                <w:u w:val="none"/>
                <w:lang w:eastAsia="zh-CN"/>
                <w14:textFill>
                  <w14:solidFill>
                    <w14:schemeClr w14:val="tx1"/>
                  </w14:solidFill>
                </w14:textFill>
              </w:rPr>
              <w:t>元</w:t>
            </w:r>
            <w:r>
              <w:rPr>
                <w:rFonts w:hint="eastAsia" w:ascii="宋体" w:hAnsi="宋体" w:cs="仿宋_GB2312"/>
                <w:color w:val="000000" w:themeColor="text1"/>
                <w:sz w:val="21"/>
                <w:szCs w:val="21"/>
                <w:highlight w:val="none"/>
                <w14:textFill>
                  <w14:solidFill>
                    <w14:schemeClr w14:val="tx1"/>
                  </w14:solidFill>
                </w14:textFill>
              </w:rPr>
              <w:t>）</w:t>
            </w:r>
          </w:p>
        </w:tc>
      </w:tr>
      <w:tr w14:paraId="32C5B7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9" w:hRule="atLeast"/>
        </w:trPr>
        <w:tc>
          <w:tcPr>
            <w:tcW w:w="9705" w:type="dxa"/>
            <w:gridSpan w:val="5"/>
            <w:tcBorders>
              <w:top w:val="single" w:color="auto" w:sz="4" w:space="0"/>
              <w:left w:val="single" w:color="auto" w:sz="4" w:space="0"/>
              <w:bottom w:val="single" w:color="auto" w:sz="4" w:space="0"/>
              <w:right w:val="single" w:color="auto" w:sz="4" w:space="0"/>
            </w:tcBorders>
            <w:noWrap w:val="0"/>
            <w:vAlign w:val="center"/>
          </w:tcPr>
          <w:p w14:paraId="3C721A57">
            <w:pPr>
              <w:keepNext w:val="0"/>
              <w:keepLines w:val="0"/>
              <w:pageBreakBefore w:val="0"/>
              <w:widowControl w:val="0"/>
              <w:kinsoku/>
              <w:wordWrap/>
              <w:overflowPunct/>
              <w:topLinePunct w:val="0"/>
              <w:autoSpaceDE/>
              <w:autoSpaceDN/>
              <w:bidi w:val="0"/>
              <w:adjustRightInd/>
              <w:spacing w:line="400" w:lineRule="exact"/>
              <w:contextualSpacing/>
              <w:textAlignment w:val="auto"/>
              <w:rPr>
                <w:rFonts w:hint="default" w:ascii="宋体" w:hAnsi="宋体" w:cs="仿宋_GB2312"/>
                <w:color w:val="000000" w:themeColor="text1"/>
                <w:sz w:val="21"/>
                <w:szCs w:val="21"/>
                <w:highlight w:val="none"/>
                <w:lang w:val="en-US"/>
                <w14:textFill>
                  <w14:solidFill>
                    <w14:schemeClr w14:val="tx1"/>
                  </w14:solidFill>
                </w14:textFill>
              </w:rPr>
            </w:pPr>
            <w:r>
              <w:rPr>
                <w:rFonts w:hint="default" w:ascii="宋体" w:hAnsi="宋体" w:eastAsia="宋体" w:cs="宋体"/>
                <w:color w:val="000000" w:themeColor="text1"/>
                <w:sz w:val="21"/>
                <w:szCs w:val="21"/>
                <w:highlight w:val="none"/>
                <w:lang w:val="en-US" w:eastAsia="zh-CN"/>
                <w14:textFill>
                  <w14:solidFill>
                    <w14:schemeClr w14:val="tx1"/>
                  </w14:solidFill>
                </w14:textFill>
              </w:rPr>
              <w:t>合同履行期限（</w:t>
            </w:r>
            <w:r>
              <w:rPr>
                <w:rFonts w:hint="eastAsia" w:ascii="宋体" w:hAnsi="宋体" w:cs="宋体"/>
                <w:color w:val="000000" w:themeColor="text1"/>
                <w:sz w:val="21"/>
                <w:szCs w:val="21"/>
                <w:highlight w:val="none"/>
                <w:lang w:val="en-US" w:eastAsia="zh-CN"/>
                <w14:textFill>
                  <w14:solidFill>
                    <w14:schemeClr w14:val="tx1"/>
                  </w14:solidFill>
                </w14:textFill>
              </w:rPr>
              <w:t>要求工期</w:t>
            </w:r>
            <w:r>
              <w:rPr>
                <w:rFonts w:hint="default" w:ascii="宋体" w:hAnsi="宋体" w:eastAsia="宋体" w:cs="宋体"/>
                <w:color w:val="000000" w:themeColor="text1"/>
                <w:sz w:val="21"/>
                <w:szCs w:val="21"/>
                <w:highlight w:val="none"/>
                <w:lang w:val="en-US" w:eastAsia="zh-CN"/>
                <w14:textFill>
                  <w14:solidFill>
                    <w14:schemeClr w14:val="tx1"/>
                  </w14:solidFill>
                </w14:textFill>
              </w:rPr>
              <w:t>）：</w:t>
            </w:r>
            <w:r>
              <w:rPr>
                <w:rFonts w:hint="eastAsia" w:ascii="宋体" w:hAnsi="宋体" w:eastAsia="宋体" w:cs="宋体"/>
                <w:color w:val="000000" w:themeColor="text1"/>
                <w:sz w:val="21"/>
                <w:szCs w:val="21"/>
                <w:highlight w:val="none"/>
                <w:u w:val="single"/>
                <w:lang w:val="en-US" w:eastAsia="zh-CN"/>
                <w14:textFill>
                  <w14:solidFill>
                    <w14:schemeClr w14:val="tx1"/>
                  </w14:solidFill>
                </w14:textFill>
              </w:rPr>
              <w:t xml:space="preserve">                </w:t>
            </w:r>
          </w:p>
        </w:tc>
      </w:tr>
      <w:tr w14:paraId="27EB21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3" w:hRule="atLeast"/>
        </w:trPr>
        <w:tc>
          <w:tcPr>
            <w:tcW w:w="9705" w:type="dxa"/>
            <w:gridSpan w:val="5"/>
            <w:tcBorders>
              <w:top w:val="single" w:color="auto" w:sz="4" w:space="0"/>
              <w:left w:val="single" w:color="auto" w:sz="4" w:space="0"/>
              <w:bottom w:val="single" w:color="auto" w:sz="4" w:space="0"/>
              <w:right w:val="single" w:color="auto" w:sz="4" w:space="0"/>
            </w:tcBorders>
            <w:noWrap w:val="0"/>
            <w:vAlign w:val="center"/>
          </w:tcPr>
          <w:p w14:paraId="3EE5DCD5">
            <w:pPr>
              <w:keepNext w:val="0"/>
              <w:keepLines w:val="0"/>
              <w:pageBreakBefore w:val="0"/>
              <w:widowControl w:val="0"/>
              <w:kinsoku/>
              <w:wordWrap/>
              <w:overflowPunct/>
              <w:topLinePunct w:val="0"/>
              <w:autoSpaceDE/>
              <w:autoSpaceDN/>
              <w:bidi w:val="0"/>
              <w:adjustRightInd/>
              <w:spacing w:line="400" w:lineRule="exact"/>
              <w:contextualSpacing/>
              <w:textAlignment w:val="auto"/>
              <w:rPr>
                <w:rFonts w:hint="eastAsia" w:hAnsi="宋体"/>
                <w:color w:val="000000" w:themeColor="text1"/>
                <w:kern w:val="56"/>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质量</w:t>
            </w:r>
            <w:r>
              <w:rPr>
                <w:rFonts w:hint="eastAsia"/>
                <w:color w:val="000000" w:themeColor="text1"/>
                <w:sz w:val="21"/>
                <w:szCs w:val="21"/>
                <w:highlight w:val="none"/>
                <w:lang w:eastAsia="zh-CN"/>
                <w14:textFill>
                  <w14:solidFill>
                    <w14:schemeClr w14:val="tx1"/>
                  </w14:solidFill>
                </w14:textFill>
              </w:rPr>
              <w:t>要求</w:t>
            </w:r>
            <w:r>
              <w:rPr>
                <w:rFonts w:hint="eastAsia"/>
                <w:color w:val="000000" w:themeColor="text1"/>
                <w:sz w:val="21"/>
                <w:szCs w:val="21"/>
                <w:highlight w:val="none"/>
                <w14:textFill>
                  <w14:solidFill>
                    <w14:schemeClr w14:val="tx1"/>
                  </w14:solidFill>
                </w14:textFill>
              </w:rPr>
              <w:t>：</w:t>
            </w:r>
            <w:r>
              <w:rPr>
                <w:rFonts w:hint="eastAsia" w:hAnsi="宋体"/>
                <w:color w:val="000000" w:themeColor="text1"/>
                <w:kern w:val="56"/>
                <w:sz w:val="21"/>
                <w:szCs w:val="21"/>
                <w:highlight w:val="none"/>
                <w:u w:val="single"/>
                <w14:textFill>
                  <w14:solidFill>
                    <w14:schemeClr w14:val="tx1"/>
                  </w14:solidFill>
                </w14:textFill>
              </w:rPr>
              <w:t xml:space="preserve">                       </w:t>
            </w:r>
          </w:p>
        </w:tc>
      </w:tr>
      <w:bookmarkEnd w:id="232"/>
    </w:tbl>
    <w:p w14:paraId="40712903">
      <w:pPr>
        <w:keepNext w:val="0"/>
        <w:keepLines w:val="0"/>
        <w:pageBreakBefore w:val="0"/>
        <w:widowControl w:val="0"/>
        <w:kinsoku/>
        <w:wordWrap/>
        <w:overflowPunct/>
        <w:topLinePunct w:val="0"/>
        <w:autoSpaceDE/>
        <w:autoSpaceDN/>
        <w:bidi w:val="0"/>
        <w:adjustRightInd/>
        <w:snapToGrid w:val="0"/>
        <w:spacing w:line="400" w:lineRule="exact"/>
        <w:jc w:val="left"/>
        <w:textAlignment w:val="auto"/>
        <w:rPr>
          <w:color w:val="000000" w:themeColor="text1"/>
          <w:kern w:val="0"/>
          <w:szCs w:val="21"/>
          <w:highlight w:val="none"/>
          <w:lang w:val="zh-CN"/>
          <w14:textFill>
            <w14:solidFill>
              <w14:schemeClr w14:val="tx1"/>
            </w14:solidFill>
          </w14:textFill>
        </w:rPr>
      </w:pPr>
      <w:r>
        <w:rPr>
          <w:color w:val="000000" w:themeColor="text1"/>
          <w:kern w:val="0"/>
          <w:szCs w:val="21"/>
          <w:highlight w:val="none"/>
          <w:lang w:val="zh-CN"/>
          <w14:textFill>
            <w14:solidFill>
              <w14:schemeClr w14:val="tx1"/>
            </w14:solidFill>
          </w14:textFill>
        </w:rPr>
        <w:t>注：</w:t>
      </w:r>
    </w:p>
    <w:p w14:paraId="074E558A">
      <w:pPr>
        <w:keepNext w:val="0"/>
        <w:keepLines w:val="0"/>
        <w:pageBreakBefore w:val="0"/>
        <w:widowControl w:val="0"/>
        <w:kinsoku/>
        <w:wordWrap/>
        <w:overflowPunct/>
        <w:topLinePunct w:val="0"/>
        <w:autoSpaceDE/>
        <w:autoSpaceDN/>
        <w:bidi w:val="0"/>
        <w:adjustRightInd/>
        <w:snapToGrid w:val="0"/>
        <w:spacing w:line="400" w:lineRule="exact"/>
        <w:ind w:firstLine="420" w:firstLineChars="200"/>
        <w:jc w:val="left"/>
        <w:textAlignment w:val="auto"/>
        <w:rPr>
          <w:color w:val="000000" w:themeColor="text1"/>
          <w:kern w:val="0"/>
          <w:szCs w:val="21"/>
          <w:highlight w:val="none"/>
          <w:lang w:val="zh-CN"/>
          <w14:textFill>
            <w14:solidFill>
              <w14:schemeClr w14:val="tx1"/>
            </w14:solidFill>
          </w14:textFill>
        </w:rPr>
      </w:pPr>
      <w:r>
        <w:rPr>
          <w:color w:val="000000" w:themeColor="text1"/>
          <w:kern w:val="0"/>
          <w:szCs w:val="21"/>
          <w:highlight w:val="none"/>
          <w:lang w:val="zh-CN"/>
          <w14:textFill>
            <w14:solidFill>
              <w14:schemeClr w14:val="tx1"/>
            </w14:solidFill>
          </w14:textFill>
        </w:rPr>
        <w:t>1、供应商需按本表格式填写，不得自行更改，也不得留空（</w:t>
      </w:r>
      <w:r>
        <w:rPr>
          <w:color w:val="000000" w:themeColor="text1"/>
          <w:szCs w:val="21"/>
          <w:highlight w:val="none"/>
          <w14:textFill>
            <w14:solidFill>
              <w14:schemeClr w14:val="tx1"/>
            </w14:solidFill>
          </w14:textFill>
        </w:rPr>
        <w:t>备注除外</w:t>
      </w:r>
      <w:r>
        <w:rPr>
          <w:color w:val="000000" w:themeColor="text1"/>
          <w:kern w:val="0"/>
          <w:szCs w:val="21"/>
          <w:highlight w:val="none"/>
          <w:lang w:val="zh-CN"/>
          <w14:textFill>
            <w14:solidFill>
              <w14:schemeClr w14:val="tx1"/>
            </w14:solidFill>
          </w14:textFill>
        </w:rPr>
        <w:t>）</w:t>
      </w:r>
      <w:r>
        <w:rPr>
          <w:rFonts w:hint="eastAsia"/>
          <w:color w:val="000000" w:themeColor="text1"/>
          <w:kern w:val="0"/>
          <w:szCs w:val="21"/>
          <w:highlight w:val="none"/>
          <w:lang w:val="zh-CN"/>
          <w14:textFill>
            <w14:solidFill>
              <w14:schemeClr w14:val="tx1"/>
            </w14:solidFill>
          </w14:textFill>
        </w:rPr>
        <w:t>，</w:t>
      </w:r>
      <w:r>
        <w:rPr>
          <w:color w:val="000000" w:themeColor="text1"/>
          <w:kern w:val="0"/>
          <w:szCs w:val="21"/>
          <w:highlight w:val="none"/>
          <w:lang w:val="zh-CN"/>
          <w14:textFill>
            <w14:solidFill>
              <w14:schemeClr w14:val="tx1"/>
            </w14:solidFill>
          </w14:textFill>
        </w:rPr>
        <w:t>如有多分标，按分标分别提供响应报价表，</w:t>
      </w:r>
      <w:r>
        <w:rPr>
          <w:b/>
          <w:color w:val="000000" w:themeColor="text1"/>
          <w:kern w:val="0"/>
          <w:szCs w:val="21"/>
          <w:highlight w:val="none"/>
          <w:lang w:val="zh-CN"/>
          <w14:textFill>
            <w14:solidFill>
              <w14:schemeClr w14:val="tx1"/>
            </w14:solidFill>
          </w14:textFill>
        </w:rPr>
        <w:t>否则其响应按无效响应处理。</w:t>
      </w:r>
    </w:p>
    <w:p w14:paraId="2093C33E">
      <w:pPr>
        <w:keepNext w:val="0"/>
        <w:keepLines w:val="0"/>
        <w:pageBreakBefore w:val="0"/>
        <w:widowControl w:val="0"/>
        <w:kinsoku/>
        <w:wordWrap/>
        <w:overflowPunct/>
        <w:topLinePunct w:val="0"/>
        <w:autoSpaceDE/>
        <w:autoSpaceDN/>
        <w:bidi w:val="0"/>
        <w:adjustRightInd/>
        <w:snapToGrid w:val="0"/>
        <w:spacing w:line="400" w:lineRule="exact"/>
        <w:ind w:firstLine="420" w:firstLineChars="200"/>
        <w:jc w:val="left"/>
        <w:textAlignment w:val="auto"/>
        <w:rPr>
          <w:b/>
          <w:color w:val="000000" w:themeColor="text1"/>
          <w:kern w:val="0"/>
          <w:szCs w:val="21"/>
          <w:highlight w:val="none"/>
          <w:lang w:val="zh-CN"/>
          <w14:textFill>
            <w14:solidFill>
              <w14:schemeClr w14:val="tx1"/>
            </w14:solidFill>
          </w14:textFill>
        </w:rPr>
      </w:pPr>
      <w:r>
        <w:rPr>
          <w:color w:val="000000" w:themeColor="text1"/>
          <w:kern w:val="0"/>
          <w:szCs w:val="21"/>
          <w:highlight w:val="none"/>
          <w:lang w:val="zh-CN"/>
          <w14:textFill>
            <w14:solidFill>
              <w14:schemeClr w14:val="tx1"/>
            </w14:solidFill>
          </w14:textFill>
        </w:rPr>
        <w:t>2、如为联合体响应的，“供应商名称”处必须列明联合体各方名称，并标注联合体牵头人名称，且盖章处须加盖联合体各方公章，</w:t>
      </w:r>
      <w:r>
        <w:rPr>
          <w:b/>
          <w:color w:val="000000" w:themeColor="text1"/>
          <w:kern w:val="0"/>
          <w:szCs w:val="21"/>
          <w:highlight w:val="none"/>
          <w:lang w:val="zh-CN"/>
          <w14:textFill>
            <w14:solidFill>
              <w14:schemeClr w14:val="tx1"/>
            </w14:solidFill>
          </w14:textFill>
        </w:rPr>
        <w:t>否则其响应按无效响应处理。</w:t>
      </w:r>
    </w:p>
    <w:p w14:paraId="516C261C">
      <w:pPr>
        <w:keepNext w:val="0"/>
        <w:keepLines w:val="0"/>
        <w:pageBreakBefore w:val="0"/>
        <w:widowControl w:val="0"/>
        <w:kinsoku/>
        <w:wordWrap/>
        <w:overflowPunct/>
        <w:topLinePunct w:val="0"/>
        <w:autoSpaceDE/>
        <w:autoSpaceDN/>
        <w:bidi w:val="0"/>
        <w:adjustRightInd/>
        <w:snapToGrid w:val="0"/>
        <w:spacing w:line="400" w:lineRule="exact"/>
        <w:ind w:firstLine="420" w:firstLineChars="200"/>
        <w:jc w:val="left"/>
        <w:textAlignment w:val="auto"/>
        <w:rPr>
          <w:color w:val="000000" w:themeColor="text1"/>
          <w:kern w:val="0"/>
          <w:szCs w:val="21"/>
          <w:highlight w:val="none"/>
          <w:lang w:val="zh-CN"/>
          <w14:textFill>
            <w14:solidFill>
              <w14:schemeClr w14:val="tx1"/>
            </w14:solidFill>
          </w14:textFill>
        </w:rPr>
      </w:pPr>
      <w:r>
        <w:rPr>
          <w:rFonts w:hint="eastAsia"/>
          <w:color w:val="000000" w:themeColor="text1"/>
          <w:kern w:val="0"/>
          <w:szCs w:val="21"/>
          <w:highlight w:val="none"/>
          <w14:textFill>
            <w14:solidFill>
              <w14:schemeClr w14:val="tx1"/>
            </w14:solidFill>
          </w14:textFill>
        </w:rPr>
        <w:t>3</w:t>
      </w:r>
      <w:r>
        <w:rPr>
          <w:color w:val="000000" w:themeColor="text1"/>
          <w:kern w:val="0"/>
          <w:szCs w:val="21"/>
          <w:highlight w:val="none"/>
          <w:lang w:val="zh-CN"/>
          <w14:textFill>
            <w14:solidFill>
              <w14:schemeClr w14:val="tx1"/>
            </w14:solidFill>
          </w14:textFill>
        </w:rPr>
        <w:t>、特别提示：采购代理机构将对项目名称和项目编号，成交供应商名称</w:t>
      </w:r>
      <w:r>
        <w:rPr>
          <w:rFonts w:hint="eastAsia"/>
          <w:color w:val="000000" w:themeColor="text1"/>
          <w:kern w:val="0"/>
          <w:szCs w:val="21"/>
          <w:highlight w:val="none"/>
          <w:lang w:val="zh-CN"/>
          <w14:textFill>
            <w14:solidFill>
              <w14:schemeClr w14:val="tx1"/>
            </w14:solidFill>
          </w14:textFill>
        </w:rPr>
        <w:t>、</w:t>
      </w:r>
      <w:r>
        <w:rPr>
          <w:color w:val="000000" w:themeColor="text1"/>
          <w:kern w:val="0"/>
          <w:szCs w:val="21"/>
          <w:highlight w:val="none"/>
          <w:lang w:val="zh-CN"/>
          <w14:textFill>
            <w14:solidFill>
              <w14:schemeClr w14:val="tx1"/>
            </w14:solidFill>
          </w14:textFill>
        </w:rPr>
        <w:t>成交金额，</w:t>
      </w:r>
      <w:r>
        <w:rPr>
          <w:rFonts w:hint="eastAsia" w:cs="宋体"/>
          <w:color w:val="000000" w:themeColor="text1"/>
          <w:highlight w:val="none"/>
          <w14:textFill>
            <w14:solidFill>
              <w14:schemeClr w14:val="tx1"/>
            </w14:solidFill>
          </w14:textFill>
        </w:rPr>
        <w:t>工期</w:t>
      </w:r>
      <w:r>
        <w:rPr>
          <w:color w:val="000000" w:themeColor="text1"/>
          <w:kern w:val="0"/>
          <w:szCs w:val="21"/>
          <w:highlight w:val="none"/>
          <w:lang w:val="zh-CN"/>
          <w14:textFill>
            <w14:solidFill>
              <w14:schemeClr w14:val="tx1"/>
            </w14:solidFill>
          </w14:textFill>
        </w:rPr>
        <w:t>、</w:t>
      </w:r>
      <w:r>
        <w:rPr>
          <w:rFonts w:hint="eastAsia" w:cs="宋体"/>
          <w:color w:val="000000" w:themeColor="text1"/>
          <w:highlight w:val="none"/>
          <w:lang w:eastAsia="zh-CN"/>
          <w14:textFill>
            <w14:solidFill>
              <w14:schemeClr w14:val="tx1"/>
            </w14:solidFill>
          </w14:textFill>
        </w:rPr>
        <w:t>质量要求</w:t>
      </w:r>
      <w:r>
        <w:rPr>
          <w:color w:val="000000" w:themeColor="text1"/>
          <w:kern w:val="0"/>
          <w:szCs w:val="21"/>
          <w:highlight w:val="none"/>
          <w:lang w:val="zh-CN"/>
          <w14:textFill>
            <w14:solidFill>
              <w14:schemeClr w14:val="tx1"/>
            </w14:solidFill>
          </w14:textFill>
        </w:rPr>
        <w:t>等予以公示。</w:t>
      </w:r>
    </w:p>
    <w:p w14:paraId="1EACBC9C">
      <w:pPr>
        <w:keepNext w:val="0"/>
        <w:keepLines w:val="0"/>
        <w:pageBreakBefore w:val="0"/>
        <w:widowControl w:val="0"/>
        <w:kinsoku/>
        <w:wordWrap/>
        <w:overflowPunct/>
        <w:topLinePunct w:val="0"/>
        <w:autoSpaceDE/>
        <w:autoSpaceDN/>
        <w:bidi w:val="0"/>
        <w:adjustRightInd/>
        <w:snapToGrid w:val="0"/>
        <w:spacing w:line="400" w:lineRule="exact"/>
        <w:ind w:firstLine="420" w:firstLineChars="200"/>
        <w:jc w:val="left"/>
        <w:textAlignment w:val="auto"/>
        <w:rPr>
          <w:color w:val="000000" w:themeColor="text1"/>
          <w:kern w:val="0"/>
          <w:szCs w:val="21"/>
          <w:highlight w:val="none"/>
          <w:lang w:val="zh-CN"/>
          <w14:textFill>
            <w14:solidFill>
              <w14:schemeClr w14:val="tx1"/>
            </w14:solidFill>
          </w14:textFill>
        </w:rPr>
      </w:pPr>
      <w:r>
        <w:rPr>
          <w:rFonts w:hint="eastAsia"/>
          <w:color w:val="000000" w:themeColor="text1"/>
          <w:kern w:val="0"/>
          <w:szCs w:val="21"/>
          <w:highlight w:val="none"/>
          <w14:textFill>
            <w14:solidFill>
              <w14:schemeClr w14:val="tx1"/>
            </w14:solidFill>
          </w14:textFill>
        </w:rPr>
        <w:t>4</w:t>
      </w:r>
      <w:r>
        <w:rPr>
          <w:color w:val="000000" w:themeColor="text1"/>
          <w:kern w:val="0"/>
          <w:szCs w:val="21"/>
          <w:highlight w:val="none"/>
          <w:lang w:val="zh-CN"/>
          <w14:textFill>
            <w14:solidFill>
              <w14:schemeClr w14:val="tx1"/>
            </w14:solidFill>
          </w14:textFill>
        </w:rPr>
        <w:t>、符合采购文件中列明的可享受中小企业扶持政策的供应商，请填写中小企业声明函。</w:t>
      </w:r>
    </w:p>
    <w:p w14:paraId="3F3414E9">
      <w:pPr>
        <w:keepNext w:val="0"/>
        <w:keepLines w:val="0"/>
        <w:pageBreakBefore w:val="0"/>
        <w:widowControl w:val="0"/>
        <w:kinsoku/>
        <w:wordWrap/>
        <w:overflowPunct/>
        <w:topLinePunct w:val="0"/>
        <w:autoSpaceDE/>
        <w:autoSpaceDN/>
        <w:bidi w:val="0"/>
        <w:adjustRightInd/>
        <w:snapToGrid w:val="0"/>
        <w:spacing w:line="400" w:lineRule="exact"/>
        <w:ind w:firstLine="420" w:firstLineChars="200"/>
        <w:jc w:val="left"/>
        <w:textAlignment w:val="auto"/>
        <w:rPr>
          <w:color w:val="000000" w:themeColor="text1"/>
          <w:kern w:val="0"/>
          <w:szCs w:val="21"/>
          <w:highlight w:val="none"/>
          <w:lang w:val="zh-CN"/>
          <w14:textFill>
            <w14:solidFill>
              <w14:schemeClr w14:val="tx1"/>
            </w14:solidFill>
          </w14:textFill>
        </w:rPr>
      </w:pPr>
      <w:r>
        <w:rPr>
          <w:rFonts w:hint="eastAsia"/>
          <w:color w:val="000000" w:themeColor="text1"/>
          <w:kern w:val="0"/>
          <w:szCs w:val="21"/>
          <w:highlight w:val="none"/>
          <w14:textFill>
            <w14:solidFill>
              <w14:schemeClr w14:val="tx1"/>
            </w14:solidFill>
          </w14:textFill>
        </w:rPr>
        <w:t>5</w:t>
      </w:r>
      <w:r>
        <w:rPr>
          <w:color w:val="000000" w:themeColor="text1"/>
          <w:kern w:val="0"/>
          <w:szCs w:val="21"/>
          <w:highlight w:val="none"/>
          <w14:textFill>
            <w14:solidFill>
              <w14:schemeClr w14:val="tx1"/>
            </w14:solidFill>
          </w14:textFill>
        </w:rPr>
        <w:t>、</w:t>
      </w:r>
      <w:r>
        <w:rPr>
          <w:color w:val="000000" w:themeColor="text1"/>
          <w:kern w:val="0"/>
          <w:szCs w:val="21"/>
          <w:highlight w:val="none"/>
          <w:lang w:val="zh-CN"/>
          <w14:textFill>
            <w14:solidFill>
              <w14:schemeClr w14:val="tx1"/>
            </w14:solidFill>
          </w14:textFill>
        </w:rPr>
        <w:t>供应商提供的中小企业声明函内容不实的，属于提供虚假材料谋取中标、成交，依照《中华人民共和国政府采购法》等国家有关规定追究相应责任。</w:t>
      </w:r>
    </w:p>
    <w:p w14:paraId="587EB708">
      <w:pPr>
        <w:keepNext w:val="0"/>
        <w:keepLines w:val="0"/>
        <w:pageBreakBefore w:val="0"/>
        <w:widowControl w:val="0"/>
        <w:kinsoku/>
        <w:wordWrap/>
        <w:overflowPunct/>
        <w:topLinePunct w:val="0"/>
        <w:autoSpaceDE w:val="0"/>
        <w:autoSpaceDN w:val="0"/>
        <w:bidi w:val="0"/>
        <w:adjustRightInd/>
        <w:spacing w:line="360" w:lineRule="auto"/>
        <w:ind w:left="4305" w:leftChars="1950" w:hanging="210" w:hangingChars="100"/>
        <w:textAlignment w:val="auto"/>
        <w:rPr>
          <w:color w:val="000000" w:themeColor="text1"/>
          <w:kern w:val="0"/>
          <w:szCs w:val="21"/>
          <w:highlight w:val="none"/>
          <w14:textFill>
            <w14:solidFill>
              <w14:schemeClr w14:val="tx1"/>
            </w14:solidFill>
          </w14:textFill>
        </w:rPr>
      </w:pPr>
    </w:p>
    <w:p w14:paraId="149FF131">
      <w:pPr>
        <w:pStyle w:val="14"/>
        <w:keepNext w:val="0"/>
        <w:keepLines w:val="0"/>
        <w:pageBreakBefore w:val="0"/>
        <w:widowControl w:val="0"/>
        <w:kinsoku/>
        <w:wordWrap/>
        <w:overflowPunct/>
        <w:topLinePunct w:val="0"/>
        <w:bidi w:val="0"/>
        <w:adjustRightInd/>
        <w:spacing w:line="360" w:lineRule="auto"/>
        <w:textAlignment w:val="auto"/>
        <w:rPr>
          <w:color w:val="000000" w:themeColor="text1"/>
          <w:szCs w:val="21"/>
          <w:highlight w:val="none"/>
          <w14:textFill>
            <w14:solidFill>
              <w14:schemeClr w14:val="tx1"/>
            </w14:solidFill>
          </w14:textFill>
        </w:rPr>
      </w:pPr>
    </w:p>
    <w:p w14:paraId="6E41F567">
      <w:pPr>
        <w:keepNext w:val="0"/>
        <w:keepLines w:val="0"/>
        <w:pageBreakBefore w:val="0"/>
        <w:widowControl w:val="0"/>
        <w:kinsoku/>
        <w:wordWrap/>
        <w:overflowPunct/>
        <w:topLinePunct w:val="0"/>
        <w:bidi w:val="0"/>
        <w:adjustRightInd/>
        <w:spacing w:line="360" w:lineRule="auto"/>
        <w:ind w:firstLine="4410" w:firstLineChars="2100"/>
        <w:textAlignment w:val="auto"/>
        <w:rPr>
          <w:color w:val="000000" w:themeColor="text1"/>
          <w:szCs w:val="21"/>
          <w:highlight w:val="none"/>
          <w:u w:val="single"/>
          <w14:textFill>
            <w14:solidFill>
              <w14:schemeClr w14:val="tx1"/>
            </w14:solidFill>
          </w14:textFill>
        </w:rPr>
      </w:pPr>
      <w:r>
        <w:rPr>
          <w:color w:val="000000" w:themeColor="text1"/>
          <w:szCs w:val="21"/>
          <w:highlight w:val="none"/>
          <w14:textFill>
            <w14:solidFill>
              <w14:schemeClr w14:val="tx1"/>
            </w14:solidFill>
          </w14:textFill>
        </w:rPr>
        <w:t>供应商</w:t>
      </w:r>
      <w:r>
        <w:rPr>
          <w:color w:val="000000" w:themeColor="text1"/>
          <w:kern w:val="0"/>
          <w:szCs w:val="21"/>
          <w:highlight w:val="none"/>
          <w14:textFill>
            <w14:solidFill>
              <w14:schemeClr w14:val="tx1"/>
            </w14:solidFill>
          </w14:textFill>
        </w:rPr>
        <w:t>名称</w:t>
      </w:r>
      <w:r>
        <w:rPr>
          <w:color w:val="000000" w:themeColor="text1"/>
          <w:szCs w:val="21"/>
          <w:highlight w:val="none"/>
          <w14:textFill>
            <w14:solidFill>
              <w14:schemeClr w14:val="tx1"/>
            </w14:solidFill>
          </w14:textFill>
        </w:rPr>
        <w:t>（盖公章）：</w:t>
      </w:r>
      <w:r>
        <w:rPr>
          <w:color w:val="000000" w:themeColor="text1"/>
          <w:szCs w:val="21"/>
          <w:highlight w:val="none"/>
          <w:u w:val="single"/>
          <w14:textFill>
            <w14:solidFill>
              <w14:schemeClr w14:val="tx1"/>
            </w14:solidFill>
          </w14:textFill>
        </w:rPr>
        <w:t xml:space="preserve">                   </w:t>
      </w:r>
    </w:p>
    <w:p w14:paraId="7516BF57">
      <w:pPr>
        <w:keepNext w:val="0"/>
        <w:keepLines w:val="0"/>
        <w:pageBreakBefore w:val="0"/>
        <w:widowControl w:val="0"/>
        <w:kinsoku/>
        <w:wordWrap/>
        <w:overflowPunct/>
        <w:topLinePunct w:val="0"/>
        <w:bidi w:val="0"/>
        <w:adjustRightInd/>
        <w:snapToGrid w:val="0"/>
        <w:spacing w:line="360" w:lineRule="auto"/>
        <w:ind w:firstLine="420" w:firstLineChars="200"/>
        <w:textAlignment w:val="auto"/>
        <w:rPr>
          <w:rFonts w:hint="eastAsia" w:ascii="仿宋" w:hAnsi="仿宋" w:eastAsia="仿宋" w:cs="仿宋_GB2312"/>
          <w:b/>
          <w:color w:val="000000" w:themeColor="text1"/>
          <w:sz w:val="30"/>
          <w:szCs w:val="30"/>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 xml:space="preserve">                                      </w:t>
      </w:r>
      <w:r>
        <w:rPr>
          <w:color w:val="000000" w:themeColor="text1"/>
          <w:szCs w:val="21"/>
          <w:highlight w:val="none"/>
          <w14:textFill>
            <w14:solidFill>
              <w14:schemeClr w14:val="tx1"/>
            </w14:solidFill>
          </w14:textFill>
        </w:rPr>
        <w:t>日期：</w:t>
      </w:r>
      <w:r>
        <w:rPr>
          <w:color w:val="000000" w:themeColor="text1"/>
          <w:szCs w:val="21"/>
          <w:highlight w:val="none"/>
          <w:u w:val="single"/>
          <w14:textFill>
            <w14:solidFill>
              <w14:schemeClr w14:val="tx1"/>
            </w14:solidFill>
          </w14:textFill>
        </w:rPr>
        <w:t xml:space="preserve">         </w:t>
      </w:r>
      <w:r>
        <w:rPr>
          <w:color w:val="000000" w:themeColor="text1"/>
          <w:szCs w:val="21"/>
          <w:highlight w:val="none"/>
          <w14:textFill>
            <w14:solidFill>
              <w14:schemeClr w14:val="tx1"/>
            </w14:solidFill>
          </w14:textFill>
        </w:rPr>
        <w:t>年</w:t>
      </w:r>
      <w:r>
        <w:rPr>
          <w:color w:val="000000" w:themeColor="text1"/>
          <w:szCs w:val="21"/>
          <w:highlight w:val="none"/>
          <w:u w:val="single"/>
          <w14:textFill>
            <w14:solidFill>
              <w14:schemeClr w14:val="tx1"/>
            </w14:solidFill>
          </w14:textFill>
        </w:rPr>
        <w:t xml:space="preserve">        </w:t>
      </w:r>
      <w:r>
        <w:rPr>
          <w:color w:val="000000" w:themeColor="text1"/>
          <w:szCs w:val="21"/>
          <w:highlight w:val="none"/>
          <w14:textFill>
            <w14:solidFill>
              <w14:schemeClr w14:val="tx1"/>
            </w14:solidFill>
          </w14:textFill>
        </w:rPr>
        <w:t>月</w:t>
      </w:r>
      <w:r>
        <w:rPr>
          <w:color w:val="000000" w:themeColor="text1"/>
          <w:szCs w:val="21"/>
          <w:highlight w:val="none"/>
          <w:u w:val="single"/>
          <w14:textFill>
            <w14:solidFill>
              <w14:schemeClr w14:val="tx1"/>
            </w14:solidFill>
          </w14:textFill>
        </w:rPr>
        <w:t xml:space="preserve">        </w:t>
      </w:r>
      <w:r>
        <w:rPr>
          <w:color w:val="000000" w:themeColor="text1"/>
          <w:szCs w:val="21"/>
          <w:highlight w:val="none"/>
          <w14:textFill>
            <w14:solidFill>
              <w14:schemeClr w14:val="tx1"/>
            </w14:solidFill>
          </w14:textFill>
        </w:rPr>
        <w:t>日</w:t>
      </w:r>
    </w:p>
    <w:p w14:paraId="3E8281EC">
      <w:pPr>
        <w:snapToGrid w:val="0"/>
        <w:spacing w:before="120" w:beforeLines="50" w:after="50" w:line="360" w:lineRule="auto"/>
        <w:jc w:val="left"/>
        <w:outlineLvl w:val="2"/>
        <w:rPr>
          <w:rFonts w:hint="eastAsia"/>
          <w:b/>
          <w:color w:val="000000" w:themeColor="text1"/>
          <w:sz w:val="28"/>
          <w:szCs w:val="28"/>
          <w:highlight w:val="none"/>
          <w14:textFill>
            <w14:solidFill>
              <w14:schemeClr w14:val="tx1"/>
            </w14:solidFill>
          </w14:textFill>
        </w:rPr>
      </w:pPr>
      <w:r>
        <w:rPr>
          <w:rFonts w:hint="eastAsia" w:ascii="宋体" w:hAnsi="宋体" w:cs="宋体"/>
          <w:color w:val="000000" w:themeColor="text1"/>
          <w:kern w:val="0"/>
          <w:sz w:val="24"/>
          <w:szCs w:val="21"/>
          <w:highlight w:val="none"/>
          <w:lang w:val="zh-CN"/>
          <w14:textFill>
            <w14:solidFill>
              <w14:schemeClr w14:val="tx1"/>
            </w14:solidFill>
          </w14:textFill>
        </w:rPr>
        <w:br w:type="page"/>
      </w:r>
      <w:bookmarkStart w:id="233" w:name="_Toc11199"/>
      <w:r>
        <w:rPr>
          <w:rFonts w:hint="eastAsia" w:ascii="Times New Roman" w:hAnsi="Times New Roman" w:cs="Times New Roman"/>
          <w:b/>
          <w:color w:val="000000" w:themeColor="text1"/>
          <w:sz w:val="28"/>
          <w:szCs w:val="28"/>
          <w:highlight w:val="none"/>
          <w:lang w:val="en-US" w:eastAsia="zh-CN"/>
          <w14:textFill>
            <w14:solidFill>
              <w14:schemeClr w14:val="tx1"/>
            </w14:solidFill>
          </w14:textFill>
        </w:rPr>
        <w:t>5.</w:t>
      </w:r>
      <w:r>
        <w:rPr>
          <w:rFonts w:hint="eastAsia" w:ascii="Times New Roman" w:hAnsi="Times New Roman" w:cs="Times New Roman"/>
          <w:b/>
          <w:color w:val="000000" w:themeColor="text1"/>
          <w:sz w:val="28"/>
          <w:szCs w:val="28"/>
          <w:highlight w:val="none"/>
          <w14:textFill>
            <w14:solidFill>
              <w14:schemeClr w14:val="tx1"/>
            </w14:solidFill>
          </w14:textFill>
        </w:rPr>
        <w:t>已标价工程量清单</w:t>
      </w:r>
      <w:bookmarkEnd w:id="233"/>
    </w:p>
    <w:p w14:paraId="1E9DFF2F">
      <w:pPr>
        <w:pStyle w:val="11"/>
        <w:ind w:firstLine="0"/>
        <w:rPr>
          <w:color w:val="000000" w:themeColor="text1"/>
          <w:highlight w:val="none"/>
          <w14:textFill>
            <w14:solidFill>
              <w14:schemeClr w14:val="tx1"/>
            </w14:solidFill>
          </w14:textFill>
        </w:rPr>
      </w:pPr>
    </w:p>
    <w:p w14:paraId="7B2044DD">
      <w:pPr>
        <w:spacing w:line="360" w:lineRule="auto"/>
        <w:ind w:firstLine="420" w:firstLineChars="200"/>
        <w:rPr>
          <w:color w:val="000000" w:themeColor="text1"/>
          <w:highlight w:val="none"/>
          <w14:textFill>
            <w14:solidFill>
              <w14:schemeClr w14:val="tx1"/>
            </w14:solidFill>
          </w14:textFill>
        </w:rPr>
      </w:pPr>
      <w:r>
        <w:rPr>
          <w:rFonts w:hint="eastAsia" w:cs="宋体"/>
          <w:color w:val="000000" w:themeColor="text1"/>
          <w:highlight w:val="none"/>
          <w14:textFill>
            <w14:solidFill>
              <w14:schemeClr w14:val="tx1"/>
            </w14:solidFill>
          </w14:textFill>
        </w:rPr>
        <w:t>已标价工程量清单应按第七章</w:t>
      </w:r>
      <w:r>
        <w:rPr>
          <w:rFonts w:hint="eastAsia"/>
          <w:color w:val="000000" w:themeColor="text1"/>
          <w:highlight w:val="none"/>
          <w:lang w:eastAsia="zh-CN"/>
          <w14:textFill>
            <w14:solidFill>
              <w14:schemeClr w14:val="tx1"/>
            </w14:solidFill>
          </w14:textFill>
        </w:rPr>
        <w:t>“</w:t>
      </w:r>
      <w:r>
        <w:rPr>
          <w:rFonts w:hint="eastAsia" w:cs="宋体"/>
          <w:color w:val="000000" w:themeColor="text1"/>
          <w:highlight w:val="none"/>
          <w14:textFill>
            <w14:solidFill>
              <w14:schemeClr w14:val="tx1"/>
            </w14:solidFill>
          </w14:textFill>
        </w:rPr>
        <w:t>工程量清单</w:t>
      </w:r>
      <w:r>
        <w:rPr>
          <w:rFonts w:hint="eastAsia"/>
          <w:color w:val="000000" w:themeColor="text1"/>
          <w:highlight w:val="none"/>
          <w:lang w:eastAsia="zh-CN"/>
          <w14:textFill>
            <w14:solidFill>
              <w14:schemeClr w14:val="tx1"/>
            </w14:solidFill>
          </w14:textFill>
        </w:rPr>
        <w:t>”</w:t>
      </w:r>
      <w:r>
        <w:rPr>
          <w:rFonts w:hint="eastAsia" w:cs="宋体"/>
          <w:color w:val="000000" w:themeColor="text1"/>
          <w:highlight w:val="none"/>
          <w14:textFill>
            <w14:solidFill>
              <w14:schemeClr w14:val="tx1"/>
            </w14:solidFill>
          </w14:textFill>
        </w:rPr>
        <w:t>中的相关表格及报价说明填写。构成合同文件的已标价工程量清单包括第七章</w:t>
      </w:r>
      <w:r>
        <w:rPr>
          <w:rFonts w:hint="eastAsia"/>
          <w:color w:val="000000" w:themeColor="text1"/>
          <w:highlight w:val="none"/>
          <w:lang w:eastAsia="zh-CN"/>
          <w14:textFill>
            <w14:solidFill>
              <w14:schemeClr w14:val="tx1"/>
            </w14:solidFill>
          </w14:textFill>
        </w:rPr>
        <w:t>“</w:t>
      </w:r>
      <w:r>
        <w:rPr>
          <w:rFonts w:hint="eastAsia" w:cs="宋体"/>
          <w:color w:val="000000" w:themeColor="text1"/>
          <w:highlight w:val="none"/>
          <w14:textFill>
            <w14:solidFill>
              <w14:schemeClr w14:val="tx1"/>
            </w14:solidFill>
          </w14:textFill>
        </w:rPr>
        <w:t>工程量清单</w:t>
      </w:r>
      <w:r>
        <w:rPr>
          <w:rFonts w:hint="eastAsia"/>
          <w:color w:val="000000" w:themeColor="text1"/>
          <w:highlight w:val="none"/>
          <w:lang w:eastAsia="zh-CN"/>
          <w14:textFill>
            <w14:solidFill>
              <w14:schemeClr w14:val="tx1"/>
            </w14:solidFill>
          </w14:textFill>
        </w:rPr>
        <w:t>”</w:t>
      </w:r>
      <w:r>
        <w:rPr>
          <w:rFonts w:hint="eastAsia" w:cs="宋体"/>
          <w:color w:val="000000" w:themeColor="text1"/>
          <w:highlight w:val="none"/>
          <w14:textFill>
            <w14:solidFill>
              <w14:schemeClr w14:val="tx1"/>
            </w14:solidFill>
          </w14:textFill>
        </w:rPr>
        <w:t>有关工程量清单、报价以及其他说明的内容。</w:t>
      </w:r>
    </w:p>
    <w:p w14:paraId="2D8E781B">
      <w:pPr>
        <w:spacing w:line="360" w:lineRule="auto"/>
        <w:ind w:firstLine="630" w:firstLineChars="300"/>
        <w:rPr>
          <w:color w:val="000000" w:themeColor="text1"/>
          <w:highlight w:val="none"/>
          <w14:textFill>
            <w14:solidFill>
              <w14:schemeClr w14:val="tx1"/>
            </w14:solidFill>
          </w14:textFill>
        </w:rPr>
      </w:pPr>
    </w:p>
    <w:p w14:paraId="40D30161">
      <w:pPr>
        <w:spacing w:line="360" w:lineRule="auto"/>
        <w:rPr>
          <w:b/>
          <w:bCs/>
          <w:color w:val="000000" w:themeColor="text1"/>
          <w:highlight w:val="none"/>
          <w14:textFill>
            <w14:solidFill>
              <w14:schemeClr w14:val="tx1"/>
            </w14:solidFill>
          </w14:textFill>
        </w:rPr>
      </w:pPr>
      <w:r>
        <w:rPr>
          <w:rFonts w:hint="eastAsia" w:cs="宋体"/>
          <w:b/>
          <w:bCs/>
          <w:color w:val="000000" w:themeColor="text1"/>
          <w:highlight w:val="none"/>
          <w14:textFill>
            <w14:solidFill>
              <w14:schemeClr w14:val="tx1"/>
            </w14:solidFill>
          </w14:textFill>
        </w:rPr>
        <w:t>备注：</w:t>
      </w:r>
    </w:p>
    <w:p w14:paraId="12AA96AB">
      <w:pPr>
        <w:spacing w:line="360" w:lineRule="auto"/>
        <w:ind w:firstLine="422" w:firstLineChars="200"/>
        <w:rPr>
          <w:b/>
          <w:bCs/>
          <w:color w:val="000000" w:themeColor="text1"/>
          <w:highlight w:val="none"/>
          <w14:textFill>
            <w14:solidFill>
              <w14:schemeClr w14:val="tx1"/>
            </w14:solidFill>
          </w14:textFill>
        </w:rPr>
      </w:pPr>
      <w:r>
        <w:rPr>
          <w:rFonts w:hint="eastAsia" w:cs="宋体"/>
          <w:b/>
          <w:bCs/>
          <w:color w:val="000000" w:themeColor="text1"/>
          <w:highlight w:val="none"/>
          <w14:textFill>
            <w14:solidFill>
              <w14:schemeClr w14:val="tx1"/>
            </w14:solidFill>
          </w14:textFill>
        </w:rPr>
        <w:t>（</w:t>
      </w:r>
      <w:r>
        <w:rPr>
          <w:b/>
          <w:bCs/>
          <w:color w:val="000000" w:themeColor="text1"/>
          <w:highlight w:val="none"/>
          <w14:textFill>
            <w14:solidFill>
              <w14:schemeClr w14:val="tx1"/>
            </w14:solidFill>
          </w14:textFill>
        </w:rPr>
        <w:t>1</w:t>
      </w:r>
      <w:r>
        <w:rPr>
          <w:rFonts w:hint="eastAsia" w:cs="宋体"/>
          <w:b/>
          <w:bCs/>
          <w:color w:val="000000" w:themeColor="text1"/>
          <w:highlight w:val="none"/>
          <w14:textFill>
            <w14:solidFill>
              <w14:schemeClr w14:val="tx1"/>
            </w14:solidFill>
          </w14:textFill>
        </w:rPr>
        <w:t>）总价封面必须经供应商盖章，并由法定代表人（或其授权人）签字（或盖章），同时由编制人签字</w:t>
      </w:r>
      <w:r>
        <w:rPr>
          <w:rFonts w:hint="eastAsia" w:cs="宋体"/>
          <w:b/>
          <w:bCs/>
          <w:color w:val="000000" w:themeColor="text1"/>
          <w:highlight w:val="none"/>
          <w:lang w:eastAsia="zh-CN"/>
          <w14:textFill>
            <w14:solidFill>
              <w14:schemeClr w14:val="tx1"/>
            </w14:solidFill>
          </w14:textFill>
        </w:rPr>
        <w:t>或</w:t>
      </w:r>
      <w:r>
        <w:rPr>
          <w:rFonts w:hint="eastAsia" w:cs="宋体"/>
          <w:b/>
          <w:bCs/>
          <w:color w:val="000000" w:themeColor="text1"/>
          <w:highlight w:val="none"/>
          <w14:textFill>
            <w14:solidFill>
              <w14:schemeClr w14:val="tx1"/>
            </w14:solidFill>
          </w14:textFill>
        </w:rPr>
        <w:t>盖专用章</w:t>
      </w:r>
      <w:r>
        <w:rPr>
          <w:rFonts w:hint="eastAsia" w:cs="宋体"/>
          <w:b/>
          <w:bCs/>
          <w:color w:val="000000" w:themeColor="text1"/>
          <w:highlight w:val="none"/>
          <w:lang w:eastAsia="zh-CN"/>
          <w14:textFill>
            <w14:solidFill>
              <w14:schemeClr w14:val="tx1"/>
            </w14:solidFill>
          </w14:textFill>
        </w:rPr>
        <w:t>，否则作无效响应处理。</w:t>
      </w:r>
    </w:p>
    <w:p w14:paraId="62FC5138">
      <w:pPr>
        <w:spacing w:line="360" w:lineRule="auto"/>
        <w:ind w:firstLine="422" w:firstLineChars="200"/>
        <w:rPr>
          <w:rFonts w:hint="eastAsia" w:eastAsia="宋体" w:cs="宋体"/>
          <w:b/>
          <w:bCs/>
          <w:color w:val="000000" w:themeColor="text1"/>
          <w:highlight w:val="none"/>
          <w:lang w:eastAsia="zh-CN"/>
          <w14:textFill>
            <w14:solidFill>
              <w14:schemeClr w14:val="tx1"/>
            </w14:solidFill>
          </w14:textFill>
        </w:rPr>
      </w:pPr>
      <w:r>
        <w:rPr>
          <w:rFonts w:hint="eastAsia" w:cs="宋体"/>
          <w:b/>
          <w:bCs/>
          <w:color w:val="000000" w:themeColor="text1"/>
          <w:highlight w:val="none"/>
          <w14:textFill>
            <w14:solidFill>
              <w14:schemeClr w14:val="tx1"/>
            </w14:solidFill>
          </w14:textFill>
        </w:rPr>
        <w:t>（</w:t>
      </w:r>
      <w:r>
        <w:rPr>
          <w:rFonts w:hint="eastAsia"/>
          <w:b/>
          <w:bCs/>
          <w:color w:val="000000" w:themeColor="text1"/>
          <w:highlight w:val="none"/>
          <w:lang w:val="en-US" w:eastAsia="zh-CN"/>
          <w14:textFill>
            <w14:solidFill>
              <w14:schemeClr w14:val="tx1"/>
            </w14:solidFill>
          </w14:textFill>
        </w:rPr>
        <w:t>2</w:t>
      </w:r>
      <w:r>
        <w:rPr>
          <w:rFonts w:hint="eastAsia" w:cs="宋体"/>
          <w:b/>
          <w:bCs/>
          <w:color w:val="000000" w:themeColor="text1"/>
          <w:highlight w:val="none"/>
          <w14:textFill>
            <w14:solidFill>
              <w14:schemeClr w14:val="tx1"/>
            </w14:solidFill>
          </w14:textFill>
        </w:rPr>
        <w:t>）已标价工程量清单表格要严格按照工程量清单给出的表格要求和内容填报</w:t>
      </w:r>
      <w:r>
        <w:rPr>
          <w:rFonts w:hint="eastAsia" w:cs="宋体"/>
          <w:b/>
          <w:bCs/>
          <w:color w:val="000000" w:themeColor="text1"/>
          <w:highlight w:val="none"/>
          <w:lang w:eastAsia="zh-CN"/>
          <w14:textFill>
            <w14:solidFill>
              <w14:schemeClr w14:val="tx1"/>
            </w14:solidFill>
          </w14:textFill>
        </w:rPr>
        <w:t>，符合</w:t>
      </w:r>
      <w:r>
        <w:rPr>
          <w:rFonts w:hint="eastAsia" w:cs="宋体"/>
          <w:b/>
          <w:bCs/>
          <w:color w:val="000000" w:themeColor="text1"/>
          <w:highlight w:val="none"/>
          <w14:textFill>
            <w14:solidFill>
              <w14:schemeClr w14:val="tx1"/>
            </w14:solidFill>
          </w14:textFill>
        </w:rPr>
        <w:t>现行《计价规范》等有关规定</w:t>
      </w:r>
      <w:r>
        <w:rPr>
          <w:rFonts w:hint="eastAsia" w:cs="宋体"/>
          <w:b/>
          <w:bCs/>
          <w:color w:val="000000" w:themeColor="text1"/>
          <w:highlight w:val="none"/>
          <w:lang w:eastAsia="zh-CN"/>
          <w14:textFill>
            <w14:solidFill>
              <w14:schemeClr w14:val="tx1"/>
            </w14:solidFill>
          </w14:textFill>
        </w:rPr>
        <w:t>。</w:t>
      </w:r>
    </w:p>
    <w:p w14:paraId="769D7D7E">
      <w:pPr>
        <w:rPr>
          <w:rFonts w:hint="eastAsia"/>
          <w:b/>
          <w:color w:val="000000" w:themeColor="text1"/>
          <w:sz w:val="28"/>
          <w:szCs w:val="28"/>
          <w:highlight w:val="none"/>
          <w14:textFill>
            <w14:solidFill>
              <w14:schemeClr w14:val="tx1"/>
            </w14:solidFill>
          </w14:textFill>
        </w:rPr>
      </w:pPr>
      <w:r>
        <w:rPr>
          <w:rFonts w:hint="eastAsia"/>
          <w:b/>
          <w:color w:val="000000" w:themeColor="text1"/>
          <w:sz w:val="28"/>
          <w:szCs w:val="28"/>
          <w:highlight w:val="none"/>
          <w14:textFill>
            <w14:solidFill>
              <w14:schemeClr w14:val="tx1"/>
            </w14:solidFill>
          </w14:textFill>
        </w:rPr>
        <w:br w:type="page"/>
      </w:r>
    </w:p>
    <w:p w14:paraId="1D3F111C">
      <w:pPr>
        <w:snapToGrid w:val="0"/>
        <w:spacing w:before="120" w:beforeLines="50" w:after="50" w:line="360" w:lineRule="auto"/>
        <w:jc w:val="left"/>
        <w:outlineLvl w:val="2"/>
        <w:rPr>
          <w:rFonts w:eastAsia="仿宋"/>
          <w:b/>
          <w:color w:val="000000" w:themeColor="text1"/>
          <w:sz w:val="30"/>
          <w:szCs w:val="30"/>
          <w:highlight w:val="none"/>
          <w:lang w:val="zh-CN"/>
          <w14:textFill>
            <w14:solidFill>
              <w14:schemeClr w14:val="tx1"/>
            </w14:solidFill>
          </w14:textFill>
        </w:rPr>
      </w:pPr>
      <w:bookmarkStart w:id="234" w:name="_Toc24328"/>
      <w:r>
        <w:rPr>
          <w:rFonts w:hint="eastAsia"/>
          <w:b/>
          <w:color w:val="000000" w:themeColor="text1"/>
          <w:sz w:val="28"/>
          <w:szCs w:val="28"/>
          <w:highlight w:val="none"/>
          <w14:textFill>
            <w14:solidFill>
              <w14:schemeClr w14:val="tx1"/>
            </w14:solidFill>
          </w14:textFill>
        </w:rPr>
        <w:t>6</w:t>
      </w:r>
      <w:r>
        <w:rPr>
          <w:b/>
          <w:color w:val="000000" w:themeColor="text1"/>
          <w:sz w:val="28"/>
          <w:szCs w:val="28"/>
          <w:highlight w:val="none"/>
          <w14:textFill>
            <w14:solidFill>
              <w14:schemeClr w14:val="tx1"/>
            </w14:solidFill>
          </w14:textFill>
        </w:rPr>
        <w:t>.</w:t>
      </w:r>
      <w:r>
        <w:rPr>
          <w:b/>
          <w:color w:val="000000" w:themeColor="text1"/>
          <w:sz w:val="28"/>
          <w:szCs w:val="28"/>
          <w:highlight w:val="none"/>
          <w:lang w:val="zh-CN"/>
          <w14:textFill>
            <w14:solidFill>
              <w14:schemeClr w14:val="tx1"/>
            </w14:solidFill>
          </w14:textFill>
        </w:rPr>
        <w:t>最后报价表的格式：</w:t>
      </w:r>
      <w:bookmarkEnd w:id="234"/>
    </w:p>
    <w:p w14:paraId="514B3610">
      <w:pPr>
        <w:keepNext w:val="0"/>
        <w:keepLines w:val="0"/>
        <w:pageBreakBefore w:val="0"/>
        <w:widowControl w:val="0"/>
        <w:kinsoku/>
        <w:wordWrap/>
        <w:overflowPunct/>
        <w:topLinePunct w:val="0"/>
        <w:autoSpaceDE/>
        <w:autoSpaceDN/>
        <w:bidi w:val="0"/>
        <w:adjustRightInd/>
        <w:spacing w:line="360" w:lineRule="auto"/>
        <w:textAlignment w:val="auto"/>
        <w:rPr>
          <w:color w:val="000000" w:themeColor="text1"/>
          <w:highlight w:val="none"/>
          <w14:textFill>
            <w14:solidFill>
              <w14:schemeClr w14:val="tx1"/>
            </w14:solidFill>
          </w14:textFill>
        </w:rPr>
      </w:pPr>
    </w:p>
    <w:p w14:paraId="52C24023">
      <w:pPr>
        <w:keepNext w:val="0"/>
        <w:keepLines w:val="0"/>
        <w:pageBreakBefore w:val="0"/>
        <w:widowControl w:val="0"/>
        <w:kinsoku/>
        <w:wordWrap/>
        <w:overflowPunct/>
        <w:topLinePunct w:val="0"/>
        <w:autoSpaceDE/>
        <w:autoSpaceDN/>
        <w:bidi w:val="0"/>
        <w:adjustRightInd/>
        <w:spacing w:line="360" w:lineRule="auto"/>
        <w:jc w:val="center"/>
        <w:textAlignment w:val="auto"/>
        <w:rPr>
          <w:color w:val="000000" w:themeColor="text1"/>
          <w:sz w:val="24"/>
          <w:highlight w:val="none"/>
          <w14:textFill>
            <w14:solidFill>
              <w14:schemeClr w14:val="tx1"/>
            </w14:solidFill>
          </w14:textFill>
        </w:rPr>
      </w:pPr>
      <w:r>
        <w:rPr>
          <w:b/>
          <w:bCs/>
          <w:color w:val="000000" w:themeColor="text1"/>
          <w:sz w:val="32"/>
          <w:szCs w:val="32"/>
          <w:highlight w:val="none"/>
          <w14:textFill>
            <w14:solidFill>
              <w14:schemeClr w14:val="tx1"/>
            </w14:solidFill>
          </w14:textFill>
        </w:rPr>
        <w:t>最后报价表</w:t>
      </w:r>
    </w:p>
    <w:p w14:paraId="182D17DE">
      <w:pPr>
        <w:keepNext w:val="0"/>
        <w:keepLines w:val="0"/>
        <w:pageBreakBefore w:val="0"/>
        <w:widowControl w:val="0"/>
        <w:kinsoku/>
        <w:wordWrap/>
        <w:overflowPunct/>
        <w:topLinePunct w:val="0"/>
        <w:autoSpaceDE/>
        <w:autoSpaceDN/>
        <w:bidi w:val="0"/>
        <w:adjustRightInd/>
        <w:snapToGrid w:val="0"/>
        <w:spacing w:before="50" w:after="50" w:line="360" w:lineRule="auto"/>
        <w:textAlignment w:val="auto"/>
        <w:rPr>
          <w:b/>
          <w:bCs/>
          <w:color w:val="000000" w:themeColor="text1"/>
          <w:szCs w:val="21"/>
          <w:highlight w:val="none"/>
          <w14:textFill>
            <w14:solidFill>
              <w14:schemeClr w14:val="tx1"/>
            </w14:solidFill>
          </w14:textFill>
        </w:rPr>
      </w:pPr>
      <w:r>
        <w:rPr>
          <w:rFonts w:hint="eastAsia" w:ascii="宋体" w:hAnsi="宋体" w:cs="宋体"/>
          <w:b/>
          <w:bCs/>
          <w:color w:val="000000" w:themeColor="text1"/>
          <w:szCs w:val="21"/>
          <w:highlight w:val="none"/>
          <w14:textFill>
            <w14:solidFill>
              <w14:schemeClr w14:val="tx1"/>
            </w14:solidFill>
          </w14:textFill>
        </w:rPr>
        <w:t>项</w:t>
      </w:r>
      <w:r>
        <w:rPr>
          <w:b/>
          <w:bCs/>
          <w:color w:val="000000" w:themeColor="text1"/>
          <w:szCs w:val="21"/>
          <w:highlight w:val="none"/>
          <w14:textFill>
            <w14:solidFill>
              <w14:schemeClr w14:val="tx1"/>
            </w14:solidFill>
          </w14:textFill>
        </w:rPr>
        <w:t>目名称：</w:t>
      </w:r>
      <w:r>
        <w:rPr>
          <w:b/>
          <w:bCs/>
          <w:color w:val="000000" w:themeColor="text1"/>
          <w:szCs w:val="21"/>
          <w:highlight w:val="none"/>
          <w:u w:val="single"/>
          <w14:textFill>
            <w14:solidFill>
              <w14:schemeClr w14:val="tx1"/>
            </w14:solidFill>
          </w14:textFill>
        </w:rPr>
        <w:t xml:space="preserve">                     </w:t>
      </w:r>
    </w:p>
    <w:p w14:paraId="2808E22E">
      <w:pPr>
        <w:keepNext w:val="0"/>
        <w:keepLines w:val="0"/>
        <w:pageBreakBefore w:val="0"/>
        <w:widowControl w:val="0"/>
        <w:kinsoku/>
        <w:wordWrap/>
        <w:overflowPunct/>
        <w:topLinePunct w:val="0"/>
        <w:autoSpaceDE/>
        <w:autoSpaceDN/>
        <w:bidi w:val="0"/>
        <w:adjustRightInd/>
        <w:snapToGrid w:val="0"/>
        <w:spacing w:before="50" w:after="50" w:line="360" w:lineRule="auto"/>
        <w:textAlignment w:val="auto"/>
        <w:rPr>
          <w:b/>
          <w:bCs/>
          <w:color w:val="000000" w:themeColor="text1"/>
          <w:szCs w:val="21"/>
          <w:highlight w:val="none"/>
          <w14:textFill>
            <w14:solidFill>
              <w14:schemeClr w14:val="tx1"/>
            </w14:solidFill>
          </w14:textFill>
        </w:rPr>
      </w:pPr>
      <w:r>
        <w:rPr>
          <w:b/>
          <w:bCs/>
          <w:color w:val="000000" w:themeColor="text1"/>
          <w:szCs w:val="21"/>
          <w:highlight w:val="none"/>
          <w14:textFill>
            <w14:solidFill>
              <w14:schemeClr w14:val="tx1"/>
            </w14:solidFill>
          </w14:textFill>
        </w:rPr>
        <w:t>项目编号：</w:t>
      </w:r>
      <w:r>
        <w:rPr>
          <w:b/>
          <w:bCs/>
          <w:color w:val="000000" w:themeColor="text1"/>
          <w:szCs w:val="21"/>
          <w:highlight w:val="none"/>
          <w:u w:val="single"/>
          <w14:textFill>
            <w14:solidFill>
              <w14:schemeClr w14:val="tx1"/>
            </w14:solidFill>
          </w14:textFill>
        </w:rPr>
        <w:t xml:space="preserve">                     </w:t>
      </w:r>
    </w:p>
    <w:p w14:paraId="6E1877AC">
      <w:pPr>
        <w:spacing w:line="360" w:lineRule="auto"/>
        <w:contextualSpacing/>
        <w:rPr>
          <w:rFonts w:hint="eastAsia" w:cs="宋体"/>
          <w:b/>
          <w:bCs/>
          <w:color w:val="000000" w:themeColor="text1"/>
          <w:szCs w:val="21"/>
          <w:u w:val="single"/>
          <w14:textFill>
            <w14:solidFill>
              <w14:schemeClr w14:val="tx1"/>
            </w14:solidFill>
          </w14:textFill>
        </w:rPr>
      </w:pPr>
      <w:r>
        <w:rPr>
          <w:rFonts w:hint="eastAsia" w:cs="宋体"/>
          <w:b/>
          <w:bCs/>
          <w:color w:val="000000" w:themeColor="text1"/>
          <w:szCs w:val="21"/>
          <w14:textFill>
            <w14:solidFill>
              <w14:schemeClr w14:val="tx1"/>
            </w14:solidFill>
          </w14:textFill>
        </w:rPr>
        <w:t>所竞分标（如有则填写，无分标时填写“无”或者留空）：</w:t>
      </w:r>
      <w:r>
        <w:rPr>
          <w:rFonts w:hint="eastAsia" w:cs="宋体"/>
          <w:b/>
          <w:bCs/>
          <w:color w:val="000000" w:themeColor="text1"/>
          <w:szCs w:val="21"/>
          <w:u w:val="single"/>
          <w14:textFill>
            <w14:solidFill>
              <w14:schemeClr w14:val="tx1"/>
            </w14:solidFill>
          </w14:textFill>
        </w:rPr>
        <w:t xml:space="preserve">                  </w:t>
      </w:r>
    </w:p>
    <w:tbl>
      <w:tblPr>
        <w:tblStyle w:val="29"/>
        <w:tblW w:w="9705" w:type="dxa"/>
        <w:tblInd w:w="13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4"/>
        <w:gridCol w:w="3461"/>
        <w:gridCol w:w="1181"/>
        <w:gridCol w:w="2717"/>
        <w:gridCol w:w="1522"/>
      </w:tblGrid>
      <w:tr w14:paraId="7C27CB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97" w:hRule="atLeast"/>
        </w:trPr>
        <w:tc>
          <w:tcPr>
            <w:tcW w:w="824"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43A5CA06">
            <w:pPr>
              <w:keepNext w:val="0"/>
              <w:keepLines w:val="0"/>
              <w:pageBreakBefore w:val="0"/>
              <w:widowControl w:val="0"/>
              <w:kinsoku/>
              <w:wordWrap/>
              <w:overflowPunct/>
              <w:topLinePunct w:val="0"/>
              <w:autoSpaceDE/>
              <w:autoSpaceDN/>
              <w:bidi w:val="0"/>
              <w:adjustRightInd/>
              <w:spacing w:line="400" w:lineRule="exact"/>
              <w:contextualSpacing/>
              <w:jc w:val="center"/>
              <w:textAlignment w:val="auto"/>
              <w:rPr>
                <w:rFonts w:ascii="宋体" w:hAnsi="宋体" w:cs="仿宋_GB2312"/>
                <w:b/>
                <w:bCs/>
                <w:color w:val="000000" w:themeColor="text1"/>
                <w:sz w:val="21"/>
                <w:szCs w:val="21"/>
                <w:highlight w:val="none"/>
                <w14:textFill>
                  <w14:solidFill>
                    <w14:schemeClr w14:val="tx1"/>
                  </w14:solidFill>
                </w14:textFill>
              </w:rPr>
            </w:pPr>
            <w:r>
              <w:rPr>
                <w:rFonts w:ascii="宋体" w:hAnsi="宋体" w:cs="仿宋_GB2312"/>
                <w:b/>
                <w:bCs/>
                <w:color w:val="000000" w:themeColor="text1"/>
                <w:sz w:val="21"/>
                <w:szCs w:val="21"/>
                <w:highlight w:val="none"/>
                <w14:textFill>
                  <w14:solidFill>
                    <w14:schemeClr w14:val="tx1"/>
                  </w14:solidFill>
                </w14:textFill>
              </w:rPr>
              <w:t>序号</w:t>
            </w:r>
          </w:p>
        </w:tc>
        <w:tc>
          <w:tcPr>
            <w:tcW w:w="3461"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BC8E489">
            <w:pPr>
              <w:keepNext w:val="0"/>
              <w:keepLines w:val="0"/>
              <w:pageBreakBefore w:val="0"/>
              <w:widowControl w:val="0"/>
              <w:kinsoku/>
              <w:wordWrap/>
              <w:overflowPunct/>
              <w:topLinePunct w:val="0"/>
              <w:autoSpaceDE/>
              <w:autoSpaceDN/>
              <w:bidi w:val="0"/>
              <w:adjustRightInd/>
              <w:spacing w:line="400" w:lineRule="exact"/>
              <w:contextualSpacing/>
              <w:jc w:val="center"/>
              <w:textAlignment w:val="auto"/>
              <w:rPr>
                <w:rFonts w:ascii="宋体" w:hAnsi="宋体" w:cs="仿宋_GB2312"/>
                <w:b/>
                <w:bCs/>
                <w:color w:val="000000" w:themeColor="text1"/>
                <w:sz w:val="21"/>
                <w:szCs w:val="21"/>
                <w:highlight w:val="none"/>
                <w14:textFill>
                  <w14:solidFill>
                    <w14:schemeClr w14:val="tx1"/>
                  </w14:solidFill>
                </w14:textFill>
              </w:rPr>
            </w:pPr>
            <w:r>
              <w:rPr>
                <w:rFonts w:hint="eastAsia" w:ascii="宋体" w:hAnsi="宋体" w:cs="仿宋_GB2312"/>
                <w:b/>
                <w:bCs/>
                <w:color w:val="000000" w:themeColor="text1"/>
                <w:sz w:val="21"/>
                <w:szCs w:val="21"/>
                <w:highlight w:val="none"/>
                <w14:textFill>
                  <w14:solidFill>
                    <w14:schemeClr w14:val="tx1"/>
                  </w14:solidFill>
                </w14:textFill>
              </w:rPr>
              <w:t>标的名称</w:t>
            </w:r>
          </w:p>
        </w:tc>
        <w:tc>
          <w:tcPr>
            <w:tcW w:w="1181"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5622865">
            <w:pPr>
              <w:keepNext w:val="0"/>
              <w:keepLines w:val="0"/>
              <w:pageBreakBefore w:val="0"/>
              <w:widowControl w:val="0"/>
              <w:kinsoku/>
              <w:wordWrap/>
              <w:overflowPunct/>
              <w:topLinePunct w:val="0"/>
              <w:autoSpaceDE/>
              <w:autoSpaceDN/>
              <w:bidi w:val="0"/>
              <w:adjustRightInd/>
              <w:spacing w:line="400" w:lineRule="exact"/>
              <w:contextualSpacing/>
              <w:jc w:val="center"/>
              <w:textAlignment w:val="auto"/>
              <w:rPr>
                <w:rFonts w:ascii="宋体" w:hAnsi="宋体" w:cs="仿宋_GB2312"/>
                <w:b/>
                <w:bCs/>
                <w:color w:val="000000" w:themeColor="text1"/>
                <w:sz w:val="21"/>
                <w:szCs w:val="21"/>
                <w:highlight w:val="none"/>
                <w14:textFill>
                  <w14:solidFill>
                    <w14:schemeClr w14:val="tx1"/>
                  </w14:solidFill>
                </w14:textFill>
              </w:rPr>
            </w:pPr>
            <w:r>
              <w:rPr>
                <w:rFonts w:hint="eastAsia" w:ascii="宋体" w:hAnsi="宋体" w:cs="仿宋_GB2312"/>
                <w:b/>
                <w:bCs/>
                <w:color w:val="000000" w:themeColor="text1"/>
                <w:sz w:val="21"/>
                <w:szCs w:val="21"/>
                <w:highlight w:val="none"/>
                <w14:textFill>
                  <w14:solidFill>
                    <w14:schemeClr w14:val="tx1"/>
                  </w14:solidFill>
                </w14:textFill>
              </w:rPr>
              <w:t>数量</w:t>
            </w:r>
          </w:p>
        </w:tc>
        <w:tc>
          <w:tcPr>
            <w:tcW w:w="2717"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0BA48D82">
            <w:pPr>
              <w:keepNext w:val="0"/>
              <w:keepLines w:val="0"/>
              <w:pageBreakBefore w:val="0"/>
              <w:widowControl w:val="0"/>
              <w:kinsoku/>
              <w:wordWrap/>
              <w:overflowPunct/>
              <w:topLinePunct w:val="0"/>
              <w:autoSpaceDE/>
              <w:autoSpaceDN/>
              <w:bidi w:val="0"/>
              <w:adjustRightInd/>
              <w:spacing w:line="400" w:lineRule="exact"/>
              <w:contextualSpacing/>
              <w:jc w:val="center"/>
              <w:textAlignment w:val="auto"/>
              <w:rPr>
                <w:rFonts w:hint="eastAsia" w:ascii="宋体" w:hAnsi="宋体" w:cs="仿宋_GB2312"/>
                <w:b/>
                <w:bCs/>
                <w:color w:val="000000" w:themeColor="text1"/>
                <w:sz w:val="21"/>
                <w:szCs w:val="21"/>
                <w:highlight w:val="none"/>
                <w14:textFill>
                  <w14:solidFill>
                    <w14:schemeClr w14:val="tx1"/>
                  </w14:solidFill>
                </w14:textFill>
              </w:rPr>
            </w:pPr>
            <w:r>
              <w:rPr>
                <w:rFonts w:hint="eastAsia" w:ascii="宋体" w:hAnsi="宋体" w:cs="仿宋_GB2312"/>
                <w:b/>
                <w:bCs/>
                <w:color w:val="000000" w:themeColor="text1"/>
                <w:sz w:val="21"/>
                <w:szCs w:val="21"/>
                <w:highlight w:val="none"/>
                <w14:textFill>
                  <w14:solidFill>
                    <w14:schemeClr w14:val="tx1"/>
                  </w14:solidFill>
                </w14:textFill>
              </w:rPr>
              <w:t>报价(元)</w:t>
            </w:r>
          </w:p>
        </w:tc>
        <w:tc>
          <w:tcPr>
            <w:tcW w:w="1522"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05F13516">
            <w:pPr>
              <w:keepNext w:val="0"/>
              <w:keepLines w:val="0"/>
              <w:pageBreakBefore w:val="0"/>
              <w:widowControl w:val="0"/>
              <w:kinsoku/>
              <w:wordWrap/>
              <w:overflowPunct/>
              <w:topLinePunct w:val="0"/>
              <w:autoSpaceDE/>
              <w:autoSpaceDN/>
              <w:bidi w:val="0"/>
              <w:adjustRightInd/>
              <w:spacing w:line="400" w:lineRule="exact"/>
              <w:contextualSpacing/>
              <w:jc w:val="center"/>
              <w:textAlignment w:val="auto"/>
              <w:rPr>
                <w:rFonts w:ascii="宋体" w:hAnsi="宋体" w:cs="仿宋_GB2312"/>
                <w:b/>
                <w:bCs/>
                <w:color w:val="000000" w:themeColor="text1"/>
                <w:sz w:val="21"/>
                <w:szCs w:val="21"/>
                <w:highlight w:val="none"/>
                <w14:textFill>
                  <w14:solidFill>
                    <w14:schemeClr w14:val="tx1"/>
                  </w14:solidFill>
                </w14:textFill>
              </w:rPr>
            </w:pPr>
            <w:r>
              <w:rPr>
                <w:rFonts w:ascii="宋体" w:hAnsi="宋体" w:cs="仿宋_GB2312"/>
                <w:b/>
                <w:bCs/>
                <w:color w:val="000000" w:themeColor="text1"/>
                <w:sz w:val="21"/>
                <w:szCs w:val="21"/>
                <w:highlight w:val="none"/>
                <w14:textFill>
                  <w14:solidFill>
                    <w14:schemeClr w14:val="tx1"/>
                  </w14:solidFill>
                </w14:textFill>
              </w:rPr>
              <w:t>备注</w:t>
            </w:r>
          </w:p>
        </w:tc>
      </w:tr>
      <w:tr w14:paraId="50D1DE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7" w:hRule="atLeast"/>
        </w:trPr>
        <w:tc>
          <w:tcPr>
            <w:tcW w:w="824" w:type="dxa"/>
            <w:tcBorders>
              <w:top w:val="single" w:color="auto" w:sz="4" w:space="0"/>
              <w:left w:val="single" w:color="auto" w:sz="4" w:space="0"/>
              <w:bottom w:val="single" w:color="auto" w:sz="4" w:space="0"/>
              <w:right w:val="single" w:color="auto" w:sz="4" w:space="0"/>
            </w:tcBorders>
            <w:noWrap w:val="0"/>
            <w:vAlign w:val="center"/>
          </w:tcPr>
          <w:p w14:paraId="32AF9D8F">
            <w:pPr>
              <w:keepNext w:val="0"/>
              <w:keepLines w:val="0"/>
              <w:pageBreakBefore w:val="0"/>
              <w:widowControl w:val="0"/>
              <w:kinsoku/>
              <w:wordWrap/>
              <w:overflowPunct/>
              <w:topLinePunct w:val="0"/>
              <w:autoSpaceDE/>
              <w:autoSpaceDN/>
              <w:bidi w:val="0"/>
              <w:adjustRightInd/>
              <w:spacing w:line="400" w:lineRule="exact"/>
              <w:contextualSpacing/>
              <w:jc w:val="center"/>
              <w:textAlignment w:val="auto"/>
              <w:rPr>
                <w:rFonts w:ascii="宋体" w:hAnsi="宋体" w:cs="仿宋_GB2312"/>
                <w:color w:val="000000" w:themeColor="text1"/>
                <w:sz w:val="21"/>
                <w:szCs w:val="21"/>
                <w:highlight w:val="none"/>
                <w14:textFill>
                  <w14:solidFill>
                    <w14:schemeClr w14:val="tx1"/>
                  </w14:solidFill>
                </w14:textFill>
              </w:rPr>
            </w:pPr>
            <w:r>
              <w:rPr>
                <w:rFonts w:ascii="宋体" w:hAnsi="宋体" w:cs="仿宋_GB2312"/>
                <w:color w:val="000000" w:themeColor="text1"/>
                <w:sz w:val="21"/>
                <w:szCs w:val="21"/>
                <w:highlight w:val="none"/>
                <w14:textFill>
                  <w14:solidFill>
                    <w14:schemeClr w14:val="tx1"/>
                  </w14:solidFill>
                </w14:textFill>
              </w:rPr>
              <w:t>1</w:t>
            </w:r>
          </w:p>
        </w:tc>
        <w:tc>
          <w:tcPr>
            <w:tcW w:w="3461" w:type="dxa"/>
            <w:tcBorders>
              <w:top w:val="single" w:color="auto" w:sz="4" w:space="0"/>
              <w:left w:val="single" w:color="auto" w:sz="4" w:space="0"/>
              <w:bottom w:val="single" w:color="auto" w:sz="4" w:space="0"/>
              <w:right w:val="single" w:color="auto" w:sz="4" w:space="0"/>
            </w:tcBorders>
            <w:noWrap w:val="0"/>
            <w:vAlign w:val="center"/>
          </w:tcPr>
          <w:p w14:paraId="6AE57D8D">
            <w:pPr>
              <w:keepNext w:val="0"/>
              <w:keepLines w:val="0"/>
              <w:pageBreakBefore w:val="0"/>
              <w:widowControl w:val="0"/>
              <w:kinsoku/>
              <w:wordWrap/>
              <w:overflowPunct/>
              <w:topLinePunct w:val="0"/>
              <w:autoSpaceDE/>
              <w:autoSpaceDN/>
              <w:bidi w:val="0"/>
              <w:adjustRightInd/>
              <w:spacing w:line="400" w:lineRule="exact"/>
              <w:contextualSpacing/>
              <w:jc w:val="center"/>
              <w:textAlignment w:val="auto"/>
              <w:rPr>
                <w:rFonts w:hint="eastAsia" w:ascii="宋体" w:hAnsi="宋体" w:eastAsia="宋体" w:cs="仿宋_GB2312"/>
                <w:color w:val="000000" w:themeColor="text1"/>
                <w:sz w:val="21"/>
                <w:szCs w:val="21"/>
                <w:highlight w:val="none"/>
                <w:lang w:val="en-US" w:eastAsia="zh-CN"/>
                <w14:textFill>
                  <w14:solidFill>
                    <w14:schemeClr w14:val="tx1"/>
                  </w14:solidFill>
                </w14:textFill>
              </w:rPr>
            </w:pPr>
            <w:r>
              <w:rPr>
                <w:rFonts w:hint="eastAsia" w:ascii="宋体" w:hAnsi="宋体" w:cs="仿宋_GB2312"/>
                <w:color w:val="000000" w:themeColor="text1"/>
                <w:sz w:val="21"/>
                <w:szCs w:val="21"/>
                <w:highlight w:val="none"/>
                <w:lang w:val="en-US" w:eastAsia="zh-CN"/>
                <w14:textFill>
                  <w14:solidFill>
                    <w14:schemeClr w14:val="tx1"/>
                  </w14:solidFill>
                </w14:textFill>
              </w:rPr>
              <w:t>桂林市中西医结合医院消化内镜中心装修改造工程</w:t>
            </w:r>
          </w:p>
        </w:tc>
        <w:tc>
          <w:tcPr>
            <w:tcW w:w="1181" w:type="dxa"/>
            <w:tcBorders>
              <w:top w:val="single" w:color="auto" w:sz="4" w:space="0"/>
              <w:left w:val="single" w:color="auto" w:sz="4" w:space="0"/>
              <w:bottom w:val="single" w:color="auto" w:sz="4" w:space="0"/>
              <w:right w:val="single" w:color="auto" w:sz="4" w:space="0"/>
            </w:tcBorders>
            <w:noWrap w:val="0"/>
            <w:vAlign w:val="center"/>
          </w:tcPr>
          <w:p w14:paraId="295A9F5A">
            <w:pPr>
              <w:keepNext w:val="0"/>
              <w:keepLines w:val="0"/>
              <w:pageBreakBefore w:val="0"/>
              <w:widowControl w:val="0"/>
              <w:kinsoku/>
              <w:wordWrap/>
              <w:overflowPunct/>
              <w:topLinePunct w:val="0"/>
              <w:autoSpaceDE/>
              <w:autoSpaceDN/>
              <w:bidi w:val="0"/>
              <w:adjustRightInd/>
              <w:spacing w:line="400" w:lineRule="exact"/>
              <w:contextualSpacing/>
              <w:jc w:val="center"/>
              <w:textAlignment w:val="auto"/>
              <w:rPr>
                <w:rFonts w:hint="eastAsia" w:ascii="宋体" w:hAnsi="宋体" w:eastAsia="宋体" w:cs="仿宋_GB2312"/>
                <w:color w:val="000000" w:themeColor="text1"/>
                <w:sz w:val="21"/>
                <w:szCs w:val="21"/>
                <w:highlight w:val="none"/>
                <w:lang w:val="en-US" w:eastAsia="zh-CN"/>
                <w14:textFill>
                  <w14:solidFill>
                    <w14:schemeClr w14:val="tx1"/>
                  </w14:solidFill>
                </w14:textFill>
              </w:rPr>
            </w:pPr>
            <w:r>
              <w:rPr>
                <w:rFonts w:hint="eastAsia" w:ascii="宋体" w:hAnsi="宋体" w:cs="仿宋_GB2312"/>
                <w:color w:val="000000" w:themeColor="text1"/>
                <w:sz w:val="21"/>
                <w:szCs w:val="21"/>
                <w:highlight w:val="none"/>
                <w:lang w:val="en-US" w:eastAsia="zh-CN"/>
                <w14:textFill>
                  <w14:solidFill>
                    <w14:schemeClr w14:val="tx1"/>
                  </w14:solidFill>
                </w14:textFill>
              </w:rPr>
              <w:t>1项</w:t>
            </w:r>
          </w:p>
        </w:tc>
        <w:tc>
          <w:tcPr>
            <w:tcW w:w="2717" w:type="dxa"/>
            <w:tcBorders>
              <w:top w:val="single" w:color="auto" w:sz="4" w:space="0"/>
              <w:left w:val="single" w:color="auto" w:sz="4" w:space="0"/>
              <w:bottom w:val="single" w:color="auto" w:sz="4" w:space="0"/>
              <w:right w:val="single" w:color="auto" w:sz="4" w:space="0"/>
            </w:tcBorders>
            <w:noWrap w:val="0"/>
            <w:vAlign w:val="center"/>
          </w:tcPr>
          <w:p w14:paraId="0B0D0EB7">
            <w:pPr>
              <w:keepNext w:val="0"/>
              <w:keepLines w:val="0"/>
              <w:pageBreakBefore w:val="0"/>
              <w:widowControl w:val="0"/>
              <w:kinsoku/>
              <w:wordWrap/>
              <w:overflowPunct/>
              <w:topLinePunct w:val="0"/>
              <w:autoSpaceDE/>
              <w:autoSpaceDN/>
              <w:bidi w:val="0"/>
              <w:adjustRightInd/>
              <w:spacing w:line="400" w:lineRule="exact"/>
              <w:contextualSpacing/>
              <w:jc w:val="center"/>
              <w:textAlignment w:val="auto"/>
              <w:rPr>
                <w:rFonts w:ascii="宋体" w:hAnsi="宋体" w:cs="仿宋_GB2312"/>
                <w:color w:val="000000" w:themeColor="text1"/>
                <w:sz w:val="21"/>
                <w:szCs w:val="21"/>
                <w:highlight w:val="none"/>
                <w14:textFill>
                  <w14:solidFill>
                    <w14:schemeClr w14:val="tx1"/>
                  </w14:solidFill>
                </w14:textFill>
              </w:rPr>
            </w:pPr>
          </w:p>
        </w:tc>
        <w:tc>
          <w:tcPr>
            <w:tcW w:w="1522" w:type="dxa"/>
            <w:tcBorders>
              <w:top w:val="single" w:color="auto" w:sz="4" w:space="0"/>
              <w:left w:val="single" w:color="auto" w:sz="4" w:space="0"/>
              <w:bottom w:val="single" w:color="auto" w:sz="4" w:space="0"/>
              <w:right w:val="single" w:color="auto" w:sz="4" w:space="0"/>
            </w:tcBorders>
            <w:noWrap w:val="0"/>
            <w:vAlign w:val="center"/>
          </w:tcPr>
          <w:p w14:paraId="0B1716D9">
            <w:pPr>
              <w:keepNext w:val="0"/>
              <w:keepLines w:val="0"/>
              <w:pageBreakBefore w:val="0"/>
              <w:widowControl w:val="0"/>
              <w:kinsoku/>
              <w:wordWrap/>
              <w:overflowPunct/>
              <w:topLinePunct w:val="0"/>
              <w:autoSpaceDE/>
              <w:autoSpaceDN/>
              <w:bidi w:val="0"/>
              <w:adjustRightInd/>
              <w:spacing w:line="400" w:lineRule="exact"/>
              <w:contextualSpacing/>
              <w:textAlignment w:val="auto"/>
              <w:rPr>
                <w:rFonts w:ascii="宋体" w:hAnsi="宋体" w:cs="仿宋_GB2312"/>
                <w:color w:val="000000" w:themeColor="text1"/>
                <w:sz w:val="21"/>
                <w:szCs w:val="21"/>
                <w:highlight w:val="none"/>
                <w14:textFill>
                  <w14:solidFill>
                    <w14:schemeClr w14:val="tx1"/>
                  </w14:solidFill>
                </w14:textFill>
              </w:rPr>
            </w:pPr>
          </w:p>
        </w:tc>
      </w:tr>
      <w:tr w14:paraId="381868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5" w:hRule="atLeast"/>
        </w:trPr>
        <w:tc>
          <w:tcPr>
            <w:tcW w:w="9705" w:type="dxa"/>
            <w:gridSpan w:val="5"/>
            <w:tcBorders>
              <w:top w:val="single" w:color="auto" w:sz="4" w:space="0"/>
              <w:left w:val="single" w:color="auto" w:sz="4" w:space="0"/>
              <w:bottom w:val="single" w:color="auto" w:sz="4" w:space="0"/>
              <w:right w:val="single" w:color="auto" w:sz="4" w:space="0"/>
            </w:tcBorders>
            <w:noWrap w:val="0"/>
            <w:vAlign w:val="center"/>
          </w:tcPr>
          <w:p w14:paraId="4A449089">
            <w:pPr>
              <w:keepNext w:val="0"/>
              <w:keepLines w:val="0"/>
              <w:pageBreakBefore w:val="0"/>
              <w:widowControl w:val="0"/>
              <w:kinsoku/>
              <w:wordWrap/>
              <w:overflowPunct/>
              <w:topLinePunct w:val="0"/>
              <w:autoSpaceDE/>
              <w:autoSpaceDN/>
              <w:bidi w:val="0"/>
              <w:adjustRightInd/>
              <w:spacing w:line="400" w:lineRule="exact"/>
              <w:contextualSpacing/>
              <w:textAlignment w:val="auto"/>
              <w:rPr>
                <w:rFonts w:ascii="宋体" w:hAnsi="宋体" w:cs="仿宋_GB2312"/>
                <w:color w:val="000000" w:themeColor="text1"/>
                <w:sz w:val="21"/>
                <w:szCs w:val="21"/>
                <w:highlight w:val="none"/>
                <w14:textFill>
                  <w14:solidFill>
                    <w14:schemeClr w14:val="tx1"/>
                  </w14:solidFill>
                </w14:textFill>
              </w:rPr>
            </w:pPr>
            <w:r>
              <w:rPr>
                <w:rFonts w:hint="eastAsia" w:ascii="宋体" w:hAnsi="宋体" w:cs="仿宋_GB2312"/>
                <w:color w:val="000000" w:themeColor="text1"/>
                <w:sz w:val="21"/>
                <w:szCs w:val="21"/>
                <w:highlight w:val="none"/>
                <w14:textFill>
                  <w14:solidFill>
                    <w14:schemeClr w14:val="tx1"/>
                  </w14:solidFill>
                </w14:textFill>
              </w:rPr>
              <w:t>竞标总报价</w:t>
            </w:r>
            <w:r>
              <w:rPr>
                <w:rFonts w:hint="eastAsia" w:ascii="宋体" w:hAnsi="宋体" w:cs="仿宋_GB2312"/>
                <w:color w:val="000000" w:themeColor="text1"/>
                <w:sz w:val="21"/>
                <w:szCs w:val="21"/>
                <w:highlight w:val="none"/>
                <w:lang w:eastAsia="zh-CN"/>
                <w14:textFill>
                  <w14:solidFill>
                    <w14:schemeClr w14:val="tx1"/>
                  </w14:solidFill>
                </w14:textFill>
              </w:rPr>
              <w:t>：（</w:t>
            </w:r>
            <w:r>
              <w:rPr>
                <w:rFonts w:hint="eastAsia" w:ascii="宋体" w:hAnsi="宋体" w:cs="仿宋_GB2312"/>
                <w:color w:val="000000" w:themeColor="text1"/>
                <w:sz w:val="21"/>
                <w:szCs w:val="21"/>
                <w:highlight w:val="none"/>
                <w14:textFill>
                  <w14:solidFill>
                    <w14:schemeClr w14:val="tx1"/>
                  </w14:solidFill>
                </w14:textFill>
              </w:rPr>
              <w:t>大写</w:t>
            </w:r>
            <w:r>
              <w:rPr>
                <w:rFonts w:hint="eastAsia" w:ascii="宋体" w:hAnsi="宋体" w:cs="仿宋_GB2312"/>
                <w:color w:val="000000" w:themeColor="text1"/>
                <w:sz w:val="21"/>
                <w:szCs w:val="21"/>
                <w:highlight w:val="none"/>
                <w:lang w:eastAsia="zh-CN"/>
                <w14:textFill>
                  <w14:solidFill>
                    <w14:schemeClr w14:val="tx1"/>
                  </w14:solidFill>
                </w14:textFill>
              </w:rPr>
              <w:t>）</w:t>
            </w:r>
            <w:r>
              <w:rPr>
                <w:rFonts w:hint="eastAsia" w:ascii="宋体" w:hAnsi="宋体" w:cs="仿宋_GB2312"/>
                <w:color w:val="000000" w:themeColor="text1"/>
                <w:sz w:val="21"/>
                <w:szCs w:val="21"/>
                <w:highlight w:val="none"/>
                <w14:textFill>
                  <w14:solidFill>
                    <w14:schemeClr w14:val="tx1"/>
                  </w14:solidFill>
                </w14:textFill>
              </w:rPr>
              <w:t>人民币</w:t>
            </w:r>
            <w:r>
              <w:rPr>
                <w:rFonts w:hint="eastAsia" w:ascii="宋体" w:hAnsi="宋体" w:cs="仿宋_GB2312"/>
                <w:color w:val="000000" w:themeColor="text1"/>
                <w:sz w:val="21"/>
                <w:szCs w:val="21"/>
                <w:highlight w:val="none"/>
                <w:u w:val="single"/>
                <w14:textFill>
                  <w14:solidFill>
                    <w14:schemeClr w14:val="tx1"/>
                  </w14:solidFill>
                </w14:textFill>
              </w:rPr>
              <w:t xml:space="preserve">   </w:t>
            </w:r>
            <w:r>
              <w:rPr>
                <w:rFonts w:ascii="宋体" w:hAnsi="宋体" w:cs="仿宋_GB2312"/>
                <w:color w:val="000000" w:themeColor="text1"/>
                <w:sz w:val="21"/>
                <w:szCs w:val="21"/>
                <w:highlight w:val="none"/>
                <w:u w:val="single"/>
                <w14:textFill>
                  <w14:solidFill>
                    <w14:schemeClr w14:val="tx1"/>
                  </w14:solidFill>
                </w14:textFill>
              </w:rPr>
              <w:t xml:space="preserve">             </w:t>
            </w:r>
            <w:r>
              <w:rPr>
                <w:rFonts w:hint="eastAsia" w:ascii="宋体" w:hAnsi="宋体" w:cs="仿宋_GB2312"/>
                <w:color w:val="000000" w:themeColor="text1"/>
                <w:sz w:val="21"/>
                <w:szCs w:val="21"/>
                <w:highlight w:val="none"/>
                <w:u w:val="single"/>
                <w14:textFill>
                  <w14:solidFill>
                    <w14:schemeClr w14:val="tx1"/>
                  </w14:solidFill>
                </w14:textFill>
              </w:rPr>
              <w:t xml:space="preserve">        </w:t>
            </w:r>
            <w:r>
              <w:rPr>
                <w:rFonts w:ascii="宋体" w:hAnsi="宋体" w:cs="仿宋_GB2312"/>
                <w:color w:val="000000" w:themeColor="text1"/>
                <w:sz w:val="21"/>
                <w:szCs w:val="21"/>
                <w:highlight w:val="none"/>
                <w:u w:val="single"/>
                <w14:textFill>
                  <w14:solidFill>
                    <w14:schemeClr w14:val="tx1"/>
                  </w14:solidFill>
                </w14:textFill>
              </w:rPr>
              <w:t xml:space="preserve">  </w:t>
            </w:r>
            <w:r>
              <w:rPr>
                <w:rFonts w:ascii="宋体" w:hAnsi="宋体" w:cs="仿宋_GB2312"/>
                <w:color w:val="000000" w:themeColor="text1"/>
                <w:sz w:val="21"/>
                <w:szCs w:val="21"/>
                <w:highlight w:val="none"/>
                <w14:textFill>
                  <w14:solidFill>
                    <w14:schemeClr w14:val="tx1"/>
                  </w14:solidFill>
                </w14:textFill>
              </w:rPr>
              <w:t xml:space="preserve"> </w:t>
            </w:r>
            <w:r>
              <w:rPr>
                <w:rFonts w:hint="eastAsia" w:ascii="宋体" w:hAnsi="宋体" w:cs="仿宋_GB2312"/>
                <w:color w:val="000000" w:themeColor="text1"/>
                <w:sz w:val="21"/>
                <w:szCs w:val="21"/>
                <w:highlight w:val="none"/>
                <w:lang w:eastAsia="zh-CN"/>
                <w14:textFill>
                  <w14:solidFill>
                    <w14:schemeClr w14:val="tx1"/>
                  </w14:solidFill>
                </w14:textFill>
              </w:rPr>
              <w:t>（</w:t>
            </w:r>
            <w:r>
              <w:rPr>
                <w:rFonts w:hint="eastAsia" w:ascii="宋体" w:hAnsi="宋体" w:cs="仿宋_GB2312"/>
                <w:color w:val="000000" w:themeColor="text1"/>
                <w:sz w:val="21"/>
                <w:szCs w:val="21"/>
                <w:highlight w:val="none"/>
                <w:u w:val="none"/>
                <w:lang w:val="en-US" w:eastAsia="zh-CN"/>
                <w14:textFill>
                  <w14:solidFill>
                    <w14:schemeClr w14:val="tx1"/>
                  </w14:solidFill>
                </w14:textFill>
              </w:rPr>
              <w:t>小写</w:t>
            </w:r>
            <w:r>
              <w:rPr>
                <w:rFonts w:hint="eastAsia" w:ascii="宋体" w:hAnsi="宋体" w:cs="仿宋_GB2312"/>
                <w:color w:val="000000" w:themeColor="text1"/>
                <w:sz w:val="21"/>
                <w:szCs w:val="21"/>
                <w:highlight w:val="none"/>
                <w:lang w:eastAsia="zh-CN"/>
                <w14:textFill>
                  <w14:solidFill>
                    <w14:schemeClr w14:val="tx1"/>
                  </w14:solidFill>
                </w14:textFill>
              </w:rPr>
              <w:t>）</w:t>
            </w:r>
            <w:r>
              <w:rPr>
                <w:rFonts w:hint="eastAsia" w:ascii="宋体" w:hAnsi="宋体" w:cs="仿宋_GB2312"/>
                <w:color w:val="000000" w:themeColor="text1"/>
                <w:sz w:val="21"/>
                <w:szCs w:val="21"/>
                <w:highlight w:val="none"/>
                <w14:textFill>
                  <w14:solidFill>
                    <w14:schemeClr w14:val="tx1"/>
                  </w14:solidFill>
                </w14:textFill>
              </w:rPr>
              <w:t>（¥</w:t>
            </w:r>
            <w:r>
              <w:rPr>
                <w:rFonts w:hint="eastAsia" w:ascii="宋体" w:hAnsi="宋体" w:cs="仿宋_GB2312"/>
                <w:color w:val="000000" w:themeColor="text1"/>
                <w:sz w:val="21"/>
                <w:szCs w:val="21"/>
                <w:highlight w:val="none"/>
                <w:u w:val="single"/>
                <w14:textFill>
                  <w14:solidFill>
                    <w14:schemeClr w14:val="tx1"/>
                  </w14:solidFill>
                </w14:textFill>
              </w:rPr>
              <w:t xml:space="preserve">     </w:t>
            </w:r>
            <w:r>
              <w:rPr>
                <w:rFonts w:hint="eastAsia" w:ascii="宋体" w:hAnsi="宋体" w:cs="仿宋_GB2312"/>
                <w:color w:val="000000" w:themeColor="text1"/>
                <w:sz w:val="21"/>
                <w:szCs w:val="21"/>
                <w:highlight w:val="none"/>
                <w:u w:val="none"/>
                <w:lang w:eastAsia="zh-CN"/>
                <w14:textFill>
                  <w14:solidFill>
                    <w14:schemeClr w14:val="tx1"/>
                  </w14:solidFill>
                </w14:textFill>
              </w:rPr>
              <w:t>元</w:t>
            </w:r>
            <w:r>
              <w:rPr>
                <w:rFonts w:hint="eastAsia" w:ascii="宋体" w:hAnsi="宋体" w:cs="仿宋_GB2312"/>
                <w:color w:val="000000" w:themeColor="text1"/>
                <w:sz w:val="21"/>
                <w:szCs w:val="21"/>
                <w:highlight w:val="none"/>
                <w14:textFill>
                  <w14:solidFill>
                    <w14:schemeClr w14:val="tx1"/>
                  </w14:solidFill>
                </w14:textFill>
              </w:rPr>
              <w:t>）</w:t>
            </w:r>
          </w:p>
        </w:tc>
      </w:tr>
      <w:tr w14:paraId="309CB0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9" w:hRule="atLeast"/>
        </w:trPr>
        <w:tc>
          <w:tcPr>
            <w:tcW w:w="9705" w:type="dxa"/>
            <w:gridSpan w:val="5"/>
            <w:tcBorders>
              <w:top w:val="single" w:color="auto" w:sz="4" w:space="0"/>
              <w:left w:val="single" w:color="auto" w:sz="4" w:space="0"/>
              <w:bottom w:val="single" w:color="auto" w:sz="4" w:space="0"/>
              <w:right w:val="single" w:color="auto" w:sz="4" w:space="0"/>
            </w:tcBorders>
            <w:noWrap w:val="0"/>
            <w:vAlign w:val="center"/>
          </w:tcPr>
          <w:p w14:paraId="525282DF">
            <w:pPr>
              <w:keepNext w:val="0"/>
              <w:keepLines w:val="0"/>
              <w:pageBreakBefore w:val="0"/>
              <w:widowControl w:val="0"/>
              <w:kinsoku/>
              <w:wordWrap/>
              <w:overflowPunct/>
              <w:topLinePunct w:val="0"/>
              <w:autoSpaceDE/>
              <w:autoSpaceDN/>
              <w:bidi w:val="0"/>
              <w:adjustRightInd/>
              <w:spacing w:line="400" w:lineRule="exact"/>
              <w:contextualSpacing/>
              <w:textAlignment w:val="auto"/>
              <w:rPr>
                <w:rFonts w:hint="default" w:ascii="宋体" w:hAnsi="宋体" w:cs="仿宋_GB2312"/>
                <w:color w:val="000000" w:themeColor="text1"/>
                <w:sz w:val="21"/>
                <w:szCs w:val="21"/>
                <w:highlight w:val="none"/>
                <w:lang w:val="en-US"/>
                <w14:textFill>
                  <w14:solidFill>
                    <w14:schemeClr w14:val="tx1"/>
                  </w14:solidFill>
                </w14:textFill>
              </w:rPr>
            </w:pPr>
            <w:r>
              <w:rPr>
                <w:rFonts w:hint="default" w:ascii="宋体" w:hAnsi="宋体" w:eastAsia="宋体" w:cs="宋体"/>
                <w:color w:val="000000" w:themeColor="text1"/>
                <w:sz w:val="21"/>
                <w:szCs w:val="21"/>
                <w:highlight w:val="none"/>
                <w:lang w:val="en-US" w:eastAsia="zh-CN"/>
                <w14:textFill>
                  <w14:solidFill>
                    <w14:schemeClr w14:val="tx1"/>
                  </w14:solidFill>
                </w14:textFill>
              </w:rPr>
              <w:t>合同履行期限（</w:t>
            </w:r>
            <w:r>
              <w:rPr>
                <w:rFonts w:hint="eastAsia" w:ascii="宋体" w:hAnsi="宋体" w:cs="宋体"/>
                <w:color w:val="000000" w:themeColor="text1"/>
                <w:sz w:val="21"/>
                <w:szCs w:val="21"/>
                <w:highlight w:val="none"/>
                <w:lang w:val="en-US" w:eastAsia="zh-CN"/>
                <w14:textFill>
                  <w14:solidFill>
                    <w14:schemeClr w14:val="tx1"/>
                  </w14:solidFill>
                </w14:textFill>
              </w:rPr>
              <w:t>要求工期</w:t>
            </w:r>
            <w:r>
              <w:rPr>
                <w:rFonts w:hint="default" w:ascii="宋体" w:hAnsi="宋体" w:eastAsia="宋体" w:cs="宋体"/>
                <w:color w:val="000000" w:themeColor="text1"/>
                <w:sz w:val="21"/>
                <w:szCs w:val="21"/>
                <w:highlight w:val="none"/>
                <w:lang w:val="en-US" w:eastAsia="zh-CN"/>
                <w14:textFill>
                  <w14:solidFill>
                    <w14:schemeClr w14:val="tx1"/>
                  </w14:solidFill>
                </w14:textFill>
              </w:rPr>
              <w:t>）：</w:t>
            </w:r>
            <w:r>
              <w:rPr>
                <w:rFonts w:hint="eastAsia" w:ascii="宋体" w:hAnsi="宋体" w:eastAsia="宋体" w:cs="宋体"/>
                <w:color w:val="000000" w:themeColor="text1"/>
                <w:sz w:val="21"/>
                <w:szCs w:val="21"/>
                <w:highlight w:val="none"/>
                <w:u w:val="single"/>
                <w:lang w:val="en-US" w:eastAsia="zh-CN"/>
                <w14:textFill>
                  <w14:solidFill>
                    <w14:schemeClr w14:val="tx1"/>
                  </w14:solidFill>
                </w14:textFill>
              </w:rPr>
              <w:t xml:space="preserve">                </w:t>
            </w:r>
          </w:p>
        </w:tc>
      </w:tr>
      <w:tr w14:paraId="09207B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3" w:hRule="atLeast"/>
        </w:trPr>
        <w:tc>
          <w:tcPr>
            <w:tcW w:w="9705" w:type="dxa"/>
            <w:gridSpan w:val="5"/>
            <w:tcBorders>
              <w:top w:val="single" w:color="auto" w:sz="4" w:space="0"/>
              <w:left w:val="single" w:color="auto" w:sz="4" w:space="0"/>
              <w:bottom w:val="single" w:color="auto" w:sz="4" w:space="0"/>
              <w:right w:val="single" w:color="auto" w:sz="4" w:space="0"/>
            </w:tcBorders>
            <w:noWrap w:val="0"/>
            <w:vAlign w:val="center"/>
          </w:tcPr>
          <w:p w14:paraId="3A430F64">
            <w:pPr>
              <w:keepNext w:val="0"/>
              <w:keepLines w:val="0"/>
              <w:pageBreakBefore w:val="0"/>
              <w:widowControl w:val="0"/>
              <w:kinsoku/>
              <w:wordWrap/>
              <w:overflowPunct/>
              <w:topLinePunct w:val="0"/>
              <w:autoSpaceDE/>
              <w:autoSpaceDN/>
              <w:bidi w:val="0"/>
              <w:adjustRightInd/>
              <w:spacing w:line="400" w:lineRule="exact"/>
              <w:contextualSpacing/>
              <w:textAlignment w:val="auto"/>
              <w:rPr>
                <w:rFonts w:hint="eastAsia" w:hAnsi="宋体"/>
                <w:color w:val="000000" w:themeColor="text1"/>
                <w:kern w:val="56"/>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质量</w:t>
            </w:r>
            <w:r>
              <w:rPr>
                <w:rFonts w:hint="eastAsia"/>
                <w:color w:val="000000" w:themeColor="text1"/>
                <w:sz w:val="21"/>
                <w:szCs w:val="21"/>
                <w:highlight w:val="none"/>
                <w:lang w:eastAsia="zh-CN"/>
                <w14:textFill>
                  <w14:solidFill>
                    <w14:schemeClr w14:val="tx1"/>
                  </w14:solidFill>
                </w14:textFill>
              </w:rPr>
              <w:t>要求</w:t>
            </w:r>
            <w:r>
              <w:rPr>
                <w:rFonts w:hint="eastAsia"/>
                <w:color w:val="000000" w:themeColor="text1"/>
                <w:sz w:val="21"/>
                <w:szCs w:val="21"/>
                <w:highlight w:val="none"/>
                <w14:textFill>
                  <w14:solidFill>
                    <w14:schemeClr w14:val="tx1"/>
                  </w14:solidFill>
                </w14:textFill>
              </w:rPr>
              <w:t>：</w:t>
            </w:r>
            <w:r>
              <w:rPr>
                <w:rFonts w:hint="eastAsia" w:hAnsi="宋体"/>
                <w:color w:val="000000" w:themeColor="text1"/>
                <w:kern w:val="56"/>
                <w:sz w:val="21"/>
                <w:szCs w:val="21"/>
                <w:highlight w:val="none"/>
                <w:u w:val="single"/>
                <w14:textFill>
                  <w14:solidFill>
                    <w14:schemeClr w14:val="tx1"/>
                  </w14:solidFill>
                </w14:textFill>
              </w:rPr>
              <w:t xml:space="preserve">                       </w:t>
            </w:r>
          </w:p>
        </w:tc>
      </w:tr>
    </w:tbl>
    <w:p w14:paraId="01F94B60">
      <w:pPr>
        <w:keepNext w:val="0"/>
        <w:keepLines w:val="0"/>
        <w:pageBreakBefore w:val="0"/>
        <w:widowControl w:val="0"/>
        <w:kinsoku/>
        <w:wordWrap/>
        <w:overflowPunct/>
        <w:topLinePunct w:val="0"/>
        <w:autoSpaceDE/>
        <w:autoSpaceDN/>
        <w:bidi w:val="0"/>
        <w:adjustRightInd/>
        <w:snapToGrid w:val="0"/>
        <w:spacing w:before="50" w:after="50" w:line="360" w:lineRule="auto"/>
        <w:jc w:val="left"/>
        <w:textAlignment w:val="auto"/>
        <w:rPr>
          <w:color w:val="000000" w:themeColor="text1"/>
          <w:kern w:val="0"/>
          <w:szCs w:val="21"/>
          <w:highlight w:val="none"/>
          <w:lang w:val="zh-CN"/>
          <w14:textFill>
            <w14:solidFill>
              <w14:schemeClr w14:val="tx1"/>
            </w14:solidFill>
          </w14:textFill>
        </w:rPr>
      </w:pPr>
      <w:r>
        <w:rPr>
          <w:color w:val="000000" w:themeColor="text1"/>
          <w:kern w:val="0"/>
          <w:szCs w:val="21"/>
          <w:highlight w:val="none"/>
          <w:lang w:val="zh-CN"/>
          <w14:textFill>
            <w14:solidFill>
              <w14:schemeClr w14:val="tx1"/>
            </w14:solidFill>
          </w14:textFill>
        </w:rPr>
        <w:t>注：</w:t>
      </w:r>
    </w:p>
    <w:p w14:paraId="56939EBD">
      <w:pPr>
        <w:keepNext w:val="0"/>
        <w:keepLines w:val="0"/>
        <w:pageBreakBefore w:val="0"/>
        <w:widowControl w:val="0"/>
        <w:kinsoku/>
        <w:wordWrap/>
        <w:overflowPunct/>
        <w:topLinePunct w:val="0"/>
        <w:autoSpaceDE/>
        <w:autoSpaceDN/>
        <w:bidi w:val="0"/>
        <w:adjustRightInd/>
        <w:snapToGrid w:val="0"/>
        <w:spacing w:before="50" w:after="50" w:line="360" w:lineRule="auto"/>
        <w:ind w:firstLine="422" w:firstLineChars="200"/>
        <w:jc w:val="left"/>
        <w:textAlignment w:val="auto"/>
        <w:rPr>
          <w:rFonts w:hint="eastAsia" w:eastAsia="宋体"/>
          <w:color w:val="000000" w:themeColor="text1"/>
          <w:kern w:val="0"/>
          <w:szCs w:val="21"/>
          <w:highlight w:val="none"/>
          <w:lang w:val="zh-CN" w:eastAsia="zh-CN"/>
          <w14:textFill>
            <w14:solidFill>
              <w14:schemeClr w14:val="tx1"/>
            </w14:solidFill>
          </w14:textFill>
        </w:rPr>
      </w:pPr>
      <w:r>
        <w:rPr>
          <w:rFonts w:hint="eastAsia" w:cs="宋体"/>
          <w:b/>
          <w:bCs/>
          <w:color w:val="000000" w:themeColor="text1"/>
          <w:sz w:val="21"/>
          <w:szCs w:val="21"/>
          <w:highlight w:val="none"/>
          <w:lang w:val="en-US" w:eastAsia="zh-CN"/>
          <w14:textFill>
            <w14:solidFill>
              <w14:schemeClr w14:val="tx1"/>
            </w14:solidFill>
          </w14:textFill>
        </w:rPr>
        <w:t>1、</w:t>
      </w:r>
      <w:r>
        <w:rPr>
          <w:rFonts w:hint="eastAsia" w:ascii="Times New Roman" w:hAnsi="Times New Roman" w:eastAsia="宋体" w:cs="宋体"/>
          <w:b/>
          <w:bCs/>
          <w:color w:val="000000" w:themeColor="text1"/>
          <w:sz w:val="21"/>
          <w:szCs w:val="21"/>
          <w:highlight w:val="none"/>
          <w14:textFill>
            <w14:solidFill>
              <w14:schemeClr w14:val="tx1"/>
            </w14:solidFill>
          </w14:textFill>
        </w:rPr>
        <w:t>如</w:t>
      </w:r>
      <w:r>
        <w:rPr>
          <w:rFonts w:hint="eastAsia" w:cs="宋体"/>
          <w:b/>
          <w:bCs/>
          <w:color w:val="000000" w:themeColor="text1"/>
          <w:sz w:val="21"/>
          <w:szCs w:val="21"/>
          <w:highlight w:val="none"/>
          <w:lang w:eastAsia="zh-CN"/>
          <w14:textFill>
            <w14:solidFill>
              <w14:schemeClr w14:val="tx1"/>
            </w14:solidFill>
          </w14:textFill>
        </w:rPr>
        <w:t>供应商</w:t>
      </w:r>
      <w:r>
        <w:rPr>
          <w:rFonts w:hint="eastAsia" w:ascii="Times New Roman" w:hAnsi="Times New Roman" w:eastAsia="宋体" w:cs="宋体"/>
          <w:b/>
          <w:bCs/>
          <w:color w:val="000000" w:themeColor="text1"/>
          <w:sz w:val="21"/>
          <w:szCs w:val="21"/>
          <w:highlight w:val="none"/>
          <w14:textFill>
            <w14:solidFill>
              <w14:schemeClr w14:val="tx1"/>
            </w14:solidFill>
          </w14:textFill>
        </w:rPr>
        <w:t>最后报价与首次报价不一致的，</w:t>
      </w:r>
      <w:r>
        <w:rPr>
          <w:rFonts w:hint="eastAsia" w:cs="宋体"/>
          <w:b/>
          <w:bCs/>
          <w:color w:val="000000" w:themeColor="text1"/>
          <w:sz w:val="21"/>
          <w:szCs w:val="21"/>
          <w:highlight w:val="none"/>
          <w:lang w:eastAsia="zh-CN"/>
          <w14:textFill>
            <w14:solidFill>
              <w14:schemeClr w14:val="tx1"/>
            </w14:solidFill>
          </w14:textFill>
        </w:rPr>
        <w:t>须附与最后报价相对应的“</w:t>
      </w:r>
      <w:r>
        <w:rPr>
          <w:rFonts w:hint="eastAsia" w:ascii="Times New Roman" w:hAnsi="Times New Roman" w:eastAsia="宋体" w:cs="宋体"/>
          <w:b/>
          <w:bCs/>
          <w:color w:val="000000" w:themeColor="text1"/>
          <w:sz w:val="21"/>
          <w:szCs w:val="21"/>
          <w:highlight w:val="none"/>
          <w14:textFill>
            <w14:solidFill>
              <w14:schemeClr w14:val="tx1"/>
            </w14:solidFill>
          </w14:textFill>
        </w:rPr>
        <w:t>已标价工程量清单</w:t>
      </w:r>
      <w:r>
        <w:rPr>
          <w:rFonts w:hint="eastAsia" w:cs="宋体"/>
          <w:b/>
          <w:bCs/>
          <w:color w:val="000000" w:themeColor="text1"/>
          <w:sz w:val="21"/>
          <w:szCs w:val="21"/>
          <w:highlight w:val="none"/>
          <w:lang w:eastAsia="zh-CN"/>
          <w14:textFill>
            <w14:solidFill>
              <w14:schemeClr w14:val="tx1"/>
            </w14:solidFill>
          </w14:textFill>
        </w:rPr>
        <w:t>”，否则其响应按无效响应处理。</w:t>
      </w:r>
    </w:p>
    <w:p w14:paraId="53356318">
      <w:pPr>
        <w:keepNext w:val="0"/>
        <w:keepLines w:val="0"/>
        <w:pageBreakBefore w:val="0"/>
        <w:widowControl w:val="0"/>
        <w:kinsoku/>
        <w:wordWrap/>
        <w:overflowPunct/>
        <w:topLinePunct w:val="0"/>
        <w:autoSpaceDE/>
        <w:autoSpaceDN/>
        <w:bidi w:val="0"/>
        <w:adjustRightInd/>
        <w:snapToGrid w:val="0"/>
        <w:spacing w:before="50" w:after="50" w:line="360" w:lineRule="auto"/>
        <w:ind w:firstLine="420" w:firstLineChars="200"/>
        <w:jc w:val="left"/>
        <w:textAlignment w:val="auto"/>
        <w:rPr>
          <w:color w:val="000000" w:themeColor="text1"/>
          <w:kern w:val="0"/>
          <w:szCs w:val="21"/>
          <w:highlight w:val="none"/>
          <w:lang w:val="zh-CN"/>
          <w14:textFill>
            <w14:solidFill>
              <w14:schemeClr w14:val="tx1"/>
            </w14:solidFill>
          </w14:textFill>
        </w:rPr>
      </w:pPr>
      <w:r>
        <w:rPr>
          <w:rFonts w:hint="eastAsia"/>
          <w:color w:val="000000" w:themeColor="text1"/>
          <w:kern w:val="0"/>
          <w:szCs w:val="21"/>
          <w:highlight w:val="none"/>
          <w:lang w:val="en-US" w:eastAsia="zh-CN"/>
          <w14:textFill>
            <w14:solidFill>
              <w14:schemeClr w14:val="tx1"/>
            </w14:solidFill>
          </w14:textFill>
        </w:rPr>
        <w:t>2</w:t>
      </w:r>
      <w:r>
        <w:rPr>
          <w:color w:val="000000" w:themeColor="text1"/>
          <w:kern w:val="0"/>
          <w:szCs w:val="21"/>
          <w:highlight w:val="none"/>
          <w:lang w:val="zh-CN"/>
          <w14:textFill>
            <w14:solidFill>
              <w14:schemeClr w14:val="tx1"/>
            </w14:solidFill>
          </w14:textFill>
        </w:rPr>
        <w:t>、供应商需按本表格式填写，不得自行更改，也不得留空（</w:t>
      </w:r>
      <w:r>
        <w:rPr>
          <w:color w:val="000000" w:themeColor="text1"/>
          <w:szCs w:val="21"/>
          <w:highlight w:val="none"/>
          <w14:textFill>
            <w14:solidFill>
              <w14:schemeClr w14:val="tx1"/>
            </w14:solidFill>
          </w14:textFill>
        </w:rPr>
        <w:t>备注除外</w:t>
      </w:r>
      <w:r>
        <w:rPr>
          <w:color w:val="000000" w:themeColor="text1"/>
          <w:kern w:val="0"/>
          <w:szCs w:val="21"/>
          <w:highlight w:val="none"/>
          <w:lang w:val="zh-CN"/>
          <w14:textFill>
            <w14:solidFill>
              <w14:schemeClr w14:val="tx1"/>
            </w14:solidFill>
          </w14:textFill>
        </w:rPr>
        <w:t>）</w:t>
      </w:r>
      <w:r>
        <w:rPr>
          <w:rFonts w:hint="eastAsia"/>
          <w:color w:val="000000" w:themeColor="text1"/>
          <w:kern w:val="0"/>
          <w:szCs w:val="21"/>
          <w:highlight w:val="none"/>
          <w:lang w:val="zh-CN"/>
          <w14:textFill>
            <w14:solidFill>
              <w14:schemeClr w14:val="tx1"/>
            </w14:solidFill>
          </w14:textFill>
        </w:rPr>
        <w:t>，</w:t>
      </w:r>
      <w:r>
        <w:rPr>
          <w:color w:val="000000" w:themeColor="text1"/>
          <w:kern w:val="0"/>
          <w:szCs w:val="21"/>
          <w:highlight w:val="none"/>
          <w:lang w:val="zh-CN"/>
          <w14:textFill>
            <w14:solidFill>
              <w14:schemeClr w14:val="tx1"/>
            </w14:solidFill>
          </w14:textFill>
        </w:rPr>
        <w:t>如有多分标，按分标分别提供响应报价表，</w:t>
      </w:r>
      <w:r>
        <w:rPr>
          <w:b/>
          <w:color w:val="000000" w:themeColor="text1"/>
          <w:kern w:val="0"/>
          <w:szCs w:val="21"/>
          <w:highlight w:val="none"/>
          <w:lang w:val="zh-CN"/>
          <w14:textFill>
            <w14:solidFill>
              <w14:schemeClr w14:val="tx1"/>
            </w14:solidFill>
          </w14:textFill>
        </w:rPr>
        <w:t>否则其响应按无效响应处理。</w:t>
      </w:r>
    </w:p>
    <w:p w14:paraId="13B82079">
      <w:pPr>
        <w:keepNext w:val="0"/>
        <w:keepLines w:val="0"/>
        <w:pageBreakBefore w:val="0"/>
        <w:widowControl w:val="0"/>
        <w:kinsoku/>
        <w:wordWrap/>
        <w:overflowPunct/>
        <w:topLinePunct w:val="0"/>
        <w:autoSpaceDE/>
        <w:autoSpaceDN/>
        <w:bidi w:val="0"/>
        <w:adjustRightInd/>
        <w:snapToGrid w:val="0"/>
        <w:spacing w:before="50" w:after="50" w:line="360" w:lineRule="auto"/>
        <w:ind w:firstLine="420" w:firstLineChars="200"/>
        <w:jc w:val="left"/>
        <w:textAlignment w:val="auto"/>
        <w:rPr>
          <w:b/>
          <w:color w:val="000000" w:themeColor="text1"/>
          <w:kern w:val="0"/>
          <w:szCs w:val="21"/>
          <w:highlight w:val="none"/>
          <w:lang w:val="zh-CN"/>
          <w14:textFill>
            <w14:solidFill>
              <w14:schemeClr w14:val="tx1"/>
            </w14:solidFill>
          </w14:textFill>
        </w:rPr>
      </w:pPr>
      <w:r>
        <w:rPr>
          <w:rFonts w:hint="eastAsia"/>
          <w:color w:val="000000" w:themeColor="text1"/>
          <w:kern w:val="0"/>
          <w:szCs w:val="21"/>
          <w:highlight w:val="none"/>
          <w:lang w:val="en-US" w:eastAsia="zh-CN"/>
          <w14:textFill>
            <w14:solidFill>
              <w14:schemeClr w14:val="tx1"/>
            </w14:solidFill>
          </w14:textFill>
        </w:rPr>
        <w:t>3</w:t>
      </w:r>
      <w:r>
        <w:rPr>
          <w:color w:val="000000" w:themeColor="text1"/>
          <w:kern w:val="0"/>
          <w:szCs w:val="21"/>
          <w:highlight w:val="none"/>
          <w:lang w:val="zh-CN"/>
          <w14:textFill>
            <w14:solidFill>
              <w14:schemeClr w14:val="tx1"/>
            </w14:solidFill>
          </w14:textFill>
        </w:rPr>
        <w:t>、如为联合体响应的，</w:t>
      </w:r>
      <w:r>
        <w:rPr>
          <w:rFonts w:hint="eastAsia"/>
          <w:color w:val="000000" w:themeColor="text1"/>
          <w:kern w:val="0"/>
          <w:szCs w:val="21"/>
          <w:highlight w:val="none"/>
          <w:lang w:val="zh-CN"/>
          <w14:textFill>
            <w14:solidFill>
              <w14:schemeClr w14:val="tx1"/>
            </w14:solidFill>
          </w14:textFill>
        </w:rPr>
        <w:t>“</w:t>
      </w:r>
      <w:r>
        <w:rPr>
          <w:color w:val="000000" w:themeColor="text1"/>
          <w:kern w:val="0"/>
          <w:szCs w:val="21"/>
          <w:highlight w:val="none"/>
          <w:lang w:val="zh-CN"/>
          <w14:textFill>
            <w14:solidFill>
              <w14:schemeClr w14:val="tx1"/>
            </w14:solidFill>
          </w14:textFill>
        </w:rPr>
        <w:t>供应商名称</w:t>
      </w:r>
      <w:r>
        <w:rPr>
          <w:rFonts w:hint="eastAsia"/>
          <w:color w:val="000000" w:themeColor="text1"/>
          <w:kern w:val="0"/>
          <w:szCs w:val="21"/>
          <w:highlight w:val="none"/>
          <w:lang w:val="zh-CN"/>
          <w14:textFill>
            <w14:solidFill>
              <w14:schemeClr w14:val="tx1"/>
            </w14:solidFill>
          </w14:textFill>
        </w:rPr>
        <w:t>”</w:t>
      </w:r>
      <w:r>
        <w:rPr>
          <w:color w:val="000000" w:themeColor="text1"/>
          <w:kern w:val="0"/>
          <w:szCs w:val="21"/>
          <w:highlight w:val="none"/>
          <w:lang w:val="zh-CN"/>
          <w14:textFill>
            <w14:solidFill>
              <w14:schemeClr w14:val="tx1"/>
            </w14:solidFill>
          </w14:textFill>
        </w:rPr>
        <w:t>处必须列明联合体各方名称，并标注联合体牵头人名称，且盖章处须加盖联合体各方公章，</w:t>
      </w:r>
      <w:r>
        <w:rPr>
          <w:b/>
          <w:color w:val="000000" w:themeColor="text1"/>
          <w:kern w:val="0"/>
          <w:szCs w:val="21"/>
          <w:highlight w:val="none"/>
          <w:lang w:val="zh-CN"/>
          <w14:textFill>
            <w14:solidFill>
              <w14:schemeClr w14:val="tx1"/>
            </w14:solidFill>
          </w14:textFill>
        </w:rPr>
        <w:t>否则其响应按无效响应处理。</w:t>
      </w:r>
    </w:p>
    <w:p w14:paraId="3536EC74">
      <w:pPr>
        <w:keepNext w:val="0"/>
        <w:keepLines w:val="0"/>
        <w:pageBreakBefore w:val="0"/>
        <w:widowControl w:val="0"/>
        <w:kinsoku/>
        <w:wordWrap/>
        <w:overflowPunct/>
        <w:topLinePunct w:val="0"/>
        <w:autoSpaceDE/>
        <w:autoSpaceDN/>
        <w:bidi w:val="0"/>
        <w:adjustRightInd/>
        <w:snapToGrid w:val="0"/>
        <w:spacing w:line="360" w:lineRule="auto"/>
        <w:ind w:firstLine="420" w:firstLineChars="200"/>
        <w:jc w:val="left"/>
        <w:textAlignment w:val="auto"/>
        <w:rPr>
          <w:color w:val="000000" w:themeColor="text1"/>
          <w:kern w:val="0"/>
          <w:szCs w:val="21"/>
          <w:highlight w:val="none"/>
          <w:lang w:val="zh-CN"/>
          <w14:textFill>
            <w14:solidFill>
              <w14:schemeClr w14:val="tx1"/>
            </w14:solidFill>
          </w14:textFill>
        </w:rPr>
      </w:pPr>
      <w:r>
        <w:rPr>
          <w:rFonts w:hint="eastAsia"/>
          <w:color w:val="000000" w:themeColor="text1"/>
          <w:kern w:val="0"/>
          <w:szCs w:val="21"/>
          <w:highlight w:val="none"/>
          <w:lang w:val="en-US" w:eastAsia="zh-CN"/>
          <w14:textFill>
            <w14:solidFill>
              <w14:schemeClr w14:val="tx1"/>
            </w14:solidFill>
          </w14:textFill>
        </w:rPr>
        <w:t>4</w:t>
      </w:r>
      <w:r>
        <w:rPr>
          <w:color w:val="000000" w:themeColor="text1"/>
          <w:kern w:val="0"/>
          <w:szCs w:val="21"/>
          <w:highlight w:val="none"/>
          <w:lang w:val="zh-CN"/>
          <w14:textFill>
            <w14:solidFill>
              <w14:schemeClr w14:val="tx1"/>
            </w14:solidFill>
          </w14:textFill>
        </w:rPr>
        <w:t>、特别提示：采购代理机构将对项目名称和项目编号，成交供应商名称</w:t>
      </w:r>
      <w:r>
        <w:rPr>
          <w:rFonts w:hint="eastAsia"/>
          <w:color w:val="000000" w:themeColor="text1"/>
          <w:kern w:val="0"/>
          <w:szCs w:val="21"/>
          <w:highlight w:val="none"/>
          <w:lang w:val="zh-CN"/>
          <w14:textFill>
            <w14:solidFill>
              <w14:schemeClr w14:val="tx1"/>
            </w14:solidFill>
          </w14:textFill>
        </w:rPr>
        <w:t>、</w:t>
      </w:r>
      <w:r>
        <w:rPr>
          <w:color w:val="000000" w:themeColor="text1"/>
          <w:kern w:val="0"/>
          <w:szCs w:val="21"/>
          <w:highlight w:val="none"/>
          <w:lang w:val="zh-CN"/>
          <w14:textFill>
            <w14:solidFill>
              <w14:schemeClr w14:val="tx1"/>
            </w14:solidFill>
          </w14:textFill>
        </w:rPr>
        <w:t>成交金额，</w:t>
      </w:r>
      <w:r>
        <w:rPr>
          <w:rFonts w:hint="eastAsia" w:cs="宋体"/>
          <w:color w:val="000000" w:themeColor="text1"/>
          <w:highlight w:val="none"/>
          <w14:textFill>
            <w14:solidFill>
              <w14:schemeClr w14:val="tx1"/>
            </w14:solidFill>
          </w14:textFill>
        </w:rPr>
        <w:t>工期</w:t>
      </w:r>
      <w:r>
        <w:rPr>
          <w:color w:val="000000" w:themeColor="text1"/>
          <w:kern w:val="0"/>
          <w:szCs w:val="21"/>
          <w:highlight w:val="none"/>
          <w:lang w:val="zh-CN"/>
          <w14:textFill>
            <w14:solidFill>
              <w14:schemeClr w14:val="tx1"/>
            </w14:solidFill>
          </w14:textFill>
        </w:rPr>
        <w:t>、</w:t>
      </w:r>
      <w:r>
        <w:rPr>
          <w:rFonts w:hint="eastAsia" w:cs="宋体"/>
          <w:color w:val="000000" w:themeColor="text1"/>
          <w:highlight w:val="none"/>
          <w:lang w:eastAsia="zh-CN"/>
          <w14:textFill>
            <w14:solidFill>
              <w14:schemeClr w14:val="tx1"/>
            </w14:solidFill>
          </w14:textFill>
        </w:rPr>
        <w:t>质量要求</w:t>
      </w:r>
      <w:r>
        <w:rPr>
          <w:color w:val="000000" w:themeColor="text1"/>
          <w:kern w:val="0"/>
          <w:szCs w:val="21"/>
          <w:highlight w:val="none"/>
          <w:lang w:val="zh-CN"/>
          <w14:textFill>
            <w14:solidFill>
              <w14:schemeClr w14:val="tx1"/>
            </w14:solidFill>
          </w14:textFill>
        </w:rPr>
        <w:t>等予以公示。</w:t>
      </w:r>
    </w:p>
    <w:p w14:paraId="0F3425C4">
      <w:pPr>
        <w:keepNext w:val="0"/>
        <w:keepLines w:val="0"/>
        <w:pageBreakBefore w:val="0"/>
        <w:widowControl w:val="0"/>
        <w:kinsoku/>
        <w:wordWrap/>
        <w:overflowPunct/>
        <w:topLinePunct w:val="0"/>
        <w:autoSpaceDE/>
        <w:autoSpaceDN/>
        <w:bidi w:val="0"/>
        <w:adjustRightInd/>
        <w:snapToGrid w:val="0"/>
        <w:spacing w:line="360" w:lineRule="auto"/>
        <w:ind w:firstLine="420" w:firstLineChars="200"/>
        <w:jc w:val="left"/>
        <w:textAlignment w:val="auto"/>
        <w:rPr>
          <w:color w:val="000000" w:themeColor="text1"/>
          <w:kern w:val="0"/>
          <w:szCs w:val="21"/>
          <w:highlight w:val="none"/>
          <w:lang w:val="zh-CN"/>
          <w14:textFill>
            <w14:solidFill>
              <w14:schemeClr w14:val="tx1"/>
            </w14:solidFill>
          </w14:textFill>
        </w:rPr>
      </w:pPr>
      <w:r>
        <w:rPr>
          <w:rFonts w:hint="eastAsia"/>
          <w:color w:val="000000" w:themeColor="text1"/>
          <w:kern w:val="0"/>
          <w:szCs w:val="21"/>
          <w:highlight w:val="none"/>
          <w:lang w:val="en-US" w:eastAsia="zh-CN"/>
          <w14:textFill>
            <w14:solidFill>
              <w14:schemeClr w14:val="tx1"/>
            </w14:solidFill>
          </w14:textFill>
        </w:rPr>
        <w:t>5</w:t>
      </w:r>
      <w:r>
        <w:rPr>
          <w:color w:val="000000" w:themeColor="text1"/>
          <w:kern w:val="0"/>
          <w:szCs w:val="21"/>
          <w:highlight w:val="none"/>
          <w:lang w:val="zh-CN"/>
          <w14:textFill>
            <w14:solidFill>
              <w14:schemeClr w14:val="tx1"/>
            </w14:solidFill>
          </w14:textFill>
        </w:rPr>
        <w:t>、符合采购文件中列明的可享受中小企业扶持政策的供应商，请填写中小企业声明函。</w:t>
      </w:r>
    </w:p>
    <w:p w14:paraId="5C09A950">
      <w:pPr>
        <w:keepNext w:val="0"/>
        <w:keepLines w:val="0"/>
        <w:pageBreakBefore w:val="0"/>
        <w:widowControl w:val="0"/>
        <w:kinsoku/>
        <w:wordWrap/>
        <w:overflowPunct/>
        <w:topLinePunct w:val="0"/>
        <w:autoSpaceDE/>
        <w:autoSpaceDN/>
        <w:bidi w:val="0"/>
        <w:adjustRightInd/>
        <w:snapToGrid w:val="0"/>
        <w:spacing w:line="360" w:lineRule="auto"/>
        <w:ind w:firstLine="420" w:firstLineChars="200"/>
        <w:jc w:val="left"/>
        <w:textAlignment w:val="auto"/>
        <w:rPr>
          <w:color w:val="000000" w:themeColor="text1"/>
          <w:kern w:val="0"/>
          <w:szCs w:val="21"/>
          <w:highlight w:val="none"/>
          <w:lang w:val="zh-CN"/>
          <w14:textFill>
            <w14:solidFill>
              <w14:schemeClr w14:val="tx1"/>
            </w14:solidFill>
          </w14:textFill>
        </w:rPr>
      </w:pPr>
      <w:r>
        <w:rPr>
          <w:rFonts w:hint="eastAsia"/>
          <w:color w:val="000000" w:themeColor="text1"/>
          <w:kern w:val="0"/>
          <w:szCs w:val="21"/>
          <w:highlight w:val="none"/>
          <w:lang w:val="en-US" w:eastAsia="zh-CN"/>
          <w14:textFill>
            <w14:solidFill>
              <w14:schemeClr w14:val="tx1"/>
            </w14:solidFill>
          </w14:textFill>
        </w:rPr>
        <w:t>6</w:t>
      </w:r>
      <w:r>
        <w:rPr>
          <w:color w:val="000000" w:themeColor="text1"/>
          <w:kern w:val="0"/>
          <w:szCs w:val="21"/>
          <w:highlight w:val="none"/>
          <w14:textFill>
            <w14:solidFill>
              <w14:schemeClr w14:val="tx1"/>
            </w14:solidFill>
          </w14:textFill>
        </w:rPr>
        <w:t>、</w:t>
      </w:r>
      <w:r>
        <w:rPr>
          <w:color w:val="000000" w:themeColor="text1"/>
          <w:kern w:val="0"/>
          <w:szCs w:val="21"/>
          <w:highlight w:val="none"/>
          <w:lang w:val="zh-CN"/>
          <w14:textFill>
            <w14:solidFill>
              <w14:schemeClr w14:val="tx1"/>
            </w14:solidFill>
          </w14:textFill>
        </w:rPr>
        <w:t>供应商提供的中小企业声明函内容不实的，属于提供虚假材料谋取中标、成交，依照《中华人民共和国政府采购法》等国家有关规定追究相应责任。</w:t>
      </w:r>
    </w:p>
    <w:p w14:paraId="00313C36">
      <w:pPr>
        <w:keepNext w:val="0"/>
        <w:keepLines w:val="0"/>
        <w:pageBreakBefore w:val="0"/>
        <w:widowControl w:val="0"/>
        <w:kinsoku/>
        <w:wordWrap/>
        <w:overflowPunct/>
        <w:topLinePunct w:val="0"/>
        <w:autoSpaceDE/>
        <w:autoSpaceDN/>
        <w:bidi w:val="0"/>
        <w:adjustRightInd/>
        <w:snapToGrid w:val="0"/>
        <w:spacing w:line="360" w:lineRule="auto"/>
        <w:ind w:firstLine="420" w:firstLineChars="200"/>
        <w:jc w:val="left"/>
        <w:textAlignment w:val="auto"/>
        <w:rPr>
          <w:color w:val="000000" w:themeColor="text1"/>
          <w:kern w:val="0"/>
          <w:szCs w:val="21"/>
          <w:highlight w:val="none"/>
          <w:lang w:val="zh-CN"/>
          <w14:textFill>
            <w14:solidFill>
              <w14:schemeClr w14:val="tx1"/>
            </w14:solidFill>
          </w14:textFill>
        </w:rPr>
      </w:pPr>
    </w:p>
    <w:p w14:paraId="6F2BA728">
      <w:pPr>
        <w:pStyle w:val="14"/>
        <w:keepNext w:val="0"/>
        <w:keepLines w:val="0"/>
        <w:pageBreakBefore w:val="0"/>
        <w:widowControl w:val="0"/>
        <w:kinsoku/>
        <w:wordWrap/>
        <w:overflowPunct/>
        <w:topLinePunct w:val="0"/>
        <w:autoSpaceDE/>
        <w:autoSpaceDN/>
        <w:bidi w:val="0"/>
        <w:adjustRightInd/>
        <w:spacing w:line="360" w:lineRule="auto"/>
        <w:textAlignment w:val="auto"/>
        <w:rPr>
          <w:color w:val="000000" w:themeColor="text1"/>
          <w:szCs w:val="21"/>
          <w:highlight w:val="none"/>
          <w14:textFill>
            <w14:solidFill>
              <w14:schemeClr w14:val="tx1"/>
            </w14:solidFill>
          </w14:textFill>
        </w:rPr>
      </w:pPr>
    </w:p>
    <w:p w14:paraId="29B0E9ED">
      <w:pPr>
        <w:keepNext w:val="0"/>
        <w:keepLines w:val="0"/>
        <w:pageBreakBefore w:val="0"/>
        <w:widowControl w:val="0"/>
        <w:kinsoku/>
        <w:wordWrap/>
        <w:overflowPunct/>
        <w:topLinePunct w:val="0"/>
        <w:autoSpaceDE/>
        <w:autoSpaceDN/>
        <w:bidi w:val="0"/>
        <w:adjustRightInd/>
        <w:spacing w:line="360" w:lineRule="auto"/>
        <w:ind w:firstLine="4410" w:firstLineChars="2100"/>
        <w:textAlignment w:val="auto"/>
        <w:rPr>
          <w:color w:val="000000" w:themeColor="text1"/>
          <w:szCs w:val="21"/>
          <w:highlight w:val="none"/>
          <w:u w:val="single"/>
          <w14:textFill>
            <w14:solidFill>
              <w14:schemeClr w14:val="tx1"/>
            </w14:solidFill>
          </w14:textFill>
        </w:rPr>
      </w:pPr>
      <w:r>
        <w:rPr>
          <w:color w:val="000000" w:themeColor="text1"/>
          <w:szCs w:val="21"/>
          <w:highlight w:val="none"/>
          <w14:textFill>
            <w14:solidFill>
              <w14:schemeClr w14:val="tx1"/>
            </w14:solidFill>
          </w14:textFill>
        </w:rPr>
        <w:t>供应商</w:t>
      </w:r>
      <w:r>
        <w:rPr>
          <w:color w:val="000000" w:themeColor="text1"/>
          <w:kern w:val="0"/>
          <w:szCs w:val="21"/>
          <w:highlight w:val="none"/>
          <w14:textFill>
            <w14:solidFill>
              <w14:schemeClr w14:val="tx1"/>
            </w14:solidFill>
          </w14:textFill>
        </w:rPr>
        <w:t>名称</w:t>
      </w:r>
      <w:r>
        <w:rPr>
          <w:color w:val="000000" w:themeColor="text1"/>
          <w:szCs w:val="21"/>
          <w:highlight w:val="none"/>
          <w14:textFill>
            <w14:solidFill>
              <w14:schemeClr w14:val="tx1"/>
            </w14:solidFill>
          </w14:textFill>
        </w:rPr>
        <w:t>（盖公章）：</w:t>
      </w:r>
      <w:r>
        <w:rPr>
          <w:color w:val="000000" w:themeColor="text1"/>
          <w:szCs w:val="21"/>
          <w:highlight w:val="none"/>
          <w:u w:val="single"/>
          <w14:textFill>
            <w14:solidFill>
              <w14:schemeClr w14:val="tx1"/>
            </w14:solidFill>
          </w14:textFill>
        </w:rPr>
        <w:t xml:space="preserve">                   </w:t>
      </w:r>
    </w:p>
    <w:p w14:paraId="34622B11">
      <w:pPr>
        <w:keepNext w:val="0"/>
        <w:keepLines w:val="0"/>
        <w:pageBreakBefore w:val="0"/>
        <w:widowControl w:val="0"/>
        <w:kinsoku/>
        <w:wordWrap/>
        <w:overflowPunct/>
        <w:topLinePunct w:val="0"/>
        <w:autoSpaceDE/>
        <w:autoSpaceDN/>
        <w:bidi w:val="0"/>
        <w:adjustRightInd/>
        <w:spacing w:line="360" w:lineRule="auto"/>
        <w:textAlignment w:val="auto"/>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 xml:space="preserve">                                          </w:t>
      </w:r>
      <w:r>
        <w:rPr>
          <w:color w:val="000000" w:themeColor="text1"/>
          <w:szCs w:val="21"/>
          <w:highlight w:val="none"/>
          <w14:textFill>
            <w14:solidFill>
              <w14:schemeClr w14:val="tx1"/>
            </w14:solidFill>
          </w14:textFill>
        </w:rPr>
        <w:t>日期：</w:t>
      </w:r>
      <w:r>
        <w:rPr>
          <w:color w:val="000000" w:themeColor="text1"/>
          <w:szCs w:val="21"/>
          <w:highlight w:val="none"/>
          <w:u w:val="single"/>
          <w14:textFill>
            <w14:solidFill>
              <w14:schemeClr w14:val="tx1"/>
            </w14:solidFill>
          </w14:textFill>
        </w:rPr>
        <w:t xml:space="preserve">         </w:t>
      </w:r>
      <w:r>
        <w:rPr>
          <w:color w:val="000000" w:themeColor="text1"/>
          <w:szCs w:val="21"/>
          <w:highlight w:val="none"/>
          <w14:textFill>
            <w14:solidFill>
              <w14:schemeClr w14:val="tx1"/>
            </w14:solidFill>
          </w14:textFill>
        </w:rPr>
        <w:t>年</w:t>
      </w:r>
      <w:r>
        <w:rPr>
          <w:color w:val="000000" w:themeColor="text1"/>
          <w:szCs w:val="21"/>
          <w:highlight w:val="none"/>
          <w:u w:val="single"/>
          <w14:textFill>
            <w14:solidFill>
              <w14:schemeClr w14:val="tx1"/>
            </w14:solidFill>
          </w14:textFill>
        </w:rPr>
        <w:t xml:space="preserve">        </w:t>
      </w:r>
      <w:r>
        <w:rPr>
          <w:color w:val="000000" w:themeColor="text1"/>
          <w:szCs w:val="21"/>
          <w:highlight w:val="none"/>
          <w14:textFill>
            <w14:solidFill>
              <w14:schemeClr w14:val="tx1"/>
            </w14:solidFill>
          </w14:textFill>
        </w:rPr>
        <w:t>月</w:t>
      </w:r>
      <w:r>
        <w:rPr>
          <w:color w:val="000000" w:themeColor="text1"/>
          <w:szCs w:val="21"/>
          <w:highlight w:val="none"/>
          <w:u w:val="single"/>
          <w14:textFill>
            <w14:solidFill>
              <w14:schemeClr w14:val="tx1"/>
            </w14:solidFill>
          </w14:textFill>
        </w:rPr>
        <w:t xml:space="preserve">        </w:t>
      </w:r>
      <w:r>
        <w:rPr>
          <w:color w:val="000000" w:themeColor="text1"/>
          <w:szCs w:val="21"/>
          <w:highlight w:val="none"/>
          <w14:textFill>
            <w14:solidFill>
              <w14:schemeClr w14:val="tx1"/>
            </w14:solidFill>
          </w14:textFill>
        </w:rPr>
        <w:t>日</w:t>
      </w:r>
    </w:p>
    <w:p w14:paraId="0999D39F">
      <w:pPr>
        <w:rPr>
          <w:rFonts w:hint="eastAsia" w:ascii="宋体" w:hAnsi="宋体" w:eastAsia="宋体" w:cs="宋体"/>
          <w:b/>
          <w:bCs/>
          <w:color w:val="000000" w:themeColor="text1"/>
          <w:sz w:val="30"/>
          <w:szCs w:val="30"/>
          <w:highlight w:val="none"/>
          <w14:textFill>
            <w14:solidFill>
              <w14:schemeClr w14:val="tx1"/>
            </w14:solidFill>
          </w14:textFill>
        </w:rPr>
      </w:pPr>
      <w:bookmarkStart w:id="235" w:name="_Toc80886946"/>
      <w:bookmarkStart w:id="236" w:name="_Toc18482"/>
      <w:bookmarkStart w:id="237" w:name="_Toc13936"/>
      <w:bookmarkStart w:id="238" w:name="_Toc80205942"/>
      <w:r>
        <w:rPr>
          <w:rFonts w:hint="eastAsia" w:ascii="宋体" w:hAnsi="宋体" w:eastAsia="宋体" w:cs="宋体"/>
          <w:b/>
          <w:bCs/>
          <w:color w:val="000000" w:themeColor="text1"/>
          <w:sz w:val="30"/>
          <w:szCs w:val="30"/>
          <w:highlight w:val="none"/>
          <w14:textFill>
            <w14:solidFill>
              <w14:schemeClr w14:val="tx1"/>
            </w14:solidFill>
          </w14:textFill>
        </w:rPr>
        <w:br w:type="page"/>
      </w:r>
    </w:p>
    <w:p w14:paraId="21A31E51">
      <w:pPr>
        <w:pStyle w:val="4"/>
        <w:keepNext/>
        <w:keepLines/>
        <w:pageBreakBefore w:val="0"/>
        <w:widowControl w:val="0"/>
        <w:kinsoku/>
        <w:wordWrap/>
        <w:overflowPunct/>
        <w:topLinePunct w:val="0"/>
        <w:autoSpaceDE/>
        <w:autoSpaceDN/>
        <w:bidi w:val="0"/>
        <w:adjustRightInd/>
        <w:snapToGrid/>
        <w:spacing w:before="0" w:after="0" w:line="360" w:lineRule="auto"/>
        <w:jc w:val="center"/>
        <w:textAlignment w:val="auto"/>
        <w:outlineLvl w:val="1"/>
        <w:rPr>
          <w:rFonts w:hint="eastAsia" w:ascii="宋体" w:hAnsi="宋体" w:eastAsia="宋体" w:cs="宋体"/>
          <w:b/>
          <w:bCs/>
          <w:color w:val="000000" w:themeColor="text1"/>
          <w:sz w:val="30"/>
          <w:szCs w:val="30"/>
          <w:highlight w:val="none"/>
          <w14:textFill>
            <w14:solidFill>
              <w14:schemeClr w14:val="tx1"/>
            </w14:solidFill>
          </w14:textFill>
        </w:rPr>
      </w:pPr>
      <w:bookmarkStart w:id="239" w:name="_Toc17972"/>
      <w:r>
        <w:rPr>
          <w:rFonts w:hint="eastAsia" w:ascii="宋体" w:hAnsi="宋体" w:eastAsia="宋体" w:cs="宋体"/>
          <w:b/>
          <w:bCs/>
          <w:color w:val="000000" w:themeColor="text1"/>
          <w:sz w:val="30"/>
          <w:szCs w:val="30"/>
          <w:highlight w:val="none"/>
          <w14:textFill>
            <w14:solidFill>
              <w14:schemeClr w14:val="tx1"/>
            </w14:solidFill>
          </w14:textFill>
        </w:rPr>
        <w:t>第</w:t>
      </w:r>
      <w:r>
        <w:rPr>
          <w:rFonts w:hint="eastAsia" w:ascii="宋体" w:hAnsi="宋体" w:eastAsia="宋体" w:cs="宋体"/>
          <w:b/>
          <w:bCs/>
          <w:color w:val="000000" w:themeColor="text1"/>
          <w:sz w:val="30"/>
          <w:szCs w:val="30"/>
          <w:highlight w:val="none"/>
          <w:lang w:eastAsia="zh-CN"/>
          <w14:textFill>
            <w14:solidFill>
              <w14:schemeClr w14:val="tx1"/>
            </w14:solidFill>
          </w14:textFill>
        </w:rPr>
        <w:t>四</w:t>
      </w:r>
      <w:r>
        <w:rPr>
          <w:rFonts w:hint="eastAsia" w:ascii="宋体" w:hAnsi="宋体" w:eastAsia="宋体" w:cs="宋体"/>
          <w:b/>
          <w:bCs/>
          <w:color w:val="000000" w:themeColor="text1"/>
          <w:sz w:val="30"/>
          <w:szCs w:val="30"/>
          <w:highlight w:val="none"/>
          <w14:textFill>
            <w14:solidFill>
              <w14:schemeClr w14:val="tx1"/>
            </w14:solidFill>
          </w14:textFill>
        </w:rPr>
        <w:t>节 其他文书、文件格式</w:t>
      </w:r>
      <w:bookmarkEnd w:id="235"/>
      <w:bookmarkEnd w:id="236"/>
      <w:bookmarkEnd w:id="237"/>
      <w:bookmarkEnd w:id="238"/>
      <w:bookmarkEnd w:id="239"/>
    </w:p>
    <w:p w14:paraId="01B8E5DB">
      <w:pPr>
        <w:snapToGrid w:val="0"/>
        <w:spacing w:before="120" w:beforeLines="50" w:after="50" w:line="360" w:lineRule="auto"/>
        <w:jc w:val="left"/>
        <w:outlineLvl w:val="2"/>
        <w:rPr>
          <w:b/>
          <w:color w:val="000000" w:themeColor="text1"/>
          <w:sz w:val="30"/>
          <w:szCs w:val="30"/>
          <w:highlight w:val="none"/>
          <w:lang w:val="zh-CN"/>
          <w14:textFill>
            <w14:solidFill>
              <w14:schemeClr w14:val="tx1"/>
            </w14:solidFill>
          </w14:textFill>
        </w:rPr>
      </w:pPr>
      <w:bookmarkStart w:id="240" w:name="_Toc2954"/>
      <w:r>
        <w:rPr>
          <w:b/>
          <w:color w:val="000000" w:themeColor="text1"/>
          <w:sz w:val="30"/>
          <w:szCs w:val="30"/>
          <w:highlight w:val="none"/>
          <w14:textFill>
            <w14:solidFill>
              <w14:schemeClr w14:val="tx1"/>
            </w14:solidFill>
          </w14:textFill>
        </w:rPr>
        <w:t>1.</w:t>
      </w:r>
      <w:r>
        <w:rPr>
          <w:b/>
          <w:color w:val="000000" w:themeColor="text1"/>
          <w:sz w:val="30"/>
          <w:szCs w:val="30"/>
          <w:highlight w:val="none"/>
          <w:lang w:val="zh-CN"/>
          <w14:textFill>
            <w14:solidFill>
              <w14:schemeClr w14:val="tx1"/>
            </w14:solidFill>
          </w14:textFill>
        </w:rPr>
        <w:t>中小企业声明函的格式：</w:t>
      </w:r>
      <w:bookmarkEnd w:id="240"/>
    </w:p>
    <w:p w14:paraId="5892E58B">
      <w:pPr>
        <w:pStyle w:val="22"/>
        <w:rPr>
          <w:color w:val="000000" w:themeColor="text1"/>
          <w:highlight w:val="none"/>
          <w:lang w:eastAsia="zh-CN"/>
          <w14:textFill>
            <w14:solidFill>
              <w14:schemeClr w14:val="tx1"/>
            </w14:solidFill>
          </w14:textFill>
        </w:rPr>
      </w:pPr>
    </w:p>
    <w:p w14:paraId="2AE31617">
      <w:pPr>
        <w:spacing w:line="300" w:lineRule="auto"/>
        <w:ind w:firstLine="3520" w:firstLineChars="800"/>
        <w:rPr>
          <w:color w:val="000000" w:themeColor="text1"/>
          <w:sz w:val="44"/>
          <w:szCs w:val="44"/>
          <w:highlight w:val="none"/>
          <w14:textFill>
            <w14:solidFill>
              <w14:schemeClr w14:val="tx1"/>
            </w14:solidFill>
          </w14:textFill>
        </w:rPr>
      </w:pPr>
      <w:r>
        <w:rPr>
          <w:color w:val="000000" w:themeColor="text1"/>
          <w:sz w:val="44"/>
          <w:szCs w:val="44"/>
          <w:highlight w:val="none"/>
          <w14:textFill>
            <w14:solidFill>
              <w14:schemeClr w14:val="tx1"/>
            </w14:solidFill>
          </w14:textFill>
        </w:rPr>
        <w:t>中小企业声明函</w:t>
      </w:r>
    </w:p>
    <w:p w14:paraId="75371A4F">
      <w:pPr>
        <w:pStyle w:val="14"/>
        <w:spacing w:after="0" w:line="360" w:lineRule="auto"/>
        <w:ind w:left="-426" w:right="142" w:firstLine="640"/>
        <w:contextualSpacing/>
        <w:rPr>
          <w:color w:val="000000" w:themeColor="text1"/>
          <w:sz w:val="24"/>
          <w:highlight w:val="none"/>
          <w14:textFill>
            <w14:solidFill>
              <w14:schemeClr w14:val="tx1"/>
            </w14:solidFill>
          </w14:textFill>
        </w:rPr>
      </w:pPr>
    </w:p>
    <w:p w14:paraId="2FA3E2CA">
      <w:pPr>
        <w:pStyle w:val="14"/>
        <w:keepNext w:val="0"/>
        <w:keepLines w:val="0"/>
        <w:pageBreakBefore w:val="0"/>
        <w:widowControl w:val="0"/>
        <w:kinsoku/>
        <w:wordWrap/>
        <w:overflowPunct/>
        <w:topLinePunct w:val="0"/>
        <w:bidi w:val="0"/>
        <w:adjustRightInd/>
        <w:snapToGrid/>
        <w:spacing w:after="0" w:line="360" w:lineRule="auto"/>
        <w:ind w:right="142" w:firstLine="420" w:firstLineChars="200"/>
        <w:contextualSpacing/>
        <w:textAlignment w:val="auto"/>
        <w:rPr>
          <w:rFonts w:hint="eastAsia" w:ascii="宋体" w:hAnsi="宋体" w:eastAsia="宋体" w:cs="宋体"/>
          <w:i w:val="0"/>
          <w:iCs w:val="0"/>
          <w:color w:val="000000" w:themeColor="text1"/>
          <w:szCs w:val="21"/>
          <w:highlight w:val="none"/>
          <w14:textFill>
            <w14:solidFill>
              <w14:schemeClr w14:val="tx1"/>
            </w14:solidFill>
          </w14:textFill>
        </w:rPr>
      </w:pPr>
      <w:r>
        <w:rPr>
          <w:rFonts w:hint="eastAsia" w:ascii="宋体" w:hAnsi="宋体" w:eastAsia="宋体" w:cs="宋体"/>
          <w:i w:val="0"/>
          <w:iCs w:val="0"/>
          <w:color w:val="000000" w:themeColor="text1"/>
          <w:szCs w:val="21"/>
          <w:highlight w:val="none"/>
          <w14:textFill>
            <w14:solidFill>
              <w14:schemeClr w14:val="tx1"/>
            </w14:solidFill>
          </w14:textFill>
        </w:rPr>
        <w:t>本公司（联合体）郑重声明，根据《政府采购促进中小企业发展管理办法》（财库﹝2020﹞46号）的规定，本公司（联合体）参加</w:t>
      </w:r>
      <w:r>
        <w:rPr>
          <w:rFonts w:hint="eastAsia" w:ascii="宋体" w:hAnsi="宋体" w:eastAsia="宋体" w:cs="宋体"/>
          <w:i w:val="0"/>
          <w:iCs w:val="0"/>
          <w:color w:val="000000" w:themeColor="text1"/>
          <w:szCs w:val="21"/>
          <w:highlight w:val="none"/>
          <w:u w:val="single"/>
          <w14:textFill>
            <w14:solidFill>
              <w14:schemeClr w14:val="tx1"/>
            </w14:solidFill>
          </w14:textFill>
        </w:rPr>
        <w:t>（单位名称）</w:t>
      </w:r>
      <w:r>
        <w:rPr>
          <w:rFonts w:hint="eastAsia" w:ascii="宋体" w:hAnsi="宋体" w:eastAsia="宋体" w:cs="宋体"/>
          <w:i w:val="0"/>
          <w:iCs w:val="0"/>
          <w:color w:val="000000" w:themeColor="text1"/>
          <w:szCs w:val="21"/>
          <w:highlight w:val="none"/>
          <w14:textFill>
            <w14:solidFill>
              <w14:schemeClr w14:val="tx1"/>
            </w14:solidFill>
          </w14:textFill>
        </w:rPr>
        <w:t>的</w:t>
      </w:r>
      <w:r>
        <w:rPr>
          <w:rFonts w:hint="eastAsia" w:ascii="宋体" w:hAnsi="宋体" w:eastAsia="宋体" w:cs="宋体"/>
          <w:i w:val="0"/>
          <w:iCs w:val="0"/>
          <w:color w:val="000000" w:themeColor="text1"/>
          <w:szCs w:val="21"/>
          <w:highlight w:val="none"/>
          <w:u w:val="single"/>
          <w14:textFill>
            <w14:solidFill>
              <w14:schemeClr w14:val="tx1"/>
            </w14:solidFill>
          </w14:textFill>
        </w:rPr>
        <w:t>（项目名称）</w:t>
      </w:r>
      <w:r>
        <w:rPr>
          <w:rFonts w:hint="eastAsia" w:ascii="宋体" w:hAnsi="宋体" w:eastAsia="宋体" w:cs="宋体"/>
          <w:i w:val="0"/>
          <w:iCs w:val="0"/>
          <w:color w:val="000000" w:themeColor="text1"/>
          <w:szCs w:val="21"/>
          <w:highlight w:val="none"/>
          <w14:textFill>
            <w14:solidFill>
              <w14:schemeClr w14:val="tx1"/>
            </w14:solidFill>
          </w14:textFill>
        </w:rPr>
        <w:t>采购活动，</w:t>
      </w:r>
      <w:r>
        <w:rPr>
          <w:rFonts w:hint="eastAsia" w:ascii="宋体" w:hAnsi="宋体" w:eastAsia="宋体" w:cs="宋体"/>
          <w:i w:val="0"/>
          <w:iCs w:val="0"/>
          <w:color w:val="000000" w:themeColor="text1"/>
          <w:kern w:val="0"/>
          <w:szCs w:val="21"/>
          <w:highlight w:val="none"/>
          <w:lang w:eastAsia="zh-CN"/>
          <w14:textFill>
            <w14:solidFill>
              <w14:schemeClr w14:val="tx1"/>
            </w14:solidFill>
          </w14:textFill>
        </w:rPr>
        <w:t>工程</w:t>
      </w:r>
      <w:r>
        <w:rPr>
          <w:rFonts w:hint="eastAsia" w:ascii="宋体" w:hAnsi="宋体" w:eastAsia="宋体" w:cs="宋体"/>
          <w:i w:val="0"/>
          <w:iCs w:val="0"/>
          <w:color w:val="000000" w:themeColor="text1"/>
          <w:kern w:val="0"/>
          <w:szCs w:val="21"/>
          <w:highlight w:val="none"/>
          <w14:textFill>
            <w14:solidFill>
              <w14:schemeClr w14:val="tx1"/>
            </w14:solidFill>
          </w14:textFill>
        </w:rPr>
        <w:t>全部由符合政策要求的中小企业承接</w:t>
      </w:r>
      <w:r>
        <w:rPr>
          <w:rFonts w:hint="eastAsia" w:ascii="宋体" w:hAnsi="宋体" w:eastAsia="宋体" w:cs="宋体"/>
          <w:i w:val="0"/>
          <w:iCs w:val="0"/>
          <w:color w:val="000000" w:themeColor="text1"/>
          <w:szCs w:val="21"/>
          <w:highlight w:val="none"/>
          <w14:textFill>
            <w14:solidFill>
              <w14:schemeClr w14:val="tx1"/>
            </w14:solidFill>
          </w14:textFill>
        </w:rPr>
        <w:t>。相关企业（含联合体中的中小企业、签订分包意向协议的中小企业）的具体情况如下：</w:t>
      </w:r>
    </w:p>
    <w:p w14:paraId="12E361B6">
      <w:pPr>
        <w:keepNext w:val="0"/>
        <w:keepLines w:val="0"/>
        <w:pageBreakBefore w:val="0"/>
        <w:widowControl w:val="0"/>
        <w:tabs>
          <w:tab w:val="left" w:pos="1384"/>
          <w:tab w:val="left" w:pos="4562"/>
          <w:tab w:val="left" w:pos="6803"/>
        </w:tabs>
        <w:kinsoku/>
        <w:wordWrap/>
        <w:overflowPunct/>
        <w:topLinePunct w:val="0"/>
        <w:bidi w:val="0"/>
        <w:adjustRightInd/>
        <w:snapToGrid/>
        <w:spacing w:line="360" w:lineRule="auto"/>
        <w:ind w:right="-58" w:firstLine="420" w:firstLineChars="200"/>
        <w:contextualSpacing/>
        <w:textAlignment w:val="auto"/>
        <w:rPr>
          <w:rFonts w:hint="eastAsia" w:ascii="宋体" w:hAnsi="宋体" w:eastAsia="宋体" w:cs="宋体"/>
          <w:i w:val="0"/>
          <w:iCs w:val="0"/>
          <w:color w:val="000000" w:themeColor="text1"/>
          <w:szCs w:val="21"/>
          <w:highlight w:val="none"/>
          <w14:textFill>
            <w14:solidFill>
              <w14:schemeClr w14:val="tx1"/>
            </w14:solidFill>
          </w14:textFill>
        </w:rPr>
      </w:pPr>
      <w:r>
        <w:rPr>
          <w:rFonts w:hint="eastAsia" w:ascii="宋体" w:hAnsi="宋体" w:eastAsia="宋体" w:cs="宋体"/>
          <w:i w:val="0"/>
          <w:iCs w:val="0"/>
          <w:color w:val="000000" w:themeColor="text1"/>
          <w:szCs w:val="21"/>
          <w:highlight w:val="none"/>
          <w14:textFill>
            <w14:solidFill>
              <w14:schemeClr w14:val="tx1"/>
            </w14:solidFill>
          </w14:textFill>
        </w:rPr>
        <w:t>1.</w:t>
      </w:r>
      <w:r>
        <w:rPr>
          <w:rFonts w:hint="eastAsia" w:ascii="宋体" w:hAnsi="宋体" w:eastAsia="宋体" w:cs="宋体"/>
          <w:i w:val="0"/>
          <w:iCs w:val="0"/>
          <w:color w:val="000000" w:themeColor="text1"/>
          <w:szCs w:val="21"/>
          <w:highlight w:val="none"/>
          <w:u w:val="single"/>
          <w14:textFill>
            <w14:solidFill>
              <w14:schemeClr w14:val="tx1"/>
            </w14:solidFill>
          </w14:textFill>
        </w:rPr>
        <w:t>（标的名称）</w:t>
      </w:r>
      <w:r>
        <w:rPr>
          <w:rFonts w:hint="eastAsia" w:ascii="宋体" w:hAnsi="宋体" w:eastAsia="宋体" w:cs="宋体"/>
          <w:i w:val="0"/>
          <w:iCs w:val="0"/>
          <w:color w:val="000000" w:themeColor="text1"/>
          <w:szCs w:val="21"/>
          <w:highlight w:val="none"/>
          <w14:textFill>
            <w14:solidFill>
              <w14:schemeClr w14:val="tx1"/>
            </w14:solidFill>
          </w14:textFill>
        </w:rPr>
        <w:t>，属于</w:t>
      </w:r>
      <w:r>
        <w:rPr>
          <w:rFonts w:hint="eastAsia" w:ascii="宋体" w:hAnsi="宋体" w:eastAsia="宋体" w:cs="宋体"/>
          <w:i w:val="0"/>
          <w:iCs w:val="0"/>
          <w:color w:val="000000" w:themeColor="text1"/>
          <w:szCs w:val="21"/>
          <w:highlight w:val="none"/>
          <w:u w:val="single"/>
          <w14:textFill>
            <w14:solidFill>
              <w14:schemeClr w14:val="tx1"/>
            </w14:solidFill>
          </w14:textFill>
        </w:rPr>
        <w:t>（采购文件中明确的所属行业）</w:t>
      </w:r>
      <w:r>
        <w:rPr>
          <w:rFonts w:hint="eastAsia" w:ascii="宋体" w:hAnsi="宋体" w:eastAsia="宋体" w:cs="宋体"/>
          <w:i w:val="0"/>
          <w:iCs w:val="0"/>
          <w:color w:val="000000" w:themeColor="text1"/>
          <w:szCs w:val="21"/>
          <w:highlight w:val="none"/>
          <w14:textFill>
            <w14:solidFill>
              <w14:schemeClr w14:val="tx1"/>
            </w14:solidFill>
          </w14:textFill>
        </w:rPr>
        <w:t>；</w:t>
      </w:r>
      <w:r>
        <w:rPr>
          <w:rFonts w:hint="eastAsia" w:ascii="宋体" w:hAnsi="宋体" w:eastAsia="宋体" w:cs="宋体"/>
          <w:i w:val="0"/>
          <w:iCs w:val="0"/>
          <w:color w:val="000000" w:themeColor="text1"/>
          <w:kern w:val="0"/>
          <w:szCs w:val="21"/>
          <w:highlight w:val="none"/>
          <w14:textFill>
            <w14:solidFill>
              <w14:schemeClr w14:val="tx1"/>
            </w14:solidFill>
          </w14:textFill>
        </w:rPr>
        <w:t>承建（承接）企业</w:t>
      </w:r>
      <w:r>
        <w:rPr>
          <w:rFonts w:hint="eastAsia" w:ascii="宋体" w:hAnsi="宋体" w:eastAsia="宋体" w:cs="宋体"/>
          <w:i w:val="0"/>
          <w:iCs w:val="0"/>
          <w:color w:val="000000" w:themeColor="text1"/>
          <w:szCs w:val="21"/>
          <w:highlight w:val="none"/>
          <w14:textFill>
            <w14:solidFill>
              <w14:schemeClr w14:val="tx1"/>
            </w14:solidFill>
          </w14:textFill>
        </w:rPr>
        <w:t>为</w:t>
      </w:r>
      <w:r>
        <w:rPr>
          <w:rFonts w:hint="eastAsia" w:ascii="宋体" w:hAnsi="宋体" w:cs="宋体"/>
          <w:i w:val="0"/>
          <w:iCs w:val="0"/>
          <w:color w:val="000000" w:themeColor="text1"/>
          <w:szCs w:val="21"/>
          <w:highlight w:val="none"/>
          <w:lang w:val="en-US" w:eastAsia="zh-CN"/>
          <w14:textFill>
            <w14:solidFill>
              <w14:schemeClr w14:val="tx1"/>
            </w14:solidFill>
          </w14:textFill>
        </w:rPr>
        <w:t xml:space="preserve"> </w:t>
      </w:r>
      <w:r>
        <w:rPr>
          <w:rFonts w:hint="eastAsia" w:ascii="宋体" w:hAnsi="宋体" w:eastAsia="宋体" w:cs="宋体"/>
          <w:i w:val="0"/>
          <w:iCs w:val="0"/>
          <w:color w:val="000000" w:themeColor="text1"/>
          <w:szCs w:val="21"/>
          <w:highlight w:val="none"/>
          <w:u w:val="single"/>
          <w14:textFill>
            <w14:solidFill>
              <w14:schemeClr w14:val="tx1"/>
            </w14:solidFill>
          </w14:textFill>
        </w:rPr>
        <w:t>（企业名称）</w:t>
      </w:r>
      <w:r>
        <w:rPr>
          <w:rFonts w:hint="eastAsia" w:ascii="宋体" w:hAnsi="宋体" w:eastAsia="宋体" w:cs="宋体"/>
          <w:i w:val="0"/>
          <w:iCs w:val="0"/>
          <w:color w:val="000000" w:themeColor="text1"/>
          <w:szCs w:val="21"/>
          <w:highlight w:val="none"/>
          <w14:textFill>
            <w14:solidFill>
              <w14:schemeClr w14:val="tx1"/>
            </w14:solidFill>
          </w14:textFill>
        </w:rPr>
        <w:t>，从业人员</w:t>
      </w:r>
      <w:r>
        <w:rPr>
          <w:rFonts w:hint="eastAsia" w:ascii="宋体" w:hAnsi="宋体" w:eastAsia="宋体" w:cs="宋体"/>
          <w:i w:val="0"/>
          <w:iCs w:val="0"/>
          <w:color w:val="000000" w:themeColor="text1"/>
          <w:szCs w:val="21"/>
          <w:highlight w:val="none"/>
          <w:u w:val="single"/>
          <w14:textFill>
            <w14:solidFill>
              <w14:schemeClr w14:val="tx1"/>
            </w14:solidFill>
          </w14:textFill>
        </w:rPr>
        <w:t xml:space="preserve">      </w:t>
      </w:r>
      <w:r>
        <w:rPr>
          <w:rFonts w:hint="eastAsia" w:ascii="宋体" w:hAnsi="宋体" w:eastAsia="宋体" w:cs="宋体"/>
          <w:i w:val="0"/>
          <w:iCs w:val="0"/>
          <w:color w:val="000000" w:themeColor="text1"/>
          <w:szCs w:val="21"/>
          <w:highlight w:val="none"/>
          <w14:textFill>
            <w14:solidFill>
              <w14:schemeClr w14:val="tx1"/>
            </w14:solidFill>
          </w14:textFill>
        </w:rPr>
        <w:t>人，营业收入为</w:t>
      </w:r>
      <w:r>
        <w:rPr>
          <w:rFonts w:hint="eastAsia" w:ascii="宋体" w:hAnsi="宋体" w:eastAsia="宋体" w:cs="宋体"/>
          <w:i w:val="0"/>
          <w:iCs w:val="0"/>
          <w:color w:val="000000" w:themeColor="text1"/>
          <w:szCs w:val="21"/>
          <w:highlight w:val="none"/>
          <w:u w:val="single"/>
          <w14:textFill>
            <w14:solidFill>
              <w14:schemeClr w14:val="tx1"/>
            </w14:solidFill>
          </w14:textFill>
        </w:rPr>
        <w:t xml:space="preserve">      </w:t>
      </w:r>
      <w:r>
        <w:rPr>
          <w:rFonts w:hint="eastAsia" w:ascii="宋体" w:hAnsi="宋体" w:eastAsia="宋体" w:cs="宋体"/>
          <w:i w:val="0"/>
          <w:iCs w:val="0"/>
          <w:color w:val="000000" w:themeColor="text1"/>
          <w:szCs w:val="21"/>
          <w:highlight w:val="none"/>
          <w14:textFill>
            <w14:solidFill>
              <w14:schemeClr w14:val="tx1"/>
            </w14:solidFill>
          </w14:textFill>
        </w:rPr>
        <w:t>万元，资产总额为</w:t>
      </w:r>
      <w:r>
        <w:rPr>
          <w:rFonts w:hint="eastAsia" w:ascii="宋体" w:hAnsi="宋体" w:eastAsia="宋体" w:cs="宋体"/>
          <w:i w:val="0"/>
          <w:iCs w:val="0"/>
          <w:color w:val="000000" w:themeColor="text1"/>
          <w:szCs w:val="21"/>
          <w:highlight w:val="none"/>
          <w:u w:val="single"/>
          <w14:textFill>
            <w14:solidFill>
              <w14:schemeClr w14:val="tx1"/>
            </w14:solidFill>
          </w14:textFill>
        </w:rPr>
        <w:t xml:space="preserve">      </w:t>
      </w:r>
      <w:r>
        <w:rPr>
          <w:rFonts w:hint="eastAsia" w:ascii="宋体" w:hAnsi="宋体" w:eastAsia="宋体" w:cs="宋体"/>
          <w:i w:val="0"/>
          <w:iCs w:val="0"/>
          <w:color w:val="000000" w:themeColor="text1"/>
          <w:szCs w:val="21"/>
          <w:highlight w:val="none"/>
          <w14:textFill>
            <w14:solidFill>
              <w14:schemeClr w14:val="tx1"/>
            </w14:solidFill>
          </w14:textFill>
        </w:rPr>
        <w:t>万元，属于</w:t>
      </w:r>
      <w:r>
        <w:rPr>
          <w:rFonts w:hint="eastAsia" w:ascii="宋体" w:hAnsi="宋体" w:eastAsia="宋体" w:cs="宋体"/>
          <w:i w:val="0"/>
          <w:iCs w:val="0"/>
          <w:color w:val="000000" w:themeColor="text1"/>
          <w:szCs w:val="21"/>
          <w:highlight w:val="none"/>
          <w:u w:val="single"/>
          <w14:textFill>
            <w14:solidFill>
              <w14:schemeClr w14:val="tx1"/>
            </w14:solidFill>
          </w14:textFill>
        </w:rPr>
        <w:t>（中型企业、小型企业、微型企业）</w:t>
      </w:r>
      <w:r>
        <w:rPr>
          <w:rFonts w:hint="eastAsia" w:ascii="宋体" w:hAnsi="宋体" w:eastAsia="宋体" w:cs="宋体"/>
          <w:i w:val="0"/>
          <w:iCs w:val="0"/>
          <w:color w:val="000000" w:themeColor="text1"/>
          <w:szCs w:val="21"/>
          <w:highlight w:val="none"/>
          <w14:textFill>
            <w14:solidFill>
              <w14:schemeClr w14:val="tx1"/>
            </w14:solidFill>
          </w14:textFill>
        </w:rPr>
        <w:t>；</w:t>
      </w:r>
    </w:p>
    <w:p w14:paraId="06DFFFE9">
      <w:pPr>
        <w:keepNext w:val="0"/>
        <w:keepLines w:val="0"/>
        <w:pageBreakBefore w:val="0"/>
        <w:widowControl w:val="0"/>
        <w:tabs>
          <w:tab w:val="left" w:pos="1065"/>
          <w:tab w:val="left" w:pos="6477"/>
        </w:tabs>
        <w:kinsoku/>
        <w:wordWrap/>
        <w:overflowPunct/>
        <w:topLinePunct w:val="0"/>
        <w:bidi w:val="0"/>
        <w:adjustRightInd/>
        <w:snapToGrid/>
        <w:spacing w:line="360" w:lineRule="auto"/>
        <w:ind w:right="-58" w:firstLine="420" w:firstLineChars="200"/>
        <w:contextualSpacing/>
        <w:textAlignment w:val="auto"/>
        <w:rPr>
          <w:rFonts w:hint="eastAsia" w:ascii="宋体" w:hAnsi="宋体" w:eastAsia="宋体" w:cs="宋体"/>
          <w:i w:val="0"/>
          <w:iCs w:val="0"/>
          <w:color w:val="000000" w:themeColor="text1"/>
          <w:szCs w:val="21"/>
          <w:highlight w:val="none"/>
          <w14:textFill>
            <w14:solidFill>
              <w14:schemeClr w14:val="tx1"/>
            </w14:solidFill>
          </w14:textFill>
        </w:rPr>
      </w:pPr>
      <w:r>
        <w:rPr>
          <w:rFonts w:hint="eastAsia" w:ascii="宋体" w:hAnsi="宋体" w:eastAsia="宋体" w:cs="宋体"/>
          <w:i w:val="0"/>
          <w:iCs w:val="0"/>
          <w:color w:val="000000" w:themeColor="text1"/>
          <w:szCs w:val="21"/>
          <w:highlight w:val="none"/>
          <w14:textFill>
            <w14:solidFill>
              <w14:schemeClr w14:val="tx1"/>
            </w14:solidFill>
          </w14:textFill>
        </w:rPr>
        <w:t>2.</w:t>
      </w:r>
      <w:r>
        <w:rPr>
          <w:rFonts w:hint="eastAsia" w:ascii="宋体" w:hAnsi="宋体" w:eastAsia="宋体" w:cs="宋体"/>
          <w:i w:val="0"/>
          <w:iCs w:val="0"/>
          <w:color w:val="000000" w:themeColor="text1"/>
          <w:szCs w:val="21"/>
          <w:highlight w:val="none"/>
          <w:u w:val="single"/>
          <w14:textFill>
            <w14:solidFill>
              <w14:schemeClr w14:val="tx1"/>
            </w14:solidFill>
          </w14:textFill>
        </w:rPr>
        <w:t>（标的名称）</w:t>
      </w:r>
      <w:r>
        <w:rPr>
          <w:rFonts w:hint="eastAsia" w:ascii="宋体" w:hAnsi="宋体" w:eastAsia="宋体" w:cs="宋体"/>
          <w:i w:val="0"/>
          <w:iCs w:val="0"/>
          <w:color w:val="000000" w:themeColor="text1"/>
          <w:szCs w:val="21"/>
          <w:highlight w:val="none"/>
          <w14:textFill>
            <w14:solidFill>
              <w14:schemeClr w14:val="tx1"/>
            </w14:solidFill>
          </w14:textFill>
        </w:rPr>
        <w:t>，属于</w:t>
      </w:r>
      <w:r>
        <w:rPr>
          <w:rFonts w:hint="eastAsia" w:ascii="宋体" w:hAnsi="宋体" w:eastAsia="宋体" w:cs="宋体"/>
          <w:i w:val="0"/>
          <w:iCs w:val="0"/>
          <w:color w:val="000000" w:themeColor="text1"/>
          <w:szCs w:val="21"/>
          <w:highlight w:val="none"/>
          <w:u w:val="single"/>
          <w14:textFill>
            <w14:solidFill>
              <w14:schemeClr w14:val="tx1"/>
            </w14:solidFill>
          </w14:textFill>
        </w:rPr>
        <w:t>（采购文件中明确的所属行业）</w:t>
      </w:r>
      <w:r>
        <w:rPr>
          <w:rFonts w:hint="eastAsia" w:ascii="宋体" w:hAnsi="宋体" w:eastAsia="宋体" w:cs="宋体"/>
          <w:i w:val="0"/>
          <w:iCs w:val="0"/>
          <w:color w:val="000000" w:themeColor="text1"/>
          <w:szCs w:val="21"/>
          <w:highlight w:val="none"/>
          <w14:textFill>
            <w14:solidFill>
              <w14:schemeClr w14:val="tx1"/>
            </w14:solidFill>
          </w14:textFill>
        </w:rPr>
        <w:t>；</w:t>
      </w:r>
      <w:r>
        <w:rPr>
          <w:rFonts w:hint="eastAsia" w:ascii="宋体" w:hAnsi="宋体" w:eastAsia="宋体" w:cs="宋体"/>
          <w:i w:val="0"/>
          <w:iCs w:val="0"/>
          <w:color w:val="000000" w:themeColor="text1"/>
          <w:kern w:val="0"/>
          <w:szCs w:val="21"/>
          <w:highlight w:val="none"/>
          <w14:textFill>
            <w14:solidFill>
              <w14:schemeClr w14:val="tx1"/>
            </w14:solidFill>
          </w14:textFill>
        </w:rPr>
        <w:t>承建（承接）企业</w:t>
      </w:r>
      <w:r>
        <w:rPr>
          <w:rFonts w:hint="eastAsia" w:ascii="宋体" w:hAnsi="宋体" w:eastAsia="宋体" w:cs="宋体"/>
          <w:i w:val="0"/>
          <w:iCs w:val="0"/>
          <w:color w:val="000000" w:themeColor="text1"/>
          <w:szCs w:val="21"/>
          <w:highlight w:val="none"/>
          <w14:textFill>
            <w14:solidFill>
              <w14:schemeClr w14:val="tx1"/>
            </w14:solidFill>
          </w14:textFill>
        </w:rPr>
        <w:t>为</w:t>
      </w:r>
      <w:r>
        <w:rPr>
          <w:rFonts w:hint="eastAsia" w:ascii="宋体" w:hAnsi="宋体" w:cs="宋体"/>
          <w:i w:val="0"/>
          <w:iCs w:val="0"/>
          <w:color w:val="000000" w:themeColor="text1"/>
          <w:szCs w:val="21"/>
          <w:highlight w:val="none"/>
          <w:lang w:val="en-US" w:eastAsia="zh-CN"/>
          <w14:textFill>
            <w14:solidFill>
              <w14:schemeClr w14:val="tx1"/>
            </w14:solidFill>
          </w14:textFill>
        </w:rPr>
        <w:t xml:space="preserve"> </w:t>
      </w:r>
      <w:r>
        <w:rPr>
          <w:rFonts w:hint="eastAsia" w:ascii="宋体" w:hAnsi="宋体" w:eastAsia="宋体" w:cs="宋体"/>
          <w:i w:val="0"/>
          <w:iCs w:val="0"/>
          <w:color w:val="000000" w:themeColor="text1"/>
          <w:szCs w:val="21"/>
          <w:highlight w:val="none"/>
          <w:u w:val="single"/>
          <w14:textFill>
            <w14:solidFill>
              <w14:schemeClr w14:val="tx1"/>
            </w14:solidFill>
          </w14:textFill>
        </w:rPr>
        <w:t>（企业名称）</w:t>
      </w:r>
      <w:r>
        <w:rPr>
          <w:rFonts w:hint="eastAsia" w:ascii="宋体" w:hAnsi="宋体" w:eastAsia="宋体" w:cs="宋体"/>
          <w:i w:val="0"/>
          <w:iCs w:val="0"/>
          <w:color w:val="000000" w:themeColor="text1"/>
          <w:szCs w:val="21"/>
          <w:highlight w:val="none"/>
          <w14:textFill>
            <w14:solidFill>
              <w14:schemeClr w14:val="tx1"/>
            </w14:solidFill>
          </w14:textFill>
        </w:rPr>
        <w:t>，从业人员</w:t>
      </w:r>
      <w:r>
        <w:rPr>
          <w:rFonts w:hint="eastAsia" w:ascii="宋体" w:hAnsi="宋体" w:eastAsia="宋体" w:cs="宋体"/>
          <w:i w:val="0"/>
          <w:iCs w:val="0"/>
          <w:color w:val="000000" w:themeColor="text1"/>
          <w:szCs w:val="21"/>
          <w:highlight w:val="none"/>
          <w:u w:val="single"/>
          <w14:textFill>
            <w14:solidFill>
              <w14:schemeClr w14:val="tx1"/>
            </w14:solidFill>
          </w14:textFill>
        </w:rPr>
        <w:t xml:space="preserve">      </w:t>
      </w:r>
      <w:r>
        <w:rPr>
          <w:rFonts w:hint="eastAsia" w:ascii="宋体" w:hAnsi="宋体" w:eastAsia="宋体" w:cs="宋体"/>
          <w:i w:val="0"/>
          <w:iCs w:val="0"/>
          <w:color w:val="000000" w:themeColor="text1"/>
          <w:szCs w:val="21"/>
          <w:highlight w:val="none"/>
          <w14:textFill>
            <w14:solidFill>
              <w14:schemeClr w14:val="tx1"/>
            </w14:solidFill>
          </w14:textFill>
        </w:rPr>
        <w:t>人，营业收入为</w:t>
      </w:r>
      <w:r>
        <w:rPr>
          <w:rFonts w:hint="eastAsia" w:ascii="宋体" w:hAnsi="宋体" w:eastAsia="宋体" w:cs="宋体"/>
          <w:i w:val="0"/>
          <w:iCs w:val="0"/>
          <w:color w:val="000000" w:themeColor="text1"/>
          <w:szCs w:val="21"/>
          <w:highlight w:val="none"/>
          <w:u w:val="single"/>
          <w14:textFill>
            <w14:solidFill>
              <w14:schemeClr w14:val="tx1"/>
            </w14:solidFill>
          </w14:textFill>
        </w:rPr>
        <w:t xml:space="preserve">      </w:t>
      </w:r>
      <w:r>
        <w:rPr>
          <w:rFonts w:hint="eastAsia" w:ascii="宋体" w:hAnsi="宋体" w:eastAsia="宋体" w:cs="宋体"/>
          <w:i w:val="0"/>
          <w:iCs w:val="0"/>
          <w:color w:val="000000" w:themeColor="text1"/>
          <w:szCs w:val="21"/>
          <w:highlight w:val="none"/>
          <w14:textFill>
            <w14:solidFill>
              <w14:schemeClr w14:val="tx1"/>
            </w14:solidFill>
          </w14:textFill>
        </w:rPr>
        <w:t>万元，资产总额为</w:t>
      </w:r>
      <w:r>
        <w:rPr>
          <w:rFonts w:hint="eastAsia" w:ascii="宋体" w:hAnsi="宋体" w:eastAsia="宋体" w:cs="宋体"/>
          <w:i w:val="0"/>
          <w:iCs w:val="0"/>
          <w:color w:val="000000" w:themeColor="text1"/>
          <w:szCs w:val="21"/>
          <w:highlight w:val="none"/>
          <w:u w:val="single"/>
          <w14:textFill>
            <w14:solidFill>
              <w14:schemeClr w14:val="tx1"/>
            </w14:solidFill>
          </w14:textFill>
        </w:rPr>
        <w:t xml:space="preserve">      </w:t>
      </w:r>
      <w:r>
        <w:rPr>
          <w:rFonts w:hint="eastAsia" w:ascii="宋体" w:hAnsi="宋体" w:eastAsia="宋体" w:cs="宋体"/>
          <w:i w:val="0"/>
          <w:iCs w:val="0"/>
          <w:color w:val="000000" w:themeColor="text1"/>
          <w:szCs w:val="21"/>
          <w:highlight w:val="none"/>
          <w14:textFill>
            <w14:solidFill>
              <w14:schemeClr w14:val="tx1"/>
            </w14:solidFill>
          </w14:textFill>
        </w:rPr>
        <w:t>万元，属于</w:t>
      </w:r>
      <w:r>
        <w:rPr>
          <w:rFonts w:hint="eastAsia" w:ascii="宋体" w:hAnsi="宋体" w:eastAsia="宋体" w:cs="宋体"/>
          <w:i w:val="0"/>
          <w:iCs w:val="0"/>
          <w:color w:val="000000" w:themeColor="text1"/>
          <w:szCs w:val="21"/>
          <w:highlight w:val="none"/>
          <w:u w:val="single"/>
          <w14:textFill>
            <w14:solidFill>
              <w14:schemeClr w14:val="tx1"/>
            </w14:solidFill>
          </w14:textFill>
        </w:rPr>
        <w:t>（中型企业、小型企业、微型企业）</w:t>
      </w:r>
      <w:r>
        <w:rPr>
          <w:rFonts w:hint="eastAsia" w:ascii="宋体" w:hAnsi="宋体" w:eastAsia="宋体" w:cs="宋体"/>
          <w:i w:val="0"/>
          <w:iCs w:val="0"/>
          <w:color w:val="000000" w:themeColor="text1"/>
          <w:szCs w:val="21"/>
          <w:highlight w:val="none"/>
          <w14:textFill>
            <w14:solidFill>
              <w14:schemeClr w14:val="tx1"/>
            </w14:solidFill>
          </w14:textFill>
        </w:rPr>
        <w:t>；</w:t>
      </w:r>
    </w:p>
    <w:p w14:paraId="237B8076">
      <w:pPr>
        <w:pStyle w:val="14"/>
        <w:keepNext w:val="0"/>
        <w:keepLines w:val="0"/>
        <w:pageBreakBefore w:val="0"/>
        <w:widowControl w:val="0"/>
        <w:kinsoku/>
        <w:wordWrap/>
        <w:overflowPunct/>
        <w:topLinePunct w:val="0"/>
        <w:bidi w:val="0"/>
        <w:adjustRightInd/>
        <w:snapToGrid/>
        <w:spacing w:after="0" w:line="360" w:lineRule="auto"/>
        <w:ind w:right="142" w:firstLine="420" w:firstLineChars="200"/>
        <w:contextualSpacing/>
        <w:textAlignment w:val="auto"/>
        <w:rPr>
          <w:rFonts w:hint="eastAsia" w:ascii="宋体" w:hAnsi="宋体" w:eastAsia="宋体" w:cs="宋体"/>
          <w:i w:val="0"/>
          <w:iCs w:val="0"/>
          <w:color w:val="000000" w:themeColor="text1"/>
          <w:szCs w:val="21"/>
          <w:highlight w:val="none"/>
          <w14:textFill>
            <w14:solidFill>
              <w14:schemeClr w14:val="tx1"/>
            </w14:solidFill>
          </w14:textFill>
        </w:rPr>
      </w:pPr>
      <w:r>
        <w:rPr>
          <w:rFonts w:hint="eastAsia" w:ascii="宋体" w:hAnsi="宋体" w:eastAsia="宋体" w:cs="宋体"/>
          <w:i w:val="0"/>
          <w:iCs w:val="0"/>
          <w:color w:val="000000" w:themeColor="text1"/>
          <w:szCs w:val="21"/>
          <w:highlight w:val="none"/>
          <w14:textFill>
            <w14:solidFill>
              <w14:schemeClr w14:val="tx1"/>
            </w14:solidFill>
          </w14:textFill>
        </w:rPr>
        <w:t xml:space="preserve">…… </w:t>
      </w:r>
    </w:p>
    <w:p w14:paraId="6D309243">
      <w:pPr>
        <w:pStyle w:val="14"/>
        <w:keepNext w:val="0"/>
        <w:keepLines w:val="0"/>
        <w:pageBreakBefore w:val="0"/>
        <w:widowControl w:val="0"/>
        <w:kinsoku/>
        <w:wordWrap/>
        <w:overflowPunct/>
        <w:topLinePunct w:val="0"/>
        <w:bidi w:val="0"/>
        <w:adjustRightInd/>
        <w:snapToGrid/>
        <w:spacing w:after="0" w:line="360" w:lineRule="auto"/>
        <w:ind w:left="15" w:leftChars="7" w:right="142" w:firstLine="594" w:firstLineChars="283"/>
        <w:contextualSpacing/>
        <w:textAlignment w:val="auto"/>
        <w:rPr>
          <w:rFonts w:hint="eastAsia" w:ascii="宋体" w:hAnsi="宋体" w:eastAsia="宋体" w:cs="宋体"/>
          <w:i w:val="0"/>
          <w:iCs w:val="0"/>
          <w:color w:val="000000" w:themeColor="text1"/>
          <w:szCs w:val="21"/>
          <w:highlight w:val="none"/>
          <w14:textFill>
            <w14:solidFill>
              <w14:schemeClr w14:val="tx1"/>
            </w14:solidFill>
          </w14:textFill>
        </w:rPr>
      </w:pPr>
      <w:r>
        <w:rPr>
          <w:rFonts w:hint="eastAsia" w:ascii="宋体" w:hAnsi="宋体" w:eastAsia="宋体" w:cs="宋体"/>
          <w:i w:val="0"/>
          <w:iCs w:val="0"/>
          <w:color w:val="000000" w:themeColor="text1"/>
          <w:szCs w:val="21"/>
          <w:highlight w:val="none"/>
          <w14:textFill>
            <w14:solidFill>
              <w14:schemeClr w14:val="tx1"/>
            </w14:solidFill>
          </w14:textFill>
        </w:rPr>
        <w:t>以上企业，不属于大企业的分支机构，不存在控股股东为大企业的情形，也不存在与大企业的负责人为同一人的情形。</w:t>
      </w:r>
    </w:p>
    <w:p w14:paraId="58110CBB">
      <w:pPr>
        <w:pStyle w:val="14"/>
        <w:keepNext w:val="0"/>
        <w:keepLines w:val="0"/>
        <w:pageBreakBefore w:val="0"/>
        <w:widowControl w:val="0"/>
        <w:kinsoku/>
        <w:wordWrap/>
        <w:overflowPunct/>
        <w:topLinePunct w:val="0"/>
        <w:bidi w:val="0"/>
        <w:adjustRightInd/>
        <w:snapToGrid/>
        <w:spacing w:after="0" w:line="360" w:lineRule="auto"/>
        <w:ind w:right="142" w:firstLine="420" w:firstLineChars="200"/>
        <w:contextualSpacing/>
        <w:textAlignment w:val="auto"/>
        <w:rPr>
          <w:rFonts w:hint="eastAsia" w:ascii="宋体" w:hAnsi="宋体" w:eastAsia="宋体" w:cs="宋体"/>
          <w:i w:val="0"/>
          <w:iCs w:val="0"/>
          <w:color w:val="000000" w:themeColor="text1"/>
          <w:szCs w:val="21"/>
          <w:highlight w:val="none"/>
          <w14:textFill>
            <w14:solidFill>
              <w14:schemeClr w14:val="tx1"/>
            </w14:solidFill>
          </w14:textFill>
        </w:rPr>
      </w:pPr>
      <w:r>
        <w:rPr>
          <w:rFonts w:hint="eastAsia" w:ascii="宋体" w:hAnsi="宋体" w:eastAsia="宋体" w:cs="宋体"/>
          <w:i w:val="0"/>
          <w:iCs w:val="0"/>
          <w:color w:val="000000" w:themeColor="text1"/>
          <w:szCs w:val="21"/>
          <w:highlight w:val="none"/>
          <w14:textFill>
            <w14:solidFill>
              <w14:schemeClr w14:val="tx1"/>
            </w14:solidFill>
          </w14:textFill>
        </w:rPr>
        <w:t>本企业对上述声明内容的真实性负责。如有虚假，将依法承担相应责任。</w:t>
      </w:r>
    </w:p>
    <w:p w14:paraId="395B68BA">
      <w:pPr>
        <w:pStyle w:val="14"/>
        <w:keepNext w:val="0"/>
        <w:keepLines w:val="0"/>
        <w:pageBreakBefore w:val="0"/>
        <w:widowControl w:val="0"/>
        <w:kinsoku/>
        <w:wordWrap/>
        <w:overflowPunct/>
        <w:topLinePunct w:val="0"/>
        <w:bidi w:val="0"/>
        <w:adjustRightInd/>
        <w:snapToGrid/>
        <w:spacing w:after="0" w:line="360" w:lineRule="auto"/>
        <w:ind w:left="3960" w:right="1808"/>
        <w:contextualSpacing/>
        <w:textAlignment w:val="auto"/>
        <w:rPr>
          <w:rFonts w:hint="eastAsia" w:ascii="宋体" w:hAnsi="宋体" w:eastAsia="宋体" w:cs="宋体"/>
          <w:i w:val="0"/>
          <w:iCs w:val="0"/>
          <w:color w:val="000000" w:themeColor="text1"/>
          <w:szCs w:val="21"/>
          <w:highlight w:val="none"/>
          <w14:textFill>
            <w14:solidFill>
              <w14:schemeClr w14:val="tx1"/>
            </w14:solidFill>
          </w14:textFill>
        </w:rPr>
      </w:pPr>
    </w:p>
    <w:p w14:paraId="6FA3152E">
      <w:pPr>
        <w:keepNext w:val="0"/>
        <w:keepLines w:val="0"/>
        <w:pageBreakBefore w:val="0"/>
        <w:widowControl w:val="0"/>
        <w:kinsoku/>
        <w:wordWrap/>
        <w:overflowPunct/>
        <w:topLinePunct w:val="0"/>
        <w:bidi w:val="0"/>
        <w:adjustRightInd/>
        <w:snapToGrid/>
        <w:spacing w:line="360" w:lineRule="auto"/>
        <w:ind w:firstLine="4410" w:firstLineChars="2100"/>
        <w:textAlignment w:val="auto"/>
        <w:rPr>
          <w:rFonts w:hint="eastAsia" w:ascii="宋体" w:hAnsi="宋体" w:eastAsia="宋体" w:cs="宋体"/>
          <w:i w:val="0"/>
          <w:iCs w:val="0"/>
          <w:color w:val="000000" w:themeColor="text1"/>
          <w:szCs w:val="21"/>
          <w:highlight w:val="none"/>
          <w:u w:val="single"/>
          <w14:textFill>
            <w14:solidFill>
              <w14:schemeClr w14:val="tx1"/>
            </w14:solidFill>
          </w14:textFill>
        </w:rPr>
      </w:pPr>
      <w:r>
        <w:rPr>
          <w:rFonts w:hint="eastAsia" w:ascii="宋体" w:hAnsi="宋体" w:eastAsia="宋体" w:cs="宋体"/>
          <w:i w:val="0"/>
          <w:iCs w:val="0"/>
          <w:color w:val="000000" w:themeColor="text1"/>
          <w:szCs w:val="21"/>
          <w:highlight w:val="none"/>
          <w14:textFill>
            <w14:solidFill>
              <w14:schemeClr w14:val="tx1"/>
            </w14:solidFill>
          </w14:textFill>
        </w:rPr>
        <w:t>供应商</w:t>
      </w:r>
      <w:r>
        <w:rPr>
          <w:rFonts w:hint="eastAsia" w:ascii="宋体" w:hAnsi="宋体" w:eastAsia="宋体" w:cs="宋体"/>
          <w:i w:val="0"/>
          <w:iCs w:val="0"/>
          <w:color w:val="000000" w:themeColor="text1"/>
          <w:kern w:val="0"/>
          <w:szCs w:val="21"/>
          <w:highlight w:val="none"/>
          <w14:textFill>
            <w14:solidFill>
              <w14:schemeClr w14:val="tx1"/>
            </w14:solidFill>
          </w14:textFill>
        </w:rPr>
        <w:t>名称</w:t>
      </w:r>
      <w:r>
        <w:rPr>
          <w:rFonts w:hint="eastAsia" w:ascii="宋体" w:hAnsi="宋体" w:eastAsia="宋体" w:cs="宋体"/>
          <w:i w:val="0"/>
          <w:iCs w:val="0"/>
          <w:color w:val="000000" w:themeColor="text1"/>
          <w:szCs w:val="21"/>
          <w:highlight w:val="none"/>
          <w14:textFill>
            <w14:solidFill>
              <w14:schemeClr w14:val="tx1"/>
            </w14:solidFill>
          </w14:textFill>
        </w:rPr>
        <w:t>（盖公章）：</w:t>
      </w:r>
      <w:r>
        <w:rPr>
          <w:rFonts w:hint="eastAsia" w:ascii="宋体" w:hAnsi="宋体" w:eastAsia="宋体" w:cs="宋体"/>
          <w:i w:val="0"/>
          <w:iCs w:val="0"/>
          <w:color w:val="000000" w:themeColor="text1"/>
          <w:szCs w:val="21"/>
          <w:highlight w:val="none"/>
          <w:u w:val="single"/>
          <w14:textFill>
            <w14:solidFill>
              <w14:schemeClr w14:val="tx1"/>
            </w14:solidFill>
          </w14:textFill>
        </w:rPr>
        <w:t xml:space="preserve">                   </w:t>
      </w:r>
    </w:p>
    <w:p w14:paraId="7FDF4B6B">
      <w:pPr>
        <w:keepNext w:val="0"/>
        <w:keepLines w:val="0"/>
        <w:pageBreakBefore w:val="0"/>
        <w:widowControl w:val="0"/>
        <w:kinsoku/>
        <w:wordWrap/>
        <w:overflowPunct/>
        <w:topLinePunct w:val="0"/>
        <w:autoSpaceDE w:val="0"/>
        <w:autoSpaceDN w:val="0"/>
        <w:bidi w:val="0"/>
        <w:adjustRightInd/>
        <w:snapToGrid/>
        <w:spacing w:line="360" w:lineRule="auto"/>
        <w:ind w:left="4410" w:leftChars="2100" w:firstLine="1260" w:firstLineChars="600"/>
        <w:textAlignment w:val="auto"/>
        <w:rPr>
          <w:rFonts w:hint="eastAsia" w:ascii="宋体" w:hAnsi="宋体" w:eastAsia="宋体" w:cs="宋体"/>
          <w:i w:val="0"/>
          <w:iCs w:val="0"/>
          <w:color w:val="000000" w:themeColor="text1"/>
          <w:kern w:val="0"/>
          <w:szCs w:val="21"/>
          <w:highlight w:val="none"/>
          <w:lang w:val="zh-CN"/>
          <w14:textFill>
            <w14:solidFill>
              <w14:schemeClr w14:val="tx1"/>
            </w14:solidFill>
          </w14:textFill>
        </w:rPr>
      </w:pPr>
      <w:r>
        <w:rPr>
          <w:rFonts w:hint="eastAsia" w:ascii="宋体" w:hAnsi="宋体" w:eastAsia="宋体" w:cs="宋体"/>
          <w:i w:val="0"/>
          <w:iCs w:val="0"/>
          <w:color w:val="000000" w:themeColor="text1"/>
          <w:szCs w:val="21"/>
          <w:highlight w:val="none"/>
          <w14:textFill>
            <w14:solidFill>
              <w14:schemeClr w14:val="tx1"/>
            </w14:solidFill>
          </w14:textFill>
        </w:rPr>
        <w:t xml:space="preserve">                                          日期：</w:t>
      </w:r>
      <w:r>
        <w:rPr>
          <w:rFonts w:hint="eastAsia" w:ascii="宋体" w:hAnsi="宋体" w:eastAsia="宋体" w:cs="宋体"/>
          <w:i w:val="0"/>
          <w:iCs w:val="0"/>
          <w:color w:val="000000" w:themeColor="text1"/>
          <w:szCs w:val="21"/>
          <w:highlight w:val="none"/>
          <w:u w:val="single"/>
          <w14:textFill>
            <w14:solidFill>
              <w14:schemeClr w14:val="tx1"/>
            </w14:solidFill>
          </w14:textFill>
        </w:rPr>
        <w:t xml:space="preserve">         </w:t>
      </w:r>
      <w:r>
        <w:rPr>
          <w:rFonts w:hint="eastAsia" w:ascii="宋体" w:hAnsi="宋体" w:eastAsia="宋体" w:cs="宋体"/>
          <w:i w:val="0"/>
          <w:iCs w:val="0"/>
          <w:color w:val="000000" w:themeColor="text1"/>
          <w:szCs w:val="21"/>
          <w:highlight w:val="none"/>
          <w14:textFill>
            <w14:solidFill>
              <w14:schemeClr w14:val="tx1"/>
            </w14:solidFill>
          </w14:textFill>
        </w:rPr>
        <w:t>年</w:t>
      </w:r>
      <w:r>
        <w:rPr>
          <w:rFonts w:hint="eastAsia" w:ascii="宋体" w:hAnsi="宋体" w:eastAsia="宋体" w:cs="宋体"/>
          <w:i w:val="0"/>
          <w:iCs w:val="0"/>
          <w:color w:val="000000" w:themeColor="text1"/>
          <w:szCs w:val="21"/>
          <w:highlight w:val="none"/>
          <w:u w:val="single"/>
          <w14:textFill>
            <w14:solidFill>
              <w14:schemeClr w14:val="tx1"/>
            </w14:solidFill>
          </w14:textFill>
        </w:rPr>
        <w:t xml:space="preserve">        </w:t>
      </w:r>
      <w:r>
        <w:rPr>
          <w:rFonts w:hint="eastAsia" w:ascii="宋体" w:hAnsi="宋体" w:eastAsia="宋体" w:cs="宋体"/>
          <w:i w:val="0"/>
          <w:iCs w:val="0"/>
          <w:color w:val="000000" w:themeColor="text1"/>
          <w:szCs w:val="21"/>
          <w:highlight w:val="none"/>
          <w14:textFill>
            <w14:solidFill>
              <w14:schemeClr w14:val="tx1"/>
            </w14:solidFill>
          </w14:textFill>
        </w:rPr>
        <w:t>月</w:t>
      </w:r>
      <w:r>
        <w:rPr>
          <w:rFonts w:hint="eastAsia" w:ascii="宋体" w:hAnsi="宋体" w:eastAsia="宋体" w:cs="宋体"/>
          <w:i w:val="0"/>
          <w:iCs w:val="0"/>
          <w:color w:val="000000" w:themeColor="text1"/>
          <w:szCs w:val="21"/>
          <w:highlight w:val="none"/>
          <w:u w:val="single"/>
          <w14:textFill>
            <w14:solidFill>
              <w14:schemeClr w14:val="tx1"/>
            </w14:solidFill>
          </w14:textFill>
        </w:rPr>
        <w:t xml:space="preserve">        </w:t>
      </w:r>
      <w:r>
        <w:rPr>
          <w:rFonts w:hint="eastAsia" w:ascii="宋体" w:hAnsi="宋体" w:eastAsia="宋体" w:cs="宋体"/>
          <w:i w:val="0"/>
          <w:iCs w:val="0"/>
          <w:color w:val="000000" w:themeColor="text1"/>
          <w:szCs w:val="21"/>
          <w:highlight w:val="none"/>
          <w14:textFill>
            <w14:solidFill>
              <w14:schemeClr w14:val="tx1"/>
            </w14:solidFill>
          </w14:textFill>
        </w:rPr>
        <w:t>日</w:t>
      </w:r>
    </w:p>
    <w:p w14:paraId="0FCFFBEB">
      <w:pPr>
        <w:pStyle w:val="14"/>
        <w:keepNext w:val="0"/>
        <w:keepLines w:val="0"/>
        <w:pageBreakBefore w:val="0"/>
        <w:widowControl w:val="0"/>
        <w:kinsoku/>
        <w:wordWrap/>
        <w:overflowPunct/>
        <w:topLinePunct w:val="0"/>
        <w:bidi w:val="0"/>
        <w:adjustRightInd/>
        <w:snapToGrid/>
        <w:spacing w:after="0" w:line="360" w:lineRule="auto"/>
        <w:ind w:left="3960" w:right="1808"/>
        <w:contextualSpacing/>
        <w:textAlignment w:val="auto"/>
        <w:rPr>
          <w:rFonts w:hint="eastAsia" w:ascii="宋体" w:hAnsi="宋体" w:eastAsia="宋体" w:cs="宋体"/>
          <w:i w:val="0"/>
          <w:iCs w:val="0"/>
          <w:color w:val="000000" w:themeColor="text1"/>
          <w:szCs w:val="21"/>
          <w:highlight w:val="none"/>
          <w14:textFill>
            <w14:solidFill>
              <w14:schemeClr w14:val="tx1"/>
            </w14:solidFill>
          </w14:textFill>
        </w:rPr>
      </w:pPr>
    </w:p>
    <w:p w14:paraId="74771C37">
      <w:pPr>
        <w:keepNext w:val="0"/>
        <w:keepLines w:val="0"/>
        <w:pageBreakBefore w:val="0"/>
        <w:widowControl w:val="0"/>
        <w:kinsoku/>
        <w:wordWrap/>
        <w:overflowPunct/>
        <w:topLinePunct w:val="0"/>
        <w:bidi w:val="0"/>
        <w:adjustRightInd/>
        <w:snapToGrid/>
        <w:spacing w:line="360" w:lineRule="auto"/>
        <w:ind w:firstLine="420" w:firstLineChars="200"/>
        <w:contextualSpacing/>
        <w:jc w:val="left"/>
        <w:textAlignment w:val="auto"/>
        <w:rPr>
          <w:rFonts w:hint="eastAsia" w:ascii="宋体" w:hAnsi="宋体" w:eastAsia="宋体" w:cs="宋体"/>
          <w:i w:val="0"/>
          <w:iCs w:val="0"/>
          <w:color w:val="000000" w:themeColor="text1"/>
          <w:szCs w:val="21"/>
          <w:highlight w:val="none"/>
          <w14:textFill>
            <w14:solidFill>
              <w14:schemeClr w14:val="tx1"/>
            </w14:solidFill>
          </w14:textFill>
        </w:rPr>
      </w:pPr>
      <w:r>
        <w:rPr>
          <w:rFonts w:hint="eastAsia" w:ascii="宋体" w:hAnsi="宋体" w:eastAsia="宋体" w:cs="宋体"/>
          <w:i w:val="0"/>
          <w:iCs w:val="0"/>
          <w:color w:val="000000" w:themeColor="text1"/>
          <w:szCs w:val="21"/>
          <w:highlight w:val="none"/>
          <w14:textFill>
            <w14:solidFill>
              <w14:schemeClr w14:val="tx1"/>
            </w14:solidFill>
          </w14:textFill>
        </w:rPr>
        <w:t>注：享受《政府采购促进中小企业发展管理办法》（财库〔2020〕46号）规定的中小企业扶持政策的，采购人或者采购代理机构应当随成交结果公开成交供应商的《中小企业声明函》，接受社会监督。从业人员、营业收入、资产总额填报上一年度数据，无上一年度数据的新成立企业可不填报。</w:t>
      </w:r>
    </w:p>
    <w:p w14:paraId="17932093">
      <w:pPr>
        <w:rPr>
          <w:b/>
          <w:color w:val="000000" w:themeColor="text1"/>
          <w:sz w:val="28"/>
          <w:szCs w:val="28"/>
          <w:highlight w:val="none"/>
          <w14:textFill>
            <w14:solidFill>
              <w14:schemeClr w14:val="tx1"/>
            </w14:solidFill>
          </w14:textFill>
        </w:rPr>
      </w:pPr>
      <w:r>
        <w:rPr>
          <w:b/>
          <w:color w:val="000000" w:themeColor="text1"/>
          <w:sz w:val="28"/>
          <w:szCs w:val="28"/>
          <w:highlight w:val="none"/>
          <w14:textFill>
            <w14:solidFill>
              <w14:schemeClr w14:val="tx1"/>
            </w14:solidFill>
          </w14:textFill>
        </w:rPr>
        <w:br w:type="page"/>
      </w:r>
    </w:p>
    <w:p w14:paraId="7ECF5405">
      <w:pPr>
        <w:snapToGrid w:val="0"/>
        <w:spacing w:before="120" w:beforeLines="50" w:after="50" w:line="360" w:lineRule="auto"/>
        <w:jc w:val="left"/>
        <w:outlineLvl w:val="2"/>
        <w:rPr>
          <w:b/>
          <w:color w:val="000000" w:themeColor="text1"/>
          <w:sz w:val="28"/>
          <w:szCs w:val="28"/>
          <w:highlight w:val="none"/>
          <w14:textFill>
            <w14:solidFill>
              <w14:schemeClr w14:val="tx1"/>
            </w14:solidFill>
          </w14:textFill>
        </w:rPr>
      </w:pPr>
      <w:bookmarkStart w:id="241" w:name="_Toc4388"/>
      <w:r>
        <w:rPr>
          <w:b/>
          <w:color w:val="000000" w:themeColor="text1"/>
          <w:sz w:val="28"/>
          <w:szCs w:val="28"/>
          <w:highlight w:val="none"/>
          <w14:textFill>
            <w14:solidFill>
              <w14:schemeClr w14:val="tx1"/>
            </w14:solidFill>
          </w14:textFill>
        </w:rPr>
        <w:t>2.残疾人福利性单位声明函的格式：</w:t>
      </w:r>
      <w:bookmarkEnd w:id="241"/>
    </w:p>
    <w:p w14:paraId="6E624BCD">
      <w:pPr>
        <w:pStyle w:val="22"/>
        <w:rPr>
          <w:color w:val="000000" w:themeColor="text1"/>
          <w:highlight w:val="none"/>
          <w14:textFill>
            <w14:solidFill>
              <w14:schemeClr w14:val="tx1"/>
            </w14:solidFill>
          </w14:textFill>
        </w:rPr>
      </w:pPr>
    </w:p>
    <w:p w14:paraId="0CBDABB3">
      <w:pPr>
        <w:spacing w:line="520" w:lineRule="exact"/>
        <w:jc w:val="center"/>
        <w:rPr>
          <w:rFonts w:eastAsia="方正小标宋简体"/>
          <w:color w:val="000000" w:themeColor="text1"/>
          <w:sz w:val="44"/>
          <w:szCs w:val="44"/>
          <w:highlight w:val="none"/>
          <w14:textFill>
            <w14:solidFill>
              <w14:schemeClr w14:val="tx1"/>
            </w14:solidFill>
          </w14:textFill>
        </w:rPr>
      </w:pPr>
    </w:p>
    <w:p w14:paraId="28BA638E">
      <w:pPr>
        <w:spacing w:line="520" w:lineRule="exact"/>
        <w:jc w:val="center"/>
        <w:rPr>
          <w:rFonts w:eastAsia="方正小标宋简体"/>
          <w:color w:val="000000" w:themeColor="text1"/>
          <w:sz w:val="44"/>
          <w:szCs w:val="44"/>
          <w:highlight w:val="none"/>
          <w14:textFill>
            <w14:solidFill>
              <w14:schemeClr w14:val="tx1"/>
            </w14:solidFill>
          </w14:textFill>
        </w:rPr>
      </w:pPr>
    </w:p>
    <w:p w14:paraId="30294831">
      <w:pPr>
        <w:spacing w:line="520" w:lineRule="exact"/>
        <w:jc w:val="center"/>
        <w:rPr>
          <w:b/>
          <w:bCs/>
          <w:color w:val="000000" w:themeColor="text1"/>
          <w:sz w:val="36"/>
          <w:szCs w:val="36"/>
          <w:highlight w:val="none"/>
          <w14:textFill>
            <w14:solidFill>
              <w14:schemeClr w14:val="tx1"/>
            </w14:solidFill>
          </w14:textFill>
        </w:rPr>
      </w:pPr>
      <w:r>
        <w:rPr>
          <w:b/>
          <w:bCs/>
          <w:color w:val="000000" w:themeColor="text1"/>
          <w:sz w:val="36"/>
          <w:szCs w:val="36"/>
          <w:highlight w:val="none"/>
          <w14:textFill>
            <w14:solidFill>
              <w14:schemeClr w14:val="tx1"/>
            </w14:solidFill>
          </w14:textFill>
        </w:rPr>
        <w:t>残疾人福利性单位声明函</w:t>
      </w:r>
    </w:p>
    <w:p w14:paraId="5710AE34">
      <w:pPr>
        <w:spacing w:line="520" w:lineRule="exact"/>
        <w:rPr>
          <w:color w:val="000000" w:themeColor="text1"/>
          <w:sz w:val="32"/>
          <w:szCs w:val="32"/>
          <w:highlight w:val="none"/>
          <w14:textFill>
            <w14:solidFill>
              <w14:schemeClr w14:val="tx1"/>
            </w14:solidFill>
          </w14:textFill>
        </w:rPr>
      </w:pPr>
    </w:p>
    <w:p w14:paraId="03E43E19">
      <w:pPr>
        <w:spacing w:line="360" w:lineRule="auto"/>
        <w:ind w:firstLine="420" w:firstLineChars="200"/>
        <w:contextualSpacing/>
        <w:rPr>
          <w:color w:val="000000" w:themeColor="text1"/>
          <w:szCs w:val="21"/>
          <w:highlight w:val="none"/>
          <w14:textFill>
            <w14:solidFill>
              <w14:schemeClr w14:val="tx1"/>
            </w14:solidFill>
          </w14:textFill>
        </w:rPr>
      </w:pPr>
    </w:p>
    <w:p w14:paraId="6BB6F75E">
      <w:pPr>
        <w:spacing w:line="360" w:lineRule="auto"/>
        <w:ind w:firstLine="420" w:firstLineChars="200"/>
        <w:contextualSpacing/>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本单位郑重声明，根据《财政部 民政部 中国残疾人联合会关于促进残疾人就业政府采购政策的通知》（财库〔2017〕141号）的规定，本单位为符合条件的残疾人福利性单位，且本单位参加</w:t>
      </w:r>
      <w:r>
        <w:rPr>
          <w:color w:val="000000" w:themeColor="text1"/>
          <w:szCs w:val="21"/>
          <w:highlight w:val="none"/>
          <w:u w:val="single"/>
          <w14:textFill>
            <w14:solidFill>
              <w14:schemeClr w14:val="tx1"/>
            </w14:solidFill>
          </w14:textFill>
        </w:rPr>
        <w:t xml:space="preserve">    </w:t>
      </w:r>
      <w:r>
        <w:rPr>
          <w:rFonts w:hint="eastAsia"/>
          <w:color w:val="000000" w:themeColor="text1"/>
          <w:szCs w:val="21"/>
          <w:highlight w:val="none"/>
          <w:u w:val="single"/>
          <w:lang w:val="en-US" w:eastAsia="zh-CN"/>
          <w14:textFill>
            <w14:solidFill>
              <w14:schemeClr w14:val="tx1"/>
            </w14:solidFill>
          </w14:textFill>
        </w:rPr>
        <w:t xml:space="preserve">     </w:t>
      </w:r>
      <w:r>
        <w:rPr>
          <w:color w:val="000000" w:themeColor="text1"/>
          <w:szCs w:val="21"/>
          <w:highlight w:val="none"/>
          <w:u w:val="single"/>
          <w14:textFill>
            <w14:solidFill>
              <w14:schemeClr w14:val="tx1"/>
            </w14:solidFill>
          </w14:textFill>
        </w:rPr>
        <w:t xml:space="preserve">    </w:t>
      </w:r>
      <w:r>
        <w:rPr>
          <w:color w:val="000000" w:themeColor="text1"/>
          <w:szCs w:val="21"/>
          <w:highlight w:val="none"/>
          <w14:textFill>
            <w14:solidFill>
              <w14:schemeClr w14:val="tx1"/>
            </w14:solidFill>
          </w14:textFill>
        </w:rPr>
        <w:t>单位的</w:t>
      </w:r>
      <w:r>
        <w:rPr>
          <w:color w:val="000000" w:themeColor="text1"/>
          <w:szCs w:val="21"/>
          <w:highlight w:val="none"/>
          <w:u w:val="single"/>
          <w14:textFill>
            <w14:solidFill>
              <w14:schemeClr w14:val="tx1"/>
            </w14:solidFill>
          </w14:textFill>
        </w:rPr>
        <w:t xml:space="preserve">           </w:t>
      </w:r>
      <w:r>
        <w:rPr>
          <w:color w:val="000000" w:themeColor="text1"/>
          <w:szCs w:val="21"/>
          <w:highlight w:val="none"/>
          <w14:textFill>
            <w14:solidFill>
              <w14:schemeClr w14:val="tx1"/>
            </w14:solidFill>
          </w14:textFill>
        </w:rPr>
        <w:t>项目采购活动提供本单位制造的货物（由本单位承担工程/提供服务），或者提供其他残疾人福利性单位制造的货物（不包括使用非残疾人福利性单位注册商标的货物）。</w:t>
      </w:r>
    </w:p>
    <w:p w14:paraId="476838E2">
      <w:pPr>
        <w:spacing w:line="360" w:lineRule="auto"/>
        <w:ind w:firstLine="420" w:firstLineChars="200"/>
        <w:contextualSpacing/>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本单位对上述声明的真实性负责。如有虚假，将依法承担相应责任。</w:t>
      </w:r>
    </w:p>
    <w:p w14:paraId="4E37DA8E">
      <w:pPr>
        <w:spacing w:line="360" w:lineRule="auto"/>
        <w:contextualSpacing/>
        <w:rPr>
          <w:color w:val="000000" w:themeColor="text1"/>
          <w:szCs w:val="21"/>
          <w:highlight w:val="none"/>
          <w14:textFill>
            <w14:solidFill>
              <w14:schemeClr w14:val="tx1"/>
            </w14:solidFill>
          </w14:textFill>
        </w:rPr>
      </w:pPr>
    </w:p>
    <w:p w14:paraId="4BA33B1F">
      <w:pPr>
        <w:spacing w:line="360" w:lineRule="auto"/>
        <w:contextualSpacing/>
        <w:rPr>
          <w:color w:val="000000" w:themeColor="text1"/>
          <w:szCs w:val="21"/>
          <w:highlight w:val="none"/>
          <w14:textFill>
            <w14:solidFill>
              <w14:schemeClr w14:val="tx1"/>
            </w14:solidFill>
          </w14:textFill>
        </w:rPr>
      </w:pPr>
    </w:p>
    <w:p w14:paraId="016C79F2">
      <w:pPr>
        <w:spacing w:line="360" w:lineRule="auto"/>
        <w:contextualSpacing/>
        <w:rPr>
          <w:color w:val="000000" w:themeColor="text1"/>
          <w:szCs w:val="21"/>
          <w:highlight w:val="none"/>
          <w14:textFill>
            <w14:solidFill>
              <w14:schemeClr w14:val="tx1"/>
            </w14:solidFill>
          </w14:textFill>
        </w:rPr>
      </w:pPr>
    </w:p>
    <w:p w14:paraId="6970060C">
      <w:pPr>
        <w:spacing w:line="400" w:lineRule="exact"/>
        <w:ind w:firstLine="4410" w:firstLineChars="2100"/>
        <w:rPr>
          <w:color w:val="000000" w:themeColor="text1"/>
          <w:szCs w:val="21"/>
          <w:highlight w:val="none"/>
          <w:u w:val="single"/>
          <w14:textFill>
            <w14:solidFill>
              <w14:schemeClr w14:val="tx1"/>
            </w14:solidFill>
          </w14:textFill>
        </w:rPr>
      </w:pPr>
      <w:r>
        <w:rPr>
          <w:color w:val="000000" w:themeColor="text1"/>
          <w:szCs w:val="21"/>
          <w:highlight w:val="none"/>
          <w14:textFill>
            <w14:solidFill>
              <w14:schemeClr w14:val="tx1"/>
            </w14:solidFill>
          </w14:textFill>
        </w:rPr>
        <w:t>供应商</w:t>
      </w:r>
      <w:r>
        <w:rPr>
          <w:color w:val="000000" w:themeColor="text1"/>
          <w:kern w:val="0"/>
          <w:szCs w:val="21"/>
          <w:highlight w:val="none"/>
          <w14:textFill>
            <w14:solidFill>
              <w14:schemeClr w14:val="tx1"/>
            </w14:solidFill>
          </w14:textFill>
        </w:rPr>
        <w:t>名称</w:t>
      </w:r>
      <w:r>
        <w:rPr>
          <w:color w:val="000000" w:themeColor="text1"/>
          <w:szCs w:val="21"/>
          <w:highlight w:val="none"/>
          <w14:textFill>
            <w14:solidFill>
              <w14:schemeClr w14:val="tx1"/>
            </w14:solidFill>
          </w14:textFill>
        </w:rPr>
        <w:t>（盖公章）：</w:t>
      </w:r>
      <w:r>
        <w:rPr>
          <w:color w:val="000000" w:themeColor="text1"/>
          <w:szCs w:val="21"/>
          <w:highlight w:val="none"/>
          <w:u w:val="single"/>
          <w14:textFill>
            <w14:solidFill>
              <w14:schemeClr w14:val="tx1"/>
            </w14:solidFill>
          </w14:textFill>
        </w:rPr>
        <w:t xml:space="preserve">                   </w:t>
      </w:r>
    </w:p>
    <w:p w14:paraId="60BBD7C6">
      <w:pPr>
        <w:spacing w:line="360" w:lineRule="auto"/>
        <w:contextualSpacing/>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 xml:space="preserve">                                          </w:t>
      </w:r>
      <w:r>
        <w:rPr>
          <w:color w:val="000000" w:themeColor="text1"/>
          <w:szCs w:val="21"/>
          <w:highlight w:val="none"/>
          <w14:textFill>
            <w14:solidFill>
              <w14:schemeClr w14:val="tx1"/>
            </w14:solidFill>
          </w14:textFill>
        </w:rPr>
        <w:t>日期：</w:t>
      </w:r>
      <w:r>
        <w:rPr>
          <w:color w:val="000000" w:themeColor="text1"/>
          <w:szCs w:val="21"/>
          <w:highlight w:val="none"/>
          <w:u w:val="single"/>
          <w14:textFill>
            <w14:solidFill>
              <w14:schemeClr w14:val="tx1"/>
            </w14:solidFill>
          </w14:textFill>
        </w:rPr>
        <w:t xml:space="preserve">         </w:t>
      </w:r>
      <w:r>
        <w:rPr>
          <w:color w:val="000000" w:themeColor="text1"/>
          <w:szCs w:val="21"/>
          <w:highlight w:val="none"/>
          <w14:textFill>
            <w14:solidFill>
              <w14:schemeClr w14:val="tx1"/>
            </w14:solidFill>
          </w14:textFill>
        </w:rPr>
        <w:t>年</w:t>
      </w:r>
      <w:r>
        <w:rPr>
          <w:color w:val="000000" w:themeColor="text1"/>
          <w:szCs w:val="21"/>
          <w:highlight w:val="none"/>
          <w:u w:val="single"/>
          <w14:textFill>
            <w14:solidFill>
              <w14:schemeClr w14:val="tx1"/>
            </w14:solidFill>
          </w14:textFill>
        </w:rPr>
        <w:t xml:space="preserve">        </w:t>
      </w:r>
      <w:r>
        <w:rPr>
          <w:color w:val="000000" w:themeColor="text1"/>
          <w:szCs w:val="21"/>
          <w:highlight w:val="none"/>
          <w14:textFill>
            <w14:solidFill>
              <w14:schemeClr w14:val="tx1"/>
            </w14:solidFill>
          </w14:textFill>
        </w:rPr>
        <w:t>月</w:t>
      </w:r>
      <w:r>
        <w:rPr>
          <w:color w:val="000000" w:themeColor="text1"/>
          <w:szCs w:val="21"/>
          <w:highlight w:val="none"/>
          <w:u w:val="single"/>
          <w14:textFill>
            <w14:solidFill>
              <w14:schemeClr w14:val="tx1"/>
            </w14:solidFill>
          </w14:textFill>
        </w:rPr>
        <w:t xml:space="preserve">        </w:t>
      </w:r>
      <w:r>
        <w:rPr>
          <w:color w:val="000000" w:themeColor="text1"/>
          <w:szCs w:val="21"/>
          <w:highlight w:val="none"/>
          <w14:textFill>
            <w14:solidFill>
              <w14:schemeClr w14:val="tx1"/>
            </w14:solidFill>
          </w14:textFill>
        </w:rPr>
        <w:t>日</w:t>
      </w:r>
    </w:p>
    <w:p w14:paraId="13C54986">
      <w:pPr>
        <w:spacing w:line="360" w:lineRule="auto"/>
        <w:contextualSpacing/>
        <w:rPr>
          <w:color w:val="000000" w:themeColor="text1"/>
          <w:szCs w:val="21"/>
          <w:highlight w:val="none"/>
          <w14:textFill>
            <w14:solidFill>
              <w14:schemeClr w14:val="tx1"/>
            </w14:solidFill>
          </w14:textFill>
        </w:rPr>
      </w:pPr>
    </w:p>
    <w:p w14:paraId="7F889EE2">
      <w:pPr>
        <w:spacing w:line="360" w:lineRule="auto"/>
        <w:contextualSpacing/>
        <w:rPr>
          <w:color w:val="000000" w:themeColor="text1"/>
          <w:szCs w:val="21"/>
          <w:highlight w:val="none"/>
          <w14:textFill>
            <w14:solidFill>
              <w14:schemeClr w14:val="tx1"/>
            </w14:solidFill>
          </w14:textFill>
        </w:rPr>
      </w:pPr>
    </w:p>
    <w:p w14:paraId="5AF65C6F">
      <w:pPr>
        <w:spacing w:line="360" w:lineRule="auto"/>
        <w:ind w:firstLine="420" w:firstLineChars="200"/>
        <w:contextualSpacing/>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注：请根据自己的真实情况出具《残疾人福利性单位声明函》。依法享受中小企业扶持政策的，采购人或者采购代理机构在公告成交结果时，同时公告其《残疾人福利性单位声明函》，接受社会监督。</w:t>
      </w:r>
    </w:p>
    <w:p w14:paraId="6AEC312F">
      <w:pPr>
        <w:pStyle w:val="14"/>
        <w:ind w:left="1" w:firstLine="2" w:firstLineChars="1"/>
        <w:rPr>
          <w:b/>
          <w:bCs/>
          <w:color w:val="000000" w:themeColor="text1"/>
          <w:sz w:val="18"/>
          <w:szCs w:val="18"/>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br w:type="page"/>
      </w:r>
    </w:p>
    <w:p w14:paraId="1221871F">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华文中宋" w:hAnsi="华文中宋" w:eastAsia="华文中宋" w:cs="华文中宋"/>
          <w:color w:val="000000" w:themeColor="text1"/>
          <w:sz w:val="32"/>
          <w:szCs w:val="32"/>
          <w14:textFill>
            <w14:solidFill>
              <w14:schemeClr w14:val="tx1"/>
            </w14:solidFill>
          </w14:textFill>
        </w:rPr>
      </w:pPr>
      <w:bookmarkStart w:id="242" w:name="_Toc27888"/>
      <w:bookmarkStart w:id="243" w:name="_Toc28369"/>
      <w:bookmarkStart w:id="244" w:name="_Toc32625"/>
      <w:bookmarkStart w:id="245" w:name="_Toc31579"/>
      <w:bookmarkStart w:id="246" w:name="_Toc15154"/>
      <w:bookmarkStart w:id="247" w:name="_Toc80886947"/>
      <w:bookmarkStart w:id="248" w:name="_Toc9343"/>
      <w:bookmarkStart w:id="249" w:name="_Toc24786"/>
      <w:bookmarkStart w:id="250" w:name="_Toc4005"/>
      <w:bookmarkStart w:id="251" w:name="_Toc12748"/>
      <w:r>
        <w:rPr>
          <w:rFonts w:hint="eastAsia" w:ascii="华文中宋" w:hAnsi="华文中宋" w:eastAsia="华文中宋" w:cs="华文中宋"/>
          <w:color w:val="000000" w:themeColor="text1"/>
          <w:sz w:val="32"/>
          <w:szCs w:val="32"/>
          <w14:textFill>
            <w14:solidFill>
              <w14:schemeClr w14:val="tx1"/>
            </w14:solidFill>
          </w14:textFill>
        </w:rPr>
        <w:t>第六章  合同文本</w:t>
      </w:r>
      <w:bookmarkEnd w:id="242"/>
      <w:bookmarkEnd w:id="243"/>
      <w:bookmarkEnd w:id="244"/>
      <w:bookmarkEnd w:id="245"/>
      <w:bookmarkEnd w:id="246"/>
      <w:bookmarkEnd w:id="247"/>
      <w:bookmarkEnd w:id="248"/>
      <w:bookmarkEnd w:id="249"/>
      <w:bookmarkEnd w:id="250"/>
    </w:p>
    <w:bookmarkEnd w:id="251"/>
    <w:p w14:paraId="267D4B88">
      <w:pPr>
        <w:pageBreakBefore w:val="0"/>
        <w:kinsoku/>
        <w:overflowPunct/>
        <w:topLinePunct w:val="0"/>
        <w:bidi w:val="0"/>
        <w:snapToGrid/>
        <w:spacing w:line="360" w:lineRule="auto"/>
        <w:jc w:val="center"/>
        <w:textAlignment w:val="auto"/>
        <w:rPr>
          <w:rFonts w:ascii="宋体" w:hAnsi="宋体" w:cs="宋体"/>
          <w:b/>
          <w:bCs/>
          <w:color w:val="000000" w:themeColor="text1"/>
          <w:kern w:val="44"/>
          <w:sz w:val="72"/>
          <w:szCs w:val="72"/>
          <w:highlight w:val="none"/>
          <w:lang w:val="zh-CN"/>
          <w14:textFill>
            <w14:solidFill>
              <w14:schemeClr w14:val="tx1"/>
            </w14:solidFill>
          </w14:textFill>
        </w:rPr>
      </w:pPr>
      <w:bookmarkStart w:id="252" w:name="_Toc407135283"/>
      <w:bookmarkStart w:id="253" w:name="_Toc29015"/>
      <w:bookmarkStart w:id="254" w:name="_Toc14114"/>
    </w:p>
    <w:p w14:paraId="2F236FB0">
      <w:pPr>
        <w:pageBreakBefore w:val="0"/>
        <w:kinsoku/>
        <w:overflowPunct/>
        <w:topLinePunct w:val="0"/>
        <w:bidi w:val="0"/>
        <w:snapToGrid/>
        <w:spacing w:line="360" w:lineRule="auto"/>
        <w:jc w:val="center"/>
        <w:textAlignment w:val="auto"/>
        <w:rPr>
          <w:rFonts w:ascii="宋体" w:hAnsi="宋体" w:cs="宋体"/>
          <w:b/>
          <w:bCs/>
          <w:color w:val="000000" w:themeColor="text1"/>
          <w:kern w:val="44"/>
          <w:sz w:val="72"/>
          <w:szCs w:val="72"/>
          <w:highlight w:val="none"/>
          <w:lang w:val="zh-CN"/>
          <w14:textFill>
            <w14:solidFill>
              <w14:schemeClr w14:val="tx1"/>
            </w14:solidFill>
          </w14:textFill>
        </w:rPr>
      </w:pPr>
    </w:p>
    <w:p w14:paraId="0C1344C6">
      <w:pPr>
        <w:pageBreakBefore w:val="0"/>
        <w:kinsoku/>
        <w:overflowPunct/>
        <w:topLinePunct w:val="0"/>
        <w:bidi w:val="0"/>
        <w:snapToGrid/>
        <w:spacing w:line="360" w:lineRule="auto"/>
        <w:jc w:val="center"/>
        <w:textAlignment w:val="auto"/>
        <w:rPr>
          <w:rFonts w:ascii="宋体" w:hAnsi="宋体" w:cs="宋体"/>
          <w:b/>
          <w:bCs/>
          <w:color w:val="000000" w:themeColor="text1"/>
          <w:kern w:val="44"/>
          <w:sz w:val="44"/>
          <w:szCs w:val="44"/>
          <w:highlight w:val="none"/>
          <w:lang w:val="zh-CN"/>
          <w14:textFill>
            <w14:solidFill>
              <w14:schemeClr w14:val="tx1"/>
            </w14:solidFill>
          </w14:textFill>
        </w:rPr>
      </w:pPr>
      <w:r>
        <w:rPr>
          <w:rFonts w:hint="eastAsia" w:ascii="宋体" w:hAnsi="宋体" w:cs="宋体"/>
          <w:b/>
          <w:bCs/>
          <w:color w:val="000000" w:themeColor="text1"/>
          <w:kern w:val="44"/>
          <w:sz w:val="44"/>
          <w:szCs w:val="44"/>
          <w:highlight w:val="none"/>
          <w:lang w:val="zh-CN"/>
          <w14:textFill>
            <w14:solidFill>
              <w14:schemeClr w14:val="tx1"/>
            </w14:solidFill>
          </w14:textFill>
        </w:rPr>
        <w:t>建设工程施工合同</w:t>
      </w:r>
    </w:p>
    <w:p w14:paraId="3A684DBD">
      <w:pPr>
        <w:pageBreakBefore w:val="0"/>
        <w:kinsoku/>
        <w:overflowPunct/>
        <w:topLinePunct w:val="0"/>
        <w:bidi w:val="0"/>
        <w:snapToGrid/>
        <w:spacing w:line="360" w:lineRule="auto"/>
        <w:textAlignment w:val="auto"/>
        <w:rPr>
          <w:rFonts w:ascii="宋体" w:hAnsi="宋体" w:cs="宋体"/>
          <w:b/>
          <w:bCs/>
          <w:color w:val="000000" w:themeColor="text1"/>
          <w:kern w:val="44"/>
          <w:sz w:val="28"/>
          <w:szCs w:val="28"/>
          <w:highlight w:val="none"/>
          <w:lang w:val="zh-CN"/>
          <w14:textFill>
            <w14:solidFill>
              <w14:schemeClr w14:val="tx1"/>
            </w14:solidFill>
          </w14:textFill>
        </w:rPr>
      </w:pPr>
    </w:p>
    <w:p w14:paraId="5D3478E2">
      <w:pPr>
        <w:pageBreakBefore w:val="0"/>
        <w:kinsoku/>
        <w:overflowPunct/>
        <w:topLinePunct w:val="0"/>
        <w:bidi w:val="0"/>
        <w:snapToGrid/>
        <w:spacing w:line="360" w:lineRule="auto"/>
        <w:textAlignment w:val="auto"/>
        <w:rPr>
          <w:rFonts w:ascii="宋体" w:hAnsi="宋体" w:cs="宋体"/>
          <w:b/>
          <w:bCs/>
          <w:color w:val="000000" w:themeColor="text1"/>
          <w:kern w:val="44"/>
          <w:sz w:val="28"/>
          <w:szCs w:val="28"/>
          <w:highlight w:val="none"/>
          <w:lang w:val="zh-CN"/>
          <w14:textFill>
            <w14:solidFill>
              <w14:schemeClr w14:val="tx1"/>
            </w14:solidFill>
          </w14:textFill>
        </w:rPr>
      </w:pPr>
    </w:p>
    <w:p w14:paraId="27EFA198">
      <w:pPr>
        <w:pageBreakBefore w:val="0"/>
        <w:kinsoku/>
        <w:overflowPunct/>
        <w:topLinePunct w:val="0"/>
        <w:bidi w:val="0"/>
        <w:snapToGrid/>
        <w:spacing w:line="360" w:lineRule="auto"/>
        <w:textAlignment w:val="auto"/>
        <w:rPr>
          <w:rFonts w:ascii="宋体" w:hAnsi="宋体" w:cs="宋体"/>
          <w:b/>
          <w:bCs/>
          <w:color w:val="000000" w:themeColor="text1"/>
          <w:kern w:val="44"/>
          <w:sz w:val="28"/>
          <w:szCs w:val="28"/>
          <w:highlight w:val="none"/>
          <w:lang w:val="zh-CN"/>
          <w14:textFill>
            <w14:solidFill>
              <w14:schemeClr w14:val="tx1"/>
            </w14:solidFill>
          </w14:textFill>
        </w:rPr>
      </w:pPr>
    </w:p>
    <w:p w14:paraId="73038011">
      <w:pPr>
        <w:pageBreakBefore w:val="0"/>
        <w:kinsoku/>
        <w:overflowPunct/>
        <w:topLinePunct w:val="0"/>
        <w:bidi w:val="0"/>
        <w:snapToGrid/>
        <w:spacing w:line="360" w:lineRule="auto"/>
        <w:ind w:firstLine="843" w:firstLineChars="300"/>
        <w:textAlignment w:val="auto"/>
        <w:rPr>
          <w:rFonts w:ascii="宋体" w:hAnsi="宋体" w:cs="宋体"/>
          <w:b/>
          <w:bCs/>
          <w:color w:val="000000" w:themeColor="text1"/>
          <w:kern w:val="44"/>
          <w:sz w:val="28"/>
          <w:szCs w:val="28"/>
          <w:highlight w:val="none"/>
          <w:lang w:val="zh-CN"/>
          <w14:textFill>
            <w14:solidFill>
              <w14:schemeClr w14:val="tx1"/>
            </w14:solidFill>
          </w14:textFill>
        </w:rPr>
      </w:pPr>
      <w:r>
        <w:rPr>
          <w:rFonts w:hint="eastAsia" w:ascii="宋体" w:hAnsi="宋体" w:cs="宋体"/>
          <w:b/>
          <w:bCs/>
          <w:color w:val="000000" w:themeColor="text1"/>
          <w:kern w:val="44"/>
          <w:sz w:val="28"/>
          <w:szCs w:val="28"/>
          <w:highlight w:val="none"/>
          <w:u w:val="none"/>
          <w:lang w:val="zh-CN"/>
          <w14:textFill>
            <w14:solidFill>
              <w14:schemeClr w14:val="tx1"/>
            </w14:solidFill>
          </w14:textFill>
        </w:rPr>
        <w:t>工程名称：桂林市中西医结合医院消化内镜中心装修改造工程</w:t>
      </w:r>
    </w:p>
    <w:p w14:paraId="398C791A">
      <w:pPr>
        <w:pageBreakBefore w:val="0"/>
        <w:kinsoku/>
        <w:overflowPunct/>
        <w:topLinePunct w:val="0"/>
        <w:bidi w:val="0"/>
        <w:snapToGrid/>
        <w:spacing w:line="360" w:lineRule="auto"/>
        <w:textAlignment w:val="auto"/>
        <w:rPr>
          <w:rFonts w:ascii="宋体" w:hAnsi="宋体" w:cs="宋体"/>
          <w:b/>
          <w:bCs/>
          <w:color w:val="000000" w:themeColor="text1"/>
          <w:kern w:val="44"/>
          <w:sz w:val="28"/>
          <w:szCs w:val="28"/>
          <w:highlight w:val="none"/>
          <w:lang w:val="zh-CN"/>
          <w14:textFill>
            <w14:solidFill>
              <w14:schemeClr w14:val="tx1"/>
            </w14:solidFill>
          </w14:textFill>
        </w:rPr>
      </w:pPr>
    </w:p>
    <w:p w14:paraId="767F934A">
      <w:pPr>
        <w:pageBreakBefore w:val="0"/>
        <w:kinsoku/>
        <w:overflowPunct/>
        <w:topLinePunct w:val="0"/>
        <w:bidi w:val="0"/>
        <w:snapToGrid/>
        <w:spacing w:line="360" w:lineRule="auto"/>
        <w:textAlignment w:val="auto"/>
        <w:rPr>
          <w:rFonts w:ascii="宋体" w:hAnsi="宋体" w:cs="宋体"/>
          <w:b/>
          <w:bCs/>
          <w:color w:val="000000" w:themeColor="text1"/>
          <w:kern w:val="44"/>
          <w:sz w:val="28"/>
          <w:szCs w:val="28"/>
          <w:highlight w:val="none"/>
          <w:lang w:val="zh-CN"/>
          <w14:textFill>
            <w14:solidFill>
              <w14:schemeClr w14:val="tx1"/>
            </w14:solidFill>
          </w14:textFill>
        </w:rPr>
      </w:pPr>
    </w:p>
    <w:p w14:paraId="0BD87C72">
      <w:pPr>
        <w:pageBreakBefore w:val="0"/>
        <w:kinsoku/>
        <w:overflowPunct/>
        <w:topLinePunct w:val="0"/>
        <w:bidi w:val="0"/>
        <w:snapToGrid/>
        <w:spacing w:line="360" w:lineRule="auto"/>
        <w:textAlignment w:val="auto"/>
        <w:rPr>
          <w:rFonts w:ascii="宋体" w:hAnsi="宋体" w:cs="宋体"/>
          <w:b/>
          <w:bCs/>
          <w:color w:val="000000" w:themeColor="text1"/>
          <w:kern w:val="44"/>
          <w:sz w:val="28"/>
          <w:szCs w:val="28"/>
          <w:highlight w:val="none"/>
          <w:lang w:val="zh-CN"/>
          <w14:textFill>
            <w14:solidFill>
              <w14:schemeClr w14:val="tx1"/>
            </w14:solidFill>
          </w14:textFill>
        </w:rPr>
      </w:pPr>
    </w:p>
    <w:p w14:paraId="4A4830E1">
      <w:pPr>
        <w:pageBreakBefore w:val="0"/>
        <w:kinsoku/>
        <w:overflowPunct/>
        <w:topLinePunct w:val="0"/>
        <w:bidi w:val="0"/>
        <w:snapToGrid/>
        <w:spacing w:line="360" w:lineRule="auto"/>
        <w:ind w:left="2317" w:leftChars="166" w:hanging="1968" w:hangingChars="700"/>
        <w:jc w:val="left"/>
        <w:textAlignment w:val="auto"/>
        <w:rPr>
          <w:rFonts w:ascii="宋体" w:hAnsi="宋体" w:cs="宋体"/>
          <w:b/>
          <w:bCs/>
          <w:color w:val="000000" w:themeColor="text1"/>
          <w:kern w:val="44"/>
          <w:sz w:val="28"/>
          <w:szCs w:val="28"/>
          <w:highlight w:val="none"/>
          <w:u w:val="none"/>
          <w14:textFill>
            <w14:solidFill>
              <w14:schemeClr w14:val="tx1"/>
            </w14:solidFill>
          </w14:textFill>
        </w:rPr>
      </w:pPr>
    </w:p>
    <w:p w14:paraId="4E1E827A">
      <w:pPr>
        <w:pageBreakBefore w:val="0"/>
        <w:kinsoku/>
        <w:overflowPunct/>
        <w:topLinePunct w:val="0"/>
        <w:bidi w:val="0"/>
        <w:snapToGrid/>
        <w:spacing w:line="360" w:lineRule="auto"/>
        <w:ind w:firstLine="1687" w:firstLineChars="600"/>
        <w:textAlignment w:val="auto"/>
        <w:rPr>
          <w:rFonts w:ascii="宋体" w:hAnsi="宋体" w:cs="宋体"/>
          <w:b/>
          <w:bCs/>
          <w:color w:val="000000" w:themeColor="text1"/>
          <w:kern w:val="44"/>
          <w:sz w:val="28"/>
          <w:szCs w:val="28"/>
          <w:highlight w:val="none"/>
          <w:u w:val="none"/>
          <w14:textFill>
            <w14:solidFill>
              <w14:schemeClr w14:val="tx1"/>
            </w14:solidFill>
          </w14:textFill>
        </w:rPr>
      </w:pPr>
      <w:r>
        <w:rPr>
          <w:rFonts w:hint="eastAsia" w:ascii="宋体" w:hAnsi="宋体" w:cs="宋体"/>
          <w:b/>
          <w:bCs/>
          <w:color w:val="000000" w:themeColor="text1"/>
          <w:kern w:val="44"/>
          <w:sz w:val="28"/>
          <w:szCs w:val="28"/>
          <w:highlight w:val="none"/>
          <w:u w:val="none"/>
          <w:lang w:val="zh-CN"/>
          <w14:textFill>
            <w14:solidFill>
              <w14:schemeClr w14:val="tx1"/>
            </w14:solidFill>
          </w14:textFill>
        </w:rPr>
        <w:t>发包人（采购人）：桂林市中西医结合医院</w:t>
      </w:r>
    </w:p>
    <w:p w14:paraId="510D735F">
      <w:pPr>
        <w:pageBreakBefore w:val="0"/>
        <w:kinsoku/>
        <w:overflowPunct/>
        <w:topLinePunct w:val="0"/>
        <w:bidi w:val="0"/>
        <w:snapToGrid/>
        <w:spacing w:line="360" w:lineRule="auto"/>
        <w:ind w:firstLine="1687" w:firstLineChars="600"/>
        <w:textAlignment w:val="auto"/>
        <w:rPr>
          <w:rFonts w:ascii="宋体" w:hAnsi="宋体" w:cs="宋体"/>
          <w:b/>
          <w:bCs/>
          <w:color w:val="000000" w:themeColor="text1"/>
          <w:kern w:val="44"/>
          <w:sz w:val="28"/>
          <w:szCs w:val="28"/>
          <w:highlight w:val="none"/>
          <w:u w:val="none"/>
          <w14:textFill>
            <w14:solidFill>
              <w14:schemeClr w14:val="tx1"/>
            </w14:solidFill>
          </w14:textFill>
        </w:rPr>
      </w:pPr>
      <w:r>
        <w:rPr>
          <w:rFonts w:hint="eastAsia" w:ascii="宋体" w:hAnsi="宋体" w:eastAsia="宋体" w:cs="宋体"/>
          <w:b/>
          <w:bCs/>
          <w:color w:val="000000" w:themeColor="text1"/>
          <w:kern w:val="44"/>
          <w:sz w:val="28"/>
          <w:szCs w:val="28"/>
          <w:highlight w:val="none"/>
          <w:u w:val="none"/>
          <w:lang w:val="zh-CN"/>
          <w14:textFill>
            <w14:solidFill>
              <w14:schemeClr w14:val="tx1"/>
            </w14:solidFill>
          </w14:textFill>
        </w:rPr>
        <w:t>承包人</w:t>
      </w:r>
      <w:r>
        <w:rPr>
          <w:rFonts w:hint="eastAsia" w:ascii="宋体" w:hAnsi="宋体" w:cs="宋体"/>
          <w:b/>
          <w:bCs/>
          <w:color w:val="000000" w:themeColor="text1"/>
          <w:kern w:val="44"/>
          <w:sz w:val="28"/>
          <w:szCs w:val="28"/>
          <w:highlight w:val="none"/>
          <w:u w:val="none"/>
          <w:lang w:val="zh-CN"/>
          <w14:textFill>
            <w14:solidFill>
              <w14:schemeClr w14:val="tx1"/>
            </w14:solidFill>
          </w14:textFill>
        </w:rPr>
        <w:t>（成交供应商）：</w:t>
      </w:r>
      <w:r>
        <w:rPr>
          <w:rFonts w:hint="eastAsia" w:ascii="宋体" w:hAnsi="宋体" w:cs="宋体"/>
          <w:b/>
          <w:bCs/>
          <w:color w:val="000000" w:themeColor="text1"/>
          <w:kern w:val="44"/>
          <w:sz w:val="28"/>
          <w:szCs w:val="28"/>
          <w:highlight w:val="none"/>
          <w:u w:val="single"/>
          <w14:textFill>
            <w14:solidFill>
              <w14:schemeClr w14:val="tx1"/>
            </w14:solidFill>
          </w14:textFill>
        </w:rPr>
        <w:t xml:space="preserve">                    </w:t>
      </w:r>
    </w:p>
    <w:p w14:paraId="64DB4394">
      <w:pPr>
        <w:pageBreakBefore w:val="0"/>
        <w:kinsoku/>
        <w:overflowPunct/>
        <w:topLinePunct w:val="0"/>
        <w:bidi w:val="0"/>
        <w:snapToGrid/>
        <w:spacing w:line="360" w:lineRule="auto"/>
        <w:ind w:firstLine="1687" w:firstLineChars="600"/>
        <w:textAlignment w:val="auto"/>
        <w:rPr>
          <w:rFonts w:hint="eastAsia" w:ascii="宋体" w:hAnsi="宋体" w:cs="宋体"/>
          <w:b/>
          <w:bCs/>
          <w:color w:val="000000" w:themeColor="text1"/>
          <w:kern w:val="44"/>
          <w:sz w:val="32"/>
          <w:szCs w:val="32"/>
          <w:highlight w:val="none"/>
          <w14:textFill>
            <w14:solidFill>
              <w14:schemeClr w14:val="tx1"/>
            </w14:solidFill>
          </w14:textFill>
        </w:rPr>
      </w:pPr>
      <w:r>
        <w:rPr>
          <w:rFonts w:hint="eastAsia" w:ascii="宋体" w:hAnsi="宋体" w:eastAsia="宋体" w:cs="宋体"/>
          <w:b/>
          <w:bCs/>
          <w:color w:val="000000" w:themeColor="text1"/>
          <w:kern w:val="44"/>
          <w:sz w:val="28"/>
          <w:szCs w:val="28"/>
          <w:highlight w:val="none"/>
          <w:u w:val="none"/>
          <w:lang w:val="zh-CN"/>
          <w14:textFill>
            <w14:solidFill>
              <w14:schemeClr w14:val="tx1"/>
            </w14:solidFill>
          </w14:textFill>
        </w:rPr>
        <w:t>签订</w:t>
      </w:r>
      <w:r>
        <w:rPr>
          <w:rFonts w:hint="eastAsia" w:ascii="宋体" w:hAnsi="宋体" w:cs="宋体"/>
          <w:b/>
          <w:bCs/>
          <w:color w:val="000000" w:themeColor="text1"/>
          <w:kern w:val="44"/>
          <w:sz w:val="32"/>
          <w:szCs w:val="32"/>
          <w:highlight w:val="none"/>
          <w:lang w:val="zh-CN"/>
          <w14:textFill>
            <w14:solidFill>
              <w14:schemeClr w14:val="tx1"/>
            </w14:solidFill>
          </w14:textFill>
        </w:rPr>
        <w:t>时间：</w:t>
      </w:r>
      <w:r>
        <w:rPr>
          <w:rFonts w:hint="eastAsia" w:ascii="宋体" w:hAnsi="宋体" w:cs="宋体"/>
          <w:b/>
          <w:bCs/>
          <w:color w:val="000000" w:themeColor="text1"/>
          <w:kern w:val="44"/>
          <w:sz w:val="32"/>
          <w:szCs w:val="32"/>
          <w:highlight w:val="none"/>
          <w14:textFill>
            <w14:solidFill>
              <w14:schemeClr w14:val="tx1"/>
            </w14:solidFill>
          </w14:textFill>
        </w:rPr>
        <w:t>202</w:t>
      </w:r>
      <w:r>
        <w:rPr>
          <w:rFonts w:hint="eastAsia" w:ascii="宋体" w:hAnsi="宋体" w:cs="宋体"/>
          <w:b/>
          <w:bCs/>
          <w:color w:val="000000" w:themeColor="text1"/>
          <w:kern w:val="44"/>
          <w:sz w:val="32"/>
          <w:szCs w:val="32"/>
          <w:highlight w:val="none"/>
          <w:lang w:val="en-US" w:eastAsia="zh-CN"/>
          <w14:textFill>
            <w14:solidFill>
              <w14:schemeClr w14:val="tx1"/>
            </w14:solidFill>
          </w14:textFill>
        </w:rPr>
        <w:t>6</w:t>
      </w:r>
      <w:r>
        <w:rPr>
          <w:rFonts w:hint="eastAsia" w:ascii="宋体" w:hAnsi="宋体" w:cs="宋体"/>
          <w:b/>
          <w:bCs/>
          <w:color w:val="000000" w:themeColor="text1"/>
          <w:kern w:val="44"/>
          <w:sz w:val="32"/>
          <w:szCs w:val="32"/>
          <w:highlight w:val="none"/>
          <w14:textFill>
            <w14:solidFill>
              <w14:schemeClr w14:val="tx1"/>
            </w14:solidFill>
          </w14:textFill>
        </w:rPr>
        <w:t>年  月  日</w:t>
      </w:r>
    </w:p>
    <w:p w14:paraId="02D2A963">
      <w:pPr>
        <w:rPr>
          <w:rFonts w:hint="eastAsia" w:ascii="Calibri" w:hAnsi="Calibri" w:eastAsia="宋体" w:cs="Times New Roman"/>
          <w:color w:val="000000" w:themeColor="text1"/>
          <w:sz w:val="32"/>
          <w:szCs w:val="32"/>
          <w:highlight w:val="none"/>
          <w14:textFill>
            <w14:solidFill>
              <w14:schemeClr w14:val="tx1"/>
            </w14:solidFill>
          </w14:textFill>
        </w:rPr>
      </w:pPr>
      <w:bookmarkStart w:id="255" w:name="_Toc27919"/>
      <w:bookmarkStart w:id="256" w:name="_Toc1756478213"/>
      <w:bookmarkStart w:id="257" w:name="_Toc296890982"/>
      <w:bookmarkStart w:id="258" w:name="_Toc724920571"/>
      <w:bookmarkStart w:id="259" w:name="_Toc296503025"/>
      <w:bookmarkStart w:id="260" w:name="_Toc389065255"/>
      <w:bookmarkStart w:id="261" w:name="_Toc407135191"/>
      <w:bookmarkStart w:id="262" w:name="_Toc16707"/>
      <w:bookmarkStart w:id="263" w:name="_Toc373478199"/>
      <w:bookmarkStart w:id="264" w:name="_Toc351203480"/>
      <w:bookmarkStart w:id="265" w:name="_Toc373227552"/>
      <w:bookmarkStart w:id="266" w:name="_Toc78449777"/>
      <w:r>
        <w:rPr>
          <w:rFonts w:hint="eastAsia" w:ascii="Calibri" w:hAnsi="Calibri" w:eastAsia="宋体" w:cs="Times New Roman"/>
          <w:color w:val="000000" w:themeColor="text1"/>
          <w:sz w:val="32"/>
          <w:szCs w:val="32"/>
          <w:highlight w:val="none"/>
          <w14:textFill>
            <w14:solidFill>
              <w14:schemeClr w14:val="tx1"/>
            </w14:solidFill>
          </w14:textFill>
        </w:rPr>
        <w:br w:type="page"/>
      </w:r>
    </w:p>
    <w:bookmarkEnd w:id="255"/>
    <w:bookmarkEnd w:id="256"/>
    <w:bookmarkEnd w:id="257"/>
    <w:bookmarkEnd w:id="258"/>
    <w:bookmarkEnd w:id="259"/>
    <w:bookmarkEnd w:id="260"/>
    <w:bookmarkEnd w:id="261"/>
    <w:bookmarkEnd w:id="262"/>
    <w:bookmarkEnd w:id="263"/>
    <w:bookmarkEnd w:id="264"/>
    <w:bookmarkEnd w:id="265"/>
    <w:bookmarkEnd w:id="266"/>
    <w:p w14:paraId="6389BB4F">
      <w:pPr>
        <w:pStyle w:val="3"/>
        <w:spacing w:line="400" w:lineRule="exact"/>
        <w:jc w:val="center"/>
        <w:rPr>
          <w:rFonts w:ascii="Arial" w:hAnsi="Arial" w:cs="Arial"/>
          <w:color w:val="000000" w:themeColor="text1"/>
          <w:sz w:val="28"/>
          <w:szCs w:val="28"/>
          <w14:textFill>
            <w14:solidFill>
              <w14:schemeClr w14:val="tx1"/>
            </w14:solidFill>
          </w14:textFill>
        </w:rPr>
      </w:pPr>
      <w:bookmarkStart w:id="267" w:name="_Toc395382491"/>
      <w:bookmarkStart w:id="268" w:name="_Toc29858"/>
      <w:bookmarkStart w:id="269" w:name="_Toc19799"/>
      <w:r>
        <w:rPr>
          <w:rFonts w:ascii="Arial" w:hAnsi="Arial" w:cs="Arial"/>
          <w:color w:val="000000" w:themeColor="text1"/>
          <w:sz w:val="28"/>
          <w:szCs w:val="28"/>
          <w14:textFill>
            <w14:solidFill>
              <w14:schemeClr w14:val="tx1"/>
            </w14:solidFill>
          </w14:textFill>
        </w:rPr>
        <w:t>第一部分 合同协议书</w:t>
      </w:r>
      <w:bookmarkEnd w:id="267"/>
      <w:bookmarkEnd w:id="268"/>
      <w:bookmarkEnd w:id="269"/>
    </w:p>
    <w:p w14:paraId="472F10E5">
      <w:pPr>
        <w:spacing w:line="372" w:lineRule="auto"/>
        <w:rPr>
          <w:rFonts w:ascii="宋体" w:hAnsi="宋体"/>
          <w:color w:val="000000" w:themeColor="text1"/>
          <w:u w:val="single"/>
          <w14:textFill>
            <w14:solidFill>
              <w14:schemeClr w14:val="tx1"/>
            </w14:solidFill>
          </w14:textFill>
        </w:rPr>
      </w:pPr>
      <w:bookmarkStart w:id="270" w:name="_Toc354818250"/>
      <w:r>
        <w:rPr>
          <w:rFonts w:hint="eastAsia" w:ascii="宋体" w:hAnsi="宋体"/>
          <w:color w:val="000000" w:themeColor="text1"/>
          <w14:textFill>
            <w14:solidFill>
              <w14:schemeClr w14:val="tx1"/>
            </w14:solidFill>
          </w14:textFill>
        </w:rPr>
        <w:t>发包人（全称）：</w:t>
      </w:r>
      <w:r>
        <w:rPr>
          <w:rFonts w:ascii="宋体" w:hAnsi="宋体"/>
          <w:color w:val="000000" w:themeColor="text1"/>
          <w:u w:val="single"/>
          <w14:textFill>
            <w14:solidFill>
              <w14:schemeClr w14:val="tx1"/>
            </w14:solidFill>
          </w14:textFill>
        </w:rPr>
        <w:t xml:space="preserve">  </w:t>
      </w:r>
      <w:r>
        <w:rPr>
          <w:rFonts w:hint="eastAsia" w:ascii="宋体" w:hAnsi="宋体"/>
          <w:color w:val="000000" w:themeColor="text1"/>
          <w:u w:val="single"/>
          <w14:textFill>
            <w14:solidFill>
              <w14:schemeClr w14:val="tx1"/>
            </w14:solidFill>
          </w14:textFill>
        </w:rPr>
        <w:t>桂林市中西医结合医院</w:t>
      </w:r>
      <w:r>
        <w:rPr>
          <w:rFonts w:ascii="宋体" w:hAnsi="宋体"/>
          <w:color w:val="000000" w:themeColor="text1"/>
          <w:u w:val="single"/>
          <w14:textFill>
            <w14:solidFill>
              <w14:schemeClr w14:val="tx1"/>
            </w14:solidFill>
          </w14:textFill>
        </w:rPr>
        <w:t xml:space="preserve"> </w:t>
      </w:r>
    </w:p>
    <w:p w14:paraId="4A93E90C">
      <w:pPr>
        <w:spacing w:line="372" w:lineRule="auto"/>
        <w:rPr>
          <w:rFonts w:ascii="宋体" w:hAnsi="宋体"/>
          <w:color w:val="000000" w:themeColor="text1"/>
          <w:u w:val="single"/>
          <w14:textFill>
            <w14:solidFill>
              <w14:schemeClr w14:val="tx1"/>
            </w14:solidFill>
          </w14:textFill>
        </w:rPr>
      </w:pPr>
      <w:r>
        <w:rPr>
          <w:rFonts w:hint="eastAsia" w:ascii="宋体" w:hAnsi="宋体"/>
          <w:color w:val="000000" w:themeColor="text1"/>
          <w14:textFill>
            <w14:solidFill>
              <w14:schemeClr w14:val="tx1"/>
            </w14:solidFill>
          </w14:textFill>
        </w:rPr>
        <w:t>承包人（全称）：</w:t>
      </w:r>
      <w:r>
        <w:rPr>
          <w:rFonts w:ascii="宋体" w:hAnsi="宋体"/>
          <w:color w:val="000000" w:themeColor="text1"/>
          <w:u w:val="single"/>
          <w14:textFill>
            <w14:solidFill>
              <w14:schemeClr w14:val="tx1"/>
            </w14:solidFill>
          </w14:textFill>
        </w:rPr>
        <w:t xml:space="preserve">                       </w:t>
      </w:r>
    </w:p>
    <w:p w14:paraId="39409258">
      <w:pPr>
        <w:spacing w:line="420" w:lineRule="exact"/>
        <w:ind w:firstLine="420" w:firstLineChars="200"/>
        <w:rPr>
          <w:rFonts w:ascii="宋体" w:hAnsi="宋体" w:cs="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根据《中华人民共和国</w:t>
      </w:r>
      <w:r>
        <w:rPr>
          <w:rFonts w:hint="eastAsia"/>
          <w:color w:val="000000" w:themeColor="text1"/>
          <w:lang w:val="en-US" w:eastAsia="zh-CN"/>
          <w14:textFill>
            <w14:solidFill>
              <w14:schemeClr w14:val="tx1"/>
            </w14:solidFill>
          </w14:textFill>
        </w:rPr>
        <w:t>民法典</w:t>
      </w:r>
      <w:r>
        <w:rPr>
          <w:rFonts w:hint="eastAsia" w:ascii="宋体" w:hAnsi="宋体"/>
          <w:color w:val="000000" w:themeColor="text1"/>
          <w14:textFill>
            <w14:solidFill>
              <w14:schemeClr w14:val="tx1"/>
            </w14:solidFill>
          </w14:textFill>
        </w:rPr>
        <w:t>》、《中华人民共和国建筑法》及有关法律规定，遵循平等、自愿、公平和诚实信用的原则，双方就</w:t>
      </w:r>
      <w:r>
        <w:rPr>
          <w:rFonts w:hint="eastAsia" w:ascii="宋体" w:hAnsi="宋体" w:cs="宋体"/>
          <w:color w:val="000000" w:themeColor="text1"/>
          <w14:textFill>
            <w14:solidFill>
              <w14:schemeClr w14:val="tx1"/>
            </w14:solidFill>
          </w14:textFill>
        </w:rPr>
        <w:t>项目名称：</w:t>
      </w:r>
      <w:r>
        <w:rPr>
          <w:rFonts w:hint="eastAsia" w:ascii="宋体" w:hAnsi="宋体" w:cs="宋体"/>
          <w:bCs/>
          <w:color w:val="000000" w:themeColor="text1"/>
          <w:u w:val="single"/>
          <w:lang w:eastAsia="zh-CN"/>
          <w14:textFill>
            <w14:solidFill>
              <w14:schemeClr w14:val="tx1"/>
            </w14:solidFill>
          </w14:textFill>
        </w:rPr>
        <w:t>桂林市中西医结合医院消化内镜中心装修改造工程</w:t>
      </w:r>
      <w:r>
        <w:rPr>
          <w:rFonts w:hint="eastAsia" w:ascii="宋体" w:hAnsi="宋体"/>
          <w:color w:val="000000" w:themeColor="text1"/>
          <w14:textFill>
            <w14:solidFill>
              <w14:schemeClr w14:val="tx1"/>
            </w14:solidFill>
          </w14:textFill>
        </w:rPr>
        <w:t>施工及有关事项协商一致，共同达成如下协议：</w:t>
      </w:r>
      <w:bookmarkStart w:id="271" w:name="_Toc351203481"/>
    </w:p>
    <w:p w14:paraId="247B45E0">
      <w:pPr>
        <w:spacing w:line="420" w:lineRule="exact"/>
        <w:ind w:firstLine="422" w:firstLineChars="200"/>
        <w:outlineLvl w:val="0"/>
        <w:rPr>
          <w:rFonts w:ascii="宋体" w:hAnsi="宋体"/>
          <w:b/>
          <w:color w:val="000000" w:themeColor="text1"/>
          <w14:textFill>
            <w14:solidFill>
              <w14:schemeClr w14:val="tx1"/>
            </w14:solidFill>
          </w14:textFill>
        </w:rPr>
      </w:pPr>
      <w:bookmarkStart w:id="272" w:name="_Toc520505655"/>
      <w:bookmarkStart w:id="273" w:name="_Toc16247"/>
      <w:bookmarkStart w:id="274" w:name="_Toc406522028"/>
      <w:bookmarkStart w:id="275" w:name="_Toc173253153"/>
      <w:bookmarkStart w:id="276" w:name="_Toc406419153"/>
      <w:r>
        <w:rPr>
          <w:rFonts w:hint="eastAsia" w:ascii="宋体" w:hAnsi="宋体"/>
          <w:b/>
          <w:color w:val="000000" w:themeColor="text1"/>
          <w14:textFill>
            <w14:solidFill>
              <w14:schemeClr w14:val="tx1"/>
            </w14:solidFill>
          </w14:textFill>
        </w:rPr>
        <w:t>一、工程概况</w:t>
      </w:r>
      <w:bookmarkEnd w:id="271"/>
      <w:bookmarkEnd w:id="272"/>
      <w:bookmarkEnd w:id="273"/>
      <w:bookmarkEnd w:id="274"/>
      <w:bookmarkEnd w:id="275"/>
      <w:bookmarkEnd w:id="276"/>
    </w:p>
    <w:p w14:paraId="1BD647C0">
      <w:pPr>
        <w:spacing w:line="420" w:lineRule="exact"/>
        <w:ind w:firstLine="420" w:firstLineChars="200"/>
        <w:rPr>
          <w:rFonts w:ascii="宋体" w:hAnsi="宋体"/>
          <w:color w:val="000000" w:themeColor="text1"/>
          <w:u w:val="single"/>
          <w14:textFill>
            <w14:solidFill>
              <w14:schemeClr w14:val="tx1"/>
            </w14:solidFill>
          </w14:textFill>
        </w:rPr>
      </w:pPr>
      <w:r>
        <w:rPr>
          <w:rFonts w:ascii="宋体" w:hAnsi="宋体"/>
          <w:bCs/>
          <w:color w:val="000000" w:themeColor="text1"/>
          <w14:textFill>
            <w14:solidFill>
              <w14:schemeClr w14:val="tx1"/>
            </w14:solidFill>
          </w14:textFill>
        </w:rPr>
        <w:t xml:space="preserve">1. </w:t>
      </w:r>
      <w:r>
        <w:rPr>
          <w:rFonts w:hint="eastAsia" w:ascii="宋体" w:hAnsi="宋体"/>
          <w:bCs/>
          <w:color w:val="000000" w:themeColor="text1"/>
          <w14:textFill>
            <w14:solidFill>
              <w14:schemeClr w14:val="tx1"/>
            </w14:solidFill>
          </w14:textFill>
        </w:rPr>
        <w:t>工程名称</w:t>
      </w:r>
      <w:r>
        <w:rPr>
          <w:rFonts w:hint="eastAsia" w:ascii="宋体" w:hAnsi="宋体"/>
          <w:color w:val="000000" w:themeColor="text1"/>
          <w14:textFill>
            <w14:solidFill>
              <w14:schemeClr w14:val="tx1"/>
            </w14:solidFill>
          </w14:textFill>
        </w:rPr>
        <w:t>：</w:t>
      </w:r>
      <w:r>
        <w:rPr>
          <w:rFonts w:ascii="宋体" w:hAnsi="宋体"/>
          <w:color w:val="000000" w:themeColor="text1"/>
          <w:u w:val="single"/>
          <w14:textFill>
            <w14:solidFill>
              <w14:schemeClr w14:val="tx1"/>
            </w14:solidFill>
          </w14:textFill>
        </w:rPr>
        <w:t xml:space="preserve">  </w:t>
      </w:r>
      <w:r>
        <w:rPr>
          <w:rFonts w:hint="eastAsia" w:ascii="宋体" w:hAnsi="宋体" w:cs="宋体"/>
          <w:bCs/>
          <w:color w:val="000000" w:themeColor="text1"/>
          <w:u w:val="single"/>
          <w:lang w:eastAsia="zh-CN"/>
          <w14:textFill>
            <w14:solidFill>
              <w14:schemeClr w14:val="tx1"/>
            </w14:solidFill>
          </w14:textFill>
        </w:rPr>
        <w:t>桂林市中西医结合医院消化内镜中心装修改造工程</w:t>
      </w:r>
      <w:r>
        <w:rPr>
          <w:rFonts w:ascii="宋体" w:hAnsi="宋体"/>
          <w:color w:val="000000" w:themeColor="text1"/>
          <w:u w:val="single"/>
          <w14:textFill>
            <w14:solidFill>
              <w14:schemeClr w14:val="tx1"/>
            </w14:solidFill>
          </w14:textFill>
        </w:rPr>
        <w:t xml:space="preserve">  </w:t>
      </w:r>
      <w:r>
        <w:rPr>
          <w:rFonts w:hint="eastAsia" w:ascii="宋体" w:hAnsi="宋体"/>
          <w:color w:val="000000" w:themeColor="text1"/>
          <w14:textFill>
            <w14:solidFill>
              <w14:schemeClr w14:val="tx1"/>
            </w14:solidFill>
          </w14:textFill>
        </w:rPr>
        <w:t>。</w:t>
      </w:r>
    </w:p>
    <w:p w14:paraId="16DEB3BC">
      <w:pPr>
        <w:spacing w:line="420" w:lineRule="exact"/>
        <w:ind w:firstLine="420" w:firstLineChars="200"/>
        <w:rPr>
          <w:rFonts w:ascii="宋体" w:hAnsi="宋体"/>
          <w:bCs/>
          <w:color w:val="000000" w:themeColor="text1"/>
          <w14:textFill>
            <w14:solidFill>
              <w14:schemeClr w14:val="tx1"/>
            </w14:solidFill>
          </w14:textFill>
        </w:rPr>
      </w:pPr>
      <w:r>
        <w:rPr>
          <w:rFonts w:ascii="宋体" w:hAnsi="宋体"/>
          <w:bCs/>
          <w:color w:val="000000" w:themeColor="text1"/>
          <w14:textFill>
            <w14:solidFill>
              <w14:schemeClr w14:val="tx1"/>
            </w14:solidFill>
          </w14:textFill>
        </w:rPr>
        <w:t xml:space="preserve">2. </w:t>
      </w:r>
      <w:r>
        <w:rPr>
          <w:rFonts w:hint="eastAsia" w:ascii="宋体" w:hAnsi="宋体"/>
          <w:bCs/>
          <w:color w:val="000000" w:themeColor="text1"/>
          <w14:textFill>
            <w14:solidFill>
              <w14:schemeClr w14:val="tx1"/>
            </w14:solidFill>
          </w14:textFill>
        </w:rPr>
        <w:t>工程地点：</w:t>
      </w:r>
      <w:r>
        <w:rPr>
          <w:rFonts w:ascii="宋体" w:hAnsi="宋体"/>
          <w:color w:val="000000" w:themeColor="text1"/>
          <w:u w:val="single"/>
          <w14:textFill>
            <w14:solidFill>
              <w14:schemeClr w14:val="tx1"/>
            </w14:solidFill>
          </w14:textFill>
        </w:rPr>
        <w:t xml:space="preserve">  </w:t>
      </w:r>
      <w:r>
        <w:rPr>
          <w:rFonts w:hint="eastAsia" w:ascii="宋体" w:hAnsi="宋体"/>
          <w:color w:val="000000" w:themeColor="text1"/>
          <w:u w:val="single"/>
          <w14:textFill>
            <w14:solidFill>
              <w14:schemeClr w14:val="tx1"/>
            </w14:solidFill>
          </w14:textFill>
        </w:rPr>
        <w:t xml:space="preserve">   </w:t>
      </w:r>
      <w:r>
        <w:rPr>
          <w:rFonts w:hint="eastAsia" w:ascii="宋体" w:hAnsi="宋体" w:cs="宋体"/>
          <w:bCs/>
          <w:color w:val="000000" w:themeColor="text1"/>
          <w:u w:val="single"/>
          <w14:textFill>
            <w14:solidFill>
              <w14:schemeClr w14:val="tx1"/>
            </w14:solidFill>
          </w14:textFill>
        </w:rPr>
        <w:t>桂林市中西医结合医院</w:t>
      </w:r>
      <w:r>
        <w:rPr>
          <w:rFonts w:hint="eastAsia" w:ascii="宋体" w:hAnsi="宋体"/>
          <w:color w:val="000000" w:themeColor="text1"/>
          <w:u w:val="single"/>
          <w14:textFill>
            <w14:solidFill>
              <w14:schemeClr w14:val="tx1"/>
            </w14:solidFill>
          </w14:textFill>
        </w:rPr>
        <w:t xml:space="preserve">   </w:t>
      </w:r>
      <w:r>
        <w:rPr>
          <w:rFonts w:ascii="宋体" w:hAnsi="宋体"/>
          <w:color w:val="000000" w:themeColor="text1"/>
          <w:u w:val="single"/>
          <w14:textFill>
            <w14:solidFill>
              <w14:schemeClr w14:val="tx1"/>
            </w14:solidFill>
          </w14:textFill>
        </w:rPr>
        <w:t xml:space="preserve"> </w:t>
      </w:r>
      <w:r>
        <w:rPr>
          <w:rFonts w:hint="eastAsia" w:ascii="宋体" w:hAnsi="宋体"/>
          <w:color w:val="000000" w:themeColor="text1"/>
          <w14:textFill>
            <w14:solidFill>
              <w14:schemeClr w14:val="tx1"/>
            </w14:solidFill>
          </w14:textFill>
        </w:rPr>
        <w:t>。</w:t>
      </w:r>
    </w:p>
    <w:p w14:paraId="51CF6151">
      <w:pPr>
        <w:spacing w:line="420" w:lineRule="exact"/>
        <w:ind w:firstLine="420" w:firstLineChars="200"/>
        <w:rPr>
          <w:rFonts w:ascii="宋体" w:hAnsi="宋体"/>
          <w:bCs/>
          <w:color w:val="000000" w:themeColor="text1"/>
          <w14:textFill>
            <w14:solidFill>
              <w14:schemeClr w14:val="tx1"/>
            </w14:solidFill>
          </w14:textFill>
        </w:rPr>
      </w:pPr>
      <w:r>
        <w:rPr>
          <w:rFonts w:ascii="宋体" w:hAnsi="宋体"/>
          <w:bCs/>
          <w:color w:val="000000" w:themeColor="text1"/>
          <w14:textFill>
            <w14:solidFill>
              <w14:schemeClr w14:val="tx1"/>
            </w14:solidFill>
          </w14:textFill>
        </w:rPr>
        <w:t xml:space="preserve">3. </w:t>
      </w:r>
      <w:r>
        <w:rPr>
          <w:rFonts w:hint="eastAsia" w:ascii="宋体" w:hAnsi="宋体"/>
          <w:bCs/>
          <w:color w:val="000000" w:themeColor="text1"/>
          <w14:textFill>
            <w14:solidFill>
              <w14:schemeClr w14:val="tx1"/>
            </w14:solidFill>
          </w14:textFill>
        </w:rPr>
        <w:t>工程立项批准文号：</w:t>
      </w:r>
      <w:r>
        <w:rPr>
          <w:rFonts w:ascii="宋体" w:hAnsi="宋体"/>
          <w:color w:val="000000" w:themeColor="text1"/>
          <w:u w:val="single"/>
          <w14:textFill>
            <w14:solidFill>
              <w14:schemeClr w14:val="tx1"/>
            </w14:solidFill>
          </w14:textFill>
        </w:rPr>
        <w:t xml:space="preserve">  </w:t>
      </w:r>
      <w:r>
        <w:rPr>
          <w:rFonts w:hint="eastAsia" w:ascii="宋体" w:hAnsi="宋体"/>
          <w:color w:val="000000" w:themeColor="text1"/>
          <w:u w:val="single"/>
          <w14:textFill>
            <w14:solidFill>
              <w14:schemeClr w14:val="tx1"/>
            </w14:solidFill>
          </w14:textFill>
        </w:rPr>
        <w:t xml:space="preserve">                </w:t>
      </w:r>
      <w:r>
        <w:rPr>
          <w:rFonts w:ascii="宋体" w:hAnsi="宋体"/>
          <w:color w:val="000000" w:themeColor="text1"/>
          <w:u w:val="single"/>
          <w14:textFill>
            <w14:solidFill>
              <w14:schemeClr w14:val="tx1"/>
            </w14:solidFill>
          </w14:textFill>
        </w:rPr>
        <w:t xml:space="preserve">  </w:t>
      </w:r>
      <w:r>
        <w:rPr>
          <w:rFonts w:hint="eastAsia" w:ascii="宋体" w:hAnsi="宋体"/>
          <w:bCs/>
          <w:color w:val="000000" w:themeColor="text1"/>
          <w14:textFill>
            <w14:solidFill>
              <w14:schemeClr w14:val="tx1"/>
            </w14:solidFill>
          </w14:textFill>
        </w:rPr>
        <w:t>。</w:t>
      </w:r>
    </w:p>
    <w:p w14:paraId="784D637A">
      <w:pPr>
        <w:spacing w:line="420" w:lineRule="exact"/>
        <w:ind w:firstLine="420" w:firstLineChars="200"/>
        <w:rPr>
          <w:rFonts w:ascii="宋体" w:hAnsi="宋体"/>
          <w:bCs/>
          <w:color w:val="000000" w:themeColor="text1"/>
          <w14:textFill>
            <w14:solidFill>
              <w14:schemeClr w14:val="tx1"/>
            </w14:solidFill>
          </w14:textFill>
        </w:rPr>
      </w:pPr>
      <w:r>
        <w:rPr>
          <w:rFonts w:ascii="宋体" w:hAnsi="宋体"/>
          <w:bCs/>
          <w:color w:val="000000" w:themeColor="text1"/>
          <w14:textFill>
            <w14:solidFill>
              <w14:schemeClr w14:val="tx1"/>
            </w14:solidFill>
          </w14:textFill>
        </w:rPr>
        <w:t xml:space="preserve">4. </w:t>
      </w:r>
      <w:r>
        <w:rPr>
          <w:rFonts w:hint="eastAsia" w:ascii="宋体" w:hAnsi="宋体"/>
          <w:bCs/>
          <w:color w:val="000000" w:themeColor="text1"/>
          <w14:textFill>
            <w14:solidFill>
              <w14:schemeClr w14:val="tx1"/>
            </w14:solidFill>
          </w14:textFill>
        </w:rPr>
        <w:t>资金来源：</w:t>
      </w:r>
      <w:r>
        <w:rPr>
          <w:rFonts w:hint="eastAsia" w:ascii="宋体" w:hAnsi="宋体" w:cs="宋体"/>
          <w:color w:val="000000" w:themeColor="text1"/>
          <w:u w:val="single"/>
          <w14:textFill>
            <w14:solidFill>
              <w14:schemeClr w14:val="tx1"/>
            </w14:solidFill>
          </w14:textFill>
        </w:rPr>
        <w:t>业</w:t>
      </w:r>
      <w:r>
        <w:rPr>
          <w:rFonts w:hint="eastAsia" w:ascii="宋体" w:hAnsi="宋体" w:cs="Batang"/>
          <w:color w:val="000000" w:themeColor="text1"/>
          <w:u w:val="single"/>
          <w14:textFill>
            <w14:solidFill>
              <w14:schemeClr w14:val="tx1"/>
            </w14:solidFill>
          </w14:textFill>
        </w:rPr>
        <w:t>主自</w:t>
      </w:r>
      <w:r>
        <w:rPr>
          <w:rFonts w:hint="eastAsia" w:ascii="宋体" w:hAnsi="宋体" w:cs="宋体"/>
          <w:color w:val="000000" w:themeColor="text1"/>
          <w:u w:val="single"/>
          <w14:textFill>
            <w14:solidFill>
              <w14:schemeClr w14:val="tx1"/>
            </w14:solidFill>
          </w14:textFill>
        </w:rPr>
        <w:t>筹</w:t>
      </w:r>
      <w:r>
        <w:rPr>
          <w:rFonts w:hint="eastAsia" w:ascii="宋体" w:hAnsi="宋体"/>
          <w:bCs/>
          <w:color w:val="000000" w:themeColor="text1"/>
          <w14:textFill>
            <w14:solidFill>
              <w14:schemeClr w14:val="tx1"/>
            </w14:solidFill>
          </w14:textFill>
        </w:rPr>
        <w:t>。</w:t>
      </w:r>
    </w:p>
    <w:p w14:paraId="706C9BB4">
      <w:pPr>
        <w:spacing w:line="420" w:lineRule="exact"/>
        <w:ind w:firstLine="420" w:firstLineChars="200"/>
        <w:rPr>
          <w:rFonts w:ascii="宋体" w:hAnsi="宋体"/>
          <w:bCs/>
          <w:color w:val="000000" w:themeColor="text1"/>
          <w14:textFill>
            <w14:solidFill>
              <w14:schemeClr w14:val="tx1"/>
            </w14:solidFill>
          </w14:textFill>
        </w:rPr>
      </w:pPr>
      <w:r>
        <w:rPr>
          <w:rFonts w:ascii="宋体" w:hAnsi="宋体"/>
          <w:bCs/>
          <w:color w:val="000000" w:themeColor="text1"/>
          <w14:textFill>
            <w14:solidFill>
              <w14:schemeClr w14:val="tx1"/>
            </w14:solidFill>
          </w14:textFill>
        </w:rPr>
        <w:t xml:space="preserve">5. </w:t>
      </w:r>
      <w:r>
        <w:rPr>
          <w:rFonts w:hint="eastAsia" w:ascii="宋体" w:hAnsi="宋体"/>
          <w:bCs/>
          <w:color w:val="000000" w:themeColor="text1"/>
          <w14:textFill>
            <w14:solidFill>
              <w14:schemeClr w14:val="tx1"/>
            </w14:solidFill>
          </w14:textFill>
        </w:rPr>
        <w:t>工程内容：</w:t>
      </w:r>
      <w:r>
        <w:rPr>
          <w:rFonts w:hint="eastAsia" w:ascii="宋体" w:hAnsi="宋体"/>
          <w:bCs/>
          <w:color w:val="000000" w:themeColor="text1"/>
          <w:u w:val="single"/>
          <w14:textFill>
            <w14:solidFill>
              <w14:schemeClr w14:val="tx1"/>
            </w14:solidFill>
          </w14:textFill>
        </w:rPr>
        <w:t>本工程施工图纸范围内包含的工程施工内容，详见工程量清单。</w:t>
      </w:r>
    </w:p>
    <w:p w14:paraId="590B45BD">
      <w:pPr>
        <w:spacing w:line="420" w:lineRule="exact"/>
        <w:ind w:firstLine="420" w:firstLineChars="200"/>
        <w:rPr>
          <w:rFonts w:ascii="宋体" w:hAnsi="宋体"/>
          <w:bCs/>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群体工程应附《承包人承揽工程项目一览表》（附件</w:t>
      </w:r>
      <w:r>
        <w:rPr>
          <w:rFonts w:ascii="宋体" w:hAnsi="宋体"/>
          <w:color w:val="000000" w:themeColor="text1"/>
          <w14:textFill>
            <w14:solidFill>
              <w14:schemeClr w14:val="tx1"/>
            </w14:solidFill>
          </w14:textFill>
        </w:rPr>
        <w:t>1</w:t>
      </w:r>
      <w:r>
        <w:rPr>
          <w:rFonts w:hint="eastAsia" w:ascii="宋体" w:hAnsi="宋体"/>
          <w:color w:val="000000" w:themeColor="text1"/>
          <w14:textFill>
            <w14:solidFill>
              <w14:schemeClr w14:val="tx1"/>
            </w14:solidFill>
          </w14:textFill>
        </w:rPr>
        <w:t>）。</w:t>
      </w:r>
    </w:p>
    <w:p w14:paraId="16E07F51">
      <w:pPr>
        <w:spacing w:line="420" w:lineRule="exact"/>
        <w:ind w:firstLine="420" w:firstLineChars="200"/>
        <w:rPr>
          <w:rFonts w:ascii="宋体" w:hAnsi="宋体"/>
          <w:bCs/>
          <w:color w:val="000000" w:themeColor="text1"/>
          <w14:textFill>
            <w14:solidFill>
              <w14:schemeClr w14:val="tx1"/>
            </w14:solidFill>
          </w14:textFill>
        </w:rPr>
      </w:pPr>
      <w:r>
        <w:rPr>
          <w:rFonts w:ascii="宋体" w:hAnsi="宋体"/>
          <w:bCs/>
          <w:color w:val="000000" w:themeColor="text1"/>
          <w14:textFill>
            <w14:solidFill>
              <w14:schemeClr w14:val="tx1"/>
            </w14:solidFill>
          </w14:textFill>
        </w:rPr>
        <w:t xml:space="preserve">6. </w:t>
      </w:r>
      <w:r>
        <w:rPr>
          <w:rFonts w:hint="eastAsia" w:ascii="宋体" w:hAnsi="宋体"/>
          <w:bCs/>
          <w:color w:val="000000" w:themeColor="text1"/>
          <w14:textFill>
            <w14:solidFill>
              <w14:schemeClr w14:val="tx1"/>
            </w14:solidFill>
          </w14:textFill>
        </w:rPr>
        <w:t>工程承包范围：</w:t>
      </w:r>
    </w:p>
    <w:p w14:paraId="23555EBA">
      <w:pPr>
        <w:spacing w:line="420" w:lineRule="exact"/>
        <w:ind w:firstLine="420" w:firstLineChars="200"/>
        <w:rPr>
          <w:rFonts w:ascii="宋体" w:hAnsi="宋体"/>
          <w:color w:val="000000" w:themeColor="text1"/>
          <w14:textFill>
            <w14:solidFill>
              <w14:schemeClr w14:val="tx1"/>
            </w14:solidFill>
          </w14:textFill>
        </w:rPr>
      </w:pPr>
      <w:r>
        <w:rPr>
          <w:rFonts w:hint="eastAsia" w:ascii="宋体" w:hAnsi="宋体"/>
          <w:color w:val="000000" w:themeColor="text1"/>
          <w:u w:val="single"/>
          <w14:textFill>
            <w14:solidFill>
              <w14:schemeClr w14:val="tx1"/>
            </w14:solidFill>
          </w14:textFill>
        </w:rPr>
        <w:t>承包人应按照发包人的要求（包括图纸、设计修改、工程变更以及甲方确认的施工组织设计或专项施工方案等），结合现场实际施工需要，负责组织本项目土建、安装、装饰工程的施工</w:t>
      </w:r>
      <w:r>
        <w:rPr>
          <w:rFonts w:hint="eastAsia" w:ascii="宋体" w:hAnsi="宋体"/>
          <w:color w:val="000000" w:themeColor="text1"/>
          <w14:textFill>
            <w14:solidFill>
              <w14:schemeClr w14:val="tx1"/>
            </w14:solidFill>
          </w14:textFill>
        </w:rPr>
        <w:t>。</w:t>
      </w:r>
    </w:p>
    <w:p w14:paraId="570C4275">
      <w:pPr>
        <w:spacing w:line="420" w:lineRule="exact"/>
        <w:ind w:firstLine="422" w:firstLineChars="200"/>
        <w:outlineLvl w:val="0"/>
        <w:rPr>
          <w:rFonts w:ascii="宋体" w:hAnsi="宋体"/>
          <w:b/>
          <w:color w:val="000000" w:themeColor="text1"/>
          <w14:textFill>
            <w14:solidFill>
              <w14:schemeClr w14:val="tx1"/>
            </w14:solidFill>
          </w14:textFill>
        </w:rPr>
      </w:pPr>
      <w:bookmarkStart w:id="277" w:name="_Toc520505656"/>
      <w:bookmarkStart w:id="278" w:name="_Toc173253154"/>
      <w:bookmarkStart w:id="279" w:name="_Toc351203482"/>
      <w:bookmarkStart w:id="280" w:name="_Toc406419154"/>
      <w:bookmarkStart w:id="281" w:name="_Toc16975"/>
      <w:bookmarkStart w:id="282" w:name="_Toc406522029"/>
      <w:r>
        <w:rPr>
          <w:rFonts w:hint="eastAsia" w:ascii="宋体" w:hAnsi="宋体"/>
          <w:b/>
          <w:color w:val="000000" w:themeColor="text1"/>
          <w14:textFill>
            <w14:solidFill>
              <w14:schemeClr w14:val="tx1"/>
            </w14:solidFill>
          </w14:textFill>
        </w:rPr>
        <w:t>二、合同工期</w:t>
      </w:r>
      <w:bookmarkEnd w:id="277"/>
      <w:bookmarkEnd w:id="278"/>
      <w:bookmarkEnd w:id="279"/>
      <w:bookmarkEnd w:id="280"/>
      <w:bookmarkEnd w:id="281"/>
      <w:bookmarkEnd w:id="282"/>
    </w:p>
    <w:p w14:paraId="3BD6F54D">
      <w:pPr>
        <w:spacing w:line="420" w:lineRule="exact"/>
        <w:ind w:firstLine="420" w:firstLineChars="200"/>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计划开工日期：</w:t>
      </w:r>
      <w:r>
        <w:rPr>
          <w:rFonts w:hint="eastAsia" w:ascii="宋体" w:hAnsi="宋体"/>
          <w:color w:val="000000" w:themeColor="text1"/>
          <w:u w:val="single"/>
          <w14:textFill>
            <w14:solidFill>
              <w14:schemeClr w14:val="tx1"/>
            </w14:solidFill>
          </w14:textFill>
        </w:rPr>
        <w:t xml:space="preserve">      </w:t>
      </w:r>
      <w:r>
        <w:rPr>
          <w:rFonts w:hint="eastAsia" w:ascii="宋体" w:hAnsi="宋体"/>
          <w:color w:val="000000" w:themeColor="text1"/>
          <w14:textFill>
            <w14:solidFill>
              <w14:schemeClr w14:val="tx1"/>
            </w14:solidFill>
          </w14:textFill>
        </w:rPr>
        <w:t xml:space="preserve">年 </w:t>
      </w:r>
      <w:r>
        <w:rPr>
          <w:rFonts w:hint="eastAsia" w:ascii="宋体" w:hAnsi="宋体"/>
          <w:color w:val="000000" w:themeColor="text1"/>
          <w:u w:val="single"/>
          <w14:textFill>
            <w14:solidFill>
              <w14:schemeClr w14:val="tx1"/>
            </w14:solidFill>
          </w14:textFill>
        </w:rPr>
        <w:t xml:space="preserve">     </w:t>
      </w:r>
      <w:r>
        <w:rPr>
          <w:rFonts w:hint="eastAsia" w:ascii="宋体" w:hAnsi="宋体"/>
          <w:color w:val="000000" w:themeColor="text1"/>
          <w14:textFill>
            <w14:solidFill>
              <w14:schemeClr w14:val="tx1"/>
            </w14:solidFill>
          </w14:textFill>
        </w:rPr>
        <w:t>月</w:t>
      </w:r>
      <w:r>
        <w:rPr>
          <w:rFonts w:ascii="宋体" w:hAnsi="宋体"/>
          <w:color w:val="000000" w:themeColor="text1"/>
          <w14:textFill>
            <w14:solidFill>
              <w14:schemeClr w14:val="tx1"/>
            </w14:solidFill>
          </w14:textFill>
        </w:rPr>
        <w:t xml:space="preserve"> </w:t>
      </w:r>
      <w:r>
        <w:rPr>
          <w:rFonts w:ascii="宋体" w:hAnsi="宋体"/>
          <w:color w:val="000000" w:themeColor="text1"/>
          <w:u w:val="single"/>
          <w14:textFill>
            <w14:solidFill>
              <w14:schemeClr w14:val="tx1"/>
            </w14:solidFill>
          </w14:textFill>
        </w:rPr>
        <w:t xml:space="preserve">     </w:t>
      </w:r>
      <w:r>
        <w:rPr>
          <w:rFonts w:hint="eastAsia" w:ascii="宋体" w:hAnsi="宋体"/>
          <w:color w:val="000000" w:themeColor="text1"/>
          <w14:textFill>
            <w14:solidFill>
              <w14:schemeClr w14:val="tx1"/>
            </w14:solidFill>
          </w14:textFill>
        </w:rPr>
        <w:t>日。</w:t>
      </w:r>
    </w:p>
    <w:p w14:paraId="24A26942">
      <w:pPr>
        <w:spacing w:line="420" w:lineRule="exact"/>
        <w:ind w:firstLine="420" w:firstLineChars="200"/>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计划竣工日期：</w:t>
      </w:r>
      <w:r>
        <w:rPr>
          <w:rFonts w:hint="eastAsia" w:ascii="宋体" w:hAnsi="宋体"/>
          <w:color w:val="000000" w:themeColor="text1"/>
          <w:u w:val="single"/>
          <w14:textFill>
            <w14:solidFill>
              <w14:schemeClr w14:val="tx1"/>
            </w14:solidFill>
          </w14:textFill>
        </w:rPr>
        <w:t xml:space="preserve">      </w:t>
      </w:r>
      <w:r>
        <w:rPr>
          <w:rFonts w:hint="eastAsia" w:ascii="宋体" w:hAnsi="宋体"/>
          <w:color w:val="000000" w:themeColor="text1"/>
          <w14:textFill>
            <w14:solidFill>
              <w14:schemeClr w14:val="tx1"/>
            </w14:solidFill>
          </w14:textFill>
        </w:rPr>
        <w:t xml:space="preserve">年 </w:t>
      </w:r>
      <w:r>
        <w:rPr>
          <w:rFonts w:hint="eastAsia" w:ascii="宋体" w:hAnsi="宋体"/>
          <w:color w:val="000000" w:themeColor="text1"/>
          <w:u w:val="single"/>
          <w14:textFill>
            <w14:solidFill>
              <w14:schemeClr w14:val="tx1"/>
            </w14:solidFill>
          </w14:textFill>
        </w:rPr>
        <w:t xml:space="preserve">     </w:t>
      </w:r>
      <w:r>
        <w:rPr>
          <w:rFonts w:hint="eastAsia" w:ascii="宋体" w:hAnsi="宋体"/>
          <w:color w:val="000000" w:themeColor="text1"/>
          <w14:textFill>
            <w14:solidFill>
              <w14:schemeClr w14:val="tx1"/>
            </w14:solidFill>
          </w14:textFill>
        </w:rPr>
        <w:t>月</w:t>
      </w:r>
      <w:r>
        <w:rPr>
          <w:rFonts w:ascii="宋体" w:hAnsi="宋体"/>
          <w:color w:val="000000" w:themeColor="text1"/>
          <w14:textFill>
            <w14:solidFill>
              <w14:schemeClr w14:val="tx1"/>
            </w14:solidFill>
          </w14:textFill>
        </w:rPr>
        <w:t xml:space="preserve"> </w:t>
      </w:r>
      <w:r>
        <w:rPr>
          <w:rFonts w:ascii="宋体" w:hAnsi="宋体"/>
          <w:color w:val="000000" w:themeColor="text1"/>
          <w:u w:val="single"/>
          <w14:textFill>
            <w14:solidFill>
              <w14:schemeClr w14:val="tx1"/>
            </w14:solidFill>
          </w14:textFill>
        </w:rPr>
        <w:t xml:space="preserve">     </w:t>
      </w:r>
      <w:r>
        <w:rPr>
          <w:rFonts w:hint="eastAsia" w:ascii="宋体" w:hAnsi="宋体"/>
          <w:color w:val="000000" w:themeColor="text1"/>
          <w14:textFill>
            <w14:solidFill>
              <w14:schemeClr w14:val="tx1"/>
            </w14:solidFill>
          </w14:textFill>
        </w:rPr>
        <w:t>日。</w:t>
      </w:r>
    </w:p>
    <w:p w14:paraId="230EE992">
      <w:pPr>
        <w:spacing w:line="420" w:lineRule="exact"/>
        <w:ind w:firstLine="420" w:firstLineChars="200"/>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工期总日历天数：</w:t>
      </w:r>
      <w:r>
        <w:rPr>
          <w:rFonts w:hint="eastAsia" w:ascii="宋体" w:hAnsi="宋体"/>
          <w:color w:val="000000" w:themeColor="text1"/>
          <w:u w:val="single"/>
          <w14:textFill>
            <w14:solidFill>
              <w14:schemeClr w14:val="tx1"/>
            </w14:solidFill>
          </w14:textFill>
        </w:rPr>
        <w:t xml:space="preserve">      </w:t>
      </w:r>
      <w:r>
        <w:rPr>
          <w:rFonts w:hint="eastAsia" w:ascii="宋体" w:hAnsi="宋体"/>
          <w:color w:val="000000" w:themeColor="text1"/>
          <w14:textFill>
            <w14:solidFill>
              <w14:schemeClr w14:val="tx1"/>
            </w14:solidFill>
          </w14:textFill>
        </w:rPr>
        <w:t>天。工期总日历天数与根据前述计划开竣工日期计算的工期天数不一致的，以工期总日历天数为准。</w:t>
      </w:r>
    </w:p>
    <w:p w14:paraId="6EF2AACF">
      <w:pPr>
        <w:spacing w:line="420" w:lineRule="exact"/>
        <w:ind w:firstLine="422" w:firstLineChars="200"/>
        <w:outlineLvl w:val="0"/>
        <w:rPr>
          <w:rFonts w:ascii="宋体" w:hAnsi="宋体"/>
          <w:b/>
          <w:color w:val="000000" w:themeColor="text1"/>
          <w14:textFill>
            <w14:solidFill>
              <w14:schemeClr w14:val="tx1"/>
            </w14:solidFill>
          </w14:textFill>
        </w:rPr>
      </w:pPr>
      <w:bookmarkStart w:id="283" w:name="_Toc351203483"/>
      <w:bookmarkStart w:id="284" w:name="_Toc520505657"/>
      <w:bookmarkStart w:id="285" w:name="_Toc406522030"/>
      <w:bookmarkStart w:id="286" w:name="_Toc406419155"/>
      <w:bookmarkStart w:id="287" w:name="_Toc173253155"/>
      <w:bookmarkStart w:id="288" w:name="_Toc14291"/>
      <w:r>
        <w:rPr>
          <w:rFonts w:hint="eastAsia" w:ascii="宋体" w:hAnsi="宋体"/>
          <w:b/>
          <w:color w:val="000000" w:themeColor="text1"/>
          <w14:textFill>
            <w14:solidFill>
              <w14:schemeClr w14:val="tx1"/>
            </w14:solidFill>
          </w14:textFill>
        </w:rPr>
        <w:t>三、质量标准</w:t>
      </w:r>
      <w:bookmarkEnd w:id="283"/>
      <w:bookmarkEnd w:id="284"/>
      <w:bookmarkEnd w:id="285"/>
      <w:bookmarkEnd w:id="286"/>
      <w:bookmarkEnd w:id="287"/>
      <w:bookmarkEnd w:id="288"/>
    </w:p>
    <w:p w14:paraId="2B357BCB">
      <w:pPr>
        <w:spacing w:line="420" w:lineRule="exact"/>
        <w:ind w:firstLine="420" w:firstLineChars="200"/>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工程质量符合《</w:t>
      </w:r>
      <w:r>
        <w:rPr>
          <w:rFonts w:hint="eastAsia" w:ascii="宋体" w:hAnsi="宋体"/>
          <w:color w:val="000000" w:themeColor="text1"/>
          <w:u w:val="single"/>
          <w14:textFill>
            <w14:solidFill>
              <w14:schemeClr w14:val="tx1"/>
            </w14:solidFill>
          </w14:textFill>
        </w:rPr>
        <w:t>建筑工程施工统一验收标准》（</w:t>
      </w:r>
      <w:r>
        <w:rPr>
          <w:rFonts w:ascii="宋体" w:hAnsi="宋体"/>
          <w:color w:val="000000" w:themeColor="text1"/>
          <w:u w:val="single"/>
          <w14:textFill>
            <w14:solidFill>
              <w14:schemeClr w14:val="tx1"/>
            </w14:solidFill>
          </w14:textFill>
        </w:rPr>
        <w:t>GB50300-2013</w:t>
      </w:r>
      <w:r>
        <w:rPr>
          <w:rFonts w:hint="eastAsia" w:ascii="宋体" w:hAnsi="宋体"/>
          <w:color w:val="000000" w:themeColor="text1"/>
          <w:u w:val="single"/>
          <w14:textFill>
            <w14:solidFill>
              <w14:schemeClr w14:val="tx1"/>
            </w14:solidFill>
          </w14:textFill>
        </w:rPr>
        <w:t>）要求的合格</w:t>
      </w:r>
      <w:r>
        <w:rPr>
          <w:rFonts w:hint="eastAsia" w:ascii="宋体" w:hAnsi="宋体"/>
          <w:color w:val="000000" w:themeColor="text1"/>
          <w14:textFill>
            <w14:solidFill>
              <w14:schemeClr w14:val="tx1"/>
            </w14:solidFill>
          </w14:textFill>
        </w:rPr>
        <w:t>标准。</w:t>
      </w:r>
    </w:p>
    <w:p w14:paraId="202337D4">
      <w:pPr>
        <w:spacing w:line="420" w:lineRule="exact"/>
        <w:ind w:firstLine="422" w:firstLineChars="200"/>
        <w:outlineLvl w:val="0"/>
        <w:rPr>
          <w:rFonts w:ascii="宋体" w:hAnsi="宋体"/>
          <w:b/>
          <w:color w:val="000000" w:themeColor="text1"/>
          <w14:textFill>
            <w14:solidFill>
              <w14:schemeClr w14:val="tx1"/>
            </w14:solidFill>
          </w14:textFill>
        </w:rPr>
      </w:pPr>
      <w:bookmarkStart w:id="289" w:name="_Toc17"/>
      <w:bookmarkStart w:id="290" w:name="_Toc351203484"/>
      <w:bookmarkStart w:id="291" w:name="_Toc406419156"/>
      <w:bookmarkStart w:id="292" w:name="_Toc520505658"/>
      <w:bookmarkStart w:id="293" w:name="_Toc406522031"/>
      <w:bookmarkStart w:id="294" w:name="_Toc173253156"/>
      <w:r>
        <w:rPr>
          <w:rFonts w:hint="eastAsia" w:ascii="宋体" w:hAnsi="宋体"/>
          <w:b/>
          <w:color w:val="000000" w:themeColor="text1"/>
          <w14:textFill>
            <w14:solidFill>
              <w14:schemeClr w14:val="tx1"/>
            </w14:solidFill>
          </w14:textFill>
        </w:rPr>
        <w:t>四、签约合同价与合同价格形式</w:t>
      </w:r>
      <w:bookmarkEnd w:id="289"/>
      <w:bookmarkEnd w:id="290"/>
      <w:bookmarkEnd w:id="291"/>
      <w:bookmarkEnd w:id="292"/>
      <w:bookmarkEnd w:id="293"/>
      <w:bookmarkEnd w:id="294"/>
    </w:p>
    <w:p w14:paraId="271E6C0F">
      <w:pPr>
        <w:spacing w:line="420" w:lineRule="exact"/>
        <w:ind w:firstLine="420" w:firstLineChars="200"/>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 xml:space="preserve">1. </w:t>
      </w:r>
      <w:r>
        <w:rPr>
          <w:rFonts w:hint="eastAsia" w:ascii="宋体" w:hAnsi="宋体"/>
          <w:color w:val="000000" w:themeColor="text1"/>
          <w14:textFill>
            <w14:solidFill>
              <w14:schemeClr w14:val="tx1"/>
            </w14:solidFill>
          </w14:textFill>
        </w:rPr>
        <w:t>签约合同价为：</w:t>
      </w:r>
    </w:p>
    <w:p w14:paraId="3034B737">
      <w:pPr>
        <w:spacing w:line="420" w:lineRule="exact"/>
        <w:ind w:firstLine="420" w:firstLineChars="200"/>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总价：人民币（大写）</w:t>
      </w:r>
      <w:r>
        <w:rPr>
          <w:rFonts w:ascii="宋体" w:hAnsi="宋体"/>
          <w:color w:val="000000" w:themeColor="text1"/>
          <w:u w:val="single"/>
          <w14:textFill>
            <w14:solidFill>
              <w14:schemeClr w14:val="tx1"/>
            </w14:solidFill>
          </w14:textFill>
        </w:rPr>
        <w:t xml:space="preserve">                 </w:t>
      </w:r>
      <w:r>
        <w:rPr>
          <w:rFonts w:hint="eastAsia" w:ascii="宋体" w:hAnsi="宋体"/>
          <w:color w:val="000000" w:themeColor="text1"/>
          <w14:textFill>
            <w14:solidFill>
              <w14:schemeClr w14:val="tx1"/>
            </w14:solidFill>
          </w14:textFill>
        </w:rPr>
        <w:t>（¥</w:t>
      </w:r>
      <w:r>
        <w:rPr>
          <w:rFonts w:ascii="宋体" w:hAnsi="宋体"/>
          <w:color w:val="000000" w:themeColor="text1"/>
          <w:u w:val="single"/>
          <w14:textFill>
            <w14:solidFill>
              <w14:schemeClr w14:val="tx1"/>
            </w14:solidFill>
          </w14:textFill>
        </w:rPr>
        <w:t xml:space="preserve">            </w:t>
      </w:r>
      <w:r>
        <w:rPr>
          <w:rFonts w:hint="eastAsia" w:ascii="宋体" w:hAnsi="宋体"/>
          <w:color w:val="000000" w:themeColor="text1"/>
          <w14:textFill>
            <w14:solidFill>
              <w14:schemeClr w14:val="tx1"/>
            </w14:solidFill>
          </w14:textFill>
        </w:rPr>
        <w:t>元）；</w:t>
      </w:r>
    </w:p>
    <w:p w14:paraId="3B855FC6">
      <w:pPr>
        <w:spacing w:line="420" w:lineRule="exact"/>
        <w:ind w:firstLine="420" w:firstLineChars="200"/>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其中：</w:t>
      </w:r>
    </w:p>
    <w:p w14:paraId="1D3F3A37">
      <w:pPr>
        <w:spacing w:line="420" w:lineRule="exact"/>
        <w:ind w:firstLine="420" w:firstLineChars="200"/>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w:t>
      </w:r>
      <w:r>
        <w:rPr>
          <w:rFonts w:ascii="宋体" w:hAnsi="宋体"/>
          <w:color w:val="000000" w:themeColor="text1"/>
          <w14:textFill>
            <w14:solidFill>
              <w14:schemeClr w14:val="tx1"/>
            </w14:solidFill>
          </w14:textFill>
        </w:rPr>
        <w:t>1</w:t>
      </w:r>
      <w:r>
        <w:rPr>
          <w:rFonts w:hint="eastAsia" w:ascii="宋体" w:hAnsi="宋体"/>
          <w:color w:val="000000" w:themeColor="text1"/>
          <w14:textFill>
            <w14:solidFill>
              <w14:schemeClr w14:val="tx1"/>
            </w14:solidFill>
          </w14:textFill>
        </w:rPr>
        <w:t>）投标报价：</w:t>
      </w:r>
    </w:p>
    <w:p w14:paraId="391FF770">
      <w:pPr>
        <w:spacing w:line="420" w:lineRule="exact"/>
        <w:ind w:firstLine="420" w:firstLineChars="200"/>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人民币（大写）</w:t>
      </w:r>
      <w:r>
        <w:rPr>
          <w:rFonts w:ascii="宋体" w:hAnsi="宋体"/>
          <w:color w:val="000000" w:themeColor="text1"/>
          <w:u w:val="single"/>
          <w14:textFill>
            <w14:solidFill>
              <w14:schemeClr w14:val="tx1"/>
            </w14:solidFill>
          </w14:textFill>
        </w:rPr>
        <w:t xml:space="preserve">              </w:t>
      </w:r>
      <w:r>
        <w:rPr>
          <w:rFonts w:ascii="宋体" w:hAnsi="宋体"/>
          <w:color w:val="000000" w:themeColor="text1"/>
          <w14:textFill>
            <w14:solidFill>
              <w14:schemeClr w14:val="tx1"/>
            </w14:solidFill>
          </w14:textFill>
        </w:rPr>
        <w:t xml:space="preserve"> </w:t>
      </w:r>
      <w:r>
        <w:rPr>
          <w:rFonts w:hint="eastAsia" w:ascii="宋体" w:hAnsi="宋体"/>
          <w:color w:val="000000" w:themeColor="text1"/>
          <w14:textFill>
            <w14:solidFill>
              <w14:schemeClr w14:val="tx1"/>
            </w14:solidFill>
          </w14:textFill>
        </w:rPr>
        <w:t>（¥</w:t>
      </w:r>
      <w:r>
        <w:rPr>
          <w:rFonts w:ascii="宋体" w:hAnsi="宋体"/>
          <w:color w:val="000000" w:themeColor="text1"/>
          <w:u w:val="single"/>
          <w14:textFill>
            <w14:solidFill>
              <w14:schemeClr w14:val="tx1"/>
            </w14:solidFill>
          </w14:textFill>
        </w:rPr>
        <w:t xml:space="preserve">          </w:t>
      </w:r>
      <w:r>
        <w:rPr>
          <w:rFonts w:hint="eastAsia" w:ascii="宋体" w:hAnsi="宋体"/>
          <w:color w:val="000000" w:themeColor="text1"/>
          <w14:textFill>
            <w14:solidFill>
              <w14:schemeClr w14:val="tx1"/>
            </w14:solidFill>
          </w14:textFill>
        </w:rPr>
        <w:t>元）；</w:t>
      </w:r>
    </w:p>
    <w:p w14:paraId="6161D18E">
      <w:pPr>
        <w:spacing w:line="420" w:lineRule="exact"/>
        <w:ind w:firstLine="420" w:firstLineChars="200"/>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w:t>
      </w:r>
      <w:r>
        <w:rPr>
          <w:rFonts w:ascii="宋体" w:hAnsi="宋体"/>
          <w:color w:val="000000" w:themeColor="text1"/>
          <w14:textFill>
            <w14:solidFill>
              <w14:schemeClr w14:val="tx1"/>
            </w14:solidFill>
          </w14:textFill>
        </w:rPr>
        <w:t>2</w:t>
      </w:r>
      <w:r>
        <w:rPr>
          <w:rFonts w:hint="eastAsia" w:ascii="宋体" w:hAnsi="宋体"/>
          <w:color w:val="000000" w:themeColor="text1"/>
          <w14:textFill>
            <w14:solidFill>
              <w14:schemeClr w14:val="tx1"/>
            </w14:solidFill>
          </w14:textFill>
        </w:rPr>
        <w:t>）社会保险费：</w:t>
      </w:r>
    </w:p>
    <w:p w14:paraId="04E19AF7">
      <w:pPr>
        <w:spacing w:line="420" w:lineRule="exact"/>
        <w:ind w:firstLine="420" w:firstLineChars="200"/>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人民币（大写）</w:t>
      </w:r>
      <w:r>
        <w:rPr>
          <w:rFonts w:ascii="宋体" w:hAnsi="宋体"/>
          <w:color w:val="000000" w:themeColor="text1"/>
          <w:u w:val="single"/>
          <w14:textFill>
            <w14:solidFill>
              <w14:schemeClr w14:val="tx1"/>
            </w14:solidFill>
          </w14:textFill>
        </w:rPr>
        <w:t xml:space="preserve">              </w:t>
      </w:r>
      <w:r>
        <w:rPr>
          <w:rFonts w:ascii="宋体" w:hAnsi="宋体"/>
          <w:color w:val="000000" w:themeColor="text1"/>
          <w14:textFill>
            <w14:solidFill>
              <w14:schemeClr w14:val="tx1"/>
            </w14:solidFill>
          </w14:textFill>
        </w:rPr>
        <w:t xml:space="preserve"> </w:t>
      </w:r>
      <w:r>
        <w:rPr>
          <w:rFonts w:hint="eastAsia" w:ascii="宋体" w:hAnsi="宋体"/>
          <w:color w:val="000000" w:themeColor="text1"/>
          <w14:textFill>
            <w14:solidFill>
              <w14:schemeClr w14:val="tx1"/>
            </w14:solidFill>
          </w14:textFill>
        </w:rPr>
        <w:t>（¥</w:t>
      </w:r>
      <w:r>
        <w:rPr>
          <w:rFonts w:ascii="宋体" w:hAnsi="宋体"/>
          <w:color w:val="000000" w:themeColor="text1"/>
          <w:u w:val="single"/>
          <w14:textFill>
            <w14:solidFill>
              <w14:schemeClr w14:val="tx1"/>
            </w14:solidFill>
          </w14:textFill>
        </w:rPr>
        <w:t xml:space="preserve">          </w:t>
      </w:r>
      <w:r>
        <w:rPr>
          <w:rFonts w:hint="eastAsia" w:ascii="宋体" w:hAnsi="宋体"/>
          <w:color w:val="000000" w:themeColor="text1"/>
          <w14:textFill>
            <w14:solidFill>
              <w14:schemeClr w14:val="tx1"/>
            </w14:solidFill>
          </w14:textFill>
        </w:rPr>
        <w:t>元）；</w:t>
      </w:r>
    </w:p>
    <w:p w14:paraId="6B08D4E6">
      <w:pPr>
        <w:spacing w:line="420" w:lineRule="exact"/>
        <w:ind w:firstLine="420" w:firstLineChars="200"/>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w:t>
      </w:r>
      <w:r>
        <w:rPr>
          <w:rFonts w:ascii="宋体" w:hAnsi="宋体"/>
          <w:color w:val="000000" w:themeColor="text1"/>
          <w14:textFill>
            <w14:solidFill>
              <w14:schemeClr w14:val="tx1"/>
            </w14:solidFill>
          </w14:textFill>
        </w:rPr>
        <w:t>3</w:t>
      </w:r>
      <w:r>
        <w:rPr>
          <w:rFonts w:hint="eastAsia" w:ascii="宋体" w:hAnsi="宋体"/>
          <w:color w:val="000000" w:themeColor="text1"/>
          <w14:textFill>
            <w14:solidFill>
              <w14:schemeClr w14:val="tx1"/>
            </w14:solidFill>
          </w14:textFill>
        </w:rPr>
        <w:t>）安全文明施工费：</w:t>
      </w:r>
    </w:p>
    <w:p w14:paraId="5EDFDFAC">
      <w:pPr>
        <w:spacing w:line="420" w:lineRule="exact"/>
        <w:ind w:firstLine="420" w:firstLineChars="200"/>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人民币（大写）</w:t>
      </w:r>
      <w:r>
        <w:rPr>
          <w:rFonts w:ascii="宋体" w:hAnsi="宋体"/>
          <w:color w:val="000000" w:themeColor="text1"/>
          <w:u w:val="single"/>
          <w14:textFill>
            <w14:solidFill>
              <w14:schemeClr w14:val="tx1"/>
            </w14:solidFill>
          </w14:textFill>
        </w:rPr>
        <w:t xml:space="preserve">              </w:t>
      </w:r>
      <w:r>
        <w:rPr>
          <w:rFonts w:ascii="宋体" w:hAnsi="宋体"/>
          <w:color w:val="000000" w:themeColor="text1"/>
          <w14:textFill>
            <w14:solidFill>
              <w14:schemeClr w14:val="tx1"/>
            </w14:solidFill>
          </w14:textFill>
        </w:rPr>
        <w:t xml:space="preserve"> </w:t>
      </w:r>
      <w:r>
        <w:rPr>
          <w:rFonts w:hint="eastAsia" w:ascii="宋体" w:hAnsi="宋体"/>
          <w:color w:val="000000" w:themeColor="text1"/>
          <w14:textFill>
            <w14:solidFill>
              <w14:schemeClr w14:val="tx1"/>
            </w14:solidFill>
          </w14:textFill>
        </w:rPr>
        <w:t>（¥</w:t>
      </w:r>
      <w:r>
        <w:rPr>
          <w:rFonts w:ascii="宋体" w:hAnsi="宋体"/>
          <w:color w:val="000000" w:themeColor="text1"/>
          <w:u w:val="single"/>
          <w14:textFill>
            <w14:solidFill>
              <w14:schemeClr w14:val="tx1"/>
            </w14:solidFill>
          </w14:textFill>
        </w:rPr>
        <w:t xml:space="preserve">          </w:t>
      </w:r>
      <w:r>
        <w:rPr>
          <w:rFonts w:hint="eastAsia" w:ascii="宋体" w:hAnsi="宋体"/>
          <w:color w:val="000000" w:themeColor="text1"/>
          <w14:textFill>
            <w14:solidFill>
              <w14:schemeClr w14:val="tx1"/>
            </w14:solidFill>
          </w14:textFill>
        </w:rPr>
        <w:t>元）；</w:t>
      </w:r>
    </w:p>
    <w:p w14:paraId="521CD1D1">
      <w:pPr>
        <w:spacing w:line="420" w:lineRule="exact"/>
        <w:ind w:firstLine="420" w:firstLineChars="200"/>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w:t>
      </w:r>
      <w:r>
        <w:rPr>
          <w:rFonts w:ascii="宋体" w:hAnsi="宋体"/>
          <w:color w:val="000000" w:themeColor="text1"/>
          <w14:textFill>
            <w14:solidFill>
              <w14:schemeClr w14:val="tx1"/>
            </w14:solidFill>
          </w14:textFill>
        </w:rPr>
        <w:t>4</w:t>
      </w:r>
      <w:r>
        <w:rPr>
          <w:rFonts w:hint="eastAsia" w:ascii="宋体" w:hAnsi="宋体"/>
          <w:color w:val="000000" w:themeColor="text1"/>
          <w14:textFill>
            <w14:solidFill>
              <w14:schemeClr w14:val="tx1"/>
            </w14:solidFill>
          </w14:textFill>
        </w:rPr>
        <w:t>）材料和工程设备暂估价金额：</w:t>
      </w:r>
    </w:p>
    <w:p w14:paraId="0085CF3B">
      <w:pPr>
        <w:spacing w:line="420" w:lineRule="exact"/>
        <w:ind w:firstLine="420" w:firstLineChars="200"/>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人民币（大写）</w:t>
      </w:r>
      <w:r>
        <w:rPr>
          <w:rFonts w:ascii="宋体" w:hAnsi="宋体"/>
          <w:color w:val="000000" w:themeColor="text1"/>
          <w:u w:val="single"/>
          <w14:textFill>
            <w14:solidFill>
              <w14:schemeClr w14:val="tx1"/>
            </w14:solidFill>
          </w14:textFill>
        </w:rPr>
        <w:t xml:space="preserve">              </w:t>
      </w:r>
      <w:r>
        <w:rPr>
          <w:rFonts w:ascii="宋体" w:hAnsi="宋体"/>
          <w:color w:val="000000" w:themeColor="text1"/>
          <w14:textFill>
            <w14:solidFill>
              <w14:schemeClr w14:val="tx1"/>
            </w14:solidFill>
          </w14:textFill>
        </w:rPr>
        <w:t xml:space="preserve"> </w:t>
      </w:r>
      <w:r>
        <w:rPr>
          <w:rFonts w:hint="eastAsia" w:ascii="宋体" w:hAnsi="宋体"/>
          <w:color w:val="000000" w:themeColor="text1"/>
          <w14:textFill>
            <w14:solidFill>
              <w14:schemeClr w14:val="tx1"/>
            </w14:solidFill>
          </w14:textFill>
        </w:rPr>
        <w:t>（¥</w:t>
      </w:r>
      <w:r>
        <w:rPr>
          <w:rFonts w:ascii="宋体" w:hAnsi="宋体"/>
          <w:color w:val="000000" w:themeColor="text1"/>
          <w:u w:val="single"/>
          <w14:textFill>
            <w14:solidFill>
              <w14:schemeClr w14:val="tx1"/>
            </w14:solidFill>
          </w14:textFill>
        </w:rPr>
        <w:t xml:space="preserve">          </w:t>
      </w:r>
      <w:r>
        <w:rPr>
          <w:rFonts w:hint="eastAsia" w:ascii="宋体" w:hAnsi="宋体"/>
          <w:color w:val="000000" w:themeColor="text1"/>
          <w14:textFill>
            <w14:solidFill>
              <w14:schemeClr w14:val="tx1"/>
            </w14:solidFill>
          </w14:textFill>
        </w:rPr>
        <w:t>元）；</w:t>
      </w:r>
    </w:p>
    <w:p w14:paraId="251F7FDA">
      <w:pPr>
        <w:spacing w:line="420" w:lineRule="exact"/>
        <w:ind w:firstLine="420" w:firstLineChars="200"/>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w:t>
      </w:r>
      <w:r>
        <w:rPr>
          <w:rFonts w:ascii="宋体" w:hAnsi="宋体"/>
          <w:color w:val="000000" w:themeColor="text1"/>
          <w14:textFill>
            <w14:solidFill>
              <w14:schemeClr w14:val="tx1"/>
            </w14:solidFill>
          </w14:textFill>
        </w:rPr>
        <w:t>5</w:t>
      </w:r>
      <w:r>
        <w:rPr>
          <w:rFonts w:hint="eastAsia" w:ascii="宋体" w:hAnsi="宋体"/>
          <w:color w:val="000000" w:themeColor="text1"/>
          <w14:textFill>
            <w14:solidFill>
              <w14:schemeClr w14:val="tx1"/>
            </w14:solidFill>
          </w14:textFill>
        </w:rPr>
        <w:t>）专业工程暂估价金额：</w:t>
      </w:r>
    </w:p>
    <w:p w14:paraId="11B09ED4">
      <w:pPr>
        <w:spacing w:line="420" w:lineRule="exact"/>
        <w:ind w:firstLine="420" w:firstLineChars="200"/>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人民币（大写）</w:t>
      </w:r>
      <w:r>
        <w:rPr>
          <w:rFonts w:ascii="宋体" w:hAnsi="宋体"/>
          <w:color w:val="000000" w:themeColor="text1"/>
          <w:u w:val="single"/>
          <w14:textFill>
            <w14:solidFill>
              <w14:schemeClr w14:val="tx1"/>
            </w14:solidFill>
          </w14:textFill>
        </w:rPr>
        <w:t xml:space="preserve">              </w:t>
      </w:r>
      <w:r>
        <w:rPr>
          <w:rFonts w:ascii="宋体" w:hAnsi="宋体"/>
          <w:color w:val="000000" w:themeColor="text1"/>
          <w14:textFill>
            <w14:solidFill>
              <w14:schemeClr w14:val="tx1"/>
            </w14:solidFill>
          </w14:textFill>
        </w:rPr>
        <w:t xml:space="preserve"> </w:t>
      </w:r>
      <w:r>
        <w:rPr>
          <w:rFonts w:hint="eastAsia" w:ascii="宋体" w:hAnsi="宋体"/>
          <w:color w:val="000000" w:themeColor="text1"/>
          <w14:textFill>
            <w14:solidFill>
              <w14:schemeClr w14:val="tx1"/>
            </w14:solidFill>
          </w14:textFill>
        </w:rPr>
        <w:t>（¥</w:t>
      </w:r>
      <w:r>
        <w:rPr>
          <w:rFonts w:ascii="宋体" w:hAnsi="宋体"/>
          <w:color w:val="000000" w:themeColor="text1"/>
          <w:u w:val="single"/>
          <w14:textFill>
            <w14:solidFill>
              <w14:schemeClr w14:val="tx1"/>
            </w14:solidFill>
          </w14:textFill>
        </w:rPr>
        <w:t xml:space="preserve">          </w:t>
      </w:r>
      <w:r>
        <w:rPr>
          <w:rFonts w:hint="eastAsia" w:ascii="宋体" w:hAnsi="宋体"/>
          <w:color w:val="000000" w:themeColor="text1"/>
          <w14:textFill>
            <w14:solidFill>
              <w14:schemeClr w14:val="tx1"/>
            </w14:solidFill>
          </w14:textFill>
        </w:rPr>
        <w:t>元）；</w:t>
      </w:r>
    </w:p>
    <w:p w14:paraId="7DF0CCE5">
      <w:pPr>
        <w:spacing w:line="420" w:lineRule="exact"/>
        <w:ind w:firstLine="420" w:firstLineChars="200"/>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w:t>
      </w:r>
      <w:r>
        <w:rPr>
          <w:rFonts w:ascii="宋体" w:hAnsi="宋体"/>
          <w:color w:val="000000" w:themeColor="text1"/>
          <w14:textFill>
            <w14:solidFill>
              <w14:schemeClr w14:val="tx1"/>
            </w14:solidFill>
          </w14:textFill>
        </w:rPr>
        <w:t>6</w:t>
      </w:r>
      <w:r>
        <w:rPr>
          <w:rFonts w:hint="eastAsia" w:ascii="宋体" w:hAnsi="宋体"/>
          <w:color w:val="000000" w:themeColor="text1"/>
          <w14:textFill>
            <w14:solidFill>
              <w14:schemeClr w14:val="tx1"/>
            </w14:solidFill>
          </w14:textFill>
        </w:rPr>
        <w:t>）暂列金额：</w:t>
      </w:r>
    </w:p>
    <w:p w14:paraId="5B84545C">
      <w:pPr>
        <w:spacing w:line="420" w:lineRule="exact"/>
        <w:ind w:firstLine="420" w:firstLineChars="200"/>
        <w:rPr>
          <w:rFonts w:hint="eastAsia"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人民币（大写）</w:t>
      </w:r>
      <w:r>
        <w:rPr>
          <w:rFonts w:ascii="宋体" w:hAnsi="宋体"/>
          <w:color w:val="000000" w:themeColor="text1"/>
          <w:u w:val="single"/>
          <w14:textFill>
            <w14:solidFill>
              <w14:schemeClr w14:val="tx1"/>
            </w14:solidFill>
          </w14:textFill>
        </w:rPr>
        <w:t xml:space="preserve">               </w:t>
      </w:r>
      <w:r>
        <w:rPr>
          <w:rFonts w:hint="eastAsia" w:ascii="宋体" w:hAnsi="宋体"/>
          <w:color w:val="000000" w:themeColor="text1"/>
          <w14:textFill>
            <w14:solidFill>
              <w14:schemeClr w14:val="tx1"/>
            </w14:solidFill>
          </w14:textFill>
        </w:rPr>
        <w:t>（¥</w:t>
      </w:r>
      <w:r>
        <w:rPr>
          <w:rFonts w:ascii="宋体" w:hAnsi="宋体"/>
          <w:color w:val="000000" w:themeColor="text1"/>
          <w14:textFill>
            <w14:solidFill>
              <w14:schemeClr w14:val="tx1"/>
            </w14:solidFill>
          </w14:textFill>
        </w:rPr>
        <w:t xml:space="preserve"> </w:t>
      </w:r>
      <w:r>
        <w:rPr>
          <w:rFonts w:ascii="宋体" w:hAnsi="宋体"/>
          <w:color w:val="000000" w:themeColor="text1"/>
          <w:u w:val="single"/>
          <w14:textFill>
            <w14:solidFill>
              <w14:schemeClr w14:val="tx1"/>
            </w14:solidFill>
          </w14:textFill>
        </w:rPr>
        <w:t xml:space="preserve">        </w:t>
      </w:r>
      <w:r>
        <w:rPr>
          <w:rFonts w:ascii="宋体" w:hAnsi="宋体"/>
          <w:color w:val="000000" w:themeColor="text1"/>
          <w14:textFill>
            <w14:solidFill>
              <w14:schemeClr w14:val="tx1"/>
            </w14:solidFill>
          </w14:textFill>
        </w:rPr>
        <w:t xml:space="preserve"> </w:t>
      </w:r>
      <w:r>
        <w:rPr>
          <w:rFonts w:hint="eastAsia" w:ascii="宋体" w:hAnsi="宋体"/>
          <w:color w:val="000000" w:themeColor="text1"/>
          <w14:textFill>
            <w14:solidFill>
              <w14:schemeClr w14:val="tx1"/>
            </w14:solidFill>
          </w14:textFill>
        </w:rPr>
        <w:t>元）；</w:t>
      </w:r>
    </w:p>
    <w:p w14:paraId="1EEAAAB5">
      <w:pPr>
        <w:spacing w:line="420" w:lineRule="exact"/>
        <w:ind w:firstLine="420" w:firstLineChars="200"/>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w:t>
      </w:r>
      <w:r>
        <w:rPr>
          <w:rFonts w:hint="eastAsia" w:ascii="宋体" w:hAnsi="宋体"/>
          <w:color w:val="000000" w:themeColor="text1"/>
          <w:lang w:val="en-US" w:eastAsia="zh-CN"/>
          <w14:textFill>
            <w14:solidFill>
              <w14:schemeClr w14:val="tx1"/>
            </w14:solidFill>
          </w14:textFill>
        </w:rPr>
        <w:t>7</w:t>
      </w:r>
      <w:r>
        <w:rPr>
          <w:rFonts w:hint="eastAsia" w:ascii="宋体" w:hAnsi="宋体"/>
          <w:color w:val="000000" w:themeColor="text1"/>
          <w14:textFill>
            <w14:solidFill>
              <w14:schemeClr w14:val="tx1"/>
            </w14:solidFill>
          </w14:textFill>
        </w:rPr>
        <w:t>）</w:t>
      </w:r>
      <w:r>
        <w:rPr>
          <w:rFonts w:hint="eastAsia" w:ascii="新宋体" w:hAnsi="新宋体" w:eastAsia="新宋体" w:cs="新宋体"/>
          <w:color w:val="000000" w:themeColor="text1"/>
          <w:spacing w:val="7"/>
          <w:szCs w:val="21"/>
          <w:highlight w:val="none"/>
          <w:lang w:val="en-US" w:eastAsia="zh-CN"/>
          <w14:textFill>
            <w14:solidFill>
              <w14:schemeClr w14:val="tx1"/>
            </w14:solidFill>
          </w14:textFill>
        </w:rPr>
        <w:t>安全生产责任保险费暂估价</w:t>
      </w:r>
      <w:r>
        <w:rPr>
          <w:rFonts w:hint="eastAsia" w:ascii="宋体" w:hAnsi="宋体"/>
          <w:color w:val="000000" w:themeColor="text1"/>
          <w14:textFill>
            <w14:solidFill>
              <w14:schemeClr w14:val="tx1"/>
            </w14:solidFill>
          </w14:textFill>
        </w:rPr>
        <w:t>：</w:t>
      </w:r>
    </w:p>
    <w:p w14:paraId="777B19E7">
      <w:pPr>
        <w:spacing w:line="420" w:lineRule="exact"/>
        <w:ind w:firstLine="420" w:firstLineChars="200"/>
        <w:rPr>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人民币（大写）</w:t>
      </w:r>
      <w:r>
        <w:rPr>
          <w:rFonts w:ascii="宋体" w:hAnsi="宋体"/>
          <w:color w:val="000000" w:themeColor="text1"/>
          <w:u w:val="single"/>
          <w14:textFill>
            <w14:solidFill>
              <w14:schemeClr w14:val="tx1"/>
            </w14:solidFill>
          </w14:textFill>
        </w:rPr>
        <w:t xml:space="preserve">              </w:t>
      </w:r>
      <w:r>
        <w:rPr>
          <w:rFonts w:ascii="宋体" w:hAnsi="宋体"/>
          <w:color w:val="000000" w:themeColor="text1"/>
          <w14:textFill>
            <w14:solidFill>
              <w14:schemeClr w14:val="tx1"/>
            </w14:solidFill>
          </w14:textFill>
        </w:rPr>
        <w:t xml:space="preserve"> </w:t>
      </w:r>
      <w:r>
        <w:rPr>
          <w:rFonts w:hint="eastAsia" w:ascii="宋体" w:hAnsi="宋体"/>
          <w:color w:val="000000" w:themeColor="text1"/>
          <w14:textFill>
            <w14:solidFill>
              <w14:schemeClr w14:val="tx1"/>
            </w14:solidFill>
          </w14:textFill>
        </w:rPr>
        <w:t>（¥</w:t>
      </w:r>
      <w:r>
        <w:rPr>
          <w:rFonts w:ascii="宋体" w:hAnsi="宋体"/>
          <w:color w:val="000000" w:themeColor="text1"/>
          <w:u w:val="single"/>
          <w14:textFill>
            <w14:solidFill>
              <w14:schemeClr w14:val="tx1"/>
            </w14:solidFill>
          </w14:textFill>
        </w:rPr>
        <w:t xml:space="preserve">          </w:t>
      </w:r>
      <w:r>
        <w:rPr>
          <w:rFonts w:hint="eastAsia" w:ascii="宋体" w:hAnsi="宋体"/>
          <w:color w:val="000000" w:themeColor="text1"/>
          <w14:textFill>
            <w14:solidFill>
              <w14:schemeClr w14:val="tx1"/>
            </w14:solidFill>
          </w14:textFill>
        </w:rPr>
        <w:t>元）。</w:t>
      </w:r>
    </w:p>
    <w:p w14:paraId="40CEDA26">
      <w:pPr>
        <w:spacing w:line="420" w:lineRule="exact"/>
        <w:ind w:firstLine="420" w:firstLineChars="200"/>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2</w:t>
      </w:r>
      <w:r>
        <w:rPr>
          <w:rFonts w:hint="eastAsia" w:ascii="宋体" w:hAnsi="宋体"/>
          <w:color w:val="000000" w:themeColor="text1"/>
          <w14:textFill>
            <w14:solidFill>
              <w14:schemeClr w14:val="tx1"/>
            </w14:solidFill>
          </w14:textFill>
        </w:rPr>
        <w:t>、根据市住建〔</w:t>
      </w:r>
      <w:r>
        <w:rPr>
          <w:rFonts w:ascii="宋体" w:hAnsi="宋体"/>
          <w:color w:val="000000" w:themeColor="text1"/>
          <w14:textFill>
            <w14:solidFill>
              <w14:schemeClr w14:val="tx1"/>
            </w14:solidFill>
          </w14:textFill>
        </w:rPr>
        <w:t>2016</w:t>
      </w:r>
      <w:r>
        <w:rPr>
          <w:rFonts w:hint="eastAsia" w:ascii="宋体" w:hAnsi="宋体"/>
          <w:color w:val="000000" w:themeColor="text1"/>
          <w14:textFill>
            <w14:solidFill>
              <w14:schemeClr w14:val="tx1"/>
            </w14:solidFill>
          </w14:textFill>
        </w:rPr>
        <w:t>〕</w:t>
      </w:r>
      <w:r>
        <w:rPr>
          <w:rFonts w:ascii="宋体" w:hAnsi="宋体"/>
          <w:color w:val="000000" w:themeColor="text1"/>
          <w14:textFill>
            <w14:solidFill>
              <w14:schemeClr w14:val="tx1"/>
            </w14:solidFill>
          </w14:textFill>
        </w:rPr>
        <w:t>34</w:t>
      </w:r>
      <w:r>
        <w:rPr>
          <w:rFonts w:hint="eastAsia" w:ascii="宋体" w:hAnsi="宋体"/>
          <w:color w:val="000000" w:themeColor="text1"/>
          <w14:textFill>
            <w14:solidFill>
              <w14:schemeClr w14:val="tx1"/>
            </w14:solidFill>
          </w14:textFill>
        </w:rPr>
        <w:t>号文《关于市建成区、临桂新区、灵川县范围内建筑工程新增扬尘防治费用的通知》，另计扬尘防治费，本项目扬尘防治费</w:t>
      </w:r>
      <w:r>
        <w:rPr>
          <w:rFonts w:ascii="宋体" w:hAnsi="宋体"/>
          <w:color w:val="000000" w:themeColor="text1"/>
          <w14:textFill>
            <w14:solidFill>
              <w14:schemeClr w14:val="tx1"/>
            </w14:solidFill>
          </w14:textFill>
        </w:rPr>
        <w:t xml:space="preserve"> </w:t>
      </w:r>
      <w:r>
        <w:rPr>
          <w:rFonts w:ascii="宋体" w:hAnsi="宋体"/>
          <w:color w:val="000000" w:themeColor="text1"/>
          <w:u w:val="single"/>
          <w14:textFill>
            <w14:solidFill>
              <w14:schemeClr w14:val="tx1"/>
            </w14:solidFill>
          </w14:textFill>
        </w:rPr>
        <w:t xml:space="preserve">   </w:t>
      </w:r>
      <w:r>
        <w:rPr>
          <w:rFonts w:hint="eastAsia" w:ascii="宋体" w:hAnsi="宋体"/>
          <w:color w:val="000000" w:themeColor="text1"/>
          <w:u w:val="single"/>
          <w14:textFill>
            <w14:solidFill>
              <w14:schemeClr w14:val="tx1"/>
            </w14:solidFill>
          </w14:textFill>
        </w:rPr>
        <w:t xml:space="preserve"> </w:t>
      </w:r>
      <w:r>
        <w:rPr>
          <w:rFonts w:ascii="宋体" w:hAnsi="宋体"/>
          <w:color w:val="000000" w:themeColor="text1"/>
          <w:u w:val="single"/>
          <w14:textFill>
            <w14:solidFill>
              <w14:schemeClr w14:val="tx1"/>
            </w14:solidFill>
          </w14:textFill>
        </w:rPr>
        <w:t xml:space="preserve"> </w:t>
      </w:r>
      <w:r>
        <w:rPr>
          <w:rFonts w:hint="eastAsia" w:ascii="宋体" w:hAnsi="宋体"/>
          <w:color w:val="000000" w:themeColor="text1"/>
          <w14:textFill>
            <w14:solidFill>
              <w14:schemeClr w14:val="tx1"/>
            </w14:solidFill>
          </w14:textFill>
        </w:rPr>
        <w:t>元。</w:t>
      </w:r>
    </w:p>
    <w:p w14:paraId="4CD6670B">
      <w:pPr>
        <w:spacing w:line="420" w:lineRule="exact"/>
        <w:ind w:firstLine="420" w:firstLineChars="200"/>
        <w:rPr>
          <w:rFonts w:ascii="宋体" w:hAnsi="宋体"/>
          <w:color w:val="000000" w:themeColor="text1"/>
          <w14:textFill>
            <w14:solidFill>
              <w14:schemeClr w14:val="tx1"/>
            </w14:solidFill>
          </w14:textFill>
        </w:rPr>
      </w:pPr>
      <w:r>
        <w:rPr>
          <w:rFonts w:hint="eastAsia" w:ascii="宋体" w:hAnsi="宋体"/>
          <w:color w:val="000000" w:themeColor="text1"/>
          <w:lang w:val="en-US" w:eastAsia="zh-CN"/>
          <w14:textFill>
            <w14:solidFill>
              <w14:schemeClr w14:val="tx1"/>
            </w14:solidFill>
          </w14:textFill>
        </w:rPr>
        <w:t>3</w:t>
      </w:r>
      <w:r>
        <w:rPr>
          <w:rFonts w:ascii="宋体" w:hAnsi="宋体"/>
          <w:color w:val="000000" w:themeColor="text1"/>
          <w14:textFill>
            <w14:solidFill>
              <w14:schemeClr w14:val="tx1"/>
            </w14:solidFill>
          </w14:textFill>
        </w:rPr>
        <w:t xml:space="preserve">. </w:t>
      </w:r>
      <w:r>
        <w:rPr>
          <w:rFonts w:hint="eastAsia" w:ascii="宋体" w:hAnsi="宋体"/>
          <w:color w:val="000000" w:themeColor="text1"/>
          <w14:textFill>
            <w14:solidFill>
              <w14:schemeClr w14:val="tx1"/>
            </w14:solidFill>
          </w14:textFill>
        </w:rPr>
        <w:t>合同价格形式：</w:t>
      </w:r>
      <w:r>
        <w:rPr>
          <w:rFonts w:ascii="宋体" w:hAnsi="宋体"/>
          <w:color w:val="000000" w:themeColor="text1"/>
          <w14:textFill>
            <w14:solidFill>
              <w14:schemeClr w14:val="tx1"/>
            </w14:solidFill>
          </w14:textFill>
        </w:rPr>
        <w:t xml:space="preserve">   </w:t>
      </w:r>
      <w:r>
        <w:rPr>
          <w:rFonts w:ascii="宋体" w:hAnsi="宋体"/>
          <w:color w:val="000000" w:themeColor="text1"/>
          <w:u w:val="single"/>
          <w14:textFill>
            <w14:solidFill>
              <w14:schemeClr w14:val="tx1"/>
            </w14:solidFill>
          </w14:textFill>
        </w:rPr>
        <w:t xml:space="preserve">                 </w:t>
      </w:r>
      <w:r>
        <w:rPr>
          <w:rFonts w:hint="eastAsia" w:ascii="宋体" w:hAnsi="宋体"/>
          <w:color w:val="000000" w:themeColor="text1"/>
          <w14:textFill>
            <w14:solidFill>
              <w14:schemeClr w14:val="tx1"/>
            </w14:solidFill>
          </w14:textFill>
        </w:rPr>
        <w:t>。</w:t>
      </w:r>
    </w:p>
    <w:p w14:paraId="239B26DD">
      <w:pPr>
        <w:spacing w:line="420" w:lineRule="exact"/>
        <w:ind w:firstLine="422" w:firstLineChars="200"/>
        <w:outlineLvl w:val="0"/>
        <w:rPr>
          <w:rFonts w:ascii="宋体" w:hAnsi="宋体"/>
          <w:b/>
          <w:color w:val="000000" w:themeColor="text1"/>
          <w14:textFill>
            <w14:solidFill>
              <w14:schemeClr w14:val="tx1"/>
            </w14:solidFill>
          </w14:textFill>
        </w:rPr>
      </w:pPr>
      <w:bookmarkStart w:id="295" w:name="_Toc351203485"/>
      <w:bookmarkStart w:id="296" w:name="_Toc406522032"/>
      <w:bookmarkStart w:id="297" w:name="_Toc1060"/>
      <w:bookmarkStart w:id="298" w:name="_Toc173253157"/>
      <w:bookmarkStart w:id="299" w:name="_Toc520505659"/>
      <w:bookmarkStart w:id="300" w:name="_Toc406419157"/>
      <w:r>
        <w:rPr>
          <w:rFonts w:hint="eastAsia" w:ascii="宋体" w:hAnsi="宋体"/>
          <w:b/>
          <w:color w:val="000000" w:themeColor="text1"/>
          <w14:textFill>
            <w14:solidFill>
              <w14:schemeClr w14:val="tx1"/>
            </w14:solidFill>
          </w14:textFill>
        </w:rPr>
        <w:t>五、</w:t>
      </w:r>
      <w:bookmarkEnd w:id="295"/>
      <w:r>
        <w:rPr>
          <w:rFonts w:hint="eastAsia" w:ascii="宋体" w:hAnsi="宋体"/>
          <w:b/>
          <w:color w:val="000000" w:themeColor="text1"/>
          <w14:textFill>
            <w14:solidFill>
              <w14:schemeClr w14:val="tx1"/>
            </w14:solidFill>
          </w14:textFill>
        </w:rPr>
        <w:t>项目经理</w:t>
      </w:r>
      <w:bookmarkEnd w:id="296"/>
      <w:bookmarkEnd w:id="297"/>
      <w:bookmarkEnd w:id="298"/>
      <w:bookmarkEnd w:id="299"/>
      <w:bookmarkEnd w:id="300"/>
    </w:p>
    <w:p w14:paraId="54A25D35">
      <w:pPr>
        <w:spacing w:line="420" w:lineRule="exact"/>
        <w:ind w:firstLine="420" w:firstLineChars="200"/>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承包人项目经理：</w:t>
      </w:r>
      <w:r>
        <w:rPr>
          <w:rFonts w:ascii="宋体" w:hAnsi="宋体"/>
          <w:color w:val="000000" w:themeColor="text1"/>
          <w:u w:val="single"/>
          <w14:textFill>
            <w14:solidFill>
              <w14:schemeClr w14:val="tx1"/>
            </w14:solidFill>
          </w14:textFill>
        </w:rPr>
        <w:t xml:space="preserve">                                  </w:t>
      </w:r>
      <w:r>
        <w:rPr>
          <w:rFonts w:hint="eastAsia" w:ascii="宋体" w:hAnsi="宋体"/>
          <w:color w:val="000000" w:themeColor="text1"/>
          <w14:textFill>
            <w14:solidFill>
              <w14:schemeClr w14:val="tx1"/>
            </w14:solidFill>
          </w14:textFill>
        </w:rPr>
        <w:t>。</w:t>
      </w:r>
    </w:p>
    <w:p w14:paraId="312A49F6">
      <w:pPr>
        <w:spacing w:line="420" w:lineRule="exact"/>
        <w:ind w:firstLine="422" w:firstLineChars="200"/>
        <w:outlineLvl w:val="0"/>
        <w:rPr>
          <w:rFonts w:ascii="宋体" w:hAnsi="宋体"/>
          <w:b/>
          <w:color w:val="000000" w:themeColor="text1"/>
          <w14:textFill>
            <w14:solidFill>
              <w14:schemeClr w14:val="tx1"/>
            </w14:solidFill>
          </w14:textFill>
        </w:rPr>
      </w:pPr>
      <w:bookmarkStart w:id="301" w:name="_Toc173253158"/>
      <w:bookmarkStart w:id="302" w:name="_Toc406419158"/>
      <w:bookmarkStart w:id="303" w:name="_Toc520505660"/>
      <w:bookmarkStart w:id="304" w:name="_Toc7160"/>
      <w:bookmarkStart w:id="305" w:name="_Toc406522033"/>
      <w:bookmarkStart w:id="306" w:name="_Toc351203486"/>
      <w:r>
        <w:rPr>
          <w:rFonts w:hint="eastAsia" w:ascii="宋体" w:hAnsi="宋体"/>
          <w:b/>
          <w:color w:val="000000" w:themeColor="text1"/>
          <w14:textFill>
            <w14:solidFill>
              <w14:schemeClr w14:val="tx1"/>
            </w14:solidFill>
          </w14:textFill>
        </w:rPr>
        <w:t>六、合同文件构成</w:t>
      </w:r>
      <w:bookmarkEnd w:id="301"/>
      <w:bookmarkEnd w:id="302"/>
      <w:bookmarkEnd w:id="303"/>
      <w:bookmarkEnd w:id="304"/>
      <w:bookmarkEnd w:id="305"/>
      <w:bookmarkEnd w:id="306"/>
    </w:p>
    <w:p w14:paraId="30610AF3">
      <w:pPr>
        <w:spacing w:line="420" w:lineRule="exact"/>
        <w:ind w:firstLine="420" w:firstLineChars="200"/>
        <w:rPr>
          <w:rFonts w:ascii="宋体" w:hAnsi="宋体"/>
          <w:bCs/>
          <w:color w:val="000000" w:themeColor="text1"/>
          <w14:textFill>
            <w14:solidFill>
              <w14:schemeClr w14:val="tx1"/>
            </w14:solidFill>
          </w14:textFill>
        </w:rPr>
      </w:pPr>
      <w:r>
        <w:rPr>
          <w:rFonts w:hint="eastAsia" w:ascii="宋体" w:hAnsi="宋体"/>
          <w:bCs/>
          <w:color w:val="000000" w:themeColor="text1"/>
          <w14:textFill>
            <w14:solidFill>
              <w14:schemeClr w14:val="tx1"/>
            </w14:solidFill>
          </w14:textFill>
        </w:rPr>
        <w:t>本协议书与下列文件一起构成合同文件：</w:t>
      </w:r>
    </w:p>
    <w:p w14:paraId="6404F850">
      <w:pPr>
        <w:spacing w:line="420" w:lineRule="exact"/>
        <w:ind w:firstLine="420" w:firstLineChars="200"/>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w:t>
      </w:r>
      <w:r>
        <w:rPr>
          <w:rFonts w:ascii="宋体" w:hAnsi="宋体"/>
          <w:color w:val="000000" w:themeColor="text1"/>
          <w14:textFill>
            <w14:solidFill>
              <w14:schemeClr w14:val="tx1"/>
            </w14:solidFill>
          </w14:textFill>
        </w:rPr>
        <w:t>1</w:t>
      </w:r>
      <w:r>
        <w:rPr>
          <w:rFonts w:hint="eastAsia" w:ascii="宋体" w:hAnsi="宋体"/>
          <w:color w:val="000000" w:themeColor="text1"/>
          <w14:textFill>
            <w14:solidFill>
              <w14:schemeClr w14:val="tx1"/>
            </w14:solidFill>
          </w14:textFill>
        </w:rPr>
        <w:t>）</w:t>
      </w:r>
      <w:r>
        <w:rPr>
          <w:rFonts w:hint="eastAsia" w:ascii="宋体" w:hAnsi="宋体"/>
          <w:color w:val="000000" w:themeColor="text1"/>
          <w:lang w:val="en-US" w:eastAsia="zh-CN"/>
          <w14:textFill>
            <w14:solidFill>
              <w14:schemeClr w14:val="tx1"/>
            </w14:solidFill>
          </w14:textFill>
        </w:rPr>
        <w:t>成交</w:t>
      </w:r>
      <w:r>
        <w:rPr>
          <w:rFonts w:hint="eastAsia" w:ascii="宋体" w:hAnsi="宋体"/>
          <w:color w:val="000000" w:themeColor="text1"/>
          <w14:textFill>
            <w14:solidFill>
              <w14:schemeClr w14:val="tx1"/>
            </w14:solidFill>
          </w14:textFill>
        </w:rPr>
        <w:t>通知书（如果有）；</w:t>
      </w:r>
    </w:p>
    <w:p w14:paraId="3A529667">
      <w:pPr>
        <w:spacing w:line="420" w:lineRule="exact"/>
        <w:ind w:firstLine="420" w:firstLineChars="200"/>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w:t>
      </w:r>
      <w:r>
        <w:rPr>
          <w:rFonts w:ascii="宋体" w:hAnsi="宋体"/>
          <w:color w:val="000000" w:themeColor="text1"/>
          <w14:textFill>
            <w14:solidFill>
              <w14:schemeClr w14:val="tx1"/>
            </w14:solidFill>
          </w14:textFill>
        </w:rPr>
        <w:t>2</w:t>
      </w:r>
      <w:r>
        <w:rPr>
          <w:rFonts w:hint="eastAsia" w:ascii="宋体" w:hAnsi="宋体"/>
          <w:color w:val="000000" w:themeColor="text1"/>
          <w14:textFill>
            <w14:solidFill>
              <w14:schemeClr w14:val="tx1"/>
            </w14:solidFill>
          </w14:textFill>
        </w:rPr>
        <w:t>）</w:t>
      </w:r>
      <w:r>
        <w:rPr>
          <w:rFonts w:hint="eastAsia" w:ascii="宋体" w:hAnsi="宋体"/>
          <w:color w:val="000000" w:themeColor="text1"/>
          <w:lang w:val="en-US" w:eastAsia="zh-CN"/>
          <w14:textFill>
            <w14:solidFill>
              <w14:schemeClr w14:val="tx1"/>
            </w14:solidFill>
          </w14:textFill>
        </w:rPr>
        <w:t>响应</w:t>
      </w:r>
      <w:r>
        <w:rPr>
          <w:rFonts w:hint="eastAsia" w:ascii="宋体" w:hAnsi="宋体"/>
          <w:color w:val="000000" w:themeColor="text1"/>
          <w14:textFill>
            <w14:solidFill>
              <w14:schemeClr w14:val="tx1"/>
            </w14:solidFill>
          </w14:textFill>
        </w:rPr>
        <w:t>函及其附录（如果有）；</w:t>
      </w:r>
      <w:r>
        <w:rPr>
          <w:rFonts w:ascii="宋体" w:hAnsi="宋体"/>
          <w:color w:val="000000" w:themeColor="text1"/>
          <w14:textFill>
            <w14:solidFill>
              <w14:schemeClr w14:val="tx1"/>
            </w14:solidFill>
          </w14:textFill>
        </w:rPr>
        <w:t xml:space="preserve"> </w:t>
      </w:r>
    </w:p>
    <w:p w14:paraId="749750D8">
      <w:pPr>
        <w:spacing w:line="420" w:lineRule="exact"/>
        <w:ind w:firstLine="420" w:firstLineChars="200"/>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w:t>
      </w:r>
      <w:r>
        <w:rPr>
          <w:rFonts w:ascii="宋体" w:hAnsi="宋体"/>
          <w:color w:val="000000" w:themeColor="text1"/>
          <w14:textFill>
            <w14:solidFill>
              <w14:schemeClr w14:val="tx1"/>
            </w14:solidFill>
          </w14:textFill>
        </w:rPr>
        <w:t>3</w:t>
      </w:r>
      <w:r>
        <w:rPr>
          <w:rFonts w:hint="eastAsia" w:ascii="宋体" w:hAnsi="宋体"/>
          <w:color w:val="000000" w:themeColor="text1"/>
          <w14:textFill>
            <w14:solidFill>
              <w14:schemeClr w14:val="tx1"/>
            </w14:solidFill>
          </w14:textFill>
        </w:rPr>
        <w:t>）专用合同条款及其附件；</w:t>
      </w:r>
    </w:p>
    <w:p w14:paraId="38D05487">
      <w:pPr>
        <w:spacing w:line="420" w:lineRule="exact"/>
        <w:ind w:firstLine="420" w:firstLineChars="200"/>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w:t>
      </w:r>
      <w:r>
        <w:rPr>
          <w:rFonts w:ascii="宋体" w:hAnsi="宋体"/>
          <w:color w:val="000000" w:themeColor="text1"/>
          <w14:textFill>
            <w14:solidFill>
              <w14:schemeClr w14:val="tx1"/>
            </w14:solidFill>
          </w14:textFill>
        </w:rPr>
        <w:t>4</w:t>
      </w:r>
      <w:r>
        <w:rPr>
          <w:rFonts w:hint="eastAsia" w:ascii="宋体" w:hAnsi="宋体"/>
          <w:color w:val="000000" w:themeColor="text1"/>
          <w14:textFill>
            <w14:solidFill>
              <w14:schemeClr w14:val="tx1"/>
            </w14:solidFill>
          </w14:textFill>
        </w:rPr>
        <w:t>）通用合同条款；</w:t>
      </w:r>
    </w:p>
    <w:p w14:paraId="575FB6E2">
      <w:pPr>
        <w:spacing w:line="420" w:lineRule="exact"/>
        <w:ind w:firstLine="420" w:firstLineChars="200"/>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w:t>
      </w:r>
      <w:r>
        <w:rPr>
          <w:rFonts w:ascii="宋体" w:hAnsi="宋体"/>
          <w:color w:val="000000" w:themeColor="text1"/>
          <w14:textFill>
            <w14:solidFill>
              <w14:schemeClr w14:val="tx1"/>
            </w14:solidFill>
          </w14:textFill>
        </w:rPr>
        <w:t>5</w:t>
      </w:r>
      <w:r>
        <w:rPr>
          <w:rFonts w:hint="eastAsia" w:ascii="宋体" w:hAnsi="宋体"/>
          <w:color w:val="000000" w:themeColor="text1"/>
          <w14:textFill>
            <w14:solidFill>
              <w14:schemeClr w14:val="tx1"/>
            </w14:solidFill>
          </w14:textFill>
        </w:rPr>
        <w:t>）技术标准和要求；</w:t>
      </w:r>
    </w:p>
    <w:p w14:paraId="00D815C3">
      <w:pPr>
        <w:spacing w:line="420" w:lineRule="exact"/>
        <w:ind w:firstLine="420" w:firstLineChars="200"/>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w:t>
      </w:r>
      <w:r>
        <w:rPr>
          <w:rFonts w:ascii="宋体" w:hAnsi="宋体"/>
          <w:color w:val="000000" w:themeColor="text1"/>
          <w14:textFill>
            <w14:solidFill>
              <w14:schemeClr w14:val="tx1"/>
            </w14:solidFill>
          </w14:textFill>
        </w:rPr>
        <w:t>6</w:t>
      </w:r>
      <w:r>
        <w:rPr>
          <w:rFonts w:hint="eastAsia" w:ascii="宋体" w:hAnsi="宋体"/>
          <w:color w:val="000000" w:themeColor="text1"/>
          <w14:textFill>
            <w14:solidFill>
              <w14:schemeClr w14:val="tx1"/>
            </w14:solidFill>
          </w14:textFill>
        </w:rPr>
        <w:t>）已标价工程量清单或预算书；</w:t>
      </w:r>
      <w:r>
        <w:rPr>
          <w:rFonts w:ascii="宋体" w:hAnsi="宋体"/>
          <w:color w:val="000000" w:themeColor="text1"/>
          <w14:textFill>
            <w14:solidFill>
              <w14:schemeClr w14:val="tx1"/>
            </w14:solidFill>
          </w14:textFill>
        </w:rPr>
        <w:t xml:space="preserve"> </w:t>
      </w:r>
    </w:p>
    <w:p w14:paraId="77FC1AEA">
      <w:pPr>
        <w:spacing w:line="420" w:lineRule="exact"/>
        <w:ind w:firstLine="420" w:firstLineChars="200"/>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w:t>
      </w:r>
      <w:r>
        <w:rPr>
          <w:rFonts w:ascii="宋体" w:hAnsi="宋体"/>
          <w:color w:val="000000" w:themeColor="text1"/>
          <w14:textFill>
            <w14:solidFill>
              <w14:schemeClr w14:val="tx1"/>
            </w14:solidFill>
          </w14:textFill>
        </w:rPr>
        <w:t>7</w:t>
      </w:r>
      <w:r>
        <w:rPr>
          <w:rFonts w:hint="eastAsia" w:ascii="宋体" w:hAnsi="宋体"/>
          <w:color w:val="000000" w:themeColor="text1"/>
          <w14:textFill>
            <w14:solidFill>
              <w14:schemeClr w14:val="tx1"/>
            </w14:solidFill>
          </w14:textFill>
        </w:rPr>
        <w:t>）图纸；</w:t>
      </w:r>
    </w:p>
    <w:p w14:paraId="2946BF5A">
      <w:pPr>
        <w:spacing w:line="420" w:lineRule="exact"/>
        <w:ind w:firstLine="420" w:firstLineChars="200"/>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w:t>
      </w:r>
      <w:r>
        <w:rPr>
          <w:rFonts w:ascii="宋体" w:hAnsi="宋体"/>
          <w:color w:val="000000" w:themeColor="text1"/>
          <w14:textFill>
            <w14:solidFill>
              <w14:schemeClr w14:val="tx1"/>
            </w14:solidFill>
          </w14:textFill>
        </w:rPr>
        <w:t>8</w:t>
      </w:r>
      <w:r>
        <w:rPr>
          <w:rFonts w:hint="eastAsia" w:ascii="宋体" w:hAnsi="宋体"/>
          <w:color w:val="000000" w:themeColor="text1"/>
          <w14:textFill>
            <w14:solidFill>
              <w14:schemeClr w14:val="tx1"/>
            </w14:solidFill>
          </w14:textFill>
        </w:rPr>
        <w:t>）其他合同文件。</w:t>
      </w:r>
    </w:p>
    <w:p w14:paraId="016875D8">
      <w:pPr>
        <w:spacing w:line="420" w:lineRule="exact"/>
        <w:ind w:firstLine="420" w:firstLineChars="200"/>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在合同订立及履行过程中形成的与合同有关的文件均构成合同文件组成部分。</w:t>
      </w:r>
    </w:p>
    <w:p w14:paraId="0CB2EF73">
      <w:pPr>
        <w:spacing w:line="420" w:lineRule="exact"/>
        <w:ind w:firstLine="420" w:firstLineChars="200"/>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上述各项合同文件包括合同当事人就该项合同文件所作出的补充和修改，属于同一类内容的文件，应以最新签署的为准。专用合同条款及其附件须经合同当事人签字或盖章。</w:t>
      </w:r>
    </w:p>
    <w:p w14:paraId="1101F543">
      <w:pPr>
        <w:spacing w:line="420" w:lineRule="exact"/>
        <w:ind w:firstLine="422" w:firstLineChars="200"/>
        <w:outlineLvl w:val="0"/>
        <w:rPr>
          <w:rFonts w:ascii="宋体" w:hAnsi="宋体"/>
          <w:b/>
          <w:color w:val="000000" w:themeColor="text1"/>
          <w14:textFill>
            <w14:solidFill>
              <w14:schemeClr w14:val="tx1"/>
            </w14:solidFill>
          </w14:textFill>
        </w:rPr>
      </w:pPr>
      <w:bookmarkStart w:id="307" w:name="_Toc520505661"/>
      <w:bookmarkStart w:id="308" w:name="_Toc406419159"/>
      <w:bookmarkStart w:id="309" w:name="_Toc30983"/>
      <w:bookmarkStart w:id="310" w:name="_Toc406522034"/>
      <w:bookmarkStart w:id="311" w:name="_Toc351203487"/>
      <w:bookmarkStart w:id="312" w:name="_Toc173253159"/>
      <w:r>
        <w:rPr>
          <w:rFonts w:hint="eastAsia" w:ascii="宋体" w:hAnsi="宋体"/>
          <w:b/>
          <w:color w:val="000000" w:themeColor="text1"/>
          <w14:textFill>
            <w14:solidFill>
              <w14:schemeClr w14:val="tx1"/>
            </w14:solidFill>
          </w14:textFill>
        </w:rPr>
        <w:t>七、承诺</w:t>
      </w:r>
      <w:bookmarkEnd w:id="307"/>
      <w:bookmarkEnd w:id="308"/>
      <w:bookmarkEnd w:id="309"/>
      <w:bookmarkEnd w:id="310"/>
      <w:bookmarkEnd w:id="311"/>
      <w:bookmarkEnd w:id="312"/>
    </w:p>
    <w:p w14:paraId="1FE954B1">
      <w:pPr>
        <w:spacing w:line="420" w:lineRule="exact"/>
        <w:ind w:firstLine="420" w:firstLineChars="200"/>
        <w:rPr>
          <w:rFonts w:ascii="宋体" w:hAnsi="宋体"/>
          <w:bCs/>
          <w:color w:val="000000" w:themeColor="text1"/>
          <w14:textFill>
            <w14:solidFill>
              <w14:schemeClr w14:val="tx1"/>
            </w14:solidFill>
          </w14:textFill>
        </w:rPr>
      </w:pPr>
      <w:r>
        <w:rPr>
          <w:rFonts w:ascii="宋体" w:hAnsi="宋体"/>
          <w:bCs/>
          <w:color w:val="000000" w:themeColor="text1"/>
          <w14:textFill>
            <w14:solidFill>
              <w14:schemeClr w14:val="tx1"/>
            </w14:solidFill>
          </w14:textFill>
        </w:rPr>
        <w:t xml:space="preserve">1. </w:t>
      </w:r>
      <w:r>
        <w:rPr>
          <w:rFonts w:hint="eastAsia" w:ascii="宋体" w:hAnsi="宋体"/>
          <w:bCs/>
          <w:color w:val="000000" w:themeColor="text1"/>
          <w14:textFill>
            <w14:solidFill>
              <w14:schemeClr w14:val="tx1"/>
            </w14:solidFill>
          </w14:textFill>
        </w:rPr>
        <w:t>发包人承诺按照法律规定履行项目审批手续、筹集工程建设资金并按照合同约定的期限和方式支付合同价款。</w:t>
      </w:r>
    </w:p>
    <w:p w14:paraId="0B956805">
      <w:pPr>
        <w:spacing w:line="420" w:lineRule="exact"/>
        <w:ind w:firstLine="420" w:firstLineChars="200"/>
        <w:rPr>
          <w:rFonts w:ascii="宋体" w:hAnsi="宋体"/>
          <w:bCs/>
          <w:color w:val="000000" w:themeColor="text1"/>
          <w14:textFill>
            <w14:solidFill>
              <w14:schemeClr w14:val="tx1"/>
            </w14:solidFill>
          </w14:textFill>
        </w:rPr>
      </w:pPr>
      <w:r>
        <w:rPr>
          <w:rFonts w:ascii="宋体" w:hAnsi="宋体"/>
          <w:bCs/>
          <w:color w:val="000000" w:themeColor="text1"/>
          <w14:textFill>
            <w14:solidFill>
              <w14:schemeClr w14:val="tx1"/>
            </w14:solidFill>
          </w14:textFill>
        </w:rPr>
        <w:t xml:space="preserve">2. </w:t>
      </w:r>
      <w:r>
        <w:rPr>
          <w:rFonts w:hint="eastAsia" w:ascii="宋体" w:hAnsi="宋体"/>
          <w:bCs/>
          <w:color w:val="000000" w:themeColor="text1"/>
          <w14:textFill>
            <w14:solidFill>
              <w14:schemeClr w14:val="tx1"/>
            </w14:solidFill>
          </w14:textFill>
        </w:rPr>
        <w:t>承包人承诺按照法律规定及合同约定组织完成工程施工，确保工程质量和安全，不进行转包及违法分包，并在缺陷责任期及保修期内承担相应的工程维修责任。</w:t>
      </w:r>
    </w:p>
    <w:p w14:paraId="231B267E">
      <w:pPr>
        <w:spacing w:line="420" w:lineRule="exact"/>
        <w:ind w:firstLine="420" w:firstLineChars="200"/>
        <w:rPr>
          <w:rFonts w:ascii="宋体" w:hAnsi="宋体"/>
          <w:bCs/>
          <w:color w:val="000000" w:themeColor="text1"/>
          <w14:textFill>
            <w14:solidFill>
              <w14:schemeClr w14:val="tx1"/>
            </w14:solidFill>
          </w14:textFill>
        </w:rPr>
      </w:pPr>
      <w:r>
        <w:rPr>
          <w:rFonts w:ascii="宋体" w:hAnsi="宋体"/>
          <w:bCs/>
          <w:color w:val="000000" w:themeColor="text1"/>
          <w14:textFill>
            <w14:solidFill>
              <w14:schemeClr w14:val="tx1"/>
            </w14:solidFill>
          </w14:textFill>
        </w:rPr>
        <w:t xml:space="preserve">3. </w:t>
      </w:r>
      <w:r>
        <w:rPr>
          <w:rFonts w:hint="eastAsia" w:ascii="宋体" w:hAnsi="宋体"/>
          <w:bCs/>
          <w:color w:val="000000" w:themeColor="text1"/>
          <w14:textFill>
            <w14:solidFill>
              <w14:schemeClr w14:val="tx1"/>
            </w14:solidFill>
          </w14:textFill>
        </w:rPr>
        <w:t>发包人和承包人通过招投标形式签订合同的，双方理解并承诺不再就同一工程另行签订与合同实质性内容相背离的协议。</w:t>
      </w:r>
      <w:bookmarkStart w:id="313" w:name="_Toc351203488"/>
    </w:p>
    <w:p w14:paraId="300E4556">
      <w:pPr>
        <w:spacing w:line="420" w:lineRule="exact"/>
        <w:ind w:firstLine="422" w:firstLineChars="200"/>
        <w:outlineLvl w:val="0"/>
        <w:rPr>
          <w:rFonts w:ascii="宋体" w:hAnsi="宋体"/>
          <w:b/>
          <w:color w:val="000000" w:themeColor="text1"/>
          <w14:textFill>
            <w14:solidFill>
              <w14:schemeClr w14:val="tx1"/>
            </w14:solidFill>
          </w14:textFill>
        </w:rPr>
      </w:pPr>
      <w:bookmarkStart w:id="314" w:name="_Toc553"/>
      <w:bookmarkStart w:id="315" w:name="_Toc520505662"/>
      <w:bookmarkStart w:id="316" w:name="_Toc406419160"/>
      <w:bookmarkStart w:id="317" w:name="_Toc173253160"/>
      <w:bookmarkStart w:id="318" w:name="_Toc406522035"/>
      <w:r>
        <w:rPr>
          <w:rFonts w:hint="eastAsia" w:ascii="宋体" w:hAnsi="宋体"/>
          <w:b/>
          <w:color w:val="000000" w:themeColor="text1"/>
          <w14:textFill>
            <w14:solidFill>
              <w14:schemeClr w14:val="tx1"/>
            </w14:solidFill>
          </w14:textFill>
        </w:rPr>
        <w:t>八、词语含义</w:t>
      </w:r>
      <w:bookmarkEnd w:id="313"/>
      <w:bookmarkEnd w:id="314"/>
      <w:bookmarkEnd w:id="315"/>
      <w:bookmarkEnd w:id="316"/>
      <w:bookmarkEnd w:id="317"/>
      <w:bookmarkEnd w:id="318"/>
    </w:p>
    <w:p w14:paraId="3B0D2317">
      <w:pPr>
        <w:spacing w:line="420" w:lineRule="exact"/>
        <w:ind w:firstLine="420" w:firstLineChars="200"/>
        <w:rPr>
          <w:rFonts w:ascii="宋体" w:hAnsi="宋体"/>
          <w:bCs/>
          <w:color w:val="000000" w:themeColor="text1"/>
          <w14:textFill>
            <w14:solidFill>
              <w14:schemeClr w14:val="tx1"/>
            </w14:solidFill>
          </w14:textFill>
        </w:rPr>
      </w:pPr>
      <w:r>
        <w:rPr>
          <w:rFonts w:hint="eastAsia" w:ascii="宋体" w:hAnsi="宋体"/>
          <w:bCs/>
          <w:color w:val="000000" w:themeColor="text1"/>
          <w14:textFill>
            <w14:solidFill>
              <w14:schemeClr w14:val="tx1"/>
            </w14:solidFill>
          </w14:textFill>
        </w:rPr>
        <w:t>本协议书中词语含义与第二部分通用合同条款中赋予的含义相同。</w:t>
      </w:r>
    </w:p>
    <w:p w14:paraId="48980D3A">
      <w:pPr>
        <w:spacing w:line="420" w:lineRule="exact"/>
        <w:ind w:firstLine="422" w:firstLineChars="200"/>
        <w:outlineLvl w:val="0"/>
        <w:rPr>
          <w:rFonts w:ascii="宋体" w:hAnsi="宋体"/>
          <w:b/>
          <w:color w:val="000000" w:themeColor="text1"/>
          <w14:textFill>
            <w14:solidFill>
              <w14:schemeClr w14:val="tx1"/>
            </w14:solidFill>
          </w14:textFill>
        </w:rPr>
      </w:pPr>
      <w:bookmarkStart w:id="319" w:name="_Toc173253161"/>
      <w:bookmarkStart w:id="320" w:name="_Toc406522036"/>
      <w:bookmarkStart w:id="321" w:name="_Toc351203489"/>
      <w:bookmarkStart w:id="322" w:name="_Toc406419161"/>
      <w:bookmarkStart w:id="323" w:name="_Toc7172"/>
      <w:bookmarkStart w:id="324" w:name="_Toc520505663"/>
      <w:r>
        <w:rPr>
          <w:rFonts w:hint="eastAsia" w:ascii="宋体" w:hAnsi="宋体"/>
          <w:b/>
          <w:color w:val="000000" w:themeColor="text1"/>
          <w14:textFill>
            <w14:solidFill>
              <w14:schemeClr w14:val="tx1"/>
            </w14:solidFill>
          </w14:textFill>
        </w:rPr>
        <w:t>九、签订时间</w:t>
      </w:r>
      <w:bookmarkEnd w:id="319"/>
      <w:bookmarkEnd w:id="320"/>
      <w:bookmarkEnd w:id="321"/>
      <w:bookmarkEnd w:id="322"/>
      <w:bookmarkEnd w:id="323"/>
      <w:bookmarkEnd w:id="324"/>
    </w:p>
    <w:p w14:paraId="6156AC68">
      <w:pPr>
        <w:spacing w:line="420" w:lineRule="exact"/>
        <w:ind w:firstLine="420" w:firstLineChars="200"/>
        <w:rPr>
          <w:rFonts w:ascii="宋体" w:hAnsi="宋体"/>
          <w:bCs/>
          <w:color w:val="000000" w:themeColor="text1"/>
          <w14:textFill>
            <w14:solidFill>
              <w14:schemeClr w14:val="tx1"/>
            </w14:solidFill>
          </w14:textFill>
        </w:rPr>
      </w:pPr>
      <w:r>
        <w:rPr>
          <w:rFonts w:hint="eastAsia" w:ascii="宋体" w:hAnsi="宋体"/>
          <w:bCs/>
          <w:color w:val="000000" w:themeColor="text1"/>
          <w14:textFill>
            <w14:solidFill>
              <w14:schemeClr w14:val="tx1"/>
            </w14:solidFill>
          </w14:textFill>
        </w:rPr>
        <w:t>本合同于</w:t>
      </w:r>
      <w:r>
        <w:rPr>
          <w:rFonts w:ascii="宋体" w:hAnsi="宋体"/>
          <w:bCs/>
          <w:color w:val="000000" w:themeColor="text1"/>
          <w:u w:val="single"/>
          <w14:textFill>
            <w14:solidFill>
              <w14:schemeClr w14:val="tx1"/>
            </w14:solidFill>
          </w14:textFill>
        </w:rPr>
        <w:t xml:space="preserve"> </w:t>
      </w:r>
      <w:r>
        <w:rPr>
          <w:rFonts w:hint="eastAsia" w:ascii="宋体" w:hAnsi="宋体"/>
          <w:bCs/>
          <w:color w:val="000000" w:themeColor="text1"/>
          <w:u w:val="single"/>
          <w14:textFill>
            <w14:solidFill>
              <w14:schemeClr w14:val="tx1"/>
            </w14:solidFill>
          </w14:textFill>
        </w:rPr>
        <w:t xml:space="preserve">    </w:t>
      </w:r>
      <w:r>
        <w:rPr>
          <w:rFonts w:ascii="宋体" w:hAnsi="宋体"/>
          <w:bCs/>
          <w:color w:val="000000" w:themeColor="text1"/>
          <w:u w:val="single"/>
          <w14:textFill>
            <w14:solidFill>
              <w14:schemeClr w14:val="tx1"/>
            </w14:solidFill>
          </w14:textFill>
        </w:rPr>
        <w:t xml:space="preserve"> </w:t>
      </w:r>
      <w:r>
        <w:rPr>
          <w:rFonts w:hint="eastAsia" w:ascii="宋体" w:hAnsi="宋体"/>
          <w:bCs/>
          <w:color w:val="000000" w:themeColor="text1"/>
          <w14:textFill>
            <w14:solidFill>
              <w14:schemeClr w14:val="tx1"/>
            </w14:solidFill>
          </w14:textFill>
        </w:rPr>
        <w:t>年</w:t>
      </w:r>
      <w:r>
        <w:rPr>
          <w:rFonts w:ascii="宋体" w:hAnsi="宋体"/>
          <w:bCs/>
          <w:color w:val="000000" w:themeColor="text1"/>
          <w:u w:val="single"/>
          <w14:textFill>
            <w14:solidFill>
              <w14:schemeClr w14:val="tx1"/>
            </w14:solidFill>
          </w14:textFill>
        </w:rPr>
        <w:t xml:space="preserve">   </w:t>
      </w:r>
      <w:r>
        <w:rPr>
          <w:rFonts w:hint="eastAsia" w:ascii="宋体" w:hAnsi="宋体"/>
          <w:bCs/>
          <w:color w:val="000000" w:themeColor="text1"/>
          <w14:textFill>
            <w14:solidFill>
              <w14:schemeClr w14:val="tx1"/>
            </w14:solidFill>
          </w14:textFill>
        </w:rPr>
        <w:t>月</w:t>
      </w:r>
      <w:r>
        <w:rPr>
          <w:rFonts w:ascii="宋体" w:hAnsi="宋体"/>
          <w:bCs/>
          <w:color w:val="000000" w:themeColor="text1"/>
          <w:u w:val="single"/>
          <w14:textFill>
            <w14:solidFill>
              <w14:schemeClr w14:val="tx1"/>
            </w14:solidFill>
          </w14:textFill>
        </w:rPr>
        <w:t xml:space="preserve">   </w:t>
      </w:r>
      <w:r>
        <w:rPr>
          <w:rFonts w:hint="eastAsia" w:ascii="宋体" w:hAnsi="宋体"/>
          <w:bCs/>
          <w:color w:val="000000" w:themeColor="text1"/>
          <w14:textFill>
            <w14:solidFill>
              <w14:schemeClr w14:val="tx1"/>
            </w14:solidFill>
          </w14:textFill>
        </w:rPr>
        <w:t>日签订。</w:t>
      </w:r>
    </w:p>
    <w:p w14:paraId="0BD07BEF">
      <w:pPr>
        <w:spacing w:line="420" w:lineRule="exact"/>
        <w:ind w:firstLine="422" w:firstLineChars="200"/>
        <w:outlineLvl w:val="0"/>
        <w:rPr>
          <w:rFonts w:ascii="宋体" w:hAnsi="宋体"/>
          <w:b/>
          <w:color w:val="000000" w:themeColor="text1"/>
          <w14:textFill>
            <w14:solidFill>
              <w14:schemeClr w14:val="tx1"/>
            </w14:solidFill>
          </w14:textFill>
        </w:rPr>
      </w:pPr>
      <w:bookmarkStart w:id="325" w:name="_Toc351203490"/>
      <w:bookmarkStart w:id="326" w:name="_Toc406419162"/>
      <w:bookmarkStart w:id="327" w:name="_Toc406522037"/>
      <w:bookmarkStart w:id="328" w:name="_Toc520505664"/>
      <w:bookmarkStart w:id="329" w:name="_Toc173253162"/>
      <w:bookmarkStart w:id="330" w:name="_Toc11296"/>
      <w:r>
        <w:rPr>
          <w:rFonts w:hint="eastAsia" w:ascii="宋体" w:hAnsi="宋体"/>
          <w:b/>
          <w:color w:val="000000" w:themeColor="text1"/>
          <w14:textFill>
            <w14:solidFill>
              <w14:schemeClr w14:val="tx1"/>
            </w14:solidFill>
          </w14:textFill>
        </w:rPr>
        <w:t>十、签订地点</w:t>
      </w:r>
      <w:bookmarkEnd w:id="325"/>
      <w:bookmarkEnd w:id="326"/>
      <w:bookmarkEnd w:id="327"/>
      <w:bookmarkEnd w:id="328"/>
      <w:bookmarkEnd w:id="329"/>
      <w:bookmarkEnd w:id="330"/>
    </w:p>
    <w:p w14:paraId="726BCCB9">
      <w:pPr>
        <w:spacing w:line="420" w:lineRule="exact"/>
        <w:ind w:firstLine="420" w:firstLineChars="200"/>
        <w:rPr>
          <w:rFonts w:ascii="宋体" w:hAnsi="宋体"/>
          <w:bCs/>
          <w:color w:val="000000" w:themeColor="text1"/>
          <w14:textFill>
            <w14:solidFill>
              <w14:schemeClr w14:val="tx1"/>
            </w14:solidFill>
          </w14:textFill>
        </w:rPr>
      </w:pPr>
      <w:r>
        <w:rPr>
          <w:rFonts w:hint="eastAsia" w:ascii="宋体" w:hAnsi="宋体"/>
          <w:bCs/>
          <w:color w:val="000000" w:themeColor="text1"/>
          <w14:textFill>
            <w14:solidFill>
              <w14:schemeClr w14:val="tx1"/>
            </w14:solidFill>
          </w14:textFill>
        </w:rPr>
        <w:t>本合同在</w:t>
      </w:r>
      <w:r>
        <w:rPr>
          <w:rFonts w:ascii="宋体" w:hAnsi="宋体"/>
          <w:bCs/>
          <w:color w:val="000000" w:themeColor="text1"/>
          <w:u w:val="single"/>
          <w14:textFill>
            <w14:solidFill>
              <w14:schemeClr w14:val="tx1"/>
            </w14:solidFill>
          </w14:textFill>
        </w:rPr>
        <w:t xml:space="preserve">  </w:t>
      </w:r>
      <w:r>
        <w:rPr>
          <w:rFonts w:hint="eastAsia" w:ascii="宋体" w:hAnsi="宋体"/>
          <w:bCs/>
          <w:color w:val="000000" w:themeColor="text1"/>
          <w:u w:val="single"/>
          <w14:textFill>
            <w14:solidFill>
              <w14:schemeClr w14:val="tx1"/>
            </w14:solidFill>
          </w14:textFill>
        </w:rPr>
        <w:t>广西壮族自治区桂林市</w:t>
      </w:r>
      <w:r>
        <w:rPr>
          <w:rFonts w:ascii="宋体" w:hAnsi="宋体"/>
          <w:bCs/>
          <w:color w:val="000000" w:themeColor="text1"/>
          <w:u w:val="single"/>
          <w14:textFill>
            <w14:solidFill>
              <w14:schemeClr w14:val="tx1"/>
            </w14:solidFill>
          </w14:textFill>
        </w:rPr>
        <w:t xml:space="preserve">    </w:t>
      </w:r>
      <w:r>
        <w:rPr>
          <w:rFonts w:hint="eastAsia" w:ascii="宋体" w:hAnsi="宋体"/>
          <w:bCs/>
          <w:color w:val="000000" w:themeColor="text1"/>
          <w14:textFill>
            <w14:solidFill>
              <w14:schemeClr w14:val="tx1"/>
            </w14:solidFill>
          </w14:textFill>
        </w:rPr>
        <w:t>签订。</w:t>
      </w:r>
    </w:p>
    <w:p w14:paraId="3AAC2F6A">
      <w:pPr>
        <w:spacing w:line="420" w:lineRule="exact"/>
        <w:ind w:firstLine="422" w:firstLineChars="200"/>
        <w:outlineLvl w:val="0"/>
        <w:rPr>
          <w:rFonts w:ascii="宋体" w:hAnsi="宋体"/>
          <w:b/>
          <w:color w:val="000000" w:themeColor="text1"/>
          <w14:textFill>
            <w14:solidFill>
              <w14:schemeClr w14:val="tx1"/>
            </w14:solidFill>
          </w14:textFill>
        </w:rPr>
      </w:pPr>
      <w:bookmarkStart w:id="331" w:name="_Toc406419163"/>
      <w:bookmarkStart w:id="332" w:name="_Toc520505665"/>
      <w:bookmarkStart w:id="333" w:name="_Toc173253163"/>
      <w:bookmarkStart w:id="334" w:name="_Toc351203491"/>
      <w:bookmarkStart w:id="335" w:name="_Toc10865"/>
      <w:bookmarkStart w:id="336" w:name="_Toc406522038"/>
      <w:r>
        <w:rPr>
          <w:rFonts w:hint="eastAsia" w:ascii="宋体" w:hAnsi="宋体"/>
          <w:b/>
          <w:color w:val="000000" w:themeColor="text1"/>
          <w14:textFill>
            <w14:solidFill>
              <w14:schemeClr w14:val="tx1"/>
            </w14:solidFill>
          </w14:textFill>
        </w:rPr>
        <w:t>十一、补充协议</w:t>
      </w:r>
      <w:bookmarkEnd w:id="331"/>
      <w:bookmarkEnd w:id="332"/>
      <w:bookmarkEnd w:id="333"/>
      <w:bookmarkEnd w:id="334"/>
      <w:bookmarkEnd w:id="335"/>
      <w:bookmarkEnd w:id="336"/>
    </w:p>
    <w:p w14:paraId="0A090CCD">
      <w:pPr>
        <w:spacing w:line="420" w:lineRule="exact"/>
        <w:ind w:firstLine="420" w:firstLineChars="200"/>
        <w:rPr>
          <w:rFonts w:ascii="宋体" w:hAnsi="宋体"/>
          <w:bCs/>
          <w:color w:val="000000" w:themeColor="text1"/>
          <w14:textFill>
            <w14:solidFill>
              <w14:schemeClr w14:val="tx1"/>
            </w14:solidFill>
          </w14:textFill>
        </w:rPr>
      </w:pPr>
      <w:r>
        <w:rPr>
          <w:rFonts w:hint="eastAsia" w:ascii="宋体" w:hAnsi="宋体"/>
          <w:bCs/>
          <w:color w:val="000000" w:themeColor="text1"/>
          <w14:textFill>
            <w14:solidFill>
              <w14:schemeClr w14:val="tx1"/>
            </w14:solidFill>
          </w14:textFill>
        </w:rPr>
        <w:t>合同未尽事宜，合同当事人另行签订补充协议，补充协议是合同的组成部分。</w:t>
      </w:r>
    </w:p>
    <w:p w14:paraId="1B83F017">
      <w:pPr>
        <w:spacing w:line="420" w:lineRule="exact"/>
        <w:ind w:firstLine="422" w:firstLineChars="200"/>
        <w:outlineLvl w:val="0"/>
        <w:rPr>
          <w:rFonts w:ascii="宋体" w:hAnsi="宋体"/>
          <w:b/>
          <w:color w:val="000000" w:themeColor="text1"/>
          <w14:textFill>
            <w14:solidFill>
              <w14:schemeClr w14:val="tx1"/>
            </w14:solidFill>
          </w14:textFill>
        </w:rPr>
      </w:pPr>
      <w:bookmarkStart w:id="337" w:name="_Toc520505666"/>
      <w:bookmarkStart w:id="338" w:name="_Toc3197"/>
      <w:bookmarkStart w:id="339" w:name="_Toc406419164"/>
      <w:bookmarkStart w:id="340" w:name="_Toc406522039"/>
      <w:bookmarkStart w:id="341" w:name="_Toc173253164"/>
      <w:bookmarkStart w:id="342" w:name="_Toc351203492"/>
      <w:r>
        <w:rPr>
          <w:rFonts w:hint="eastAsia" w:ascii="宋体" w:hAnsi="宋体"/>
          <w:b/>
          <w:color w:val="000000" w:themeColor="text1"/>
          <w14:textFill>
            <w14:solidFill>
              <w14:schemeClr w14:val="tx1"/>
            </w14:solidFill>
          </w14:textFill>
        </w:rPr>
        <w:t>十二、合同生效</w:t>
      </w:r>
      <w:bookmarkEnd w:id="337"/>
      <w:bookmarkEnd w:id="338"/>
      <w:bookmarkEnd w:id="339"/>
      <w:bookmarkEnd w:id="340"/>
      <w:bookmarkEnd w:id="341"/>
      <w:bookmarkEnd w:id="342"/>
    </w:p>
    <w:p w14:paraId="392FE2D2">
      <w:pPr>
        <w:spacing w:line="420" w:lineRule="exact"/>
        <w:ind w:firstLine="420" w:firstLineChars="200"/>
        <w:rPr>
          <w:rFonts w:ascii="宋体" w:hAnsi="宋体"/>
          <w:bCs/>
          <w:color w:val="000000" w:themeColor="text1"/>
          <w14:textFill>
            <w14:solidFill>
              <w14:schemeClr w14:val="tx1"/>
            </w14:solidFill>
          </w14:textFill>
        </w:rPr>
      </w:pPr>
      <w:r>
        <w:rPr>
          <w:rFonts w:hint="eastAsia" w:ascii="宋体" w:hAnsi="宋体"/>
          <w:bCs/>
          <w:color w:val="000000" w:themeColor="text1"/>
          <w14:textFill>
            <w14:solidFill>
              <w14:schemeClr w14:val="tx1"/>
            </w14:solidFill>
          </w14:textFill>
        </w:rPr>
        <w:t>本合同自</w:t>
      </w:r>
      <w:r>
        <w:rPr>
          <w:rFonts w:ascii="宋体" w:hAnsi="宋体"/>
          <w:bCs/>
          <w:color w:val="000000" w:themeColor="text1"/>
          <w:u w:val="single"/>
          <w14:textFill>
            <w14:solidFill>
              <w14:schemeClr w14:val="tx1"/>
            </w14:solidFill>
          </w14:textFill>
        </w:rPr>
        <w:t xml:space="preserve"> </w:t>
      </w:r>
      <w:r>
        <w:rPr>
          <w:rFonts w:hint="eastAsia"/>
          <w:bCs/>
          <w:color w:val="000000" w:themeColor="text1"/>
          <w:szCs w:val="21"/>
          <w:highlight w:val="none"/>
          <w:u w:val="single"/>
          <w14:textFill>
            <w14:solidFill>
              <w14:schemeClr w14:val="tx1"/>
            </w14:solidFill>
          </w14:textFill>
        </w:rPr>
        <w:t>双方法定代表人或其委托代理人签字或盖章并加盖本单位公章后</w:t>
      </w:r>
      <w:r>
        <w:rPr>
          <w:rFonts w:ascii="宋体" w:hAnsi="宋体"/>
          <w:bCs/>
          <w:color w:val="000000" w:themeColor="text1"/>
          <w:u w:val="single"/>
          <w14:textFill>
            <w14:solidFill>
              <w14:schemeClr w14:val="tx1"/>
            </w14:solidFill>
          </w14:textFill>
        </w:rPr>
        <w:t xml:space="preserve"> </w:t>
      </w:r>
      <w:r>
        <w:rPr>
          <w:rFonts w:hint="eastAsia" w:ascii="宋体" w:hAnsi="宋体"/>
          <w:bCs/>
          <w:color w:val="000000" w:themeColor="text1"/>
          <w14:textFill>
            <w14:solidFill>
              <w14:schemeClr w14:val="tx1"/>
            </w14:solidFill>
          </w14:textFill>
        </w:rPr>
        <w:t>生效。</w:t>
      </w:r>
    </w:p>
    <w:p w14:paraId="7242F770">
      <w:pPr>
        <w:spacing w:line="420" w:lineRule="exact"/>
        <w:ind w:firstLine="422" w:firstLineChars="200"/>
        <w:outlineLvl w:val="0"/>
        <w:rPr>
          <w:rFonts w:ascii="宋体" w:hAnsi="宋体"/>
          <w:b/>
          <w:color w:val="000000" w:themeColor="text1"/>
          <w14:textFill>
            <w14:solidFill>
              <w14:schemeClr w14:val="tx1"/>
            </w14:solidFill>
          </w14:textFill>
        </w:rPr>
      </w:pPr>
      <w:bookmarkStart w:id="343" w:name="_Toc406419165"/>
      <w:bookmarkStart w:id="344" w:name="_Toc21643"/>
      <w:bookmarkStart w:id="345" w:name="_Toc351203493"/>
      <w:bookmarkStart w:id="346" w:name="_Toc406522040"/>
      <w:bookmarkStart w:id="347" w:name="_Toc173253165"/>
      <w:bookmarkStart w:id="348" w:name="_Toc520505667"/>
      <w:r>
        <w:rPr>
          <w:rFonts w:hint="eastAsia" w:ascii="宋体" w:hAnsi="宋体"/>
          <w:b/>
          <w:color w:val="000000" w:themeColor="text1"/>
          <w14:textFill>
            <w14:solidFill>
              <w14:schemeClr w14:val="tx1"/>
            </w14:solidFill>
          </w14:textFill>
        </w:rPr>
        <w:t>十三、合同份数</w:t>
      </w:r>
      <w:bookmarkEnd w:id="343"/>
      <w:bookmarkEnd w:id="344"/>
      <w:bookmarkEnd w:id="345"/>
      <w:bookmarkEnd w:id="346"/>
      <w:bookmarkEnd w:id="347"/>
      <w:bookmarkEnd w:id="348"/>
    </w:p>
    <w:p w14:paraId="25B22F0E">
      <w:pPr>
        <w:spacing w:line="420" w:lineRule="exact"/>
        <w:ind w:firstLine="420" w:firstLineChars="200"/>
        <w:rPr>
          <w:rFonts w:ascii="宋体" w:hAnsi="宋体"/>
          <w:bCs/>
          <w:color w:val="000000" w:themeColor="text1"/>
          <w14:textFill>
            <w14:solidFill>
              <w14:schemeClr w14:val="tx1"/>
            </w14:solidFill>
          </w14:textFill>
        </w:rPr>
      </w:pPr>
      <w:r>
        <w:rPr>
          <w:rFonts w:hint="eastAsia" w:ascii="宋体" w:hAnsi="宋体"/>
          <w:bCs/>
          <w:color w:val="000000" w:themeColor="text1"/>
          <w14:textFill>
            <w14:solidFill>
              <w14:schemeClr w14:val="tx1"/>
            </w14:solidFill>
          </w14:textFill>
        </w:rPr>
        <w:t>本合同一式</w:t>
      </w:r>
      <w:r>
        <w:rPr>
          <w:rFonts w:ascii="宋体" w:hAnsi="宋体"/>
          <w:bCs/>
          <w:color w:val="000000" w:themeColor="text1"/>
          <w:u w:val="single"/>
          <w14:textFill>
            <w14:solidFill>
              <w14:schemeClr w14:val="tx1"/>
            </w14:solidFill>
          </w14:textFill>
        </w:rPr>
        <w:t xml:space="preserve">  </w:t>
      </w:r>
      <w:r>
        <w:rPr>
          <w:rFonts w:hint="eastAsia" w:ascii="宋体" w:hAnsi="宋体"/>
          <w:bCs/>
          <w:color w:val="000000" w:themeColor="text1"/>
          <w:u w:val="single"/>
          <w14:textFill>
            <w14:solidFill>
              <w14:schemeClr w14:val="tx1"/>
            </w14:solidFill>
          </w14:textFill>
        </w:rPr>
        <w:t xml:space="preserve">七 </w:t>
      </w:r>
      <w:r>
        <w:rPr>
          <w:rFonts w:ascii="宋体" w:hAnsi="宋体"/>
          <w:bCs/>
          <w:color w:val="000000" w:themeColor="text1"/>
          <w:u w:val="single"/>
          <w14:textFill>
            <w14:solidFill>
              <w14:schemeClr w14:val="tx1"/>
            </w14:solidFill>
          </w14:textFill>
        </w:rPr>
        <w:t xml:space="preserve"> </w:t>
      </w:r>
      <w:r>
        <w:rPr>
          <w:rFonts w:hint="eastAsia" w:ascii="宋体" w:hAnsi="宋体"/>
          <w:bCs/>
          <w:color w:val="000000" w:themeColor="text1"/>
          <w14:textFill>
            <w14:solidFill>
              <w14:schemeClr w14:val="tx1"/>
            </w14:solidFill>
          </w14:textFill>
        </w:rPr>
        <w:t>份，均具有同等法律效力，正本</w:t>
      </w:r>
      <w:r>
        <w:rPr>
          <w:rFonts w:hint="eastAsia" w:ascii="宋体" w:hAnsi="宋体"/>
          <w:bCs/>
          <w:color w:val="000000" w:themeColor="text1"/>
          <w:u w:val="single"/>
          <w14:textFill>
            <w14:solidFill>
              <w14:schemeClr w14:val="tx1"/>
            </w14:solidFill>
          </w14:textFill>
        </w:rPr>
        <w:t xml:space="preserve"> 二 </w:t>
      </w:r>
      <w:r>
        <w:rPr>
          <w:rFonts w:hint="eastAsia" w:ascii="宋体" w:hAnsi="宋体"/>
          <w:bCs/>
          <w:color w:val="000000" w:themeColor="text1"/>
          <w14:textFill>
            <w14:solidFill>
              <w14:schemeClr w14:val="tx1"/>
            </w14:solidFill>
          </w14:textFill>
        </w:rPr>
        <w:t>份，发包人、承包人各执</w:t>
      </w:r>
      <w:r>
        <w:rPr>
          <w:rFonts w:ascii="宋体" w:hAnsi="宋体"/>
          <w:bCs/>
          <w:color w:val="000000" w:themeColor="text1"/>
          <w:u w:val="single"/>
          <w14:textFill>
            <w14:solidFill>
              <w14:schemeClr w14:val="tx1"/>
            </w14:solidFill>
          </w14:textFill>
        </w:rPr>
        <w:t xml:space="preserve">  </w:t>
      </w:r>
      <w:r>
        <w:rPr>
          <w:rFonts w:hint="eastAsia" w:ascii="宋体" w:hAnsi="宋体"/>
          <w:bCs/>
          <w:color w:val="000000" w:themeColor="text1"/>
          <w:u w:val="single"/>
          <w14:textFill>
            <w14:solidFill>
              <w14:schemeClr w14:val="tx1"/>
            </w14:solidFill>
          </w14:textFill>
        </w:rPr>
        <w:t>一</w:t>
      </w:r>
      <w:r>
        <w:rPr>
          <w:rFonts w:ascii="宋体" w:hAnsi="宋体"/>
          <w:bCs/>
          <w:color w:val="000000" w:themeColor="text1"/>
          <w:u w:val="single"/>
          <w14:textFill>
            <w14:solidFill>
              <w14:schemeClr w14:val="tx1"/>
            </w14:solidFill>
          </w14:textFill>
        </w:rPr>
        <w:t xml:space="preserve">  </w:t>
      </w:r>
      <w:r>
        <w:rPr>
          <w:rFonts w:hint="eastAsia" w:ascii="宋体" w:hAnsi="宋体"/>
          <w:bCs/>
          <w:color w:val="000000" w:themeColor="text1"/>
          <w14:textFill>
            <w14:solidFill>
              <w14:schemeClr w14:val="tx1"/>
            </w14:solidFill>
          </w14:textFill>
        </w:rPr>
        <w:t>份，副本发包人执</w:t>
      </w:r>
      <w:r>
        <w:rPr>
          <w:rFonts w:ascii="宋体" w:hAnsi="宋体"/>
          <w:bCs/>
          <w:color w:val="000000" w:themeColor="text1"/>
          <w:u w:val="single"/>
          <w14:textFill>
            <w14:solidFill>
              <w14:schemeClr w14:val="tx1"/>
            </w14:solidFill>
          </w14:textFill>
        </w:rPr>
        <w:t xml:space="preserve"> </w:t>
      </w:r>
      <w:r>
        <w:rPr>
          <w:rFonts w:hint="eastAsia" w:ascii="宋体" w:hAnsi="宋体"/>
          <w:bCs/>
          <w:color w:val="000000" w:themeColor="text1"/>
          <w:u w:val="single"/>
          <w14:textFill>
            <w14:solidFill>
              <w14:schemeClr w14:val="tx1"/>
            </w14:solidFill>
          </w14:textFill>
        </w:rPr>
        <w:t xml:space="preserve">二 </w:t>
      </w:r>
      <w:r>
        <w:rPr>
          <w:rFonts w:hint="eastAsia" w:ascii="宋体" w:hAnsi="宋体"/>
          <w:bCs/>
          <w:color w:val="000000" w:themeColor="text1"/>
          <w14:textFill>
            <w14:solidFill>
              <w14:schemeClr w14:val="tx1"/>
            </w14:solidFill>
          </w14:textFill>
        </w:rPr>
        <w:t>份，承包人执</w:t>
      </w:r>
      <w:r>
        <w:rPr>
          <w:rFonts w:ascii="宋体" w:hAnsi="宋体"/>
          <w:bCs/>
          <w:color w:val="000000" w:themeColor="text1"/>
          <w:u w:val="single"/>
          <w14:textFill>
            <w14:solidFill>
              <w14:schemeClr w14:val="tx1"/>
            </w14:solidFill>
          </w14:textFill>
        </w:rPr>
        <w:t xml:space="preserve">  </w:t>
      </w:r>
      <w:r>
        <w:rPr>
          <w:rFonts w:hint="eastAsia" w:ascii="宋体" w:hAnsi="宋体"/>
          <w:bCs/>
          <w:color w:val="000000" w:themeColor="text1"/>
          <w:u w:val="single"/>
          <w14:textFill>
            <w14:solidFill>
              <w14:schemeClr w14:val="tx1"/>
            </w14:solidFill>
          </w14:textFill>
        </w:rPr>
        <w:t>二</w:t>
      </w:r>
      <w:r>
        <w:rPr>
          <w:rFonts w:ascii="宋体" w:hAnsi="宋体"/>
          <w:bCs/>
          <w:color w:val="000000" w:themeColor="text1"/>
          <w:u w:val="single"/>
          <w14:textFill>
            <w14:solidFill>
              <w14:schemeClr w14:val="tx1"/>
            </w14:solidFill>
          </w14:textFill>
        </w:rPr>
        <w:t xml:space="preserve">  </w:t>
      </w:r>
      <w:r>
        <w:rPr>
          <w:rFonts w:hint="eastAsia" w:ascii="宋体" w:hAnsi="宋体"/>
          <w:bCs/>
          <w:color w:val="000000" w:themeColor="text1"/>
          <w14:textFill>
            <w14:solidFill>
              <w14:schemeClr w14:val="tx1"/>
            </w14:solidFill>
          </w14:textFill>
        </w:rPr>
        <w:t>份，采购代理机构执</w:t>
      </w:r>
      <w:r>
        <w:rPr>
          <w:rFonts w:ascii="宋体" w:hAnsi="宋体"/>
          <w:bCs/>
          <w:color w:val="000000" w:themeColor="text1"/>
          <w:u w:val="single"/>
          <w14:textFill>
            <w14:solidFill>
              <w14:schemeClr w14:val="tx1"/>
            </w14:solidFill>
          </w14:textFill>
        </w:rPr>
        <w:t xml:space="preserve">  </w:t>
      </w:r>
      <w:r>
        <w:rPr>
          <w:rFonts w:hint="eastAsia" w:ascii="宋体" w:hAnsi="宋体"/>
          <w:bCs/>
          <w:color w:val="000000" w:themeColor="text1"/>
          <w:u w:val="single"/>
          <w14:textFill>
            <w14:solidFill>
              <w14:schemeClr w14:val="tx1"/>
            </w14:solidFill>
          </w14:textFill>
        </w:rPr>
        <w:t>一</w:t>
      </w:r>
      <w:r>
        <w:rPr>
          <w:rFonts w:ascii="宋体" w:hAnsi="宋体"/>
          <w:bCs/>
          <w:color w:val="000000" w:themeColor="text1"/>
          <w:u w:val="single"/>
          <w14:textFill>
            <w14:solidFill>
              <w14:schemeClr w14:val="tx1"/>
            </w14:solidFill>
          </w14:textFill>
        </w:rPr>
        <w:t xml:space="preserve">  </w:t>
      </w:r>
      <w:r>
        <w:rPr>
          <w:rFonts w:hint="eastAsia" w:ascii="宋体" w:hAnsi="宋体"/>
          <w:bCs/>
          <w:color w:val="000000" w:themeColor="text1"/>
          <w14:textFill>
            <w14:solidFill>
              <w14:schemeClr w14:val="tx1"/>
            </w14:solidFill>
          </w14:textFill>
        </w:rPr>
        <w:t>份。</w:t>
      </w:r>
    </w:p>
    <w:p w14:paraId="7E3E5685">
      <w:pPr>
        <w:spacing w:line="372" w:lineRule="auto"/>
        <w:rPr>
          <w:rFonts w:ascii="宋体" w:hAnsi="宋体"/>
          <w:bCs/>
          <w:color w:val="000000" w:themeColor="text1"/>
          <w14:textFill>
            <w14:solidFill>
              <w14:schemeClr w14:val="tx1"/>
            </w14:solidFill>
          </w14:textFill>
        </w:rPr>
      </w:pPr>
    </w:p>
    <w:p w14:paraId="48D30DFD">
      <w:pPr>
        <w:spacing w:line="372" w:lineRule="auto"/>
        <w:rPr>
          <w:rFonts w:ascii="宋体" w:hAnsi="宋体"/>
          <w:color w:val="000000" w:themeColor="text1"/>
          <w14:textFill>
            <w14:solidFill>
              <w14:schemeClr w14:val="tx1"/>
            </w14:solidFill>
          </w14:textFill>
        </w:rPr>
      </w:pPr>
    </w:p>
    <w:p w14:paraId="2861EAA3">
      <w:pPr>
        <w:spacing w:line="372" w:lineRule="auto"/>
        <w:ind w:firstLine="218" w:firstLineChars="104"/>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发包人：</w:t>
      </w:r>
      <w:r>
        <w:rPr>
          <w:rFonts w:ascii="宋体" w:hAnsi="宋体"/>
          <w:color w:val="000000" w:themeColor="text1"/>
          <w14:textFill>
            <w14:solidFill>
              <w14:schemeClr w14:val="tx1"/>
            </w14:solidFill>
          </w14:textFill>
        </w:rPr>
        <w:t xml:space="preserve">  </w:t>
      </w:r>
      <w:r>
        <w:rPr>
          <w:rFonts w:hint="eastAsia" w:ascii="宋体" w:hAnsi="宋体"/>
          <w:color w:val="000000" w:themeColor="text1"/>
          <w14:textFill>
            <w14:solidFill>
              <w14:schemeClr w14:val="tx1"/>
            </w14:solidFill>
          </w14:textFill>
        </w:rPr>
        <w:t>（公章）</w:t>
      </w:r>
      <w:r>
        <w:rPr>
          <w:rFonts w:ascii="宋体" w:hAnsi="宋体"/>
          <w:color w:val="000000" w:themeColor="text1"/>
          <w14:textFill>
            <w14:solidFill>
              <w14:schemeClr w14:val="tx1"/>
            </w14:solidFill>
          </w14:textFill>
        </w:rPr>
        <w:t xml:space="preserve">                              </w:t>
      </w:r>
      <w:r>
        <w:rPr>
          <w:rFonts w:hint="eastAsia" w:ascii="宋体" w:hAnsi="宋体"/>
          <w:color w:val="000000" w:themeColor="text1"/>
          <w14:textFill>
            <w14:solidFill>
              <w14:schemeClr w14:val="tx1"/>
            </w14:solidFill>
          </w14:textFill>
        </w:rPr>
        <w:t>承包人：</w:t>
      </w:r>
      <w:r>
        <w:rPr>
          <w:rFonts w:ascii="宋体" w:hAnsi="宋体"/>
          <w:color w:val="000000" w:themeColor="text1"/>
          <w14:textFill>
            <w14:solidFill>
              <w14:schemeClr w14:val="tx1"/>
            </w14:solidFill>
          </w14:textFill>
        </w:rPr>
        <w:t xml:space="preserve">  </w:t>
      </w:r>
      <w:r>
        <w:rPr>
          <w:rFonts w:hint="eastAsia" w:ascii="宋体" w:hAnsi="宋体"/>
          <w:color w:val="000000" w:themeColor="text1"/>
          <w14:textFill>
            <w14:solidFill>
              <w14:schemeClr w14:val="tx1"/>
            </w14:solidFill>
          </w14:textFill>
        </w:rPr>
        <w:t>（公章）</w:t>
      </w:r>
    </w:p>
    <w:p w14:paraId="5F88F682">
      <w:pPr>
        <w:spacing w:line="372" w:lineRule="auto"/>
        <w:ind w:firstLine="218" w:firstLineChars="104"/>
        <w:rPr>
          <w:rFonts w:ascii="宋体" w:hAnsi="宋体"/>
          <w:color w:val="000000" w:themeColor="text1"/>
          <w:u w:val="single"/>
          <w14:textFill>
            <w14:solidFill>
              <w14:schemeClr w14:val="tx1"/>
            </w14:solidFill>
          </w14:textFill>
        </w:rPr>
      </w:pPr>
      <w:r>
        <w:rPr>
          <w:rFonts w:ascii="宋体" w:hAnsi="宋体"/>
          <w:color w:val="000000" w:themeColor="text1"/>
          <w14:textFill>
            <w14:solidFill>
              <w14:schemeClr w14:val="tx1"/>
            </w14:solidFill>
          </w14:textFill>
        </w:rPr>
        <w:t xml:space="preserve">                                 </w:t>
      </w:r>
    </w:p>
    <w:p w14:paraId="0C3D7157">
      <w:pPr>
        <w:spacing w:line="372" w:lineRule="auto"/>
        <w:ind w:firstLine="218" w:firstLineChars="104"/>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法定代表人或其委托代理人：</w:t>
      </w:r>
      <w:r>
        <w:rPr>
          <w:rFonts w:ascii="宋体" w:hAnsi="宋体"/>
          <w:color w:val="000000" w:themeColor="text1"/>
          <w14:textFill>
            <w14:solidFill>
              <w14:schemeClr w14:val="tx1"/>
            </w14:solidFill>
          </w14:textFill>
        </w:rPr>
        <w:t xml:space="preserve">                    </w:t>
      </w:r>
      <w:r>
        <w:rPr>
          <w:rFonts w:hint="eastAsia" w:ascii="宋体" w:hAnsi="宋体"/>
          <w:color w:val="000000" w:themeColor="text1"/>
          <w14:textFill>
            <w14:solidFill>
              <w14:schemeClr w14:val="tx1"/>
            </w14:solidFill>
          </w14:textFill>
        </w:rPr>
        <w:t>法定代表人或其委托代理人：</w:t>
      </w:r>
    </w:p>
    <w:p w14:paraId="11641A30">
      <w:pPr>
        <w:spacing w:line="372" w:lineRule="auto"/>
        <w:ind w:firstLine="218" w:firstLineChars="104"/>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（签字）</w:t>
      </w:r>
      <w:r>
        <w:rPr>
          <w:rFonts w:ascii="宋体" w:hAnsi="宋体"/>
          <w:color w:val="000000" w:themeColor="text1"/>
          <w14:textFill>
            <w14:solidFill>
              <w14:schemeClr w14:val="tx1"/>
            </w14:solidFill>
          </w14:textFill>
        </w:rPr>
        <w:t xml:space="preserve">                                     </w:t>
      </w:r>
      <w:r>
        <w:rPr>
          <w:rFonts w:hint="eastAsia" w:ascii="宋体" w:hAnsi="宋体"/>
          <w:color w:val="000000" w:themeColor="text1"/>
          <w14:textFill>
            <w14:solidFill>
              <w14:schemeClr w14:val="tx1"/>
            </w14:solidFill>
          </w14:textFill>
        </w:rPr>
        <w:t>（签字）</w:t>
      </w:r>
    </w:p>
    <w:p w14:paraId="26ADEEC2">
      <w:pPr>
        <w:spacing w:line="372" w:lineRule="auto"/>
        <w:ind w:firstLine="218" w:firstLineChars="104"/>
        <w:rPr>
          <w:rFonts w:ascii="宋体" w:hAnsi="宋体"/>
          <w:color w:val="000000" w:themeColor="text1"/>
          <w:u w:val="single"/>
          <w14:textFill>
            <w14:solidFill>
              <w14:schemeClr w14:val="tx1"/>
            </w14:solidFill>
          </w14:textFill>
        </w:rPr>
      </w:pPr>
    </w:p>
    <w:p w14:paraId="7A54EED2">
      <w:pPr>
        <w:tabs>
          <w:tab w:val="left" w:pos="4410"/>
        </w:tabs>
        <w:spacing w:line="372" w:lineRule="auto"/>
        <w:ind w:firstLine="218" w:firstLineChars="104"/>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组织机构代码：</w:t>
      </w:r>
      <w:r>
        <w:rPr>
          <w:rFonts w:ascii="宋体" w:hAnsi="宋体"/>
          <w:bCs/>
          <w:color w:val="000000" w:themeColor="text1"/>
          <w:u w:val="single"/>
          <w14:textFill>
            <w14:solidFill>
              <w14:schemeClr w14:val="tx1"/>
            </w14:solidFill>
          </w14:textFill>
        </w:rPr>
        <w:t xml:space="preserve">              </w:t>
      </w:r>
      <w:r>
        <w:rPr>
          <w:rFonts w:ascii="宋体" w:hAnsi="宋体"/>
          <w:color w:val="000000" w:themeColor="text1"/>
          <w14:textFill>
            <w14:solidFill>
              <w14:schemeClr w14:val="tx1"/>
            </w14:solidFill>
          </w14:textFill>
        </w:rPr>
        <w:t xml:space="preserve">                 </w:t>
      </w:r>
      <w:r>
        <w:rPr>
          <w:rFonts w:hint="eastAsia" w:ascii="宋体" w:hAnsi="宋体"/>
          <w:color w:val="000000" w:themeColor="text1"/>
          <w14:textFill>
            <w14:solidFill>
              <w14:schemeClr w14:val="tx1"/>
            </w14:solidFill>
          </w14:textFill>
        </w:rPr>
        <w:t>组织机构代码：</w:t>
      </w:r>
      <w:r>
        <w:rPr>
          <w:rFonts w:ascii="宋体" w:hAnsi="宋体"/>
          <w:bCs/>
          <w:color w:val="000000" w:themeColor="text1"/>
          <w:u w:val="single"/>
          <w14:textFill>
            <w14:solidFill>
              <w14:schemeClr w14:val="tx1"/>
            </w14:solidFill>
          </w14:textFill>
        </w:rPr>
        <w:t xml:space="preserve">              </w:t>
      </w:r>
    </w:p>
    <w:p w14:paraId="64F42ABC">
      <w:pPr>
        <w:spacing w:line="372" w:lineRule="auto"/>
        <w:ind w:firstLine="218" w:firstLineChars="104"/>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地</w:t>
      </w:r>
      <w:r>
        <w:rPr>
          <w:rFonts w:ascii="宋体" w:hAnsi="宋体"/>
          <w:color w:val="000000" w:themeColor="text1"/>
          <w14:textFill>
            <w14:solidFill>
              <w14:schemeClr w14:val="tx1"/>
            </w14:solidFill>
          </w14:textFill>
        </w:rPr>
        <w:t xml:space="preserve">  </w:t>
      </w:r>
      <w:r>
        <w:rPr>
          <w:rFonts w:hint="eastAsia" w:ascii="宋体" w:hAnsi="宋体"/>
          <w:color w:val="000000" w:themeColor="text1"/>
          <w14:textFill>
            <w14:solidFill>
              <w14:schemeClr w14:val="tx1"/>
            </w14:solidFill>
          </w14:textFill>
        </w:rPr>
        <w:t>址：</w:t>
      </w:r>
      <w:r>
        <w:rPr>
          <w:rFonts w:ascii="宋体" w:hAnsi="宋体"/>
          <w:bCs/>
          <w:color w:val="000000" w:themeColor="text1"/>
          <w:u w:val="single"/>
          <w14:textFill>
            <w14:solidFill>
              <w14:schemeClr w14:val="tx1"/>
            </w14:solidFill>
          </w14:textFill>
        </w:rPr>
        <w:t xml:space="preserve">                    </w:t>
      </w:r>
      <w:r>
        <w:rPr>
          <w:rFonts w:ascii="宋体" w:hAnsi="宋体"/>
          <w:color w:val="000000" w:themeColor="text1"/>
          <w14:textFill>
            <w14:solidFill>
              <w14:schemeClr w14:val="tx1"/>
            </w14:solidFill>
          </w14:textFill>
        </w:rPr>
        <w:t xml:space="preserve">                 </w:t>
      </w:r>
      <w:r>
        <w:rPr>
          <w:rFonts w:hint="eastAsia" w:ascii="宋体" w:hAnsi="宋体"/>
          <w:color w:val="000000" w:themeColor="text1"/>
          <w14:textFill>
            <w14:solidFill>
              <w14:schemeClr w14:val="tx1"/>
            </w14:solidFill>
          </w14:textFill>
        </w:rPr>
        <w:t>地</w:t>
      </w:r>
      <w:r>
        <w:rPr>
          <w:rFonts w:ascii="宋体" w:hAnsi="宋体"/>
          <w:color w:val="000000" w:themeColor="text1"/>
          <w14:textFill>
            <w14:solidFill>
              <w14:schemeClr w14:val="tx1"/>
            </w14:solidFill>
          </w14:textFill>
        </w:rPr>
        <w:t xml:space="preserve">  </w:t>
      </w:r>
      <w:r>
        <w:rPr>
          <w:rFonts w:hint="eastAsia" w:ascii="宋体" w:hAnsi="宋体"/>
          <w:color w:val="000000" w:themeColor="text1"/>
          <w14:textFill>
            <w14:solidFill>
              <w14:schemeClr w14:val="tx1"/>
            </w14:solidFill>
          </w14:textFill>
        </w:rPr>
        <w:t>址：</w:t>
      </w:r>
      <w:r>
        <w:rPr>
          <w:rFonts w:ascii="宋体" w:hAnsi="宋体"/>
          <w:bCs/>
          <w:color w:val="000000" w:themeColor="text1"/>
          <w:u w:val="single"/>
          <w14:textFill>
            <w14:solidFill>
              <w14:schemeClr w14:val="tx1"/>
            </w14:solidFill>
          </w14:textFill>
        </w:rPr>
        <w:t xml:space="preserve">                    </w:t>
      </w:r>
    </w:p>
    <w:p w14:paraId="4A7851C6">
      <w:pPr>
        <w:spacing w:line="372" w:lineRule="auto"/>
        <w:ind w:firstLine="218" w:firstLineChars="104"/>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邮政编码：</w:t>
      </w:r>
      <w:r>
        <w:rPr>
          <w:rFonts w:ascii="宋体" w:hAnsi="宋体"/>
          <w:bCs/>
          <w:color w:val="000000" w:themeColor="text1"/>
          <w:u w:val="single"/>
          <w14:textFill>
            <w14:solidFill>
              <w14:schemeClr w14:val="tx1"/>
            </w14:solidFill>
          </w14:textFill>
        </w:rPr>
        <w:t xml:space="preserve">                  </w:t>
      </w:r>
      <w:r>
        <w:rPr>
          <w:rFonts w:ascii="宋体" w:hAnsi="宋体"/>
          <w:color w:val="000000" w:themeColor="text1"/>
          <w14:textFill>
            <w14:solidFill>
              <w14:schemeClr w14:val="tx1"/>
            </w14:solidFill>
          </w14:textFill>
        </w:rPr>
        <w:t xml:space="preserve">                 </w:t>
      </w:r>
      <w:r>
        <w:rPr>
          <w:rFonts w:hint="eastAsia" w:ascii="宋体" w:hAnsi="宋体"/>
          <w:color w:val="000000" w:themeColor="text1"/>
          <w14:textFill>
            <w14:solidFill>
              <w14:schemeClr w14:val="tx1"/>
            </w14:solidFill>
          </w14:textFill>
        </w:rPr>
        <w:t>邮政编码：</w:t>
      </w:r>
      <w:r>
        <w:rPr>
          <w:rFonts w:ascii="宋体" w:hAnsi="宋体"/>
          <w:bCs/>
          <w:color w:val="000000" w:themeColor="text1"/>
          <w:u w:val="single"/>
          <w14:textFill>
            <w14:solidFill>
              <w14:schemeClr w14:val="tx1"/>
            </w14:solidFill>
          </w14:textFill>
        </w:rPr>
        <w:t xml:space="preserve">                  </w:t>
      </w:r>
    </w:p>
    <w:p w14:paraId="3CBD3999">
      <w:pPr>
        <w:spacing w:line="372" w:lineRule="auto"/>
        <w:ind w:firstLine="218" w:firstLineChars="104"/>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法定代表人：</w:t>
      </w:r>
      <w:r>
        <w:rPr>
          <w:rFonts w:ascii="宋体" w:hAnsi="宋体"/>
          <w:bCs/>
          <w:color w:val="000000" w:themeColor="text1"/>
          <w:u w:val="single"/>
          <w14:textFill>
            <w14:solidFill>
              <w14:schemeClr w14:val="tx1"/>
            </w14:solidFill>
          </w14:textFill>
        </w:rPr>
        <w:t xml:space="preserve">                </w:t>
      </w:r>
      <w:r>
        <w:rPr>
          <w:rFonts w:ascii="宋体" w:hAnsi="宋体"/>
          <w:color w:val="000000" w:themeColor="text1"/>
          <w14:textFill>
            <w14:solidFill>
              <w14:schemeClr w14:val="tx1"/>
            </w14:solidFill>
          </w14:textFill>
        </w:rPr>
        <w:t xml:space="preserve">                 </w:t>
      </w:r>
      <w:r>
        <w:rPr>
          <w:rFonts w:hint="eastAsia" w:ascii="宋体" w:hAnsi="宋体"/>
          <w:color w:val="000000" w:themeColor="text1"/>
          <w14:textFill>
            <w14:solidFill>
              <w14:schemeClr w14:val="tx1"/>
            </w14:solidFill>
          </w14:textFill>
        </w:rPr>
        <w:t>法定代表人：</w:t>
      </w:r>
      <w:r>
        <w:rPr>
          <w:rFonts w:ascii="宋体" w:hAnsi="宋体"/>
          <w:bCs/>
          <w:color w:val="000000" w:themeColor="text1"/>
          <w:u w:val="single"/>
          <w14:textFill>
            <w14:solidFill>
              <w14:schemeClr w14:val="tx1"/>
            </w14:solidFill>
          </w14:textFill>
        </w:rPr>
        <w:t xml:space="preserve">                </w:t>
      </w:r>
    </w:p>
    <w:p w14:paraId="5C94F7C2">
      <w:pPr>
        <w:spacing w:line="372" w:lineRule="auto"/>
        <w:ind w:firstLine="218" w:firstLineChars="104"/>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委托代理人：</w:t>
      </w:r>
      <w:r>
        <w:rPr>
          <w:rFonts w:ascii="宋体" w:hAnsi="宋体"/>
          <w:bCs/>
          <w:color w:val="000000" w:themeColor="text1"/>
          <w:u w:val="single"/>
          <w14:textFill>
            <w14:solidFill>
              <w14:schemeClr w14:val="tx1"/>
            </w14:solidFill>
          </w14:textFill>
        </w:rPr>
        <w:t xml:space="preserve">                </w:t>
      </w:r>
      <w:r>
        <w:rPr>
          <w:rFonts w:ascii="宋体" w:hAnsi="宋体"/>
          <w:color w:val="000000" w:themeColor="text1"/>
          <w14:textFill>
            <w14:solidFill>
              <w14:schemeClr w14:val="tx1"/>
            </w14:solidFill>
          </w14:textFill>
        </w:rPr>
        <w:t xml:space="preserve">                 </w:t>
      </w:r>
      <w:r>
        <w:rPr>
          <w:rFonts w:hint="eastAsia" w:ascii="宋体" w:hAnsi="宋体"/>
          <w:color w:val="000000" w:themeColor="text1"/>
          <w14:textFill>
            <w14:solidFill>
              <w14:schemeClr w14:val="tx1"/>
            </w14:solidFill>
          </w14:textFill>
        </w:rPr>
        <w:t>委托代理人：</w:t>
      </w:r>
      <w:r>
        <w:rPr>
          <w:rFonts w:ascii="宋体" w:hAnsi="宋体"/>
          <w:bCs/>
          <w:color w:val="000000" w:themeColor="text1"/>
          <w:u w:val="single"/>
          <w14:textFill>
            <w14:solidFill>
              <w14:schemeClr w14:val="tx1"/>
            </w14:solidFill>
          </w14:textFill>
        </w:rPr>
        <w:t xml:space="preserve">                </w:t>
      </w:r>
    </w:p>
    <w:p w14:paraId="2E8FB4DE">
      <w:pPr>
        <w:spacing w:line="372" w:lineRule="auto"/>
        <w:ind w:firstLine="218" w:firstLineChars="104"/>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电</w:t>
      </w:r>
      <w:r>
        <w:rPr>
          <w:rFonts w:ascii="宋体" w:hAnsi="宋体"/>
          <w:color w:val="000000" w:themeColor="text1"/>
          <w14:textFill>
            <w14:solidFill>
              <w14:schemeClr w14:val="tx1"/>
            </w14:solidFill>
          </w14:textFill>
        </w:rPr>
        <w:t xml:space="preserve">  </w:t>
      </w:r>
      <w:r>
        <w:rPr>
          <w:rFonts w:hint="eastAsia" w:ascii="宋体" w:hAnsi="宋体"/>
          <w:color w:val="000000" w:themeColor="text1"/>
          <w14:textFill>
            <w14:solidFill>
              <w14:schemeClr w14:val="tx1"/>
            </w14:solidFill>
          </w14:textFill>
        </w:rPr>
        <w:t>话：</w:t>
      </w:r>
      <w:r>
        <w:rPr>
          <w:rFonts w:ascii="宋体" w:hAnsi="宋体"/>
          <w:bCs/>
          <w:color w:val="000000" w:themeColor="text1"/>
          <w:u w:val="single"/>
          <w14:textFill>
            <w14:solidFill>
              <w14:schemeClr w14:val="tx1"/>
            </w14:solidFill>
          </w14:textFill>
        </w:rPr>
        <w:t xml:space="preserve">                    </w:t>
      </w:r>
      <w:r>
        <w:rPr>
          <w:rFonts w:ascii="宋体" w:hAnsi="宋体"/>
          <w:color w:val="000000" w:themeColor="text1"/>
          <w14:textFill>
            <w14:solidFill>
              <w14:schemeClr w14:val="tx1"/>
            </w14:solidFill>
          </w14:textFill>
        </w:rPr>
        <w:t xml:space="preserve">                 </w:t>
      </w:r>
      <w:r>
        <w:rPr>
          <w:rFonts w:hint="eastAsia" w:ascii="宋体" w:hAnsi="宋体"/>
          <w:color w:val="000000" w:themeColor="text1"/>
          <w14:textFill>
            <w14:solidFill>
              <w14:schemeClr w14:val="tx1"/>
            </w14:solidFill>
          </w14:textFill>
        </w:rPr>
        <w:t>电</w:t>
      </w:r>
      <w:r>
        <w:rPr>
          <w:rFonts w:ascii="宋体" w:hAnsi="宋体"/>
          <w:color w:val="000000" w:themeColor="text1"/>
          <w14:textFill>
            <w14:solidFill>
              <w14:schemeClr w14:val="tx1"/>
            </w14:solidFill>
          </w14:textFill>
        </w:rPr>
        <w:t xml:space="preserve">  </w:t>
      </w:r>
      <w:r>
        <w:rPr>
          <w:rFonts w:hint="eastAsia" w:ascii="宋体" w:hAnsi="宋体"/>
          <w:color w:val="000000" w:themeColor="text1"/>
          <w14:textFill>
            <w14:solidFill>
              <w14:schemeClr w14:val="tx1"/>
            </w14:solidFill>
          </w14:textFill>
        </w:rPr>
        <w:t>话：</w:t>
      </w:r>
      <w:r>
        <w:rPr>
          <w:rFonts w:ascii="宋体" w:hAnsi="宋体"/>
          <w:bCs/>
          <w:color w:val="000000" w:themeColor="text1"/>
          <w:u w:val="single"/>
          <w14:textFill>
            <w14:solidFill>
              <w14:schemeClr w14:val="tx1"/>
            </w14:solidFill>
          </w14:textFill>
        </w:rPr>
        <w:t xml:space="preserve">                    </w:t>
      </w:r>
    </w:p>
    <w:p w14:paraId="3768243C">
      <w:pPr>
        <w:spacing w:line="372" w:lineRule="auto"/>
        <w:ind w:firstLine="218" w:firstLineChars="104"/>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传</w:t>
      </w:r>
      <w:r>
        <w:rPr>
          <w:rFonts w:ascii="宋体" w:hAnsi="宋体"/>
          <w:color w:val="000000" w:themeColor="text1"/>
          <w14:textFill>
            <w14:solidFill>
              <w14:schemeClr w14:val="tx1"/>
            </w14:solidFill>
          </w14:textFill>
        </w:rPr>
        <w:t xml:space="preserve">  </w:t>
      </w:r>
      <w:r>
        <w:rPr>
          <w:rFonts w:hint="eastAsia" w:ascii="宋体" w:hAnsi="宋体"/>
          <w:color w:val="000000" w:themeColor="text1"/>
          <w14:textFill>
            <w14:solidFill>
              <w14:schemeClr w14:val="tx1"/>
            </w14:solidFill>
          </w14:textFill>
        </w:rPr>
        <w:t>真：</w:t>
      </w:r>
      <w:r>
        <w:rPr>
          <w:rFonts w:ascii="宋体" w:hAnsi="宋体"/>
          <w:bCs/>
          <w:color w:val="000000" w:themeColor="text1"/>
          <w:u w:val="single"/>
          <w14:textFill>
            <w14:solidFill>
              <w14:schemeClr w14:val="tx1"/>
            </w14:solidFill>
          </w14:textFill>
        </w:rPr>
        <w:t xml:space="preserve">                    </w:t>
      </w:r>
      <w:r>
        <w:rPr>
          <w:rFonts w:ascii="宋体" w:hAnsi="宋体"/>
          <w:color w:val="000000" w:themeColor="text1"/>
          <w14:textFill>
            <w14:solidFill>
              <w14:schemeClr w14:val="tx1"/>
            </w14:solidFill>
          </w14:textFill>
        </w:rPr>
        <w:t xml:space="preserve">                 </w:t>
      </w:r>
      <w:r>
        <w:rPr>
          <w:rFonts w:hint="eastAsia" w:ascii="宋体" w:hAnsi="宋体"/>
          <w:color w:val="000000" w:themeColor="text1"/>
          <w14:textFill>
            <w14:solidFill>
              <w14:schemeClr w14:val="tx1"/>
            </w14:solidFill>
          </w14:textFill>
        </w:rPr>
        <w:t>传</w:t>
      </w:r>
      <w:r>
        <w:rPr>
          <w:rFonts w:ascii="宋体" w:hAnsi="宋体"/>
          <w:color w:val="000000" w:themeColor="text1"/>
          <w14:textFill>
            <w14:solidFill>
              <w14:schemeClr w14:val="tx1"/>
            </w14:solidFill>
          </w14:textFill>
        </w:rPr>
        <w:t xml:space="preserve">  </w:t>
      </w:r>
      <w:r>
        <w:rPr>
          <w:rFonts w:hint="eastAsia" w:ascii="宋体" w:hAnsi="宋体"/>
          <w:color w:val="000000" w:themeColor="text1"/>
          <w14:textFill>
            <w14:solidFill>
              <w14:schemeClr w14:val="tx1"/>
            </w14:solidFill>
          </w14:textFill>
        </w:rPr>
        <w:t>真：</w:t>
      </w:r>
      <w:r>
        <w:rPr>
          <w:rFonts w:ascii="宋体" w:hAnsi="宋体"/>
          <w:bCs/>
          <w:color w:val="000000" w:themeColor="text1"/>
          <w:u w:val="single"/>
          <w14:textFill>
            <w14:solidFill>
              <w14:schemeClr w14:val="tx1"/>
            </w14:solidFill>
          </w14:textFill>
        </w:rPr>
        <w:t xml:space="preserve">                    </w:t>
      </w:r>
    </w:p>
    <w:p w14:paraId="038BE270">
      <w:pPr>
        <w:spacing w:line="372" w:lineRule="auto"/>
        <w:ind w:firstLine="218" w:firstLineChars="104"/>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电子信箱：</w:t>
      </w:r>
      <w:r>
        <w:rPr>
          <w:rFonts w:ascii="宋体" w:hAnsi="宋体"/>
          <w:bCs/>
          <w:color w:val="000000" w:themeColor="text1"/>
          <w:u w:val="single"/>
          <w14:textFill>
            <w14:solidFill>
              <w14:schemeClr w14:val="tx1"/>
            </w14:solidFill>
          </w14:textFill>
        </w:rPr>
        <w:t xml:space="preserve">                  </w:t>
      </w:r>
      <w:r>
        <w:rPr>
          <w:rFonts w:ascii="宋体" w:hAnsi="宋体"/>
          <w:color w:val="000000" w:themeColor="text1"/>
          <w14:textFill>
            <w14:solidFill>
              <w14:schemeClr w14:val="tx1"/>
            </w14:solidFill>
          </w14:textFill>
        </w:rPr>
        <w:t xml:space="preserve">                 </w:t>
      </w:r>
      <w:r>
        <w:rPr>
          <w:rFonts w:hint="eastAsia" w:ascii="宋体" w:hAnsi="宋体"/>
          <w:color w:val="000000" w:themeColor="text1"/>
          <w14:textFill>
            <w14:solidFill>
              <w14:schemeClr w14:val="tx1"/>
            </w14:solidFill>
          </w14:textFill>
        </w:rPr>
        <w:t>电子信箱：</w:t>
      </w:r>
      <w:r>
        <w:rPr>
          <w:rFonts w:ascii="宋体" w:hAnsi="宋体"/>
          <w:bCs/>
          <w:color w:val="000000" w:themeColor="text1"/>
          <w:u w:val="single"/>
          <w14:textFill>
            <w14:solidFill>
              <w14:schemeClr w14:val="tx1"/>
            </w14:solidFill>
          </w14:textFill>
        </w:rPr>
        <w:t xml:space="preserve">                  </w:t>
      </w:r>
    </w:p>
    <w:p w14:paraId="7FC57D3F">
      <w:pPr>
        <w:spacing w:line="372" w:lineRule="auto"/>
        <w:ind w:firstLine="218" w:firstLineChars="104"/>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开户银行：</w:t>
      </w:r>
      <w:r>
        <w:rPr>
          <w:rFonts w:ascii="宋体" w:hAnsi="宋体"/>
          <w:bCs/>
          <w:color w:val="000000" w:themeColor="text1"/>
          <w:u w:val="single"/>
          <w14:textFill>
            <w14:solidFill>
              <w14:schemeClr w14:val="tx1"/>
            </w14:solidFill>
          </w14:textFill>
        </w:rPr>
        <w:t xml:space="preserve">                   </w:t>
      </w:r>
      <w:r>
        <w:rPr>
          <w:rFonts w:ascii="宋体" w:hAnsi="宋体"/>
          <w:color w:val="000000" w:themeColor="text1"/>
          <w14:textFill>
            <w14:solidFill>
              <w14:schemeClr w14:val="tx1"/>
            </w14:solidFill>
          </w14:textFill>
        </w:rPr>
        <w:t xml:space="preserve">                </w:t>
      </w:r>
      <w:r>
        <w:rPr>
          <w:rFonts w:hint="eastAsia" w:ascii="宋体" w:hAnsi="宋体"/>
          <w:color w:val="000000" w:themeColor="text1"/>
          <w14:textFill>
            <w14:solidFill>
              <w14:schemeClr w14:val="tx1"/>
            </w14:solidFill>
          </w14:textFill>
        </w:rPr>
        <w:t>开户银行：</w:t>
      </w:r>
      <w:r>
        <w:rPr>
          <w:rFonts w:ascii="宋体" w:hAnsi="宋体"/>
          <w:bCs/>
          <w:color w:val="000000" w:themeColor="text1"/>
          <w:u w:val="single"/>
          <w14:textFill>
            <w14:solidFill>
              <w14:schemeClr w14:val="tx1"/>
            </w14:solidFill>
          </w14:textFill>
        </w:rPr>
        <w:t xml:space="preserve">                  </w:t>
      </w:r>
    </w:p>
    <w:p w14:paraId="73B6A4BA">
      <w:pPr>
        <w:spacing w:line="372" w:lineRule="auto"/>
        <w:ind w:firstLine="218" w:firstLineChars="104"/>
        <w:rPr>
          <w:rFonts w:ascii="宋体" w:hAnsi="宋体"/>
          <w:bCs/>
          <w:color w:val="000000" w:themeColor="text1"/>
          <w:sz w:val="28"/>
          <w:u w:val="single"/>
          <w14:textFill>
            <w14:solidFill>
              <w14:schemeClr w14:val="tx1"/>
            </w14:solidFill>
          </w14:textFill>
        </w:rPr>
      </w:pPr>
      <w:r>
        <w:rPr>
          <w:rFonts w:hint="eastAsia" w:ascii="宋体" w:hAnsi="宋体"/>
          <w:color w:val="000000" w:themeColor="text1"/>
          <w14:textFill>
            <w14:solidFill>
              <w14:schemeClr w14:val="tx1"/>
            </w14:solidFill>
          </w14:textFill>
        </w:rPr>
        <w:t>账</w:t>
      </w:r>
      <w:r>
        <w:rPr>
          <w:rFonts w:ascii="宋体" w:hAnsi="宋体"/>
          <w:color w:val="000000" w:themeColor="text1"/>
          <w14:textFill>
            <w14:solidFill>
              <w14:schemeClr w14:val="tx1"/>
            </w14:solidFill>
          </w14:textFill>
        </w:rPr>
        <w:t xml:space="preserve">  </w:t>
      </w:r>
      <w:r>
        <w:rPr>
          <w:rFonts w:hint="eastAsia" w:ascii="宋体" w:hAnsi="宋体"/>
          <w:color w:val="000000" w:themeColor="text1"/>
          <w14:textFill>
            <w14:solidFill>
              <w14:schemeClr w14:val="tx1"/>
            </w14:solidFill>
          </w14:textFill>
        </w:rPr>
        <w:t>号：</w:t>
      </w:r>
      <w:r>
        <w:rPr>
          <w:rFonts w:ascii="宋体" w:hAnsi="宋体"/>
          <w:bCs/>
          <w:color w:val="000000" w:themeColor="text1"/>
          <w:u w:val="single"/>
          <w14:textFill>
            <w14:solidFill>
              <w14:schemeClr w14:val="tx1"/>
            </w14:solidFill>
          </w14:textFill>
        </w:rPr>
        <w:t xml:space="preserve">                     </w:t>
      </w:r>
      <w:r>
        <w:rPr>
          <w:rFonts w:ascii="宋体" w:hAnsi="宋体"/>
          <w:color w:val="000000" w:themeColor="text1"/>
          <w14:textFill>
            <w14:solidFill>
              <w14:schemeClr w14:val="tx1"/>
            </w14:solidFill>
          </w14:textFill>
        </w:rPr>
        <w:t xml:space="preserve">                </w:t>
      </w:r>
      <w:r>
        <w:rPr>
          <w:rFonts w:hint="eastAsia" w:ascii="宋体" w:hAnsi="宋体"/>
          <w:color w:val="000000" w:themeColor="text1"/>
          <w14:textFill>
            <w14:solidFill>
              <w14:schemeClr w14:val="tx1"/>
            </w14:solidFill>
          </w14:textFill>
        </w:rPr>
        <w:t>账</w:t>
      </w:r>
      <w:r>
        <w:rPr>
          <w:rFonts w:ascii="宋体" w:hAnsi="宋体"/>
          <w:color w:val="000000" w:themeColor="text1"/>
          <w14:textFill>
            <w14:solidFill>
              <w14:schemeClr w14:val="tx1"/>
            </w14:solidFill>
          </w14:textFill>
        </w:rPr>
        <w:t xml:space="preserve">  </w:t>
      </w:r>
      <w:r>
        <w:rPr>
          <w:rFonts w:hint="eastAsia" w:ascii="宋体" w:hAnsi="宋体"/>
          <w:color w:val="000000" w:themeColor="text1"/>
          <w14:textFill>
            <w14:solidFill>
              <w14:schemeClr w14:val="tx1"/>
            </w14:solidFill>
          </w14:textFill>
        </w:rPr>
        <w:t>号：</w:t>
      </w:r>
      <w:r>
        <w:rPr>
          <w:rFonts w:ascii="宋体" w:hAnsi="宋体"/>
          <w:bCs/>
          <w:color w:val="000000" w:themeColor="text1"/>
          <w:u w:val="single"/>
          <w14:textFill>
            <w14:solidFill>
              <w14:schemeClr w14:val="tx1"/>
            </w14:solidFill>
          </w14:textFill>
        </w:rPr>
        <w:t xml:space="preserve">                 </w:t>
      </w:r>
      <w:r>
        <w:rPr>
          <w:rFonts w:ascii="宋体" w:hAnsi="宋体"/>
          <w:bCs/>
          <w:color w:val="000000" w:themeColor="text1"/>
          <w:sz w:val="28"/>
          <w:u w:val="single"/>
          <w14:textFill>
            <w14:solidFill>
              <w14:schemeClr w14:val="tx1"/>
            </w14:solidFill>
          </w14:textFill>
        </w:rPr>
        <w:t xml:space="preserve">   </w:t>
      </w:r>
    </w:p>
    <w:p w14:paraId="309CBC00">
      <w:pPr>
        <w:spacing w:line="372" w:lineRule="auto"/>
        <w:jc w:val="center"/>
        <w:rPr>
          <w:rFonts w:ascii="宋体" w:hAnsi="宋体"/>
          <w:b/>
          <w:bCs/>
          <w:color w:val="000000" w:themeColor="text1"/>
          <w:sz w:val="28"/>
          <w14:textFill>
            <w14:solidFill>
              <w14:schemeClr w14:val="tx1"/>
            </w14:solidFill>
          </w14:textFill>
        </w:rPr>
      </w:pPr>
    </w:p>
    <w:p w14:paraId="544C8FF1">
      <w:pPr>
        <w:rPr>
          <w:rFonts w:hint="eastAsia" w:ascii="Calibri" w:hAnsi="Calibri"/>
          <w:color w:val="000000" w:themeColor="text1"/>
          <w:sz w:val="24"/>
          <w14:textFill>
            <w14:solidFill>
              <w14:schemeClr w14:val="tx1"/>
            </w14:solidFill>
          </w14:textFill>
        </w:rPr>
      </w:pPr>
    </w:p>
    <w:p w14:paraId="58A2058B">
      <w:pPr>
        <w:rPr>
          <w:rFonts w:hint="eastAsia" w:ascii="Calibri" w:hAnsi="Calibri"/>
          <w:color w:val="000000" w:themeColor="text1"/>
          <w:sz w:val="24"/>
          <w14:textFill>
            <w14:solidFill>
              <w14:schemeClr w14:val="tx1"/>
            </w14:solidFill>
          </w14:textFill>
        </w:rPr>
      </w:pPr>
    </w:p>
    <w:p w14:paraId="5A8DBD16">
      <w:pPr>
        <w:rPr>
          <w:rFonts w:ascii="Calibri" w:hAnsi="Calibri"/>
          <w:color w:val="000000" w:themeColor="text1"/>
          <w:sz w:val="24"/>
          <w14:textFill>
            <w14:solidFill>
              <w14:schemeClr w14:val="tx1"/>
            </w14:solidFill>
          </w14:textFill>
        </w:rPr>
      </w:pPr>
    </w:p>
    <w:p w14:paraId="44EB39D9">
      <w:pPr>
        <w:rPr>
          <w:rFonts w:ascii="Calibri" w:hAnsi="Calibri"/>
          <w:color w:val="000000" w:themeColor="text1"/>
          <w:sz w:val="24"/>
          <w14:textFill>
            <w14:solidFill>
              <w14:schemeClr w14:val="tx1"/>
            </w14:solidFill>
          </w14:textFill>
        </w:rPr>
      </w:pPr>
    </w:p>
    <w:p w14:paraId="5540BB29">
      <w:pPr>
        <w:rPr>
          <w:rFonts w:ascii="Calibri" w:hAnsi="Calibri"/>
          <w:color w:val="000000" w:themeColor="text1"/>
          <w:sz w:val="24"/>
          <w14:textFill>
            <w14:solidFill>
              <w14:schemeClr w14:val="tx1"/>
            </w14:solidFill>
          </w14:textFill>
        </w:rPr>
      </w:pPr>
    </w:p>
    <w:p w14:paraId="1D9D13A0">
      <w:pPr>
        <w:jc w:val="center"/>
        <w:rPr>
          <w:rStyle w:val="101"/>
          <w:rFonts w:hint="eastAsia" w:ascii="宋体"/>
          <w:color w:val="000000" w:themeColor="text1"/>
          <w:sz w:val="28"/>
          <w:szCs w:val="28"/>
          <w14:textFill>
            <w14:solidFill>
              <w14:schemeClr w14:val="tx1"/>
            </w14:solidFill>
          </w14:textFill>
        </w:rPr>
      </w:pPr>
      <w:bookmarkStart w:id="349" w:name="_Toc25149"/>
      <w:bookmarkStart w:id="350" w:name="_Toc173253166"/>
      <w:bookmarkStart w:id="351" w:name="_Toc351203494"/>
      <w:bookmarkStart w:id="352" w:name="_Toc520505668"/>
      <w:bookmarkStart w:id="353" w:name="_Toc406522041"/>
    </w:p>
    <w:p w14:paraId="4F4C13AE">
      <w:pPr>
        <w:jc w:val="center"/>
        <w:rPr>
          <w:rFonts w:ascii="宋体" w:hAnsi="宋体"/>
          <w:b/>
          <w:bCs/>
          <w:color w:val="000000" w:themeColor="text1"/>
          <w:sz w:val="28"/>
          <w:szCs w:val="28"/>
          <w14:textFill>
            <w14:solidFill>
              <w14:schemeClr w14:val="tx1"/>
            </w14:solidFill>
          </w14:textFill>
        </w:rPr>
      </w:pPr>
      <w:r>
        <w:rPr>
          <w:rStyle w:val="101"/>
          <w:rFonts w:hint="eastAsia" w:ascii="宋体"/>
          <w:b/>
          <w:bCs/>
          <w:color w:val="000000" w:themeColor="text1"/>
          <w:sz w:val="28"/>
          <w:szCs w:val="28"/>
          <w14:textFill>
            <w14:solidFill>
              <w14:schemeClr w14:val="tx1"/>
            </w14:solidFill>
          </w14:textFill>
        </w:rPr>
        <w:t>第二部分</w:t>
      </w:r>
      <w:r>
        <w:rPr>
          <w:rStyle w:val="101"/>
          <w:rFonts w:ascii="宋体"/>
          <w:b/>
          <w:bCs/>
          <w:color w:val="000000" w:themeColor="text1"/>
          <w:sz w:val="28"/>
          <w:szCs w:val="28"/>
          <w14:textFill>
            <w14:solidFill>
              <w14:schemeClr w14:val="tx1"/>
            </w14:solidFill>
          </w14:textFill>
        </w:rPr>
        <w:t xml:space="preserve"> </w:t>
      </w:r>
      <w:r>
        <w:rPr>
          <w:rStyle w:val="101"/>
          <w:rFonts w:hint="eastAsia" w:ascii="宋体"/>
          <w:b/>
          <w:bCs/>
          <w:color w:val="000000" w:themeColor="text1"/>
          <w:sz w:val="28"/>
          <w:szCs w:val="28"/>
          <w14:textFill>
            <w14:solidFill>
              <w14:schemeClr w14:val="tx1"/>
            </w14:solidFill>
          </w14:textFill>
        </w:rPr>
        <w:t>通用合同条款</w:t>
      </w:r>
      <w:bookmarkEnd w:id="349"/>
      <w:bookmarkEnd w:id="350"/>
      <w:bookmarkEnd w:id="351"/>
      <w:bookmarkEnd w:id="352"/>
      <w:bookmarkEnd w:id="353"/>
      <w:bookmarkStart w:id="354" w:name="_Toc337558727"/>
    </w:p>
    <w:p w14:paraId="2BFB5455">
      <w:pPr>
        <w:keepNext/>
        <w:keepLines/>
        <w:spacing w:line="420" w:lineRule="exact"/>
        <w:outlineLvl w:val="0"/>
        <w:rPr>
          <w:rFonts w:hint="eastAsia" w:ascii="宋体" w:hAnsi="宋体"/>
          <w:b/>
          <w:bCs/>
          <w:color w:val="000000" w:themeColor="text1"/>
          <w:kern w:val="44"/>
          <w14:textFill>
            <w14:solidFill>
              <w14:schemeClr w14:val="tx1"/>
            </w14:solidFill>
          </w14:textFill>
        </w:rPr>
      </w:pPr>
      <w:bookmarkStart w:id="355" w:name="_Toc406522042"/>
      <w:bookmarkStart w:id="356" w:name="_Toc520505669"/>
      <w:bookmarkStart w:id="357" w:name="_Toc351203495"/>
    </w:p>
    <w:p w14:paraId="4538FEE3">
      <w:pPr>
        <w:keepNext/>
        <w:keepLines/>
        <w:spacing w:line="420" w:lineRule="exact"/>
        <w:jc w:val="center"/>
        <w:outlineLvl w:val="0"/>
        <w:rPr>
          <w:rFonts w:hint="eastAsia" w:ascii="宋体" w:hAnsi="宋体"/>
          <w:b/>
          <w:bCs/>
          <w:color w:val="000000" w:themeColor="text1"/>
          <w:kern w:val="44"/>
          <w:sz w:val="24"/>
          <w14:textFill>
            <w14:solidFill>
              <w14:schemeClr w14:val="tx1"/>
            </w14:solidFill>
          </w14:textFill>
        </w:rPr>
      </w:pPr>
      <w:bookmarkStart w:id="358" w:name="_Toc173253167"/>
      <w:bookmarkStart w:id="359" w:name="_Toc13892"/>
      <w:r>
        <w:rPr>
          <w:rFonts w:hint="eastAsia" w:ascii="宋体" w:hAnsi="宋体"/>
          <w:color w:val="000000" w:themeColor="text1"/>
          <w:kern w:val="44"/>
          <w:sz w:val="24"/>
          <w14:textFill>
            <w14:solidFill>
              <w14:schemeClr w14:val="tx1"/>
            </w14:solidFill>
          </w14:textFill>
        </w:rPr>
        <w:t>采用《建设工程施工合同（示范文本）》（GF—2017—0201）</w:t>
      </w:r>
      <w:bookmarkEnd w:id="358"/>
      <w:bookmarkEnd w:id="359"/>
    </w:p>
    <w:bookmarkEnd w:id="354"/>
    <w:bookmarkEnd w:id="355"/>
    <w:bookmarkEnd w:id="356"/>
    <w:bookmarkEnd w:id="357"/>
    <w:p w14:paraId="0B527747">
      <w:pPr>
        <w:spacing w:line="360" w:lineRule="exact"/>
        <w:rPr>
          <w:rFonts w:ascii="宋体" w:hAnsi="宋体"/>
          <w:color w:val="000000" w:themeColor="text1"/>
          <w:sz w:val="24"/>
          <w14:textFill>
            <w14:solidFill>
              <w14:schemeClr w14:val="tx1"/>
            </w14:solidFill>
          </w14:textFill>
        </w:rPr>
      </w:pPr>
    </w:p>
    <w:p w14:paraId="7C46509C">
      <w:pPr>
        <w:spacing w:line="360" w:lineRule="exact"/>
        <w:rPr>
          <w:rFonts w:ascii="宋体" w:hAnsi="宋体"/>
          <w:color w:val="000000" w:themeColor="text1"/>
          <w:sz w:val="28"/>
          <w:szCs w:val="20"/>
          <w14:textFill>
            <w14:solidFill>
              <w14:schemeClr w14:val="tx1"/>
            </w14:solidFill>
          </w14:textFill>
        </w:rPr>
      </w:pPr>
    </w:p>
    <w:p w14:paraId="452F433C">
      <w:pPr>
        <w:rPr>
          <w:rFonts w:hint="eastAsia" w:ascii="宋体" w:hAnsi="宋体"/>
          <w:b/>
          <w:bCs/>
          <w:color w:val="000000" w:themeColor="text1"/>
          <w:kern w:val="44"/>
          <w:sz w:val="28"/>
          <w:szCs w:val="28"/>
          <w14:textFill>
            <w14:solidFill>
              <w14:schemeClr w14:val="tx1"/>
            </w14:solidFill>
          </w14:textFill>
        </w:rPr>
      </w:pPr>
      <w:bookmarkStart w:id="360" w:name="_Toc173253168"/>
      <w:bookmarkStart w:id="361" w:name="_Toc406522212"/>
      <w:bookmarkStart w:id="362" w:name="_Toc520505838"/>
      <w:bookmarkStart w:id="363" w:name="_Toc30410"/>
      <w:r>
        <w:rPr>
          <w:rFonts w:hint="eastAsia" w:ascii="宋体" w:hAnsi="宋体"/>
          <w:b/>
          <w:bCs/>
          <w:color w:val="000000" w:themeColor="text1"/>
          <w:kern w:val="44"/>
          <w:sz w:val="28"/>
          <w:szCs w:val="28"/>
          <w14:textFill>
            <w14:solidFill>
              <w14:schemeClr w14:val="tx1"/>
            </w14:solidFill>
          </w14:textFill>
        </w:rPr>
        <w:br w:type="page"/>
      </w:r>
    </w:p>
    <w:p w14:paraId="1FEBBAF1">
      <w:pPr>
        <w:keepNext/>
        <w:keepLines/>
        <w:spacing w:line="420" w:lineRule="exact"/>
        <w:jc w:val="center"/>
        <w:outlineLvl w:val="0"/>
        <w:rPr>
          <w:rFonts w:hint="eastAsia" w:ascii="宋体" w:hAnsi="宋体"/>
          <w:b/>
          <w:bCs/>
          <w:color w:val="000000" w:themeColor="text1"/>
          <w:kern w:val="44"/>
          <w:sz w:val="28"/>
          <w:szCs w:val="28"/>
          <w14:textFill>
            <w14:solidFill>
              <w14:schemeClr w14:val="tx1"/>
            </w14:solidFill>
          </w14:textFill>
        </w:rPr>
      </w:pPr>
      <w:r>
        <w:rPr>
          <w:rFonts w:hint="eastAsia" w:ascii="宋体" w:hAnsi="宋体"/>
          <w:b/>
          <w:bCs/>
          <w:color w:val="000000" w:themeColor="text1"/>
          <w:kern w:val="44"/>
          <w:sz w:val="28"/>
          <w:szCs w:val="28"/>
          <w14:textFill>
            <w14:solidFill>
              <w14:schemeClr w14:val="tx1"/>
            </w14:solidFill>
          </w14:textFill>
        </w:rPr>
        <w:t>第三部分</w:t>
      </w:r>
      <w:r>
        <w:rPr>
          <w:rFonts w:ascii="宋体" w:hAnsi="宋体"/>
          <w:b/>
          <w:bCs/>
          <w:color w:val="000000" w:themeColor="text1"/>
          <w:kern w:val="44"/>
          <w:sz w:val="28"/>
          <w:szCs w:val="28"/>
          <w14:textFill>
            <w14:solidFill>
              <w14:schemeClr w14:val="tx1"/>
            </w14:solidFill>
          </w14:textFill>
        </w:rPr>
        <w:t xml:space="preserve"> </w:t>
      </w:r>
      <w:r>
        <w:rPr>
          <w:rFonts w:hint="eastAsia" w:ascii="宋体" w:hAnsi="宋体"/>
          <w:b/>
          <w:bCs/>
          <w:color w:val="000000" w:themeColor="text1"/>
          <w:kern w:val="44"/>
          <w:sz w:val="28"/>
          <w:szCs w:val="28"/>
          <w14:textFill>
            <w14:solidFill>
              <w14:schemeClr w14:val="tx1"/>
            </w14:solidFill>
          </w14:textFill>
        </w:rPr>
        <w:t>专用合同条款</w:t>
      </w:r>
      <w:bookmarkEnd w:id="360"/>
      <w:bookmarkEnd w:id="361"/>
      <w:bookmarkEnd w:id="362"/>
      <w:bookmarkEnd w:id="363"/>
    </w:p>
    <w:p w14:paraId="41237E99">
      <w:pPr>
        <w:keepNext/>
        <w:keepLines/>
        <w:spacing w:line="420" w:lineRule="exact"/>
        <w:jc w:val="center"/>
        <w:outlineLvl w:val="0"/>
        <w:rPr>
          <w:rFonts w:hint="eastAsia" w:ascii="宋体" w:hAnsi="宋体"/>
          <w:b/>
          <w:bCs/>
          <w:color w:val="000000" w:themeColor="text1"/>
          <w:kern w:val="44"/>
          <w:sz w:val="28"/>
          <w:szCs w:val="28"/>
          <w14:textFill>
            <w14:solidFill>
              <w14:schemeClr w14:val="tx1"/>
            </w14:solidFill>
          </w14:textFill>
        </w:rPr>
      </w:pPr>
    </w:p>
    <w:bookmarkEnd w:id="270"/>
    <w:p w14:paraId="379FD086">
      <w:pPr>
        <w:pStyle w:val="96"/>
        <w:spacing w:before="0" w:after="200" w:line="400" w:lineRule="exact"/>
        <w:rPr>
          <w:rFonts w:hint="eastAsia" w:ascii="宋体" w:cs="宋体"/>
          <w:bCs w:val="0"/>
          <w:color w:val="000000" w:themeColor="text1"/>
          <w14:textFill>
            <w14:solidFill>
              <w14:schemeClr w14:val="tx1"/>
            </w14:solidFill>
          </w14:textFill>
        </w:rPr>
      </w:pPr>
      <w:bookmarkStart w:id="364" w:name="_Toc185770421"/>
      <w:bookmarkStart w:id="365" w:name="_Toc173253169"/>
      <w:bookmarkStart w:id="366" w:name="_Toc9109"/>
      <w:bookmarkStart w:id="367" w:name="_Toc520505839"/>
      <w:bookmarkStart w:id="368" w:name="_Toc406522213"/>
      <w:bookmarkStart w:id="369" w:name="_Toc351203633"/>
      <w:r>
        <w:rPr>
          <w:rFonts w:hint="eastAsia" w:ascii="宋体" w:cs="宋体"/>
          <w:bCs w:val="0"/>
          <w:color w:val="000000" w:themeColor="text1"/>
          <w14:textFill>
            <w14:solidFill>
              <w14:schemeClr w14:val="tx1"/>
            </w14:solidFill>
          </w14:textFill>
        </w:rPr>
        <w:t>1</w:t>
      </w:r>
      <w:bookmarkStart w:id="370" w:name="_Toc296944495"/>
      <w:bookmarkStart w:id="371" w:name="_Toc296891196"/>
      <w:bookmarkStart w:id="372" w:name="_Toc296503156"/>
      <w:bookmarkStart w:id="373" w:name="_Toc296890984"/>
      <w:bookmarkStart w:id="374" w:name="_Toc297120456"/>
      <w:bookmarkStart w:id="375" w:name="_Toc292559361"/>
      <w:bookmarkStart w:id="376" w:name="_Toc296347155"/>
      <w:bookmarkStart w:id="377" w:name="_Toc292559866"/>
      <w:bookmarkStart w:id="378" w:name="_Toc296346657"/>
      <w:bookmarkStart w:id="379" w:name="_Toc297048342"/>
      <w:r>
        <w:rPr>
          <w:rFonts w:hint="eastAsia" w:ascii="宋体" w:cs="宋体"/>
          <w:bCs w:val="0"/>
          <w:color w:val="000000" w:themeColor="text1"/>
          <w14:textFill>
            <w14:solidFill>
              <w14:schemeClr w14:val="tx1"/>
            </w14:solidFill>
          </w14:textFill>
        </w:rPr>
        <w:t>. 一般约定</w:t>
      </w:r>
      <w:bookmarkEnd w:id="364"/>
      <w:bookmarkEnd w:id="365"/>
      <w:bookmarkEnd w:id="366"/>
      <w:bookmarkEnd w:id="367"/>
      <w:bookmarkEnd w:id="368"/>
      <w:bookmarkEnd w:id="369"/>
    </w:p>
    <w:bookmarkEnd w:id="370"/>
    <w:bookmarkEnd w:id="371"/>
    <w:bookmarkEnd w:id="372"/>
    <w:bookmarkEnd w:id="373"/>
    <w:bookmarkEnd w:id="374"/>
    <w:bookmarkEnd w:id="375"/>
    <w:bookmarkEnd w:id="376"/>
    <w:bookmarkEnd w:id="377"/>
    <w:bookmarkEnd w:id="378"/>
    <w:bookmarkEnd w:id="379"/>
    <w:p w14:paraId="0764BF0A">
      <w:pPr>
        <w:pStyle w:val="96"/>
        <w:spacing w:before="0" w:after="200" w:line="400" w:lineRule="exact"/>
        <w:rPr>
          <w:rFonts w:hint="eastAsia" w:ascii="宋体" w:cs="宋体"/>
          <w:bCs w:val="0"/>
          <w:color w:val="000000" w:themeColor="text1"/>
          <w14:textFill>
            <w14:solidFill>
              <w14:schemeClr w14:val="tx1"/>
            </w14:solidFill>
          </w14:textFill>
        </w:rPr>
      </w:pPr>
      <w:bookmarkStart w:id="380" w:name="_Toc520505840"/>
      <w:bookmarkStart w:id="381" w:name="_Toc173253170"/>
      <w:bookmarkStart w:id="382" w:name="_Toc185770422"/>
      <w:bookmarkStart w:id="383" w:name="_Toc406522214"/>
      <w:bookmarkStart w:id="384" w:name="_Toc9610"/>
      <w:r>
        <w:rPr>
          <w:rFonts w:hint="eastAsia" w:ascii="宋体" w:cs="宋体"/>
          <w:bCs w:val="0"/>
          <w:color w:val="000000" w:themeColor="text1"/>
          <w14:textFill>
            <w14:solidFill>
              <w14:schemeClr w14:val="tx1"/>
            </w14:solidFill>
          </w14:textFill>
        </w:rPr>
        <w:t>1.1 词语定义</w:t>
      </w:r>
      <w:bookmarkEnd w:id="380"/>
      <w:bookmarkEnd w:id="381"/>
      <w:bookmarkEnd w:id="382"/>
      <w:bookmarkEnd w:id="383"/>
      <w:bookmarkEnd w:id="384"/>
    </w:p>
    <w:p w14:paraId="1B4C31F8">
      <w:pPr>
        <w:pStyle w:val="102"/>
        <w:spacing w:line="400" w:lineRule="exact"/>
        <w:rPr>
          <w:rFonts w:hint="eastAsia"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1.1.1合同</w:t>
      </w:r>
    </w:p>
    <w:p w14:paraId="3E500D3F">
      <w:pPr>
        <w:pStyle w:val="102"/>
        <w:spacing w:line="400" w:lineRule="exact"/>
        <w:rPr>
          <w:rFonts w:hint="eastAsia"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1.1.1.10其他合同文件包括：</w:t>
      </w:r>
      <w:r>
        <w:rPr>
          <w:rFonts w:hint="eastAsia" w:ascii="宋体" w:hAnsi="宋体" w:cs="宋体"/>
          <w:color w:val="000000" w:themeColor="text1"/>
          <w:u w:val="single"/>
          <w14:textFill>
            <w14:solidFill>
              <w14:schemeClr w14:val="tx1"/>
            </w14:solidFill>
          </w14:textFill>
        </w:rPr>
        <w:t>（1）</w:t>
      </w:r>
      <w:r>
        <w:rPr>
          <w:rFonts w:hint="eastAsia" w:ascii="宋体" w:hAnsi="宋体" w:cs="宋体"/>
          <w:color w:val="000000" w:themeColor="text1"/>
          <w:u w:val="single"/>
          <w:lang w:val="en-US" w:eastAsia="zh-CN"/>
          <w14:textFill>
            <w14:solidFill>
              <w14:schemeClr w14:val="tx1"/>
            </w14:solidFill>
          </w14:textFill>
        </w:rPr>
        <w:t>成交</w:t>
      </w:r>
      <w:r>
        <w:rPr>
          <w:rFonts w:hint="eastAsia" w:ascii="宋体" w:hAnsi="宋体" w:cs="宋体"/>
          <w:color w:val="000000" w:themeColor="text1"/>
          <w:u w:val="single"/>
          <w14:textFill>
            <w14:solidFill>
              <w14:schemeClr w14:val="tx1"/>
            </w14:solidFill>
          </w14:textFill>
        </w:rPr>
        <w:t>通知书；（2）</w:t>
      </w:r>
      <w:r>
        <w:rPr>
          <w:rFonts w:hint="eastAsia" w:ascii="宋体" w:hAnsi="宋体" w:cs="宋体"/>
          <w:color w:val="000000" w:themeColor="text1"/>
          <w:u w:val="single"/>
          <w:lang w:eastAsia="zh-CN"/>
          <w14:textFill>
            <w14:solidFill>
              <w14:schemeClr w14:val="tx1"/>
            </w14:solidFill>
          </w14:textFill>
        </w:rPr>
        <w:t>响应函</w:t>
      </w:r>
      <w:r>
        <w:rPr>
          <w:rFonts w:hint="eastAsia" w:ascii="宋体" w:hAnsi="宋体" w:cs="宋体"/>
          <w:color w:val="000000" w:themeColor="text1"/>
          <w:u w:val="single"/>
          <w14:textFill>
            <w14:solidFill>
              <w14:schemeClr w14:val="tx1"/>
            </w14:solidFill>
          </w14:textFill>
        </w:rPr>
        <w:t>及其附录；（3）专用合同条款及其附件；（4）通用合同条款；（5）标准、规范及有关技术文件；（6）图纸；（7）已标价工程量清单或预算书；（8）</w:t>
      </w:r>
      <w:r>
        <w:rPr>
          <w:rFonts w:hint="eastAsia" w:ascii="宋体" w:hAnsi="宋体" w:cs="宋体"/>
          <w:color w:val="000000" w:themeColor="text1"/>
          <w:u w:val="single"/>
          <w:lang w:val="en-US" w:eastAsia="zh-CN"/>
          <w14:textFill>
            <w14:solidFill>
              <w14:schemeClr w14:val="tx1"/>
            </w14:solidFill>
          </w14:textFill>
        </w:rPr>
        <w:t>响应</w:t>
      </w:r>
      <w:r>
        <w:rPr>
          <w:rFonts w:hint="eastAsia" w:ascii="宋体" w:hAnsi="宋体" w:cs="宋体"/>
          <w:color w:val="000000" w:themeColor="text1"/>
          <w:u w:val="single"/>
          <w14:textFill>
            <w14:solidFill>
              <w14:schemeClr w14:val="tx1"/>
            </w14:solidFill>
          </w14:textFill>
        </w:rPr>
        <w:t>文件及竞争性磋商文件。</w:t>
      </w:r>
    </w:p>
    <w:p w14:paraId="54F76881">
      <w:pPr>
        <w:pStyle w:val="102"/>
        <w:spacing w:line="400" w:lineRule="exact"/>
        <w:rPr>
          <w:rFonts w:hint="eastAsia"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1.1.2 合同当事人及其他相关方</w:t>
      </w:r>
    </w:p>
    <w:p w14:paraId="79BC34D3">
      <w:pPr>
        <w:pStyle w:val="102"/>
        <w:spacing w:line="400" w:lineRule="exact"/>
        <w:rPr>
          <w:rFonts w:hint="eastAsia"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1.1.2.4监理人：</w:t>
      </w:r>
    </w:p>
    <w:p w14:paraId="7A9CBD60">
      <w:pPr>
        <w:pStyle w:val="102"/>
        <w:spacing w:line="400" w:lineRule="exact"/>
        <w:rPr>
          <w:rFonts w:hint="eastAsia"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名    称：</w:t>
      </w:r>
      <w:r>
        <w:rPr>
          <w:rFonts w:hint="eastAsia" w:ascii="宋体" w:hAnsi="宋体" w:cs="宋体"/>
          <w:color w:val="000000" w:themeColor="text1"/>
          <w:u w:val="single"/>
          <w14:textFill>
            <w14:solidFill>
              <w14:schemeClr w14:val="tx1"/>
            </w14:solidFill>
          </w14:textFill>
        </w:rPr>
        <w:t>（</w:t>
      </w:r>
      <w:r>
        <w:rPr>
          <w:rFonts w:hint="eastAsia" w:ascii="宋体" w:hAnsi="宋体" w:cs="宋体"/>
          <w:color w:val="000000" w:themeColor="text1"/>
          <w:u w:val="single"/>
          <w:lang w:eastAsia="zh-CN"/>
          <w14:textFill>
            <w14:solidFill>
              <w14:schemeClr w14:val="tx1"/>
            </w14:solidFill>
          </w14:textFill>
        </w:rPr>
        <w:t>成交后</w:t>
      </w:r>
      <w:r>
        <w:rPr>
          <w:rFonts w:hint="eastAsia" w:ascii="宋体" w:hAnsi="宋体" w:cs="宋体"/>
          <w:color w:val="000000" w:themeColor="text1"/>
          <w:u w:val="single"/>
          <w14:textFill>
            <w14:solidFill>
              <w14:schemeClr w14:val="tx1"/>
            </w14:solidFill>
          </w14:textFill>
        </w:rPr>
        <w:t>填写）</w:t>
      </w:r>
      <w:r>
        <w:rPr>
          <w:rFonts w:hint="eastAsia" w:ascii="宋体" w:hAnsi="宋体" w:cs="宋体"/>
          <w:color w:val="000000" w:themeColor="text1"/>
          <w14:textFill>
            <w14:solidFill>
              <w14:schemeClr w14:val="tx1"/>
            </w14:solidFill>
          </w14:textFill>
        </w:rPr>
        <w:t>；</w:t>
      </w:r>
    </w:p>
    <w:p w14:paraId="35B47E1A">
      <w:pPr>
        <w:pStyle w:val="102"/>
        <w:spacing w:line="400" w:lineRule="exact"/>
        <w:rPr>
          <w:rFonts w:hint="eastAsia"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资质类别和等级：</w:t>
      </w:r>
      <w:r>
        <w:rPr>
          <w:rFonts w:hint="eastAsia" w:ascii="宋体" w:hAnsi="宋体" w:cs="宋体"/>
          <w:color w:val="000000" w:themeColor="text1"/>
          <w:u w:val="single"/>
          <w14:textFill>
            <w14:solidFill>
              <w14:schemeClr w14:val="tx1"/>
            </w14:solidFill>
          </w14:textFill>
        </w:rPr>
        <w:t>（</w:t>
      </w:r>
      <w:r>
        <w:rPr>
          <w:rFonts w:hint="eastAsia" w:ascii="宋体" w:hAnsi="宋体" w:cs="宋体"/>
          <w:color w:val="000000" w:themeColor="text1"/>
          <w:u w:val="single"/>
          <w:lang w:eastAsia="zh-CN"/>
          <w14:textFill>
            <w14:solidFill>
              <w14:schemeClr w14:val="tx1"/>
            </w14:solidFill>
          </w14:textFill>
        </w:rPr>
        <w:t>成交后</w:t>
      </w:r>
      <w:r>
        <w:rPr>
          <w:rFonts w:hint="eastAsia" w:ascii="宋体" w:hAnsi="宋体" w:cs="宋体"/>
          <w:color w:val="000000" w:themeColor="text1"/>
          <w:u w:val="single"/>
          <w14:textFill>
            <w14:solidFill>
              <w14:schemeClr w14:val="tx1"/>
            </w14:solidFill>
          </w14:textFill>
        </w:rPr>
        <w:t>填写）</w:t>
      </w:r>
      <w:r>
        <w:rPr>
          <w:rFonts w:hint="eastAsia" w:ascii="宋体" w:hAnsi="宋体" w:cs="宋体"/>
          <w:color w:val="000000" w:themeColor="text1"/>
          <w14:textFill>
            <w14:solidFill>
              <w14:schemeClr w14:val="tx1"/>
            </w14:solidFill>
          </w14:textFill>
        </w:rPr>
        <w:t>；</w:t>
      </w:r>
    </w:p>
    <w:p w14:paraId="0EE04AA0">
      <w:pPr>
        <w:pStyle w:val="102"/>
        <w:spacing w:line="400" w:lineRule="exact"/>
        <w:rPr>
          <w:rFonts w:hint="eastAsia"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联系电话：</w:t>
      </w:r>
      <w:r>
        <w:rPr>
          <w:rFonts w:hint="eastAsia" w:ascii="宋体" w:hAnsi="宋体" w:cs="宋体"/>
          <w:color w:val="000000" w:themeColor="text1"/>
          <w:u w:val="single"/>
          <w14:textFill>
            <w14:solidFill>
              <w14:schemeClr w14:val="tx1"/>
            </w14:solidFill>
          </w14:textFill>
        </w:rPr>
        <w:t>（</w:t>
      </w:r>
      <w:r>
        <w:rPr>
          <w:rFonts w:hint="eastAsia" w:ascii="宋体" w:hAnsi="宋体" w:cs="宋体"/>
          <w:color w:val="000000" w:themeColor="text1"/>
          <w:u w:val="single"/>
          <w:lang w:eastAsia="zh-CN"/>
          <w14:textFill>
            <w14:solidFill>
              <w14:schemeClr w14:val="tx1"/>
            </w14:solidFill>
          </w14:textFill>
        </w:rPr>
        <w:t>成交后</w:t>
      </w:r>
      <w:r>
        <w:rPr>
          <w:rFonts w:hint="eastAsia" w:ascii="宋体" w:hAnsi="宋体" w:cs="宋体"/>
          <w:color w:val="000000" w:themeColor="text1"/>
          <w:u w:val="single"/>
          <w14:textFill>
            <w14:solidFill>
              <w14:schemeClr w14:val="tx1"/>
            </w14:solidFill>
          </w14:textFill>
        </w:rPr>
        <w:t>填写）</w:t>
      </w:r>
      <w:r>
        <w:rPr>
          <w:rFonts w:hint="eastAsia" w:ascii="宋体" w:hAnsi="宋体" w:cs="宋体"/>
          <w:color w:val="000000" w:themeColor="text1"/>
          <w14:textFill>
            <w14:solidFill>
              <w14:schemeClr w14:val="tx1"/>
            </w14:solidFill>
          </w14:textFill>
        </w:rPr>
        <w:t>；</w:t>
      </w:r>
    </w:p>
    <w:p w14:paraId="341AC87D">
      <w:pPr>
        <w:pStyle w:val="102"/>
        <w:spacing w:line="400" w:lineRule="exact"/>
        <w:rPr>
          <w:rFonts w:hint="eastAsia"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电子信箱：</w:t>
      </w:r>
      <w:r>
        <w:rPr>
          <w:rFonts w:hint="eastAsia" w:ascii="宋体" w:hAnsi="宋体" w:cs="宋体"/>
          <w:color w:val="000000" w:themeColor="text1"/>
          <w:u w:val="single"/>
          <w14:textFill>
            <w14:solidFill>
              <w14:schemeClr w14:val="tx1"/>
            </w14:solidFill>
          </w14:textFill>
        </w:rPr>
        <w:t>（</w:t>
      </w:r>
      <w:r>
        <w:rPr>
          <w:rFonts w:hint="eastAsia" w:ascii="宋体" w:hAnsi="宋体" w:cs="宋体"/>
          <w:color w:val="000000" w:themeColor="text1"/>
          <w:u w:val="single"/>
          <w:lang w:eastAsia="zh-CN"/>
          <w14:textFill>
            <w14:solidFill>
              <w14:schemeClr w14:val="tx1"/>
            </w14:solidFill>
          </w14:textFill>
        </w:rPr>
        <w:t>成交后</w:t>
      </w:r>
      <w:r>
        <w:rPr>
          <w:rFonts w:hint="eastAsia" w:ascii="宋体" w:hAnsi="宋体" w:cs="宋体"/>
          <w:color w:val="000000" w:themeColor="text1"/>
          <w:u w:val="single"/>
          <w14:textFill>
            <w14:solidFill>
              <w14:schemeClr w14:val="tx1"/>
            </w14:solidFill>
          </w14:textFill>
        </w:rPr>
        <w:t>填写）</w:t>
      </w:r>
      <w:r>
        <w:rPr>
          <w:rFonts w:hint="eastAsia" w:ascii="宋体" w:hAnsi="宋体" w:cs="宋体"/>
          <w:color w:val="000000" w:themeColor="text1"/>
          <w14:textFill>
            <w14:solidFill>
              <w14:schemeClr w14:val="tx1"/>
            </w14:solidFill>
          </w14:textFill>
        </w:rPr>
        <w:t>；</w:t>
      </w:r>
    </w:p>
    <w:p w14:paraId="6C69ED38">
      <w:pPr>
        <w:pStyle w:val="102"/>
        <w:spacing w:line="400" w:lineRule="exact"/>
        <w:rPr>
          <w:rFonts w:hint="eastAsia"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通信地址：</w:t>
      </w:r>
      <w:r>
        <w:rPr>
          <w:rFonts w:hint="eastAsia" w:ascii="宋体" w:hAnsi="宋体" w:cs="宋体"/>
          <w:color w:val="000000" w:themeColor="text1"/>
          <w:u w:val="single"/>
          <w14:textFill>
            <w14:solidFill>
              <w14:schemeClr w14:val="tx1"/>
            </w14:solidFill>
          </w14:textFill>
        </w:rPr>
        <w:t>（</w:t>
      </w:r>
      <w:r>
        <w:rPr>
          <w:rFonts w:hint="eastAsia" w:ascii="宋体" w:hAnsi="宋体" w:cs="宋体"/>
          <w:color w:val="000000" w:themeColor="text1"/>
          <w:u w:val="single"/>
          <w:lang w:eastAsia="zh-CN"/>
          <w14:textFill>
            <w14:solidFill>
              <w14:schemeClr w14:val="tx1"/>
            </w14:solidFill>
          </w14:textFill>
        </w:rPr>
        <w:t>成交后</w:t>
      </w:r>
      <w:r>
        <w:rPr>
          <w:rFonts w:hint="eastAsia" w:ascii="宋体" w:hAnsi="宋体" w:cs="宋体"/>
          <w:color w:val="000000" w:themeColor="text1"/>
          <w:u w:val="single"/>
          <w14:textFill>
            <w14:solidFill>
              <w14:schemeClr w14:val="tx1"/>
            </w14:solidFill>
          </w14:textFill>
        </w:rPr>
        <w:t>填写）</w:t>
      </w:r>
      <w:r>
        <w:rPr>
          <w:rFonts w:hint="eastAsia" w:ascii="宋体" w:hAnsi="宋体" w:cs="宋体"/>
          <w:color w:val="000000" w:themeColor="text1"/>
          <w14:textFill>
            <w14:solidFill>
              <w14:schemeClr w14:val="tx1"/>
            </w14:solidFill>
          </w14:textFill>
        </w:rPr>
        <w:t>。</w:t>
      </w:r>
    </w:p>
    <w:p w14:paraId="77B62E9D">
      <w:pPr>
        <w:pStyle w:val="102"/>
        <w:spacing w:line="400" w:lineRule="exact"/>
        <w:rPr>
          <w:rFonts w:hint="eastAsia"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1.1.2.5 设计人：</w:t>
      </w:r>
    </w:p>
    <w:p w14:paraId="2A48BDFF">
      <w:pPr>
        <w:pStyle w:val="102"/>
        <w:spacing w:line="400" w:lineRule="exact"/>
        <w:rPr>
          <w:rFonts w:hint="eastAsia"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名    称：</w:t>
      </w:r>
      <w:r>
        <w:rPr>
          <w:rFonts w:hint="eastAsia" w:ascii="宋体" w:hAnsi="宋体" w:cs="宋体"/>
          <w:color w:val="000000" w:themeColor="text1"/>
          <w:u w:val="single"/>
          <w14:textFill>
            <w14:solidFill>
              <w14:schemeClr w14:val="tx1"/>
            </w14:solidFill>
          </w14:textFill>
        </w:rPr>
        <w:t>（</w:t>
      </w:r>
      <w:r>
        <w:rPr>
          <w:rFonts w:hint="eastAsia" w:ascii="宋体" w:hAnsi="宋体" w:cs="宋体"/>
          <w:color w:val="000000" w:themeColor="text1"/>
          <w:u w:val="single"/>
          <w:lang w:eastAsia="zh-CN"/>
          <w14:textFill>
            <w14:solidFill>
              <w14:schemeClr w14:val="tx1"/>
            </w14:solidFill>
          </w14:textFill>
        </w:rPr>
        <w:t>成交后</w:t>
      </w:r>
      <w:r>
        <w:rPr>
          <w:rFonts w:hint="eastAsia" w:ascii="宋体" w:hAnsi="宋体" w:cs="宋体"/>
          <w:color w:val="000000" w:themeColor="text1"/>
          <w:u w:val="single"/>
          <w14:textFill>
            <w14:solidFill>
              <w14:schemeClr w14:val="tx1"/>
            </w14:solidFill>
          </w14:textFill>
        </w:rPr>
        <w:t>填写）</w:t>
      </w:r>
      <w:r>
        <w:rPr>
          <w:rFonts w:hint="eastAsia" w:ascii="宋体" w:hAnsi="宋体" w:cs="宋体"/>
          <w:color w:val="000000" w:themeColor="text1"/>
          <w14:textFill>
            <w14:solidFill>
              <w14:schemeClr w14:val="tx1"/>
            </w14:solidFill>
          </w14:textFill>
        </w:rPr>
        <w:t>；</w:t>
      </w:r>
    </w:p>
    <w:p w14:paraId="2B159957">
      <w:pPr>
        <w:pStyle w:val="102"/>
        <w:spacing w:line="400" w:lineRule="exact"/>
        <w:rPr>
          <w:rFonts w:hint="eastAsia"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资质类别和等级：</w:t>
      </w:r>
      <w:r>
        <w:rPr>
          <w:rFonts w:hint="eastAsia" w:ascii="宋体" w:hAnsi="宋体" w:cs="宋体"/>
          <w:color w:val="000000" w:themeColor="text1"/>
          <w:u w:val="single"/>
          <w14:textFill>
            <w14:solidFill>
              <w14:schemeClr w14:val="tx1"/>
            </w14:solidFill>
          </w14:textFill>
        </w:rPr>
        <w:t>（</w:t>
      </w:r>
      <w:r>
        <w:rPr>
          <w:rFonts w:hint="eastAsia" w:ascii="宋体" w:hAnsi="宋体" w:cs="宋体"/>
          <w:color w:val="000000" w:themeColor="text1"/>
          <w:u w:val="single"/>
          <w:lang w:eastAsia="zh-CN"/>
          <w14:textFill>
            <w14:solidFill>
              <w14:schemeClr w14:val="tx1"/>
            </w14:solidFill>
          </w14:textFill>
        </w:rPr>
        <w:t>成交后</w:t>
      </w:r>
      <w:r>
        <w:rPr>
          <w:rFonts w:hint="eastAsia" w:ascii="宋体" w:hAnsi="宋体" w:cs="宋体"/>
          <w:color w:val="000000" w:themeColor="text1"/>
          <w:u w:val="single"/>
          <w14:textFill>
            <w14:solidFill>
              <w14:schemeClr w14:val="tx1"/>
            </w14:solidFill>
          </w14:textFill>
        </w:rPr>
        <w:t>填写）</w:t>
      </w:r>
      <w:r>
        <w:rPr>
          <w:rFonts w:hint="eastAsia" w:ascii="宋体" w:hAnsi="宋体" w:cs="宋体"/>
          <w:color w:val="000000" w:themeColor="text1"/>
          <w14:textFill>
            <w14:solidFill>
              <w14:schemeClr w14:val="tx1"/>
            </w14:solidFill>
          </w14:textFill>
        </w:rPr>
        <w:t>；</w:t>
      </w:r>
    </w:p>
    <w:p w14:paraId="6450BEB7">
      <w:pPr>
        <w:pStyle w:val="102"/>
        <w:spacing w:line="400" w:lineRule="exact"/>
        <w:rPr>
          <w:rFonts w:hint="eastAsia"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联系电话：</w:t>
      </w:r>
      <w:r>
        <w:rPr>
          <w:rFonts w:hint="eastAsia" w:ascii="宋体" w:hAnsi="宋体" w:cs="宋体"/>
          <w:color w:val="000000" w:themeColor="text1"/>
          <w:u w:val="single"/>
          <w14:textFill>
            <w14:solidFill>
              <w14:schemeClr w14:val="tx1"/>
            </w14:solidFill>
          </w14:textFill>
        </w:rPr>
        <w:t>（</w:t>
      </w:r>
      <w:r>
        <w:rPr>
          <w:rFonts w:hint="eastAsia" w:ascii="宋体" w:hAnsi="宋体" w:cs="宋体"/>
          <w:color w:val="000000" w:themeColor="text1"/>
          <w:u w:val="single"/>
          <w:lang w:eastAsia="zh-CN"/>
          <w14:textFill>
            <w14:solidFill>
              <w14:schemeClr w14:val="tx1"/>
            </w14:solidFill>
          </w14:textFill>
        </w:rPr>
        <w:t>成交后</w:t>
      </w:r>
      <w:r>
        <w:rPr>
          <w:rFonts w:hint="eastAsia" w:ascii="宋体" w:hAnsi="宋体" w:cs="宋体"/>
          <w:color w:val="000000" w:themeColor="text1"/>
          <w:u w:val="single"/>
          <w14:textFill>
            <w14:solidFill>
              <w14:schemeClr w14:val="tx1"/>
            </w14:solidFill>
          </w14:textFill>
        </w:rPr>
        <w:t>填写）</w:t>
      </w:r>
      <w:r>
        <w:rPr>
          <w:rFonts w:hint="eastAsia" w:ascii="宋体" w:hAnsi="宋体" w:cs="宋体"/>
          <w:color w:val="000000" w:themeColor="text1"/>
          <w14:textFill>
            <w14:solidFill>
              <w14:schemeClr w14:val="tx1"/>
            </w14:solidFill>
          </w14:textFill>
        </w:rPr>
        <w:t>；</w:t>
      </w:r>
    </w:p>
    <w:p w14:paraId="65B33ADD">
      <w:pPr>
        <w:pStyle w:val="102"/>
        <w:spacing w:line="400" w:lineRule="exact"/>
        <w:rPr>
          <w:rFonts w:hint="eastAsia"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电子信箱：</w:t>
      </w:r>
      <w:r>
        <w:rPr>
          <w:rFonts w:hint="eastAsia" w:ascii="宋体" w:hAnsi="宋体" w:cs="宋体"/>
          <w:color w:val="000000" w:themeColor="text1"/>
          <w:u w:val="single"/>
          <w14:textFill>
            <w14:solidFill>
              <w14:schemeClr w14:val="tx1"/>
            </w14:solidFill>
          </w14:textFill>
        </w:rPr>
        <w:t>（</w:t>
      </w:r>
      <w:r>
        <w:rPr>
          <w:rFonts w:hint="eastAsia" w:ascii="宋体" w:hAnsi="宋体" w:cs="宋体"/>
          <w:color w:val="000000" w:themeColor="text1"/>
          <w:u w:val="single"/>
          <w:lang w:eastAsia="zh-CN"/>
          <w14:textFill>
            <w14:solidFill>
              <w14:schemeClr w14:val="tx1"/>
            </w14:solidFill>
          </w14:textFill>
        </w:rPr>
        <w:t>成交后</w:t>
      </w:r>
      <w:r>
        <w:rPr>
          <w:rFonts w:hint="eastAsia" w:ascii="宋体" w:hAnsi="宋体" w:cs="宋体"/>
          <w:color w:val="000000" w:themeColor="text1"/>
          <w:u w:val="single"/>
          <w14:textFill>
            <w14:solidFill>
              <w14:schemeClr w14:val="tx1"/>
            </w14:solidFill>
          </w14:textFill>
        </w:rPr>
        <w:t>填写）</w:t>
      </w:r>
      <w:r>
        <w:rPr>
          <w:rFonts w:hint="eastAsia" w:ascii="宋体" w:hAnsi="宋体" w:cs="宋体"/>
          <w:color w:val="000000" w:themeColor="text1"/>
          <w14:textFill>
            <w14:solidFill>
              <w14:schemeClr w14:val="tx1"/>
            </w14:solidFill>
          </w14:textFill>
        </w:rPr>
        <w:t>；</w:t>
      </w:r>
    </w:p>
    <w:p w14:paraId="1E097FA6">
      <w:pPr>
        <w:pStyle w:val="102"/>
        <w:spacing w:line="400" w:lineRule="exact"/>
        <w:rPr>
          <w:rFonts w:hint="eastAsia"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通信地址：</w:t>
      </w:r>
      <w:r>
        <w:rPr>
          <w:rFonts w:hint="eastAsia" w:ascii="宋体" w:hAnsi="宋体" w:cs="宋体"/>
          <w:color w:val="000000" w:themeColor="text1"/>
          <w:u w:val="single"/>
          <w14:textFill>
            <w14:solidFill>
              <w14:schemeClr w14:val="tx1"/>
            </w14:solidFill>
          </w14:textFill>
        </w:rPr>
        <w:t>（</w:t>
      </w:r>
      <w:r>
        <w:rPr>
          <w:rFonts w:hint="eastAsia" w:ascii="宋体" w:hAnsi="宋体" w:cs="宋体"/>
          <w:color w:val="000000" w:themeColor="text1"/>
          <w:u w:val="single"/>
          <w:lang w:eastAsia="zh-CN"/>
          <w14:textFill>
            <w14:solidFill>
              <w14:schemeClr w14:val="tx1"/>
            </w14:solidFill>
          </w14:textFill>
        </w:rPr>
        <w:t>成交后</w:t>
      </w:r>
      <w:r>
        <w:rPr>
          <w:rFonts w:hint="eastAsia" w:ascii="宋体" w:hAnsi="宋体" w:cs="宋体"/>
          <w:color w:val="000000" w:themeColor="text1"/>
          <w:u w:val="single"/>
          <w14:textFill>
            <w14:solidFill>
              <w14:schemeClr w14:val="tx1"/>
            </w14:solidFill>
          </w14:textFill>
        </w:rPr>
        <w:t>填写）</w:t>
      </w:r>
      <w:r>
        <w:rPr>
          <w:rFonts w:hint="eastAsia" w:ascii="宋体" w:hAnsi="宋体" w:cs="宋体"/>
          <w:color w:val="000000" w:themeColor="text1"/>
          <w14:textFill>
            <w14:solidFill>
              <w14:schemeClr w14:val="tx1"/>
            </w14:solidFill>
          </w14:textFill>
        </w:rPr>
        <w:t>。</w:t>
      </w:r>
    </w:p>
    <w:p w14:paraId="28FD7716">
      <w:pPr>
        <w:pStyle w:val="102"/>
        <w:spacing w:line="400" w:lineRule="exact"/>
        <w:rPr>
          <w:rFonts w:hint="eastAsia"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1.1.3 工程和设备</w:t>
      </w:r>
    </w:p>
    <w:p w14:paraId="78079DA4">
      <w:pPr>
        <w:pStyle w:val="102"/>
        <w:spacing w:line="400" w:lineRule="exact"/>
        <w:rPr>
          <w:rFonts w:hint="eastAsia" w:ascii="宋体" w:hAnsi="宋体" w:cs="宋体"/>
          <w:color w:val="000000" w:themeColor="text1"/>
          <w:u w:val="single"/>
          <w14:textFill>
            <w14:solidFill>
              <w14:schemeClr w14:val="tx1"/>
            </w14:solidFill>
          </w14:textFill>
        </w:rPr>
      </w:pPr>
      <w:r>
        <w:rPr>
          <w:rFonts w:hint="eastAsia" w:ascii="宋体" w:hAnsi="宋体" w:cs="宋体"/>
          <w:color w:val="000000" w:themeColor="text1"/>
          <w14:textFill>
            <w14:solidFill>
              <w14:schemeClr w14:val="tx1"/>
            </w14:solidFill>
          </w14:textFill>
        </w:rPr>
        <w:t>1.1.3.7 作为施工现场组成部分的其他场所包括：</w:t>
      </w:r>
      <w:r>
        <w:rPr>
          <w:rFonts w:hint="eastAsia" w:ascii="宋体" w:hAnsi="宋体" w:cs="宋体"/>
          <w:color w:val="000000" w:themeColor="text1"/>
          <w:u w:val="single"/>
          <w14:textFill>
            <w14:solidFill>
              <w14:schemeClr w14:val="tx1"/>
            </w14:solidFill>
          </w14:textFill>
        </w:rPr>
        <w:t>为完成永久工程必不可少的临时工程。</w:t>
      </w:r>
    </w:p>
    <w:p w14:paraId="4A0007C0">
      <w:pPr>
        <w:pStyle w:val="102"/>
        <w:spacing w:line="400" w:lineRule="exact"/>
        <w:rPr>
          <w:rFonts w:hint="eastAsia"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1.1.3.9 永久占地包括：</w:t>
      </w:r>
      <w:r>
        <w:rPr>
          <w:rFonts w:hint="eastAsia" w:ascii="宋体" w:hAnsi="宋体" w:cs="宋体"/>
          <w:color w:val="000000" w:themeColor="text1"/>
          <w:u w:val="single"/>
          <w14:textFill>
            <w14:solidFill>
              <w14:schemeClr w14:val="tx1"/>
            </w14:solidFill>
          </w14:textFill>
        </w:rPr>
        <w:t>建筑、装饰及安装工程</w:t>
      </w:r>
      <w:r>
        <w:rPr>
          <w:rFonts w:hint="eastAsia" w:ascii="宋体" w:hAnsi="宋体" w:cs="宋体"/>
          <w:color w:val="000000" w:themeColor="text1"/>
          <w14:textFill>
            <w14:solidFill>
              <w14:schemeClr w14:val="tx1"/>
            </w14:solidFill>
          </w14:textFill>
        </w:rPr>
        <w:t>。</w:t>
      </w:r>
    </w:p>
    <w:p w14:paraId="1E0FAB43">
      <w:pPr>
        <w:pStyle w:val="102"/>
        <w:spacing w:line="400" w:lineRule="exact"/>
        <w:rPr>
          <w:rFonts w:hint="eastAsia"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1.1.3.10 临时占地包括：</w:t>
      </w:r>
      <w:r>
        <w:rPr>
          <w:rFonts w:hint="eastAsia" w:ascii="宋体" w:hAnsi="宋体" w:cs="宋体"/>
          <w:color w:val="000000" w:themeColor="text1"/>
          <w:u w:val="single"/>
          <w14:textFill>
            <w14:solidFill>
              <w14:schemeClr w14:val="tx1"/>
            </w14:solidFill>
          </w14:textFill>
        </w:rPr>
        <w:t>由承包人根据现场踏勘情况结合施工现场所处位置自行解决的各类设施及仓库、生活用房等</w:t>
      </w:r>
      <w:r>
        <w:rPr>
          <w:rFonts w:hint="eastAsia" w:ascii="宋体" w:hAnsi="宋体" w:cs="宋体"/>
          <w:color w:val="000000" w:themeColor="text1"/>
          <w14:textFill>
            <w14:solidFill>
              <w14:schemeClr w14:val="tx1"/>
            </w14:solidFill>
          </w14:textFill>
        </w:rPr>
        <w:t>。</w:t>
      </w:r>
    </w:p>
    <w:p w14:paraId="431CF392">
      <w:pPr>
        <w:pStyle w:val="96"/>
        <w:spacing w:before="0" w:after="200" w:line="400" w:lineRule="exact"/>
        <w:rPr>
          <w:rFonts w:hint="eastAsia" w:ascii="宋体" w:cs="宋体"/>
          <w:bCs w:val="0"/>
          <w:color w:val="000000" w:themeColor="text1"/>
          <w14:textFill>
            <w14:solidFill>
              <w14:schemeClr w14:val="tx1"/>
            </w14:solidFill>
          </w14:textFill>
        </w:rPr>
      </w:pPr>
      <w:bookmarkStart w:id="385" w:name="_Toc406522215"/>
      <w:bookmarkStart w:id="386" w:name="_Toc173253171"/>
      <w:bookmarkStart w:id="387" w:name="_Toc19546"/>
      <w:bookmarkStart w:id="388" w:name="_Toc185770423"/>
      <w:bookmarkStart w:id="389" w:name="_Toc520505841"/>
      <w:r>
        <w:rPr>
          <w:rFonts w:hint="eastAsia" w:ascii="宋体" w:cs="宋体"/>
          <w:bCs w:val="0"/>
          <w:color w:val="000000" w:themeColor="text1"/>
          <w14:textFill>
            <w14:solidFill>
              <w14:schemeClr w14:val="tx1"/>
            </w14:solidFill>
          </w14:textFill>
        </w:rPr>
        <w:t>1.3法律</w:t>
      </w:r>
      <w:bookmarkEnd w:id="385"/>
      <w:bookmarkEnd w:id="386"/>
      <w:bookmarkEnd w:id="387"/>
      <w:bookmarkEnd w:id="388"/>
      <w:bookmarkEnd w:id="389"/>
      <w:r>
        <w:rPr>
          <w:rFonts w:hint="eastAsia" w:ascii="宋体" w:cs="宋体"/>
          <w:bCs w:val="0"/>
          <w:color w:val="000000" w:themeColor="text1"/>
          <w14:textFill>
            <w14:solidFill>
              <w14:schemeClr w14:val="tx1"/>
            </w14:solidFill>
          </w14:textFill>
        </w:rPr>
        <w:t xml:space="preserve"> </w:t>
      </w:r>
    </w:p>
    <w:p w14:paraId="44D4265B">
      <w:pPr>
        <w:pStyle w:val="102"/>
        <w:spacing w:line="400" w:lineRule="exact"/>
        <w:rPr>
          <w:rFonts w:hint="eastAsia"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适用于合同的其他规范性文件：</w:t>
      </w:r>
      <w:r>
        <w:rPr>
          <w:rFonts w:hint="eastAsia" w:ascii="宋体" w:hAnsi="宋体" w:cs="宋体"/>
          <w:color w:val="000000" w:themeColor="text1"/>
          <w:u w:val="single"/>
          <w14:textFill>
            <w14:solidFill>
              <w14:schemeClr w14:val="tx1"/>
            </w14:solidFill>
          </w14:textFill>
        </w:rPr>
        <w:t>1、《中华人民共和国建筑法》、《中华人民共和国</w:t>
      </w:r>
      <w:r>
        <w:rPr>
          <w:rFonts w:hint="eastAsia" w:ascii="宋体" w:hAnsi="宋体" w:cs="宋体"/>
          <w:color w:val="000000" w:themeColor="text1"/>
          <w:u w:val="single"/>
          <w:lang w:val="en-US" w:eastAsia="zh-CN"/>
          <w14:textFill>
            <w14:solidFill>
              <w14:schemeClr w14:val="tx1"/>
            </w14:solidFill>
          </w14:textFill>
        </w:rPr>
        <w:t>民法典</w:t>
      </w:r>
      <w:r>
        <w:rPr>
          <w:rFonts w:hint="eastAsia" w:ascii="宋体" w:hAnsi="宋体" w:cs="宋体"/>
          <w:color w:val="000000" w:themeColor="text1"/>
          <w:u w:val="single"/>
          <w14:textFill>
            <w14:solidFill>
              <w14:schemeClr w14:val="tx1"/>
            </w14:solidFill>
          </w14:textFill>
        </w:rPr>
        <w:t>》等中华人民共和国及广西壮族自治区颁布的与本合同工程有关的现行法律、行政法规。2、广西壮族自治区及桂林市有关规定</w:t>
      </w:r>
      <w:r>
        <w:rPr>
          <w:rFonts w:hint="eastAsia" w:ascii="宋体" w:hAnsi="宋体" w:cs="宋体"/>
          <w:color w:val="000000" w:themeColor="text1"/>
          <w14:textFill>
            <w14:solidFill>
              <w14:schemeClr w14:val="tx1"/>
            </w14:solidFill>
          </w14:textFill>
        </w:rPr>
        <w:t>。</w:t>
      </w:r>
    </w:p>
    <w:p w14:paraId="2DCB9475">
      <w:pPr>
        <w:pStyle w:val="96"/>
        <w:spacing w:before="0" w:after="200" w:line="400" w:lineRule="exact"/>
        <w:rPr>
          <w:rFonts w:hint="eastAsia" w:ascii="宋体" w:cs="宋体"/>
          <w:bCs w:val="0"/>
          <w:color w:val="000000" w:themeColor="text1"/>
          <w14:textFill>
            <w14:solidFill>
              <w14:schemeClr w14:val="tx1"/>
            </w14:solidFill>
          </w14:textFill>
        </w:rPr>
      </w:pPr>
      <w:bookmarkStart w:id="390" w:name="_Toc16590"/>
      <w:bookmarkStart w:id="391" w:name="_Toc406522216"/>
      <w:bookmarkStart w:id="392" w:name="_Toc520505842"/>
      <w:bookmarkStart w:id="393" w:name="_Toc185770424"/>
      <w:bookmarkStart w:id="394" w:name="_Toc173253172"/>
      <w:r>
        <w:rPr>
          <w:rFonts w:hint="eastAsia" w:ascii="宋体" w:cs="宋体"/>
          <w:bCs w:val="0"/>
          <w:color w:val="000000" w:themeColor="text1"/>
          <w14:textFill>
            <w14:solidFill>
              <w14:schemeClr w14:val="tx1"/>
            </w14:solidFill>
          </w14:textFill>
        </w:rPr>
        <w:t>1.4 标准和规范</w:t>
      </w:r>
      <w:bookmarkEnd w:id="390"/>
      <w:bookmarkEnd w:id="391"/>
      <w:bookmarkEnd w:id="392"/>
      <w:bookmarkEnd w:id="393"/>
      <w:bookmarkEnd w:id="394"/>
    </w:p>
    <w:p w14:paraId="402AB8B8">
      <w:pPr>
        <w:pStyle w:val="102"/>
        <w:spacing w:line="400" w:lineRule="exact"/>
        <w:rPr>
          <w:rFonts w:hint="eastAsia"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1.4.1适用于工程的标准规范包括：</w:t>
      </w:r>
      <w:r>
        <w:rPr>
          <w:rFonts w:hint="eastAsia" w:ascii="宋体" w:hAnsi="宋体" w:cs="宋体"/>
          <w:color w:val="000000" w:themeColor="text1"/>
          <w:u w:val="single"/>
          <w14:textFill>
            <w14:solidFill>
              <w14:schemeClr w14:val="tx1"/>
            </w14:solidFill>
          </w14:textFill>
        </w:rPr>
        <w:t>为确保工程的质量，承包人除遵照现行国家、行业、地方颁布的有关施工、技术、质量、档案等方面的标准（含图集）、规范和规定外，还必须执行发包人提供的标准、规范和规定</w:t>
      </w:r>
      <w:r>
        <w:rPr>
          <w:rFonts w:hint="eastAsia" w:ascii="宋体" w:hAnsi="宋体" w:cs="宋体"/>
          <w:color w:val="000000" w:themeColor="text1"/>
          <w14:textFill>
            <w14:solidFill>
              <w14:schemeClr w14:val="tx1"/>
            </w14:solidFill>
          </w14:textFill>
        </w:rPr>
        <w:t>。</w:t>
      </w:r>
    </w:p>
    <w:p w14:paraId="762A13BD">
      <w:pPr>
        <w:pStyle w:val="102"/>
        <w:spacing w:line="400" w:lineRule="exact"/>
        <w:rPr>
          <w:rFonts w:hint="eastAsia"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1.4.2 发包人提供国外标准、规范的名称：</w:t>
      </w:r>
      <w:r>
        <w:rPr>
          <w:rFonts w:hint="eastAsia" w:ascii="宋体" w:hAnsi="宋体" w:cs="宋体"/>
          <w:color w:val="000000" w:themeColor="text1"/>
          <w:u w:val="single"/>
          <w14:textFill>
            <w14:solidFill>
              <w14:schemeClr w14:val="tx1"/>
            </w14:solidFill>
          </w14:textFill>
        </w:rPr>
        <w:t>/</w:t>
      </w:r>
      <w:r>
        <w:rPr>
          <w:rFonts w:hint="eastAsia" w:ascii="宋体" w:hAnsi="宋体" w:cs="宋体"/>
          <w:color w:val="000000" w:themeColor="text1"/>
          <w14:textFill>
            <w14:solidFill>
              <w14:schemeClr w14:val="tx1"/>
            </w14:solidFill>
          </w14:textFill>
        </w:rPr>
        <w:t>；</w:t>
      </w:r>
    </w:p>
    <w:p w14:paraId="7F3D9056">
      <w:pPr>
        <w:pStyle w:val="102"/>
        <w:spacing w:line="400" w:lineRule="exact"/>
        <w:rPr>
          <w:rFonts w:hint="eastAsia"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发包人提供国外标准、规范的份数：</w:t>
      </w:r>
      <w:r>
        <w:rPr>
          <w:rFonts w:hint="eastAsia" w:ascii="宋体" w:hAnsi="宋体" w:cs="宋体"/>
          <w:color w:val="000000" w:themeColor="text1"/>
          <w:u w:val="single"/>
          <w14:textFill>
            <w14:solidFill>
              <w14:schemeClr w14:val="tx1"/>
            </w14:solidFill>
          </w14:textFill>
        </w:rPr>
        <w:t>/</w:t>
      </w:r>
      <w:r>
        <w:rPr>
          <w:rFonts w:hint="eastAsia" w:ascii="宋体" w:hAnsi="宋体" w:cs="宋体"/>
          <w:color w:val="000000" w:themeColor="text1"/>
          <w14:textFill>
            <w14:solidFill>
              <w14:schemeClr w14:val="tx1"/>
            </w14:solidFill>
          </w14:textFill>
        </w:rPr>
        <w:t>；</w:t>
      </w:r>
    </w:p>
    <w:p w14:paraId="6286631C">
      <w:pPr>
        <w:pStyle w:val="102"/>
        <w:spacing w:line="400" w:lineRule="exact"/>
        <w:rPr>
          <w:rFonts w:hint="eastAsia"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发包人提供国外标准、规范的名称：</w:t>
      </w:r>
      <w:r>
        <w:rPr>
          <w:rFonts w:hint="eastAsia" w:ascii="宋体" w:hAnsi="宋体" w:cs="宋体"/>
          <w:color w:val="000000" w:themeColor="text1"/>
          <w:u w:val="single"/>
          <w14:textFill>
            <w14:solidFill>
              <w14:schemeClr w14:val="tx1"/>
            </w14:solidFill>
          </w14:textFill>
        </w:rPr>
        <w:t>/</w:t>
      </w:r>
      <w:r>
        <w:rPr>
          <w:rFonts w:hint="eastAsia" w:ascii="宋体" w:hAnsi="宋体" w:cs="宋体"/>
          <w:color w:val="000000" w:themeColor="text1"/>
          <w14:textFill>
            <w14:solidFill>
              <w14:schemeClr w14:val="tx1"/>
            </w14:solidFill>
          </w14:textFill>
        </w:rPr>
        <w:t>。</w:t>
      </w:r>
    </w:p>
    <w:p w14:paraId="13FC87CD">
      <w:pPr>
        <w:pStyle w:val="102"/>
        <w:spacing w:line="400" w:lineRule="exact"/>
        <w:rPr>
          <w:rFonts w:hint="eastAsia"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1.4.3发包人对工程的技术标准和功能要求的特殊要求：</w:t>
      </w:r>
      <w:r>
        <w:rPr>
          <w:rFonts w:hint="eastAsia" w:ascii="宋体" w:hAnsi="宋体" w:cs="宋体"/>
          <w:color w:val="000000" w:themeColor="text1"/>
          <w:u w:val="single"/>
          <w14:textFill>
            <w14:solidFill>
              <w14:schemeClr w14:val="tx1"/>
            </w14:solidFill>
          </w14:textFill>
        </w:rPr>
        <w:t>/</w:t>
      </w:r>
      <w:r>
        <w:rPr>
          <w:rFonts w:hint="eastAsia" w:ascii="宋体" w:hAnsi="宋体" w:cs="宋体"/>
          <w:color w:val="000000" w:themeColor="text1"/>
          <w14:textFill>
            <w14:solidFill>
              <w14:schemeClr w14:val="tx1"/>
            </w14:solidFill>
          </w14:textFill>
        </w:rPr>
        <w:t>。</w:t>
      </w:r>
    </w:p>
    <w:p w14:paraId="438DABB9">
      <w:pPr>
        <w:pStyle w:val="96"/>
        <w:spacing w:before="0" w:after="200" w:line="400" w:lineRule="exact"/>
        <w:rPr>
          <w:rFonts w:hint="eastAsia" w:ascii="宋体" w:cs="宋体"/>
          <w:bCs w:val="0"/>
          <w:color w:val="000000" w:themeColor="text1"/>
          <w14:textFill>
            <w14:solidFill>
              <w14:schemeClr w14:val="tx1"/>
            </w14:solidFill>
          </w14:textFill>
        </w:rPr>
      </w:pPr>
      <w:bookmarkStart w:id="395" w:name="_Toc406522217"/>
      <w:bookmarkStart w:id="396" w:name="_Toc520505843"/>
      <w:bookmarkStart w:id="397" w:name="_Toc7162"/>
      <w:bookmarkStart w:id="398" w:name="_Toc185770425"/>
      <w:bookmarkStart w:id="399" w:name="_Toc173253173"/>
      <w:r>
        <w:rPr>
          <w:rFonts w:hint="eastAsia" w:ascii="宋体" w:cs="宋体"/>
          <w:bCs w:val="0"/>
          <w:color w:val="000000" w:themeColor="text1"/>
          <w14:textFill>
            <w14:solidFill>
              <w14:schemeClr w14:val="tx1"/>
            </w14:solidFill>
          </w14:textFill>
        </w:rPr>
        <w:t>1.5 合同文件的优先顺序</w:t>
      </w:r>
      <w:bookmarkEnd w:id="395"/>
      <w:bookmarkEnd w:id="396"/>
      <w:bookmarkEnd w:id="397"/>
      <w:bookmarkEnd w:id="398"/>
      <w:bookmarkEnd w:id="399"/>
    </w:p>
    <w:p w14:paraId="59A7668B">
      <w:pPr>
        <w:pStyle w:val="102"/>
        <w:spacing w:line="400" w:lineRule="exact"/>
        <w:rPr>
          <w:rFonts w:hint="eastAsia"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合同文件组成及优先顺序为：</w:t>
      </w:r>
      <w:r>
        <w:rPr>
          <w:rFonts w:hint="eastAsia" w:ascii="宋体" w:hAnsi="宋体" w:cs="宋体"/>
          <w:color w:val="000000" w:themeColor="text1"/>
          <w:u w:val="single"/>
          <w14:textFill>
            <w14:solidFill>
              <w14:schemeClr w14:val="tx1"/>
            </w14:solidFill>
          </w14:textFill>
        </w:rPr>
        <w:t>（1）本合同协议书；（2）成交通知书；（3）</w:t>
      </w:r>
      <w:r>
        <w:rPr>
          <w:rFonts w:hint="eastAsia" w:ascii="宋体" w:hAnsi="宋体" w:cs="宋体"/>
          <w:color w:val="000000" w:themeColor="text1"/>
          <w:u w:val="single"/>
          <w:lang w:eastAsia="zh-CN"/>
          <w14:textFill>
            <w14:solidFill>
              <w14:schemeClr w14:val="tx1"/>
            </w14:solidFill>
          </w14:textFill>
        </w:rPr>
        <w:t>响应函</w:t>
      </w:r>
      <w:r>
        <w:rPr>
          <w:rFonts w:hint="eastAsia" w:ascii="宋体" w:hAnsi="宋体" w:cs="宋体"/>
          <w:color w:val="000000" w:themeColor="text1"/>
          <w:u w:val="single"/>
          <w14:textFill>
            <w14:solidFill>
              <w14:schemeClr w14:val="tx1"/>
            </w14:solidFill>
          </w14:textFill>
        </w:rPr>
        <w:t>及其附录（4）本合同专用条款及其附件；（5）本合同通用条款；（6）技术标准和要求；（7）图纸；（8）已标价工程量清单或预算书；（9）其他合同文件</w:t>
      </w:r>
      <w:r>
        <w:rPr>
          <w:rFonts w:hint="eastAsia" w:ascii="宋体" w:hAnsi="宋体" w:cs="宋体"/>
          <w:color w:val="000000" w:themeColor="text1"/>
          <w14:textFill>
            <w14:solidFill>
              <w14:schemeClr w14:val="tx1"/>
            </w14:solidFill>
          </w14:textFill>
        </w:rPr>
        <w:t>。</w:t>
      </w:r>
    </w:p>
    <w:p w14:paraId="6F51B011">
      <w:pPr>
        <w:pStyle w:val="96"/>
        <w:spacing w:before="0" w:after="200" w:line="400" w:lineRule="exact"/>
        <w:rPr>
          <w:rFonts w:hint="eastAsia" w:ascii="宋体" w:cs="宋体"/>
          <w:b w:val="0"/>
          <w:color w:val="000000" w:themeColor="text1"/>
          <w14:textFill>
            <w14:solidFill>
              <w14:schemeClr w14:val="tx1"/>
            </w14:solidFill>
          </w14:textFill>
        </w:rPr>
      </w:pPr>
      <w:bookmarkStart w:id="400" w:name="_Toc173253174"/>
      <w:bookmarkStart w:id="401" w:name="_Toc185770426"/>
      <w:bookmarkStart w:id="402" w:name="_Toc520505844"/>
      <w:bookmarkStart w:id="403" w:name="_Toc18255"/>
      <w:bookmarkStart w:id="404" w:name="_Toc406522218"/>
      <w:r>
        <w:rPr>
          <w:rFonts w:hint="eastAsia" w:ascii="宋体" w:cs="宋体"/>
          <w:bCs w:val="0"/>
          <w:color w:val="000000" w:themeColor="text1"/>
          <w14:textFill>
            <w14:solidFill>
              <w14:schemeClr w14:val="tx1"/>
            </w14:solidFill>
          </w14:textFill>
        </w:rPr>
        <w:t>1.6 图纸和承包人文件</w:t>
      </w:r>
      <w:bookmarkEnd w:id="400"/>
      <w:bookmarkEnd w:id="401"/>
      <w:bookmarkEnd w:id="402"/>
      <w:bookmarkEnd w:id="403"/>
      <w:bookmarkEnd w:id="404"/>
      <w:r>
        <w:rPr>
          <w:rFonts w:hint="eastAsia" w:ascii="宋体" w:cs="宋体"/>
          <w:b w:val="0"/>
          <w:color w:val="000000" w:themeColor="text1"/>
          <w14:textFill>
            <w14:solidFill>
              <w14:schemeClr w14:val="tx1"/>
            </w14:solidFill>
          </w14:textFill>
        </w:rPr>
        <w:tab/>
      </w:r>
    </w:p>
    <w:p w14:paraId="71CF6C51">
      <w:pPr>
        <w:pStyle w:val="102"/>
        <w:spacing w:line="400" w:lineRule="exact"/>
        <w:rPr>
          <w:rFonts w:hint="eastAsia"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1.6.1 图纸的提供</w:t>
      </w:r>
    </w:p>
    <w:p w14:paraId="1F38B333">
      <w:pPr>
        <w:pStyle w:val="102"/>
        <w:spacing w:line="400" w:lineRule="exact"/>
        <w:rPr>
          <w:rFonts w:hint="eastAsia"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发包人向承包人提供图纸的期限：</w:t>
      </w:r>
      <w:r>
        <w:rPr>
          <w:rFonts w:hint="eastAsia" w:ascii="宋体" w:hAnsi="宋体" w:cs="宋体"/>
          <w:color w:val="000000" w:themeColor="text1"/>
          <w:u w:val="single"/>
          <w14:textFill>
            <w14:solidFill>
              <w14:schemeClr w14:val="tx1"/>
            </w14:solidFill>
          </w14:textFill>
        </w:rPr>
        <w:t>开工前15天</w:t>
      </w:r>
      <w:r>
        <w:rPr>
          <w:rFonts w:hint="eastAsia" w:ascii="宋体" w:hAnsi="宋体" w:cs="宋体"/>
          <w:color w:val="000000" w:themeColor="text1"/>
          <w14:textFill>
            <w14:solidFill>
              <w14:schemeClr w14:val="tx1"/>
            </w14:solidFill>
          </w14:textFill>
        </w:rPr>
        <w:t>；</w:t>
      </w:r>
    </w:p>
    <w:p w14:paraId="04EB1523">
      <w:pPr>
        <w:pStyle w:val="102"/>
        <w:spacing w:line="400" w:lineRule="exact"/>
        <w:rPr>
          <w:rFonts w:hint="eastAsia"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发包人向承包人提供图纸的数量：</w:t>
      </w:r>
      <w:r>
        <w:rPr>
          <w:rFonts w:hint="eastAsia" w:ascii="宋体" w:hAnsi="宋体" w:cs="宋体"/>
          <w:color w:val="000000" w:themeColor="text1"/>
          <w:u w:val="single"/>
          <w14:textFill>
            <w14:solidFill>
              <w14:schemeClr w14:val="tx1"/>
            </w14:solidFill>
          </w14:textFill>
        </w:rPr>
        <w:t>捌份全套（含施工完毕后发包人提供的竣工图叁套）</w:t>
      </w:r>
      <w:r>
        <w:rPr>
          <w:rFonts w:hint="eastAsia" w:ascii="宋体" w:hAnsi="宋体" w:cs="宋体"/>
          <w:color w:val="000000" w:themeColor="text1"/>
          <w14:textFill>
            <w14:solidFill>
              <w14:schemeClr w14:val="tx1"/>
            </w14:solidFill>
          </w14:textFill>
        </w:rPr>
        <w:t>；</w:t>
      </w:r>
    </w:p>
    <w:p w14:paraId="248158ED">
      <w:pPr>
        <w:pStyle w:val="102"/>
        <w:spacing w:line="400" w:lineRule="exact"/>
        <w:rPr>
          <w:rFonts w:hint="eastAsia"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发包人向承包人提供图纸的内容：</w:t>
      </w:r>
      <w:r>
        <w:rPr>
          <w:rFonts w:hint="eastAsia" w:ascii="宋体" w:hAnsi="宋体" w:cs="宋体"/>
          <w:color w:val="000000" w:themeColor="text1"/>
          <w:u w:val="single"/>
          <w14:textFill>
            <w14:solidFill>
              <w14:schemeClr w14:val="tx1"/>
            </w14:solidFill>
          </w14:textFill>
        </w:rPr>
        <w:t>施工图纸和其他技术资料给承包人。上述图纸及技术资料，未经监理工程师和业主同意，承包人不得提供给予本工程无关的第三方</w:t>
      </w:r>
      <w:r>
        <w:rPr>
          <w:rFonts w:hint="eastAsia" w:ascii="宋体" w:hAnsi="宋体" w:cs="宋体"/>
          <w:color w:val="000000" w:themeColor="text1"/>
          <w14:textFill>
            <w14:solidFill>
              <w14:schemeClr w14:val="tx1"/>
            </w14:solidFill>
          </w14:textFill>
        </w:rPr>
        <w:t>。</w:t>
      </w:r>
    </w:p>
    <w:p w14:paraId="0FF7F5BF">
      <w:pPr>
        <w:pStyle w:val="102"/>
        <w:spacing w:line="400" w:lineRule="exact"/>
        <w:rPr>
          <w:rFonts w:hint="eastAsia"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1.6.4 承包人文件</w:t>
      </w:r>
    </w:p>
    <w:p w14:paraId="322C09D3">
      <w:pPr>
        <w:pStyle w:val="102"/>
        <w:spacing w:line="400" w:lineRule="exact"/>
        <w:rPr>
          <w:rFonts w:hint="eastAsia"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需要由承包人提供的文件，包括：</w:t>
      </w:r>
      <w:r>
        <w:rPr>
          <w:rFonts w:hint="eastAsia" w:ascii="宋体" w:hAnsi="宋体" w:cs="宋体"/>
          <w:color w:val="000000" w:themeColor="text1"/>
          <w:u w:val="single"/>
          <w14:textFill>
            <w14:solidFill>
              <w14:schemeClr w14:val="tx1"/>
            </w14:solidFill>
          </w14:textFill>
        </w:rPr>
        <w:t xml:space="preserve">   （</w:t>
      </w:r>
      <w:r>
        <w:rPr>
          <w:rFonts w:hint="eastAsia" w:ascii="宋体" w:hAnsi="宋体" w:cs="宋体"/>
          <w:color w:val="000000" w:themeColor="text1"/>
          <w:u w:val="single"/>
          <w:lang w:eastAsia="zh-CN"/>
          <w14:textFill>
            <w14:solidFill>
              <w14:schemeClr w14:val="tx1"/>
            </w14:solidFill>
          </w14:textFill>
        </w:rPr>
        <w:t>成交后</w:t>
      </w:r>
      <w:r>
        <w:rPr>
          <w:rFonts w:hint="eastAsia" w:ascii="宋体" w:hAnsi="宋体" w:cs="宋体"/>
          <w:color w:val="000000" w:themeColor="text1"/>
          <w:u w:val="single"/>
          <w14:textFill>
            <w14:solidFill>
              <w14:schemeClr w14:val="tx1"/>
            </w14:solidFill>
          </w14:textFill>
        </w:rPr>
        <w:t xml:space="preserve">双方约定填写）   </w:t>
      </w:r>
      <w:r>
        <w:rPr>
          <w:rFonts w:hint="eastAsia" w:ascii="宋体" w:hAnsi="宋体" w:cs="宋体"/>
          <w:color w:val="000000" w:themeColor="text1"/>
          <w14:textFill>
            <w14:solidFill>
              <w14:schemeClr w14:val="tx1"/>
            </w14:solidFill>
          </w14:textFill>
        </w:rPr>
        <w:t>；</w:t>
      </w:r>
    </w:p>
    <w:p w14:paraId="7F757A9A">
      <w:pPr>
        <w:pStyle w:val="102"/>
        <w:spacing w:line="400" w:lineRule="exact"/>
        <w:rPr>
          <w:rFonts w:hint="eastAsia"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承包人提供的文件的期限为：</w:t>
      </w:r>
      <w:r>
        <w:rPr>
          <w:rFonts w:hint="eastAsia" w:ascii="宋体" w:hAnsi="宋体" w:cs="宋体"/>
          <w:color w:val="000000" w:themeColor="text1"/>
          <w:u w:val="single"/>
          <w14:textFill>
            <w14:solidFill>
              <w14:schemeClr w14:val="tx1"/>
            </w14:solidFill>
          </w14:textFill>
        </w:rPr>
        <w:t>合同签订后7个工作日内</w:t>
      </w:r>
      <w:r>
        <w:rPr>
          <w:rFonts w:hint="eastAsia" w:ascii="宋体" w:hAnsi="宋体" w:cs="宋体"/>
          <w:color w:val="000000" w:themeColor="text1"/>
          <w14:textFill>
            <w14:solidFill>
              <w14:schemeClr w14:val="tx1"/>
            </w14:solidFill>
          </w14:textFill>
        </w:rPr>
        <w:t>；</w:t>
      </w:r>
    </w:p>
    <w:p w14:paraId="3B3D76F5">
      <w:pPr>
        <w:pStyle w:val="102"/>
        <w:spacing w:line="400" w:lineRule="exact"/>
        <w:rPr>
          <w:rFonts w:hint="eastAsia"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承包人提供的文件的数量为：</w:t>
      </w:r>
      <w:r>
        <w:rPr>
          <w:rFonts w:hint="eastAsia" w:ascii="宋体" w:hAnsi="宋体" w:cs="宋体"/>
          <w:color w:val="000000" w:themeColor="text1"/>
          <w:u w:val="single"/>
          <w14:textFill>
            <w14:solidFill>
              <w14:schemeClr w14:val="tx1"/>
            </w14:solidFill>
          </w14:textFill>
        </w:rPr>
        <w:t>肆套</w:t>
      </w:r>
      <w:r>
        <w:rPr>
          <w:rFonts w:hint="eastAsia" w:ascii="宋体" w:hAnsi="宋体" w:cs="宋体"/>
          <w:color w:val="000000" w:themeColor="text1"/>
          <w14:textFill>
            <w14:solidFill>
              <w14:schemeClr w14:val="tx1"/>
            </w14:solidFill>
          </w14:textFill>
        </w:rPr>
        <w:t>；</w:t>
      </w:r>
    </w:p>
    <w:p w14:paraId="699AD423">
      <w:pPr>
        <w:pStyle w:val="102"/>
        <w:spacing w:line="400" w:lineRule="exact"/>
        <w:rPr>
          <w:rFonts w:hint="eastAsia"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承包人提供的文件的形式为：</w:t>
      </w:r>
      <w:r>
        <w:rPr>
          <w:rFonts w:hint="eastAsia" w:ascii="宋体" w:hAnsi="宋体" w:cs="宋体"/>
          <w:color w:val="000000" w:themeColor="text1"/>
          <w:u w:val="single"/>
          <w14:textFill>
            <w14:solidFill>
              <w14:schemeClr w14:val="tx1"/>
            </w14:solidFill>
          </w14:textFill>
        </w:rPr>
        <w:t>纸质版及相应电子文档</w:t>
      </w:r>
      <w:r>
        <w:rPr>
          <w:rFonts w:hint="eastAsia" w:ascii="宋体" w:hAnsi="宋体" w:cs="宋体"/>
          <w:color w:val="000000" w:themeColor="text1"/>
          <w14:textFill>
            <w14:solidFill>
              <w14:schemeClr w14:val="tx1"/>
            </w14:solidFill>
          </w14:textFill>
        </w:rPr>
        <w:t>；</w:t>
      </w:r>
    </w:p>
    <w:p w14:paraId="5E4A56F0">
      <w:pPr>
        <w:pStyle w:val="102"/>
        <w:spacing w:line="400" w:lineRule="exact"/>
        <w:rPr>
          <w:rFonts w:hint="eastAsia"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发包人审批承包人文件的期限：</w:t>
      </w:r>
      <w:r>
        <w:rPr>
          <w:rFonts w:hint="eastAsia" w:ascii="宋体" w:hAnsi="宋体" w:cs="宋体"/>
          <w:color w:val="000000" w:themeColor="text1"/>
          <w:u w:val="single"/>
          <w14:textFill>
            <w14:solidFill>
              <w14:schemeClr w14:val="tx1"/>
            </w14:solidFill>
          </w14:textFill>
        </w:rPr>
        <w:t>自收到承包人提供的文件之日起10天内</w:t>
      </w:r>
      <w:r>
        <w:rPr>
          <w:rFonts w:hint="eastAsia" w:ascii="宋体" w:hAnsi="宋体" w:cs="宋体"/>
          <w:color w:val="000000" w:themeColor="text1"/>
          <w14:textFill>
            <w14:solidFill>
              <w14:schemeClr w14:val="tx1"/>
            </w14:solidFill>
          </w14:textFill>
        </w:rPr>
        <w:t>。</w:t>
      </w:r>
    </w:p>
    <w:p w14:paraId="68D03E7C">
      <w:pPr>
        <w:pStyle w:val="102"/>
        <w:spacing w:line="400" w:lineRule="exact"/>
        <w:rPr>
          <w:rFonts w:hint="eastAsia"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1.6.5 现场图纸准备</w:t>
      </w:r>
    </w:p>
    <w:p w14:paraId="05F4763E">
      <w:pPr>
        <w:pStyle w:val="102"/>
        <w:spacing w:line="400" w:lineRule="exact"/>
        <w:rPr>
          <w:rFonts w:hint="eastAsia"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关于现场图纸准备的约定：</w:t>
      </w:r>
      <w:r>
        <w:rPr>
          <w:rFonts w:hint="eastAsia" w:ascii="宋体" w:hAnsi="宋体" w:cs="宋体"/>
          <w:color w:val="000000" w:themeColor="text1"/>
          <w:u w:val="single"/>
          <w14:textFill>
            <w14:solidFill>
              <w14:schemeClr w14:val="tx1"/>
            </w14:solidFill>
          </w14:textFill>
        </w:rPr>
        <w:t>施工期间现场至少保留2套完整的图纸</w:t>
      </w:r>
      <w:r>
        <w:rPr>
          <w:rFonts w:hint="eastAsia" w:ascii="宋体" w:hAnsi="宋体" w:cs="宋体"/>
          <w:color w:val="000000" w:themeColor="text1"/>
          <w14:textFill>
            <w14:solidFill>
              <w14:schemeClr w14:val="tx1"/>
            </w14:solidFill>
          </w14:textFill>
        </w:rPr>
        <w:t>。</w:t>
      </w:r>
    </w:p>
    <w:p w14:paraId="619C5419">
      <w:pPr>
        <w:pStyle w:val="96"/>
        <w:spacing w:before="0" w:after="200" w:line="400" w:lineRule="exact"/>
        <w:rPr>
          <w:rFonts w:hint="eastAsia" w:ascii="宋体" w:cs="宋体"/>
          <w:bCs w:val="0"/>
          <w:color w:val="000000" w:themeColor="text1"/>
          <w14:textFill>
            <w14:solidFill>
              <w14:schemeClr w14:val="tx1"/>
            </w14:solidFill>
          </w14:textFill>
        </w:rPr>
      </w:pPr>
      <w:bookmarkStart w:id="405" w:name="_Toc520505845"/>
      <w:bookmarkStart w:id="406" w:name="_Toc406522219"/>
      <w:bookmarkStart w:id="407" w:name="_Toc173253175"/>
      <w:bookmarkStart w:id="408" w:name="_Toc185770427"/>
      <w:bookmarkStart w:id="409" w:name="_Toc7022"/>
      <w:r>
        <w:rPr>
          <w:rFonts w:hint="eastAsia" w:ascii="宋体" w:cs="宋体"/>
          <w:bCs w:val="0"/>
          <w:color w:val="000000" w:themeColor="text1"/>
          <w14:textFill>
            <w14:solidFill>
              <w14:schemeClr w14:val="tx1"/>
            </w14:solidFill>
          </w14:textFill>
        </w:rPr>
        <w:t>1.7 联络</w:t>
      </w:r>
      <w:bookmarkEnd w:id="405"/>
      <w:bookmarkEnd w:id="406"/>
      <w:bookmarkEnd w:id="407"/>
      <w:bookmarkEnd w:id="408"/>
      <w:bookmarkEnd w:id="409"/>
    </w:p>
    <w:p w14:paraId="4CCDBE7B">
      <w:pPr>
        <w:pStyle w:val="102"/>
        <w:spacing w:line="400" w:lineRule="exact"/>
        <w:rPr>
          <w:rFonts w:hint="eastAsia"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1.7.1发包人和承包人应当在</w:t>
      </w:r>
      <w:r>
        <w:rPr>
          <w:rFonts w:hint="eastAsia" w:ascii="宋体" w:hAnsi="宋体" w:cs="宋体"/>
          <w:color w:val="000000" w:themeColor="text1"/>
          <w:u w:val="single"/>
          <w14:textFill>
            <w14:solidFill>
              <w14:schemeClr w14:val="tx1"/>
            </w14:solidFill>
          </w14:textFill>
        </w:rPr>
        <w:t xml:space="preserve">  7　</w:t>
      </w:r>
      <w:r>
        <w:rPr>
          <w:rFonts w:hint="eastAsia" w:ascii="宋体" w:hAnsi="宋体" w:cs="宋体"/>
          <w:color w:val="000000" w:themeColor="text1"/>
          <w14:textFill>
            <w14:solidFill>
              <w14:schemeClr w14:val="tx1"/>
            </w14:solidFill>
          </w14:textFill>
        </w:rPr>
        <w:t>天内将与合同有关的通知、批准、证明、证书、指示、指令、要求、请求、同意、意见、确定和决定等书面函件送达对方当事人。</w:t>
      </w:r>
    </w:p>
    <w:p w14:paraId="22FEC5D6">
      <w:pPr>
        <w:pStyle w:val="102"/>
        <w:spacing w:line="400" w:lineRule="exact"/>
        <w:rPr>
          <w:rFonts w:hint="eastAsia"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1.7.2 发包人接收文件的地点：</w:t>
      </w:r>
      <w:r>
        <w:rPr>
          <w:rFonts w:hint="eastAsia" w:ascii="宋体" w:hAnsi="宋体" w:cs="宋体"/>
          <w:color w:val="000000" w:themeColor="text1"/>
          <w:u w:val="single"/>
          <w14:textFill>
            <w14:solidFill>
              <w14:schemeClr w14:val="tx1"/>
            </w14:solidFill>
          </w14:textFill>
        </w:rPr>
        <w:t>（</w:t>
      </w:r>
      <w:r>
        <w:rPr>
          <w:rFonts w:hint="eastAsia" w:ascii="宋体" w:hAnsi="宋体" w:cs="宋体"/>
          <w:color w:val="000000" w:themeColor="text1"/>
          <w:u w:val="single"/>
          <w:lang w:eastAsia="zh-CN"/>
          <w14:textFill>
            <w14:solidFill>
              <w14:schemeClr w14:val="tx1"/>
            </w14:solidFill>
          </w14:textFill>
        </w:rPr>
        <w:t>成交后</w:t>
      </w:r>
      <w:r>
        <w:rPr>
          <w:rFonts w:hint="eastAsia" w:ascii="宋体" w:hAnsi="宋体" w:cs="宋体"/>
          <w:color w:val="000000" w:themeColor="text1"/>
          <w:u w:val="single"/>
          <w14:textFill>
            <w14:solidFill>
              <w14:schemeClr w14:val="tx1"/>
            </w14:solidFill>
          </w14:textFill>
        </w:rPr>
        <w:t>填写）</w:t>
      </w:r>
      <w:r>
        <w:rPr>
          <w:rFonts w:hint="eastAsia" w:ascii="宋体" w:hAnsi="宋体" w:cs="宋体"/>
          <w:color w:val="000000" w:themeColor="text1"/>
          <w14:textFill>
            <w14:solidFill>
              <w14:schemeClr w14:val="tx1"/>
            </w14:solidFill>
          </w14:textFill>
        </w:rPr>
        <w:t>；</w:t>
      </w:r>
    </w:p>
    <w:p w14:paraId="1C6F1215">
      <w:pPr>
        <w:pStyle w:val="102"/>
        <w:spacing w:line="400" w:lineRule="exact"/>
        <w:rPr>
          <w:rFonts w:hint="eastAsia"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发包人指定的接收人为：</w:t>
      </w:r>
      <w:r>
        <w:rPr>
          <w:rFonts w:hint="eastAsia" w:ascii="宋体" w:hAnsi="宋体" w:cs="宋体"/>
          <w:color w:val="000000" w:themeColor="text1"/>
          <w:u w:val="single"/>
          <w14:textFill>
            <w14:solidFill>
              <w14:schemeClr w14:val="tx1"/>
            </w14:solidFill>
          </w14:textFill>
        </w:rPr>
        <w:t>（</w:t>
      </w:r>
      <w:r>
        <w:rPr>
          <w:rFonts w:hint="eastAsia" w:ascii="宋体" w:hAnsi="宋体" w:cs="宋体"/>
          <w:color w:val="000000" w:themeColor="text1"/>
          <w:u w:val="single"/>
          <w:lang w:eastAsia="zh-CN"/>
          <w14:textFill>
            <w14:solidFill>
              <w14:schemeClr w14:val="tx1"/>
            </w14:solidFill>
          </w14:textFill>
        </w:rPr>
        <w:t>成交后</w:t>
      </w:r>
      <w:r>
        <w:rPr>
          <w:rFonts w:hint="eastAsia" w:ascii="宋体" w:hAnsi="宋体" w:cs="宋体"/>
          <w:color w:val="000000" w:themeColor="text1"/>
          <w:u w:val="single"/>
          <w14:textFill>
            <w14:solidFill>
              <w14:schemeClr w14:val="tx1"/>
            </w14:solidFill>
          </w14:textFill>
        </w:rPr>
        <w:t>填写）</w:t>
      </w:r>
      <w:r>
        <w:rPr>
          <w:rFonts w:hint="eastAsia" w:ascii="宋体" w:hAnsi="宋体" w:cs="宋体"/>
          <w:color w:val="000000" w:themeColor="text1"/>
          <w14:textFill>
            <w14:solidFill>
              <w14:schemeClr w14:val="tx1"/>
            </w14:solidFill>
          </w14:textFill>
        </w:rPr>
        <w:t>。</w:t>
      </w:r>
    </w:p>
    <w:p w14:paraId="2316544F">
      <w:pPr>
        <w:pStyle w:val="102"/>
        <w:spacing w:line="400" w:lineRule="exact"/>
        <w:rPr>
          <w:rFonts w:hint="eastAsia"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承包人接收文件的地点：</w:t>
      </w:r>
      <w:r>
        <w:rPr>
          <w:rFonts w:hint="eastAsia" w:ascii="宋体" w:hAnsi="宋体" w:cs="宋体"/>
          <w:color w:val="000000" w:themeColor="text1"/>
          <w:u w:val="single"/>
          <w14:textFill>
            <w14:solidFill>
              <w14:schemeClr w14:val="tx1"/>
            </w14:solidFill>
          </w14:textFill>
        </w:rPr>
        <w:t>（</w:t>
      </w:r>
      <w:r>
        <w:rPr>
          <w:rFonts w:hint="eastAsia" w:ascii="宋体" w:hAnsi="宋体" w:cs="宋体"/>
          <w:color w:val="000000" w:themeColor="text1"/>
          <w:u w:val="single"/>
          <w:lang w:eastAsia="zh-CN"/>
          <w14:textFill>
            <w14:solidFill>
              <w14:schemeClr w14:val="tx1"/>
            </w14:solidFill>
          </w14:textFill>
        </w:rPr>
        <w:t>成交后</w:t>
      </w:r>
      <w:r>
        <w:rPr>
          <w:rFonts w:hint="eastAsia" w:ascii="宋体" w:hAnsi="宋体" w:cs="宋体"/>
          <w:color w:val="000000" w:themeColor="text1"/>
          <w:u w:val="single"/>
          <w14:textFill>
            <w14:solidFill>
              <w14:schemeClr w14:val="tx1"/>
            </w14:solidFill>
          </w14:textFill>
        </w:rPr>
        <w:t>填写）</w:t>
      </w:r>
      <w:r>
        <w:rPr>
          <w:rFonts w:hint="eastAsia" w:ascii="宋体" w:hAnsi="宋体" w:cs="宋体"/>
          <w:color w:val="000000" w:themeColor="text1"/>
          <w14:textFill>
            <w14:solidFill>
              <w14:schemeClr w14:val="tx1"/>
            </w14:solidFill>
          </w14:textFill>
        </w:rPr>
        <w:t>；</w:t>
      </w:r>
    </w:p>
    <w:p w14:paraId="0499C1B5">
      <w:pPr>
        <w:pStyle w:val="102"/>
        <w:spacing w:line="400" w:lineRule="exact"/>
        <w:rPr>
          <w:rFonts w:hint="eastAsia"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承包人指定的接收人为：</w:t>
      </w:r>
      <w:r>
        <w:rPr>
          <w:rFonts w:hint="eastAsia" w:ascii="宋体" w:hAnsi="宋体" w:cs="宋体"/>
          <w:color w:val="000000" w:themeColor="text1"/>
          <w:u w:val="single"/>
          <w14:textFill>
            <w14:solidFill>
              <w14:schemeClr w14:val="tx1"/>
            </w14:solidFill>
          </w14:textFill>
        </w:rPr>
        <w:t>（</w:t>
      </w:r>
      <w:r>
        <w:rPr>
          <w:rFonts w:hint="eastAsia" w:ascii="宋体" w:hAnsi="宋体" w:cs="宋体"/>
          <w:color w:val="000000" w:themeColor="text1"/>
          <w:u w:val="single"/>
          <w:lang w:eastAsia="zh-CN"/>
          <w14:textFill>
            <w14:solidFill>
              <w14:schemeClr w14:val="tx1"/>
            </w14:solidFill>
          </w14:textFill>
        </w:rPr>
        <w:t>成交后</w:t>
      </w:r>
      <w:r>
        <w:rPr>
          <w:rFonts w:hint="eastAsia" w:ascii="宋体" w:hAnsi="宋体" w:cs="宋体"/>
          <w:color w:val="000000" w:themeColor="text1"/>
          <w:u w:val="single"/>
          <w14:textFill>
            <w14:solidFill>
              <w14:schemeClr w14:val="tx1"/>
            </w14:solidFill>
          </w14:textFill>
        </w:rPr>
        <w:t>填写）</w:t>
      </w:r>
      <w:r>
        <w:rPr>
          <w:rFonts w:hint="eastAsia" w:ascii="宋体" w:hAnsi="宋体" w:cs="宋体"/>
          <w:color w:val="000000" w:themeColor="text1"/>
          <w14:textFill>
            <w14:solidFill>
              <w14:schemeClr w14:val="tx1"/>
            </w14:solidFill>
          </w14:textFill>
        </w:rPr>
        <w:t>。</w:t>
      </w:r>
    </w:p>
    <w:p w14:paraId="68974FD2">
      <w:pPr>
        <w:pStyle w:val="102"/>
        <w:spacing w:line="400" w:lineRule="exact"/>
        <w:rPr>
          <w:rFonts w:hint="eastAsia"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监理人接收文件的地点：</w:t>
      </w:r>
      <w:r>
        <w:rPr>
          <w:rFonts w:hint="eastAsia" w:ascii="宋体" w:hAnsi="宋体" w:cs="宋体"/>
          <w:color w:val="000000" w:themeColor="text1"/>
          <w:u w:val="single"/>
          <w14:textFill>
            <w14:solidFill>
              <w14:schemeClr w14:val="tx1"/>
            </w14:solidFill>
          </w14:textFill>
        </w:rPr>
        <w:t>（</w:t>
      </w:r>
      <w:r>
        <w:rPr>
          <w:rFonts w:hint="eastAsia" w:ascii="宋体" w:hAnsi="宋体" w:cs="宋体"/>
          <w:color w:val="000000" w:themeColor="text1"/>
          <w:u w:val="single"/>
          <w:lang w:eastAsia="zh-CN"/>
          <w14:textFill>
            <w14:solidFill>
              <w14:schemeClr w14:val="tx1"/>
            </w14:solidFill>
          </w14:textFill>
        </w:rPr>
        <w:t>成交后</w:t>
      </w:r>
      <w:r>
        <w:rPr>
          <w:rFonts w:hint="eastAsia" w:ascii="宋体" w:hAnsi="宋体" w:cs="宋体"/>
          <w:color w:val="000000" w:themeColor="text1"/>
          <w:u w:val="single"/>
          <w14:textFill>
            <w14:solidFill>
              <w14:schemeClr w14:val="tx1"/>
            </w14:solidFill>
          </w14:textFill>
        </w:rPr>
        <w:t>填写）</w:t>
      </w:r>
      <w:r>
        <w:rPr>
          <w:rFonts w:hint="eastAsia" w:ascii="宋体" w:hAnsi="宋体" w:cs="宋体"/>
          <w:color w:val="000000" w:themeColor="text1"/>
          <w14:textFill>
            <w14:solidFill>
              <w14:schemeClr w14:val="tx1"/>
            </w14:solidFill>
          </w14:textFill>
        </w:rPr>
        <w:t>；</w:t>
      </w:r>
    </w:p>
    <w:p w14:paraId="0C4EDF03">
      <w:pPr>
        <w:pStyle w:val="102"/>
        <w:spacing w:line="400" w:lineRule="exact"/>
        <w:rPr>
          <w:rFonts w:hint="eastAsia"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监理人指定的接收人为：</w:t>
      </w:r>
      <w:r>
        <w:rPr>
          <w:rFonts w:hint="eastAsia" w:ascii="宋体" w:hAnsi="宋体" w:cs="宋体"/>
          <w:color w:val="000000" w:themeColor="text1"/>
          <w:u w:val="single"/>
          <w14:textFill>
            <w14:solidFill>
              <w14:schemeClr w14:val="tx1"/>
            </w14:solidFill>
          </w14:textFill>
        </w:rPr>
        <w:t>（</w:t>
      </w:r>
      <w:r>
        <w:rPr>
          <w:rFonts w:hint="eastAsia" w:ascii="宋体" w:hAnsi="宋体" w:cs="宋体"/>
          <w:color w:val="000000" w:themeColor="text1"/>
          <w:u w:val="single"/>
          <w:lang w:eastAsia="zh-CN"/>
          <w14:textFill>
            <w14:solidFill>
              <w14:schemeClr w14:val="tx1"/>
            </w14:solidFill>
          </w14:textFill>
        </w:rPr>
        <w:t>成交后</w:t>
      </w:r>
      <w:r>
        <w:rPr>
          <w:rFonts w:hint="eastAsia" w:ascii="宋体" w:hAnsi="宋体" w:cs="宋体"/>
          <w:color w:val="000000" w:themeColor="text1"/>
          <w:u w:val="single"/>
          <w14:textFill>
            <w14:solidFill>
              <w14:schemeClr w14:val="tx1"/>
            </w14:solidFill>
          </w14:textFill>
        </w:rPr>
        <w:t>填写）</w:t>
      </w:r>
      <w:r>
        <w:rPr>
          <w:rFonts w:hint="eastAsia" w:ascii="宋体" w:hAnsi="宋体" w:cs="宋体"/>
          <w:color w:val="000000" w:themeColor="text1"/>
          <w14:textFill>
            <w14:solidFill>
              <w14:schemeClr w14:val="tx1"/>
            </w14:solidFill>
          </w14:textFill>
        </w:rPr>
        <w:t>。</w:t>
      </w:r>
    </w:p>
    <w:p w14:paraId="330DFAB7">
      <w:pPr>
        <w:pStyle w:val="96"/>
        <w:spacing w:before="0" w:after="200" w:line="400" w:lineRule="exact"/>
        <w:rPr>
          <w:rFonts w:hint="eastAsia" w:ascii="宋体" w:cs="宋体"/>
          <w:bCs w:val="0"/>
          <w:color w:val="000000" w:themeColor="text1"/>
          <w14:textFill>
            <w14:solidFill>
              <w14:schemeClr w14:val="tx1"/>
            </w14:solidFill>
          </w14:textFill>
        </w:rPr>
      </w:pPr>
      <w:bookmarkStart w:id="410" w:name="_Toc173253176"/>
      <w:bookmarkStart w:id="411" w:name="_Toc13993"/>
      <w:bookmarkStart w:id="412" w:name="_Toc520505846"/>
      <w:bookmarkStart w:id="413" w:name="_Toc406522220"/>
      <w:bookmarkStart w:id="414" w:name="_Toc185770428"/>
      <w:r>
        <w:rPr>
          <w:rFonts w:hint="eastAsia" w:ascii="宋体" w:cs="宋体"/>
          <w:bCs w:val="0"/>
          <w:color w:val="000000" w:themeColor="text1"/>
          <w14:textFill>
            <w14:solidFill>
              <w14:schemeClr w14:val="tx1"/>
            </w14:solidFill>
          </w14:textFill>
        </w:rPr>
        <w:t>1.10 交通运输</w:t>
      </w:r>
      <w:bookmarkEnd w:id="410"/>
      <w:bookmarkEnd w:id="411"/>
      <w:bookmarkEnd w:id="412"/>
      <w:bookmarkEnd w:id="413"/>
      <w:bookmarkEnd w:id="414"/>
    </w:p>
    <w:p w14:paraId="408EBF65">
      <w:pPr>
        <w:pStyle w:val="102"/>
        <w:spacing w:line="400" w:lineRule="exact"/>
        <w:rPr>
          <w:rFonts w:hint="eastAsia"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1</w:t>
      </w:r>
      <w:bookmarkStart w:id="415" w:name="_Toc304295521"/>
      <w:bookmarkStart w:id="416" w:name="_Toc303539100"/>
      <w:bookmarkStart w:id="417" w:name="_Toc300934943"/>
      <w:bookmarkStart w:id="418" w:name="_Toc318581155"/>
      <w:bookmarkStart w:id="419" w:name="_Toc312677986"/>
      <w:r>
        <w:rPr>
          <w:rFonts w:hint="eastAsia" w:ascii="宋体" w:hAnsi="宋体" w:cs="宋体"/>
          <w:color w:val="000000" w:themeColor="text1"/>
          <w14:textFill>
            <w14:solidFill>
              <w14:schemeClr w14:val="tx1"/>
            </w14:solidFill>
          </w14:textFill>
        </w:rPr>
        <w:t>.10.1 出入现场的权利</w:t>
      </w:r>
    </w:p>
    <w:p w14:paraId="7EED63B8">
      <w:pPr>
        <w:pStyle w:val="102"/>
        <w:spacing w:line="400" w:lineRule="exact"/>
        <w:rPr>
          <w:rFonts w:hint="eastAsia"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关于出入现场的权利的约定：</w:t>
      </w:r>
      <w:r>
        <w:rPr>
          <w:rFonts w:hint="eastAsia" w:ascii="宋体" w:hAnsi="宋体" w:cs="宋体"/>
          <w:color w:val="000000" w:themeColor="text1"/>
          <w:u w:val="single"/>
          <w14:textFill>
            <w14:solidFill>
              <w14:schemeClr w14:val="tx1"/>
            </w14:solidFill>
          </w14:textFill>
        </w:rPr>
        <w:t>由承包人按照发包人要求负责取得出入施工现场所需的批准手续和全部权利。以及取得因施工所需修建道路、桥梁以及其他基础设施的权利，由发包人承担相关手续费用和建设费用。</w:t>
      </w:r>
    </w:p>
    <w:bookmarkEnd w:id="415"/>
    <w:bookmarkEnd w:id="416"/>
    <w:bookmarkEnd w:id="417"/>
    <w:bookmarkEnd w:id="418"/>
    <w:bookmarkEnd w:id="419"/>
    <w:p w14:paraId="2455E6B1">
      <w:pPr>
        <w:pStyle w:val="102"/>
        <w:spacing w:line="400" w:lineRule="exact"/>
        <w:rPr>
          <w:rFonts w:hint="eastAsia"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1</w:t>
      </w:r>
      <w:bookmarkStart w:id="420" w:name="_Toc304295522"/>
      <w:bookmarkStart w:id="421" w:name="_Toc303539101"/>
      <w:bookmarkStart w:id="422" w:name="_Toc312677987"/>
      <w:bookmarkStart w:id="423" w:name="_Toc318581156"/>
      <w:bookmarkStart w:id="424" w:name="_Toc300934944"/>
      <w:r>
        <w:rPr>
          <w:rFonts w:hint="eastAsia" w:ascii="宋体" w:hAnsi="宋体" w:cs="宋体"/>
          <w:color w:val="000000" w:themeColor="text1"/>
          <w14:textFill>
            <w14:solidFill>
              <w14:schemeClr w14:val="tx1"/>
            </w14:solidFill>
          </w14:textFill>
        </w:rPr>
        <w:t>.10.3 场内交通</w:t>
      </w:r>
    </w:p>
    <w:p w14:paraId="3887700E">
      <w:pPr>
        <w:pStyle w:val="102"/>
        <w:spacing w:line="400" w:lineRule="exact"/>
        <w:rPr>
          <w:rFonts w:hint="eastAsia"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关于场外交通和场内交通的边界的约定：</w:t>
      </w:r>
      <w:r>
        <w:rPr>
          <w:rFonts w:hint="eastAsia" w:ascii="宋体" w:hAnsi="宋体" w:cs="宋体"/>
          <w:color w:val="000000" w:themeColor="text1"/>
          <w:u w:val="single"/>
          <w14:textFill>
            <w14:solidFill>
              <w14:schemeClr w14:val="tx1"/>
            </w14:solidFill>
          </w14:textFill>
        </w:rPr>
        <w:t>双方另行协商</w:t>
      </w:r>
      <w:r>
        <w:rPr>
          <w:rFonts w:hint="eastAsia" w:ascii="宋体" w:hAnsi="宋体" w:cs="宋体"/>
          <w:color w:val="000000" w:themeColor="text1"/>
          <w14:textFill>
            <w14:solidFill>
              <w14:schemeClr w14:val="tx1"/>
            </w14:solidFill>
          </w14:textFill>
        </w:rPr>
        <w:t>。</w:t>
      </w:r>
    </w:p>
    <w:p w14:paraId="204256E5">
      <w:pPr>
        <w:pStyle w:val="102"/>
        <w:spacing w:line="400" w:lineRule="exact"/>
        <w:rPr>
          <w:rFonts w:hint="eastAsia"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关于发包人向承包人免费提供满足工程施工需要的场内道路和交通设施的约定：</w:t>
      </w:r>
      <w:r>
        <w:rPr>
          <w:rFonts w:hint="eastAsia" w:ascii="宋体" w:hAnsi="宋体" w:cs="宋体"/>
          <w:color w:val="000000" w:themeColor="text1"/>
          <w:u w:val="single"/>
          <w14:textFill>
            <w14:solidFill>
              <w14:schemeClr w14:val="tx1"/>
            </w14:solidFill>
          </w14:textFill>
        </w:rPr>
        <w:t>施工现场内临时道路、水、电、排污、通讯由承包人负责建设并承担相关费用。</w:t>
      </w:r>
      <w:bookmarkEnd w:id="420"/>
      <w:bookmarkEnd w:id="421"/>
      <w:bookmarkEnd w:id="422"/>
      <w:bookmarkEnd w:id="423"/>
      <w:bookmarkEnd w:id="424"/>
      <w:r>
        <w:rPr>
          <w:rFonts w:hint="eastAsia" w:ascii="宋体" w:hAnsi="宋体" w:cs="宋体"/>
          <w:color w:val="000000" w:themeColor="text1"/>
          <w14:textFill>
            <w14:solidFill>
              <w14:schemeClr w14:val="tx1"/>
            </w14:solidFill>
          </w14:textFill>
        </w:rPr>
        <w:t xml:space="preserve">  </w:t>
      </w:r>
      <w:bookmarkStart w:id="425" w:name="_Toc318581157"/>
    </w:p>
    <w:p w14:paraId="43B45A83">
      <w:pPr>
        <w:pStyle w:val="102"/>
        <w:spacing w:line="400" w:lineRule="exact"/>
        <w:rPr>
          <w:rFonts w:hint="eastAsia"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1.10.4超大件和超重件的运输</w:t>
      </w:r>
    </w:p>
    <w:p w14:paraId="64571B3A">
      <w:pPr>
        <w:pStyle w:val="102"/>
        <w:spacing w:line="400" w:lineRule="exact"/>
        <w:rPr>
          <w:rFonts w:hint="eastAsia"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运输超大件或超重件所需的道路和桥梁临时加固改造费用和其他有关费用由</w:t>
      </w:r>
      <w:r>
        <w:rPr>
          <w:rFonts w:hint="eastAsia" w:ascii="宋体" w:hAnsi="宋体" w:cs="宋体"/>
          <w:color w:val="000000" w:themeColor="text1"/>
          <w:u w:val="single"/>
          <w14:textFill>
            <w14:solidFill>
              <w14:schemeClr w14:val="tx1"/>
            </w14:solidFill>
          </w14:textFill>
        </w:rPr>
        <w:t xml:space="preserve">承包人 </w:t>
      </w:r>
      <w:r>
        <w:rPr>
          <w:rFonts w:hint="eastAsia" w:ascii="宋体" w:hAnsi="宋体" w:cs="宋体"/>
          <w:color w:val="000000" w:themeColor="text1"/>
          <w14:textFill>
            <w14:solidFill>
              <w14:schemeClr w14:val="tx1"/>
            </w14:solidFill>
          </w14:textFill>
        </w:rPr>
        <w:t>承担。</w:t>
      </w:r>
    </w:p>
    <w:bookmarkEnd w:id="425"/>
    <w:p w14:paraId="1CED9DB2">
      <w:pPr>
        <w:pStyle w:val="96"/>
        <w:spacing w:before="0" w:after="200" w:line="400" w:lineRule="exact"/>
        <w:rPr>
          <w:rFonts w:hint="eastAsia" w:ascii="宋体" w:cs="宋体"/>
          <w:bCs w:val="0"/>
          <w:color w:val="000000" w:themeColor="text1"/>
          <w14:textFill>
            <w14:solidFill>
              <w14:schemeClr w14:val="tx1"/>
            </w14:solidFill>
          </w14:textFill>
        </w:rPr>
      </w:pPr>
      <w:bookmarkStart w:id="426" w:name="_Toc4195"/>
      <w:bookmarkStart w:id="427" w:name="_Toc185770429"/>
      <w:bookmarkStart w:id="428" w:name="_Toc173253177"/>
      <w:bookmarkStart w:id="429" w:name="_Toc406522221"/>
      <w:bookmarkStart w:id="430" w:name="_Toc520505847"/>
      <w:r>
        <w:rPr>
          <w:rFonts w:hint="eastAsia" w:ascii="宋体" w:cs="宋体"/>
          <w:bCs w:val="0"/>
          <w:color w:val="000000" w:themeColor="text1"/>
          <w14:textFill>
            <w14:solidFill>
              <w14:schemeClr w14:val="tx1"/>
            </w14:solidFill>
          </w14:textFill>
        </w:rPr>
        <w:t>1.11 知识产权</w:t>
      </w:r>
      <w:bookmarkEnd w:id="426"/>
      <w:bookmarkEnd w:id="427"/>
      <w:bookmarkEnd w:id="428"/>
      <w:bookmarkEnd w:id="429"/>
      <w:bookmarkEnd w:id="430"/>
    </w:p>
    <w:p w14:paraId="7A17F43D">
      <w:pPr>
        <w:pStyle w:val="102"/>
        <w:spacing w:line="400" w:lineRule="exact"/>
        <w:rPr>
          <w:rFonts w:hint="eastAsia"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1.11.1关于发包人提供给承包人的图纸、发包人为实施工程自行编制或委托编制的技术规范以及反映发包人关于合同要求或其他类似性质的文件的著作权的归属：</w:t>
      </w:r>
      <w:r>
        <w:rPr>
          <w:rFonts w:hint="eastAsia" w:ascii="宋体" w:hAnsi="宋体" w:cs="宋体"/>
          <w:color w:val="000000" w:themeColor="text1"/>
          <w:u w:val="single"/>
          <w14:textFill>
            <w14:solidFill>
              <w14:schemeClr w14:val="tx1"/>
            </w14:solidFill>
          </w14:textFill>
        </w:rPr>
        <w:t>按通用条款执行</w:t>
      </w:r>
      <w:r>
        <w:rPr>
          <w:rFonts w:hint="eastAsia" w:ascii="宋体" w:hAnsi="宋体" w:cs="宋体"/>
          <w:color w:val="000000" w:themeColor="text1"/>
          <w14:textFill>
            <w14:solidFill>
              <w14:schemeClr w14:val="tx1"/>
            </w14:solidFill>
          </w14:textFill>
        </w:rPr>
        <w:t>。</w:t>
      </w:r>
    </w:p>
    <w:p w14:paraId="595908C0">
      <w:pPr>
        <w:pStyle w:val="102"/>
        <w:spacing w:line="400" w:lineRule="exact"/>
        <w:rPr>
          <w:rFonts w:hint="eastAsia"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关于发包人提供的上述文件的使用限制的要求：</w:t>
      </w:r>
      <w:r>
        <w:rPr>
          <w:rFonts w:hint="eastAsia" w:ascii="宋体" w:hAnsi="宋体" w:cs="宋体"/>
          <w:color w:val="000000" w:themeColor="text1"/>
          <w:u w:val="single"/>
          <w14:textFill>
            <w14:solidFill>
              <w14:schemeClr w14:val="tx1"/>
            </w14:solidFill>
          </w14:textFill>
        </w:rPr>
        <w:t>按通用条款执行</w:t>
      </w:r>
      <w:r>
        <w:rPr>
          <w:rFonts w:hint="eastAsia" w:ascii="宋体" w:hAnsi="宋体" w:cs="宋体"/>
          <w:color w:val="000000" w:themeColor="text1"/>
          <w14:textFill>
            <w14:solidFill>
              <w14:schemeClr w14:val="tx1"/>
            </w14:solidFill>
          </w14:textFill>
        </w:rPr>
        <w:t>。</w:t>
      </w:r>
    </w:p>
    <w:p w14:paraId="4214F6DB">
      <w:pPr>
        <w:pStyle w:val="102"/>
        <w:spacing w:line="400" w:lineRule="exact"/>
        <w:rPr>
          <w:rFonts w:hint="eastAsia"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1.11.2 关于承包人为实施工程所编制文件的著作权的归属：</w:t>
      </w:r>
      <w:r>
        <w:rPr>
          <w:rFonts w:hint="eastAsia" w:ascii="宋体" w:hAnsi="宋体" w:cs="宋体"/>
          <w:color w:val="000000" w:themeColor="text1"/>
          <w:u w:val="single"/>
          <w14:textFill>
            <w14:solidFill>
              <w14:schemeClr w14:val="tx1"/>
            </w14:solidFill>
          </w14:textFill>
        </w:rPr>
        <w:t>按通用条款执行</w:t>
      </w:r>
      <w:r>
        <w:rPr>
          <w:rFonts w:hint="eastAsia" w:ascii="宋体" w:hAnsi="宋体" w:cs="宋体"/>
          <w:color w:val="000000" w:themeColor="text1"/>
          <w14:textFill>
            <w14:solidFill>
              <w14:schemeClr w14:val="tx1"/>
            </w14:solidFill>
          </w14:textFill>
        </w:rPr>
        <w:t>。</w:t>
      </w:r>
    </w:p>
    <w:p w14:paraId="161AF400">
      <w:pPr>
        <w:pStyle w:val="102"/>
        <w:spacing w:line="400" w:lineRule="exact"/>
        <w:rPr>
          <w:rFonts w:hint="eastAsia"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关于承包人提供的上述文件的使用限制的要求：</w:t>
      </w:r>
      <w:r>
        <w:rPr>
          <w:rFonts w:hint="eastAsia" w:ascii="宋体" w:hAnsi="宋体" w:cs="宋体"/>
          <w:color w:val="000000" w:themeColor="text1"/>
          <w:u w:val="single"/>
          <w14:textFill>
            <w14:solidFill>
              <w14:schemeClr w14:val="tx1"/>
            </w14:solidFill>
          </w14:textFill>
        </w:rPr>
        <w:t>按通用条款执行</w:t>
      </w:r>
      <w:r>
        <w:rPr>
          <w:rFonts w:hint="eastAsia" w:ascii="宋体" w:hAnsi="宋体" w:cs="宋体"/>
          <w:color w:val="000000" w:themeColor="text1"/>
          <w14:textFill>
            <w14:solidFill>
              <w14:schemeClr w14:val="tx1"/>
            </w14:solidFill>
          </w14:textFill>
        </w:rPr>
        <w:t>。</w:t>
      </w:r>
    </w:p>
    <w:p w14:paraId="711428F9">
      <w:pPr>
        <w:pStyle w:val="102"/>
        <w:spacing w:line="400" w:lineRule="exact"/>
        <w:rPr>
          <w:rFonts w:hint="eastAsia" w:ascii="宋体" w:hAnsi="宋体" w:cs="宋体"/>
          <w:color w:val="000000" w:themeColor="text1"/>
          <w:u w:val="single"/>
          <w14:textFill>
            <w14:solidFill>
              <w14:schemeClr w14:val="tx1"/>
            </w14:solidFill>
          </w14:textFill>
        </w:rPr>
      </w:pPr>
      <w:r>
        <w:rPr>
          <w:rFonts w:hint="eastAsia" w:ascii="宋体" w:hAnsi="宋体" w:cs="宋体"/>
          <w:color w:val="000000" w:themeColor="text1"/>
          <w14:textFill>
            <w14:solidFill>
              <w14:schemeClr w14:val="tx1"/>
            </w14:solidFill>
          </w14:textFill>
        </w:rPr>
        <w:t>1.11.4 承包人在施工过程中所采用的专利、专有技术、技术秘密的使用费的承担方式：</w:t>
      </w:r>
      <w:r>
        <w:rPr>
          <w:rFonts w:hint="eastAsia" w:ascii="宋体" w:hAnsi="宋体" w:cs="宋体"/>
          <w:color w:val="000000" w:themeColor="text1"/>
          <w:u w:val="single"/>
          <w14:textFill>
            <w14:solidFill>
              <w14:schemeClr w14:val="tx1"/>
            </w14:solidFill>
          </w14:textFill>
        </w:rPr>
        <w:t>由承包人自行承担相关费用</w:t>
      </w:r>
      <w:r>
        <w:rPr>
          <w:rFonts w:hint="eastAsia" w:ascii="宋体" w:hAnsi="宋体" w:cs="宋体"/>
          <w:color w:val="000000" w:themeColor="text1"/>
          <w14:textFill>
            <w14:solidFill>
              <w14:schemeClr w14:val="tx1"/>
            </w14:solidFill>
          </w14:textFill>
        </w:rPr>
        <w:t>。</w:t>
      </w:r>
    </w:p>
    <w:p w14:paraId="79045E5B">
      <w:pPr>
        <w:pStyle w:val="102"/>
        <w:spacing w:after="200" w:line="400" w:lineRule="exact"/>
        <w:ind w:firstLine="0" w:firstLineChars="0"/>
        <w:rPr>
          <w:rFonts w:hint="eastAsia" w:ascii="宋体" w:hAnsi="宋体" w:cs="宋体"/>
          <w:b/>
          <w:color w:val="000000" w:themeColor="text1"/>
          <w14:textFill>
            <w14:solidFill>
              <w14:schemeClr w14:val="tx1"/>
            </w14:solidFill>
          </w14:textFill>
        </w:rPr>
      </w:pPr>
      <w:r>
        <w:rPr>
          <w:rFonts w:hint="eastAsia" w:ascii="宋体" w:hAnsi="宋体" w:cs="宋体"/>
          <w:b/>
          <w:color w:val="000000" w:themeColor="text1"/>
          <w14:textFill>
            <w14:solidFill>
              <w14:schemeClr w14:val="tx1"/>
            </w14:solidFill>
          </w14:textFill>
        </w:rPr>
        <w:t>1.13工程量清单错误的修正</w:t>
      </w:r>
    </w:p>
    <w:p w14:paraId="7D3326DC">
      <w:pPr>
        <w:pStyle w:val="102"/>
        <w:spacing w:line="400" w:lineRule="exact"/>
        <w:rPr>
          <w:rFonts w:hint="eastAsia"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出现工程量清单错误时，是否调整合同价格：</w:t>
      </w:r>
      <w:r>
        <w:rPr>
          <w:rFonts w:hint="eastAsia" w:ascii="宋体" w:hAnsi="宋体" w:cs="宋体"/>
          <w:color w:val="000000" w:themeColor="text1"/>
          <w:u w:val="single"/>
          <w14:textFill>
            <w14:solidFill>
              <w14:schemeClr w14:val="tx1"/>
            </w14:solidFill>
          </w14:textFill>
        </w:rPr>
        <w:t>允许调整合同价格。工程量清单存在缺项、漏项的，工程量按实际发生计量，其结算综合单价按下列方法进行确定：（1）已</w:t>
      </w:r>
      <w:r>
        <w:rPr>
          <w:rFonts w:hint="eastAsia" w:ascii="宋体" w:hAnsi="宋体" w:cs="宋体"/>
          <w:color w:val="000000" w:themeColor="text1"/>
          <w:spacing w:val="-1"/>
          <w:u w:val="single"/>
          <w14:textFill>
            <w14:solidFill>
              <w14:schemeClr w14:val="tx1"/>
            </w14:solidFill>
          </w14:textFill>
        </w:rPr>
        <w:t>标</w:t>
      </w:r>
      <w:r>
        <w:rPr>
          <w:rFonts w:hint="eastAsia" w:ascii="宋体" w:hAnsi="宋体" w:cs="宋体"/>
          <w:color w:val="000000" w:themeColor="text1"/>
          <w:u w:val="single"/>
          <w14:textFill>
            <w14:solidFill>
              <w14:schemeClr w14:val="tx1"/>
            </w14:solidFill>
          </w14:textFill>
        </w:rPr>
        <w:t>价工程量清单中有适用的子目，采用该子目的单价。（2）已</w:t>
      </w:r>
      <w:r>
        <w:rPr>
          <w:rFonts w:hint="eastAsia" w:ascii="宋体" w:hAnsi="宋体" w:cs="宋体"/>
          <w:color w:val="000000" w:themeColor="text1"/>
          <w:spacing w:val="-1"/>
          <w:u w:val="single"/>
          <w14:textFill>
            <w14:solidFill>
              <w14:schemeClr w14:val="tx1"/>
            </w14:solidFill>
          </w14:textFill>
        </w:rPr>
        <w:t>标</w:t>
      </w:r>
      <w:r>
        <w:rPr>
          <w:rFonts w:hint="eastAsia" w:ascii="宋体" w:hAnsi="宋体" w:cs="宋体"/>
          <w:color w:val="000000" w:themeColor="text1"/>
          <w:u w:val="single"/>
          <w14:textFill>
            <w14:solidFill>
              <w14:schemeClr w14:val="tx1"/>
            </w14:solidFill>
          </w14:textFill>
        </w:rPr>
        <w:t>价工程量清单中无适用于变更工作的子目</w:t>
      </w:r>
      <w:r>
        <w:rPr>
          <w:rFonts w:hint="eastAsia" w:ascii="宋体" w:hAnsi="宋体" w:cs="宋体"/>
          <w:color w:val="000000" w:themeColor="text1"/>
          <w:spacing w:val="-47"/>
          <w:u w:val="single"/>
          <w14:textFill>
            <w14:solidFill>
              <w14:schemeClr w14:val="tx1"/>
            </w14:solidFill>
          </w14:textFill>
        </w:rPr>
        <w:t>，</w:t>
      </w:r>
      <w:r>
        <w:rPr>
          <w:rFonts w:hint="eastAsia" w:ascii="宋体" w:hAnsi="宋体" w:cs="宋体"/>
          <w:color w:val="000000" w:themeColor="text1"/>
          <w:u w:val="single"/>
          <w14:textFill>
            <w14:solidFill>
              <w14:schemeClr w14:val="tx1"/>
            </w14:solidFill>
          </w14:textFill>
        </w:rPr>
        <w:t>但有类似子目的</w:t>
      </w:r>
      <w:r>
        <w:rPr>
          <w:rFonts w:hint="eastAsia" w:ascii="宋体" w:hAnsi="宋体" w:cs="宋体"/>
          <w:color w:val="000000" w:themeColor="text1"/>
          <w:spacing w:val="-47"/>
          <w:u w:val="single"/>
          <w14:textFill>
            <w14:solidFill>
              <w14:schemeClr w14:val="tx1"/>
            </w14:solidFill>
          </w14:textFill>
        </w:rPr>
        <w:t>，</w:t>
      </w:r>
      <w:r>
        <w:rPr>
          <w:rFonts w:hint="eastAsia" w:ascii="宋体" w:hAnsi="宋体" w:cs="宋体"/>
          <w:color w:val="000000" w:themeColor="text1"/>
          <w:u w:val="single"/>
          <w14:textFill>
            <w14:solidFill>
              <w14:schemeClr w14:val="tx1"/>
            </w14:solidFill>
          </w14:textFill>
        </w:rPr>
        <w:t>可在合理范围内参照类似子目的单价。（3）已标价工程量清单中无适用或类似子目的单价，土建工程执行2013年版《广西壮族自治区建筑装饰装修工程消耗量定额》、2016年《广西壮族自治区建设工程费用定额》及有关计价文件，有费率区间的按中值取费；水电安装执行广西2015年版《广西壮族自治区安装工程消耗量定额》、2016年《广西壮族自治区建设工程费用定额》及有关计价文件，有费率区间的按中值取费；其他相关项目使用2011版《广西壮族自治区拆除工程消耗量定额》、《广西壮族自治区建筑装饰装修工程节能消耗量定额》。按定额计算后按照投标时的响应报价与标底价下浮比例计算（4）材料价格根据《桂林市建设工程造价信息》公布的市场材料信息价，在施工期间的平均价格，无信息价的由发包人和承包人双方市场询价协商确定。（5）</w:t>
      </w:r>
      <w:r>
        <w:rPr>
          <w:rFonts w:hint="eastAsia" w:ascii="宋体" w:hAnsi="宋体" w:cs="宋体"/>
          <w:bCs/>
          <w:color w:val="000000" w:themeColor="text1"/>
          <w:u w:val="single"/>
          <w:lang w:val="zh-CN"/>
          <w14:textFill>
            <w14:solidFill>
              <w14:schemeClr w14:val="tx1"/>
            </w14:solidFill>
          </w14:textFill>
        </w:rPr>
        <w:t>根据市建规〔2003〕167号文，关于《桂林市生产和使用预拌混凝土实施细则》的通知精神，本工程在使用商品混凝土过程中，因商品混凝土生产厂家的原因不能按时提供商品混凝土时，如乙方使用现场搅拌混凝土，其发生的费用则按现场搅拌混凝土计算。</w:t>
      </w:r>
    </w:p>
    <w:p w14:paraId="57ECF73A">
      <w:pPr>
        <w:spacing w:line="400" w:lineRule="exact"/>
        <w:ind w:firstLine="520" w:firstLineChars="248"/>
        <w:rPr>
          <w:rFonts w:hint="eastAsia" w:ascii="宋体" w:hAnsi="宋体" w:cs="宋体"/>
          <w:b/>
          <w:color w:val="000000" w:themeColor="text1"/>
          <w:spacing w:val="-47"/>
          <w:position w:val="-2"/>
          <w:u w:val="single"/>
          <w14:textFill>
            <w14:solidFill>
              <w14:schemeClr w14:val="tx1"/>
            </w14:solidFill>
          </w14:textFill>
        </w:rPr>
      </w:pPr>
      <w:r>
        <w:rPr>
          <w:rFonts w:hint="eastAsia" w:ascii="宋体" w:hAnsi="宋体" w:cs="宋体"/>
          <w:color w:val="000000" w:themeColor="text1"/>
          <w:u w:val="single"/>
          <w14:textFill>
            <w14:solidFill>
              <w14:schemeClr w14:val="tx1"/>
            </w14:solidFill>
          </w14:textFill>
        </w:rPr>
        <w:t>国家和自治区及工程所在地政府或行政主管部门颁发文件调整人工、材料、机械台班及其它有关费用标准的，按文件规定之日起进行调整。</w:t>
      </w:r>
    </w:p>
    <w:p w14:paraId="35B9A6B4">
      <w:pPr>
        <w:pStyle w:val="102"/>
        <w:spacing w:line="400" w:lineRule="exact"/>
        <w:rPr>
          <w:rFonts w:hint="eastAsia"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允许调整合同价格的工程量偏差范围：</w:t>
      </w:r>
      <w:r>
        <w:rPr>
          <w:rFonts w:hint="eastAsia" w:ascii="宋体" w:hAnsi="宋体" w:cs="宋体"/>
          <w:color w:val="000000" w:themeColor="text1"/>
          <w:u w:val="single"/>
          <w14:textFill>
            <w14:solidFill>
              <w14:schemeClr w14:val="tx1"/>
            </w14:solidFill>
          </w14:textFill>
        </w:rPr>
        <w:t>工程量按实际完成的工程量计量，其综合单价不随工程量变化而变化</w:t>
      </w:r>
      <w:r>
        <w:rPr>
          <w:rFonts w:hint="eastAsia" w:ascii="宋体" w:hAnsi="宋体" w:cs="宋体"/>
          <w:color w:val="000000" w:themeColor="text1"/>
          <w14:textFill>
            <w14:solidFill>
              <w14:schemeClr w14:val="tx1"/>
            </w14:solidFill>
          </w14:textFill>
        </w:rPr>
        <w:t>。</w:t>
      </w:r>
    </w:p>
    <w:p w14:paraId="530F5334">
      <w:pPr>
        <w:pStyle w:val="96"/>
        <w:spacing w:before="0" w:after="200" w:line="400" w:lineRule="exact"/>
        <w:rPr>
          <w:rFonts w:hint="eastAsia" w:ascii="宋体" w:cs="宋体"/>
          <w:bCs w:val="0"/>
          <w:color w:val="000000" w:themeColor="text1"/>
          <w14:textFill>
            <w14:solidFill>
              <w14:schemeClr w14:val="tx1"/>
            </w14:solidFill>
          </w14:textFill>
        </w:rPr>
      </w:pPr>
      <w:bookmarkStart w:id="431" w:name="_Toc173253178"/>
      <w:bookmarkStart w:id="432" w:name="_Toc351203634"/>
      <w:bookmarkStart w:id="433" w:name="_Toc520505848"/>
      <w:bookmarkStart w:id="434" w:name="_Toc27235"/>
      <w:bookmarkStart w:id="435" w:name="_Toc406522222"/>
      <w:bookmarkStart w:id="436" w:name="_Toc185770430"/>
      <w:r>
        <w:rPr>
          <w:rFonts w:hint="eastAsia" w:ascii="宋体" w:cs="宋体"/>
          <w:bCs w:val="0"/>
          <w:color w:val="000000" w:themeColor="text1"/>
          <w14:textFill>
            <w14:solidFill>
              <w14:schemeClr w14:val="tx1"/>
            </w14:solidFill>
          </w14:textFill>
        </w:rPr>
        <w:t>2</w:t>
      </w:r>
      <w:bookmarkStart w:id="437" w:name="_Toc296503157"/>
      <w:bookmarkStart w:id="438" w:name="_Toc297120457"/>
      <w:bookmarkStart w:id="439" w:name="_Toc296944496"/>
      <w:bookmarkStart w:id="440" w:name="_Toc296347156"/>
      <w:bookmarkStart w:id="441" w:name="_Toc296890985"/>
      <w:bookmarkStart w:id="442" w:name="_Toc292559362"/>
      <w:bookmarkStart w:id="443" w:name="_Toc296891197"/>
      <w:bookmarkStart w:id="444" w:name="_Toc297048343"/>
      <w:bookmarkStart w:id="445" w:name="_Toc296346658"/>
      <w:bookmarkStart w:id="446" w:name="_Toc292559867"/>
      <w:r>
        <w:rPr>
          <w:rFonts w:hint="eastAsia" w:ascii="宋体" w:cs="宋体"/>
          <w:bCs w:val="0"/>
          <w:color w:val="000000" w:themeColor="text1"/>
          <w14:textFill>
            <w14:solidFill>
              <w14:schemeClr w14:val="tx1"/>
            </w14:solidFill>
          </w14:textFill>
        </w:rPr>
        <w:t>. 发包人</w:t>
      </w:r>
      <w:bookmarkEnd w:id="431"/>
      <w:bookmarkEnd w:id="432"/>
      <w:bookmarkEnd w:id="433"/>
      <w:bookmarkEnd w:id="434"/>
      <w:bookmarkEnd w:id="435"/>
      <w:bookmarkEnd w:id="436"/>
    </w:p>
    <w:bookmarkEnd w:id="437"/>
    <w:bookmarkEnd w:id="438"/>
    <w:bookmarkEnd w:id="439"/>
    <w:bookmarkEnd w:id="440"/>
    <w:bookmarkEnd w:id="441"/>
    <w:bookmarkEnd w:id="442"/>
    <w:bookmarkEnd w:id="443"/>
    <w:bookmarkEnd w:id="444"/>
    <w:bookmarkEnd w:id="445"/>
    <w:bookmarkEnd w:id="446"/>
    <w:p w14:paraId="14CE4E98">
      <w:pPr>
        <w:pStyle w:val="96"/>
        <w:spacing w:before="0" w:after="200" w:line="400" w:lineRule="exact"/>
        <w:rPr>
          <w:rFonts w:hint="eastAsia" w:ascii="宋体" w:cs="宋体"/>
          <w:bCs w:val="0"/>
          <w:color w:val="000000" w:themeColor="text1"/>
          <w14:textFill>
            <w14:solidFill>
              <w14:schemeClr w14:val="tx1"/>
            </w14:solidFill>
          </w14:textFill>
        </w:rPr>
      </w:pPr>
      <w:bookmarkStart w:id="447" w:name="_Toc520505849"/>
      <w:bookmarkStart w:id="448" w:name="_Toc10891"/>
      <w:bookmarkStart w:id="449" w:name="_Toc173253179"/>
      <w:bookmarkStart w:id="450" w:name="_Toc406522223"/>
      <w:bookmarkStart w:id="451" w:name="_Toc185770431"/>
      <w:r>
        <w:rPr>
          <w:rFonts w:hint="eastAsia" w:ascii="宋体" w:cs="宋体"/>
          <w:bCs w:val="0"/>
          <w:color w:val="000000" w:themeColor="text1"/>
          <w14:textFill>
            <w14:solidFill>
              <w14:schemeClr w14:val="tx1"/>
            </w14:solidFill>
          </w14:textFill>
        </w:rPr>
        <w:t>2.2 发包人代表</w:t>
      </w:r>
      <w:bookmarkEnd w:id="447"/>
      <w:bookmarkEnd w:id="448"/>
      <w:bookmarkEnd w:id="449"/>
      <w:bookmarkEnd w:id="450"/>
      <w:bookmarkEnd w:id="451"/>
    </w:p>
    <w:p w14:paraId="2CC7A1DD">
      <w:pPr>
        <w:pStyle w:val="102"/>
        <w:spacing w:line="400" w:lineRule="exact"/>
        <w:rPr>
          <w:rFonts w:hint="eastAsia"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发包人代表：</w:t>
      </w:r>
    </w:p>
    <w:p w14:paraId="5CEB8CF0">
      <w:pPr>
        <w:pStyle w:val="102"/>
        <w:spacing w:line="400" w:lineRule="exact"/>
        <w:rPr>
          <w:rFonts w:hint="eastAsia"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姓    名：</w:t>
      </w:r>
      <w:r>
        <w:rPr>
          <w:rFonts w:hint="eastAsia" w:ascii="宋体" w:hAnsi="宋体" w:cs="宋体"/>
          <w:color w:val="000000" w:themeColor="text1"/>
          <w:u w:val="single"/>
          <w14:textFill>
            <w14:solidFill>
              <w14:schemeClr w14:val="tx1"/>
            </w14:solidFill>
          </w14:textFill>
        </w:rPr>
        <w:t>（</w:t>
      </w:r>
      <w:r>
        <w:rPr>
          <w:rFonts w:hint="eastAsia" w:ascii="宋体" w:hAnsi="宋体" w:cs="宋体"/>
          <w:color w:val="000000" w:themeColor="text1"/>
          <w:u w:val="single"/>
          <w:lang w:eastAsia="zh-CN"/>
          <w14:textFill>
            <w14:solidFill>
              <w14:schemeClr w14:val="tx1"/>
            </w14:solidFill>
          </w14:textFill>
        </w:rPr>
        <w:t>成交后</w:t>
      </w:r>
      <w:r>
        <w:rPr>
          <w:rFonts w:hint="eastAsia" w:ascii="宋体" w:hAnsi="宋体" w:cs="宋体"/>
          <w:color w:val="000000" w:themeColor="text1"/>
          <w:u w:val="single"/>
          <w14:textFill>
            <w14:solidFill>
              <w14:schemeClr w14:val="tx1"/>
            </w14:solidFill>
          </w14:textFill>
        </w:rPr>
        <w:t>填写）</w:t>
      </w:r>
      <w:r>
        <w:rPr>
          <w:rFonts w:hint="eastAsia" w:ascii="宋体" w:hAnsi="宋体" w:cs="宋体"/>
          <w:color w:val="000000" w:themeColor="text1"/>
          <w14:textFill>
            <w14:solidFill>
              <w14:schemeClr w14:val="tx1"/>
            </w14:solidFill>
          </w14:textFill>
        </w:rPr>
        <w:t>；</w:t>
      </w:r>
    </w:p>
    <w:p w14:paraId="5D329E39">
      <w:pPr>
        <w:pStyle w:val="102"/>
        <w:spacing w:line="400" w:lineRule="exact"/>
        <w:rPr>
          <w:rFonts w:hint="eastAsia"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身份证号：</w:t>
      </w:r>
      <w:r>
        <w:rPr>
          <w:rFonts w:hint="eastAsia" w:ascii="宋体" w:hAnsi="宋体" w:cs="宋体"/>
          <w:color w:val="000000" w:themeColor="text1"/>
          <w:u w:val="single"/>
          <w14:textFill>
            <w14:solidFill>
              <w14:schemeClr w14:val="tx1"/>
            </w14:solidFill>
          </w14:textFill>
        </w:rPr>
        <w:t>（</w:t>
      </w:r>
      <w:r>
        <w:rPr>
          <w:rFonts w:hint="eastAsia" w:ascii="宋体" w:hAnsi="宋体" w:cs="宋体"/>
          <w:color w:val="000000" w:themeColor="text1"/>
          <w:u w:val="single"/>
          <w:lang w:eastAsia="zh-CN"/>
          <w14:textFill>
            <w14:solidFill>
              <w14:schemeClr w14:val="tx1"/>
            </w14:solidFill>
          </w14:textFill>
        </w:rPr>
        <w:t>成交后</w:t>
      </w:r>
      <w:r>
        <w:rPr>
          <w:rFonts w:hint="eastAsia" w:ascii="宋体" w:hAnsi="宋体" w:cs="宋体"/>
          <w:color w:val="000000" w:themeColor="text1"/>
          <w:u w:val="single"/>
          <w14:textFill>
            <w14:solidFill>
              <w14:schemeClr w14:val="tx1"/>
            </w14:solidFill>
          </w14:textFill>
        </w:rPr>
        <w:t>填写）</w:t>
      </w:r>
      <w:r>
        <w:rPr>
          <w:rFonts w:hint="eastAsia" w:ascii="宋体" w:hAnsi="宋体" w:cs="宋体"/>
          <w:color w:val="000000" w:themeColor="text1"/>
          <w14:textFill>
            <w14:solidFill>
              <w14:schemeClr w14:val="tx1"/>
            </w14:solidFill>
          </w14:textFill>
        </w:rPr>
        <w:t>；</w:t>
      </w:r>
    </w:p>
    <w:p w14:paraId="49447767">
      <w:pPr>
        <w:pStyle w:val="102"/>
        <w:spacing w:line="400" w:lineRule="exact"/>
        <w:rPr>
          <w:rFonts w:hint="eastAsia"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职    务：</w:t>
      </w:r>
      <w:r>
        <w:rPr>
          <w:rFonts w:hint="eastAsia" w:ascii="宋体" w:hAnsi="宋体" w:cs="宋体"/>
          <w:color w:val="000000" w:themeColor="text1"/>
          <w:u w:val="single"/>
          <w14:textFill>
            <w14:solidFill>
              <w14:schemeClr w14:val="tx1"/>
            </w14:solidFill>
          </w14:textFill>
        </w:rPr>
        <w:t>（</w:t>
      </w:r>
      <w:r>
        <w:rPr>
          <w:rFonts w:hint="eastAsia" w:ascii="宋体" w:hAnsi="宋体" w:cs="宋体"/>
          <w:color w:val="000000" w:themeColor="text1"/>
          <w:u w:val="single"/>
          <w:lang w:eastAsia="zh-CN"/>
          <w14:textFill>
            <w14:solidFill>
              <w14:schemeClr w14:val="tx1"/>
            </w14:solidFill>
          </w14:textFill>
        </w:rPr>
        <w:t>成交后</w:t>
      </w:r>
      <w:r>
        <w:rPr>
          <w:rFonts w:hint="eastAsia" w:ascii="宋体" w:hAnsi="宋体" w:cs="宋体"/>
          <w:color w:val="000000" w:themeColor="text1"/>
          <w:u w:val="single"/>
          <w14:textFill>
            <w14:solidFill>
              <w14:schemeClr w14:val="tx1"/>
            </w14:solidFill>
          </w14:textFill>
        </w:rPr>
        <w:t>填写）</w:t>
      </w:r>
      <w:r>
        <w:rPr>
          <w:rFonts w:hint="eastAsia" w:ascii="宋体" w:hAnsi="宋体" w:cs="宋体"/>
          <w:color w:val="000000" w:themeColor="text1"/>
          <w14:textFill>
            <w14:solidFill>
              <w14:schemeClr w14:val="tx1"/>
            </w14:solidFill>
          </w14:textFill>
        </w:rPr>
        <w:t>；</w:t>
      </w:r>
    </w:p>
    <w:p w14:paraId="77BE93D2">
      <w:pPr>
        <w:pStyle w:val="102"/>
        <w:spacing w:line="400" w:lineRule="exact"/>
        <w:rPr>
          <w:rFonts w:hint="eastAsia"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联系电话：</w:t>
      </w:r>
      <w:r>
        <w:rPr>
          <w:rFonts w:hint="eastAsia" w:ascii="宋体" w:hAnsi="宋体" w:cs="宋体"/>
          <w:color w:val="000000" w:themeColor="text1"/>
          <w:u w:val="single"/>
          <w14:textFill>
            <w14:solidFill>
              <w14:schemeClr w14:val="tx1"/>
            </w14:solidFill>
          </w14:textFill>
        </w:rPr>
        <w:t>（</w:t>
      </w:r>
      <w:r>
        <w:rPr>
          <w:rFonts w:hint="eastAsia" w:ascii="宋体" w:hAnsi="宋体" w:cs="宋体"/>
          <w:color w:val="000000" w:themeColor="text1"/>
          <w:u w:val="single"/>
          <w:lang w:eastAsia="zh-CN"/>
          <w14:textFill>
            <w14:solidFill>
              <w14:schemeClr w14:val="tx1"/>
            </w14:solidFill>
          </w14:textFill>
        </w:rPr>
        <w:t>成交后</w:t>
      </w:r>
      <w:r>
        <w:rPr>
          <w:rFonts w:hint="eastAsia" w:ascii="宋体" w:hAnsi="宋体" w:cs="宋体"/>
          <w:color w:val="000000" w:themeColor="text1"/>
          <w:u w:val="single"/>
          <w14:textFill>
            <w14:solidFill>
              <w14:schemeClr w14:val="tx1"/>
            </w14:solidFill>
          </w14:textFill>
        </w:rPr>
        <w:t>填写）</w:t>
      </w:r>
      <w:r>
        <w:rPr>
          <w:rFonts w:hint="eastAsia" w:ascii="宋体" w:hAnsi="宋体" w:cs="宋体"/>
          <w:color w:val="000000" w:themeColor="text1"/>
          <w14:textFill>
            <w14:solidFill>
              <w14:schemeClr w14:val="tx1"/>
            </w14:solidFill>
          </w14:textFill>
        </w:rPr>
        <w:t>；</w:t>
      </w:r>
    </w:p>
    <w:p w14:paraId="34C76E54">
      <w:pPr>
        <w:pStyle w:val="102"/>
        <w:spacing w:line="400" w:lineRule="exact"/>
        <w:rPr>
          <w:rFonts w:hint="eastAsia"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电子信箱：</w:t>
      </w:r>
      <w:r>
        <w:rPr>
          <w:rFonts w:hint="eastAsia" w:ascii="宋体" w:hAnsi="宋体" w:cs="宋体"/>
          <w:color w:val="000000" w:themeColor="text1"/>
          <w:u w:val="single"/>
          <w14:textFill>
            <w14:solidFill>
              <w14:schemeClr w14:val="tx1"/>
            </w14:solidFill>
          </w14:textFill>
        </w:rPr>
        <w:t>（</w:t>
      </w:r>
      <w:r>
        <w:rPr>
          <w:rFonts w:hint="eastAsia" w:ascii="宋体" w:hAnsi="宋体" w:cs="宋体"/>
          <w:color w:val="000000" w:themeColor="text1"/>
          <w:u w:val="single"/>
          <w:lang w:eastAsia="zh-CN"/>
          <w14:textFill>
            <w14:solidFill>
              <w14:schemeClr w14:val="tx1"/>
            </w14:solidFill>
          </w14:textFill>
        </w:rPr>
        <w:t>成交后</w:t>
      </w:r>
      <w:r>
        <w:rPr>
          <w:rFonts w:hint="eastAsia" w:ascii="宋体" w:hAnsi="宋体" w:cs="宋体"/>
          <w:color w:val="000000" w:themeColor="text1"/>
          <w:u w:val="single"/>
          <w14:textFill>
            <w14:solidFill>
              <w14:schemeClr w14:val="tx1"/>
            </w14:solidFill>
          </w14:textFill>
        </w:rPr>
        <w:t>填写）</w:t>
      </w:r>
      <w:r>
        <w:rPr>
          <w:rFonts w:hint="eastAsia" w:ascii="宋体" w:hAnsi="宋体" w:cs="宋体"/>
          <w:color w:val="000000" w:themeColor="text1"/>
          <w14:textFill>
            <w14:solidFill>
              <w14:schemeClr w14:val="tx1"/>
            </w14:solidFill>
          </w14:textFill>
        </w:rPr>
        <w:t>；</w:t>
      </w:r>
    </w:p>
    <w:p w14:paraId="5F4E45B3">
      <w:pPr>
        <w:pStyle w:val="102"/>
        <w:spacing w:line="400" w:lineRule="exact"/>
        <w:rPr>
          <w:rFonts w:hint="eastAsia"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通信地址：</w:t>
      </w:r>
      <w:r>
        <w:rPr>
          <w:rFonts w:hint="eastAsia" w:ascii="宋体" w:hAnsi="宋体" w:cs="宋体"/>
          <w:color w:val="000000" w:themeColor="text1"/>
          <w:u w:val="single"/>
          <w14:textFill>
            <w14:solidFill>
              <w14:schemeClr w14:val="tx1"/>
            </w14:solidFill>
          </w14:textFill>
        </w:rPr>
        <w:t>（</w:t>
      </w:r>
      <w:r>
        <w:rPr>
          <w:rFonts w:hint="eastAsia" w:ascii="宋体" w:hAnsi="宋体" w:cs="宋体"/>
          <w:color w:val="000000" w:themeColor="text1"/>
          <w:u w:val="single"/>
          <w:lang w:eastAsia="zh-CN"/>
          <w14:textFill>
            <w14:solidFill>
              <w14:schemeClr w14:val="tx1"/>
            </w14:solidFill>
          </w14:textFill>
        </w:rPr>
        <w:t>成交后</w:t>
      </w:r>
      <w:r>
        <w:rPr>
          <w:rFonts w:hint="eastAsia" w:ascii="宋体" w:hAnsi="宋体" w:cs="宋体"/>
          <w:color w:val="000000" w:themeColor="text1"/>
          <w:u w:val="single"/>
          <w14:textFill>
            <w14:solidFill>
              <w14:schemeClr w14:val="tx1"/>
            </w14:solidFill>
          </w14:textFill>
        </w:rPr>
        <w:t>填写）</w:t>
      </w:r>
      <w:r>
        <w:rPr>
          <w:rFonts w:hint="eastAsia" w:ascii="宋体" w:hAnsi="宋体" w:cs="宋体"/>
          <w:color w:val="000000" w:themeColor="text1"/>
          <w14:textFill>
            <w14:solidFill>
              <w14:schemeClr w14:val="tx1"/>
            </w14:solidFill>
          </w14:textFill>
        </w:rPr>
        <w:t>。</w:t>
      </w:r>
    </w:p>
    <w:p w14:paraId="7D3A8960">
      <w:pPr>
        <w:pStyle w:val="102"/>
        <w:spacing w:line="400" w:lineRule="exact"/>
        <w:rPr>
          <w:rFonts w:hint="eastAsia" w:ascii="宋体" w:hAnsi="宋体" w:cs="宋体"/>
          <w:b/>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发包人对发包人代表的授权范围如下：</w:t>
      </w:r>
      <w:r>
        <w:rPr>
          <w:rFonts w:hint="eastAsia" w:ascii="宋体" w:hAnsi="宋体" w:cs="宋体"/>
          <w:color w:val="000000" w:themeColor="text1"/>
          <w:u w:val="single"/>
          <w14:textFill>
            <w14:solidFill>
              <w14:schemeClr w14:val="tx1"/>
            </w14:solidFill>
          </w14:textFill>
        </w:rPr>
        <w:t>在本合同履行时代表发包人，对工程进度、质量、投资（成本）进行控制，负责图纸问题的处理、办理中间交工工程验收手续，负责现场签证，解决由发包人授权处理的事宜。但无权减轻合同中规定的承包人的责任或义务。发包人现场工程师可以随时向发包人现场代表授予发包人现场工程师的任何权力，并以书面形式向承包人确认。发包人项目部发出的所有文件必须经发包人现场工程师签署后方为有效。但涉及工程造价调整和工程量变更的一切文件和签证，工程师按</w:t>
      </w:r>
      <w:r>
        <w:rPr>
          <w:rFonts w:hint="eastAsia" w:ascii="宋体" w:hAnsi="宋体" w:cs="宋体"/>
          <w:color w:val="000000" w:themeColor="text1"/>
          <w:u w:val="single"/>
          <w:lang w:val="zh-CN"/>
          <w14:textFill>
            <w14:solidFill>
              <w14:schemeClr w14:val="tx1"/>
            </w14:solidFill>
          </w14:textFill>
        </w:rPr>
        <w:t>发包人</w:t>
      </w:r>
      <w:r>
        <w:rPr>
          <w:rFonts w:hint="eastAsia" w:ascii="宋体" w:hAnsi="宋体" w:cs="宋体"/>
          <w:color w:val="000000" w:themeColor="text1"/>
          <w:u w:val="single"/>
          <w14:textFill>
            <w14:solidFill>
              <w14:schemeClr w14:val="tx1"/>
            </w14:solidFill>
          </w14:textFill>
        </w:rPr>
        <w:t>有关管理规定完成审批程序并加盖发包人单位公章方为有效。没有盖章的上述文件即使有工程师的签字亦为无效。发包人现场代表应对发包人现场工程师负责，他的职责是监督工程、试验、调试和检查与工程有关的任何材料、设备或施工工艺，他无权减轻合同中规定的承包人的责任或义务。发包人现场工程师和发包人现场代表的更换和委派，应提前七天以书面形式通知承包人。</w:t>
      </w:r>
      <w:r>
        <w:rPr>
          <w:rFonts w:hint="eastAsia" w:ascii="宋体" w:hAnsi="宋体" w:cs="宋体"/>
          <w:color w:val="000000" w:themeColor="text1"/>
          <w:u w:val="single"/>
          <w:lang w:val="zh-CN"/>
          <w14:textFill>
            <w14:solidFill>
              <w14:schemeClr w14:val="tx1"/>
            </w14:solidFill>
          </w14:textFill>
        </w:rPr>
        <w:t>但其在任职期间签署的各种资料，符合正常手续的，发包人应予以认可</w:t>
      </w:r>
      <w:r>
        <w:rPr>
          <w:rFonts w:hint="eastAsia" w:ascii="宋体" w:hAnsi="宋体" w:cs="宋体"/>
          <w:color w:val="000000" w:themeColor="text1"/>
          <w14:textFill>
            <w14:solidFill>
              <w14:schemeClr w14:val="tx1"/>
            </w14:solidFill>
          </w14:textFill>
        </w:rPr>
        <w:t>。</w:t>
      </w:r>
    </w:p>
    <w:p w14:paraId="0D87B39B">
      <w:pPr>
        <w:pStyle w:val="96"/>
        <w:spacing w:before="0" w:after="200" w:line="400" w:lineRule="exact"/>
        <w:rPr>
          <w:rFonts w:hint="eastAsia" w:ascii="宋体" w:cs="宋体"/>
          <w:bCs w:val="0"/>
          <w:color w:val="000000" w:themeColor="text1"/>
          <w14:textFill>
            <w14:solidFill>
              <w14:schemeClr w14:val="tx1"/>
            </w14:solidFill>
          </w14:textFill>
        </w:rPr>
      </w:pPr>
      <w:bookmarkStart w:id="452" w:name="_Toc13449"/>
      <w:bookmarkStart w:id="453" w:name="_Toc406522224"/>
      <w:bookmarkStart w:id="454" w:name="_Toc185770432"/>
      <w:bookmarkStart w:id="455" w:name="_Toc520505850"/>
      <w:bookmarkStart w:id="456" w:name="_Toc173253180"/>
      <w:r>
        <w:rPr>
          <w:rFonts w:hint="eastAsia" w:ascii="宋体" w:cs="宋体"/>
          <w:bCs w:val="0"/>
          <w:color w:val="000000" w:themeColor="text1"/>
          <w14:textFill>
            <w14:solidFill>
              <w14:schemeClr w14:val="tx1"/>
            </w14:solidFill>
          </w14:textFill>
        </w:rPr>
        <w:t>2.4 施工现场、施工条件和基础资料的提供</w:t>
      </w:r>
      <w:bookmarkEnd w:id="452"/>
      <w:bookmarkEnd w:id="453"/>
      <w:bookmarkEnd w:id="454"/>
      <w:bookmarkEnd w:id="455"/>
      <w:bookmarkEnd w:id="456"/>
    </w:p>
    <w:p w14:paraId="1E66B2B1">
      <w:pPr>
        <w:pStyle w:val="102"/>
        <w:spacing w:line="400" w:lineRule="exact"/>
        <w:rPr>
          <w:rFonts w:hint="eastAsia"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2.4.1 提供施工现场</w:t>
      </w:r>
    </w:p>
    <w:p w14:paraId="12C50ABF">
      <w:pPr>
        <w:pStyle w:val="102"/>
        <w:spacing w:line="400" w:lineRule="exact"/>
        <w:rPr>
          <w:rFonts w:hint="eastAsia"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关于发包人移交施工现场的期限要求：</w:t>
      </w:r>
      <w:r>
        <w:rPr>
          <w:rFonts w:hint="eastAsia" w:ascii="宋体" w:hAnsi="宋体" w:cs="宋体"/>
          <w:color w:val="000000" w:themeColor="text1"/>
          <w:u w:val="single"/>
          <w14:textFill>
            <w14:solidFill>
              <w14:schemeClr w14:val="tx1"/>
            </w14:solidFill>
          </w14:textFill>
        </w:rPr>
        <w:t>施工场地发包人于开工前7日提供，料场及临时设施场地由承包人自行解决，费用已纳入报价</w:t>
      </w:r>
      <w:r>
        <w:rPr>
          <w:rFonts w:hint="eastAsia" w:ascii="宋体" w:hAnsi="宋体" w:cs="宋体"/>
          <w:color w:val="000000" w:themeColor="text1"/>
          <w14:textFill>
            <w14:solidFill>
              <w14:schemeClr w14:val="tx1"/>
            </w14:solidFill>
          </w14:textFill>
        </w:rPr>
        <w:t>。</w:t>
      </w:r>
    </w:p>
    <w:p w14:paraId="337CED1D">
      <w:pPr>
        <w:pStyle w:val="102"/>
        <w:numPr>
          <w:ilvl w:val="2"/>
          <w:numId w:val="4"/>
        </w:numPr>
        <w:spacing w:line="400" w:lineRule="exact"/>
        <w:ind w:firstLineChars="0"/>
        <w:rPr>
          <w:rFonts w:hint="eastAsia"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提供施工条件</w:t>
      </w:r>
    </w:p>
    <w:p w14:paraId="00E93998">
      <w:pPr>
        <w:pStyle w:val="102"/>
        <w:spacing w:line="400" w:lineRule="exact"/>
        <w:rPr>
          <w:rFonts w:hint="eastAsia" w:ascii="宋体" w:hAnsi="宋体" w:cs="宋体"/>
          <w:color w:val="000000" w:themeColor="text1"/>
          <w:u w:val="single"/>
          <w14:textFill>
            <w14:solidFill>
              <w14:schemeClr w14:val="tx1"/>
            </w14:solidFill>
          </w14:textFill>
        </w:rPr>
      </w:pPr>
      <w:r>
        <w:rPr>
          <w:rFonts w:hint="eastAsia" w:ascii="宋体" w:hAnsi="宋体" w:cs="宋体"/>
          <w:color w:val="000000" w:themeColor="text1"/>
          <w14:textFill>
            <w14:solidFill>
              <w14:schemeClr w14:val="tx1"/>
            </w14:solidFill>
          </w14:textFill>
        </w:rPr>
        <w:t>关于发包人应负责提供施工所需要的条件，包括：</w:t>
      </w:r>
      <w:r>
        <w:rPr>
          <w:rFonts w:hint="eastAsia" w:ascii="宋体" w:hAnsi="宋体" w:cs="宋体"/>
          <w:color w:val="000000" w:themeColor="text1"/>
          <w:u w:val="single"/>
          <w14:textFill>
            <w14:solidFill>
              <w14:schemeClr w14:val="tx1"/>
            </w14:solidFill>
          </w14:textFill>
        </w:rPr>
        <w:t>1、发包人负责提供电源，距离项目地块红线100米距离内，由本工程承包人接入施工现场，设置分电源箱，并单独装表计量。结算时，发包人将按照向供电部门缴纳电费的单价和承包人的实际用电数量扣回用电费用（含分摊的线路损耗费用）。2、发包人负责提供水源，距离项目地块红线100米距离内，由本工程承包人接入施工现场，并单独装表计量。结算时，发包人将按照向供水部门缴纳水费的单价和承包人的实际用水数量扣回用水费用。</w:t>
      </w:r>
    </w:p>
    <w:p w14:paraId="5AC1EA42">
      <w:pPr>
        <w:pStyle w:val="102"/>
        <w:spacing w:line="400" w:lineRule="exact"/>
        <w:ind w:firstLine="315" w:firstLineChars="150"/>
        <w:rPr>
          <w:rFonts w:hint="eastAsia"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2.4.3为了保障发包人和承包人的财产、人员安全和日常工作的正常开展，除基本的安全防护外，承包人应根据现场实际情况对施工区域周围采取一次或重复多次必要的额外安全防护措施，所产生的费用由承包人负责，发包人不再受理相关签证，请承包人在响应报价时酌情考虑。</w:t>
      </w:r>
    </w:p>
    <w:p w14:paraId="0DD622CF">
      <w:pPr>
        <w:pStyle w:val="96"/>
        <w:spacing w:before="0" w:after="200" w:line="400" w:lineRule="exact"/>
        <w:rPr>
          <w:rFonts w:hint="eastAsia" w:ascii="宋体" w:cs="宋体"/>
          <w:bCs w:val="0"/>
          <w:color w:val="000000" w:themeColor="text1"/>
          <w14:textFill>
            <w14:solidFill>
              <w14:schemeClr w14:val="tx1"/>
            </w14:solidFill>
          </w14:textFill>
        </w:rPr>
      </w:pPr>
      <w:bookmarkStart w:id="457" w:name="_Toc185770433"/>
      <w:bookmarkStart w:id="458" w:name="_Toc22620"/>
      <w:bookmarkStart w:id="459" w:name="_Toc173253181"/>
      <w:bookmarkStart w:id="460" w:name="_Toc520505851"/>
      <w:bookmarkStart w:id="461" w:name="_Toc406522225"/>
      <w:r>
        <w:rPr>
          <w:rFonts w:hint="eastAsia" w:ascii="宋体" w:cs="宋体"/>
          <w:bCs w:val="0"/>
          <w:color w:val="000000" w:themeColor="text1"/>
          <w14:textFill>
            <w14:solidFill>
              <w14:schemeClr w14:val="tx1"/>
            </w14:solidFill>
          </w14:textFill>
        </w:rPr>
        <w:t>2.5 资金来源证明及支付担保</w:t>
      </w:r>
      <w:bookmarkEnd w:id="457"/>
      <w:bookmarkEnd w:id="458"/>
      <w:bookmarkEnd w:id="459"/>
      <w:bookmarkEnd w:id="460"/>
      <w:bookmarkEnd w:id="461"/>
    </w:p>
    <w:p w14:paraId="3BB399F9">
      <w:pPr>
        <w:pStyle w:val="102"/>
        <w:spacing w:line="400" w:lineRule="exact"/>
        <w:rPr>
          <w:rFonts w:hint="eastAsia" w:ascii="宋体" w:hAnsi="宋体" w:cs="宋体"/>
          <w:color w:val="000000" w:themeColor="text1"/>
          <w14:textFill>
            <w14:solidFill>
              <w14:schemeClr w14:val="tx1"/>
            </w14:solidFill>
          </w14:textFill>
        </w:rPr>
      </w:pPr>
      <w:r>
        <w:rPr>
          <w:rFonts w:hint="eastAsia" w:ascii="宋体" w:hAnsi="宋体" w:cs="宋体"/>
          <w:bCs/>
          <w:color w:val="000000" w:themeColor="text1"/>
          <w14:textFill>
            <w14:solidFill>
              <w14:schemeClr w14:val="tx1"/>
            </w14:solidFill>
          </w14:textFill>
        </w:rPr>
        <w:t>发包人提供资金来源证明</w:t>
      </w:r>
      <w:r>
        <w:rPr>
          <w:rFonts w:hint="eastAsia" w:ascii="宋体" w:hAnsi="宋体" w:cs="宋体"/>
          <w:color w:val="000000" w:themeColor="text1"/>
          <w14:textFill>
            <w14:solidFill>
              <w14:schemeClr w14:val="tx1"/>
            </w14:solidFill>
          </w14:textFill>
        </w:rPr>
        <w:t>的期限要求：</w:t>
      </w:r>
      <w:r>
        <w:rPr>
          <w:rFonts w:hint="eastAsia" w:ascii="宋体" w:hAnsi="宋体" w:cs="宋体"/>
          <w:color w:val="000000" w:themeColor="text1"/>
          <w:u w:val="single"/>
          <w14:textFill>
            <w14:solidFill>
              <w14:schemeClr w14:val="tx1"/>
            </w14:solidFill>
          </w14:textFill>
        </w:rPr>
        <w:t xml:space="preserve">  按通用条款执行</w:t>
      </w:r>
      <w:r>
        <w:rPr>
          <w:rFonts w:hint="eastAsia" w:ascii="宋体" w:hAnsi="宋体" w:cs="宋体"/>
          <w:color w:val="000000" w:themeColor="text1"/>
          <w14:textFill>
            <w14:solidFill>
              <w14:schemeClr w14:val="tx1"/>
            </w14:solidFill>
          </w14:textFill>
        </w:rPr>
        <w:t>。</w:t>
      </w:r>
    </w:p>
    <w:p w14:paraId="16F68CB4">
      <w:pPr>
        <w:pStyle w:val="102"/>
        <w:spacing w:line="400" w:lineRule="exact"/>
        <w:rPr>
          <w:rFonts w:hint="eastAsia"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发包人是否提供支付担保：</w:t>
      </w:r>
      <w:r>
        <w:rPr>
          <w:rFonts w:hint="eastAsia" w:ascii="宋体" w:hAnsi="宋体" w:cs="宋体"/>
          <w:color w:val="000000" w:themeColor="text1"/>
          <w:u w:val="single"/>
          <w14:textFill>
            <w14:solidFill>
              <w14:schemeClr w14:val="tx1"/>
            </w14:solidFill>
          </w14:textFill>
        </w:rPr>
        <w:t>否</w:t>
      </w:r>
      <w:r>
        <w:rPr>
          <w:rFonts w:hint="eastAsia" w:ascii="宋体" w:hAnsi="宋体" w:cs="宋体"/>
          <w:color w:val="000000" w:themeColor="text1"/>
          <w14:textFill>
            <w14:solidFill>
              <w14:schemeClr w14:val="tx1"/>
            </w14:solidFill>
          </w14:textFill>
        </w:rPr>
        <w:t>。</w:t>
      </w:r>
    </w:p>
    <w:p w14:paraId="0ABAE6D2">
      <w:pPr>
        <w:pStyle w:val="102"/>
        <w:spacing w:line="400" w:lineRule="exact"/>
        <w:rPr>
          <w:rFonts w:hint="eastAsia" w:ascii="宋体" w:hAnsi="宋体" w:cs="宋体"/>
          <w:color w:val="000000" w:themeColor="text1"/>
          <w:u w:val="single"/>
          <w14:textFill>
            <w14:solidFill>
              <w14:schemeClr w14:val="tx1"/>
            </w14:solidFill>
          </w14:textFill>
        </w:rPr>
      </w:pPr>
      <w:r>
        <w:rPr>
          <w:rFonts w:hint="eastAsia" w:ascii="宋体" w:hAnsi="宋体" w:cs="宋体"/>
          <w:color w:val="000000" w:themeColor="text1"/>
          <w14:textFill>
            <w14:solidFill>
              <w14:schemeClr w14:val="tx1"/>
            </w14:solidFill>
          </w14:textFill>
        </w:rPr>
        <w:t>发包人提供支付担保的形式：</w:t>
      </w:r>
      <w:r>
        <w:rPr>
          <w:rFonts w:hint="eastAsia" w:ascii="宋体" w:hAnsi="宋体" w:cs="宋体"/>
          <w:color w:val="000000" w:themeColor="text1"/>
          <w:u w:val="single"/>
          <w14:textFill>
            <w14:solidFill>
              <w14:schemeClr w14:val="tx1"/>
            </w14:solidFill>
          </w14:textFill>
        </w:rPr>
        <w:t xml:space="preserve">  按通用条款执行</w:t>
      </w:r>
      <w:r>
        <w:rPr>
          <w:rFonts w:hint="eastAsia" w:ascii="宋体" w:hAnsi="宋体" w:cs="宋体"/>
          <w:color w:val="000000" w:themeColor="text1"/>
          <w14:textFill>
            <w14:solidFill>
              <w14:schemeClr w14:val="tx1"/>
            </w14:solidFill>
          </w14:textFill>
        </w:rPr>
        <w:t>。</w:t>
      </w:r>
    </w:p>
    <w:p w14:paraId="146478DF">
      <w:pPr>
        <w:pStyle w:val="96"/>
        <w:spacing w:before="0" w:after="200" w:line="400" w:lineRule="exact"/>
        <w:rPr>
          <w:rFonts w:hint="eastAsia" w:ascii="宋体" w:cs="宋体"/>
          <w:bCs w:val="0"/>
          <w:color w:val="000000" w:themeColor="text1"/>
          <w14:textFill>
            <w14:solidFill>
              <w14:schemeClr w14:val="tx1"/>
            </w14:solidFill>
          </w14:textFill>
        </w:rPr>
      </w:pPr>
      <w:bookmarkStart w:id="462" w:name="_Toc406522226"/>
      <w:bookmarkStart w:id="463" w:name="_Toc1007"/>
      <w:bookmarkStart w:id="464" w:name="_Toc351203635"/>
      <w:bookmarkStart w:id="465" w:name="_Toc185770434"/>
      <w:bookmarkStart w:id="466" w:name="_Toc173253182"/>
      <w:bookmarkStart w:id="467" w:name="_Toc520505852"/>
      <w:r>
        <w:rPr>
          <w:rFonts w:hint="eastAsia" w:ascii="宋体" w:cs="宋体"/>
          <w:bCs w:val="0"/>
          <w:color w:val="000000" w:themeColor="text1"/>
          <w14:textFill>
            <w14:solidFill>
              <w14:schemeClr w14:val="tx1"/>
            </w14:solidFill>
          </w14:textFill>
        </w:rPr>
        <w:t>3</w:t>
      </w:r>
      <w:bookmarkStart w:id="468" w:name="_Toc296347157"/>
      <w:bookmarkStart w:id="469" w:name="_Toc297120458"/>
      <w:bookmarkStart w:id="470" w:name="_Toc297048344"/>
      <w:bookmarkStart w:id="471" w:name="_Toc292559363"/>
      <w:bookmarkStart w:id="472" w:name="_Toc296503158"/>
      <w:bookmarkStart w:id="473" w:name="_Toc296944497"/>
      <w:bookmarkStart w:id="474" w:name="_Toc292559868"/>
      <w:bookmarkStart w:id="475" w:name="_Toc296346659"/>
      <w:bookmarkStart w:id="476" w:name="_Toc296891198"/>
      <w:bookmarkStart w:id="477" w:name="_Toc296890986"/>
      <w:r>
        <w:rPr>
          <w:rFonts w:hint="eastAsia" w:ascii="宋体" w:cs="宋体"/>
          <w:bCs w:val="0"/>
          <w:color w:val="000000" w:themeColor="text1"/>
          <w14:textFill>
            <w14:solidFill>
              <w14:schemeClr w14:val="tx1"/>
            </w14:solidFill>
          </w14:textFill>
        </w:rPr>
        <w:t>. 承包人</w:t>
      </w:r>
      <w:bookmarkEnd w:id="462"/>
      <w:bookmarkEnd w:id="463"/>
      <w:bookmarkEnd w:id="464"/>
      <w:bookmarkEnd w:id="465"/>
      <w:bookmarkEnd w:id="466"/>
      <w:bookmarkEnd w:id="467"/>
    </w:p>
    <w:bookmarkEnd w:id="468"/>
    <w:bookmarkEnd w:id="469"/>
    <w:bookmarkEnd w:id="470"/>
    <w:bookmarkEnd w:id="471"/>
    <w:bookmarkEnd w:id="472"/>
    <w:bookmarkEnd w:id="473"/>
    <w:bookmarkEnd w:id="474"/>
    <w:bookmarkEnd w:id="475"/>
    <w:bookmarkEnd w:id="476"/>
    <w:bookmarkEnd w:id="477"/>
    <w:p w14:paraId="3B5C35A3">
      <w:pPr>
        <w:pStyle w:val="96"/>
        <w:spacing w:before="0" w:after="200" w:line="400" w:lineRule="exact"/>
        <w:rPr>
          <w:rFonts w:hint="eastAsia" w:ascii="宋体" w:cs="宋体"/>
          <w:bCs w:val="0"/>
          <w:color w:val="000000" w:themeColor="text1"/>
          <w14:textFill>
            <w14:solidFill>
              <w14:schemeClr w14:val="tx1"/>
            </w14:solidFill>
          </w14:textFill>
        </w:rPr>
      </w:pPr>
      <w:bookmarkStart w:id="478" w:name="_Toc185770435"/>
      <w:bookmarkStart w:id="479" w:name="_Toc26308"/>
      <w:bookmarkStart w:id="480" w:name="_Toc520505853"/>
      <w:bookmarkStart w:id="481" w:name="_Toc173253183"/>
      <w:bookmarkStart w:id="482" w:name="_Toc406522227"/>
      <w:r>
        <w:rPr>
          <w:rFonts w:hint="eastAsia" w:ascii="宋体" w:cs="宋体"/>
          <w:bCs w:val="0"/>
          <w:color w:val="000000" w:themeColor="text1"/>
          <w14:textFill>
            <w14:solidFill>
              <w14:schemeClr w14:val="tx1"/>
            </w14:solidFill>
          </w14:textFill>
        </w:rPr>
        <w:t>3.1 承包人的一般义务</w:t>
      </w:r>
      <w:bookmarkEnd w:id="478"/>
      <w:bookmarkEnd w:id="479"/>
      <w:bookmarkEnd w:id="480"/>
      <w:bookmarkEnd w:id="481"/>
      <w:bookmarkEnd w:id="482"/>
    </w:p>
    <w:p w14:paraId="416AADB3">
      <w:pPr>
        <w:pStyle w:val="102"/>
        <w:spacing w:line="400" w:lineRule="exact"/>
        <w:rPr>
          <w:rFonts w:hint="eastAsia"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（9）承包人提交的竣工资料的内容：</w:t>
      </w:r>
      <w:r>
        <w:rPr>
          <w:rFonts w:hint="eastAsia" w:ascii="宋体" w:hAnsi="宋体" w:cs="宋体"/>
          <w:color w:val="000000" w:themeColor="text1"/>
          <w:u w:val="single"/>
          <w14:textFill>
            <w14:solidFill>
              <w14:schemeClr w14:val="tx1"/>
            </w14:solidFill>
          </w14:textFill>
        </w:rPr>
        <w:t>承包人在竣工验收通过后30天内向发包人移交完整的竣工资料及竣工图纸五套，竣工资料及竣工图纸必须准确真实的反映实际施工情况，且已经过监理工程师审核确认。承包人应及时配合发包人向桂林市档案馆办理工程资料验收和移交，属于发包人应提供的资料由发包人提供，竣工资料由发包人汇总整理后移交档案馆；承包人未按规定配合发包人按时向档案馆移交相关资料的</w:t>
      </w:r>
      <w:r>
        <w:rPr>
          <w:rFonts w:hint="eastAsia" w:ascii="宋体" w:hAnsi="宋体" w:cs="宋体"/>
          <w:color w:val="000000" w:themeColor="text1"/>
          <w:u w:val="single"/>
          <w:lang w:val="zh-CN"/>
          <w14:textFill>
            <w14:solidFill>
              <w14:schemeClr w14:val="tx1"/>
            </w14:solidFill>
          </w14:textFill>
        </w:rPr>
        <w:t>，每逾期一天应向发包人支付5000元的违约金并另赔偿给发包人造成的损失</w:t>
      </w:r>
      <w:r>
        <w:rPr>
          <w:rFonts w:hint="eastAsia" w:ascii="宋体" w:hAnsi="宋体" w:cs="宋体"/>
          <w:color w:val="000000" w:themeColor="text1"/>
          <w:u w:val="single"/>
          <w14:textFill>
            <w14:solidFill>
              <w14:schemeClr w14:val="tx1"/>
            </w14:solidFill>
          </w14:textFill>
        </w:rPr>
        <w:t>。</w:t>
      </w:r>
    </w:p>
    <w:p w14:paraId="1BCB873D">
      <w:pPr>
        <w:pStyle w:val="102"/>
        <w:spacing w:line="400" w:lineRule="exact"/>
        <w:rPr>
          <w:rFonts w:hint="eastAsia"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承包人需要提交的竣工资料套数：</w:t>
      </w:r>
      <w:r>
        <w:rPr>
          <w:rFonts w:hint="eastAsia" w:ascii="宋体" w:hAnsi="宋体" w:cs="宋体"/>
          <w:color w:val="000000" w:themeColor="text1"/>
          <w:u w:val="single"/>
          <w14:textFill>
            <w14:solidFill>
              <w14:schemeClr w14:val="tx1"/>
            </w14:solidFill>
          </w14:textFill>
        </w:rPr>
        <w:t>五方验收合格后，双方应签署验收合格证书，共一式伍份，其中发包人三份，承包人二份。如在五方验收过程中发现问题需要整改，发包人在五方验收后5天内，提出整改意见，承包人按此意见整改，并在发包人限定的时间内全部整改完成，因此而发生的整改或返修费用全部由承包人承担</w:t>
      </w:r>
      <w:r>
        <w:rPr>
          <w:rFonts w:hint="eastAsia" w:ascii="宋体" w:hAnsi="宋体" w:cs="宋体"/>
          <w:color w:val="000000" w:themeColor="text1"/>
          <w14:textFill>
            <w14:solidFill>
              <w14:schemeClr w14:val="tx1"/>
            </w14:solidFill>
          </w14:textFill>
        </w:rPr>
        <w:t>。</w:t>
      </w:r>
    </w:p>
    <w:p w14:paraId="52CFB531">
      <w:pPr>
        <w:pStyle w:val="102"/>
        <w:spacing w:line="400" w:lineRule="exact"/>
        <w:rPr>
          <w:rFonts w:hint="eastAsia"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承包人提交的竣工资料的费用承担：</w:t>
      </w:r>
      <w:r>
        <w:rPr>
          <w:rFonts w:hint="eastAsia" w:ascii="宋体" w:hAnsi="宋体" w:cs="宋体"/>
          <w:color w:val="000000" w:themeColor="text1"/>
          <w:u w:val="single"/>
          <w14:textFill>
            <w14:solidFill>
              <w14:schemeClr w14:val="tx1"/>
            </w14:solidFill>
          </w14:textFill>
        </w:rPr>
        <w:t>承包人自理</w:t>
      </w:r>
      <w:r>
        <w:rPr>
          <w:rFonts w:hint="eastAsia" w:ascii="宋体" w:hAnsi="宋体" w:cs="宋体"/>
          <w:color w:val="000000" w:themeColor="text1"/>
          <w14:textFill>
            <w14:solidFill>
              <w14:schemeClr w14:val="tx1"/>
            </w14:solidFill>
          </w14:textFill>
        </w:rPr>
        <w:t>。</w:t>
      </w:r>
    </w:p>
    <w:p w14:paraId="5F1B6F6E">
      <w:pPr>
        <w:pStyle w:val="102"/>
        <w:spacing w:line="400" w:lineRule="exact"/>
        <w:rPr>
          <w:rFonts w:hint="eastAsia"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承包人提交的竣工资料移交时间：</w:t>
      </w:r>
      <w:r>
        <w:rPr>
          <w:rFonts w:hint="eastAsia" w:ascii="宋体" w:hAnsi="宋体" w:cs="宋体"/>
          <w:color w:val="000000" w:themeColor="text1"/>
          <w:u w:val="single"/>
          <w14:textFill>
            <w14:solidFill>
              <w14:schemeClr w14:val="tx1"/>
            </w14:solidFill>
          </w14:textFill>
        </w:rPr>
        <w:t>在工程具备竣工验收条件后，承包人应按国家、行业、地方及发包人关于工程竣工验收有关规定，提前15天向监理提供完整竣工资料、竣工验收报告及工程质量保修书等文件，监理在收到材料后3天内做出是否符合验收条件的答复，否则视为符合条件。监理认为符合验收条件后组织发包人、监理、承包人进行内部初步验收，并提出初验的整改要求，承包单位须在此后的十天内完成整改并通过初验。内部初验合格后，由发包人负责与有关部门联系，确定竣工验收日期，组织相关部门、设计单位、监理、发包人、承包人等参加竣工验收。发包人在竣工验收后5天内提出整改意见及整改时限，承包人按发包人要求进行整改，并承担因自身原因造成的费用</w:t>
      </w:r>
      <w:r>
        <w:rPr>
          <w:rFonts w:hint="eastAsia" w:ascii="宋体" w:hAnsi="宋体" w:cs="宋体"/>
          <w:color w:val="000000" w:themeColor="text1"/>
          <w14:textFill>
            <w14:solidFill>
              <w14:schemeClr w14:val="tx1"/>
            </w14:solidFill>
          </w14:textFill>
        </w:rPr>
        <w:t>。</w:t>
      </w:r>
    </w:p>
    <w:p w14:paraId="5F3527D3">
      <w:pPr>
        <w:pStyle w:val="102"/>
        <w:spacing w:line="400" w:lineRule="exact"/>
        <w:rPr>
          <w:rFonts w:hint="eastAsia"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承包人提交的竣工资料形式要求：</w:t>
      </w:r>
      <w:r>
        <w:rPr>
          <w:rFonts w:hint="eastAsia" w:ascii="宋体" w:hAnsi="宋体" w:cs="宋体"/>
          <w:color w:val="000000" w:themeColor="text1"/>
          <w:u w:val="single"/>
          <w14:textFill>
            <w14:solidFill>
              <w14:schemeClr w14:val="tx1"/>
            </w14:solidFill>
          </w14:textFill>
        </w:rPr>
        <w:t>以书面及电子版形式提交</w:t>
      </w:r>
      <w:r>
        <w:rPr>
          <w:rFonts w:hint="eastAsia" w:ascii="宋体" w:hAnsi="宋体" w:cs="宋体"/>
          <w:color w:val="000000" w:themeColor="text1"/>
          <w14:textFill>
            <w14:solidFill>
              <w14:schemeClr w14:val="tx1"/>
            </w14:solidFill>
          </w14:textFill>
        </w:rPr>
        <w:t>。</w:t>
      </w:r>
    </w:p>
    <w:p w14:paraId="08B12097">
      <w:pPr>
        <w:spacing w:line="400" w:lineRule="exact"/>
        <w:ind w:firstLine="525" w:firstLineChars="250"/>
        <w:rPr>
          <w:rFonts w:hint="eastAsia" w:ascii="宋体" w:hAnsi="宋体" w:cs="宋体"/>
          <w:color w:val="000000" w:themeColor="text1"/>
          <w:u w:val="single"/>
          <w14:textFill>
            <w14:solidFill>
              <w14:schemeClr w14:val="tx1"/>
            </w14:solidFill>
          </w14:textFill>
        </w:rPr>
      </w:pPr>
      <w:r>
        <w:rPr>
          <w:rFonts w:hint="eastAsia" w:ascii="宋体" w:hAnsi="宋体" w:cs="宋体"/>
          <w:color w:val="000000" w:themeColor="text1"/>
          <w14:textFill>
            <w14:solidFill>
              <w14:schemeClr w14:val="tx1"/>
            </w14:solidFill>
          </w14:textFill>
        </w:rPr>
        <w:t>（10）承包人应履行的其他义务：</w:t>
      </w:r>
      <w:r>
        <w:rPr>
          <w:rFonts w:hint="eastAsia" w:ascii="宋体" w:hAnsi="宋体" w:cs="宋体"/>
          <w:color w:val="000000" w:themeColor="text1"/>
          <w:u w:val="single"/>
          <w14:textFill>
            <w14:solidFill>
              <w14:schemeClr w14:val="tx1"/>
            </w14:solidFill>
          </w14:textFill>
        </w:rPr>
        <w:t>a、在图纸会审后7天内，向监理工程师提交如下资料：</w:t>
      </w:r>
      <w:r>
        <w:rPr>
          <w:rFonts w:hint="eastAsia" w:ascii="宋体" w:hAnsi="宋体" w:cs="宋体"/>
          <w:color w:val="000000" w:themeColor="text1"/>
          <w:u w:val="single"/>
          <w14:textFill>
            <w14:solidFill>
              <w14:schemeClr w14:val="tx1"/>
            </w14:solidFill>
          </w14:textFill>
        </w:rPr>
        <w:fldChar w:fldCharType="begin"/>
      </w:r>
      <w:r>
        <w:rPr>
          <w:rFonts w:hint="eastAsia" w:ascii="宋体" w:hAnsi="宋体" w:cs="宋体"/>
          <w:color w:val="000000" w:themeColor="text1"/>
          <w:u w:val="single"/>
          <w14:textFill>
            <w14:solidFill>
              <w14:schemeClr w14:val="tx1"/>
            </w14:solidFill>
          </w14:textFill>
        </w:rPr>
        <w:instrText xml:space="preserve"> = 1 \* GB3 </w:instrText>
      </w:r>
      <w:r>
        <w:rPr>
          <w:rFonts w:hint="eastAsia" w:ascii="宋体" w:hAnsi="宋体" w:cs="宋体"/>
          <w:color w:val="000000" w:themeColor="text1"/>
          <w:u w:val="single"/>
          <w14:textFill>
            <w14:solidFill>
              <w14:schemeClr w14:val="tx1"/>
            </w14:solidFill>
          </w14:textFill>
        </w:rPr>
        <w:fldChar w:fldCharType="separate"/>
      </w:r>
      <w:r>
        <w:rPr>
          <w:rFonts w:hint="eastAsia" w:ascii="宋体" w:hAnsi="宋体" w:cs="宋体"/>
          <w:color w:val="000000" w:themeColor="text1"/>
          <w:u w:val="single"/>
          <w14:textFill>
            <w14:solidFill>
              <w14:schemeClr w14:val="tx1"/>
            </w14:solidFill>
          </w14:textFill>
        </w:rPr>
        <w:t>①</w:t>
      </w:r>
      <w:r>
        <w:rPr>
          <w:rFonts w:hint="eastAsia" w:ascii="宋体" w:hAnsi="宋体" w:cs="宋体"/>
          <w:color w:val="000000" w:themeColor="text1"/>
          <w:u w:val="single"/>
          <w14:textFill>
            <w14:solidFill>
              <w14:schemeClr w14:val="tx1"/>
            </w14:solidFill>
          </w14:textFill>
        </w:rPr>
        <w:fldChar w:fldCharType="end"/>
      </w:r>
      <w:r>
        <w:rPr>
          <w:rFonts w:hint="eastAsia" w:ascii="宋体" w:hAnsi="宋体" w:cs="宋体"/>
          <w:color w:val="000000" w:themeColor="text1"/>
          <w:u w:val="single"/>
          <w14:textFill>
            <w14:solidFill>
              <w14:schemeClr w14:val="tx1"/>
            </w14:solidFill>
          </w14:textFill>
        </w:rPr>
        <w:t>符合本合同工期及发包人要求的施工组织设计；</w:t>
      </w:r>
      <w:r>
        <w:rPr>
          <w:rFonts w:hint="eastAsia" w:ascii="宋体" w:hAnsi="宋体" w:cs="宋体"/>
          <w:color w:val="000000" w:themeColor="text1"/>
          <w:u w:val="single"/>
          <w14:textFill>
            <w14:solidFill>
              <w14:schemeClr w14:val="tx1"/>
            </w14:solidFill>
          </w14:textFill>
        </w:rPr>
        <w:fldChar w:fldCharType="begin"/>
      </w:r>
      <w:r>
        <w:rPr>
          <w:rFonts w:hint="eastAsia" w:ascii="宋体" w:hAnsi="宋体" w:cs="宋体"/>
          <w:color w:val="000000" w:themeColor="text1"/>
          <w:u w:val="single"/>
          <w14:textFill>
            <w14:solidFill>
              <w14:schemeClr w14:val="tx1"/>
            </w14:solidFill>
          </w14:textFill>
        </w:rPr>
        <w:instrText xml:space="preserve"> = 2 \* GB3 </w:instrText>
      </w:r>
      <w:r>
        <w:rPr>
          <w:rFonts w:hint="eastAsia" w:ascii="宋体" w:hAnsi="宋体" w:cs="宋体"/>
          <w:color w:val="000000" w:themeColor="text1"/>
          <w:u w:val="single"/>
          <w14:textFill>
            <w14:solidFill>
              <w14:schemeClr w14:val="tx1"/>
            </w14:solidFill>
          </w14:textFill>
        </w:rPr>
        <w:fldChar w:fldCharType="separate"/>
      </w:r>
      <w:r>
        <w:rPr>
          <w:rFonts w:hint="eastAsia" w:ascii="宋体" w:hAnsi="宋体" w:cs="宋体"/>
          <w:color w:val="000000" w:themeColor="text1"/>
          <w:u w:val="single"/>
          <w14:textFill>
            <w14:solidFill>
              <w14:schemeClr w14:val="tx1"/>
            </w14:solidFill>
          </w14:textFill>
        </w:rPr>
        <w:t>②</w:t>
      </w:r>
      <w:r>
        <w:rPr>
          <w:rFonts w:hint="eastAsia" w:ascii="宋体" w:hAnsi="宋体" w:cs="宋体"/>
          <w:color w:val="000000" w:themeColor="text1"/>
          <w:u w:val="single"/>
          <w14:textFill>
            <w14:solidFill>
              <w14:schemeClr w14:val="tx1"/>
            </w14:solidFill>
          </w14:textFill>
        </w:rPr>
        <w:fldChar w:fldCharType="end"/>
      </w:r>
      <w:r>
        <w:rPr>
          <w:rFonts w:hint="eastAsia" w:ascii="宋体" w:hAnsi="宋体" w:cs="宋体"/>
          <w:color w:val="000000" w:themeColor="text1"/>
          <w:u w:val="single"/>
          <w14:textFill>
            <w14:solidFill>
              <w14:schemeClr w14:val="tx1"/>
            </w14:solidFill>
          </w14:textFill>
        </w:rPr>
        <w:t>施工进度计划；</w:t>
      </w:r>
      <w:r>
        <w:rPr>
          <w:rFonts w:hint="eastAsia" w:ascii="宋体" w:hAnsi="宋体" w:cs="宋体"/>
          <w:color w:val="000000" w:themeColor="text1"/>
          <w:u w:val="single"/>
          <w14:textFill>
            <w14:solidFill>
              <w14:schemeClr w14:val="tx1"/>
            </w14:solidFill>
          </w14:textFill>
        </w:rPr>
        <w:fldChar w:fldCharType="begin"/>
      </w:r>
      <w:r>
        <w:rPr>
          <w:rFonts w:hint="eastAsia" w:ascii="宋体" w:hAnsi="宋体" w:cs="宋体"/>
          <w:color w:val="000000" w:themeColor="text1"/>
          <w:u w:val="single"/>
          <w14:textFill>
            <w14:solidFill>
              <w14:schemeClr w14:val="tx1"/>
            </w14:solidFill>
          </w14:textFill>
        </w:rPr>
        <w:instrText xml:space="preserve"> = 3 \* GB3 </w:instrText>
      </w:r>
      <w:r>
        <w:rPr>
          <w:rFonts w:hint="eastAsia" w:ascii="宋体" w:hAnsi="宋体" w:cs="宋体"/>
          <w:color w:val="000000" w:themeColor="text1"/>
          <w:u w:val="single"/>
          <w14:textFill>
            <w14:solidFill>
              <w14:schemeClr w14:val="tx1"/>
            </w14:solidFill>
          </w14:textFill>
        </w:rPr>
        <w:fldChar w:fldCharType="separate"/>
      </w:r>
      <w:r>
        <w:rPr>
          <w:rFonts w:hint="eastAsia" w:ascii="宋体" w:hAnsi="宋体" w:cs="宋体"/>
          <w:color w:val="000000" w:themeColor="text1"/>
          <w:u w:val="single"/>
          <w14:textFill>
            <w14:solidFill>
              <w14:schemeClr w14:val="tx1"/>
            </w14:solidFill>
          </w14:textFill>
        </w:rPr>
        <w:t>③</w:t>
      </w:r>
      <w:r>
        <w:rPr>
          <w:rFonts w:hint="eastAsia" w:ascii="宋体" w:hAnsi="宋体" w:cs="宋体"/>
          <w:color w:val="000000" w:themeColor="text1"/>
          <w:u w:val="single"/>
          <w14:textFill>
            <w14:solidFill>
              <w14:schemeClr w14:val="tx1"/>
            </w14:solidFill>
          </w14:textFill>
        </w:rPr>
        <w:fldChar w:fldCharType="end"/>
      </w:r>
      <w:r>
        <w:rPr>
          <w:rFonts w:hint="eastAsia" w:ascii="宋体" w:hAnsi="宋体" w:cs="宋体"/>
          <w:color w:val="000000" w:themeColor="text1"/>
          <w:u w:val="single"/>
          <w14:textFill>
            <w14:solidFill>
              <w14:schemeClr w14:val="tx1"/>
            </w14:solidFill>
          </w14:textFill>
        </w:rPr>
        <w:t>管理人员名单、职称（职务）、上岗证（操作证）、资料员姓名；</w:t>
      </w:r>
      <w:r>
        <w:rPr>
          <w:rFonts w:hint="eastAsia" w:ascii="宋体" w:hAnsi="宋体" w:cs="宋体"/>
          <w:color w:val="000000" w:themeColor="text1"/>
          <w:u w:val="single"/>
          <w14:textFill>
            <w14:solidFill>
              <w14:schemeClr w14:val="tx1"/>
            </w14:solidFill>
          </w14:textFill>
        </w:rPr>
        <w:fldChar w:fldCharType="begin"/>
      </w:r>
      <w:r>
        <w:rPr>
          <w:rFonts w:hint="eastAsia" w:ascii="宋体" w:hAnsi="宋体" w:cs="宋体"/>
          <w:color w:val="000000" w:themeColor="text1"/>
          <w:u w:val="single"/>
          <w14:textFill>
            <w14:solidFill>
              <w14:schemeClr w14:val="tx1"/>
            </w14:solidFill>
          </w14:textFill>
        </w:rPr>
        <w:instrText xml:space="preserve"> = 4 \* GB3 </w:instrText>
      </w:r>
      <w:r>
        <w:rPr>
          <w:rFonts w:hint="eastAsia" w:ascii="宋体" w:hAnsi="宋体" w:cs="宋体"/>
          <w:color w:val="000000" w:themeColor="text1"/>
          <w:u w:val="single"/>
          <w14:textFill>
            <w14:solidFill>
              <w14:schemeClr w14:val="tx1"/>
            </w14:solidFill>
          </w14:textFill>
        </w:rPr>
        <w:fldChar w:fldCharType="separate"/>
      </w:r>
      <w:r>
        <w:rPr>
          <w:rFonts w:hint="eastAsia" w:ascii="宋体" w:hAnsi="宋体" w:cs="宋体"/>
          <w:color w:val="000000" w:themeColor="text1"/>
          <w:u w:val="single"/>
          <w14:textFill>
            <w14:solidFill>
              <w14:schemeClr w14:val="tx1"/>
            </w14:solidFill>
          </w14:textFill>
        </w:rPr>
        <w:t>④</w:t>
      </w:r>
      <w:r>
        <w:rPr>
          <w:rFonts w:hint="eastAsia" w:ascii="宋体" w:hAnsi="宋体" w:cs="宋体"/>
          <w:color w:val="000000" w:themeColor="text1"/>
          <w:u w:val="single"/>
          <w14:textFill>
            <w14:solidFill>
              <w14:schemeClr w14:val="tx1"/>
            </w14:solidFill>
          </w14:textFill>
        </w:rPr>
        <w:fldChar w:fldCharType="end"/>
      </w:r>
      <w:r>
        <w:rPr>
          <w:rFonts w:hint="eastAsia" w:ascii="宋体" w:hAnsi="宋体" w:cs="宋体"/>
          <w:color w:val="000000" w:themeColor="text1"/>
          <w:u w:val="single"/>
          <w14:textFill>
            <w14:solidFill>
              <w14:schemeClr w14:val="tx1"/>
            </w14:solidFill>
          </w14:textFill>
        </w:rPr>
        <w:t>安全文明施工措施；</w:t>
      </w:r>
      <w:r>
        <w:rPr>
          <w:rFonts w:hint="eastAsia" w:ascii="宋体" w:hAnsi="宋体" w:cs="宋体"/>
          <w:color w:val="000000" w:themeColor="text1"/>
          <w:u w:val="single"/>
          <w14:textFill>
            <w14:solidFill>
              <w14:schemeClr w14:val="tx1"/>
            </w14:solidFill>
          </w14:textFill>
        </w:rPr>
        <w:fldChar w:fldCharType="begin"/>
      </w:r>
      <w:r>
        <w:rPr>
          <w:rFonts w:hint="eastAsia" w:ascii="宋体" w:hAnsi="宋体" w:cs="宋体"/>
          <w:color w:val="000000" w:themeColor="text1"/>
          <w:u w:val="single"/>
          <w14:textFill>
            <w14:solidFill>
              <w14:schemeClr w14:val="tx1"/>
            </w14:solidFill>
          </w14:textFill>
        </w:rPr>
        <w:instrText xml:space="preserve"> = 5 \* GB3 </w:instrText>
      </w:r>
      <w:r>
        <w:rPr>
          <w:rFonts w:hint="eastAsia" w:ascii="宋体" w:hAnsi="宋体" w:cs="宋体"/>
          <w:color w:val="000000" w:themeColor="text1"/>
          <w:u w:val="single"/>
          <w14:textFill>
            <w14:solidFill>
              <w14:schemeClr w14:val="tx1"/>
            </w14:solidFill>
          </w14:textFill>
        </w:rPr>
        <w:fldChar w:fldCharType="separate"/>
      </w:r>
      <w:r>
        <w:rPr>
          <w:rFonts w:hint="eastAsia" w:ascii="宋体" w:hAnsi="宋体" w:cs="宋体"/>
          <w:color w:val="000000" w:themeColor="text1"/>
          <w:u w:val="single"/>
          <w14:textFill>
            <w14:solidFill>
              <w14:schemeClr w14:val="tx1"/>
            </w14:solidFill>
          </w14:textFill>
        </w:rPr>
        <w:t>⑤</w:t>
      </w:r>
      <w:r>
        <w:rPr>
          <w:rFonts w:hint="eastAsia" w:ascii="宋体" w:hAnsi="宋体" w:cs="宋体"/>
          <w:color w:val="000000" w:themeColor="text1"/>
          <w:u w:val="single"/>
          <w14:textFill>
            <w14:solidFill>
              <w14:schemeClr w14:val="tx1"/>
            </w14:solidFill>
          </w14:textFill>
        </w:rPr>
        <w:fldChar w:fldCharType="end"/>
      </w:r>
      <w:r>
        <w:rPr>
          <w:rFonts w:hint="eastAsia" w:ascii="宋体" w:hAnsi="宋体" w:cs="宋体"/>
          <w:color w:val="000000" w:themeColor="text1"/>
          <w:u w:val="single"/>
          <w14:textFill>
            <w14:solidFill>
              <w14:schemeClr w14:val="tx1"/>
            </w14:solidFill>
          </w14:textFill>
        </w:rPr>
        <w:t>质量保证体系；⑥、每月25日前提供当月施工统计报表和下月进度计划各一份交监理及业主。</w:t>
      </w:r>
    </w:p>
    <w:p w14:paraId="50CC92B2">
      <w:pPr>
        <w:spacing w:line="400" w:lineRule="exact"/>
        <w:ind w:firstLine="420" w:firstLineChars="200"/>
        <w:rPr>
          <w:rFonts w:hint="eastAsia" w:ascii="宋体" w:hAnsi="宋体" w:cs="宋体"/>
          <w:color w:val="000000" w:themeColor="text1"/>
          <w:u w:val="single"/>
          <w14:textFill>
            <w14:solidFill>
              <w14:schemeClr w14:val="tx1"/>
            </w14:solidFill>
          </w14:textFill>
        </w:rPr>
      </w:pPr>
      <w:r>
        <w:rPr>
          <w:rFonts w:hint="eastAsia" w:ascii="宋体" w:hAnsi="宋体" w:cs="宋体"/>
          <w:color w:val="000000" w:themeColor="text1"/>
          <w14:textFill>
            <w14:solidFill>
              <w14:schemeClr w14:val="tx1"/>
            </w14:solidFill>
          </w14:textFill>
        </w:rPr>
        <w:t>b、</w:t>
      </w:r>
      <w:r>
        <w:rPr>
          <w:rFonts w:hint="eastAsia" w:ascii="宋体" w:hAnsi="宋体" w:cs="宋体"/>
          <w:color w:val="000000" w:themeColor="text1"/>
          <w:u w:val="single"/>
          <w14:textFill>
            <w14:solidFill>
              <w14:schemeClr w14:val="tx1"/>
            </w14:solidFill>
          </w14:textFill>
        </w:rPr>
        <w:t>承包人应按建设行政管理部门和相关部门的要求，自费承担施工安全保卫工作（含警卫）和提供相应设施（如护板、围栏等），以保护公共安全，并提供方便，发包人不再另行签证费用。</w:t>
      </w:r>
    </w:p>
    <w:p w14:paraId="19A4B3A9">
      <w:pPr>
        <w:spacing w:line="400" w:lineRule="exact"/>
        <w:ind w:firstLine="420" w:firstLineChars="200"/>
        <w:rPr>
          <w:rFonts w:hint="eastAsia"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c</w:t>
      </w:r>
      <w:r>
        <w:rPr>
          <w:rFonts w:hint="eastAsia" w:ascii="宋体" w:hAnsi="宋体" w:cs="宋体"/>
          <w:bCs/>
          <w:color w:val="000000" w:themeColor="text1"/>
          <w14:textFill>
            <w14:solidFill>
              <w14:schemeClr w14:val="tx1"/>
            </w14:solidFill>
          </w14:textFill>
        </w:rPr>
        <w:t>、</w:t>
      </w:r>
      <w:r>
        <w:rPr>
          <w:rFonts w:hint="eastAsia" w:ascii="宋体" w:hAnsi="宋体" w:cs="宋体"/>
          <w:color w:val="000000" w:themeColor="text1"/>
          <w14:textFill>
            <w14:solidFill>
              <w14:schemeClr w14:val="tx1"/>
            </w14:solidFill>
          </w14:textFill>
        </w:rPr>
        <w:t>需承包人办理的有关施工场地交通、环卫和施工噪音管理等手续：</w:t>
      </w:r>
      <w:r>
        <w:rPr>
          <w:rFonts w:hint="eastAsia" w:ascii="宋体" w:hAnsi="宋体" w:cs="宋体"/>
          <w:color w:val="000000" w:themeColor="text1"/>
          <w:u w:val="single"/>
          <w:lang w:val="zh-CN"/>
          <w14:textFill>
            <w14:solidFill>
              <w14:schemeClr w14:val="tx1"/>
            </w14:solidFill>
          </w14:textFill>
        </w:rPr>
        <w:t>①办理交通特别通行证；②环卫部门规定的施工场地卫生手续；③城管部门手续(占道手续除外)；④建设行政主管部门手续(费用承担按工程项目当地造价站的计价文件规定执行)；⑤环保局夜间施工及噪声；</w:t>
      </w:r>
      <w:r>
        <w:rPr>
          <w:rFonts w:hint="eastAsia" w:ascii="宋体" w:hAnsi="宋体" w:cs="宋体"/>
          <w:color w:val="000000" w:themeColor="text1"/>
          <w:u w:val="single"/>
          <w:lang w:val="zh-CN"/>
          <w14:textFill>
            <w14:solidFill>
              <w14:schemeClr w14:val="tx1"/>
            </w14:solidFill>
          </w14:textFill>
        </w:rPr>
        <w:fldChar w:fldCharType="begin"/>
      </w:r>
      <w:r>
        <w:rPr>
          <w:rFonts w:hint="eastAsia" w:ascii="宋体" w:hAnsi="宋体" w:cs="宋体"/>
          <w:color w:val="000000" w:themeColor="text1"/>
          <w:u w:val="single"/>
          <w:lang w:val="zh-CN"/>
          <w14:textFill>
            <w14:solidFill>
              <w14:schemeClr w14:val="tx1"/>
            </w14:solidFill>
          </w14:textFill>
        </w:rPr>
        <w:instrText xml:space="preserve"> = 6 \* GB3 </w:instrText>
      </w:r>
      <w:r>
        <w:rPr>
          <w:rFonts w:hint="eastAsia" w:ascii="宋体" w:hAnsi="宋体" w:cs="宋体"/>
          <w:color w:val="000000" w:themeColor="text1"/>
          <w:u w:val="single"/>
          <w:lang w:val="zh-CN"/>
          <w14:textFill>
            <w14:solidFill>
              <w14:schemeClr w14:val="tx1"/>
            </w14:solidFill>
          </w14:textFill>
        </w:rPr>
        <w:fldChar w:fldCharType="separate"/>
      </w:r>
      <w:r>
        <w:rPr>
          <w:rFonts w:hint="eastAsia" w:ascii="宋体" w:hAnsi="宋体" w:cs="宋体"/>
          <w:color w:val="000000" w:themeColor="text1"/>
          <w:u w:val="single"/>
          <w:lang w:val="zh-CN"/>
          <w14:textFill>
            <w14:solidFill>
              <w14:schemeClr w14:val="tx1"/>
            </w14:solidFill>
          </w14:textFill>
        </w:rPr>
        <w:t>⑥</w:t>
      </w:r>
      <w:r>
        <w:rPr>
          <w:rFonts w:hint="eastAsia" w:ascii="宋体" w:hAnsi="宋体" w:cs="宋体"/>
          <w:color w:val="000000" w:themeColor="text1"/>
          <w:u w:val="single"/>
          <w:lang w:val="zh-CN"/>
          <w14:textFill>
            <w14:solidFill>
              <w14:schemeClr w14:val="tx1"/>
            </w14:solidFill>
          </w14:textFill>
        </w:rPr>
        <w:fldChar w:fldCharType="end"/>
      </w:r>
      <w:r>
        <w:rPr>
          <w:rFonts w:hint="eastAsia" w:ascii="宋体" w:hAnsi="宋体" w:cs="宋体"/>
          <w:color w:val="000000" w:themeColor="text1"/>
          <w:u w:val="single"/>
          <w:lang w:val="zh-CN"/>
          <w14:textFill>
            <w14:solidFill>
              <w14:schemeClr w14:val="tx1"/>
            </w14:solidFill>
          </w14:textFill>
        </w:rPr>
        <w:t>办理排污许可证（缴纳排污费）等手续；办理上述相关手续所需费用由承包人承担，</w:t>
      </w:r>
      <w:r>
        <w:rPr>
          <w:rFonts w:hint="eastAsia" w:ascii="宋体" w:hAnsi="宋体" w:cs="宋体"/>
          <w:color w:val="000000" w:themeColor="text1"/>
          <w:u w:val="single"/>
          <w14:textFill>
            <w14:solidFill>
              <w14:schemeClr w14:val="tx1"/>
            </w14:solidFill>
          </w14:textFill>
        </w:rPr>
        <w:t>并且承担由于非发包人原因违反规定引起的罚款或超标费用。</w:t>
      </w:r>
      <w:r>
        <w:rPr>
          <w:rFonts w:hint="eastAsia" w:ascii="宋体" w:hAnsi="宋体" w:cs="宋体"/>
          <w:color w:val="000000" w:themeColor="text1"/>
          <w:u w:val="single"/>
          <w:lang w:val="zh-CN"/>
          <w14:textFill>
            <w14:solidFill>
              <w14:schemeClr w14:val="tx1"/>
            </w14:solidFill>
          </w14:textFill>
        </w:rPr>
        <w:t>负责</w:t>
      </w:r>
      <w:r>
        <w:rPr>
          <w:rFonts w:hint="eastAsia" w:ascii="宋体" w:hAnsi="宋体" w:cs="宋体"/>
          <w:color w:val="000000" w:themeColor="text1"/>
          <w:u w:val="single"/>
          <w14:textFill>
            <w14:solidFill>
              <w14:schemeClr w14:val="tx1"/>
            </w14:solidFill>
          </w14:textFill>
        </w:rPr>
        <w:t>协调施工场内、场外与施工有关的各种关系，办理合同约定应由承包人办理的各种证件、批件</w:t>
      </w:r>
      <w:r>
        <w:rPr>
          <w:rFonts w:hint="eastAsia" w:ascii="宋体" w:hAnsi="宋体" w:cs="宋体"/>
          <w:color w:val="000000" w:themeColor="text1"/>
          <w14:textFill>
            <w14:solidFill>
              <w14:schemeClr w14:val="tx1"/>
            </w14:solidFill>
          </w14:textFill>
        </w:rPr>
        <w:t>。</w:t>
      </w:r>
    </w:p>
    <w:p w14:paraId="0361A05A">
      <w:pPr>
        <w:spacing w:line="400" w:lineRule="exact"/>
        <w:ind w:firstLine="420" w:firstLineChars="200"/>
        <w:outlineLvl w:val="0"/>
        <w:rPr>
          <w:rFonts w:hint="eastAsia" w:ascii="宋体" w:hAnsi="宋体" w:cs="宋体"/>
          <w:color w:val="000000" w:themeColor="text1"/>
          <w:u w:val="single"/>
          <w14:textFill>
            <w14:solidFill>
              <w14:schemeClr w14:val="tx1"/>
            </w14:solidFill>
          </w14:textFill>
        </w:rPr>
      </w:pPr>
      <w:bookmarkStart w:id="483" w:name="_Toc173253184"/>
      <w:bookmarkStart w:id="484" w:name="_Toc185770436"/>
      <w:bookmarkStart w:id="485" w:name="_Toc19846"/>
      <w:bookmarkStart w:id="486" w:name="_Toc520505854"/>
      <w:r>
        <w:rPr>
          <w:rFonts w:hint="eastAsia" w:ascii="宋体" w:hAnsi="宋体" w:cs="宋体"/>
          <w:color w:val="000000" w:themeColor="text1"/>
          <w14:textFill>
            <w14:solidFill>
              <w14:schemeClr w14:val="tx1"/>
            </w14:solidFill>
          </w14:textFill>
        </w:rPr>
        <w:t>d、施工场地周围地下管线和邻近建筑物、构筑物（含文物保护建筑）、古树名木的保护要求及费用承担：</w:t>
      </w:r>
      <w:r>
        <w:rPr>
          <w:rFonts w:hint="eastAsia" w:ascii="宋体" w:hAnsi="宋体" w:cs="宋体"/>
          <w:color w:val="000000" w:themeColor="text1"/>
          <w:u w:val="single"/>
          <w14:textFill>
            <w14:solidFill>
              <w14:schemeClr w14:val="tx1"/>
            </w14:solidFill>
          </w14:textFill>
        </w:rPr>
        <w:t>在发包人向承包人提供本工程占地处的地下管线图后，由承包人按有关部门要求进行保护，提出相应的保护措施，报请监理工程师和发包人审批，费用经监理工程师审核，发包人审定后支付。如因承包人原因造成损失的费用由承包人承担。</w:t>
      </w:r>
      <w:bookmarkEnd w:id="483"/>
      <w:bookmarkEnd w:id="484"/>
      <w:bookmarkEnd w:id="485"/>
      <w:bookmarkEnd w:id="486"/>
    </w:p>
    <w:p w14:paraId="7A8B41D4">
      <w:pPr>
        <w:spacing w:line="400" w:lineRule="exact"/>
        <w:ind w:firstLine="420" w:firstLineChars="200"/>
        <w:outlineLvl w:val="0"/>
        <w:rPr>
          <w:rFonts w:hint="eastAsia" w:ascii="宋体" w:hAnsi="宋体" w:cs="宋体"/>
          <w:color w:val="000000" w:themeColor="text1"/>
          <w14:textFill>
            <w14:solidFill>
              <w14:schemeClr w14:val="tx1"/>
            </w14:solidFill>
          </w14:textFill>
        </w:rPr>
      </w:pPr>
      <w:bookmarkStart w:id="487" w:name="_Toc27562"/>
      <w:bookmarkStart w:id="488" w:name="_Toc173253185"/>
      <w:bookmarkStart w:id="489" w:name="_Toc520505855"/>
      <w:bookmarkStart w:id="490" w:name="_Toc185770437"/>
      <w:r>
        <w:rPr>
          <w:rFonts w:hint="eastAsia" w:ascii="宋体" w:hAnsi="宋体" w:cs="宋体"/>
          <w:color w:val="000000" w:themeColor="text1"/>
          <w14:textFill>
            <w14:solidFill>
              <w14:schemeClr w14:val="tx1"/>
            </w14:solidFill>
          </w14:textFill>
        </w:rPr>
        <w:t>e、施工场地清洁卫生的要求：</w:t>
      </w:r>
      <w:r>
        <w:rPr>
          <w:rFonts w:hint="eastAsia" w:ascii="宋体" w:hAnsi="宋体" w:cs="宋体"/>
          <w:color w:val="000000" w:themeColor="text1"/>
          <w:u w:val="single"/>
          <w14:textFill>
            <w14:solidFill>
              <w14:schemeClr w14:val="tx1"/>
            </w14:solidFill>
          </w14:textFill>
        </w:rPr>
        <w:t>按桂林市有关文明施工规定执行，配置保洁人员，保证施工场地及其有关的环境卫生符合市容要求，做到工完场清。承包人负责施工期间至竣工验收合格交付发包人前的承包范围内的卫生保洁工作，要求室内外环境卫生打扫干净符合发包人要求方能交付。如未能达到现行相关建筑工程安全、文明施工管理规定的，发包人有权扣除该事项需要费用</w:t>
      </w:r>
      <w:r>
        <w:rPr>
          <w:rFonts w:hint="eastAsia" w:ascii="宋体" w:hAnsi="宋体" w:cs="宋体"/>
          <w:color w:val="000000" w:themeColor="text1"/>
          <w14:textFill>
            <w14:solidFill>
              <w14:schemeClr w14:val="tx1"/>
            </w14:solidFill>
          </w14:textFill>
        </w:rPr>
        <w:t>。</w:t>
      </w:r>
      <w:bookmarkEnd w:id="487"/>
      <w:bookmarkEnd w:id="488"/>
      <w:bookmarkEnd w:id="489"/>
      <w:bookmarkEnd w:id="490"/>
    </w:p>
    <w:p w14:paraId="524A00C6">
      <w:pPr>
        <w:spacing w:line="400" w:lineRule="exact"/>
        <w:ind w:firstLine="411" w:firstLineChars="196"/>
        <w:outlineLvl w:val="0"/>
        <w:rPr>
          <w:rFonts w:hint="eastAsia" w:ascii="宋体" w:hAnsi="宋体" w:cs="宋体"/>
          <w:color w:val="000000" w:themeColor="text1"/>
          <w:u w:val="single"/>
          <w14:textFill>
            <w14:solidFill>
              <w14:schemeClr w14:val="tx1"/>
            </w14:solidFill>
          </w14:textFill>
        </w:rPr>
      </w:pPr>
      <w:bookmarkStart w:id="491" w:name="_Toc173253186"/>
      <w:bookmarkStart w:id="492" w:name="_Toc520505856"/>
      <w:bookmarkStart w:id="493" w:name="_Toc185770438"/>
      <w:bookmarkStart w:id="494" w:name="_Toc22900"/>
      <w:r>
        <w:rPr>
          <w:rFonts w:hint="eastAsia" w:ascii="宋体" w:hAnsi="宋体" w:cs="宋体"/>
          <w:color w:val="000000" w:themeColor="text1"/>
          <w14:textFill>
            <w14:solidFill>
              <w14:schemeClr w14:val="tx1"/>
            </w14:solidFill>
          </w14:textFill>
        </w:rPr>
        <w:t>f、已完工程成品保护的特殊要求及费用承担：</w:t>
      </w:r>
      <w:bookmarkStart w:id="495" w:name="_Toc374021429"/>
      <w:r>
        <w:rPr>
          <w:rFonts w:hint="eastAsia" w:ascii="宋体" w:hAnsi="宋体" w:cs="宋体"/>
          <w:color w:val="000000" w:themeColor="text1"/>
          <w:u w:val="single"/>
          <w14:textFill>
            <w14:solidFill>
              <w14:schemeClr w14:val="tx1"/>
            </w14:solidFill>
          </w14:textFill>
        </w:rPr>
        <w:t>从开工之日起，承包人应全面负责照管本合同工程及将用于和施工在本合同工程中的材料、设备直到本合同工程《房屋建筑工程质量保修书》签发之日为止，并承担此期间发生的相关费用。</w:t>
      </w:r>
      <w:bookmarkEnd w:id="491"/>
      <w:bookmarkEnd w:id="492"/>
      <w:bookmarkEnd w:id="493"/>
      <w:bookmarkEnd w:id="494"/>
      <w:bookmarkEnd w:id="495"/>
    </w:p>
    <w:p w14:paraId="7B4F3C06">
      <w:pPr>
        <w:spacing w:line="400" w:lineRule="exact"/>
        <w:ind w:firstLine="420" w:firstLineChars="200"/>
        <w:rPr>
          <w:rFonts w:hint="eastAsia" w:ascii="宋体" w:hAnsi="宋体" w:cs="宋体"/>
          <w:color w:val="000000" w:themeColor="text1"/>
          <w:u w:val="single"/>
          <w14:textFill>
            <w14:solidFill>
              <w14:schemeClr w14:val="tx1"/>
            </w14:solidFill>
          </w14:textFill>
        </w:rPr>
      </w:pPr>
      <w:r>
        <w:rPr>
          <w:rFonts w:hint="eastAsia" w:ascii="宋体" w:hAnsi="宋体" w:cs="宋体"/>
          <w:color w:val="000000" w:themeColor="text1"/>
          <w14:textFill>
            <w14:solidFill>
              <w14:schemeClr w14:val="tx1"/>
            </w14:solidFill>
          </w14:textFill>
        </w:rPr>
        <w:t>h、双方约定承包人应做的其他工作：</w:t>
      </w:r>
      <w:r>
        <w:rPr>
          <w:rFonts w:hint="eastAsia" w:ascii="宋体" w:hAnsi="宋体" w:cs="宋体"/>
          <w:color w:val="000000" w:themeColor="text1"/>
          <w:u w:val="single"/>
          <w14:textFill>
            <w14:solidFill>
              <w14:schemeClr w14:val="tx1"/>
            </w14:solidFill>
          </w14:textFill>
        </w:rPr>
        <w:t>1、承包人应负责其施工区域内工地现场临时设施、道路、管线的施工和保养，从发包人指定的水电接驳点接驳施工用水用电，并有义务采取措施避免工程施工对红线范围内地下管线造成破坏；2、承包人对本工程的质量、进度、安全及文明施工、成品保护、现场保安等负有不可推卸的管理责任。</w:t>
      </w:r>
    </w:p>
    <w:p w14:paraId="5F91D547">
      <w:pPr>
        <w:pStyle w:val="102"/>
        <w:spacing w:line="400" w:lineRule="exact"/>
        <w:rPr>
          <w:rFonts w:hint="eastAsia" w:ascii="宋体" w:hAnsi="宋体" w:cs="宋体"/>
          <w:color w:val="000000" w:themeColor="text1"/>
          <w14:textFill>
            <w14:solidFill>
              <w14:schemeClr w14:val="tx1"/>
            </w14:solidFill>
          </w14:textFill>
        </w:rPr>
      </w:pPr>
      <w:r>
        <w:rPr>
          <w:rFonts w:hint="eastAsia" w:ascii="宋体" w:hAnsi="宋体" w:cs="宋体"/>
          <w:color w:val="000000" w:themeColor="text1"/>
          <w:u w:val="single"/>
          <w14:textFill>
            <w14:solidFill>
              <w14:schemeClr w14:val="tx1"/>
            </w14:solidFill>
          </w14:textFill>
        </w:rPr>
        <w:t>g、其他：墙改、散装水泥及城建档案资料等保证金或押金由发包人负责缴纳，承包人应根据发包人要求提供合法发票及合格的资料。否则由于承包人原因造成有关保证金或押金未能全部退回的，扣除部分的保证金或押金由承包人负责，发包人有权从应支付承包人的任何工程款项中扣除。</w:t>
      </w:r>
    </w:p>
    <w:p w14:paraId="3A574A01">
      <w:pPr>
        <w:pStyle w:val="96"/>
        <w:spacing w:before="0" w:after="200" w:line="400" w:lineRule="exact"/>
        <w:rPr>
          <w:rFonts w:hint="eastAsia" w:ascii="宋体" w:cs="宋体"/>
          <w:bCs w:val="0"/>
          <w:color w:val="000000" w:themeColor="text1"/>
          <w14:textFill>
            <w14:solidFill>
              <w14:schemeClr w14:val="tx1"/>
            </w14:solidFill>
          </w14:textFill>
        </w:rPr>
      </w:pPr>
      <w:bookmarkStart w:id="496" w:name="_Toc185770439"/>
      <w:bookmarkStart w:id="497" w:name="_Toc520505857"/>
      <w:bookmarkStart w:id="498" w:name="_Toc173253187"/>
      <w:bookmarkStart w:id="499" w:name="_Toc406522228"/>
      <w:bookmarkStart w:id="500" w:name="_Toc14630"/>
      <w:r>
        <w:rPr>
          <w:rFonts w:hint="eastAsia" w:ascii="宋体" w:cs="宋体"/>
          <w:bCs w:val="0"/>
          <w:color w:val="000000" w:themeColor="text1"/>
          <w14:textFill>
            <w14:solidFill>
              <w14:schemeClr w14:val="tx1"/>
            </w14:solidFill>
          </w14:textFill>
        </w:rPr>
        <w:t>3.2 项目经理</w:t>
      </w:r>
      <w:bookmarkEnd w:id="496"/>
      <w:bookmarkEnd w:id="497"/>
      <w:bookmarkEnd w:id="498"/>
      <w:bookmarkEnd w:id="499"/>
      <w:bookmarkEnd w:id="500"/>
    </w:p>
    <w:p w14:paraId="11E30927">
      <w:pPr>
        <w:pStyle w:val="102"/>
        <w:spacing w:line="400" w:lineRule="exact"/>
        <w:rPr>
          <w:rFonts w:hint="eastAsia"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3.2.1 项目经理：</w:t>
      </w:r>
    </w:p>
    <w:p w14:paraId="225F0633">
      <w:pPr>
        <w:pStyle w:val="102"/>
        <w:spacing w:line="400" w:lineRule="exact"/>
        <w:rPr>
          <w:rFonts w:hint="eastAsia"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姓    名：</w:t>
      </w:r>
      <w:r>
        <w:rPr>
          <w:rFonts w:hint="eastAsia" w:ascii="宋体" w:hAnsi="宋体" w:cs="宋体"/>
          <w:color w:val="000000" w:themeColor="text1"/>
          <w:u w:val="single"/>
          <w14:textFill>
            <w14:solidFill>
              <w14:schemeClr w14:val="tx1"/>
            </w14:solidFill>
          </w14:textFill>
        </w:rPr>
        <w:t>（</w:t>
      </w:r>
      <w:r>
        <w:rPr>
          <w:rFonts w:hint="eastAsia" w:ascii="宋体" w:hAnsi="宋体" w:cs="宋体"/>
          <w:color w:val="000000" w:themeColor="text1"/>
          <w:u w:val="single"/>
          <w:lang w:eastAsia="zh-CN"/>
          <w14:textFill>
            <w14:solidFill>
              <w14:schemeClr w14:val="tx1"/>
            </w14:solidFill>
          </w14:textFill>
        </w:rPr>
        <w:t>成交后</w:t>
      </w:r>
      <w:r>
        <w:rPr>
          <w:rFonts w:hint="eastAsia" w:ascii="宋体" w:hAnsi="宋体" w:cs="宋体"/>
          <w:color w:val="000000" w:themeColor="text1"/>
          <w:u w:val="single"/>
          <w14:textFill>
            <w14:solidFill>
              <w14:schemeClr w14:val="tx1"/>
            </w14:solidFill>
          </w14:textFill>
        </w:rPr>
        <w:t>填写）</w:t>
      </w:r>
      <w:r>
        <w:rPr>
          <w:rFonts w:hint="eastAsia" w:ascii="宋体" w:hAnsi="宋体" w:cs="宋体"/>
          <w:color w:val="000000" w:themeColor="text1"/>
          <w14:textFill>
            <w14:solidFill>
              <w14:schemeClr w14:val="tx1"/>
            </w14:solidFill>
          </w14:textFill>
        </w:rPr>
        <w:t>；</w:t>
      </w:r>
    </w:p>
    <w:p w14:paraId="6F981D42">
      <w:pPr>
        <w:pStyle w:val="102"/>
        <w:spacing w:line="400" w:lineRule="exact"/>
        <w:rPr>
          <w:rFonts w:hint="eastAsia"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身份证号：</w:t>
      </w:r>
      <w:r>
        <w:rPr>
          <w:rFonts w:hint="eastAsia" w:ascii="宋体" w:hAnsi="宋体" w:cs="宋体"/>
          <w:color w:val="000000" w:themeColor="text1"/>
          <w:u w:val="single"/>
          <w14:textFill>
            <w14:solidFill>
              <w14:schemeClr w14:val="tx1"/>
            </w14:solidFill>
          </w14:textFill>
        </w:rPr>
        <w:t>（</w:t>
      </w:r>
      <w:r>
        <w:rPr>
          <w:rFonts w:hint="eastAsia" w:ascii="宋体" w:hAnsi="宋体" w:cs="宋体"/>
          <w:color w:val="000000" w:themeColor="text1"/>
          <w:u w:val="single"/>
          <w:lang w:eastAsia="zh-CN"/>
          <w14:textFill>
            <w14:solidFill>
              <w14:schemeClr w14:val="tx1"/>
            </w14:solidFill>
          </w14:textFill>
        </w:rPr>
        <w:t>成交后</w:t>
      </w:r>
      <w:r>
        <w:rPr>
          <w:rFonts w:hint="eastAsia" w:ascii="宋体" w:hAnsi="宋体" w:cs="宋体"/>
          <w:color w:val="000000" w:themeColor="text1"/>
          <w:u w:val="single"/>
          <w14:textFill>
            <w14:solidFill>
              <w14:schemeClr w14:val="tx1"/>
            </w14:solidFill>
          </w14:textFill>
        </w:rPr>
        <w:t>填写）</w:t>
      </w:r>
      <w:r>
        <w:rPr>
          <w:rFonts w:hint="eastAsia" w:ascii="宋体" w:hAnsi="宋体" w:cs="宋体"/>
          <w:color w:val="000000" w:themeColor="text1"/>
          <w14:textFill>
            <w14:solidFill>
              <w14:schemeClr w14:val="tx1"/>
            </w14:solidFill>
          </w14:textFill>
        </w:rPr>
        <w:t>；</w:t>
      </w:r>
    </w:p>
    <w:p w14:paraId="410A77E0">
      <w:pPr>
        <w:pStyle w:val="102"/>
        <w:spacing w:line="400" w:lineRule="exact"/>
        <w:rPr>
          <w:rFonts w:hint="eastAsia"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建造师执业资格等级：</w:t>
      </w:r>
      <w:r>
        <w:rPr>
          <w:rFonts w:hint="eastAsia" w:ascii="宋体" w:hAnsi="宋体" w:cs="宋体"/>
          <w:color w:val="000000" w:themeColor="text1"/>
          <w:u w:val="single"/>
          <w14:textFill>
            <w14:solidFill>
              <w14:schemeClr w14:val="tx1"/>
            </w14:solidFill>
          </w14:textFill>
        </w:rPr>
        <w:t>（</w:t>
      </w:r>
      <w:r>
        <w:rPr>
          <w:rFonts w:hint="eastAsia" w:ascii="宋体" w:hAnsi="宋体" w:cs="宋体"/>
          <w:color w:val="000000" w:themeColor="text1"/>
          <w:u w:val="single"/>
          <w:lang w:eastAsia="zh-CN"/>
          <w14:textFill>
            <w14:solidFill>
              <w14:schemeClr w14:val="tx1"/>
            </w14:solidFill>
          </w14:textFill>
        </w:rPr>
        <w:t>成交后</w:t>
      </w:r>
      <w:r>
        <w:rPr>
          <w:rFonts w:hint="eastAsia" w:ascii="宋体" w:hAnsi="宋体" w:cs="宋体"/>
          <w:color w:val="000000" w:themeColor="text1"/>
          <w:u w:val="single"/>
          <w14:textFill>
            <w14:solidFill>
              <w14:schemeClr w14:val="tx1"/>
            </w14:solidFill>
          </w14:textFill>
        </w:rPr>
        <w:t>填写）</w:t>
      </w:r>
      <w:r>
        <w:rPr>
          <w:rFonts w:hint="eastAsia" w:ascii="宋体" w:hAnsi="宋体" w:cs="宋体"/>
          <w:color w:val="000000" w:themeColor="text1"/>
          <w14:textFill>
            <w14:solidFill>
              <w14:schemeClr w14:val="tx1"/>
            </w14:solidFill>
          </w14:textFill>
        </w:rPr>
        <w:t>；</w:t>
      </w:r>
    </w:p>
    <w:p w14:paraId="1D3A577B">
      <w:pPr>
        <w:pStyle w:val="102"/>
        <w:spacing w:line="400" w:lineRule="exact"/>
        <w:rPr>
          <w:rFonts w:hint="eastAsia"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建造师注册证书号：</w:t>
      </w:r>
      <w:r>
        <w:rPr>
          <w:rFonts w:hint="eastAsia" w:ascii="宋体" w:hAnsi="宋体" w:cs="宋体"/>
          <w:color w:val="000000" w:themeColor="text1"/>
          <w:u w:val="single"/>
          <w14:textFill>
            <w14:solidFill>
              <w14:schemeClr w14:val="tx1"/>
            </w14:solidFill>
          </w14:textFill>
        </w:rPr>
        <w:t>（</w:t>
      </w:r>
      <w:r>
        <w:rPr>
          <w:rFonts w:hint="eastAsia" w:ascii="宋体" w:hAnsi="宋体" w:cs="宋体"/>
          <w:color w:val="000000" w:themeColor="text1"/>
          <w:u w:val="single"/>
          <w:lang w:eastAsia="zh-CN"/>
          <w14:textFill>
            <w14:solidFill>
              <w14:schemeClr w14:val="tx1"/>
            </w14:solidFill>
          </w14:textFill>
        </w:rPr>
        <w:t>成交后</w:t>
      </w:r>
      <w:r>
        <w:rPr>
          <w:rFonts w:hint="eastAsia" w:ascii="宋体" w:hAnsi="宋体" w:cs="宋体"/>
          <w:color w:val="000000" w:themeColor="text1"/>
          <w:u w:val="single"/>
          <w14:textFill>
            <w14:solidFill>
              <w14:schemeClr w14:val="tx1"/>
            </w14:solidFill>
          </w14:textFill>
        </w:rPr>
        <w:t>填写）</w:t>
      </w:r>
      <w:r>
        <w:rPr>
          <w:rFonts w:hint="eastAsia" w:ascii="宋体" w:hAnsi="宋体" w:cs="宋体"/>
          <w:color w:val="000000" w:themeColor="text1"/>
          <w14:textFill>
            <w14:solidFill>
              <w14:schemeClr w14:val="tx1"/>
            </w14:solidFill>
          </w14:textFill>
        </w:rPr>
        <w:t>；</w:t>
      </w:r>
    </w:p>
    <w:p w14:paraId="43171D23">
      <w:pPr>
        <w:pStyle w:val="102"/>
        <w:spacing w:line="400" w:lineRule="exact"/>
        <w:rPr>
          <w:rFonts w:hint="eastAsia"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建造师执业印章号：</w:t>
      </w:r>
      <w:r>
        <w:rPr>
          <w:rFonts w:hint="eastAsia" w:ascii="宋体" w:hAnsi="宋体" w:cs="宋体"/>
          <w:color w:val="000000" w:themeColor="text1"/>
          <w:u w:val="single"/>
          <w14:textFill>
            <w14:solidFill>
              <w14:schemeClr w14:val="tx1"/>
            </w14:solidFill>
          </w14:textFill>
        </w:rPr>
        <w:t>（</w:t>
      </w:r>
      <w:r>
        <w:rPr>
          <w:rFonts w:hint="eastAsia" w:ascii="宋体" w:hAnsi="宋体" w:cs="宋体"/>
          <w:color w:val="000000" w:themeColor="text1"/>
          <w:u w:val="single"/>
          <w:lang w:eastAsia="zh-CN"/>
          <w14:textFill>
            <w14:solidFill>
              <w14:schemeClr w14:val="tx1"/>
            </w14:solidFill>
          </w14:textFill>
        </w:rPr>
        <w:t>成交后</w:t>
      </w:r>
      <w:r>
        <w:rPr>
          <w:rFonts w:hint="eastAsia" w:ascii="宋体" w:hAnsi="宋体" w:cs="宋体"/>
          <w:color w:val="000000" w:themeColor="text1"/>
          <w:u w:val="single"/>
          <w14:textFill>
            <w14:solidFill>
              <w14:schemeClr w14:val="tx1"/>
            </w14:solidFill>
          </w14:textFill>
        </w:rPr>
        <w:t>填写）</w:t>
      </w:r>
      <w:r>
        <w:rPr>
          <w:rFonts w:hint="eastAsia" w:ascii="宋体" w:hAnsi="宋体" w:cs="宋体"/>
          <w:color w:val="000000" w:themeColor="text1"/>
          <w14:textFill>
            <w14:solidFill>
              <w14:schemeClr w14:val="tx1"/>
            </w14:solidFill>
          </w14:textFill>
        </w:rPr>
        <w:t>；</w:t>
      </w:r>
    </w:p>
    <w:p w14:paraId="5D82594C">
      <w:pPr>
        <w:pStyle w:val="102"/>
        <w:spacing w:line="400" w:lineRule="exact"/>
        <w:rPr>
          <w:rFonts w:hint="eastAsia"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安全生产考核合格证书号：</w:t>
      </w:r>
      <w:r>
        <w:rPr>
          <w:rFonts w:hint="eastAsia" w:ascii="宋体" w:hAnsi="宋体" w:cs="宋体"/>
          <w:color w:val="000000" w:themeColor="text1"/>
          <w:u w:val="single"/>
          <w14:textFill>
            <w14:solidFill>
              <w14:schemeClr w14:val="tx1"/>
            </w14:solidFill>
          </w14:textFill>
        </w:rPr>
        <w:t>（</w:t>
      </w:r>
      <w:r>
        <w:rPr>
          <w:rFonts w:hint="eastAsia" w:ascii="宋体" w:hAnsi="宋体" w:cs="宋体"/>
          <w:color w:val="000000" w:themeColor="text1"/>
          <w:u w:val="single"/>
          <w:lang w:eastAsia="zh-CN"/>
          <w14:textFill>
            <w14:solidFill>
              <w14:schemeClr w14:val="tx1"/>
            </w14:solidFill>
          </w14:textFill>
        </w:rPr>
        <w:t>成交后</w:t>
      </w:r>
      <w:r>
        <w:rPr>
          <w:rFonts w:hint="eastAsia" w:ascii="宋体" w:hAnsi="宋体" w:cs="宋体"/>
          <w:color w:val="000000" w:themeColor="text1"/>
          <w:u w:val="single"/>
          <w14:textFill>
            <w14:solidFill>
              <w14:schemeClr w14:val="tx1"/>
            </w14:solidFill>
          </w14:textFill>
        </w:rPr>
        <w:t>填写）</w:t>
      </w:r>
      <w:r>
        <w:rPr>
          <w:rFonts w:hint="eastAsia" w:ascii="宋体" w:hAnsi="宋体" w:cs="宋体"/>
          <w:color w:val="000000" w:themeColor="text1"/>
          <w14:textFill>
            <w14:solidFill>
              <w14:schemeClr w14:val="tx1"/>
            </w14:solidFill>
          </w14:textFill>
        </w:rPr>
        <w:t>；</w:t>
      </w:r>
    </w:p>
    <w:p w14:paraId="53DDFE01">
      <w:pPr>
        <w:pStyle w:val="102"/>
        <w:spacing w:line="400" w:lineRule="exact"/>
        <w:rPr>
          <w:rFonts w:hint="eastAsia"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联系电话：</w:t>
      </w:r>
      <w:r>
        <w:rPr>
          <w:rFonts w:hint="eastAsia" w:ascii="宋体" w:hAnsi="宋体" w:cs="宋体"/>
          <w:color w:val="000000" w:themeColor="text1"/>
          <w:u w:val="single"/>
          <w14:textFill>
            <w14:solidFill>
              <w14:schemeClr w14:val="tx1"/>
            </w14:solidFill>
          </w14:textFill>
        </w:rPr>
        <w:t>（</w:t>
      </w:r>
      <w:r>
        <w:rPr>
          <w:rFonts w:hint="eastAsia" w:ascii="宋体" w:hAnsi="宋体" w:cs="宋体"/>
          <w:color w:val="000000" w:themeColor="text1"/>
          <w:u w:val="single"/>
          <w:lang w:eastAsia="zh-CN"/>
          <w14:textFill>
            <w14:solidFill>
              <w14:schemeClr w14:val="tx1"/>
            </w14:solidFill>
          </w14:textFill>
        </w:rPr>
        <w:t>成交后</w:t>
      </w:r>
      <w:r>
        <w:rPr>
          <w:rFonts w:hint="eastAsia" w:ascii="宋体" w:hAnsi="宋体" w:cs="宋体"/>
          <w:color w:val="000000" w:themeColor="text1"/>
          <w:u w:val="single"/>
          <w14:textFill>
            <w14:solidFill>
              <w14:schemeClr w14:val="tx1"/>
            </w14:solidFill>
          </w14:textFill>
        </w:rPr>
        <w:t>填写）</w:t>
      </w:r>
      <w:r>
        <w:rPr>
          <w:rFonts w:hint="eastAsia" w:ascii="宋体" w:hAnsi="宋体" w:cs="宋体"/>
          <w:color w:val="000000" w:themeColor="text1"/>
          <w14:textFill>
            <w14:solidFill>
              <w14:schemeClr w14:val="tx1"/>
            </w14:solidFill>
          </w14:textFill>
        </w:rPr>
        <w:t>；</w:t>
      </w:r>
    </w:p>
    <w:p w14:paraId="072D1AD3">
      <w:pPr>
        <w:pStyle w:val="102"/>
        <w:spacing w:line="400" w:lineRule="exact"/>
        <w:rPr>
          <w:rFonts w:hint="eastAsia"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电子信箱：</w:t>
      </w:r>
      <w:r>
        <w:rPr>
          <w:rFonts w:hint="eastAsia" w:ascii="宋体" w:hAnsi="宋体" w:cs="宋体"/>
          <w:color w:val="000000" w:themeColor="text1"/>
          <w:u w:val="single"/>
          <w14:textFill>
            <w14:solidFill>
              <w14:schemeClr w14:val="tx1"/>
            </w14:solidFill>
          </w14:textFill>
        </w:rPr>
        <w:t>（</w:t>
      </w:r>
      <w:r>
        <w:rPr>
          <w:rFonts w:hint="eastAsia" w:ascii="宋体" w:hAnsi="宋体" w:cs="宋体"/>
          <w:color w:val="000000" w:themeColor="text1"/>
          <w:u w:val="single"/>
          <w:lang w:eastAsia="zh-CN"/>
          <w14:textFill>
            <w14:solidFill>
              <w14:schemeClr w14:val="tx1"/>
            </w14:solidFill>
          </w14:textFill>
        </w:rPr>
        <w:t>成交后</w:t>
      </w:r>
      <w:r>
        <w:rPr>
          <w:rFonts w:hint="eastAsia" w:ascii="宋体" w:hAnsi="宋体" w:cs="宋体"/>
          <w:color w:val="000000" w:themeColor="text1"/>
          <w:u w:val="single"/>
          <w14:textFill>
            <w14:solidFill>
              <w14:schemeClr w14:val="tx1"/>
            </w14:solidFill>
          </w14:textFill>
        </w:rPr>
        <w:t>填写）</w:t>
      </w:r>
      <w:r>
        <w:rPr>
          <w:rFonts w:hint="eastAsia" w:ascii="宋体" w:hAnsi="宋体" w:cs="宋体"/>
          <w:color w:val="000000" w:themeColor="text1"/>
          <w14:textFill>
            <w14:solidFill>
              <w14:schemeClr w14:val="tx1"/>
            </w14:solidFill>
          </w14:textFill>
        </w:rPr>
        <w:t>；</w:t>
      </w:r>
    </w:p>
    <w:p w14:paraId="1DFD7796">
      <w:pPr>
        <w:pStyle w:val="102"/>
        <w:spacing w:line="400" w:lineRule="exact"/>
        <w:rPr>
          <w:rFonts w:hint="eastAsia"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通信地址：</w:t>
      </w:r>
      <w:r>
        <w:rPr>
          <w:rFonts w:hint="eastAsia" w:ascii="宋体" w:hAnsi="宋体" w:cs="宋体"/>
          <w:color w:val="000000" w:themeColor="text1"/>
          <w:u w:val="single"/>
          <w14:textFill>
            <w14:solidFill>
              <w14:schemeClr w14:val="tx1"/>
            </w14:solidFill>
          </w14:textFill>
        </w:rPr>
        <w:t>（</w:t>
      </w:r>
      <w:r>
        <w:rPr>
          <w:rFonts w:hint="eastAsia" w:ascii="宋体" w:hAnsi="宋体" w:cs="宋体"/>
          <w:color w:val="000000" w:themeColor="text1"/>
          <w:u w:val="single"/>
          <w:lang w:eastAsia="zh-CN"/>
          <w14:textFill>
            <w14:solidFill>
              <w14:schemeClr w14:val="tx1"/>
            </w14:solidFill>
          </w14:textFill>
        </w:rPr>
        <w:t>成交后</w:t>
      </w:r>
      <w:r>
        <w:rPr>
          <w:rFonts w:hint="eastAsia" w:ascii="宋体" w:hAnsi="宋体" w:cs="宋体"/>
          <w:color w:val="000000" w:themeColor="text1"/>
          <w:u w:val="single"/>
          <w14:textFill>
            <w14:solidFill>
              <w14:schemeClr w14:val="tx1"/>
            </w14:solidFill>
          </w14:textFill>
        </w:rPr>
        <w:t>填写）</w:t>
      </w:r>
      <w:r>
        <w:rPr>
          <w:rFonts w:hint="eastAsia" w:ascii="宋体" w:hAnsi="宋体" w:cs="宋体"/>
          <w:color w:val="000000" w:themeColor="text1"/>
          <w14:textFill>
            <w14:solidFill>
              <w14:schemeClr w14:val="tx1"/>
            </w14:solidFill>
          </w14:textFill>
        </w:rPr>
        <w:t>；</w:t>
      </w:r>
    </w:p>
    <w:p w14:paraId="6AC0BA45">
      <w:pPr>
        <w:spacing w:line="400" w:lineRule="exact"/>
        <w:ind w:firstLine="420" w:firstLineChars="200"/>
        <w:rPr>
          <w:rFonts w:hint="eastAsia" w:ascii="宋体" w:hAnsi="宋体" w:cs="宋体"/>
          <w:color w:val="000000" w:themeColor="text1"/>
          <w:u w:val="single"/>
          <w14:textFill>
            <w14:solidFill>
              <w14:schemeClr w14:val="tx1"/>
            </w14:solidFill>
          </w14:textFill>
        </w:rPr>
      </w:pPr>
      <w:r>
        <w:rPr>
          <w:rFonts w:hint="eastAsia" w:ascii="宋体" w:hAnsi="宋体" w:cs="宋体"/>
          <w:color w:val="000000" w:themeColor="text1"/>
          <w14:textFill>
            <w14:solidFill>
              <w14:schemeClr w14:val="tx1"/>
            </w14:solidFill>
          </w14:textFill>
        </w:rPr>
        <w:t>承包人对项目经理的授权范围如下：</w:t>
      </w:r>
      <w:r>
        <w:rPr>
          <w:rFonts w:hint="eastAsia" w:ascii="宋体" w:hAnsi="宋体" w:cs="宋体"/>
          <w:color w:val="000000" w:themeColor="text1"/>
          <w:u w:val="single"/>
          <w14:textFill>
            <w14:solidFill>
              <w14:schemeClr w14:val="tx1"/>
            </w14:solidFill>
          </w14:textFill>
        </w:rPr>
        <w:t>（1）对本工程的施工进行全面管理，包括对工程质量、进度、安全、成本等进行管理，行使施工合同约定的权利，履行施工合同约定的义务；（2）经发包人同意分包的专业工程，项目经理参与选择并使用具有相应资质的分包人（由发包人指定分包的除外）；（3）施工合同约定由承包人采购的材料、工程设备，项目经理参与选择物资供应单位；（4）代表承包人应工程施工中的相关事务（本授权第一项约定的事务）进行协商，代表承包人参加发包人组织与本工程有关会议；（5）负责与发包人、监理人办理设计变更、现场签证等手续，及时办理本工程相关索赔；（6）负责签收发包人、监理人往来函件，承包人的要求、通知均应以书面形式由承包人项目经理签字并加盖承包人公司公章后递交发包人；（7）代表承包人接受监理工程师或发包人现场代表发出的指示和指令。</w:t>
      </w:r>
    </w:p>
    <w:p w14:paraId="64E8D15D">
      <w:pPr>
        <w:pStyle w:val="102"/>
        <w:spacing w:line="400" w:lineRule="exact"/>
        <w:rPr>
          <w:rFonts w:hint="eastAsia" w:ascii="宋体" w:hAnsi="宋体" w:cs="宋体"/>
          <w:color w:val="000000" w:themeColor="text1"/>
          <w14:textFill>
            <w14:solidFill>
              <w14:schemeClr w14:val="tx1"/>
            </w14:solidFill>
          </w14:textFill>
        </w:rPr>
      </w:pPr>
      <w:r>
        <w:rPr>
          <w:rFonts w:hint="eastAsia" w:ascii="宋体" w:hAnsi="宋体" w:cs="宋体"/>
          <w:color w:val="000000" w:themeColor="text1"/>
          <w:u w:val="single"/>
          <w14:textFill>
            <w14:solidFill>
              <w14:schemeClr w14:val="tx1"/>
            </w14:solidFill>
          </w14:textFill>
        </w:rPr>
        <w:t>但未经承包人盖章同意不得以承包人和（或本工程项目部）名义向外融资、采购材料设备、租用建筑周转材料、雇佣劳动力、签订分包合同等从事一切为承包人设立义务或责任的行为。</w:t>
      </w:r>
    </w:p>
    <w:p w14:paraId="3783BE6C">
      <w:pPr>
        <w:pStyle w:val="102"/>
        <w:spacing w:line="400" w:lineRule="exact"/>
        <w:rPr>
          <w:rFonts w:hint="eastAsia" w:ascii="宋体" w:hAnsi="宋体" w:cs="宋体"/>
          <w:color w:val="000000" w:themeColor="text1"/>
          <w:u w:val="single"/>
          <w14:textFill>
            <w14:solidFill>
              <w14:schemeClr w14:val="tx1"/>
            </w14:solidFill>
          </w14:textFill>
        </w:rPr>
      </w:pPr>
      <w:r>
        <w:rPr>
          <w:rFonts w:hint="eastAsia" w:ascii="宋体" w:hAnsi="宋体" w:cs="宋体"/>
          <w:color w:val="000000" w:themeColor="text1"/>
          <w14:textFill>
            <w14:solidFill>
              <w14:schemeClr w14:val="tx1"/>
            </w14:solidFill>
          </w14:textFill>
        </w:rPr>
        <w:t>关于项目经理每月在施工现场的时间要求：</w:t>
      </w:r>
      <w:r>
        <w:rPr>
          <w:rFonts w:hint="eastAsia" w:ascii="宋体" w:hAnsi="宋体" w:cs="宋体"/>
          <w:color w:val="000000" w:themeColor="text1"/>
          <w:u w:val="single"/>
          <w14:textFill>
            <w14:solidFill>
              <w14:schemeClr w14:val="tx1"/>
            </w14:solidFill>
          </w14:textFill>
        </w:rPr>
        <w:t>项目经理每月在岗带班时间不得少于当月施工时间的80%。</w:t>
      </w:r>
    </w:p>
    <w:p w14:paraId="660A2609">
      <w:pPr>
        <w:pStyle w:val="102"/>
        <w:spacing w:line="400" w:lineRule="exact"/>
        <w:rPr>
          <w:rFonts w:hint="eastAsia" w:ascii="宋体" w:hAnsi="宋体" w:cs="宋体"/>
          <w:color w:val="000000" w:themeColor="text1"/>
          <w:u w:val="single"/>
          <w14:textFill>
            <w14:solidFill>
              <w14:schemeClr w14:val="tx1"/>
            </w14:solidFill>
          </w14:textFill>
        </w:rPr>
      </w:pPr>
      <w:r>
        <w:rPr>
          <w:rFonts w:hint="eastAsia" w:ascii="宋体" w:hAnsi="宋体" w:cs="宋体"/>
          <w:color w:val="000000" w:themeColor="text1"/>
          <w14:textFill>
            <w14:solidFill>
              <w14:schemeClr w14:val="tx1"/>
            </w14:solidFill>
          </w14:textFill>
        </w:rPr>
        <w:t>项目经理未经批准，擅自离开施工现场的违约责任：</w:t>
      </w:r>
      <w:r>
        <w:rPr>
          <w:rFonts w:hint="eastAsia" w:ascii="宋体" w:hAnsi="宋体" w:cs="宋体"/>
          <w:color w:val="000000" w:themeColor="text1"/>
          <w:u w:val="single"/>
          <w14:textFill>
            <w14:solidFill>
              <w14:schemeClr w14:val="tx1"/>
            </w14:solidFill>
          </w14:textFill>
        </w:rPr>
        <w:t xml:space="preserve">项目经理每月在岗带班时间不得少于当月施工时间的80%。未经发包人同意或正当理由，项目经理每月在岗带班时间少于当月施工时间80%的，少在岗带班一天，发包人有权处违约金500元/日（人民币）  </w:t>
      </w:r>
      <w:r>
        <w:rPr>
          <w:rFonts w:hint="eastAsia" w:ascii="宋体" w:hAnsi="宋体" w:cs="宋体"/>
          <w:color w:val="000000" w:themeColor="text1"/>
          <w14:textFill>
            <w14:solidFill>
              <w14:schemeClr w14:val="tx1"/>
            </w14:solidFill>
          </w14:textFill>
        </w:rPr>
        <w:t>。</w:t>
      </w:r>
    </w:p>
    <w:p w14:paraId="09A97C16">
      <w:pPr>
        <w:pStyle w:val="102"/>
        <w:spacing w:line="400" w:lineRule="exact"/>
        <w:ind w:firstLine="315" w:firstLineChars="150"/>
        <w:rPr>
          <w:rFonts w:hint="eastAsia"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承包人未提交劳动合同，以及没有为项目经理缴纳社会保险证明的违约责任：</w:t>
      </w:r>
      <w:r>
        <w:rPr>
          <w:rFonts w:hint="eastAsia" w:ascii="宋体" w:hAnsi="宋体" w:cs="宋体"/>
          <w:color w:val="000000" w:themeColor="text1"/>
          <w:u w:val="single"/>
          <w14:textFill>
            <w14:solidFill>
              <w14:schemeClr w14:val="tx1"/>
            </w14:solidFill>
          </w14:textFill>
        </w:rPr>
        <w:t>承包人承担10000元的违约金，责令限期提交劳动合同并补缴社会保险</w:t>
      </w:r>
      <w:r>
        <w:rPr>
          <w:rFonts w:hint="eastAsia" w:ascii="宋体" w:hAnsi="宋体" w:cs="宋体"/>
          <w:color w:val="000000" w:themeColor="text1"/>
          <w14:textFill>
            <w14:solidFill>
              <w14:schemeClr w14:val="tx1"/>
            </w14:solidFill>
          </w14:textFill>
        </w:rPr>
        <w:t>。</w:t>
      </w:r>
    </w:p>
    <w:p w14:paraId="39DE07E0">
      <w:pPr>
        <w:pStyle w:val="102"/>
        <w:spacing w:line="400" w:lineRule="exact"/>
        <w:rPr>
          <w:rFonts w:hint="eastAsia"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3.2.3 承包人擅自更换项目经理的违约责任：</w:t>
      </w:r>
      <w:r>
        <w:rPr>
          <w:rFonts w:hint="eastAsia" w:ascii="宋体" w:hAnsi="宋体" w:cs="宋体"/>
          <w:color w:val="000000" w:themeColor="text1"/>
          <w:u w:val="single"/>
          <w14:textFill>
            <w14:solidFill>
              <w14:schemeClr w14:val="tx1"/>
            </w14:solidFill>
          </w14:textFill>
        </w:rPr>
        <w:t>承包人项目经理必须与承包人投标时所承诺的人员一致，并在 （</w:t>
      </w:r>
      <w:r>
        <w:rPr>
          <w:rFonts w:hint="eastAsia" w:ascii="宋体" w:hAnsi="宋体" w:cs="宋体"/>
          <w:color w:val="000000" w:themeColor="text1"/>
          <w:u w:val="single"/>
          <w:lang w:eastAsia="zh-CN"/>
          <w14:textFill>
            <w14:solidFill>
              <w14:schemeClr w14:val="tx1"/>
            </w14:solidFill>
          </w14:textFill>
        </w:rPr>
        <w:t>成交后</w:t>
      </w:r>
      <w:r>
        <w:rPr>
          <w:rFonts w:hint="eastAsia" w:ascii="宋体" w:hAnsi="宋体" w:cs="宋体"/>
          <w:color w:val="000000" w:themeColor="text1"/>
          <w:u w:val="single"/>
          <w14:textFill>
            <w14:solidFill>
              <w14:schemeClr w14:val="tx1"/>
            </w14:solidFill>
          </w14:textFill>
        </w:rPr>
        <w:t>填写） 前到任。在监理人向承包人颁发（</w:t>
      </w:r>
      <w:r>
        <w:rPr>
          <w:rFonts w:hint="eastAsia" w:ascii="宋体" w:hAnsi="宋体" w:cs="宋体"/>
          <w:color w:val="000000" w:themeColor="text1"/>
          <w:u w:val="single"/>
          <w:lang w:eastAsia="zh-CN"/>
          <w14:textFill>
            <w14:solidFill>
              <w14:schemeClr w14:val="tx1"/>
            </w14:solidFill>
          </w14:textFill>
        </w:rPr>
        <w:t>成交后</w:t>
      </w:r>
      <w:r>
        <w:rPr>
          <w:rFonts w:hint="eastAsia" w:ascii="宋体" w:hAnsi="宋体" w:cs="宋体"/>
          <w:color w:val="000000" w:themeColor="text1"/>
          <w:u w:val="single"/>
          <w14:textFill>
            <w14:solidFill>
              <w14:schemeClr w14:val="tx1"/>
            </w14:solidFill>
          </w14:textFill>
        </w:rPr>
        <w:t>填写）前，项目经理不得同时兼任其他任何项目的项目经理（符合桂建管﹝2013﹞17号和桂建管﹝2014﹞25号文除外）。未经发包人书面同意，承包人擅自更换项目经理的视为违约，违约金处5000元/人•次（人民币）</w:t>
      </w:r>
      <w:r>
        <w:rPr>
          <w:rFonts w:hint="eastAsia" w:ascii="宋体" w:hAnsi="宋体" w:cs="宋体"/>
          <w:color w:val="000000" w:themeColor="text1"/>
          <w14:textFill>
            <w14:solidFill>
              <w14:schemeClr w14:val="tx1"/>
            </w14:solidFill>
          </w14:textFill>
        </w:rPr>
        <w:t>。</w:t>
      </w:r>
    </w:p>
    <w:p w14:paraId="012FAC57">
      <w:pPr>
        <w:pStyle w:val="102"/>
        <w:spacing w:line="400" w:lineRule="exact"/>
        <w:rPr>
          <w:rFonts w:hint="eastAsia"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3.2.4 承包人无正当理由拒绝更换项目经理的违约责任：</w:t>
      </w:r>
      <w:r>
        <w:rPr>
          <w:rFonts w:hint="eastAsia" w:ascii="宋体" w:hAnsi="宋体" w:cs="宋体"/>
          <w:color w:val="000000" w:themeColor="text1"/>
          <w:u w:val="single"/>
          <w14:textFill>
            <w14:solidFill>
              <w14:schemeClr w14:val="tx1"/>
            </w14:solidFill>
          </w14:textFill>
        </w:rPr>
        <w:t>因承包人项目经理不称职，发包人要求调换而未及时调换的，视为承包人违约，必须向发包人交纳处罚金5000元/人•次（人民币）</w:t>
      </w:r>
      <w:r>
        <w:rPr>
          <w:rFonts w:hint="eastAsia" w:ascii="宋体" w:hAnsi="宋体" w:cs="宋体"/>
          <w:color w:val="000000" w:themeColor="text1"/>
          <w14:textFill>
            <w14:solidFill>
              <w14:schemeClr w14:val="tx1"/>
            </w14:solidFill>
          </w14:textFill>
        </w:rPr>
        <w:t>。</w:t>
      </w:r>
    </w:p>
    <w:p w14:paraId="24926735">
      <w:pPr>
        <w:pStyle w:val="96"/>
        <w:spacing w:before="0" w:after="200" w:line="400" w:lineRule="exact"/>
        <w:rPr>
          <w:rFonts w:hint="eastAsia" w:ascii="宋体" w:cs="宋体"/>
          <w:bCs w:val="0"/>
          <w:color w:val="000000" w:themeColor="text1"/>
          <w14:textFill>
            <w14:solidFill>
              <w14:schemeClr w14:val="tx1"/>
            </w14:solidFill>
          </w14:textFill>
        </w:rPr>
      </w:pPr>
      <w:bookmarkStart w:id="501" w:name="_Toc395382511"/>
      <w:bookmarkStart w:id="502" w:name="_Toc373227709"/>
      <w:bookmarkStart w:id="503" w:name="_Toc406522229"/>
      <w:bookmarkStart w:id="504" w:name="_Toc520505858"/>
      <w:bookmarkStart w:id="505" w:name="_Toc185770440"/>
      <w:bookmarkStart w:id="506" w:name="_Toc173253188"/>
      <w:bookmarkStart w:id="507" w:name="_Toc389065275"/>
      <w:bookmarkStart w:id="508" w:name="_Toc22987"/>
      <w:bookmarkStart w:id="509" w:name="_Toc373478356"/>
      <w:r>
        <w:rPr>
          <w:rFonts w:hint="eastAsia" w:ascii="宋体" w:cs="宋体"/>
          <w:bCs w:val="0"/>
          <w:color w:val="000000" w:themeColor="text1"/>
          <w14:textFill>
            <w14:solidFill>
              <w14:schemeClr w14:val="tx1"/>
            </w14:solidFill>
          </w14:textFill>
        </w:rPr>
        <w:t>3.3 承包人人员</w:t>
      </w:r>
      <w:bookmarkEnd w:id="501"/>
      <w:bookmarkEnd w:id="502"/>
      <w:bookmarkEnd w:id="503"/>
      <w:bookmarkEnd w:id="504"/>
      <w:bookmarkEnd w:id="505"/>
      <w:bookmarkEnd w:id="506"/>
      <w:bookmarkEnd w:id="507"/>
      <w:bookmarkEnd w:id="508"/>
      <w:bookmarkEnd w:id="509"/>
    </w:p>
    <w:p w14:paraId="0DABD8BD">
      <w:pPr>
        <w:pStyle w:val="102"/>
        <w:spacing w:line="400" w:lineRule="exact"/>
        <w:rPr>
          <w:rFonts w:hint="eastAsia"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3.3.1 承包人提交项目管理机构及施工现场管理人员安排报告（格式见合同附件3）的期限：</w:t>
      </w:r>
      <w:r>
        <w:rPr>
          <w:rFonts w:hint="eastAsia" w:ascii="宋体" w:hAnsi="宋体" w:cs="宋体"/>
          <w:color w:val="000000" w:themeColor="text1"/>
          <w:u w:val="single"/>
          <w14:textFill>
            <w14:solidFill>
              <w14:schemeClr w14:val="tx1"/>
            </w14:solidFill>
          </w14:textFill>
        </w:rPr>
        <w:t>接到开工令后7日内</w:t>
      </w:r>
      <w:r>
        <w:rPr>
          <w:rFonts w:hint="eastAsia" w:ascii="宋体" w:hAnsi="宋体" w:cs="宋体"/>
          <w:color w:val="000000" w:themeColor="text1"/>
          <w14:textFill>
            <w14:solidFill>
              <w14:schemeClr w14:val="tx1"/>
            </w14:solidFill>
          </w14:textFill>
        </w:rPr>
        <w:t>。</w:t>
      </w:r>
    </w:p>
    <w:p w14:paraId="11778192">
      <w:pPr>
        <w:pStyle w:val="102"/>
        <w:spacing w:line="400" w:lineRule="exact"/>
        <w:rPr>
          <w:rFonts w:hint="eastAsia"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3.3.3 承包人无正当理由拒绝撤换主要施工管理人员的违约责任：</w:t>
      </w:r>
      <w:r>
        <w:rPr>
          <w:rFonts w:hint="eastAsia" w:ascii="宋体" w:hAnsi="宋体" w:cs="宋体"/>
          <w:color w:val="000000" w:themeColor="text1"/>
          <w:u w:val="single"/>
          <w14:textFill>
            <w14:solidFill>
              <w14:schemeClr w14:val="tx1"/>
            </w14:solidFill>
          </w14:textFill>
        </w:rPr>
        <w:t>因承包人主要施工管理人员不称职，发包人要求调换而无正当理由拒绝撤换或未及时调换的，视为承包人违约，必须向发包人交纳处罚金，处罚标准：技术负责人2000元/人•次（人民币）；专业工程师500元/人•次（人民币）</w:t>
      </w:r>
      <w:r>
        <w:rPr>
          <w:rFonts w:hint="eastAsia" w:ascii="宋体" w:hAnsi="宋体" w:cs="宋体"/>
          <w:color w:val="000000" w:themeColor="text1"/>
          <w14:textFill>
            <w14:solidFill>
              <w14:schemeClr w14:val="tx1"/>
            </w14:solidFill>
          </w14:textFill>
        </w:rPr>
        <w:t>。</w:t>
      </w:r>
    </w:p>
    <w:p w14:paraId="068C3AC3">
      <w:pPr>
        <w:pStyle w:val="102"/>
        <w:spacing w:line="400" w:lineRule="exact"/>
        <w:rPr>
          <w:rFonts w:hint="eastAsia" w:ascii="宋体" w:hAnsi="宋体" w:cs="宋体"/>
          <w:color w:val="000000" w:themeColor="text1"/>
          <w:u w:val="single"/>
          <w14:textFill>
            <w14:solidFill>
              <w14:schemeClr w14:val="tx1"/>
            </w14:solidFill>
          </w14:textFill>
        </w:rPr>
      </w:pPr>
      <w:r>
        <w:rPr>
          <w:rFonts w:hint="eastAsia" w:ascii="宋体" w:hAnsi="宋体" w:cs="宋体"/>
          <w:color w:val="000000" w:themeColor="text1"/>
          <w14:textFill>
            <w14:solidFill>
              <w14:schemeClr w14:val="tx1"/>
            </w14:solidFill>
          </w14:textFill>
        </w:rPr>
        <w:t>3.3.4 承包人主要施工管理人员离开施工现场的批准要求：</w:t>
      </w:r>
      <w:r>
        <w:rPr>
          <w:rFonts w:hint="eastAsia" w:ascii="宋体" w:hAnsi="宋体" w:cs="宋体"/>
          <w:color w:val="000000" w:themeColor="text1"/>
          <w:u w:val="single"/>
          <w14:textFill>
            <w14:solidFill>
              <w14:schemeClr w14:val="tx1"/>
            </w14:solidFill>
          </w14:textFill>
        </w:rPr>
        <w:t>按通用条款执行</w:t>
      </w:r>
      <w:r>
        <w:rPr>
          <w:rFonts w:hint="eastAsia" w:ascii="宋体" w:hAnsi="宋体" w:cs="宋体"/>
          <w:color w:val="000000" w:themeColor="text1"/>
          <w14:textFill>
            <w14:solidFill>
              <w14:schemeClr w14:val="tx1"/>
            </w14:solidFill>
          </w14:textFill>
        </w:rPr>
        <w:t>。</w:t>
      </w:r>
    </w:p>
    <w:p w14:paraId="28056511">
      <w:pPr>
        <w:pStyle w:val="102"/>
        <w:spacing w:line="400" w:lineRule="exact"/>
        <w:rPr>
          <w:rFonts w:hint="eastAsia"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3.3.5 承包人擅自更换主要施工管理人员的违约责任：</w:t>
      </w:r>
      <w:r>
        <w:rPr>
          <w:rFonts w:hint="eastAsia" w:ascii="宋体" w:hAnsi="宋体" w:cs="宋体"/>
          <w:color w:val="000000" w:themeColor="text1"/>
          <w:u w:val="single"/>
          <w14:textFill>
            <w14:solidFill>
              <w14:schemeClr w14:val="tx1"/>
            </w14:solidFill>
          </w14:textFill>
        </w:rPr>
        <w:t>项目技术负责人、专职安全员及其承诺的其它在场管理人员未经发包人书面同意不准擅自更换，擅自更换项目技术负责人处2000元/人•次（人民币）违约金；擅自更换专职安全员处1000元/人•次（人民币）违约金；擅自更换其它在场管理人员处500元/人•次（人民币）违约金</w:t>
      </w:r>
      <w:r>
        <w:rPr>
          <w:rFonts w:hint="eastAsia" w:ascii="宋体" w:hAnsi="宋体" w:cs="宋体"/>
          <w:color w:val="000000" w:themeColor="text1"/>
          <w14:textFill>
            <w14:solidFill>
              <w14:schemeClr w14:val="tx1"/>
            </w14:solidFill>
          </w14:textFill>
        </w:rPr>
        <w:t>。</w:t>
      </w:r>
    </w:p>
    <w:p w14:paraId="60EEB39D">
      <w:pPr>
        <w:pStyle w:val="102"/>
        <w:spacing w:line="400" w:lineRule="exact"/>
        <w:rPr>
          <w:rFonts w:hint="eastAsia"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承包人主要施工管理人员擅自离开施工现场的违约责任：</w:t>
      </w:r>
      <w:r>
        <w:rPr>
          <w:rFonts w:hint="eastAsia" w:ascii="宋体" w:hAnsi="宋体" w:cs="宋体"/>
          <w:color w:val="000000" w:themeColor="text1"/>
          <w:u w:val="single"/>
          <w14:textFill>
            <w14:solidFill>
              <w14:schemeClr w14:val="tx1"/>
            </w14:solidFill>
          </w14:textFill>
        </w:rPr>
        <w:t>未经发包人同意，项目技术负责人擅自离岗的，视为承包人违约，发包人有权处违约金2000元/人•次（人民币）；未经发包人同意，专职安全员擅自离岗的，视为承包人违约，发包人有权处违约金1000元/人•次（人民币）；其它在场管理人员擅自离岗的，视为承包人违约，发包人有权处违约金500元/人•次（人民币）</w:t>
      </w:r>
      <w:r>
        <w:rPr>
          <w:rFonts w:hint="eastAsia" w:ascii="宋体" w:hAnsi="宋体" w:cs="宋体"/>
          <w:color w:val="000000" w:themeColor="text1"/>
          <w14:textFill>
            <w14:solidFill>
              <w14:schemeClr w14:val="tx1"/>
            </w14:solidFill>
          </w14:textFill>
        </w:rPr>
        <w:t>。</w:t>
      </w:r>
    </w:p>
    <w:p w14:paraId="0468AB96">
      <w:pPr>
        <w:pStyle w:val="96"/>
        <w:spacing w:before="0" w:after="200" w:line="400" w:lineRule="exact"/>
        <w:rPr>
          <w:rFonts w:hint="eastAsia" w:ascii="宋体" w:cs="宋体"/>
          <w:bCs w:val="0"/>
          <w:color w:val="000000" w:themeColor="text1"/>
          <w14:textFill>
            <w14:solidFill>
              <w14:schemeClr w14:val="tx1"/>
            </w14:solidFill>
          </w14:textFill>
        </w:rPr>
      </w:pPr>
      <w:bookmarkStart w:id="510" w:name="_Toc185770441"/>
      <w:bookmarkStart w:id="511" w:name="_Toc18398"/>
      <w:bookmarkStart w:id="512" w:name="_Toc406522230"/>
      <w:bookmarkStart w:id="513" w:name="_Toc173253189"/>
      <w:bookmarkStart w:id="514" w:name="_Toc520505859"/>
      <w:r>
        <w:rPr>
          <w:rFonts w:hint="eastAsia" w:ascii="宋体" w:cs="宋体"/>
          <w:bCs w:val="0"/>
          <w:color w:val="000000" w:themeColor="text1"/>
          <w14:textFill>
            <w14:solidFill>
              <w14:schemeClr w14:val="tx1"/>
            </w14:solidFill>
          </w14:textFill>
        </w:rPr>
        <w:t>3</w:t>
      </w:r>
      <w:bookmarkStart w:id="515" w:name="_Toc312677988"/>
      <w:bookmarkStart w:id="516" w:name="_Toc292559869"/>
      <w:bookmarkStart w:id="517" w:name="_Toc296890987"/>
      <w:bookmarkStart w:id="518" w:name="_Toc304295523"/>
      <w:bookmarkStart w:id="519" w:name="_Toc300934945"/>
      <w:bookmarkStart w:id="520" w:name="_Toc303539102"/>
      <w:bookmarkStart w:id="521" w:name="_Toc297216151"/>
      <w:bookmarkStart w:id="522" w:name="_Toc297120459"/>
      <w:bookmarkStart w:id="523" w:name="_Toc297048345"/>
      <w:bookmarkStart w:id="524" w:name="_Toc296346660"/>
      <w:bookmarkStart w:id="525" w:name="_Toc297123492"/>
      <w:bookmarkStart w:id="526" w:name="_Toc296347158"/>
      <w:bookmarkStart w:id="527" w:name="_Toc292559364"/>
      <w:bookmarkStart w:id="528" w:name="_Toc296944498"/>
      <w:bookmarkStart w:id="529" w:name="_Toc296503159"/>
      <w:bookmarkStart w:id="530" w:name="_Toc296891199"/>
      <w:r>
        <w:rPr>
          <w:rFonts w:hint="eastAsia" w:ascii="宋体" w:cs="宋体"/>
          <w:bCs w:val="0"/>
          <w:color w:val="000000" w:themeColor="text1"/>
          <w14:textFill>
            <w14:solidFill>
              <w14:schemeClr w14:val="tx1"/>
            </w14:solidFill>
          </w14:textFill>
        </w:rPr>
        <w:t>.5 分包</w:t>
      </w:r>
      <w:bookmarkEnd w:id="510"/>
      <w:bookmarkEnd w:id="511"/>
      <w:bookmarkEnd w:id="512"/>
      <w:bookmarkEnd w:id="513"/>
      <w:bookmarkEnd w:id="514"/>
    </w:p>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p w14:paraId="46726999">
      <w:pPr>
        <w:pStyle w:val="102"/>
        <w:spacing w:line="400" w:lineRule="exact"/>
        <w:rPr>
          <w:rFonts w:hint="eastAsia"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3</w:t>
      </w:r>
      <w:bookmarkStart w:id="531" w:name="_Toc292559870"/>
      <w:bookmarkStart w:id="532" w:name="_Toc292559365"/>
      <w:bookmarkStart w:id="533" w:name="_Toc296890988"/>
      <w:bookmarkStart w:id="534" w:name="_Toc318581158"/>
      <w:bookmarkStart w:id="535" w:name="_Toc312677989"/>
      <w:bookmarkStart w:id="536" w:name="_Toc296891200"/>
      <w:bookmarkStart w:id="537" w:name="_Toc296503160"/>
      <w:bookmarkStart w:id="538" w:name="_Toc297048346"/>
      <w:bookmarkStart w:id="539" w:name="_Toc297120460"/>
      <w:bookmarkStart w:id="540" w:name="_Toc304295524"/>
      <w:bookmarkStart w:id="541" w:name="_Toc296944499"/>
      <w:bookmarkStart w:id="542" w:name="_Toc296346661"/>
      <w:bookmarkStart w:id="543" w:name="_Toc303539103"/>
      <w:bookmarkStart w:id="544" w:name="_Toc300934946"/>
      <w:bookmarkStart w:id="545" w:name="_Toc296347159"/>
      <w:bookmarkStart w:id="546" w:name="_Toc297216152"/>
      <w:bookmarkStart w:id="547" w:name="_Toc297123493"/>
      <w:r>
        <w:rPr>
          <w:rFonts w:hint="eastAsia" w:ascii="宋体" w:hAnsi="宋体" w:cs="宋体"/>
          <w:color w:val="000000" w:themeColor="text1"/>
          <w14:textFill>
            <w14:solidFill>
              <w14:schemeClr w14:val="tx1"/>
            </w14:solidFill>
          </w14:textFill>
        </w:rPr>
        <w:t>.5.1 分包的一般约定</w:t>
      </w:r>
    </w:p>
    <w:p w14:paraId="1B6E169D">
      <w:pPr>
        <w:pStyle w:val="102"/>
        <w:spacing w:line="400" w:lineRule="exact"/>
        <w:rPr>
          <w:rFonts w:hint="eastAsia"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禁止分包的工程包括：</w:t>
      </w:r>
      <w:r>
        <w:rPr>
          <w:rFonts w:hint="eastAsia" w:ascii="宋体" w:hAnsi="宋体" w:cs="宋体"/>
          <w:color w:val="000000" w:themeColor="text1"/>
          <w:u w:val="single"/>
          <w14:textFill>
            <w14:solidFill>
              <w14:schemeClr w14:val="tx1"/>
            </w14:solidFill>
          </w14:textFill>
        </w:rPr>
        <w:t>本工程不允许分包（劳务分包除外）</w:t>
      </w:r>
      <w:r>
        <w:rPr>
          <w:rFonts w:hint="eastAsia" w:ascii="宋体" w:hAnsi="宋体" w:cs="宋体"/>
          <w:color w:val="000000" w:themeColor="text1"/>
          <w14:textFill>
            <w14:solidFill>
              <w14:schemeClr w14:val="tx1"/>
            </w14:solidFill>
          </w14:textFill>
        </w:rPr>
        <w:t>。</w:t>
      </w:r>
    </w:p>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p w14:paraId="0FFDB0CA">
      <w:pPr>
        <w:pStyle w:val="96"/>
        <w:spacing w:before="0" w:after="200" w:line="400" w:lineRule="exact"/>
        <w:rPr>
          <w:rFonts w:hint="eastAsia" w:ascii="宋体" w:cs="宋体"/>
          <w:bCs w:val="0"/>
          <w:color w:val="000000" w:themeColor="text1"/>
          <w14:textFill>
            <w14:solidFill>
              <w14:schemeClr w14:val="tx1"/>
            </w14:solidFill>
          </w14:textFill>
        </w:rPr>
      </w:pPr>
      <w:bookmarkStart w:id="548" w:name="_Toc8208"/>
      <w:bookmarkStart w:id="549" w:name="_Toc185770442"/>
      <w:bookmarkStart w:id="550" w:name="_Toc520505860"/>
      <w:bookmarkStart w:id="551" w:name="_Toc173253190"/>
      <w:bookmarkStart w:id="552" w:name="_Toc406522231"/>
      <w:r>
        <w:rPr>
          <w:rFonts w:hint="eastAsia" w:ascii="宋体" w:cs="宋体"/>
          <w:bCs w:val="0"/>
          <w:color w:val="000000" w:themeColor="text1"/>
          <w14:textFill>
            <w14:solidFill>
              <w14:schemeClr w14:val="tx1"/>
            </w14:solidFill>
          </w14:textFill>
        </w:rPr>
        <w:t>3.6 工程照管与成品、半成品保护</w:t>
      </w:r>
      <w:bookmarkEnd w:id="548"/>
      <w:bookmarkEnd w:id="549"/>
      <w:bookmarkEnd w:id="550"/>
      <w:bookmarkEnd w:id="551"/>
      <w:bookmarkEnd w:id="552"/>
    </w:p>
    <w:p w14:paraId="4AAD206D">
      <w:pPr>
        <w:pStyle w:val="102"/>
        <w:spacing w:line="400" w:lineRule="exact"/>
        <w:rPr>
          <w:rFonts w:hint="eastAsia" w:ascii="宋体" w:hAnsi="宋体" w:cs="宋体"/>
          <w:color w:val="000000" w:themeColor="text1"/>
          <w:u w:val="single"/>
          <w14:textFill>
            <w14:solidFill>
              <w14:schemeClr w14:val="tx1"/>
            </w14:solidFill>
          </w14:textFill>
        </w:rPr>
      </w:pPr>
      <w:r>
        <w:rPr>
          <w:rFonts w:hint="eastAsia" w:ascii="宋体" w:hAnsi="宋体" w:cs="宋体"/>
          <w:color w:val="000000" w:themeColor="text1"/>
          <w14:textFill>
            <w14:solidFill>
              <w14:schemeClr w14:val="tx1"/>
            </w14:solidFill>
          </w14:textFill>
        </w:rPr>
        <w:t>承包人负责照管工程及工程相关的材料、工程设备的起始时间：</w:t>
      </w:r>
      <w:r>
        <w:rPr>
          <w:rFonts w:hint="eastAsia" w:ascii="宋体" w:hAnsi="宋体" w:cs="宋体"/>
          <w:color w:val="000000" w:themeColor="text1"/>
          <w:u w:val="single"/>
          <w14:textFill>
            <w14:solidFill>
              <w14:schemeClr w14:val="tx1"/>
            </w14:solidFill>
          </w14:textFill>
        </w:rPr>
        <w:t>从开工之日起，承包人应全面负责照管本合同工程及将用于和施工在本合同工程中的成品、半成品、材料、设备等直到本合同工程《房屋建筑工程质量保修书》签发之日为止，并承担此期间发生的相关费用，发包人不再另行签证费用。发包人要求采取特殊措施保护的工程部位</w:t>
      </w:r>
      <w:r>
        <w:rPr>
          <w:rFonts w:hint="eastAsia" w:ascii="宋体" w:hAnsi="宋体" w:cs="宋体"/>
          <w:color w:val="000000" w:themeColor="text1"/>
          <w:u w:val="single"/>
          <w:lang w:val="zh-CN"/>
          <w14:textFill>
            <w14:solidFill>
              <w14:schemeClr w14:val="tx1"/>
            </w14:solidFill>
          </w14:textFill>
        </w:rPr>
        <w:t>(此为非正常施工程序所需采取的特别保护,不含发包人指定的分包方进场施工过程中</w:t>
      </w:r>
      <w:r>
        <w:rPr>
          <w:rFonts w:hint="eastAsia" w:ascii="宋体" w:hAnsi="宋体" w:cs="宋体"/>
          <w:color w:val="000000" w:themeColor="text1"/>
          <w:u w:val="single"/>
          <w14:textFill>
            <w14:solidFill>
              <w14:schemeClr w14:val="tx1"/>
            </w14:solidFill>
          </w14:textFill>
        </w:rPr>
        <w:t>承包人</w:t>
      </w:r>
      <w:r>
        <w:rPr>
          <w:rFonts w:hint="eastAsia" w:ascii="宋体" w:hAnsi="宋体" w:cs="宋体"/>
          <w:color w:val="000000" w:themeColor="text1"/>
          <w:u w:val="single"/>
          <w:lang w:val="zh-CN"/>
          <w14:textFill>
            <w14:solidFill>
              <w14:schemeClr w14:val="tx1"/>
            </w14:solidFill>
          </w14:textFill>
        </w:rPr>
        <w:t>所需采取的必要配合保护)</w:t>
      </w:r>
      <w:r>
        <w:rPr>
          <w:rFonts w:hint="eastAsia" w:ascii="宋体" w:hAnsi="宋体" w:cs="宋体"/>
          <w:color w:val="000000" w:themeColor="text1"/>
          <w:u w:val="single"/>
          <w14:textFill>
            <w14:solidFill>
              <w14:schemeClr w14:val="tx1"/>
            </w14:solidFill>
          </w14:textFill>
        </w:rPr>
        <w:t>，所发生费用经发包人确认后由发包人承担</w:t>
      </w:r>
      <w:r>
        <w:rPr>
          <w:rFonts w:hint="eastAsia" w:ascii="宋体" w:hAnsi="宋体" w:cs="宋体"/>
          <w:color w:val="000000" w:themeColor="text1"/>
          <w14:textFill>
            <w14:solidFill>
              <w14:schemeClr w14:val="tx1"/>
            </w14:solidFill>
          </w14:textFill>
        </w:rPr>
        <w:t>。</w:t>
      </w:r>
    </w:p>
    <w:p w14:paraId="6F3BAA45">
      <w:pPr>
        <w:pStyle w:val="96"/>
        <w:spacing w:before="0" w:after="200" w:line="400" w:lineRule="exact"/>
        <w:rPr>
          <w:rFonts w:hint="eastAsia" w:ascii="宋体" w:cs="宋体"/>
          <w:bCs w:val="0"/>
          <w:color w:val="000000" w:themeColor="text1"/>
          <w14:textFill>
            <w14:solidFill>
              <w14:schemeClr w14:val="tx1"/>
            </w14:solidFill>
          </w14:textFill>
        </w:rPr>
      </w:pPr>
      <w:bookmarkStart w:id="553" w:name="_Toc520505861"/>
      <w:bookmarkStart w:id="554" w:name="_Toc14571"/>
      <w:bookmarkStart w:id="555" w:name="_Toc173253191"/>
      <w:bookmarkStart w:id="556" w:name="_Toc406522232"/>
      <w:bookmarkStart w:id="557" w:name="_Toc185770443"/>
      <w:r>
        <w:rPr>
          <w:rFonts w:hint="eastAsia" w:ascii="宋体" w:cs="宋体"/>
          <w:bCs w:val="0"/>
          <w:color w:val="000000" w:themeColor="text1"/>
          <w14:textFill>
            <w14:solidFill>
              <w14:schemeClr w14:val="tx1"/>
            </w14:solidFill>
          </w14:textFill>
        </w:rPr>
        <w:t>3.7 履约担保</w:t>
      </w:r>
      <w:bookmarkEnd w:id="553"/>
      <w:bookmarkEnd w:id="554"/>
      <w:bookmarkEnd w:id="555"/>
      <w:bookmarkEnd w:id="556"/>
      <w:bookmarkEnd w:id="557"/>
    </w:p>
    <w:p w14:paraId="2A9EF6BA">
      <w:pPr>
        <w:spacing w:line="400" w:lineRule="exact"/>
        <w:ind w:firstLine="420" w:firstLineChars="200"/>
        <w:rPr>
          <w:rFonts w:hint="eastAsia"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承包人是否提供履约担保：</w:t>
      </w:r>
      <w:r>
        <w:rPr>
          <w:rFonts w:hint="eastAsia" w:ascii="宋体" w:hAnsi="宋体" w:cs="宋体"/>
          <w:color w:val="000000" w:themeColor="text1"/>
          <w:u w:val="single"/>
          <w14:textFill>
            <w14:solidFill>
              <w14:schemeClr w14:val="tx1"/>
            </w14:solidFill>
          </w14:textFill>
        </w:rPr>
        <w:t xml:space="preserve"> 无。</w:t>
      </w:r>
    </w:p>
    <w:p w14:paraId="6EC86FC2">
      <w:pPr>
        <w:pStyle w:val="96"/>
        <w:spacing w:before="0" w:after="200" w:line="400" w:lineRule="exact"/>
        <w:rPr>
          <w:rFonts w:hint="eastAsia" w:ascii="宋体" w:cs="宋体"/>
          <w:bCs w:val="0"/>
          <w:color w:val="000000" w:themeColor="text1"/>
          <w14:textFill>
            <w14:solidFill>
              <w14:schemeClr w14:val="tx1"/>
            </w14:solidFill>
          </w14:textFill>
        </w:rPr>
      </w:pPr>
      <w:bookmarkStart w:id="558" w:name="_Toc406522233"/>
      <w:bookmarkStart w:id="559" w:name="_Toc12279"/>
      <w:bookmarkStart w:id="560" w:name="_Toc173253192"/>
      <w:bookmarkStart w:id="561" w:name="_Toc185770444"/>
      <w:bookmarkStart w:id="562" w:name="_Toc520505862"/>
      <w:bookmarkStart w:id="563" w:name="_Toc351203636"/>
      <w:r>
        <w:rPr>
          <w:rFonts w:hint="eastAsia" w:ascii="宋体" w:cs="宋体"/>
          <w:bCs w:val="0"/>
          <w:color w:val="000000" w:themeColor="text1"/>
          <w14:textFill>
            <w14:solidFill>
              <w14:schemeClr w14:val="tx1"/>
            </w14:solidFill>
          </w14:textFill>
        </w:rPr>
        <w:t>4</w:t>
      </w:r>
      <w:bookmarkStart w:id="564" w:name="_Toc267251413"/>
      <w:bookmarkStart w:id="565" w:name="_Toc296503162"/>
      <w:bookmarkStart w:id="566" w:name="_Toc296944501"/>
      <w:bookmarkStart w:id="567" w:name="_Toc292559871"/>
      <w:bookmarkStart w:id="568" w:name="_Toc297048348"/>
      <w:bookmarkStart w:id="569" w:name="_Toc297120462"/>
      <w:bookmarkStart w:id="570" w:name="_Toc296890990"/>
      <w:bookmarkStart w:id="571" w:name="_Toc296347161"/>
      <w:bookmarkStart w:id="572" w:name="_Toc292559366"/>
      <w:bookmarkStart w:id="573" w:name="_Toc296346663"/>
      <w:bookmarkStart w:id="574" w:name="_Toc296891202"/>
      <w:r>
        <w:rPr>
          <w:rFonts w:hint="eastAsia" w:ascii="宋体" w:cs="宋体"/>
          <w:bCs w:val="0"/>
          <w:color w:val="000000" w:themeColor="text1"/>
          <w14:textFill>
            <w14:solidFill>
              <w14:schemeClr w14:val="tx1"/>
            </w14:solidFill>
          </w14:textFill>
        </w:rPr>
        <w:t>. 监</w:t>
      </w:r>
      <w:bookmarkEnd w:id="564"/>
      <w:bookmarkEnd w:id="565"/>
      <w:bookmarkEnd w:id="566"/>
      <w:bookmarkEnd w:id="567"/>
      <w:bookmarkEnd w:id="568"/>
      <w:bookmarkEnd w:id="569"/>
      <w:bookmarkEnd w:id="570"/>
      <w:bookmarkEnd w:id="571"/>
      <w:bookmarkEnd w:id="572"/>
      <w:bookmarkEnd w:id="573"/>
      <w:bookmarkEnd w:id="574"/>
      <w:r>
        <w:rPr>
          <w:rFonts w:hint="eastAsia" w:ascii="宋体" w:cs="宋体"/>
          <w:bCs w:val="0"/>
          <w:color w:val="000000" w:themeColor="text1"/>
          <w14:textFill>
            <w14:solidFill>
              <w14:schemeClr w14:val="tx1"/>
            </w14:solidFill>
          </w14:textFill>
        </w:rPr>
        <w:t>理人</w:t>
      </w:r>
      <w:bookmarkEnd w:id="558"/>
      <w:bookmarkEnd w:id="559"/>
      <w:bookmarkEnd w:id="560"/>
      <w:bookmarkEnd w:id="561"/>
      <w:bookmarkEnd w:id="562"/>
      <w:bookmarkEnd w:id="563"/>
    </w:p>
    <w:p w14:paraId="210E971C">
      <w:pPr>
        <w:pStyle w:val="96"/>
        <w:spacing w:before="0" w:after="200" w:line="400" w:lineRule="exact"/>
        <w:rPr>
          <w:rFonts w:hint="eastAsia" w:ascii="宋体" w:cs="宋体"/>
          <w:bCs w:val="0"/>
          <w:color w:val="000000" w:themeColor="text1"/>
          <w14:textFill>
            <w14:solidFill>
              <w14:schemeClr w14:val="tx1"/>
            </w14:solidFill>
          </w14:textFill>
        </w:rPr>
      </w:pPr>
      <w:bookmarkStart w:id="575" w:name="_Toc406522234"/>
      <w:bookmarkStart w:id="576" w:name="_Toc520505863"/>
      <w:bookmarkStart w:id="577" w:name="_Toc173253193"/>
      <w:bookmarkStart w:id="578" w:name="_Toc185770445"/>
      <w:bookmarkStart w:id="579" w:name="_Toc21546"/>
      <w:r>
        <w:rPr>
          <w:rFonts w:hint="eastAsia" w:ascii="宋体" w:cs="宋体"/>
          <w:bCs w:val="0"/>
          <w:color w:val="000000" w:themeColor="text1"/>
          <w14:textFill>
            <w14:solidFill>
              <w14:schemeClr w14:val="tx1"/>
            </w14:solidFill>
          </w14:textFill>
        </w:rPr>
        <w:t>4.1监理人的一般规定</w:t>
      </w:r>
      <w:bookmarkEnd w:id="575"/>
      <w:bookmarkEnd w:id="576"/>
      <w:bookmarkEnd w:id="577"/>
      <w:bookmarkEnd w:id="578"/>
      <w:bookmarkEnd w:id="579"/>
    </w:p>
    <w:p w14:paraId="7AE8FBF2">
      <w:pPr>
        <w:pStyle w:val="102"/>
        <w:spacing w:line="400" w:lineRule="exact"/>
        <w:rPr>
          <w:rFonts w:hint="eastAsia"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关于监理人的监理内容：</w:t>
      </w:r>
      <w:r>
        <w:rPr>
          <w:rFonts w:hint="eastAsia" w:ascii="宋体" w:hAnsi="宋体" w:cs="宋体"/>
          <w:color w:val="000000" w:themeColor="text1"/>
          <w:u w:val="single"/>
          <w14:textFill>
            <w14:solidFill>
              <w14:schemeClr w14:val="tx1"/>
            </w14:solidFill>
          </w14:textFill>
        </w:rPr>
        <w:t>工程施工进度、质量、投资（即审核签证工程量）三大控制，以及合同管理、信息管理、安全管理等，具体内容另行协商约定</w:t>
      </w:r>
      <w:r>
        <w:rPr>
          <w:rFonts w:hint="eastAsia" w:ascii="宋体" w:hAnsi="宋体" w:cs="宋体"/>
          <w:color w:val="000000" w:themeColor="text1"/>
          <w14:textFill>
            <w14:solidFill>
              <w14:schemeClr w14:val="tx1"/>
            </w14:solidFill>
          </w14:textFill>
        </w:rPr>
        <w:t>。</w:t>
      </w:r>
    </w:p>
    <w:p w14:paraId="64341B91">
      <w:pPr>
        <w:pStyle w:val="102"/>
        <w:spacing w:line="400" w:lineRule="exact"/>
        <w:rPr>
          <w:rFonts w:hint="eastAsia"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关于监理人的监理权限：</w:t>
      </w:r>
      <w:r>
        <w:rPr>
          <w:rFonts w:hint="eastAsia" w:ascii="宋体" w:hAnsi="宋体" w:cs="宋体"/>
          <w:color w:val="000000" w:themeColor="text1"/>
          <w:u w:val="single"/>
          <w:lang w:val="zh-CN"/>
          <w14:textFill>
            <w14:solidFill>
              <w14:schemeClr w14:val="tx1"/>
            </w14:solidFill>
          </w14:textFill>
        </w:rPr>
        <w:t>代表发包人履行合同，具体职权内容按照发包人与监理单位签订的工程监理合同确定（包含</w:t>
      </w:r>
      <w:r>
        <w:rPr>
          <w:rFonts w:hint="eastAsia" w:ascii="宋体" w:hAnsi="宋体" w:cs="宋体"/>
          <w:color w:val="000000" w:themeColor="text1"/>
          <w:u w:val="single"/>
          <w14:textFill>
            <w14:solidFill>
              <w14:schemeClr w14:val="tx1"/>
            </w14:solidFill>
          </w14:textFill>
        </w:rPr>
        <w:t>施工质量、施工进度、合同内的验收计价、工程资料、安全文明施工、施工前材质试验或同步的试验、检测等全方位旁站式监理责任制）</w:t>
      </w:r>
      <w:r>
        <w:rPr>
          <w:rFonts w:hint="eastAsia" w:ascii="宋体" w:hAnsi="宋体" w:cs="宋体"/>
          <w:color w:val="000000" w:themeColor="text1"/>
          <w14:textFill>
            <w14:solidFill>
              <w14:schemeClr w14:val="tx1"/>
            </w14:solidFill>
          </w14:textFill>
        </w:rPr>
        <w:t xml:space="preserve">。 </w:t>
      </w:r>
    </w:p>
    <w:p w14:paraId="1489AB05">
      <w:pPr>
        <w:pStyle w:val="102"/>
        <w:spacing w:line="400" w:lineRule="exact"/>
        <w:ind w:firstLine="0" w:firstLineChars="0"/>
        <w:rPr>
          <w:rFonts w:hint="eastAsia"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关于监理人在施工现场的办公场所、生活场所的提供和费用承担的约定：</w:t>
      </w:r>
      <w:r>
        <w:rPr>
          <w:rFonts w:hint="eastAsia" w:ascii="宋体" w:hAnsi="宋体" w:cs="宋体"/>
          <w:color w:val="000000" w:themeColor="text1"/>
          <w:u w:val="single"/>
          <w14:textFill>
            <w14:solidFill>
              <w14:schemeClr w14:val="tx1"/>
            </w14:solidFill>
          </w14:textFill>
        </w:rPr>
        <w:t>（</w:t>
      </w:r>
      <w:r>
        <w:rPr>
          <w:rFonts w:hint="eastAsia" w:ascii="宋体" w:hAnsi="宋体" w:cs="宋体"/>
          <w:color w:val="000000" w:themeColor="text1"/>
          <w:u w:val="single"/>
          <w:lang w:eastAsia="zh-CN"/>
          <w14:textFill>
            <w14:solidFill>
              <w14:schemeClr w14:val="tx1"/>
            </w14:solidFill>
          </w14:textFill>
        </w:rPr>
        <w:t>成交后</w:t>
      </w:r>
      <w:r>
        <w:rPr>
          <w:rFonts w:hint="eastAsia" w:ascii="宋体" w:hAnsi="宋体" w:cs="宋体"/>
          <w:color w:val="000000" w:themeColor="text1"/>
          <w:u w:val="single"/>
          <w14:textFill>
            <w14:solidFill>
              <w14:schemeClr w14:val="tx1"/>
            </w14:solidFill>
          </w14:textFill>
        </w:rPr>
        <w:t>填写）</w:t>
      </w:r>
      <w:r>
        <w:rPr>
          <w:rFonts w:hint="eastAsia" w:ascii="宋体" w:hAnsi="宋体" w:cs="宋体"/>
          <w:color w:val="000000" w:themeColor="text1"/>
          <w14:textFill>
            <w14:solidFill>
              <w14:schemeClr w14:val="tx1"/>
            </w14:solidFill>
          </w14:textFill>
        </w:rPr>
        <w:t>。</w:t>
      </w:r>
    </w:p>
    <w:p w14:paraId="69A1084A">
      <w:pPr>
        <w:pStyle w:val="96"/>
        <w:spacing w:before="0" w:after="200" w:line="400" w:lineRule="exact"/>
        <w:rPr>
          <w:rFonts w:hint="eastAsia" w:ascii="宋体" w:cs="宋体"/>
          <w:bCs w:val="0"/>
          <w:color w:val="000000" w:themeColor="text1"/>
          <w14:textFill>
            <w14:solidFill>
              <w14:schemeClr w14:val="tx1"/>
            </w14:solidFill>
          </w14:textFill>
        </w:rPr>
      </w:pPr>
      <w:bookmarkStart w:id="580" w:name="_Toc520505864"/>
      <w:bookmarkStart w:id="581" w:name="_Toc8445"/>
      <w:bookmarkStart w:id="582" w:name="_Toc173253194"/>
      <w:bookmarkStart w:id="583" w:name="_Toc185770446"/>
      <w:bookmarkStart w:id="584" w:name="_Toc406522235"/>
      <w:r>
        <w:rPr>
          <w:rFonts w:hint="eastAsia" w:ascii="宋体" w:cs="宋体"/>
          <w:bCs w:val="0"/>
          <w:color w:val="000000" w:themeColor="text1"/>
          <w14:textFill>
            <w14:solidFill>
              <w14:schemeClr w14:val="tx1"/>
            </w14:solidFill>
          </w14:textFill>
        </w:rPr>
        <w:t>4.2 监理人员</w:t>
      </w:r>
      <w:bookmarkEnd w:id="580"/>
      <w:bookmarkEnd w:id="581"/>
      <w:bookmarkEnd w:id="582"/>
      <w:bookmarkEnd w:id="583"/>
      <w:bookmarkEnd w:id="584"/>
    </w:p>
    <w:p w14:paraId="100AE7FB">
      <w:pPr>
        <w:pStyle w:val="102"/>
        <w:spacing w:line="400" w:lineRule="exact"/>
        <w:rPr>
          <w:rFonts w:hint="eastAsia"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总监理工程师：</w:t>
      </w:r>
    </w:p>
    <w:p w14:paraId="4CC5FF31">
      <w:pPr>
        <w:pStyle w:val="102"/>
        <w:spacing w:line="400" w:lineRule="exact"/>
        <w:rPr>
          <w:rFonts w:hint="eastAsia"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姓    名：</w:t>
      </w:r>
      <w:r>
        <w:rPr>
          <w:rFonts w:hint="eastAsia" w:ascii="宋体" w:hAnsi="宋体" w:cs="宋体"/>
          <w:color w:val="000000" w:themeColor="text1"/>
          <w:u w:val="single"/>
          <w14:textFill>
            <w14:solidFill>
              <w14:schemeClr w14:val="tx1"/>
            </w14:solidFill>
          </w14:textFill>
        </w:rPr>
        <w:t>（</w:t>
      </w:r>
      <w:r>
        <w:rPr>
          <w:rFonts w:hint="eastAsia" w:ascii="宋体" w:hAnsi="宋体" w:cs="宋体"/>
          <w:color w:val="000000" w:themeColor="text1"/>
          <w:u w:val="single"/>
          <w:lang w:eastAsia="zh-CN"/>
          <w14:textFill>
            <w14:solidFill>
              <w14:schemeClr w14:val="tx1"/>
            </w14:solidFill>
          </w14:textFill>
        </w:rPr>
        <w:t>成交后</w:t>
      </w:r>
      <w:r>
        <w:rPr>
          <w:rFonts w:hint="eastAsia" w:ascii="宋体" w:hAnsi="宋体" w:cs="宋体"/>
          <w:color w:val="000000" w:themeColor="text1"/>
          <w:u w:val="single"/>
          <w14:textFill>
            <w14:solidFill>
              <w14:schemeClr w14:val="tx1"/>
            </w14:solidFill>
          </w14:textFill>
        </w:rPr>
        <w:t>填写）</w:t>
      </w:r>
      <w:r>
        <w:rPr>
          <w:rFonts w:hint="eastAsia" w:ascii="宋体" w:hAnsi="宋体" w:cs="宋体"/>
          <w:color w:val="000000" w:themeColor="text1"/>
          <w14:textFill>
            <w14:solidFill>
              <w14:schemeClr w14:val="tx1"/>
            </w14:solidFill>
          </w14:textFill>
        </w:rPr>
        <w:t>；</w:t>
      </w:r>
    </w:p>
    <w:p w14:paraId="606D50A7">
      <w:pPr>
        <w:pStyle w:val="102"/>
        <w:spacing w:line="400" w:lineRule="exact"/>
        <w:rPr>
          <w:rFonts w:hint="eastAsia"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职    务：</w:t>
      </w:r>
      <w:r>
        <w:rPr>
          <w:rFonts w:hint="eastAsia" w:ascii="宋体" w:hAnsi="宋体" w:cs="宋体"/>
          <w:color w:val="000000" w:themeColor="text1"/>
          <w:u w:val="single"/>
          <w14:textFill>
            <w14:solidFill>
              <w14:schemeClr w14:val="tx1"/>
            </w14:solidFill>
          </w14:textFill>
        </w:rPr>
        <w:t>（</w:t>
      </w:r>
      <w:r>
        <w:rPr>
          <w:rFonts w:hint="eastAsia" w:ascii="宋体" w:hAnsi="宋体" w:cs="宋体"/>
          <w:color w:val="000000" w:themeColor="text1"/>
          <w:u w:val="single"/>
          <w:lang w:eastAsia="zh-CN"/>
          <w14:textFill>
            <w14:solidFill>
              <w14:schemeClr w14:val="tx1"/>
            </w14:solidFill>
          </w14:textFill>
        </w:rPr>
        <w:t>成交后</w:t>
      </w:r>
      <w:r>
        <w:rPr>
          <w:rFonts w:hint="eastAsia" w:ascii="宋体" w:hAnsi="宋体" w:cs="宋体"/>
          <w:color w:val="000000" w:themeColor="text1"/>
          <w:u w:val="single"/>
          <w14:textFill>
            <w14:solidFill>
              <w14:schemeClr w14:val="tx1"/>
            </w14:solidFill>
          </w14:textFill>
        </w:rPr>
        <w:t>填写）</w:t>
      </w:r>
      <w:r>
        <w:rPr>
          <w:rFonts w:hint="eastAsia" w:ascii="宋体" w:hAnsi="宋体" w:cs="宋体"/>
          <w:color w:val="000000" w:themeColor="text1"/>
          <w14:textFill>
            <w14:solidFill>
              <w14:schemeClr w14:val="tx1"/>
            </w14:solidFill>
          </w14:textFill>
        </w:rPr>
        <w:t>；</w:t>
      </w:r>
    </w:p>
    <w:p w14:paraId="579DDFEA">
      <w:pPr>
        <w:pStyle w:val="102"/>
        <w:spacing w:line="400" w:lineRule="exact"/>
        <w:rPr>
          <w:rFonts w:hint="eastAsia"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监理工程师执业资格证书号：</w:t>
      </w:r>
      <w:r>
        <w:rPr>
          <w:rFonts w:hint="eastAsia" w:ascii="宋体" w:hAnsi="宋体" w:cs="宋体"/>
          <w:color w:val="000000" w:themeColor="text1"/>
          <w:u w:val="single"/>
          <w14:textFill>
            <w14:solidFill>
              <w14:schemeClr w14:val="tx1"/>
            </w14:solidFill>
          </w14:textFill>
        </w:rPr>
        <w:t>（</w:t>
      </w:r>
      <w:r>
        <w:rPr>
          <w:rFonts w:hint="eastAsia" w:ascii="宋体" w:hAnsi="宋体" w:cs="宋体"/>
          <w:color w:val="000000" w:themeColor="text1"/>
          <w:u w:val="single"/>
          <w:lang w:eastAsia="zh-CN"/>
          <w14:textFill>
            <w14:solidFill>
              <w14:schemeClr w14:val="tx1"/>
            </w14:solidFill>
          </w14:textFill>
        </w:rPr>
        <w:t>成交后</w:t>
      </w:r>
      <w:r>
        <w:rPr>
          <w:rFonts w:hint="eastAsia" w:ascii="宋体" w:hAnsi="宋体" w:cs="宋体"/>
          <w:color w:val="000000" w:themeColor="text1"/>
          <w:u w:val="single"/>
          <w14:textFill>
            <w14:solidFill>
              <w14:schemeClr w14:val="tx1"/>
            </w14:solidFill>
          </w14:textFill>
        </w:rPr>
        <w:t>填写）</w:t>
      </w:r>
      <w:r>
        <w:rPr>
          <w:rFonts w:hint="eastAsia" w:ascii="宋体" w:hAnsi="宋体" w:cs="宋体"/>
          <w:color w:val="000000" w:themeColor="text1"/>
          <w14:textFill>
            <w14:solidFill>
              <w14:schemeClr w14:val="tx1"/>
            </w14:solidFill>
          </w14:textFill>
        </w:rPr>
        <w:t>；</w:t>
      </w:r>
    </w:p>
    <w:p w14:paraId="767E1D0C">
      <w:pPr>
        <w:pStyle w:val="102"/>
        <w:spacing w:line="400" w:lineRule="exact"/>
        <w:rPr>
          <w:rFonts w:hint="eastAsia"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联系电话：</w:t>
      </w:r>
      <w:r>
        <w:rPr>
          <w:rFonts w:hint="eastAsia" w:ascii="宋体" w:hAnsi="宋体" w:cs="宋体"/>
          <w:color w:val="000000" w:themeColor="text1"/>
          <w:u w:val="single"/>
          <w14:textFill>
            <w14:solidFill>
              <w14:schemeClr w14:val="tx1"/>
            </w14:solidFill>
          </w14:textFill>
        </w:rPr>
        <w:t>（</w:t>
      </w:r>
      <w:r>
        <w:rPr>
          <w:rFonts w:hint="eastAsia" w:ascii="宋体" w:hAnsi="宋体" w:cs="宋体"/>
          <w:color w:val="000000" w:themeColor="text1"/>
          <w:u w:val="single"/>
          <w:lang w:eastAsia="zh-CN"/>
          <w14:textFill>
            <w14:solidFill>
              <w14:schemeClr w14:val="tx1"/>
            </w14:solidFill>
          </w14:textFill>
        </w:rPr>
        <w:t>成交后</w:t>
      </w:r>
      <w:r>
        <w:rPr>
          <w:rFonts w:hint="eastAsia" w:ascii="宋体" w:hAnsi="宋体" w:cs="宋体"/>
          <w:color w:val="000000" w:themeColor="text1"/>
          <w:u w:val="single"/>
          <w14:textFill>
            <w14:solidFill>
              <w14:schemeClr w14:val="tx1"/>
            </w14:solidFill>
          </w14:textFill>
        </w:rPr>
        <w:t>填写）</w:t>
      </w:r>
      <w:r>
        <w:rPr>
          <w:rFonts w:hint="eastAsia" w:ascii="宋体" w:hAnsi="宋体" w:cs="宋体"/>
          <w:color w:val="000000" w:themeColor="text1"/>
          <w14:textFill>
            <w14:solidFill>
              <w14:schemeClr w14:val="tx1"/>
            </w14:solidFill>
          </w14:textFill>
        </w:rPr>
        <w:t>；</w:t>
      </w:r>
    </w:p>
    <w:p w14:paraId="27867520">
      <w:pPr>
        <w:pStyle w:val="102"/>
        <w:spacing w:line="400" w:lineRule="exact"/>
        <w:rPr>
          <w:rFonts w:hint="eastAsia"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电子信箱：</w:t>
      </w:r>
      <w:r>
        <w:rPr>
          <w:rFonts w:hint="eastAsia" w:ascii="宋体" w:hAnsi="宋体" w:cs="宋体"/>
          <w:color w:val="000000" w:themeColor="text1"/>
          <w:u w:val="single"/>
          <w14:textFill>
            <w14:solidFill>
              <w14:schemeClr w14:val="tx1"/>
            </w14:solidFill>
          </w14:textFill>
        </w:rPr>
        <w:t>（</w:t>
      </w:r>
      <w:r>
        <w:rPr>
          <w:rFonts w:hint="eastAsia" w:ascii="宋体" w:hAnsi="宋体" w:cs="宋体"/>
          <w:color w:val="000000" w:themeColor="text1"/>
          <w:u w:val="single"/>
          <w:lang w:eastAsia="zh-CN"/>
          <w14:textFill>
            <w14:solidFill>
              <w14:schemeClr w14:val="tx1"/>
            </w14:solidFill>
          </w14:textFill>
        </w:rPr>
        <w:t>成交后</w:t>
      </w:r>
      <w:r>
        <w:rPr>
          <w:rFonts w:hint="eastAsia" w:ascii="宋体" w:hAnsi="宋体" w:cs="宋体"/>
          <w:color w:val="000000" w:themeColor="text1"/>
          <w:u w:val="single"/>
          <w14:textFill>
            <w14:solidFill>
              <w14:schemeClr w14:val="tx1"/>
            </w14:solidFill>
          </w14:textFill>
        </w:rPr>
        <w:t>填写）</w:t>
      </w:r>
      <w:r>
        <w:rPr>
          <w:rFonts w:hint="eastAsia" w:ascii="宋体" w:hAnsi="宋体" w:cs="宋体"/>
          <w:color w:val="000000" w:themeColor="text1"/>
          <w14:textFill>
            <w14:solidFill>
              <w14:schemeClr w14:val="tx1"/>
            </w14:solidFill>
          </w14:textFill>
        </w:rPr>
        <w:t>；</w:t>
      </w:r>
    </w:p>
    <w:p w14:paraId="78E570FC">
      <w:pPr>
        <w:pStyle w:val="102"/>
        <w:spacing w:line="400" w:lineRule="exact"/>
        <w:rPr>
          <w:rFonts w:hint="eastAsia"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通信地址：</w:t>
      </w:r>
      <w:r>
        <w:rPr>
          <w:rFonts w:hint="eastAsia" w:ascii="宋体" w:hAnsi="宋体" w:cs="宋体"/>
          <w:color w:val="000000" w:themeColor="text1"/>
          <w:u w:val="single"/>
          <w14:textFill>
            <w14:solidFill>
              <w14:schemeClr w14:val="tx1"/>
            </w14:solidFill>
          </w14:textFill>
        </w:rPr>
        <w:t>（</w:t>
      </w:r>
      <w:r>
        <w:rPr>
          <w:rFonts w:hint="eastAsia" w:ascii="宋体" w:hAnsi="宋体" w:cs="宋体"/>
          <w:color w:val="000000" w:themeColor="text1"/>
          <w:u w:val="single"/>
          <w:lang w:eastAsia="zh-CN"/>
          <w14:textFill>
            <w14:solidFill>
              <w14:schemeClr w14:val="tx1"/>
            </w14:solidFill>
          </w14:textFill>
        </w:rPr>
        <w:t>成交后</w:t>
      </w:r>
      <w:r>
        <w:rPr>
          <w:rFonts w:hint="eastAsia" w:ascii="宋体" w:hAnsi="宋体" w:cs="宋体"/>
          <w:color w:val="000000" w:themeColor="text1"/>
          <w:u w:val="single"/>
          <w14:textFill>
            <w14:solidFill>
              <w14:schemeClr w14:val="tx1"/>
            </w14:solidFill>
          </w14:textFill>
        </w:rPr>
        <w:t>填写）</w:t>
      </w:r>
      <w:r>
        <w:rPr>
          <w:rFonts w:hint="eastAsia" w:ascii="宋体" w:hAnsi="宋体" w:cs="宋体"/>
          <w:color w:val="000000" w:themeColor="text1"/>
          <w14:textFill>
            <w14:solidFill>
              <w14:schemeClr w14:val="tx1"/>
            </w14:solidFill>
          </w14:textFill>
        </w:rPr>
        <w:t>；</w:t>
      </w:r>
    </w:p>
    <w:p w14:paraId="4D91B294">
      <w:pPr>
        <w:pStyle w:val="102"/>
        <w:spacing w:line="400" w:lineRule="exact"/>
        <w:rPr>
          <w:rFonts w:hint="eastAsia"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关于监理人的其他约定：</w:t>
      </w:r>
      <w:r>
        <w:rPr>
          <w:rFonts w:hint="eastAsia" w:ascii="宋体" w:hAnsi="宋体" w:cs="宋体"/>
          <w:color w:val="000000" w:themeColor="text1"/>
          <w:u w:val="single"/>
          <w14:textFill>
            <w14:solidFill>
              <w14:schemeClr w14:val="tx1"/>
            </w14:solidFill>
          </w14:textFill>
        </w:rPr>
        <w:t>（</w:t>
      </w:r>
      <w:r>
        <w:rPr>
          <w:rFonts w:hint="eastAsia" w:ascii="宋体" w:hAnsi="宋体" w:cs="宋体"/>
          <w:color w:val="000000" w:themeColor="text1"/>
          <w:u w:val="single"/>
          <w:lang w:eastAsia="zh-CN"/>
          <w14:textFill>
            <w14:solidFill>
              <w14:schemeClr w14:val="tx1"/>
            </w14:solidFill>
          </w14:textFill>
        </w:rPr>
        <w:t>成交后</w:t>
      </w:r>
      <w:r>
        <w:rPr>
          <w:rFonts w:hint="eastAsia" w:ascii="宋体" w:hAnsi="宋体" w:cs="宋体"/>
          <w:color w:val="000000" w:themeColor="text1"/>
          <w:u w:val="single"/>
          <w14:textFill>
            <w14:solidFill>
              <w14:schemeClr w14:val="tx1"/>
            </w14:solidFill>
          </w14:textFill>
        </w:rPr>
        <w:t>填写）</w:t>
      </w:r>
      <w:r>
        <w:rPr>
          <w:rFonts w:hint="eastAsia" w:ascii="宋体" w:hAnsi="宋体" w:cs="宋体"/>
          <w:color w:val="000000" w:themeColor="text1"/>
          <w14:textFill>
            <w14:solidFill>
              <w14:schemeClr w14:val="tx1"/>
            </w14:solidFill>
          </w14:textFill>
        </w:rPr>
        <w:t>。</w:t>
      </w:r>
    </w:p>
    <w:p w14:paraId="43E429DF">
      <w:pPr>
        <w:pStyle w:val="96"/>
        <w:spacing w:before="0" w:after="200" w:line="400" w:lineRule="exact"/>
        <w:rPr>
          <w:rFonts w:hint="eastAsia" w:ascii="宋体" w:cs="宋体"/>
          <w:bCs w:val="0"/>
          <w:color w:val="000000" w:themeColor="text1"/>
          <w14:textFill>
            <w14:solidFill>
              <w14:schemeClr w14:val="tx1"/>
            </w14:solidFill>
          </w14:textFill>
        </w:rPr>
      </w:pPr>
      <w:bookmarkStart w:id="585" w:name="_Toc173253195"/>
      <w:bookmarkStart w:id="586" w:name="_Toc406522236"/>
      <w:bookmarkStart w:id="587" w:name="_Toc520505865"/>
      <w:bookmarkStart w:id="588" w:name="_Toc185770447"/>
      <w:bookmarkStart w:id="589" w:name="_Toc19952"/>
      <w:r>
        <w:rPr>
          <w:rFonts w:hint="eastAsia" w:ascii="宋体" w:cs="宋体"/>
          <w:bCs w:val="0"/>
          <w:color w:val="000000" w:themeColor="text1"/>
          <w14:textFill>
            <w14:solidFill>
              <w14:schemeClr w14:val="tx1"/>
            </w14:solidFill>
          </w14:textFill>
        </w:rPr>
        <w:t>4.4 商定或确定</w:t>
      </w:r>
      <w:bookmarkEnd w:id="585"/>
      <w:bookmarkEnd w:id="586"/>
      <w:bookmarkEnd w:id="587"/>
      <w:bookmarkEnd w:id="588"/>
      <w:bookmarkEnd w:id="589"/>
    </w:p>
    <w:p w14:paraId="250031B3">
      <w:pPr>
        <w:pStyle w:val="102"/>
        <w:spacing w:line="400" w:lineRule="exact"/>
        <w:rPr>
          <w:rFonts w:hint="eastAsia" w:ascii="宋体" w:hAnsi="宋体" w:cs="宋体"/>
          <w:color w:val="000000" w:themeColor="text1"/>
          <w14:textFill>
            <w14:solidFill>
              <w14:schemeClr w14:val="tx1"/>
            </w14:solidFill>
          </w14:textFill>
        </w:rPr>
      </w:pPr>
      <w:bookmarkStart w:id="590" w:name="_Toc267251418"/>
      <w:r>
        <w:rPr>
          <w:rFonts w:hint="eastAsia" w:ascii="宋体" w:hAnsi="宋体" w:cs="宋体"/>
          <w:color w:val="000000" w:themeColor="text1"/>
          <w14:textFill>
            <w14:solidFill>
              <w14:schemeClr w14:val="tx1"/>
            </w14:solidFill>
          </w14:textFill>
        </w:rPr>
        <w:t>在发包人和承包人不能通过协商达成一致意见时，发包人授权监理人对以下事项进行确定：</w:t>
      </w:r>
    </w:p>
    <w:p w14:paraId="73E0C497">
      <w:pPr>
        <w:pStyle w:val="102"/>
        <w:spacing w:line="400" w:lineRule="exact"/>
        <w:rPr>
          <w:rFonts w:hint="eastAsia"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（1）</w:t>
      </w:r>
      <w:r>
        <w:rPr>
          <w:rFonts w:hint="eastAsia" w:ascii="宋体" w:hAnsi="宋体" w:cs="宋体"/>
          <w:color w:val="000000" w:themeColor="text1"/>
          <w:u w:val="single"/>
          <w14:textFill>
            <w14:solidFill>
              <w14:schemeClr w14:val="tx1"/>
            </w14:solidFill>
          </w14:textFill>
        </w:rPr>
        <w:t xml:space="preserve">     按通用条款执行   </w:t>
      </w:r>
      <w:r>
        <w:rPr>
          <w:rFonts w:hint="eastAsia" w:ascii="宋体" w:hAnsi="宋体" w:cs="宋体"/>
          <w:color w:val="000000" w:themeColor="text1"/>
          <w14:textFill>
            <w14:solidFill>
              <w14:schemeClr w14:val="tx1"/>
            </w14:solidFill>
          </w14:textFill>
        </w:rPr>
        <w:t>；</w:t>
      </w:r>
    </w:p>
    <w:p w14:paraId="2F558C16">
      <w:pPr>
        <w:pStyle w:val="96"/>
        <w:spacing w:before="0" w:after="200" w:line="400" w:lineRule="exact"/>
        <w:rPr>
          <w:rFonts w:hint="eastAsia" w:ascii="宋体" w:cs="宋体"/>
          <w:bCs w:val="0"/>
          <w:color w:val="000000" w:themeColor="text1"/>
          <w14:textFill>
            <w14:solidFill>
              <w14:schemeClr w14:val="tx1"/>
            </w14:solidFill>
          </w14:textFill>
        </w:rPr>
      </w:pPr>
      <w:bookmarkStart w:id="591" w:name="_Toc520505866"/>
      <w:bookmarkStart w:id="592" w:name="_Toc406522237"/>
      <w:bookmarkStart w:id="593" w:name="_Toc3523"/>
      <w:bookmarkStart w:id="594" w:name="_Toc351203637"/>
      <w:bookmarkStart w:id="595" w:name="_Toc185770448"/>
      <w:bookmarkStart w:id="596" w:name="_Toc173253196"/>
      <w:r>
        <w:rPr>
          <w:rFonts w:hint="eastAsia" w:ascii="宋体" w:cs="宋体"/>
          <w:bCs w:val="0"/>
          <w:color w:val="000000" w:themeColor="text1"/>
          <w14:textFill>
            <w14:solidFill>
              <w14:schemeClr w14:val="tx1"/>
            </w14:solidFill>
          </w14:textFill>
        </w:rPr>
        <w:t>5</w:t>
      </w:r>
      <w:bookmarkEnd w:id="590"/>
      <w:r>
        <w:rPr>
          <w:rFonts w:hint="eastAsia" w:ascii="宋体" w:cs="宋体"/>
          <w:bCs w:val="0"/>
          <w:color w:val="000000" w:themeColor="text1"/>
          <w14:textFill>
            <w14:solidFill>
              <w14:schemeClr w14:val="tx1"/>
            </w14:solidFill>
          </w14:textFill>
        </w:rPr>
        <w:t>. 工程质量</w:t>
      </w:r>
      <w:bookmarkEnd w:id="591"/>
      <w:bookmarkEnd w:id="592"/>
      <w:bookmarkEnd w:id="593"/>
      <w:bookmarkEnd w:id="594"/>
      <w:bookmarkEnd w:id="595"/>
      <w:bookmarkEnd w:id="596"/>
    </w:p>
    <w:p w14:paraId="74AD45F8">
      <w:pPr>
        <w:pStyle w:val="96"/>
        <w:spacing w:before="0" w:after="200" w:line="400" w:lineRule="exact"/>
        <w:rPr>
          <w:rFonts w:hint="eastAsia" w:ascii="宋体" w:cs="宋体"/>
          <w:bCs w:val="0"/>
          <w:color w:val="000000" w:themeColor="text1"/>
          <w14:textFill>
            <w14:solidFill>
              <w14:schemeClr w14:val="tx1"/>
            </w14:solidFill>
          </w14:textFill>
        </w:rPr>
      </w:pPr>
      <w:bookmarkStart w:id="597" w:name="_Toc173253197"/>
      <w:bookmarkStart w:id="598" w:name="_Toc185770449"/>
      <w:bookmarkStart w:id="599" w:name="_Toc520505867"/>
      <w:bookmarkStart w:id="600" w:name="_Toc14196"/>
      <w:bookmarkStart w:id="601" w:name="_Toc406522238"/>
      <w:r>
        <w:rPr>
          <w:rFonts w:hint="eastAsia" w:ascii="宋体" w:cs="宋体"/>
          <w:bCs w:val="0"/>
          <w:color w:val="000000" w:themeColor="text1"/>
          <w14:textFill>
            <w14:solidFill>
              <w14:schemeClr w14:val="tx1"/>
            </w14:solidFill>
          </w14:textFill>
        </w:rPr>
        <w:t>5.1 质量要求</w:t>
      </w:r>
      <w:bookmarkEnd w:id="597"/>
      <w:bookmarkEnd w:id="598"/>
      <w:bookmarkEnd w:id="599"/>
      <w:bookmarkEnd w:id="600"/>
      <w:bookmarkEnd w:id="601"/>
    </w:p>
    <w:p w14:paraId="1779EA72">
      <w:pPr>
        <w:pStyle w:val="102"/>
        <w:spacing w:line="400" w:lineRule="exact"/>
        <w:rPr>
          <w:rFonts w:hint="eastAsia"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5</w:t>
      </w:r>
      <w:bookmarkStart w:id="602" w:name="_Toc297123496"/>
      <w:bookmarkStart w:id="603" w:name="_Toc312677997"/>
      <w:bookmarkStart w:id="604" w:name="_Toc304295527"/>
      <w:bookmarkStart w:id="605" w:name="_Toc297216155"/>
      <w:bookmarkStart w:id="606" w:name="_Toc300934949"/>
      <w:bookmarkStart w:id="607" w:name="_Toc303539106"/>
      <w:bookmarkStart w:id="608" w:name="_Toc318581164"/>
      <w:r>
        <w:rPr>
          <w:rFonts w:hint="eastAsia" w:ascii="宋体" w:hAnsi="宋体" w:cs="宋体"/>
          <w:color w:val="000000" w:themeColor="text1"/>
          <w14:textFill>
            <w14:solidFill>
              <w14:schemeClr w14:val="tx1"/>
            </w14:solidFill>
          </w14:textFill>
        </w:rPr>
        <w:t>.1.1 特殊质量标准和要求：</w:t>
      </w:r>
      <w:r>
        <w:rPr>
          <w:rFonts w:hint="eastAsia" w:ascii="宋体" w:hAnsi="宋体" w:cs="宋体"/>
          <w:color w:val="000000" w:themeColor="text1"/>
          <w:u w:val="single"/>
          <w14:textFill>
            <w14:solidFill>
              <w14:schemeClr w14:val="tx1"/>
            </w14:solidFill>
          </w14:textFill>
        </w:rPr>
        <w:t>达到国家要求的合格标准，工程质量应达到合同约定要求、设计要求、现行国家或行业标准；工程质量验收应以国家或行业的质量检验评定标准为依据</w:t>
      </w:r>
      <w:r>
        <w:rPr>
          <w:rFonts w:hint="eastAsia" w:ascii="宋体" w:hAnsi="宋体" w:cs="宋体"/>
          <w:color w:val="000000" w:themeColor="text1"/>
          <w14:textFill>
            <w14:solidFill>
              <w14:schemeClr w14:val="tx1"/>
            </w14:solidFill>
          </w14:textFill>
        </w:rPr>
        <w:t>。</w:t>
      </w:r>
    </w:p>
    <w:p w14:paraId="4A4A3DDB">
      <w:pPr>
        <w:pStyle w:val="102"/>
        <w:spacing w:line="400" w:lineRule="exact"/>
        <w:rPr>
          <w:rFonts w:hint="eastAsia" w:ascii="宋体" w:hAnsi="宋体" w:cs="宋体"/>
          <w:color w:val="000000" w:themeColor="text1"/>
          <w14:textFill>
            <w14:solidFill>
              <w14:schemeClr w14:val="tx1"/>
            </w14:solidFill>
          </w14:textFill>
        </w:rPr>
      </w:pPr>
      <w:r>
        <w:rPr>
          <w:rFonts w:hint="eastAsia" w:ascii="宋体" w:hAnsi="宋体" w:cs="宋体"/>
          <w:color w:val="000000" w:themeColor="text1"/>
          <w:u w:val="single"/>
          <w14:textFill>
            <w14:solidFill>
              <w14:schemeClr w14:val="tx1"/>
            </w14:solidFill>
          </w14:textFill>
        </w:rPr>
        <w:t>双方对工程质量有争议，由双方同意的工程质量检测机构鉴定，所需费用及因此造成的损失，由责任方承担。双方均有责任，由双方根据其责任分别承担。</w:t>
      </w:r>
    </w:p>
    <w:p w14:paraId="33104468">
      <w:pPr>
        <w:pStyle w:val="102"/>
        <w:spacing w:line="400" w:lineRule="exact"/>
        <w:rPr>
          <w:rFonts w:hint="eastAsia"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关于工程奖项的约定：</w:t>
      </w:r>
      <w:r>
        <w:rPr>
          <w:rFonts w:hint="eastAsia" w:ascii="宋体" w:hAnsi="宋体" w:cs="宋体"/>
          <w:color w:val="000000" w:themeColor="text1"/>
          <w:u w:val="single"/>
          <w14:textFill>
            <w14:solidFill>
              <w14:schemeClr w14:val="tx1"/>
            </w14:solidFill>
          </w14:textFill>
        </w:rPr>
        <w:t>/</w:t>
      </w:r>
      <w:r>
        <w:rPr>
          <w:rFonts w:hint="eastAsia" w:ascii="宋体" w:hAnsi="宋体" w:cs="宋体"/>
          <w:color w:val="000000" w:themeColor="text1"/>
          <w14:textFill>
            <w14:solidFill>
              <w14:schemeClr w14:val="tx1"/>
            </w14:solidFill>
          </w14:textFill>
        </w:rPr>
        <w:t>。</w:t>
      </w:r>
    </w:p>
    <w:p w14:paraId="73248D1C">
      <w:pPr>
        <w:pStyle w:val="96"/>
        <w:spacing w:before="0" w:after="200" w:line="400" w:lineRule="exact"/>
        <w:rPr>
          <w:rFonts w:hint="eastAsia" w:ascii="宋体" w:cs="宋体"/>
          <w:bCs w:val="0"/>
          <w:color w:val="000000" w:themeColor="text1"/>
          <w14:textFill>
            <w14:solidFill>
              <w14:schemeClr w14:val="tx1"/>
            </w14:solidFill>
          </w14:textFill>
        </w:rPr>
      </w:pPr>
      <w:bookmarkStart w:id="609" w:name="_Toc406522239"/>
      <w:bookmarkStart w:id="610" w:name="_Toc1882"/>
      <w:bookmarkStart w:id="611" w:name="_Toc520505868"/>
      <w:bookmarkStart w:id="612" w:name="_Toc173253198"/>
      <w:bookmarkStart w:id="613" w:name="_Toc185770450"/>
      <w:r>
        <w:rPr>
          <w:rFonts w:hint="eastAsia" w:ascii="宋体" w:cs="宋体"/>
          <w:bCs w:val="0"/>
          <w:color w:val="000000" w:themeColor="text1"/>
          <w14:textFill>
            <w14:solidFill>
              <w14:schemeClr w14:val="tx1"/>
            </w14:solidFill>
          </w14:textFill>
        </w:rPr>
        <w:t>5.3 隐蔽工程检查</w:t>
      </w:r>
      <w:bookmarkEnd w:id="609"/>
      <w:bookmarkEnd w:id="610"/>
      <w:bookmarkEnd w:id="611"/>
      <w:bookmarkEnd w:id="612"/>
      <w:bookmarkEnd w:id="613"/>
    </w:p>
    <w:p w14:paraId="3FED1F79">
      <w:pPr>
        <w:pStyle w:val="102"/>
        <w:spacing w:line="400" w:lineRule="exact"/>
        <w:rPr>
          <w:rFonts w:hint="eastAsia"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5.3.2承包人提前通知监理人隐蔽工程检查的期限的约定：</w:t>
      </w:r>
      <w:r>
        <w:rPr>
          <w:rFonts w:hint="eastAsia" w:ascii="宋体" w:hAnsi="宋体" w:cs="宋体"/>
          <w:color w:val="000000" w:themeColor="text1"/>
          <w:u w:val="single"/>
          <w14:textFill>
            <w14:solidFill>
              <w14:schemeClr w14:val="tx1"/>
            </w14:solidFill>
          </w14:textFill>
        </w:rPr>
        <w:t>任何部位的工程需要覆盖或隐蔽前，承包人均应提前12小时通知发包人、监理工程师进行中间验收并拍照，没有发包人、监理工程师的批准，均不得隐蔽或验收。</w:t>
      </w:r>
      <w:r>
        <w:rPr>
          <w:rFonts w:hint="eastAsia" w:ascii="宋体" w:hAnsi="宋体" w:cs="宋体"/>
          <w:color w:val="000000" w:themeColor="text1"/>
          <w:u w:val="single"/>
          <w:lang w:val="zh-CN"/>
          <w14:textFill>
            <w14:solidFill>
              <w14:schemeClr w14:val="tx1"/>
            </w14:solidFill>
          </w14:textFill>
        </w:rPr>
        <w:t>对相关单位所提出涉及工程质量、安全管理等存在问题时，必须进行整改，承包人应在监理人及相关人员指示的时间内修整返工后，由监理人及相关人员重新检查。否则发包人按规定有权进行经济处罚</w:t>
      </w:r>
      <w:r>
        <w:rPr>
          <w:rFonts w:hint="eastAsia" w:ascii="宋体" w:hAnsi="宋体" w:cs="宋体"/>
          <w:color w:val="000000" w:themeColor="text1"/>
          <w14:textFill>
            <w14:solidFill>
              <w14:schemeClr w14:val="tx1"/>
            </w14:solidFill>
          </w14:textFill>
        </w:rPr>
        <w:t>。</w:t>
      </w:r>
    </w:p>
    <w:p w14:paraId="3059E582">
      <w:pPr>
        <w:pStyle w:val="102"/>
        <w:spacing w:line="400" w:lineRule="exact"/>
        <w:rPr>
          <w:rFonts w:hint="eastAsia"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监理人不能按时进行检查时，应提前</w:t>
      </w:r>
      <w:r>
        <w:rPr>
          <w:rFonts w:hint="eastAsia" w:ascii="宋体" w:hAnsi="宋体" w:cs="宋体"/>
          <w:color w:val="000000" w:themeColor="text1"/>
          <w:u w:val="single"/>
          <w14:textFill>
            <w14:solidFill>
              <w14:schemeClr w14:val="tx1"/>
            </w14:solidFill>
          </w14:textFill>
        </w:rPr>
        <w:t>24</w:t>
      </w:r>
      <w:r>
        <w:rPr>
          <w:rFonts w:hint="eastAsia" w:ascii="宋体" w:hAnsi="宋体" w:cs="宋体"/>
          <w:color w:val="000000" w:themeColor="text1"/>
          <w14:textFill>
            <w14:solidFill>
              <w14:schemeClr w14:val="tx1"/>
            </w14:solidFill>
          </w14:textFill>
        </w:rPr>
        <w:t>小时提交书面延期要求。</w:t>
      </w:r>
    </w:p>
    <w:p w14:paraId="2A43977D">
      <w:pPr>
        <w:pStyle w:val="102"/>
        <w:spacing w:line="400" w:lineRule="exact"/>
        <w:rPr>
          <w:rFonts w:hint="eastAsia"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关于延期最长不得超过：</w:t>
      </w:r>
      <w:r>
        <w:rPr>
          <w:rFonts w:hint="eastAsia" w:ascii="宋体" w:hAnsi="宋体" w:cs="宋体"/>
          <w:color w:val="000000" w:themeColor="text1"/>
          <w:u w:val="single"/>
          <w14:textFill>
            <w14:solidFill>
              <w14:schemeClr w14:val="tx1"/>
            </w14:solidFill>
          </w14:textFill>
        </w:rPr>
        <w:t>48</w:t>
      </w:r>
      <w:r>
        <w:rPr>
          <w:rFonts w:hint="eastAsia" w:ascii="宋体" w:hAnsi="宋体" w:cs="宋体"/>
          <w:color w:val="000000" w:themeColor="text1"/>
          <w14:textFill>
            <w14:solidFill>
              <w14:schemeClr w14:val="tx1"/>
            </w14:solidFill>
          </w14:textFill>
        </w:rPr>
        <w:t>小时。</w:t>
      </w:r>
    </w:p>
    <w:p w14:paraId="0CEE2D52">
      <w:pPr>
        <w:pStyle w:val="96"/>
        <w:spacing w:before="0" w:after="200" w:line="400" w:lineRule="exact"/>
        <w:rPr>
          <w:rFonts w:hint="eastAsia" w:ascii="宋体" w:cs="宋体"/>
          <w:bCs w:val="0"/>
          <w:color w:val="000000" w:themeColor="text1"/>
          <w14:textFill>
            <w14:solidFill>
              <w14:schemeClr w14:val="tx1"/>
            </w14:solidFill>
          </w14:textFill>
        </w:rPr>
      </w:pPr>
      <w:bookmarkStart w:id="614" w:name="_Toc351203638"/>
      <w:bookmarkStart w:id="615" w:name="_Toc185770451"/>
      <w:bookmarkStart w:id="616" w:name="_Toc22378"/>
      <w:bookmarkStart w:id="617" w:name="_Toc173253199"/>
      <w:bookmarkStart w:id="618" w:name="_Toc406522240"/>
      <w:bookmarkStart w:id="619" w:name="_Toc520505869"/>
      <w:r>
        <w:rPr>
          <w:rFonts w:hint="eastAsia" w:ascii="宋体" w:cs="宋体"/>
          <w:bCs w:val="0"/>
          <w:color w:val="000000" w:themeColor="text1"/>
          <w14:textFill>
            <w14:solidFill>
              <w14:schemeClr w14:val="tx1"/>
            </w14:solidFill>
          </w14:textFill>
        </w:rPr>
        <w:t>6. 安全文明施工与环境保护</w:t>
      </w:r>
      <w:bookmarkEnd w:id="614"/>
      <w:bookmarkEnd w:id="615"/>
      <w:bookmarkEnd w:id="616"/>
      <w:bookmarkEnd w:id="617"/>
      <w:bookmarkEnd w:id="618"/>
      <w:bookmarkEnd w:id="619"/>
    </w:p>
    <w:p w14:paraId="2B11198B">
      <w:pPr>
        <w:pStyle w:val="96"/>
        <w:spacing w:before="0" w:after="200" w:line="400" w:lineRule="exact"/>
        <w:rPr>
          <w:rFonts w:hint="eastAsia" w:ascii="宋体" w:cs="宋体"/>
          <w:bCs w:val="0"/>
          <w:color w:val="000000" w:themeColor="text1"/>
          <w14:textFill>
            <w14:solidFill>
              <w14:schemeClr w14:val="tx1"/>
            </w14:solidFill>
          </w14:textFill>
        </w:rPr>
      </w:pPr>
      <w:bookmarkStart w:id="620" w:name="_Toc185770452"/>
      <w:bookmarkStart w:id="621" w:name="_Toc173253200"/>
      <w:bookmarkStart w:id="622" w:name="_Toc29668"/>
      <w:bookmarkStart w:id="623" w:name="_Toc520505870"/>
      <w:bookmarkStart w:id="624" w:name="_Toc406522241"/>
      <w:r>
        <w:rPr>
          <w:rFonts w:hint="eastAsia" w:ascii="宋体" w:cs="宋体"/>
          <w:bCs w:val="0"/>
          <w:color w:val="000000" w:themeColor="text1"/>
          <w14:textFill>
            <w14:solidFill>
              <w14:schemeClr w14:val="tx1"/>
            </w14:solidFill>
          </w14:textFill>
        </w:rPr>
        <w:t>6.1安全文明施工</w:t>
      </w:r>
      <w:bookmarkEnd w:id="620"/>
      <w:bookmarkEnd w:id="621"/>
      <w:bookmarkEnd w:id="622"/>
      <w:bookmarkEnd w:id="623"/>
      <w:bookmarkEnd w:id="624"/>
    </w:p>
    <w:p w14:paraId="4164571F">
      <w:pPr>
        <w:pStyle w:val="102"/>
        <w:spacing w:line="400" w:lineRule="exact"/>
        <w:rPr>
          <w:rFonts w:hint="eastAsia"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6.1.1 项目安全生产的达标目标及相应事项的约定：</w:t>
      </w:r>
      <w:r>
        <w:rPr>
          <w:rFonts w:hint="eastAsia" w:ascii="宋体" w:hAnsi="宋体" w:cs="宋体"/>
          <w:color w:val="000000" w:themeColor="text1"/>
          <w:u w:val="single"/>
          <w14:textFill>
            <w14:solidFill>
              <w14:schemeClr w14:val="tx1"/>
            </w14:solidFill>
          </w14:textFill>
        </w:rPr>
        <w:t>按通用条款及桂林市有关规定执行</w:t>
      </w:r>
      <w:r>
        <w:rPr>
          <w:rFonts w:hint="eastAsia" w:ascii="宋体" w:hAnsi="宋体" w:cs="宋体"/>
          <w:color w:val="000000" w:themeColor="text1"/>
          <w14:textFill>
            <w14:solidFill>
              <w14:schemeClr w14:val="tx1"/>
            </w14:solidFill>
          </w14:textFill>
        </w:rPr>
        <w:t>。</w:t>
      </w:r>
    </w:p>
    <w:p w14:paraId="01EC9568">
      <w:pPr>
        <w:pStyle w:val="102"/>
        <w:spacing w:line="400" w:lineRule="exact"/>
        <w:rPr>
          <w:rFonts w:hint="eastAsia" w:ascii="宋体" w:hAnsi="宋体" w:cs="宋体"/>
          <w:color w:val="000000" w:themeColor="text1"/>
          <w:u w:val="single"/>
          <w14:textFill>
            <w14:solidFill>
              <w14:schemeClr w14:val="tx1"/>
            </w14:solidFill>
          </w14:textFill>
        </w:rPr>
      </w:pPr>
      <w:r>
        <w:rPr>
          <w:rFonts w:hint="eastAsia" w:ascii="宋体" w:hAnsi="宋体" w:cs="宋体"/>
          <w:color w:val="000000" w:themeColor="text1"/>
          <w14:textFill>
            <w14:solidFill>
              <w14:schemeClr w14:val="tx1"/>
            </w14:solidFill>
          </w14:textFill>
        </w:rPr>
        <w:t>6.1.4 关于治安保卫的特别约定：</w:t>
      </w:r>
      <w:r>
        <w:rPr>
          <w:rFonts w:hint="eastAsia" w:ascii="宋体" w:hAnsi="宋体" w:cs="宋体"/>
          <w:color w:val="000000" w:themeColor="text1"/>
          <w:u w:val="single"/>
          <w14:textFill>
            <w14:solidFill>
              <w14:schemeClr w14:val="tx1"/>
            </w14:solidFill>
          </w14:textFill>
        </w:rPr>
        <w:t xml:space="preserve">  承包人应承担施工安全保卫工作及非夜间施工照明的责任，承包人应采取一切合理的预防措施，防止人员伤亡、财产损失事故，费用由承包人承担。承包人生活设施及施工场应自费配备消防设备，防止火灾发生。</w:t>
      </w:r>
    </w:p>
    <w:p w14:paraId="5C216C8F">
      <w:pPr>
        <w:pStyle w:val="102"/>
        <w:spacing w:line="400" w:lineRule="exact"/>
        <w:rPr>
          <w:rFonts w:hint="eastAsia"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关于编制施工场地治安管理计划的约定：</w:t>
      </w:r>
      <w:r>
        <w:rPr>
          <w:rFonts w:hint="eastAsia" w:ascii="宋体" w:hAnsi="宋体" w:cs="宋体"/>
          <w:color w:val="000000" w:themeColor="text1"/>
          <w:u w:val="single"/>
          <w14:textFill>
            <w14:solidFill>
              <w14:schemeClr w14:val="tx1"/>
            </w14:solidFill>
          </w14:textFill>
        </w:rPr>
        <w:t xml:space="preserve"> / </w:t>
      </w:r>
      <w:r>
        <w:rPr>
          <w:rFonts w:hint="eastAsia" w:ascii="宋体" w:hAnsi="宋体" w:cs="宋体"/>
          <w:color w:val="000000" w:themeColor="text1"/>
          <w14:textFill>
            <w14:solidFill>
              <w14:schemeClr w14:val="tx1"/>
            </w14:solidFill>
          </w14:textFill>
        </w:rPr>
        <w:t>。</w:t>
      </w:r>
    </w:p>
    <w:p w14:paraId="52F6956B">
      <w:pPr>
        <w:pStyle w:val="102"/>
        <w:spacing w:line="400" w:lineRule="exact"/>
        <w:rPr>
          <w:rFonts w:hint="eastAsia"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6.1.5 文明施工</w:t>
      </w:r>
    </w:p>
    <w:p w14:paraId="6F3C48CE">
      <w:pPr>
        <w:pStyle w:val="102"/>
        <w:spacing w:line="400" w:lineRule="exact"/>
        <w:rPr>
          <w:rFonts w:hint="eastAsia"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合同当事人对文明施工的要求：</w:t>
      </w:r>
      <w:r>
        <w:rPr>
          <w:rFonts w:hint="eastAsia" w:ascii="宋体" w:hAnsi="宋体" w:cs="宋体"/>
          <w:color w:val="000000" w:themeColor="text1"/>
          <w:u w:val="single"/>
          <w14:textFill>
            <w14:solidFill>
              <w14:schemeClr w14:val="tx1"/>
            </w14:solidFill>
          </w14:textFill>
        </w:rPr>
        <w:t>按通用条款及桂林市有关规定执行</w:t>
      </w:r>
      <w:r>
        <w:rPr>
          <w:rFonts w:hint="eastAsia" w:ascii="宋体" w:hAnsi="宋体" w:cs="宋体"/>
          <w:color w:val="000000" w:themeColor="text1"/>
          <w14:textFill>
            <w14:solidFill>
              <w14:schemeClr w14:val="tx1"/>
            </w14:solidFill>
          </w14:textFill>
        </w:rPr>
        <w:t>。</w:t>
      </w:r>
    </w:p>
    <w:p w14:paraId="55FF53E8">
      <w:pPr>
        <w:pStyle w:val="102"/>
        <w:spacing w:line="400" w:lineRule="exact"/>
        <w:rPr>
          <w:rFonts w:hint="eastAsia" w:ascii="宋体" w:hAnsi="宋体" w:cs="宋体"/>
          <w:color w:val="000000" w:themeColor="text1"/>
          <w:u w:val="single"/>
          <w14:textFill>
            <w14:solidFill>
              <w14:schemeClr w14:val="tx1"/>
            </w14:solidFill>
          </w14:textFill>
        </w:rPr>
      </w:pPr>
      <w:r>
        <w:rPr>
          <w:rFonts w:hint="eastAsia" w:ascii="宋体" w:hAnsi="宋体" w:cs="宋体"/>
          <w:color w:val="000000" w:themeColor="text1"/>
          <w14:textFill>
            <w14:solidFill>
              <w14:schemeClr w14:val="tx1"/>
            </w14:solidFill>
          </w14:textFill>
        </w:rPr>
        <w:t>6.1.6 关于安全文明施工费支付比例和支付期限的约定：</w:t>
      </w:r>
      <w:r>
        <w:rPr>
          <w:rFonts w:hint="eastAsia" w:ascii="宋体" w:hAnsi="宋体" w:cs="宋体"/>
          <w:color w:val="000000" w:themeColor="text1"/>
          <w:u w:val="single"/>
          <w14:textFill>
            <w14:solidFill>
              <w14:schemeClr w14:val="tx1"/>
            </w14:solidFill>
          </w14:textFill>
        </w:rPr>
        <w:t>使用要求：专款专用。具体按《广西壮族自治区建筑工程安全防护、文明施工措施费及管理细则》（桂建质〔2006〕22号）和桂林市建规〔2007〕131号文及市建规〔2008〕224号文相关规定执行。</w:t>
      </w:r>
    </w:p>
    <w:p w14:paraId="4D72142F">
      <w:pPr>
        <w:spacing w:after="200" w:line="400" w:lineRule="exact"/>
        <w:rPr>
          <w:rFonts w:hint="eastAsia" w:ascii="宋体" w:hAnsi="宋体" w:cs="宋体"/>
          <w:b/>
          <w:color w:val="000000" w:themeColor="text1"/>
          <w14:textFill>
            <w14:solidFill>
              <w14:schemeClr w14:val="tx1"/>
            </w14:solidFill>
          </w14:textFill>
        </w:rPr>
      </w:pPr>
      <w:r>
        <w:rPr>
          <w:rFonts w:hint="eastAsia" w:ascii="宋体" w:hAnsi="宋体" w:cs="宋体"/>
          <w:b/>
          <w:color w:val="000000" w:themeColor="text1"/>
          <w14:textFill>
            <w14:solidFill>
              <w14:schemeClr w14:val="tx1"/>
            </w14:solidFill>
          </w14:textFill>
        </w:rPr>
        <w:t>6.2 扬尘防治</w:t>
      </w:r>
    </w:p>
    <w:p w14:paraId="6669DD65">
      <w:pPr>
        <w:spacing w:line="400" w:lineRule="exact"/>
        <w:rPr>
          <w:rFonts w:hint="eastAsia" w:ascii="宋体" w:hAnsi="宋体" w:cs="宋体"/>
          <w:color w:val="000000" w:themeColor="text1"/>
          <w:u w:val="single"/>
          <w14:textFill>
            <w14:solidFill>
              <w14:schemeClr w14:val="tx1"/>
            </w14:solidFill>
          </w14:textFill>
        </w:rPr>
      </w:pPr>
      <w:r>
        <w:rPr>
          <w:rFonts w:hint="eastAsia" w:ascii="宋体" w:hAnsi="宋体" w:cs="宋体"/>
          <w:color w:val="000000" w:themeColor="text1"/>
          <w14:textFill>
            <w14:solidFill>
              <w14:schemeClr w14:val="tx1"/>
            </w14:solidFill>
          </w14:textFill>
        </w:rPr>
        <w:t>严格执行市住建〔2016〕71号《关于进一步加强全市建筑工地扬尘治理工作的通知》的相关规定。关于扬尘防治费支付比例和支付期限的约定为：</w:t>
      </w:r>
      <w:r>
        <w:rPr>
          <w:rFonts w:hint="eastAsia" w:ascii="宋体" w:hAnsi="宋体" w:cs="宋体"/>
          <w:color w:val="000000" w:themeColor="text1"/>
          <w:u w:val="single"/>
          <w14:textFill>
            <w14:solidFill>
              <w14:schemeClr w14:val="tx1"/>
            </w14:solidFill>
          </w14:textFill>
        </w:rPr>
        <w:t xml:space="preserve">市住建〔2016〕34号文规定   </w:t>
      </w:r>
      <w:bookmarkStart w:id="625" w:name="_Toc373227721"/>
      <w:bookmarkStart w:id="626" w:name="_Toc373478368"/>
      <w:bookmarkStart w:id="627" w:name="_Toc389065287"/>
    </w:p>
    <w:p w14:paraId="2974A2D6">
      <w:pPr>
        <w:spacing w:after="200" w:line="400" w:lineRule="exact"/>
        <w:rPr>
          <w:rFonts w:hint="eastAsia" w:ascii="宋体" w:hAnsi="宋体" w:cs="宋体"/>
          <w:b/>
          <w:color w:val="000000" w:themeColor="text1"/>
          <w14:textFill>
            <w14:solidFill>
              <w14:schemeClr w14:val="tx1"/>
            </w14:solidFill>
          </w14:textFill>
        </w:rPr>
      </w:pPr>
      <w:r>
        <w:rPr>
          <w:rFonts w:hint="eastAsia" w:ascii="宋体" w:hAnsi="宋体" w:cs="宋体"/>
          <w:b/>
          <w:color w:val="000000" w:themeColor="text1"/>
          <w14:textFill>
            <w14:solidFill>
              <w14:schemeClr w14:val="tx1"/>
            </w14:solidFill>
          </w14:textFill>
        </w:rPr>
        <w:t>6.3 环境保护</w:t>
      </w:r>
      <w:bookmarkEnd w:id="625"/>
      <w:bookmarkEnd w:id="626"/>
      <w:bookmarkEnd w:id="627"/>
    </w:p>
    <w:p w14:paraId="79DC083B">
      <w:pPr>
        <w:spacing w:line="400" w:lineRule="exact"/>
        <w:ind w:firstLine="420" w:firstLineChars="200"/>
        <w:rPr>
          <w:rFonts w:hint="eastAsia" w:ascii="宋体" w:hAnsi="宋体" w:cs="宋体"/>
          <w:color w:val="000000" w:themeColor="text1"/>
          <w:u w:val="single"/>
          <w14:textFill>
            <w14:solidFill>
              <w14:schemeClr w14:val="tx1"/>
            </w14:solidFill>
          </w14:textFill>
        </w:rPr>
      </w:pPr>
      <w:r>
        <w:rPr>
          <w:rFonts w:hint="eastAsia" w:ascii="宋体" w:hAnsi="宋体" w:cs="宋体"/>
          <w:color w:val="000000" w:themeColor="text1"/>
          <w:u w:val="single"/>
          <w14:textFill>
            <w14:solidFill>
              <w14:schemeClr w14:val="tx1"/>
            </w14:solidFill>
          </w14:textFill>
        </w:rPr>
        <w:t>因施工需要，经发包人批准，由承包人办理有关施工场地交通、环卫和施工噪音管理等手续，费用由承包人负责。</w:t>
      </w:r>
    </w:p>
    <w:p w14:paraId="68A900AD">
      <w:pPr>
        <w:spacing w:line="400" w:lineRule="exact"/>
        <w:ind w:firstLine="420" w:firstLineChars="200"/>
        <w:rPr>
          <w:rFonts w:hint="eastAsia" w:ascii="宋体" w:hAnsi="宋体" w:cs="宋体"/>
          <w:color w:val="000000" w:themeColor="text1"/>
          <w:u w:val="single"/>
          <w14:textFill>
            <w14:solidFill>
              <w14:schemeClr w14:val="tx1"/>
            </w14:solidFill>
          </w14:textFill>
        </w:rPr>
      </w:pPr>
      <w:r>
        <w:rPr>
          <w:rFonts w:hint="eastAsia" w:ascii="宋体" w:hAnsi="宋体" w:cs="宋体"/>
          <w:color w:val="000000" w:themeColor="text1"/>
          <w:u w:val="single"/>
          <w14:textFill>
            <w14:solidFill>
              <w14:schemeClr w14:val="tx1"/>
            </w14:solidFill>
          </w14:textFill>
        </w:rPr>
        <w:t>经过城市道路的施工车辆，必须按交警、城管、运输等部门相关规定执行。由于施工车辆造成的道路、环境等污染，其责任和费用均由承包人承担。</w:t>
      </w:r>
    </w:p>
    <w:bookmarkEnd w:id="602"/>
    <w:bookmarkEnd w:id="603"/>
    <w:bookmarkEnd w:id="604"/>
    <w:bookmarkEnd w:id="605"/>
    <w:bookmarkEnd w:id="606"/>
    <w:bookmarkEnd w:id="607"/>
    <w:bookmarkEnd w:id="608"/>
    <w:p w14:paraId="506F4AF5">
      <w:pPr>
        <w:pStyle w:val="96"/>
        <w:spacing w:before="0" w:after="200" w:line="400" w:lineRule="exact"/>
        <w:rPr>
          <w:rFonts w:hint="eastAsia" w:ascii="宋体" w:cs="宋体"/>
          <w:bCs w:val="0"/>
          <w:color w:val="000000" w:themeColor="text1"/>
          <w14:textFill>
            <w14:solidFill>
              <w14:schemeClr w14:val="tx1"/>
            </w14:solidFill>
          </w14:textFill>
        </w:rPr>
      </w:pPr>
      <w:bookmarkStart w:id="628" w:name="_Toc406522242"/>
      <w:bookmarkStart w:id="629" w:name="_Toc185770453"/>
      <w:bookmarkStart w:id="630" w:name="_Toc520505871"/>
      <w:bookmarkStart w:id="631" w:name="_Toc21673"/>
      <w:bookmarkStart w:id="632" w:name="_Toc351203639"/>
      <w:bookmarkStart w:id="633" w:name="_Toc173253201"/>
      <w:r>
        <w:rPr>
          <w:rFonts w:hint="eastAsia" w:ascii="宋体" w:cs="宋体"/>
          <w:bCs w:val="0"/>
          <w:color w:val="000000" w:themeColor="text1"/>
          <w14:textFill>
            <w14:solidFill>
              <w14:schemeClr w14:val="tx1"/>
            </w14:solidFill>
          </w14:textFill>
        </w:rPr>
        <w:t>7. 工期和进度</w:t>
      </w:r>
      <w:bookmarkEnd w:id="628"/>
      <w:bookmarkEnd w:id="629"/>
      <w:bookmarkEnd w:id="630"/>
      <w:bookmarkEnd w:id="631"/>
      <w:bookmarkEnd w:id="632"/>
      <w:bookmarkEnd w:id="633"/>
    </w:p>
    <w:p w14:paraId="14E4402B">
      <w:pPr>
        <w:pStyle w:val="96"/>
        <w:spacing w:before="0" w:after="200" w:line="400" w:lineRule="exact"/>
        <w:rPr>
          <w:rFonts w:hint="eastAsia" w:ascii="宋体" w:cs="宋体"/>
          <w:bCs w:val="0"/>
          <w:color w:val="000000" w:themeColor="text1"/>
          <w14:textFill>
            <w14:solidFill>
              <w14:schemeClr w14:val="tx1"/>
            </w14:solidFill>
          </w14:textFill>
        </w:rPr>
      </w:pPr>
      <w:bookmarkStart w:id="634" w:name="_Toc185770454"/>
      <w:bookmarkStart w:id="635" w:name="_Toc173253202"/>
      <w:bookmarkStart w:id="636" w:name="_Toc406522243"/>
      <w:bookmarkStart w:id="637" w:name="_Toc520505872"/>
      <w:bookmarkStart w:id="638" w:name="_Toc15150"/>
      <w:r>
        <w:rPr>
          <w:rFonts w:hint="eastAsia" w:ascii="宋体" w:cs="宋体"/>
          <w:bCs w:val="0"/>
          <w:color w:val="000000" w:themeColor="text1"/>
          <w14:textFill>
            <w14:solidFill>
              <w14:schemeClr w14:val="tx1"/>
            </w14:solidFill>
          </w14:textFill>
        </w:rPr>
        <w:t>7.1 施工组织设计</w:t>
      </w:r>
      <w:bookmarkEnd w:id="634"/>
      <w:bookmarkEnd w:id="635"/>
      <w:bookmarkEnd w:id="636"/>
      <w:bookmarkEnd w:id="637"/>
      <w:bookmarkEnd w:id="638"/>
    </w:p>
    <w:p w14:paraId="360BFA92">
      <w:pPr>
        <w:pStyle w:val="102"/>
        <w:spacing w:line="400" w:lineRule="exact"/>
        <w:rPr>
          <w:rFonts w:hint="eastAsia"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7.1.1 合同当事人约定的施工组织设计应包括的其他内容：</w:t>
      </w:r>
      <w:r>
        <w:rPr>
          <w:rFonts w:hint="eastAsia" w:ascii="宋体" w:hAnsi="宋体" w:cs="宋体"/>
          <w:color w:val="000000" w:themeColor="text1"/>
          <w:u w:val="single"/>
          <w14:textFill>
            <w14:solidFill>
              <w14:schemeClr w14:val="tx1"/>
            </w14:solidFill>
          </w14:textFill>
        </w:rPr>
        <w:t>按通用条款执行</w:t>
      </w:r>
      <w:r>
        <w:rPr>
          <w:rFonts w:hint="eastAsia" w:ascii="宋体" w:hAnsi="宋体" w:cs="宋体"/>
          <w:color w:val="000000" w:themeColor="text1"/>
          <w14:textFill>
            <w14:solidFill>
              <w14:schemeClr w14:val="tx1"/>
            </w14:solidFill>
          </w14:textFill>
        </w:rPr>
        <w:t>。</w:t>
      </w:r>
    </w:p>
    <w:p w14:paraId="7F6ED4DE">
      <w:pPr>
        <w:pStyle w:val="102"/>
        <w:spacing w:line="400" w:lineRule="exact"/>
        <w:rPr>
          <w:rFonts w:hint="eastAsia"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7.1.2 施工组织设计的提交和修改</w:t>
      </w:r>
    </w:p>
    <w:p w14:paraId="1C6361C4">
      <w:pPr>
        <w:pStyle w:val="102"/>
        <w:spacing w:line="400" w:lineRule="exact"/>
        <w:rPr>
          <w:rFonts w:hint="eastAsia"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承包人提交详细施工组织设计的期限的约定：</w:t>
      </w:r>
      <w:r>
        <w:rPr>
          <w:rFonts w:hint="eastAsia" w:ascii="宋体" w:hAnsi="宋体" w:cs="宋体"/>
          <w:color w:val="000000" w:themeColor="text1"/>
          <w:u w:val="single"/>
          <w14:textFill>
            <w14:solidFill>
              <w14:schemeClr w14:val="tx1"/>
            </w14:solidFill>
          </w14:textFill>
        </w:rPr>
        <w:t>在图纸会审后7天内，提交详细的符合本合同工期及发包人要求的施工组织设计和进度计划等专项施工方案（工程招标时采用的施工组织设计不作为结算依据）</w:t>
      </w:r>
      <w:r>
        <w:rPr>
          <w:rFonts w:hint="eastAsia" w:ascii="宋体" w:hAnsi="宋体" w:cs="宋体"/>
          <w:color w:val="000000" w:themeColor="text1"/>
          <w14:textFill>
            <w14:solidFill>
              <w14:schemeClr w14:val="tx1"/>
            </w14:solidFill>
          </w14:textFill>
        </w:rPr>
        <w:t>。</w:t>
      </w:r>
    </w:p>
    <w:p w14:paraId="0E891A0B">
      <w:pPr>
        <w:pStyle w:val="102"/>
        <w:spacing w:line="400" w:lineRule="exact"/>
        <w:rPr>
          <w:rFonts w:hint="eastAsia"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发包人和监理人在收到详细的施工组织设计后确认或提出修改意见的期限：</w:t>
      </w:r>
      <w:r>
        <w:rPr>
          <w:rFonts w:hint="eastAsia" w:ascii="宋体" w:hAnsi="宋体" w:cs="宋体"/>
          <w:color w:val="000000" w:themeColor="text1"/>
          <w:u w:val="single"/>
          <w14:textFill>
            <w14:solidFill>
              <w14:schemeClr w14:val="tx1"/>
            </w14:solidFill>
          </w14:textFill>
        </w:rPr>
        <w:t>收到上述文件后7天内，审查批准或提出修改意见，逾期既不审批又不提出修改意见，则视为已同意该施工组织设计或进度计划</w:t>
      </w:r>
      <w:r>
        <w:rPr>
          <w:rFonts w:hint="eastAsia" w:ascii="宋体" w:hAnsi="宋体" w:cs="宋体"/>
          <w:color w:val="000000" w:themeColor="text1"/>
          <w14:textFill>
            <w14:solidFill>
              <w14:schemeClr w14:val="tx1"/>
            </w14:solidFill>
          </w14:textFill>
        </w:rPr>
        <w:t>。</w:t>
      </w:r>
    </w:p>
    <w:p w14:paraId="1D2FB55F">
      <w:pPr>
        <w:pStyle w:val="96"/>
        <w:spacing w:before="0" w:after="200" w:line="400" w:lineRule="exact"/>
        <w:rPr>
          <w:rFonts w:hint="eastAsia" w:ascii="宋体" w:cs="宋体"/>
          <w:bCs w:val="0"/>
          <w:color w:val="000000" w:themeColor="text1"/>
          <w14:textFill>
            <w14:solidFill>
              <w14:schemeClr w14:val="tx1"/>
            </w14:solidFill>
          </w14:textFill>
        </w:rPr>
      </w:pPr>
      <w:bookmarkStart w:id="639" w:name="_Toc173253203"/>
      <w:bookmarkStart w:id="640" w:name="_Toc10964"/>
      <w:bookmarkStart w:id="641" w:name="_Toc520505873"/>
      <w:bookmarkStart w:id="642" w:name="_Toc406522244"/>
      <w:bookmarkStart w:id="643" w:name="_Toc185770455"/>
      <w:r>
        <w:rPr>
          <w:rFonts w:hint="eastAsia" w:ascii="宋体" w:cs="宋体"/>
          <w:bCs w:val="0"/>
          <w:color w:val="000000" w:themeColor="text1"/>
          <w14:textFill>
            <w14:solidFill>
              <w14:schemeClr w14:val="tx1"/>
            </w14:solidFill>
          </w14:textFill>
        </w:rPr>
        <w:t>7</w:t>
      </w:r>
      <w:bookmarkStart w:id="644" w:name="_Toc312677479"/>
      <w:bookmarkStart w:id="645" w:name="_Toc297123514"/>
      <w:bookmarkStart w:id="646" w:name="_Toc297216173"/>
      <w:bookmarkStart w:id="647" w:name="_Toc304295541"/>
      <w:bookmarkStart w:id="648" w:name="_Toc312678005"/>
      <w:bookmarkStart w:id="649" w:name="_Toc303539123"/>
      <w:bookmarkStart w:id="650" w:name="_Toc300934966"/>
      <w:r>
        <w:rPr>
          <w:rFonts w:hint="eastAsia" w:ascii="宋体" w:cs="宋体"/>
          <w:bCs w:val="0"/>
          <w:color w:val="000000" w:themeColor="text1"/>
          <w14:textFill>
            <w14:solidFill>
              <w14:schemeClr w14:val="tx1"/>
            </w14:solidFill>
          </w14:textFill>
        </w:rPr>
        <w:t>.2 施工进度计划</w:t>
      </w:r>
      <w:bookmarkEnd w:id="639"/>
      <w:bookmarkEnd w:id="640"/>
      <w:bookmarkEnd w:id="641"/>
      <w:bookmarkEnd w:id="642"/>
      <w:bookmarkEnd w:id="643"/>
    </w:p>
    <w:p w14:paraId="5AD26E8C">
      <w:pPr>
        <w:pStyle w:val="102"/>
        <w:spacing w:line="400" w:lineRule="exact"/>
        <w:rPr>
          <w:rFonts w:hint="eastAsia"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7.2.2 施工进度计划的修订</w:t>
      </w:r>
    </w:p>
    <w:p w14:paraId="05BF65ED">
      <w:pPr>
        <w:pStyle w:val="102"/>
        <w:spacing w:line="400" w:lineRule="exact"/>
        <w:rPr>
          <w:rFonts w:hint="eastAsia"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发包人和监理人在收到修订的施工进度计划后确认或提出修改意见的期限：</w:t>
      </w:r>
      <w:r>
        <w:rPr>
          <w:rFonts w:hint="eastAsia" w:ascii="宋体" w:hAnsi="宋体" w:cs="宋体"/>
          <w:color w:val="000000" w:themeColor="text1"/>
          <w:u w:val="single"/>
          <w14:textFill>
            <w14:solidFill>
              <w14:schemeClr w14:val="tx1"/>
            </w14:solidFill>
          </w14:textFill>
        </w:rPr>
        <w:t>收到承包人提交的施工进度计划后7天内审查批准或提出修改意见</w:t>
      </w:r>
      <w:r>
        <w:rPr>
          <w:rFonts w:hint="eastAsia" w:ascii="宋体" w:hAnsi="宋体" w:cs="宋体"/>
          <w:color w:val="000000" w:themeColor="text1"/>
          <w14:textFill>
            <w14:solidFill>
              <w14:schemeClr w14:val="tx1"/>
            </w14:solidFill>
          </w14:textFill>
        </w:rPr>
        <w:t>。</w:t>
      </w:r>
    </w:p>
    <w:p w14:paraId="2F7F405F">
      <w:pPr>
        <w:pStyle w:val="96"/>
        <w:spacing w:before="0" w:after="200" w:line="400" w:lineRule="exact"/>
        <w:rPr>
          <w:rFonts w:hint="eastAsia" w:ascii="宋体" w:cs="宋体"/>
          <w:bCs w:val="0"/>
          <w:color w:val="000000" w:themeColor="text1"/>
          <w14:textFill>
            <w14:solidFill>
              <w14:schemeClr w14:val="tx1"/>
            </w14:solidFill>
          </w14:textFill>
        </w:rPr>
      </w:pPr>
      <w:bookmarkStart w:id="651" w:name="_Toc520505874"/>
      <w:bookmarkStart w:id="652" w:name="_Toc31027"/>
      <w:bookmarkStart w:id="653" w:name="_Toc173253204"/>
      <w:bookmarkStart w:id="654" w:name="_Toc185770456"/>
      <w:bookmarkStart w:id="655" w:name="_Toc406522245"/>
      <w:r>
        <w:rPr>
          <w:rFonts w:hint="eastAsia" w:ascii="宋体" w:cs="宋体"/>
          <w:bCs w:val="0"/>
          <w:color w:val="000000" w:themeColor="text1"/>
          <w14:textFill>
            <w14:solidFill>
              <w14:schemeClr w14:val="tx1"/>
            </w14:solidFill>
          </w14:textFill>
        </w:rPr>
        <w:t>7.3 开工</w:t>
      </w:r>
      <w:bookmarkEnd w:id="651"/>
      <w:bookmarkEnd w:id="652"/>
      <w:bookmarkEnd w:id="653"/>
      <w:bookmarkEnd w:id="654"/>
      <w:bookmarkEnd w:id="655"/>
    </w:p>
    <w:p w14:paraId="2101272D">
      <w:pPr>
        <w:pStyle w:val="102"/>
        <w:spacing w:line="400" w:lineRule="exact"/>
        <w:rPr>
          <w:rFonts w:hint="eastAsia"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7.3.1 开工准备</w:t>
      </w:r>
    </w:p>
    <w:p w14:paraId="53D29B49">
      <w:pPr>
        <w:pStyle w:val="102"/>
        <w:spacing w:line="400" w:lineRule="exact"/>
        <w:rPr>
          <w:rFonts w:hint="eastAsia" w:ascii="宋体" w:hAnsi="宋体" w:cs="宋体"/>
          <w:color w:val="000000" w:themeColor="text1"/>
          <w:u w:val="single"/>
          <w14:textFill>
            <w14:solidFill>
              <w14:schemeClr w14:val="tx1"/>
            </w14:solidFill>
          </w14:textFill>
        </w:rPr>
      </w:pPr>
      <w:r>
        <w:rPr>
          <w:rFonts w:hint="eastAsia" w:ascii="宋体" w:hAnsi="宋体" w:cs="宋体"/>
          <w:color w:val="000000" w:themeColor="text1"/>
          <w14:textFill>
            <w14:solidFill>
              <w14:schemeClr w14:val="tx1"/>
            </w14:solidFill>
          </w14:textFill>
        </w:rPr>
        <w:t>关于承包人提交工程开工报审表的期限：</w:t>
      </w:r>
      <w:r>
        <w:rPr>
          <w:rFonts w:hint="eastAsia" w:ascii="宋体" w:hAnsi="宋体" w:cs="宋体"/>
          <w:color w:val="000000" w:themeColor="text1"/>
          <w:u w:val="single"/>
          <w14:textFill>
            <w14:solidFill>
              <w14:schemeClr w14:val="tx1"/>
            </w14:solidFill>
          </w14:textFill>
        </w:rPr>
        <w:t>按通用条款执行</w:t>
      </w:r>
      <w:r>
        <w:rPr>
          <w:rFonts w:hint="eastAsia" w:ascii="宋体" w:hAnsi="宋体" w:cs="宋体"/>
          <w:color w:val="000000" w:themeColor="text1"/>
          <w14:textFill>
            <w14:solidFill>
              <w14:schemeClr w14:val="tx1"/>
            </w14:solidFill>
          </w14:textFill>
        </w:rPr>
        <w:t>。</w:t>
      </w:r>
    </w:p>
    <w:p w14:paraId="3B764E49">
      <w:pPr>
        <w:pStyle w:val="102"/>
        <w:spacing w:line="400" w:lineRule="exact"/>
        <w:rPr>
          <w:rFonts w:hint="eastAsia"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关于发包人应完成的其他开工准备工作及期限：</w:t>
      </w:r>
      <w:r>
        <w:rPr>
          <w:rFonts w:hint="eastAsia" w:ascii="宋体" w:hAnsi="宋体" w:cs="宋体"/>
          <w:color w:val="000000" w:themeColor="text1"/>
          <w:u w:val="single"/>
          <w14:textFill>
            <w14:solidFill>
              <w14:schemeClr w14:val="tx1"/>
            </w14:solidFill>
          </w14:textFill>
        </w:rPr>
        <w:t xml:space="preserve">   /   </w:t>
      </w:r>
      <w:r>
        <w:rPr>
          <w:rFonts w:hint="eastAsia" w:ascii="宋体" w:hAnsi="宋体" w:cs="宋体"/>
          <w:color w:val="000000" w:themeColor="text1"/>
          <w14:textFill>
            <w14:solidFill>
              <w14:schemeClr w14:val="tx1"/>
            </w14:solidFill>
          </w14:textFill>
        </w:rPr>
        <w:t>。</w:t>
      </w:r>
    </w:p>
    <w:p w14:paraId="21E9425C">
      <w:pPr>
        <w:pStyle w:val="102"/>
        <w:spacing w:line="400" w:lineRule="exact"/>
        <w:rPr>
          <w:rFonts w:hint="eastAsia"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关于承包人应完成的其他开工准备工作及期限：</w:t>
      </w:r>
      <w:r>
        <w:rPr>
          <w:rFonts w:hint="eastAsia" w:ascii="宋体" w:hAnsi="宋体" w:cs="宋体"/>
          <w:color w:val="000000" w:themeColor="text1"/>
          <w:u w:val="single"/>
          <w14:textFill>
            <w14:solidFill>
              <w14:schemeClr w14:val="tx1"/>
            </w14:solidFill>
          </w14:textFill>
        </w:rPr>
        <w:t xml:space="preserve">   /   </w:t>
      </w:r>
      <w:r>
        <w:rPr>
          <w:rFonts w:hint="eastAsia" w:ascii="宋体" w:hAnsi="宋体" w:cs="宋体"/>
          <w:color w:val="000000" w:themeColor="text1"/>
          <w14:textFill>
            <w14:solidFill>
              <w14:schemeClr w14:val="tx1"/>
            </w14:solidFill>
          </w14:textFill>
        </w:rPr>
        <w:t>。</w:t>
      </w:r>
    </w:p>
    <w:p w14:paraId="0BDE2D93">
      <w:pPr>
        <w:pStyle w:val="102"/>
        <w:spacing w:line="400" w:lineRule="exact"/>
        <w:rPr>
          <w:rFonts w:hint="eastAsia"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7.3.2开工通知</w:t>
      </w:r>
    </w:p>
    <w:p w14:paraId="0D13E083">
      <w:pPr>
        <w:pStyle w:val="102"/>
        <w:spacing w:line="400" w:lineRule="exact"/>
        <w:rPr>
          <w:rFonts w:hint="eastAsia"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因发包人原因造成监理人未能在计划开工日期之日起</w:t>
      </w:r>
      <w:r>
        <w:rPr>
          <w:rFonts w:hint="eastAsia" w:ascii="宋体" w:hAnsi="宋体" w:cs="宋体"/>
          <w:color w:val="000000" w:themeColor="text1"/>
          <w:u w:val="single"/>
          <w14:textFill>
            <w14:solidFill>
              <w14:schemeClr w14:val="tx1"/>
            </w14:solidFill>
          </w14:textFill>
        </w:rPr>
        <w:t>90</w:t>
      </w:r>
      <w:r>
        <w:rPr>
          <w:rFonts w:hint="eastAsia" w:ascii="宋体" w:hAnsi="宋体" w:cs="宋体"/>
          <w:color w:val="000000" w:themeColor="text1"/>
          <w14:textFill>
            <w14:solidFill>
              <w14:schemeClr w14:val="tx1"/>
            </w14:solidFill>
          </w14:textFill>
        </w:rPr>
        <w:t>天内发出开工通知的，承包人有权提出价格调整要求，或者解除合同。</w:t>
      </w:r>
    </w:p>
    <w:bookmarkEnd w:id="644"/>
    <w:bookmarkEnd w:id="645"/>
    <w:bookmarkEnd w:id="646"/>
    <w:bookmarkEnd w:id="647"/>
    <w:bookmarkEnd w:id="648"/>
    <w:bookmarkEnd w:id="649"/>
    <w:bookmarkEnd w:id="650"/>
    <w:p w14:paraId="24EB5939">
      <w:pPr>
        <w:pStyle w:val="96"/>
        <w:spacing w:before="0" w:after="200" w:line="400" w:lineRule="exact"/>
        <w:rPr>
          <w:rFonts w:hint="eastAsia" w:ascii="宋体" w:cs="宋体"/>
          <w:bCs w:val="0"/>
          <w:color w:val="000000" w:themeColor="text1"/>
          <w14:textFill>
            <w14:solidFill>
              <w14:schemeClr w14:val="tx1"/>
            </w14:solidFill>
          </w14:textFill>
        </w:rPr>
      </w:pPr>
      <w:bookmarkStart w:id="656" w:name="_Toc520505875"/>
      <w:bookmarkStart w:id="657" w:name="_Toc173253205"/>
      <w:bookmarkStart w:id="658" w:name="_Toc406522246"/>
      <w:bookmarkStart w:id="659" w:name="_Toc24916"/>
      <w:bookmarkStart w:id="660" w:name="_Toc185770457"/>
      <w:r>
        <w:rPr>
          <w:rFonts w:hint="eastAsia" w:ascii="宋体" w:cs="宋体"/>
          <w:bCs w:val="0"/>
          <w:color w:val="000000" w:themeColor="text1"/>
          <w14:textFill>
            <w14:solidFill>
              <w14:schemeClr w14:val="tx1"/>
            </w14:solidFill>
          </w14:textFill>
        </w:rPr>
        <w:t>7.4 测量放线</w:t>
      </w:r>
      <w:bookmarkEnd w:id="656"/>
      <w:bookmarkEnd w:id="657"/>
      <w:bookmarkEnd w:id="658"/>
      <w:bookmarkEnd w:id="659"/>
      <w:bookmarkEnd w:id="660"/>
    </w:p>
    <w:p w14:paraId="1840FEC6">
      <w:pPr>
        <w:pStyle w:val="102"/>
        <w:spacing w:line="400" w:lineRule="exact"/>
        <w:rPr>
          <w:rFonts w:hint="eastAsia" w:ascii="宋体" w:hAnsi="宋体" w:cs="宋体"/>
          <w:color w:val="000000" w:themeColor="text1"/>
          <w:u w:val="single"/>
          <w14:textFill>
            <w14:solidFill>
              <w14:schemeClr w14:val="tx1"/>
            </w14:solidFill>
          </w14:textFill>
        </w:rPr>
      </w:pPr>
      <w:r>
        <w:rPr>
          <w:rFonts w:hint="eastAsia" w:ascii="宋体" w:hAnsi="宋体" w:cs="宋体"/>
          <w:color w:val="000000" w:themeColor="text1"/>
          <w14:textFill>
            <w14:solidFill>
              <w14:schemeClr w14:val="tx1"/>
            </w14:solidFill>
          </w14:textFill>
        </w:rPr>
        <w:t>7.4.1发包人通过监理人向承包人提供测量基准点、基准线和水准点及其书面资料的期限：</w:t>
      </w:r>
      <w:r>
        <w:rPr>
          <w:rFonts w:hint="eastAsia" w:ascii="宋体" w:hAnsi="宋体" w:cs="宋体"/>
          <w:color w:val="000000" w:themeColor="text1"/>
          <w:u w:val="single"/>
          <w14:textFill>
            <w14:solidFill>
              <w14:schemeClr w14:val="tx1"/>
            </w14:solidFill>
          </w14:textFill>
        </w:rPr>
        <w:t>承包人进入工地后进行现场书面交桩。水准点、坐标控制点交验完毕，即由承包人负责保护，此后由于破坏或失准带来的重新测量、放点费用及由此造成的其他损失均由承包人负担；</w:t>
      </w:r>
      <w:r>
        <w:rPr>
          <w:rFonts w:hint="eastAsia" w:ascii="宋体" w:hAnsi="宋体" w:cs="宋体"/>
          <w:bCs/>
          <w:color w:val="000000" w:themeColor="text1"/>
          <w:u w:val="single"/>
          <w14:textFill>
            <w14:solidFill>
              <w14:schemeClr w14:val="tx1"/>
            </w14:solidFill>
          </w14:textFill>
        </w:rPr>
        <w:t xml:space="preserve"> </w:t>
      </w:r>
      <w:r>
        <w:rPr>
          <w:rFonts w:hint="eastAsia" w:ascii="宋体" w:hAnsi="宋体" w:cs="宋体"/>
          <w:color w:val="000000" w:themeColor="text1"/>
          <w:u w:val="single"/>
          <w14:textFill>
            <w14:solidFill>
              <w14:schemeClr w14:val="tx1"/>
            </w14:solidFill>
          </w14:textFill>
        </w:rPr>
        <w:t>承包人应</w:t>
      </w:r>
      <w:r>
        <w:rPr>
          <w:rFonts w:hint="eastAsia" w:ascii="宋体" w:hAnsi="宋体" w:cs="宋体"/>
          <w:bCs/>
          <w:color w:val="000000" w:themeColor="text1"/>
          <w:u w:val="single"/>
          <w14:textFill>
            <w14:solidFill>
              <w14:schemeClr w14:val="tx1"/>
            </w14:solidFill>
          </w14:textFill>
        </w:rPr>
        <w:t>于开工通知后七天内现场校验，并</w:t>
      </w:r>
      <w:r>
        <w:rPr>
          <w:rFonts w:hint="eastAsia" w:ascii="宋体" w:hAnsi="宋体" w:cs="宋体"/>
          <w:color w:val="000000" w:themeColor="text1"/>
          <w:u w:val="single"/>
          <w14:textFill>
            <w14:solidFill>
              <w14:schemeClr w14:val="tx1"/>
            </w14:solidFill>
          </w14:textFill>
        </w:rPr>
        <w:t>根据国家测绘基准、测绘系统和工程测量技术规范，按上述基准点（线）以及合同工程精度要求，测设施工控制网，</w:t>
      </w:r>
      <w:r>
        <w:rPr>
          <w:rFonts w:hint="eastAsia" w:ascii="宋体" w:hAnsi="宋体" w:cs="宋体"/>
          <w:bCs/>
          <w:color w:val="000000" w:themeColor="text1"/>
          <w:u w:val="single"/>
          <w14:textFill>
            <w14:solidFill>
              <w14:schemeClr w14:val="tx1"/>
            </w14:solidFill>
          </w14:textFill>
        </w:rPr>
        <w:t>三方做好签认工作；承包人应于</w:t>
      </w:r>
      <w:r>
        <w:rPr>
          <w:rFonts w:hint="eastAsia" w:ascii="宋体" w:hAnsi="宋体" w:cs="宋体"/>
          <w:color w:val="000000" w:themeColor="text1"/>
          <w:u w:val="single"/>
          <w14:textFill>
            <w14:solidFill>
              <w14:schemeClr w14:val="tx1"/>
            </w14:solidFill>
          </w14:textFill>
        </w:rPr>
        <w:t>开工前3天，并在工程竣工后将施工控制网点移交发包人</w:t>
      </w:r>
      <w:r>
        <w:rPr>
          <w:rFonts w:hint="eastAsia" w:ascii="宋体" w:hAnsi="宋体" w:cs="宋体"/>
          <w:color w:val="000000" w:themeColor="text1"/>
          <w14:textFill>
            <w14:solidFill>
              <w14:schemeClr w14:val="tx1"/>
            </w14:solidFill>
          </w14:textFill>
        </w:rPr>
        <w:t>。</w:t>
      </w:r>
    </w:p>
    <w:p w14:paraId="0E79E37E">
      <w:pPr>
        <w:pStyle w:val="96"/>
        <w:spacing w:before="0" w:after="200" w:line="400" w:lineRule="exact"/>
        <w:rPr>
          <w:rFonts w:hint="eastAsia" w:ascii="宋体" w:cs="宋体"/>
          <w:bCs w:val="0"/>
          <w:color w:val="000000" w:themeColor="text1"/>
          <w14:textFill>
            <w14:solidFill>
              <w14:schemeClr w14:val="tx1"/>
            </w14:solidFill>
          </w14:textFill>
        </w:rPr>
      </w:pPr>
      <w:bookmarkStart w:id="661" w:name="_Toc28074"/>
      <w:bookmarkStart w:id="662" w:name="_Toc185770458"/>
      <w:bookmarkStart w:id="663" w:name="_Toc520505876"/>
      <w:bookmarkStart w:id="664" w:name="_Toc173253206"/>
      <w:bookmarkStart w:id="665" w:name="_Toc406522247"/>
      <w:r>
        <w:rPr>
          <w:rFonts w:hint="eastAsia" w:ascii="宋体" w:cs="宋体"/>
          <w:bCs w:val="0"/>
          <w:color w:val="000000" w:themeColor="text1"/>
          <w14:textFill>
            <w14:solidFill>
              <w14:schemeClr w14:val="tx1"/>
            </w14:solidFill>
          </w14:textFill>
        </w:rPr>
        <w:t>7</w:t>
      </w:r>
      <w:bookmarkStart w:id="666" w:name="_Toc304295546"/>
      <w:bookmarkStart w:id="667" w:name="_Toc312677484"/>
      <w:bookmarkStart w:id="668" w:name="_Toc297216175"/>
      <w:bookmarkStart w:id="669" w:name="_Toc303539125"/>
      <w:bookmarkStart w:id="670" w:name="_Toc297123516"/>
      <w:bookmarkStart w:id="671" w:name="_Toc312678010"/>
      <w:bookmarkStart w:id="672" w:name="_Toc300934968"/>
      <w:r>
        <w:rPr>
          <w:rFonts w:hint="eastAsia" w:ascii="宋体" w:cs="宋体"/>
          <w:bCs w:val="0"/>
          <w:color w:val="000000" w:themeColor="text1"/>
          <w14:textFill>
            <w14:solidFill>
              <w14:schemeClr w14:val="tx1"/>
            </w14:solidFill>
          </w14:textFill>
        </w:rPr>
        <w:t>.5 工期延误</w:t>
      </w:r>
      <w:bookmarkEnd w:id="661"/>
      <w:bookmarkEnd w:id="662"/>
      <w:bookmarkEnd w:id="663"/>
      <w:bookmarkEnd w:id="664"/>
      <w:bookmarkEnd w:id="665"/>
    </w:p>
    <w:bookmarkEnd w:id="666"/>
    <w:bookmarkEnd w:id="667"/>
    <w:bookmarkEnd w:id="668"/>
    <w:bookmarkEnd w:id="669"/>
    <w:bookmarkEnd w:id="670"/>
    <w:bookmarkEnd w:id="671"/>
    <w:bookmarkEnd w:id="672"/>
    <w:p w14:paraId="60DDDD43">
      <w:pPr>
        <w:pStyle w:val="102"/>
        <w:spacing w:line="400" w:lineRule="exact"/>
        <w:outlineLvl w:val="0"/>
        <w:rPr>
          <w:rFonts w:hint="eastAsia" w:ascii="宋体" w:hAnsi="宋体" w:cs="宋体"/>
          <w:color w:val="000000" w:themeColor="text1"/>
          <w14:textFill>
            <w14:solidFill>
              <w14:schemeClr w14:val="tx1"/>
            </w14:solidFill>
          </w14:textFill>
        </w:rPr>
      </w:pPr>
      <w:bookmarkStart w:id="673" w:name="_Toc32556"/>
      <w:bookmarkStart w:id="674" w:name="_Toc185770459"/>
      <w:bookmarkStart w:id="675" w:name="_Toc406522248"/>
      <w:bookmarkStart w:id="676" w:name="_Toc173253207"/>
      <w:bookmarkStart w:id="677" w:name="_Toc520505877"/>
      <w:r>
        <w:rPr>
          <w:rFonts w:hint="eastAsia" w:ascii="宋体" w:hAnsi="宋体" w:cs="宋体"/>
          <w:color w:val="000000" w:themeColor="text1"/>
          <w14:textFill>
            <w14:solidFill>
              <w14:schemeClr w14:val="tx1"/>
            </w14:solidFill>
          </w14:textFill>
        </w:rPr>
        <w:t>7.5.1 因发包人原因导致工期延误</w:t>
      </w:r>
      <w:bookmarkEnd w:id="673"/>
      <w:bookmarkEnd w:id="674"/>
      <w:bookmarkEnd w:id="675"/>
      <w:bookmarkEnd w:id="676"/>
      <w:bookmarkEnd w:id="677"/>
    </w:p>
    <w:p w14:paraId="1AB5D884">
      <w:pPr>
        <w:pStyle w:val="102"/>
        <w:spacing w:line="400" w:lineRule="exact"/>
        <w:rPr>
          <w:rFonts w:hint="eastAsia"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（7）因发包人原因导致工期延误的其他情形：</w:t>
      </w:r>
      <w:r>
        <w:rPr>
          <w:rFonts w:hint="eastAsia" w:ascii="宋体" w:hAnsi="宋体" w:cs="宋体"/>
          <w:color w:val="000000" w:themeColor="text1"/>
          <w:u w:val="single"/>
          <w14:textFill>
            <w14:solidFill>
              <w14:schemeClr w14:val="tx1"/>
            </w14:solidFill>
          </w14:textFill>
        </w:rPr>
        <w:t>因设计变更导致工期增加，经监理工程师及发包人书面同意后可以顺延；不可抗力、非承包人原因引起的工期顺延，经监理工程师和发包人同意后可予以顺延（顺延工期，以监理、承包人、发包人三方签字确认为准）</w:t>
      </w:r>
      <w:r>
        <w:rPr>
          <w:rFonts w:hint="eastAsia" w:ascii="宋体" w:hAnsi="宋体" w:cs="宋体"/>
          <w:color w:val="000000" w:themeColor="text1"/>
          <w14:textFill>
            <w14:solidFill>
              <w14:schemeClr w14:val="tx1"/>
            </w14:solidFill>
          </w14:textFill>
        </w:rPr>
        <w:t>。</w:t>
      </w:r>
    </w:p>
    <w:p w14:paraId="187D6EAD">
      <w:pPr>
        <w:pStyle w:val="102"/>
        <w:spacing w:line="400" w:lineRule="exact"/>
        <w:rPr>
          <w:rFonts w:hint="eastAsia"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7.5.2 因承包人原因导致工期延误</w:t>
      </w:r>
    </w:p>
    <w:p w14:paraId="1FF9F387">
      <w:pPr>
        <w:pStyle w:val="102"/>
        <w:spacing w:line="400" w:lineRule="exact"/>
        <w:rPr>
          <w:rFonts w:hint="eastAsia" w:ascii="宋体" w:hAnsi="宋体" w:cs="宋体"/>
          <w:color w:val="000000" w:themeColor="text1"/>
          <w:u w:val="single"/>
          <w14:textFill>
            <w14:solidFill>
              <w14:schemeClr w14:val="tx1"/>
            </w14:solidFill>
          </w14:textFill>
        </w:rPr>
      </w:pPr>
      <w:r>
        <w:rPr>
          <w:rFonts w:hint="eastAsia" w:ascii="宋体" w:hAnsi="宋体" w:cs="宋体"/>
          <w:color w:val="000000" w:themeColor="text1"/>
          <w14:textFill>
            <w14:solidFill>
              <w14:schemeClr w14:val="tx1"/>
            </w14:solidFill>
          </w14:textFill>
        </w:rPr>
        <w:t>因承包人原因造成工期延误，逾期竣工违约金的计算方法为：</w:t>
      </w:r>
      <w:r>
        <w:rPr>
          <w:rFonts w:hint="eastAsia" w:ascii="宋体" w:hAnsi="宋体" w:cs="宋体"/>
          <w:color w:val="000000" w:themeColor="text1"/>
          <w:u w:val="single"/>
          <w14:textFill>
            <w14:solidFill>
              <w14:schemeClr w14:val="tx1"/>
            </w14:solidFill>
          </w14:textFill>
        </w:rPr>
        <w:t xml:space="preserve">承包人不能按合同约定的时间竣工，承包人应承担违约责任。应向发包人支付误期赔偿费（每天赔偿金额为合同价款扣除社会保险费、发包人材料价款、暂估专业工程、暂列金额后的万分之四 ），误期时间从规定竣工日期起直到全部工程或相应部分工程竣工验收各方签章日期之间的天数（扣除发包人批准顺延的工期）。发包人可从应向承包人支付的任何金额中扣除此项赔偿费或其他方式收回此款，此赔偿款的支付并不能解除承包人应完成工程的责任或合同规定的其他责任。 </w:t>
      </w:r>
    </w:p>
    <w:p w14:paraId="29E3B4DF">
      <w:pPr>
        <w:pStyle w:val="102"/>
        <w:spacing w:line="400" w:lineRule="exact"/>
        <w:rPr>
          <w:rFonts w:hint="eastAsia"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因承包人原因造成工期延误，逾期竣工违约金的上限：</w:t>
      </w:r>
      <w:r>
        <w:rPr>
          <w:rFonts w:hint="eastAsia" w:ascii="宋体" w:hAnsi="宋体" w:cs="宋体"/>
          <w:color w:val="000000" w:themeColor="text1"/>
          <w:u w:val="single"/>
          <w14:textFill>
            <w14:solidFill>
              <w14:schemeClr w14:val="tx1"/>
            </w14:solidFill>
          </w14:textFill>
        </w:rPr>
        <w:t>合同价扣除社会保险费、发包人材料价款、暂估专业工程、暂列金额后的5%　</w:t>
      </w:r>
      <w:r>
        <w:rPr>
          <w:rFonts w:hint="eastAsia" w:ascii="宋体" w:hAnsi="宋体" w:cs="宋体"/>
          <w:color w:val="000000" w:themeColor="text1"/>
          <w14:textFill>
            <w14:solidFill>
              <w14:schemeClr w14:val="tx1"/>
            </w14:solidFill>
          </w14:textFill>
        </w:rPr>
        <w:t>。</w:t>
      </w:r>
    </w:p>
    <w:p w14:paraId="63B667A6">
      <w:pPr>
        <w:spacing w:line="400" w:lineRule="exact"/>
        <w:ind w:firstLine="420" w:firstLineChars="200"/>
        <w:rPr>
          <w:rFonts w:hint="eastAsia" w:ascii="宋体" w:hAnsi="宋体" w:cs="宋体"/>
          <w:color w:val="000000" w:themeColor="text1"/>
          <w:u w:val="single"/>
          <w14:textFill>
            <w14:solidFill>
              <w14:schemeClr w14:val="tx1"/>
            </w14:solidFill>
          </w14:textFill>
        </w:rPr>
      </w:pPr>
      <w:r>
        <w:rPr>
          <w:rFonts w:hint="eastAsia" w:ascii="宋体" w:hAnsi="宋体" w:cs="宋体"/>
          <w:color w:val="000000" w:themeColor="text1"/>
          <w14:textFill>
            <w14:solidFill>
              <w14:schemeClr w14:val="tx1"/>
            </w14:solidFill>
          </w14:textFill>
        </w:rPr>
        <w:t>工程进度款严格按照双方合同约定执行，除发包人原因未按合同约定按时支付合同约定工程进度款外，承包人不得以资金不足为由拖延工程进度，因此所延误的时间发包人将书面记录，作为今后处罚承包人延误工期的依据。</w:t>
      </w:r>
    </w:p>
    <w:p w14:paraId="483ACB48">
      <w:pPr>
        <w:pStyle w:val="96"/>
        <w:spacing w:before="0" w:after="200" w:line="400" w:lineRule="exact"/>
        <w:rPr>
          <w:rFonts w:hint="eastAsia" w:ascii="宋体" w:cs="宋体"/>
          <w:bCs w:val="0"/>
          <w:color w:val="000000" w:themeColor="text1"/>
          <w14:textFill>
            <w14:solidFill>
              <w14:schemeClr w14:val="tx1"/>
            </w14:solidFill>
          </w14:textFill>
        </w:rPr>
      </w:pPr>
      <w:bookmarkStart w:id="678" w:name="_Toc22795"/>
      <w:bookmarkStart w:id="679" w:name="_Toc173253208"/>
      <w:bookmarkStart w:id="680" w:name="_Toc185770460"/>
      <w:bookmarkStart w:id="681" w:name="_Toc406522249"/>
      <w:bookmarkStart w:id="682" w:name="_Toc520505878"/>
      <w:r>
        <w:rPr>
          <w:rFonts w:hint="eastAsia" w:ascii="宋体" w:cs="宋体"/>
          <w:bCs w:val="0"/>
          <w:color w:val="000000" w:themeColor="text1"/>
          <w14:textFill>
            <w14:solidFill>
              <w14:schemeClr w14:val="tx1"/>
            </w14:solidFill>
          </w14:textFill>
        </w:rPr>
        <w:t>7</w:t>
      </w:r>
      <w:bookmarkStart w:id="683" w:name="_Toc297123519"/>
      <w:bookmarkStart w:id="684" w:name="_Toc312678015"/>
      <w:bookmarkStart w:id="685" w:name="_Toc297216178"/>
      <w:bookmarkStart w:id="686" w:name="_Toc304295549"/>
      <w:bookmarkStart w:id="687" w:name="_Toc300934971"/>
      <w:bookmarkStart w:id="688" w:name="_Toc303539128"/>
      <w:r>
        <w:rPr>
          <w:rFonts w:hint="eastAsia" w:ascii="宋体" w:cs="宋体"/>
          <w:bCs w:val="0"/>
          <w:color w:val="000000" w:themeColor="text1"/>
          <w14:textFill>
            <w14:solidFill>
              <w14:schemeClr w14:val="tx1"/>
            </w14:solidFill>
          </w14:textFill>
        </w:rPr>
        <w:t>.6 不</w:t>
      </w:r>
      <w:bookmarkEnd w:id="683"/>
      <w:bookmarkEnd w:id="684"/>
      <w:bookmarkEnd w:id="685"/>
      <w:bookmarkEnd w:id="686"/>
      <w:bookmarkEnd w:id="687"/>
      <w:bookmarkEnd w:id="688"/>
      <w:r>
        <w:rPr>
          <w:rFonts w:hint="eastAsia" w:ascii="宋体" w:cs="宋体"/>
          <w:bCs w:val="0"/>
          <w:color w:val="000000" w:themeColor="text1"/>
          <w14:textFill>
            <w14:solidFill>
              <w14:schemeClr w14:val="tx1"/>
            </w14:solidFill>
          </w14:textFill>
        </w:rPr>
        <w:t>利物质条件</w:t>
      </w:r>
      <w:bookmarkEnd w:id="678"/>
      <w:bookmarkEnd w:id="679"/>
      <w:bookmarkEnd w:id="680"/>
      <w:bookmarkEnd w:id="681"/>
      <w:bookmarkEnd w:id="682"/>
    </w:p>
    <w:p w14:paraId="55D2B5FE">
      <w:pPr>
        <w:pStyle w:val="102"/>
        <w:spacing w:line="400" w:lineRule="exact"/>
        <w:rPr>
          <w:rFonts w:hint="eastAsia" w:ascii="宋体" w:hAnsi="宋体" w:cs="宋体"/>
          <w:color w:val="000000" w:themeColor="text1"/>
          <w14:textFill>
            <w14:solidFill>
              <w14:schemeClr w14:val="tx1"/>
            </w14:solidFill>
          </w14:textFill>
        </w:rPr>
      </w:pPr>
      <w:bookmarkStart w:id="689" w:name="_Toc304295550"/>
      <w:bookmarkStart w:id="690" w:name="_Toc297123520"/>
      <w:bookmarkStart w:id="691" w:name="_Toc318581172"/>
      <w:bookmarkStart w:id="692" w:name="_Toc303539129"/>
      <w:bookmarkStart w:id="693" w:name="_Toc297216179"/>
      <w:bookmarkStart w:id="694" w:name="_Toc312678016"/>
      <w:bookmarkStart w:id="695" w:name="_Toc300934972"/>
      <w:r>
        <w:rPr>
          <w:rFonts w:hint="eastAsia" w:ascii="宋体" w:hAnsi="宋体" w:cs="宋体"/>
          <w:color w:val="000000" w:themeColor="text1"/>
          <w14:textFill>
            <w14:solidFill>
              <w14:schemeClr w14:val="tx1"/>
            </w14:solidFill>
          </w14:textFill>
        </w:rPr>
        <w:t>不利物质条件的其他情形和有关约定：</w:t>
      </w:r>
      <w:r>
        <w:rPr>
          <w:rFonts w:hint="eastAsia" w:ascii="宋体" w:hAnsi="宋体" w:cs="宋体"/>
          <w:color w:val="000000" w:themeColor="text1"/>
          <w:u w:val="single"/>
          <w14:textFill>
            <w14:solidFill>
              <w14:schemeClr w14:val="tx1"/>
            </w14:solidFill>
          </w14:textFill>
        </w:rPr>
        <w:t>一周内非承包人原因，停水、停电、停气造成停工连续超过8小时；重大设计变更和工程量增加；发包人手续不全致使施工不能正常进行；发包人未能按约定时间支付工程款致使施工不能正常进行的；非承包人原因的政府及发包人有关的停工通知，以上不利物质条件延误工期的相应延长工期，因发包人原因给承包人造成损失的由发包人相应赔偿承包人，属政府和环境等原因的，双方协商处理</w:t>
      </w:r>
      <w:r>
        <w:rPr>
          <w:rFonts w:hint="eastAsia" w:ascii="宋体" w:hAnsi="宋体" w:cs="宋体"/>
          <w:color w:val="000000" w:themeColor="text1"/>
          <w14:textFill>
            <w14:solidFill>
              <w14:schemeClr w14:val="tx1"/>
            </w14:solidFill>
          </w14:textFill>
        </w:rPr>
        <w:t>。</w:t>
      </w:r>
    </w:p>
    <w:bookmarkEnd w:id="689"/>
    <w:bookmarkEnd w:id="690"/>
    <w:bookmarkEnd w:id="691"/>
    <w:bookmarkEnd w:id="692"/>
    <w:bookmarkEnd w:id="693"/>
    <w:bookmarkEnd w:id="694"/>
    <w:bookmarkEnd w:id="695"/>
    <w:p w14:paraId="21646C70">
      <w:pPr>
        <w:pStyle w:val="96"/>
        <w:spacing w:before="0" w:after="200" w:line="400" w:lineRule="exact"/>
        <w:rPr>
          <w:rFonts w:hint="eastAsia" w:ascii="宋体" w:cs="宋体"/>
          <w:bCs w:val="0"/>
          <w:color w:val="000000" w:themeColor="text1"/>
          <w14:textFill>
            <w14:solidFill>
              <w14:schemeClr w14:val="tx1"/>
            </w14:solidFill>
          </w14:textFill>
        </w:rPr>
      </w:pPr>
      <w:bookmarkStart w:id="696" w:name="_Toc185770461"/>
      <w:bookmarkStart w:id="697" w:name="_Toc173253209"/>
      <w:bookmarkStart w:id="698" w:name="_Toc19055"/>
      <w:bookmarkStart w:id="699" w:name="_Toc406522250"/>
      <w:bookmarkStart w:id="700" w:name="_Toc520505879"/>
      <w:r>
        <w:rPr>
          <w:rFonts w:hint="eastAsia" w:ascii="宋体" w:cs="宋体"/>
          <w:bCs w:val="0"/>
          <w:color w:val="000000" w:themeColor="text1"/>
          <w14:textFill>
            <w14:solidFill>
              <w14:schemeClr w14:val="tx1"/>
            </w14:solidFill>
          </w14:textFill>
        </w:rPr>
        <w:t>7</w:t>
      </w:r>
      <w:bookmarkStart w:id="701" w:name="_Toc297216180"/>
      <w:bookmarkStart w:id="702" w:name="_Toc297123521"/>
      <w:bookmarkStart w:id="703" w:name="_Toc312678017"/>
      <w:bookmarkStart w:id="704" w:name="_Toc300934973"/>
      <w:bookmarkStart w:id="705" w:name="_Toc303539130"/>
      <w:bookmarkStart w:id="706" w:name="_Toc304295551"/>
      <w:r>
        <w:rPr>
          <w:rFonts w:hint="eastAsia" w:ascii="宋体" w:cs="宋体"/>
          <w:bCs w:val="0"/>
          <w:color w:val="000000" w:themeColor="text1"/>
          <w14:textFill>
            <w14:solidFill>
              <w14:schemeClr w14:val="tx1"/>
            </w14:solidFill>
          </w14:textFill>
        </w:rPr>
        <w:t>.7异常恶劣的气候条件</w:t>
      </w:r>
      <w:bookmarkEnd w:id="696"/>
      <w:bookmarkEnd w:id="697"/>
      <w:bookmarkEnd w:id="698"/>
      <w:bookmarkEnd w:id="699"/>
      <w:bookmarkEnd w:id="700"/>
    </w:p>
    <w:bookmarkEnd w:id="701"/>
    <w:bookmarkEnd w:id="702"/>
    <w:bookmarkEnd w:id="703"/>
    <w:bookmarkEnd w:id="704"/>
    <w:bookmarkEnd w:id="705"/>
    <w:bookmarkEnd w:id="706"/>
    <w:p w14:paraId="2919143F">
      <w:pPr>
        <w:pStyle w:val="102"/>
        <w:spacing w:line="400" w:lineRule="exact"/>
        <w:rPr>
          <w:rFonts w:hint="eastAsia"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发包人和承包人同意以下情形视为异常恶劣的气候条件：</w:t>
      </w:r>
    </w:p>
    <w:p w14:paraId="53F60156">
      <w:pPr>
        <w:pStyle w:val="104"/>
        <w:spacing w:before="0" w:after="0" w:line="400" w:lineRule="exact"/>
        <w:ind w:left="0" w:right="0" w:firstLine="420" w:firstLineChars="200"/>
        <w:rPr>
          <w:rFonts w:hint="eastAsia" w:ascii="宋体" w:hAnsi="宋体" w:cs="宋体"/>
          <w:color w:val="000000" w:themeColor="text1"/>
          <w:sz w:val="21"/>
          <w:szCs w:val="21"/>
          <w14:textFill>
            <w14:solidFill>
              <w14:schemeClr w14:val="tx1"/>
            </w14:solidFill>
          </w14:textFill>
        </w:rPr>
      </w:pPr>
      <w:r>
        <w:rPr>
          <w:rFonts w:hint="eastAsia" w:ascii="宋体" w:hAnsi="宋体" w:cs="宋体"/>
          <w:color w:val="000000" w:themeColor="text1"/>
          <w:sz w:val="21"/>
          <w:szCs w:val="21"/>
          <w14:textFill>
            <w14:solidFill>
              <w14:schemeClr w14:val="tx1"/>
            </w14:solidFill>
          </w14:textFill>
        </w:rPr>
        <w:t>（1）</w:t>
      </w:r>
      <w:r>
        <w:rPr>
          <w:rFonts w:hint="eastAsia" w:ascii="宋体" w:hAnsi="宋体" w:cs="宋体"/>
          <w:color w:val="000000" w:themeColor="text1"/>
          <w:sz w:val="21"/>
          <w:szCs w:val="21"/>
          <w:u w:val="single"/>
          <w14:textFill>
            <w14:solidFill>
              <w14:schemeClr w14:val="tx1"/>
            </w14:solidFill>
          </w14:textFill>
        </w:rPr>
        <w:t>连续2天日气温超过38℃或低于0℃；</w:t>
      </w:r>
    </w:p>
    <w:p w14:paraId="0BFF9472">
      <w:pPr>
        <w:spacing w:line="400" w:lineRule="exact"/>
        <w:ind w:firstLine="420" w:firstLineChars="200"/>
        <w:rPr>
          <w:rFonts w:hint="eastAsia"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（2）</w:t>
      </w:r>
      <w:r>
        <w:rPr>
          <w:rFonts w:hint="eastAsia" w:ascii="宋体" w:hAnsi="宋体" w:cs="宋体"/>
          <w:color w:val="000000" w:themeColor="text1"/>
          <w:u w:val="single"/>
          <w14:textFill>
            <w14:solidFill>
              <w14:schemeClr w14:val="tx1"/>
            </w14:solidFill>
          </w14:textFill>
        </w:rPr>
        <w:t xml:space="preserve"> 8级以上持续24小时的大风；</w:t>
      </w:r>
    </w:p>
    <w:p w14:paraId="7948EC61">
      <w:pPr>
        <w:pStyle w:val="102"/>
        <w:spacing w:line="400" w:lineRule="exact"/>
        <w:rPr>
          <w:rFonts w:hint="eastAsia"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（3）</w:t>
      </w:r>
      <w:r>
        <w:rPr>
          <w:rFonts w:hint="eastAsia" w:ascii="宋体" w:hAnsi="宋体" w:cs="宋体"/>
          <w:color w:val="000000" w:themeColor="text1"/>
          <w:u w:val="single"/>
          <w14:textFill>
            <w14:solidFill>
              <w14:schemeClr w14:val="tx1"/>
            </w14:solidFill>
          </w14:textFill>
        </w:rPr>
        <w:t xml:space="preserve"> 持续降雨24小时且降雨量为200mm以上</w:t>
      </w:r>
      <w:r>
        <w:rPr>
          <w:rFonts w:hint="eastAsia" w:ascii="宋体" w:hAnsi="宋体" w:cs="宋体"/>
          <w:color w:val="000000" w:themeColor="text1"/>
          <w14:textFill>
            <w14:solidFill>
              <w14:schemeClr w14:val="tx1"/>
            </w14:solidFill>
          </w14:textFill>
        </w:rPr>
        <w:t>。</w:t>
      </w:r>
    </w:p>
    <w:p w14:paraId="6006BF60">
      <w:pPr>
        <w:pStyle w:val="96"/>
        <w:spacing w:before="0" w:after="200" w:line="400" w:lineRule="exact"/>
        <w:rPr>
          <w:rFonts w:hint="eastAsia" w:ascii="宋体" w:cs="宋体"/>
          <w:bCs w:val="0"/>
          <w:color w:val="000000" w:themeColor="text1"/>
          <w14:textFill>
            <w14:solidFill>
              <w14:schemeClr w14:val="tx1"/>
            </w14:solidFill>
          </w14:textFill>
        </w:rPr>
      </w:pPr>
      <w:bookmarkStart w:id="707" w:name="_Toc406522251"/>
      <w:bookmarkStart w:id="708" w:name="_Toc185770462"/>
      <w:bookmarkStart w:id="709" w:name="_Toc173253210"/>
      <w:bookmarkStart w:id="710" w:name="_Toc520505880"/>
      <w:bookmarkStart w:id="711" w:name="_Toc15022"/>
      <w:r>
        <w:rPr>
          <w:rFonts w:hint="eastAsia" w:ascii="宋体" w:cs="宋体"/>
          <w:bCs w:val="0"/>
          <w:color w:val="000000" w:themeColor="text1"/>
          <w14:textFill>
            <w14:solidFill>
              <w14:schemeClr w14:val="tx1"/>
            </w14:solidFill>
          </w14:textFill>
        </w:rPr>
        <w:t>7.9 提前竣工的奖励</w:t>
      </w:r>
      <w:bookmarkEnd w:id="707"/>
      <w:bookmarkEnd w:id="708"/>
      <w:bookmarkEnd w:id="709"/>
      <w:bookmarkEnd w:id="710"/>
      <w:bookmarkEnd w:id="711"/>
    </w:p>
    <w:p w14:paraId="033E4675">
      <w:pPr>
        <w:pStyle w:val="102"/>
        <w:spacing w:line="400" w:lineRule="exact"/>
        <w:rPr>
          <w:rFonts w:hint="eastAsia"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7.9.2提前竣工的奖励：</w:t>
      </w:r>
      <w:r>
        <w:rPr>
          <w:rFonts w:hint="eastAsia" w:ascii="宋体" w:hAnsi="宋体" w:cs="宋体"/>
          <w:color w:val="000000" w:themeColor="text1"/>
          <w:u w:val="single"/>
          <w14:textFill>
            <w14:solidFill>
              <w14:schemeClr w14:val="tx1"/>
            </w14:solidFill>
          </w14:textFill>
        </w:rPr>
        <w:t xml:space="preserve">          /         </w:t>
      </w:r>
      <w:r>
        <w:rPr>
          <w:rFonts w:hint="eastAsia" w:ascii="宋体" w:hAnsi="宋体" w:cs="宋体"/>
          <w:color w:val="000000" w:themeColor="text1"/>
          <w14:textFill>
            <w14:solidFill>
              <w14:schemeClr w14:val="tx1"/>
            </w14:solidFill>
          </w14:textFill>
        </w:rPr>
        <w:t>。</w:t>
      </w:r>
    </w:p>
    <w:p w14:paraId="4C5B1330">
      <w:pPr>
        <w:pStyle w:val="96"/>
        <w:spacing w:before="0" w:after="200" w:line="400" w:lineRule="exact"/>
        <w:rPr>
          <w:rFonts w:hint="eastAsia" w:ascii="宋体" w:cs="宋体"/>
          <w:bCs w:val="0"/>
          <w:color w:val="000000" w:themeColor="text1"/>
          <w14:textFill>
            <w14:solidFill>
              <w14:schemeClr w14:val="tx1"/>
            </w14:solidFill>
          </w14:textFill>
        </w:rPr>
      </w:pPr>
      <w:bookmarkStart w:id="712" w:name="_Toc520505881"/>
      <w:bookmarkStart w:id="713" w:name="_Toc173253211"/>
      <w:bookmarkStart w:id="714" w:name="_Toc406522252"/>
      <w:bookmarkStart w:id="715" w:name="_Toc185770463"/>
      <w:bookmarkStart w:id="716" w:name="_Toc351203640"/>
      <w:bookmarkStart w:id="717" w:name="_Toc6238"/>
      <w:r>
        <w:rPr>
          <w:rFonts w:hint="eastAsia" w:ascii="宋体" w:cs="宋体"/>
          <w:bCs w:val="0"/>
          <w:color w:val="000000" w:themeColor="text1"/>
          <w14:textFill>
            <w14:solidFill>
              <w14:schemeClr w14:val="tx1"/>
            </w14:solidFill>
          </w14:textFill>
        </w:rPr>
        <w:t>8. 材料与设备</w:t>
      </w:r>
      <w:bookmarkEnd w:id="712"/>
      <w:bookmarkEnd w:id="713"/>
      <w:bookmarkEnd w:id="714"/>
      <w:bookmarkEnd w:id="715"/>
      <w:bookmarkEnd w:id="716"/>
      <w:bookmarkEnd w:id="717"/>
    </w:p>
    <w:p w14:paraId="26534EA7">
      <w:pPr>
        <w:spacing w:after="200" w:line="400" w:lineRule="exact"/>
        <w:rPr>
          <w:rFonts w:hint="eastAsia" w:ascii="宋体" w:hAnsi="宋体" w:cs="宋体"/>
          <w:b/>
          <w:bCs/>
          <w:color w:val="000000" w:themeColor="text1"/>
          <w14:textFill>
            <w14:solidFill>
              <w14:schemeClr w14:val="tx1"/>
            </w14:solidFill>
          </w14:textFill>
        </w:rPr>
      </w:pPr>
      <w:r>
        <w:rPr>
          <w:rFonts w:hint="eastAsia" w:ascii="宋体" w:hAnsi="宋体" w:cs="宋体"/>
          <w:b/>
          <w:bCs/>
          <w:color w:val="000000" w:themeColor="text1"/>
          <w14:textFill>
            <w14:solidFill>
              <w14:schemeClr w14:val="tx1"/>
            </w14:solidFill>
          </w14:textFill>
        </w:rPr>
        <w:t>8.1发包人采购材料与工程设备</w:t>
      </w:r>
    </w:p>
    <w:p w14:paraId="6072CC74">
      <w:pPr>
        <w:spacing w:line="400" w:lineRule="exact"/>
        <w:ind w:firstLine="420" w:firstLineChars="200"/>
        <w:rPr>
          <w:rFonts w:hint="eastAsia"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除已标价工程量清单《发包人提供主要材料和工程设备一览表》（表-21）中明确的材料、工程设备外，由承包人负责材料和工程设备的采购、运输和保管。《承包人提供主要材料和工程设备一览表》（表-22）见已标价工程量清单。</w:t>
      </w:r>
    </w:p>
    <w:p w14:paraId="16291ED5">
      <w:pPr>
        <w:spacing w:line="400" w:lineRule="exact"/>
        <w:ind w:firstLine="420" w:firstLineChars="200"/>
        <w:rPr>
          <w:rFonts w:hint="eastAsia"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对发包人在招标时有“参照或相当于或优于**品牌、级别”等相关约定的材料或设备，承包人采购时必须按相当于或优于所约定品牌、等级进行采购，并经采购人认可同意后方可采购。施工期间该部分材料或设备如未超过招标约定的风险幅度的，结算时按投标单价支付，不得调整。</w:t>
      </w:r>
    </w:p>
    <w:p w14:paraId="7390B2D0">
      <w:pPr>
        <w:pStyle w:val="96"/>
        <w:spacing w:before="0" w:after="200" w:line="400" w:lineRule="exact"/>
        <w:rPr>
          <w:rFonts w:hint="eastAsia" w:ascii="宋体" w:cs="宋体"/>
          <w:bCs w:val="0"/>
          <w:color w:val="000000" w:themeColor="text1"/>
          <w14:textFill>
            <w14:solidFill>
              <w14:schemeClr w14:val="tx1"/>
            </w14:solidFill>
          </w14:textFill>
        </w:rPr>
      </w:pPr>
      <w:bookmarkStart w:id="718" w:name="_Toc520505882"/>
      <w:bookmarkStart w:id="719" w:name="_Toc173253212"/>
      <w:bookmarkStart w:id="720" w:name="_Toc185770464"/>
      <w:bookmarkStart w:id="721" w:name="_Toc16626"/>
      <w:bookmarkStart w:id="722" w:name="_Toc406522253"/>
      <w:r>
        <w:rPr>
          <w:rFonts w:hint="eastAsia" w:ascii="宋体" w:cs="宋体"/>
          <w:bCs w:val="0"/>
          <w:color w:val="000000" w:themeColor="text1"/>
          <w14:textFill>
            <w14:solidFill>
              <w14:schemeClr w14:val="tx1"/>
            </w14:solidFill>
          </w14:textFill>
        </w:rPr>
        <w:t>8</w:t>
      </w:r>
      <w:bookmarkStart w:id="723" w:name="_Toc297120467"/>
      <w:bookmarkStart w:id="724" w:name="_Toc280868654"/>
      <w:bookmarkStart w:id="725" w:name="_Toc292559877"/>
      <w:bookmarkStart w:id="726" w:name="_Toc312677493"/>
      <w:bookmarkStart w:id="727" w:name="_Toc296944506"/>
      <w:bookmarkStart w:id="728" w:name="_Toc296890995"/>
      <w:bookmarkStart w:id="729" w:name="_Toc297216186"/>
      <w:bookmarkStart w:id="730" w:name="_Toc292559372"/>
      <w:bookmarkStart w:id="731" w:name="_Toc296346668"/>
      <w:bookmarkStart w:id="732" w:name="_Toc297123527"/>
      <w:bookmarkStart w:id="733" w:name="_Toc303539136"/>
      <w:bookmarkStart w:id="734" w:name="_Toc312678019"/>
      <w:bookmarkStart w:id="735" w:name="_Toc304295556"/>
      <w:bookmarkStart w:id="736" w:name="_Toc296891207"/>
      <w:bookmarkStart w:id="737" w:name="_Toc296347166"/>
      <w:bookmarkStart w:id="738" w:name="_Toc300934979"/>
      <w:bookmarkStart w:id="739" w:name="_Toc296503167"/>
      <w:bookmarkStart w:id="740" w:name="_Toc297048353"/>
      <w:bookmarkStart w:id="741" w:name="_Toc280868655"/>
      <w:bookmarkStart w:id="742" w:name="_Toc267251424"/>
      <w:bookmarkStart w:id="743" w:name="_Toc280868656"/>
      <w:r>
        <w:rPr>
          <w:rFonts w:hint="eastAsia" w:ascii="宋体" w:cs="宋体"/>
          <w:bCs w:val="0"/>
          <w:color w:val="000000" w:themeColor="text1"/>
          <w14:textFill>
            <w14:solidFill>
              <w14:schemeClr w14:val="tx1"/>
            </w14:solidFill>
          </w14:textFill>
        </w:rPr>
        <w:t>.4材料与工程设备的保管与使用</w:t>
      </w:r>
      <w:bookmarkEnd w:id="718"/>
      <w:bookmarkEnd w:id="719"/>
      <w:bookmarkEnd w:id="720"/>
      <w:bookmarkEnd w:id="721"/>
      <w:bookmarkEnd w:id="722"/>
    </w:p>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p w14:paraId="5F47276D">
      <w:pPr>
        <w:pStyle w:val="102"/>
        <w:spacing w:line="400" w:lineRule="exact"/>
        <w:rPr>
          <w:rFonts w:hint="eastAsia"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8</w:t>
      </w:r>
      <w:bookmarkStart w:id="744" w:name="_Toc292559878"/>
      <w:bookmarkStart w:id="745" w:name="_Toc292559373"/>
      <w:bookmarkStart w:id="746" w:name="_Toc304295557"/>
      <w:bookmarkStart w:id="747" w:name="_Toc296346669"/>
      <w:bookmarkStart w:id="748" w:name="_Toc312677494"/>
      <w:bookmarkStart w:id="749" w:name="_Toc297216187"/>
      <w:bookmarkStart w:id="750" w:name="_Toc296347167"/>
      <w:bookmarkStart w:id="751" w:name="_Toc303539137"/>
      <w:bookmarkStart w:id="752" w:name="_Toc297048354"/>
      <w:bookmarkStart w:id="753" w:name="_Toc312678020"/>
      <w:bookmarkStart w:id="754" w:name="_Toc318581173"/>
      <w:bookmarkStart w:id="755" w:name="_Toc296891208"/>
      <w:bookmarkStart w:id="756" w:name="_Toc296890996"/>
      <w:bookmarkStart w:id="757" w:name="_Toc300934980"/>
      <w:bookmarkStart w:id="758" w:name="_Toc296944507"/>
      <w:bookmarkStart w:id="759" w:name="_Toc296503168"/>
      <w:bookmarkStart w:id="760" w:name="_Toc297123528"/>
      <w:bookmarkStart w:id="761" w:name="_Toc297120468"/>
      <w:r>
        <w:rPr>
          <w:rFonts w:hint="eastAsia" w:ascii="宋体" w:hAnsi="宋体" w:cs="宋体"/>
          <w:color w:val="000000" w:themeColor="text1"/>
          <w14:textFill>
            <w14:solidFill>
              <w14:schemeClr w14:val="tx1"/>
            </w14:solidFill>
          </w14:textFill>
        </w:rPr>
        <w:t>.4.1发包人供应的材料设备的保管费用的承担：</w:t>
      </w:r>
      <w:r>
        <w:rPr>
          <w:rFonts w:hint="eastAsia" w:ascii="宋体" w:hAnsi="宋体" w:cs="宋体"/>
          <w:color w:val="000000" w:themeColor="text1"/>
          <w:u w:val="single"/>
          <w14:textFill>
            <w14:solidFill>
              <w14:schemeClr w14:val="tx1"/>
            </w14:solidFill>
          </w14:textFill>
        </w:rPr>
        <w:t xml:space="preserve">由发包人提供的材料和工程设备验收后，由承包人负责接收、运输和保管，费用由承包人承担   </w:t>
      </w:r>
      <w:r>
        <w:rPr>
          <w:rFonts w:hint="eastAsia" w:ascii="宋体" w:hAnsi="宋体" w:cs="宋体"/>
          <w:color w:val="000000" w:themeColor="text1"/>
          <w14:textFill>
            <w14:solidFill>
              <w14:schemeClr w14:val="tx1"/>
            </w14:solidFill>
          </w14:textFill>
        </w:rPr>
        <w:t>。</w:t>
      </w:r>
      <w:bookmarkEnd w:id="744"/>
      <w:bookmarkEnd w:id="745"/>
    </w:p>
    <w:p w14:paraId="08C2CEFF">
      <w:pPr>
        <w:pStyle w:val="96"/>
        <w:spacing w:before="0" w:after="200" w:line="400" w:lineRule="exact"/>
        <w:rPr>
          <w:rFonts w:hint="eastAsia" w:ascii="宋体" w:cs="宋体"/>
          <w:bCs w:val="0"/>
          <w:color w:val="000000" w:themeColor="text1"/>
          <w14:textFill>
            <w14:solidFill>
              <w14:schemeClr w14:val="tx1"/>
            </w14:solidFill>
          </w14:textFill>
        </w:rPr>
      </w:pPr>
      <w:bookmarkStart w:id="762" w:name="_Toc173253213"/>
      <w:bookmarkStart w:id="763" w:name="_Toc23416"/>
      <w:bookmarkStart w:id="764" w:name="_Toc520505883"/>
      <w:bookmarkStart w:id="765" w:name="_Toc406522254"/>
      <w:bookmarkStart w:id="766" w:name="_Toc185770465"/>
      <w:r>
        <w:rPr>
          <w:rFonts w:hint="eastAsia" w:ascii="宋体" w:cs="宋体"/>
          <w:bCs w:val="0"/>
          <w:color w:val="000000" w:themeColor="text1"/>
          <w14:textFill>
            <w14:solidFill>
              <w14:schemeClr w14:val="tx1"/>
            </w14:solidFill>
          </w14:textFill>
        </w:rPr>
        <w:t>8.6 样品</w:t>
      </w:r>
      <w:bookmarkEnd w:id="762"/>
      <w:bookmarkEnd w:id="763"/>
      <w:bookmarkEnd w:id="764"/>
      <w:bookmarkEnd w:id="765"/>
      <w:bookmarkEnd w:id="766"/>
    </w:p>
    <w:p w14:paraId="6A37D686">
      <w:pPr>
        <w:pStyle w:val="102"/>
        <w:spacing w:line="400" w:lineRule="exact"/>
        <w:rPr>
          <w:rFonts w:hint="eastAsia"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8.6.1</w:t>
      </w:r>
      <w:r>
        <w:rPr>
          <w:rFonts w:hint="eastAsia" w:ascii="宋体" w:hAnsi="宋体" w:cs="宋体"/>
          <w:color w:val="000000" w:themeColor="text1"/>
          <w14:textFill>
            <w14:solidFill>
              <w14:schemeClr w14:val="tx1"/>
            </w14:solidFill>
          </w14:textFill>
        </w:rPr>
        <w:tab/>
      </w:r>
      <w:r>
        <w:rPr>
          <w:rFonts w:hint="eastAsia" w:ascii="宋体" w:hAnsi="宋体" w:cs="宋体"/>
          <w:color w:val="000000" w:themeColor="text1"/>
          <w14:textFill>
            <w14:solidFill>
              <w14:schemeClr w14:val="tx1"/>
            </w14:solidFill>
          </w14:textFill>
        </w:rPr>
        <w:t>样品的报送与封存</w:t>
      </w:r>
    </w:p>
    <w:p w14:paraId="0D4861CD">
      <w:pPr>
        <w:pStyle w:val="102"/>
        <w:spacing w:line="400" w:lineRule="exact"/>
        <w:rPr>
          <w:rFonts w:hint="eastAsia" w:ascii="宋体" w:hAnsi="宋体" w:cs="宋体"/>
          <w:color w:val="000000" w:themeColor="text1"/>
          <w:u w:val="single"/>
          <w14:textFill>
            <w14:solidFill>
              <w14:schemeClr w14:val="tx1"/>
            </w14:solidFill>
          </w14:textFill>
        </w:rPr>
      </w:pPr>
      <w:r>
        <w:rPr>
          <w:rFonts w:hint="eastAsia" w:ascii="宋体" w:hAnsi="宋体" w:cs="宋体"/>
          <w:color w:val="000000" w:themeColor="text1"/>
          <w14:textFill>
            <w14:solidFill>
              <w14:schemeClr w14:val="tx1"/>
            </w14:solidFill>
          </w14:textFill>
        </w:rPr>
        <w:t>需要承包人报送样品的材料或工程设备，样品的种类、名称、规格、数量要求：</w:t>
      </w:r>
      <w:r>
        <w:rPr>
          <w:rFonts w:hint="eastAsia" w:ascii="宋体" w:hAnsi="宋体" w:cs="宋体"/>
          <w:color w:val="000000" w:themeColor="text1"/>
          <w:u w:val="single"/>
          <w14:textFill>
            <w14:solidFill>
              <w14:schemeClr w14:val="tx1"/>
            </w14:solidFill>
          </w14:textFill>
        </w:rPr>
        <w:t xml:space="preserve">所有装修材料、设备等样品材料必须按照中标清单内的有关规定提前至少一周送至发包人处，经监理方和发包人共同确认后方可进场施工。未经监理方和发包人确认即进场施工的，或因样品太迟送达发包人确认导致工期延误的，造成的一切损失由承包人负责 </w:t>
      </w:r>
      <w:r>
        <w:rPr>
          <w:rFonts w:hint="eastAsia" w:ascii="宋体" w:hAnsi="宋体" w:cs="宋体"/>
          <w:color w:val="000000" w:themeColor="text1"/>
          <w14:textFill>
            <w14:solidFill>
              <w14:schemeClr w14:val="tx1"/>
            </w14:solidFill>
          </w14:textFill>
        </w:rPr>
        <w:t>。</w:t>
      </w:r>
    </w:p>
    <w:p w14:paraId="7D00F08F">
      <w:pPr>
        <w:pStyle w:val="96"/>
        <w:spacing w:before="0" w:after="200" w:line="400" w:lineRule="exact"/>
        <w:rPr>
          <w:rFonts w:hint="eastAsia" w:ascii="宋体" w:cs="宋体"/>
          <w:bCs w:val="0"/>
          <w:color w:val="000000" w:themeColor="text1"/>
          <w14:textFill>
            <w14:solidFill>
              <w14:schemeClr w14:val="tx1"/>
            </w14:solidFill>
          </w14:textFill>
        </w:rPr>
      </w:pPr>
      <w:bookmarkStart w:id="767" w:name="_Toc173253214"/>
      <w:bookmarkStart w:id="768" w:name="_Toc520505884"/>
      <w:bookmarkStart w:id="769" w:name="_Toc911"/>
      <w:bookmarkStart w:id="770" w:name="_Toc185770466"/>
      <w:bookmarkStart w:id="771" w:name="_Toc406522255"/>
      <w:r>
        <w:rPr>
          <w:rFonts w:hint="eastAsia" w:ascii="宋体" w:cs="宋体"/>
          <w:bCs w:val="0"/>
          <w:color w:val="000000" w:themeColor="text1"/>
          <w14:textFill>
            <w14:solidFill>
              <w14:schemeClr w14:val="tx1"/>
            </w14:solidFill>
          </w14:textFill>
        </w:rPr>
        <w:t>8.8 施工设备和临时设施</w:t>
      </w:r>
      <w:bookmarkEnd w:id="767"/>
      <w:bookmarkEnd w:id="768"/>
      <w:bookmarkEnd w:id="769"/>
      <w:bookmarkEnd w:id="770"/>
      <w:bookmarkEnd w:id="771"/>
    </w:p>
    <w:p w14:paraId="1F705117">
      <w:pPr>
        <w:pStyle w:val="102"/>
        <w:spacing w:line="400" w:lineRule="exact"/>
        <w:rPr>
          <w:rFonts w:hint="eastAsia"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8.8.1 承包人提供的施工设备和临时设施</w:t>
      </w:r>
      <w:r>
        <w:rPr>
          <w:rFonts w:hint="eastAsia" w:ascii="宋体" w:hAnsi="宋体" w:cs="宋体"/>
          <w:color w:val="000000" w:themeColor="text1"/>
          <w:u w:val="single"/>
          <w14:textFill>
            <w14:solidFill>
              <w14:schemeClr w14:val="tx1"/>
            </w14:solidFill>
          </w14:textFill>
        </w:rPr>
        <w:t xml:space="preserve">   除专用合同条款另有约定的其他独立承包人和监理人指示的他人提供条件外，承包人运入施工场地的所有施工设备以及在施工场地建设的临时设施仅限于用于合同工程。承包人用于本工程的主要机械设备清单见合同附件6</w:t>
      </w:r>
      <w:r>
        <w:rPr>
          <w:rFonts w:hint="eastAsia" w:ascii="宋体" w:hAnsi="宋体" w:cs="宋体"/>
          <w:color w:val="000000" w:themeColor="text1"/>
          <w14:textFill>
            <w14:solidFill>
              <w14:schemeClr w14:val="tx1"/>
            </w14:solidFill>
          </w14:textFill>
        </w:rPr>
        <w:t>。</w:t>
      </w:r>
    </w:p>
    <w:p w14:paraId="0C8D5AF4">
      <w:pPr>
        <w:pStyle w:val="102"/>
        <w:spacing w:line="400" w:lineRule="exact"/>
        <w:rPr>
          <w:rFonts w:hint="eastAsia"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 xml:space="preserve">关于修建临时设施费用承担的约定： </w:t>
      </w:r>
    </w:p>
    <w:p w14:paraId="19D045EB">
      <w:pPr>
        <w:pStyle w:val="102"/>
        <w:spacing w:line="400" w:lineRule="exact"/>
        <w:rPr>
          <w:rFonts w:hint="eastAsia" w:ascii="宋体" w:hAnsi="宋体" w:cs="宋体"/>
          <w:color w:val="000000" w:themeColor="text1"/>
          <w:u w:val="single"/>
          <w14:textFill>
            <w14:solidFill>
              <w14:schemeClr w14:val="tx1"/>
            </w14:solidFill>
          </w14:textFill>
        </w:rPr>
      </w:pPr>
      <w:r>
        <w:rPr>
          <w:rFonts w:hint="eastAsia" w:ascii="宋体" w:hAnsi="宋体" w:cs="宋体"/>
          <w:color w:val="000000" w:themeColor="text1"/>
          <w:u w:val="single"/>
          <w14:textFill>
            <w14:solidFill>
              <w14:schemeClr w14:val="tx1"/>
            </w14:solidFill>
          </w14:textFill>
        </w:rPr>
        <w:t>①承包人的临时用地（含项目部驻地等）租用费、临时用地的环保、恢复等费用均由承包人负责，以上费用在响应报价中综合考虑</w:t>
      </w:r>
      <w:r>
        <w:rPr>
          <w:rFonts w:hint="eastAsia" w:ascii="宋体" w:hAnsi="宋体" w:cs="宋体"/>
          <w:color w:val="000000" w:themeColor="text1"/>
          <w14:textFill>
            <w14:solidFill>
              <w14:schemeClr w14:val="tx1"/>
            </w14:solidFill>
          </w14:textFill>
        </w:rPr>
        <w:t>。</w:t>
      </w:r>
    </w:p>
    <w:p w14:paraId="1D98B425">
      <w:pPr>
        <w:pStyle w:val="102"/>
        <w:spacing w:line="400" w:lineRule="exact"/>
        <w:rPr>
          <w:rFonts w:hint="eastAsia" w:ascii="宋体" w:hAnsi="宋体" w:cs="宋体"/>
          <w:color w:val="000000" w:themeColor="text1"/>
          <w14:textFill>
            <w14:solidFill>
              <w14:schemeClr w14:val="tx1"/>
            </w14:solidFill>
          </w14:textFill>
        </w:rPr>
      </w:pPr>
      <w:r>
        <w:rPr>
          <w:rFonts w:hint="eastAsia" w:ascii="宋体" w:hAnsi="宋体" w:cs="宋体"/>
          <w:color w:val="000000" w:themeColor="text1"/>
          <w:u w:val="single"/>
          <w14:textFill>
            <w14:solidFill>
              <w14:schemeClr w14:val="tx1"/>
            </w14:solidFill>
          </w14:textFill>
        </w:rPr>
        <w:t>②承包人负责合同实施期间其合同段内临时交通道路和交通设施的修建、维修、养护和交通管理工作，并承担一切费用</w:t>
      </w:r>
      <w:r>
        <w:rPr>
          <w:rFonts w:hint="eastAsia" w:ascii="宋体" w:hAnsi="宋体" w:cs="宋体"/>
          <w:color w:val="000000" w:themeColor="text1"/>
          <w14:textFill>
            <w14:solidFill>
              <w14:schemeClr w14:val="tx1"/>
            </w14:solidFill>
          </w14:textFill>
        </w:rPr>
        <w:t>。</w:t>
      </w:r>
    </w:p>
    <w:p w14:paraId="2C58F91D">
      <w:pPr>
        <w:spacing w:line="400" w:lineRule="exact"/>
        <w:ind w:firstLine="420" w:firstLineChars="200"/>
        <w:rPr>
          <w:rFonts w:hint="eastAsia" w:ascii="宋体" w:hAnsi="宋体" w:cs="宋体"/>
          <w:color w:val="000000" w:themeColor="text1"/>
          <w:u w:val="single"/>
          <w14:textFill>
            <w14:solidFill>
              <w14:schemeClr w14:val="tx1"/>
            </w14:solidFill>
          </w14:textFill>
        </w:rPr>
      </w:pPr>
      <w:r>
        <w:rPr>
          <w:rFonts w:hint="eastAsia" w:ascii="宋体" w:hAnsi="宋体" w:cs="宋体"/>
          <w:color w:val="000000" w:themeColor="text1"/>
          <w:u w:val="single"/>
          <w14:textFill>
            <w14:solidFill>
              <w14:schemeClr w14:val="tx1"/>
            </w14:solidFill>
          </w14:textFill>
        </w:rPr>
        <w:t xml:space="preserve">③承包人修建的临时道路和交通设施，应免费提供给发包人、监理工程师和其他合同段的承包人使用，如共同使用的路基损坏严重，发包人或监理工程师将负责通知有关承包人共同出资修复，若使用频率相差悬殊，则按比例分摊  </w:t>
      </w:r>
    </w:p>
    <w:p w14:paraId="1393AB92">
      <w:pPr>
        <w:spacing w:line="400" w:lineRule="exact"/>
        <w:ind w:firstLine="420" w:firstLineChars="200"/>
        <w:rPr>
          <w:rFonts w:hint="eastAsia"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8.8.2 发包人提供的施工设备和临时设施</w:t>
      </w:r>
    </w:p>
    <w:p w14:paraId="72766F71">
      <w:pPr>
        <w:spacing w:line="400" w:lineRule="exact"/>
        <w:ind w:firstLine="420" w:firstLineChars="200"/>
        <w:rPr>
          <w:rFonts w:hint="eastAsia"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发包人提供的施工设备和临时设施：</w:t>
      </w:r>
      <w:r>
        <w:rPr>
          <w:rFonts w:hint="eastAsia" w:ascii="宋体" w:hAnsi="宋体" w:cs="宋体"/>
          <w:color w:val="000000" w:themeColor="text1"/>
          <w:u w:val="single"/>
          <w14:textFill>
            <w14:solidFill>
              <w14:schemeClr w14:val="tx1"/>
            </w14:solidFill>
          </w14:textFill>
        </w:rPr>
        <w:t>（</w:t>
      </w:r>
      <w:r>
        <w:rPr>
          <w:rFonts w:hint="eastAsia" w:ascii="宋体" w:hAnsi="宋体" w:cs="宋体"/>
          <w:color w:val="000000" w:themeColor="text1"/>
          <w:u w:val="single"/>
          <w:lang w:eastAsia="zh-CN"/>
          <w14:textFill>
            <w14:solidFill>
              <w14:schemeClr w14:val="tx1"/>
            </w14:solidFill>
          </w14:textFill>
        </w:rPr>
        <w:t>成交后</w:t>
      </w:r>
      <w:r>
        <w:rPr>
          <w:rFonts w:hint="eastAsia" w:ascii="宋体" w:hAnsi="宋体" w:cs="宋体"/>
          <w:color w:val="000000" w:themeColor="text1"/>
          <w:u w:val="single"/>
          <w14:textFill>
            <w14:solidFill>
              <w14:schemeClr w14:val="tx1"/>
            </w14:solidFill>
          </w14:textFill>
        </w:rPr>
        <w:t>填写）</w:t>
      </w:r>
      <w:r>
        <w:rPr>
          <w:rFonts w:hint="eastAsia" w:ascii="宋体" w:hAnsi="宋体" w:cs="宋体"/>
          <w:color w:val="000000" w:themeColor="text1"/>
          <w14:textFill>
            <w14:solidFill>
              <w14:schemeClr w14:val="tx1"/>
            </w14:solidFill>
          </w14:textFill>
        </w:rPr>
        <w:t>。</w:t>
      </w:r>
    </w:p>
    <w:p w14:paraId="4A35642A">
      <w:pPr>
        <w:spacing w:line="400" w:lineRule="exact"/>
        <w:ind w:firstLine="420" w:firstLineChars="200"/>
        <w:rPr>
          <w:rFonts w:hint="eastAsia"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发包人提供的施工设备和临时设施的运行、维护、拆除、清运费用的承担人：</w:t>
      </w:r>
      <w:r>
        <w:rPr>
          <w:rFonts w:hint="eastAsia" w:ascii="宋体" w:hAnsi="宋体" w:cs="宋体"/>
          <w:color w:val="000000" w:themeColor="text1"/>
          <w:u w:val="single"/>
          <w14:textFill>
            <w14:solidFill>
              <w14:schemeClr w14:val="tx1"/>
            </w14:solidFill>
          </w14:textFill>
        </w:rPr>
        <w:t>（</w:t>
      </w:r>
      <w:r>
        <w:rPr>
          <w:rFonts w:hint="eastAsia" w:ascii="宋体" w:hAnsi="宋体" w:cs="宋体"/>
          <w:color w:val="000000" w:themeColor="text1"/>
          <w:u w:val="single"/>
          <w:lang w:eastAsia="zh-CN"/>
          <w14:textFill>
            <w14:solidFill>
              <w14:schemeClr w14:val="tx1"/>
            </w14:solidFill>
          </w14:textFill>
        </w:rPr>
        <w:t>成交后</w:t>
      </w:r>
      <w:r>
        <w:rPr>
          <w:rFonts w:hint="eastAsia" w:ascii="宋体" w:hAnsi="宋体" w:cs="宋体"/>
          <w:color w:val="000000" w:themeColor="text1"/>
          <w:u w:val="single"/>
          <w14:textFill>
            <w14:solidFill>
              <w14:schemeClr w14:val="tx1"/>
            </w14:solidFill>
          </w14:textFill>
        </w:rPr>
        <w:t>填写）</w:t>
      </w:r>
      <w:r>
        <w:rPr>
          <w:rFonts w:hint="eastAsia" w:ascii="宋体" w:hAnsi="宋体" w:cs="宋体"/>
          <w:color w:val="000000" w:themeColor="text1"/>
          <w14:textFill>
            <w14:solidFill>
              <w14:schemeClr w14:val="tx1"/>
            </w14:solidFill>
          </w14:textFill>
        </w:rPr>
        <w:t>。</w:t>
      </w:r>
    </w:p>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p w14:paraId="66BFA12B">
      <w:pPr>
        <w:pStyle w:val="96"/>
        <w:spacing w:before="0" w:after="200" w:line="400" w:lineRule="exact"/>
        <w:rPr>
          <w:rFonts w:hint="eastAsia" w:ascii="宋体" w:cs="宋体"/>
          <w:bCs w:val="0"/>
          <w:color w:val="000000" w:themeColor="text1"/>
          <w14:textFill>
            <w14:solidFill>
              <w14:schemeClr w14:val="tx1"/>
            </w14:solidFill>
          </w14:textFill>
        </w:rPr>
      </w:pPr>
      <w:bookmarkStart w:id="772" w:name="_Toc173253215"/>
      <w:bookmarkStart w:id="773" w:name="_Toc520505885"/>
      <w:bookmarkStart w:id="774" w:name="_Toc185770467"/>
      <w:bookmarkStart w:id="775" w:name="_Toc351203641"/>
      <w:bookmarkStart w:id="776" w:name="_Toc406522256"/>
      <w:bookmarkStart w:id="777" w:name="_Toc18177"/>
      <w:r>
        <w:rPr>
          <w:rFonts w:hint="eastAsia" w:ascii="宋体" w:cs="宋体"/>
          <w:bCs w:val="0"/>
          <w:color w:val="000000" w:themeColor="text1"/>
          <w14:textFill>
            <w14:solidFill>
              <w14:schemeClr w14:val="tx1"/>
            </w14:solidFill>
          </w14:textFill>
        </w:rPr>
        <w:t>9</w:t>
      </w:r>
      <w:bookmarkEnd w:id="741"/>
      <w:bookmarkEnd w:id="742"/>
      <w:bookmarkEnd w:id="743"/>
      <w:bookmarkStart w:id="778" w:name="_Toc304295559"/>
      <w:bookmarkStart w:id="779" w:name="_Toc300934982"/>
      <w:bookmarkStart w:id="780" w:name="_Toc297123533"/>
      <w:bookmarkStart w:id="781" w:name="_Toc312678021"/>
      <w:bookmarkStart w:id="782" w:name="_Toc303539139"/>
      <w:bookmarkStart w:id="783" w:name="_Toc312677495"/>
      <w:bookmarkStart w:id="784" w:name="_Toc297216192"/>
      <w:bookmarkStart w:id="785" w:name="_Toc292559883"/>
      <w:bookmarkStart w:id="786" w:name="_Toc296891213"/>
      <w:bookmarkStart w:id="787" w:name="_Toc296346674"/>
      <w:bookmarkStart w:id="788" w:name="_Toc296944512"/>
      <w:bookmarkStart w:id="789" w:name="_Toc292559378"/>
      <w:bookmarkStart w:id="790" w:name="_Toc267251428"/>
      <w:bookmarkStart w:id="791" w:name="_Toc296503173"/>
      <w:bookmarkStart w:id="792" w:name="_Toc296891001"/>
      <w:bookmarkStart w:id="793" w:name="_Toc296347172"/>
      <w:bookmarkStart w:id="794" w:name="_Toc267251427"/>
      <w:bookmarkStart w:id="795" w:name="_Toc297048359"/>
      <w:bookmarkStart w:id="796" w:name="_Toc297120473"/>
      <w:r>
        <w:rPr>
          <w:rFonts w:hint="eastAsia" w:ascii="宋体" w:cs="宋体"/>
          <w:bCs w:val="0"/>
          <w:color w:val="000000" w:themeColor="text1"/>
          <w14:textFill>
            <w14:solidFill>
              <w14:schemeClr w14:val="tx1"/>
            </w14:solidFill>
          </w14:textFill>
        </w:rPr>
        <w:t>. 试验与检验</w:t>
      </w:r>
      <w:bookmarkEnd w:id="772"/>
      <w:bookmarkEnd w:id="773"/>
      <w:bookmarkEnd w:id="774"/>
      <w:bookmarkEnd w:id="775"/>
      <w:bookmarkEnd w:id="776"/>
      <w:bookmarkEnd w:id="777"/>
    </w:p>
    <w:bookmarkEnd w:id="778"/>
    <w:bookmarkEnd w:id="779"/>
    <w:bookmarkEnd w:id="780"/>
    <w:bookmarkEnd w:id="781"/>
    <w:bookmarkEnd w:id="782"/>
    <w:bookmarkEnd w:id="783"/>
    <w:bookmarkEnd w:id="784"/>
    <w:p w14:paraId="0C12E0DC">
      <w:pPr>
        <w:pStyle w:val="96"/>
        <w:spacing w:before="0" w:after="200" w:line="400" w:lineRule="exact"/>
        <w:rPr>
          <w:rFonts w:hint="eastAsia" w:ascii="宋体" w:cs="宋体"/>
          <w:bCs w:val="0"/>
          <w:color w:val="000000" w:themeColor="text1"/>
          <w14:textFill>
            <w14:solidFill>
              <w14:schemeClr w14:val="tx1"/>
            </w14:solidFill>
          </w14:textFill>
        </w:rPr>
      </w:pPr>
      <w:bookmarkStart w:id="797" w:name="_Toc173253216"/>
      <w:bookmarkStart w:id="798" w:name="_Toc520505886"/>
      <w:bookmarkStart w:id="799" w:name="_Toc8572"/>
      <w:bookmarkStart w:id="800" w:name="_Toc406522257"/>
      <w:bookmarkStart w:id="801" w:name="_Toc185770468"/>
      <w:r>
        <w:rPr>
          <w:rFonts w:hint="eastAsia" w:ascii="宋体" w:cs="宋体"/>
          <w:bCs w:val="0"/>
          <w:color w:val="000000" w:themeColor="text1"/>
          <w14:textFill>
            <w14:solidFill>
              <w14:schemeClr w14:val="tx1"/>
            </w14:solidFill>
          </w14:textFill>
        </w:rPr>
        <w:t>9</w:t>
      </w:r>
      <w:bookmarkStart w:id="802" w:name="_Toc300934983"/>
      <w:bookmarkStart w:id="803" w:name="_Toc297123534"/>
      <w:bookmarkStart w:id="804" w:name="_Toc303539140"/>
      <w:bookmarkStart w:id="805" w:name="_Toc304295560"/>
      <w:bookmarkStart w:id="806" w:name="_Toc312678022"/>
      <w:bookmarkStart w:id="807" w:name="_Toc297216193"/>
      <w:bookmarkStart w:id="808" w:name="_Toc312677496"/>
      <w:r>
        <w:rPr>
          <w:rFonts w:hint="eastAsia" w:ascii="宋体" w:cs="宋体"/>
          <w:bCs w:val="0"/>
          <w:color w:val="000000" w:themeColor="text1"/>
          <w14:textFill>
            <w14:solidFill>
              <w14:schemeClr w14:val="tx1"/>
            </w14:solidFill>
          </w14:textFill>
        </w:rPr>
        <w:t>.1试验设备与试验人员</w:t>
      </w:r>
      <w:bookmarkEnd w:id="797"/>
      <w:bookmarkEnd w:id="798"/>
      <w:bookmarkEnd w:id="799"/>
      <w:bookmarkEnd w:id="800"/>
      <w:bookmarkEnd w:id="801"/>
    </w:p>
    <w:bookmarkEnd w:id="802"/>
    <w:bookmarkEnd w:id="803"/>
    <w:bookmarkEnd w:id="804"/>
    <w:bookmarkEnd w:id="805"/>
    <w:bookmarkEnd w:id="806"/>
    <w:bookmarkEnd w:id="807"/>
    <w:bookmarkEnd w:id="808"/>
    <w:p w14:paraId="5030AB7F">
      <w:pPr>
        <w:pStyle w:val="102"/>
        <w:spacing w:line="400" w:lineRule="exact"/>
        <w:rPr>
          <w:rFonts w:hint="eastAsia"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9</w:t>
      </w:r>
      <w:bookmarkStart w:id="809" w:name="_Toc297123535"/>
      <w:bookmarkStart w:id="810" w:name="_Toc297216194"/>
      <w:bookmarkStart w:id="811" w:name="_Toc303539141"/>
      <w:bookmarkStart w:id="812" w:name="_Toc312677497"/>
      <w:bookmarkStart w:id="813" w:name="_Toc312678023"/>
      <w:bookmarkStart w:id="814" w:name="_Toc300934984"/>
      <w:bookmarkStart w:id="815" w:name="_Toc304295561"/>
      <w:bookmarkStart w:id="816" w:name="_Toc318581174"/>
      <w:r>
        <w:rPr>
          <w:rFonts w:hint="eastAsia" w:ascii="宋体" w:hAnsi="宋体" w:cs="宋体"/>
          <w:color w:val="000000" w:themeColor="text1"/>
          <w14:textFill>
            <w14:solidFill>
              <w14:schemeClr w14:val="tx1"/>
            </w14:solidFill>
          </w14:textFill>
        </w:rPr>
        <w:t>.1.2 试验设备</w:t>
      </w:r>
    </w:p>
    <w:p w14:paraId="48196283">
      <w:pPr>
        <w:pStyle w:val="102"/>
        <w:spacing w:line="400" w:lineRule="exact"/>
        <w:rPr>
          <w:rFonts w:hint="eastAsia"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施工现场需要配置的试验场所：</w:t>
      </w:r>
      <w:bookmarkEnd w:id="809"/>
      <w:bookmarkEnd w:id="810"/>
      <w:bookmarkEnd w:id="811"/>
      <w:bookmarkEnd w:id="812"/>
      <w:bookmarkEnd w:id="813"/>
      <w:bookmarkEnd w:id="814"/>
      <w:bookmarkEnd w:id="815"/>
      <w:bookmarkStart w:id="817" w:name="_Toc312678024"/>
      <w:bookmarkStart w:id="818" w:name="_Toc300934985"/>
      <w:bookmarkStart w:id="819" w:name="_Toc297123536"/>
      <w:bookmarkStart w:id="820" w:name="_Toc303539142"/>
      <w:bookmarkStart w:id="821" w:name="_Toc304295562"/>
      <w:bookmarkStart w:id="822" w:name="_Toc312677498"/>
      <w:bookmarkStart w:id="823" w:name="_Toc297216195"/>
      <w:r>
        <w:rPr>
          <w:rFonts w:hint="eastAsia" w:ascii="宋体" w:hAnsi="宋体" w:cs="宋体"/>
          <w:color w:val="000000" w:themeColor="text1"/>
          <w:u w:val="single"/>
          <w14:textFill>
            <w14:solidFill>
              <w14:schemeClr w14:val="tx1"/>
            </w14:solidFill>
          </w14:textFill>
        </w:rPr>
        <w:t xml:space="preserve">     /     </w:t>
      </w:r>
      <w:r>
        <w:rPr>
          <w:rFonts w:hint="eastAsia" w:ascii="宋体" w:hAnsi="宋体" w:cs="宋体"/>
          <w:color w:val="000000" w:themeColor="text1"/>
          <w14:textFill>
            <w14:solidFill>
              <w14:schemeClr w14:val="tx1"/>
            </w14:solidFill>
          </w14:textFill>
        </w:rPr>
        <w:t xml:space="preserve">。 </w:t>
      </w:r>
    </w:p>
    <w:p w14:paraId="7668B35F">
      <w:pPr>
        <w:pStyle w:val="102"/>
        <w:spacing w:line="400" w:lineRule="exact"/>
        <w:rPr>
          <w:rFonts w:hint="eastAsia"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施工现场需要配备的试验设备：</w:t>
      </w:r>
      <w:r>
        <w:rPr>
          <w:rFonts w:hint="eastAsia" w:ascii="宋体" w:hAnsi="宋体" w:cs="宋体"/>
          <w:color w:val="000000" w:themeColor="text1"/>
          <w:u w:val="single"/>
          <w14:textFill>
            <w14:solidFill>
              <w14:schemeClr w14:val="tx1"/>
            </w14:solidFill>
          </w14:textFill>
        </w:rPr>
        <w:t xml:space="preserve">     /     </w:t>
      </w:r>
      <w:r>
        <w:rPr>
          <w:rFonts w:hint="eastAsia" w:ascii="宋体" w:hAnsi="宋体" w:cs="宋体"/>
          <w:color w:val="000000" w:themeColor="text1"/>
          <w14:textFill>
            <w14:solidFill>
              <w14:schemeClr w14:val="tx1"/>
            </w14:solidFill>
          </w14:textFill>
        </w:rPr>
        <w:t>。</w:t>
      </w:r>
    </w:p>
    <w:p w14:paraId="7763FE6E">
      <w:pPr>
        <w:pStyle w:val="102"/>
        <w:spacing w:line="400" w:lineRule="exact"/>
        <w:rPr>
          <w:rFonts w:hint="eastAsia"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施工现场需要具备的其他试验条件：</w:t>
      </w:r>
      <w:r>
        <w:rPr>
          <w:rFonts w:hint="eastAsia" w:ascii="宋体" w:hAnsi="宋体" w:cs="宋体"/>
          <w:color w:val="000000" w:themeColor="text1"/>
          <w:u w:val="single"/>
          <w14:textFill>
            <w14:solidFill>
              <w14:schemeClr w14:val="tx1"/>
            </w14:solidFill>
          </w14:textFill>
        </w:rPr>
        <w:t xml:space="preserve">     /     </w:t>
      </w:r>
      <w:r>
        <w:rPr>
          <w:rFonts w:hint="eastAsia" w:ascii="宋体" w:hAnsi="宋体" w:cs="宋体"/>
          <w:color w:val="000000" w:themeColor="text1"/>
          <w14:textFill>
            <w14:solidFill>
              <w14:schemeClr w14:val="tx1"/>
            </w14:solidFill>
          </w14:textFill>
        </w:rPr>
        <w:t>。</w:t>
      </w:r>
    </w:p>
    <w:p w14:paraId="17E455E9">
      <w:pPr>
        <w:pStyle w:val="96"/>
        <w:spacing w:before="0" w:after="200" w:line="400" w:lineRule="exact"/>
        <w:rPr>
          <w:rFonts w:hint="eastAsia" w:ascii="宋体" w:cs="宋体"/>
          <w:bCs w:val="0"/>
          <w:color w:val="000000" w:themeColor="text1"/>
          <w14:textFill>
            <w14:solidFill>
              <w14:schemeClr w14:val="tx1"/>
            </w14:solidFill>
          </w14:textFill>
        </w:rPr>
      </w:pPr>
      <w:bookmarkStart w:id="824" w:name="_Toc23496"/>
      <w:bookmarkStart w:id="825" w:name="_Toc173253217"/>
      <w:bookmarkStart w:id="826" w:name="_Toc185770469"/>
      <w:bookmarkStart w:id="827" w:name="_Toc406522258"/>
      <w:bookmarkStart w:id="828" w:name="_Toc520505887"/>
      <w:r>
        <w:rPr>
          <w:rFonts w:hint="eastAsia" w:ascii="宋体" w:cs="宋体"/>
          <w:bCs w:val="0"/>
          <w:color w:val="000000" w:themeColor="text1"/>
          <w14:textFill>
            <w14:solidFill>
              <w14:schemeClr w14:val="tx1"/>
            </w14:solidFill>
          </w14:textFill>
        </w:rPr>
        <w:t>9.4 现场工艺试验</w:t>
      </w:r>
      <w:bookmarkEnd w:id="824"/>
      <w:bookmarkEnd w:id="825"/>
      <w:bookmarkEnd w:id="826"/>
      <w:bookmarkEnd w:id="827"/>
      <w:bookmarkEnd w:id="828"/>
      <w:r>
        <w:rPr>
          <w:rFonts w:hint="eastAsia" w:ascii="宋体" w:cs="宋体"/>
          <w:bCs w:val="0"/>
          <w:color w:val="000000" w:themeColor="text1"/>
          <w14:textFill>
            <w14:solidFill>
              <w14:schemeClr w14:val="tx1"/>
            </w14:solidFill>
          </w14:textFill>
        </w:rPr>
        <w:t xml:space="preserve"> </w:t>
      </w:r>
    </w:p>
    <w:p w14:paraId="0BF9BF17">
      <w:pPr>
        <w:pStyle w:val="102"/>
        <w:spacing w:line="400" w:lineRule="exact"/>
        <w:rPr>
          <w:rFonts w:hint="eastAsia"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现场工艺试验的有关约定：</w:t>
      </w:r>
      <w:r>
        <w:rPr>
          <w:rFonts w:hint="eastAsia" w:ascii="宋体" w:hAnsi="宋体" w:cs="宋体"/>
          <w:color w:val="000000" w:themeColor="text1"/>
          <w:u w:val="single"/>
          <w14:textFill>
            <w14:solidFill>
              <w14:schemeClr w14:val="tx1"/>
            </w14:solidFill>
          </w14:textFill>
        </w:rPr>
        <w:t xml:space="preserve">     /     </w:t>
      </w:r>
      <w:r>
        <w:rPr>
          <w:rFonts w:hint="eastAsia" w:ascii="宋体" w:hAnsi="宋体" w:cs="宋体"/>
          <w:color w:val="000000" w:themeColor="text1"/>
          <w14:textFill>
            <w14:solidFill>
              <w14:schemeClr w14:val="tx1"/>
            </w14:solidFill>
          </w14:textFill>
        </w:rPr>
        <w:t>。</w:t>
      </w:r>
    </w:p>
    <w:p w14:paraId="05223AFF">
      <w:pPr>
        <w:pStyle w:val="96"/>
        <w:spacing w:before="0" w:after="200" w:line="400" w:lineRule="exact"/>
        <w:rPr>
          <w:rFonts w:hint="eastAsia" w:ascii="宋体" w:cs="宋体"/>
          <w:bCs w:val="0"/>
          <w:color w:val="000000" w:themeColor="text1"/>
          <w14:textFill>
            <w14:solidFill>
              <w14:schemeClr w14:val="tx1"/>
            </w14:solidFill>
          </w14:textFill>
        </w:rPr>
      </w:pPr>
      <w:bookmarkStart w:id="829" w:name="_Toc520505888"/>
      <w:bookmarkStart w:id="830" w:name="_Toc406420990"/>
      <w:bookmarkStart w:id="831" w:name="_Toc395382541"/>
      <w:bookmarkStart w:id="832" w:name="_Toc406522259"/>
      <w:bookmarkStart w:id="833" w:name="_Toc185770470"/>
      <w:bookmarkStart w:id="834" w:name="_Toc26392"/>
      <w:bookmarkStart w:id="835" w:name="_Toc173253218"/>
      <w:r>
        <w:rPr>
          <w:rFonts w:hint="eastAsia" w:ascii="宋体" w:cs="宋体"/>
          <w:bCs w:val="0"/>
          <w:color w:val="000000" w:themeColor="text1"/>
          <w14:textFill>
            <w14:solidFill>
              <w14:schemeClr w14:val="tx1"/>
            </w14:solidFill>
          </w14:textFill>
        </w:rPr>
        <w:t>9.5 检验费用</w:t>
      </w:r>
      <w:bookmarkEnd w:id="829"/>
      <w:bookmarkEnd w:id="830"/>
      <w:bookmarkEnd w:id="831"/>
      <w:bookmarkEnd w:id="832"/>
      <w:bookmarkEnd w:id="833"/>
      <w:bookmarkEnd w:id="834"/>
      <w:bookmarkEnd w:id="835"/>
    </w:p>
    <w:p w14:paraId="2D6CBCB1">
      <w:pPr>
        <w:spacing w:line="400" w:lineRule="exact"/>
        <w:ind w:firstLine="411" w:firstLineChars="196"/>
        <w:rPr>
          <w:rFonts w:hint="eastAsia" w:ascii="宋体" w:hAnsi="宋体" w:cs="宋体"/>
          <w:color w:val="000000" w:themeColor="text1"/>
          <w:u w:val="single"/>
          <w14:textFill>
            <w14:solidFill>
              <w14:schemeClr w14:val="tx1"/>
            </w14:solidFill>
          </w14:textFill>
        </w:rPr>
      </w:pPr>
      <w:r>
        <w:rPr>
          <w:rFonts w:hAnsi="宋体"/>
          <w:color w:val="000000" w:themeColor="text1"/>
          <w:sz w:val="21"/>
          <w:szCs w:val="21"/>
          <w:highlight w:val="none"/>
          <w:u w:val="single"/>
          <w14:textFill>
            <w14:solidFill>
              <w14:schemeClr w14:val="tx1"/>
            </w14:solidFill>
          </w14:textFill>
        </w:rPr>
        <w:t>根据</w:t>
      </w:r>
      <w:r>
        <w:rPr>
          <w:rFonts w:hint="eastAsia" w:hAnsi="宋体"/>
          <w:color w:val="000000" w:themeColor="text1"/>
          <w:sz w:val="21"/>
          <w:szCs w:val="21"/>
          <w:highlight w:val="none"/>
          <w:u w:val="single"/>
          <w14:textFill>
            <w14:solidFill>
              <w14:schemeClr w14:val="tx1"/>
            </w14:solidFill>
          </w14:textFill>
        </w:rPr>
        <w:t>《建设工程质量检测管理办法》（住房和城乡建设部令第57号）</w:t>
      </w:r>
      <w:r>
        <w:rPr>
          <w:rFonts w:hAnsi="宋体"/>
          <w:color w:val="000000" w:themeColor="text1"/>
          <w:sz w:val="21"/>
          <w:szCs w:val="21"/>
          <w:highlight w:val="none"/>
          <w:u w:val="single"/>
          <w14:textFill>
            <w14:solidFill>
              <w14:schemeClr w14:val="tx1"/>
            </w14:solidFill>
          </w14:textFill>
        </w:rPr>
        <w:t>以及</w:t>
      </w:r>
      <w:r>
        <w:rPr>
          <w:rFonts w:hint="eastAsia" w:hAnsi="宋体"/>
          <w:color w:val="000000" w:themeColor="text1"/>
          <w:sz w:val="21"/>
          <w:szCs w:val="21"/>
          <w:highlight w:val="none"/>
          <w:u w:val="single"/>
          <w:lang w:val="en-US" w:eastAsia="zh-CN"/>
          <w14:textFill>
            <w14:solidFill>
              <w14:schemeClr w14:val="tx1"/>
            </w14:solidFill>
          </w14:textFill>
        </w:rPr>
        <w:t>《广西壮族自治区建设工程质量检测管理实施细则》（桂建发〔2025〕5号）</w:t>
      </w:r>
      <w:r>
        <w:rPr>
          <w:rFonts w:hint="eastAsia" w:ascii="宋体" w:hAnsi="宋体" w:cs="宋体"/>
          <w:color w:val="000000" w:themeColor="text1"/>
          <w:u w:val="single"/>
          <w14:textFill>
            <w14:solidFill>
              <w14:schemeClr w14:val="tx1"/>
            </w14:solidFill>
          </w14:textFill>
        </w:rPr>
        <w:t>规定，工程质量检测业务由采购人委托有相应资质的检测机构检测。费用从采购人的项目建设经费中支出并直接支付给检测机构，不计入合同价款内。</w:t>
      </w:r>
    </w:p>
    <w:p w14:paraId="1B7634D5">
      <w:pPr>
        <w:spacing w:line="400" w:lineRule="exact"/>
        <w:ind w:firstLine="411" w:firstLineChars="196"/>
        <w:rPr>
          <w:rFonts w:hint="eastAsia" w:ascii="宋体" w:hAnsi="宋体" w:cs="宋体"/>
          <w:color w:val="000000" w:themeColor="text1"/>
          <w:u w:val="single"/>
          <w14:textFill>
            <w14:solidFill>
              <w14:schemeClr w14:val="tx1"/>
            </w14:solidFill>
          </w14:textFill>
        </w:rPr>
      </w:pPr>
      <w:r>
        <w:rPr>
          <w:rFonts w:hint="eastAsia" w:ascii="宋体" w:hAnsi="宋体" w:cs="宋体"/>
          <w:color w:val="000000" w:themeColor="text1"/>
          <w:u w:val="single"/>
          <w14:textFill>
            <w14:solidFill>
              <w14:schemeClr w14:val="tx1"/>
            </w14:solidFill>
          </w14:textFill>
        </w:rPr>
        <w:t>承包人应主动提供各材料合格证及与工程质量合格的各种相关检测或实验报告（包括拉拔实验、桩基检测、竣工后室内空气质量检测报告等），检测程序严格按照国家相关规范执行，各检测或实验费用由发包人承担。发包人对其提出质疑要求复检的，若复检合格，复检试验费由发包人负责；复检不合格的，承包人不但要承担该项复检前后各次检测费，同时还应承担按施工规范进行整改及复检的一切费用，直至检测合格。</w:t>
      </w:r>
    </w:p>
    <w:bookmarkEnd w:id="816"/>
    <w:bookmarkEnd w:id="817"/>
    <w:bookmarkEnd w:id="818"/>
    <w:bookmarkEnd w:id="819"/>
    <w:bookmarkEnd w:id="820"/>
    <w:bookmarkEnd w:id="821"/>
    <w:bookmarkEnd w:id="822"/>
    <w:bookmarkEnd w:id="823"/>
    <w:p w14:paraId="03465D08">
      <w:pPr>
        <w:pStyle w:val="96"/>
        <w:spacing w:before="0" w:after="200" w:line="400" w:lineRule="exact"/>
        <w:rPr>
          <w:rFonts w:hint="eastAsia" w:ascii="宋体" w:cs="宋体"/>
          <w:bCs w:val="0"/>
          <w:color w:val="000000" w:themeColor="text1"/>
          <w14:textFill>
            <w14:solidFill>
              <w14:schemeClr w14:val="tx1"/>
            </w14:solidFill>
          </w14:textFill>
        </w:rPr>
      </w:pPr>
      <w:bookmarkStart w:id="836" w:name="_Toc520505889"/>
      <w:bookmarkStart w:id="837" w:name="_Toc173253219"/>
      <w:bookmarkStart w:id="838" w:name="_Toc406522260"/>
      <w:bookmarkStart w:id="839" w:name="_Toc185770471"/>
      <w:bookmarkStart w:id="840" w:name="_Toc4161"/>
      <w:bookmarkStart w:id="841" w:name="_Toc351203642"/>
      <w:r>
        <w:rPr>
          <w:rFonts w:hint="eastAsia" w:ascii="宋体" w:cs="宋体"/>
          <w:bCs w:val="0"/>
          <w:color w:val="000000" w:themeColor="text1"/>
          <w14:textFill>
            <w14:solidFill>
              <w14:schemeClr w14:val="tx1"/>
            </w14:solidFill>
          </w14:textFill>
        </w:rPr>
        <w:t>1</w:t>
      </w:r>
      <w:bookmarkEnd w:id="785"/>
      <w:bookmarkEnd w:id="786"/>
      <w:bookmarkEnd w:id="787"/>
      <w:bookmarkEnd w:id="788"/>
      <w:bookmarkEnd w:id="789"/>
      <w:bookmarkEnd w:id="790"/>
      <w:bookmarkEnd w:id="791"/>
      <w:bookmarkEnd w:id="792"/>
      <w:bookmarkEnd w:id="793"/>
      <w:bookmarkEnd w:id="794"/>
      <w:bookmarkEnd w:id="795"/>
      <w:bookmarkEnd w:id="796"/>
      <w:bookmarkStart w:id="842" w:name="_Toc296891233"/>
      <w:bookmarkStart w:id="843" w:name="_Toc296503193"/>
      <w:bookmarkStart w:id="844" w:name="_Toc297048379"/>
      <w:bookmarkStart w:id="845" w:name="_Toc292559903"/>
      <w:bookmarkStart w:id="846" w:name="_Toc297123540"/>
      <w:bookmarkStart w:id="847" w:name="_Toc303539146"/>
      <w:bookmarkStart w:id="848" w:name="_Toc304295566"/>
      <w:bookmarkStart w:id="849" w:name="_Toc296347192"/>
      <w:bookmarkStart w:id="850" w:name="_Toc300934989"/>
      <w:bookmarkStart w:id="851" w:name="_Toc297216199"/>
      <w:bookmarkStart w:id="852" w:name="_Toc296891021"/>
      <w:bookmarkStart w:id="853" w:name="_Toc292559398"/>
      <w:bookmarkStart w:id="854" w:name="_Toc296346694"/>
      <w:bookmarkStart w:id="855" w:name="_Toc297120493"/>
      <w:bookmarkStart w:id="856" w:name="_Toc296944532"/>
      <w:bookmarkStart w:id="857" w:name="_Toc312677499"/>
      <w:bookmarkStart w:id="858" w:name="_Toc312678025"/>
      <w:bookmarkStart w:id="859" w:name="_Toc267251441"/>
      <w:bookmarkStart w:id="860" w:name="_Toc267251437"/>
      <w:bookmarkStart w:id="861" w:name="_Toc267251435"/>
      <w:bookmarkStart w:id="862" w:name="_Toc267251433"/>
      <w:bookmarkStart w:id="863" w:name="_Toc267251439"/>
      <w:bookmarkStart w:id="864" w:name="_Toc267251440"/>
      <w:bookmarkStart w:id="865" w:name="_Toc267251442"/>
      <w:r>
        <w:rPr>
          <w:rFonts w:hint="eastAsia" w:ascii="宋体" w:cs="宋体"/>
          <w:bCs w:val="0"/>
          <w:color w:val="000000" w:themeColor="text1"/>
          <w14:textFill>
            <w14:solidFill>
              <w14:schemeClr w14:val="tx1"/>
            </w14:solidFill>
          </w14:textFill>
        </w:rPr>
        <w:t>0. 变更</w:t>
      </w:r>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p>
    <w:bookmarkEnd w:id="857"/>
    <w:bookmarkEnd w:id="858"/>
    <w:p w14:paraId="4C98C783">
      <w:pPr>
        <w:pStyle w:val="96"/>
        <w:spacing w:before="0" w:after="200" w:line="400" w:lineRule="exact"/>
        <w:rPr>
          <w:rFonts w:hint="eastAsia" w:ascii="宋体" w:cs="宋体"/>
          <w:bCs w:val="0"/>
          <w:color w:val="000000" w:themeColor="text1"/>
          <w14:textFill>
            <w14:solidFill>
              <w14:schemeClr w14:val="tx1"/>
            </w14:solidFill>
          </w14:textFill>
        </w:rPr>
      </w:pPr>
      <w:bookmarkStart w:id="866" w:name="_Toc406522261"/>
      <w:bookmarkStart w:id="867" w:name="_Toc185770472"/>
      <w:bookmarkStart w:id="868" w:name="_Toc1645"/>
      <w:bookmarkStart w:id="869" w:name="_Toc520505890"/>
      <w:bookmarkStart w:id="870" w:name="_Toc173253220"/>
      <w:r>
        <w:rPr>
          <w:rFonts w:hint="eastAsia" w:ascii="宋体" w:cs="宋体"/>
          <w:bCs w:val="0"/>
          <w:color w:val="000000" w:themeColor="text1"/>
          <w14:textFill>
            <w14:solidFill>
              <w14:schemeClr w14:val="tx1"/>
            </w14:solidFill>
          </w14:textFill>
        </w:rPr>
        <w:t>1</w:t>
      </w:r>
      <w:bookmarkStart w:id="871" w:name="_Toc292559904"/>
      <w:bookmarkStart w:id="872" w:name="_Toc303539147"/>
      <w:bookmarkStart w:id="873" w:name="_Toc312678026"/>
      <w:bookmarkStart w:id="874" w:name="_Toc296944533"/>
      <w:bookmarkStart w:id="875" w:name="_Toc296503194"/>
      <w:bookmarkStart w:id="876" w:name="_Toc304295567"/>
      <w:bookmarkStart w:id="877" w:name="_Toc296347193"/>
      <w:bookmarkStart w:id="878" w:name="_Toc296891022"/>
      <w:bookmarkStart w:id="879" w:name="_Toc292559399"/>
      <w:bookmarkStart w:id="880" w:name="_Toc297120494"/>
      <w:bookmarkStart w:id="881" w:name="_Toc297216200"/>
      <w:bookmarkStart w:id="882" w:name="_Toc296891234"/>
      <w:bookmarkStart w:id="883" w:name="_Toc297048380"/>
      <w:bookmarkStart w:id="884" w:name="_Toc297123541"/>
      <w:bookmarkStart w:id="885" w:name="_Toc300934990"/>
      <w:bookmarkStart w:id="886" w:name="_Toc312677500"/>
      <w:bookmarkStart w:id="887" w:name="_Toc296346695"/>
      <w:r>
        <w:rPr>
          <w:rFonts w:hint="eastAsia" w:ascii="宋体" w:cs="宋体"/>
          <w:bCs w:val="0"/>
          <w:color w:val="000000" w:themeColor="text1"/>
          <w14:textFill>
            <w14:solidFill>
              <w14:schemeClr w14:val="tx1"/>
            </w14:solidFill>
          </w14:textFill>
        </w:rPr>
        <w:t>0.1变更的范围</w:t>
      </w:r>
      <w:bookmarkEnd w:id="866"/>
      <w:bookmarkEnd w:id="867"/>
      <w:bookmarkEnd w:id="868"/>
      <w:bookmarkEnd w:id="869"/>
      <w:bookmarkEnd w:id="870"/>
    </w:p>
    <w:p w14:paraId="79F2265B">
      <w:pPr>
        <w:pStyle w:val="102"/>
        <w:spacing w:line="400" w:lineRule="exact"/>
        <w:rPr>
          <w:rFonts w:hint="eastAsia"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关于变更的范围的约定：</w:t>
      </w:r>
      <w:r>
        <w:rPr>
          <w:rFonts w:hint="eastAsia" w:ascii="宋体" w:hAnsi="宋体" w:cs="宋体"/>
          <w:color w:val="000000" w:themeColor="text1"/>
          <w:u w:val="single"/>
          <w14:textFill>
            <w14:solidFill>
              <w14:schemeClr w14:val="tx1"/>
            </w14:solidFill>
          </w14:textFill>
        </w:rPr>
        <w:t xml:space="preserve">施工期间因不可预见因素或发包人要求所发生的工程量增减（由变更、签证产生），其工程量按实际发生并经监理工程师及发包人签证认可，工程变更综合单价按专用条款第10.4点规定执行 </w:t>
      </w:r>
      <w:r>
        <w:rPr>
          <w:rFonts w:hint="eastAsia" w:ascii="宋体" w:hAnsi="宋体" w:cs="宋体"/>
          <w:color w:val="000000" w:themeColor="text1"/>
          <w14:textFill>
            <w14:solidFill>
              <w14:schemeClr w14:val="tx1"/>
            </w14:solidFill>
          </w14:textFill>
        </w:rPr>
        <w:t>。</w:t>
      </w:r>
    </w:p>
    <w:p w14:paraId="4535AAAC">
      <w:pPr>
        <w:pStyle w:val="96"/>
        <w:spacing w:before="0" w:after="200" w:line="400" w:lineRule="exact"/>
        <w:rPr>
          <w:rFonts w:hint="eastAsia" w:ascii="宋体" w:cs="宋体"/>
          <w:bCs w:val="0"/>
          <w:color w:val="000000" w:themeColor="text1"/>
          <w14:textFill>
            <w14:solidFill>
              <w14:schemeClr w14:val="tx1"/>
            </w14:solidFill>
          </w14:textFill>
        </w:rPr>
      </w:pPr>
      <w:bookmarkStart w:id="888" w:name="_Toc389065307"/>
      <w:bookmarkStart w:id="889" w:name="_Toc173253221"/>
      <w:bookmarkStart w:id="890" w:name="_Toc5665"/>
      <w:bookmarkStart w:id="891" w:name="_Toc373227741"/>
      <w:bookmarkStart w:id="892" w:name="_Toc406522262"/>
      <w:bookmarkStart w:id="893" w:name="_Toc185770473"/>
      <w:bookmarkStart w:id="894" w:name="_Toc373478388"/>
      <w:bookmarkStart w:id="895" w:name="_Toc395382544"/>
      <w:bookmarkStart w:id="896" w:name="_Toc520505891"/>
      <w:r>
        <w:rPr>
          <w:rFonts w:hint="eastAsia" w:ascii="宋体" w:cs="宋体"/>
          <w:bCs w:val="0"/>
          <w:color w:val="000000" w:themeColor="text1"/>
          <w14:textFill>
            <w14:solidFill>
              <w14:schemeClr w14:val="tx1"/>
            </w14:solidFill>
          </w14:textFill>
        </w:rPr>
        <w:t>10.3 变更程序</w:t>
      </w:r>
      <w:bookmarkEnd w:id="888"/>
      <w:bookmarkEnd w:id="889"/>
      <w:bookmarkEnd w:id="890"/>
      <w:bookmarkEnd w:id="891"/>
      <w:bookmarkEnd w:id="892"/>
      <w:bookmarkEnd w:id="893"/>
      <w:bookmarkEnd w:id="894"/>
      <w:bookmarkEnd w:id="895"/>
      <w:bookmarkEnd w:id="896"/>
    </w:p>
    <w:p w14:paraId="62B2FD25">
      <w:pPr>
        <w:pStyle w:val="102"/>
        <w:spacing w:line="400" w:lineRule="exact"/>
        <w:rPr>
          <w:rFonts w:hint="eastAsia" w:ascii="宋体" w:hAnsi="宋体" w:cs="宋体"/>
          <w:bCs/>
          <w:color w:val="000000" w:themeColor="text1"/>
          <w14:textFill>
            <w14:solidFill>
              <w14:schemeClr w14:val="tx1"/>
            </w14:solidFill>
          </w14:textFill>
        </w:rPr>
      </w:pPr>
      <w:r>
        <w:rPr>
          <w:rFonts w:hint="eastAsia" w:ascii="宋体" w:hAnsi="宋体" w:cs="宋体"/>
          <w:bCs/>
          <w:color w:val="000000" w:themeColor="text1"/>
          <w14:textFill>
            <w14:solidFill>
              <w14:schemeClr w14:val="tx1"/>
            </w14:solidFill>
          </w14:textFill>
        </w:rPr>
        <w:t>10.3.1 国有投资项目：</w:t>
      </w:r>
    </w:p>
    <w:p w14:paraId="15EEFCE2">
      <w:pPr>
        <w:pStyle w:val="102"/>
        <w:spacing w:line="400" w:lineRule="exact"/>
        <w:rPr>
          <w:rFonts w:hint="eastAsia" w:ascii="宋体" w:hAnsi="宋体" w:cs="宋体"/>
          <w:bCs/>
          <w:color w:val="000000" w:themeColor="text1"/>
          <w14:textFill>
            <w14:solidFill>
              <w14:schemeClr w14:val="tx1"/>
            </w14:solidFill>
          </w14:textFill>
        </w:rPr>
      </w:pPr>
      <w:bookmarkStart w:id="897" w:name="_Toc406522263"/>
      <w:r>
        <w:rPr>
          <w:rFonts w:hint="eastAsia" w:ascii="宋体" w:hAnsi="宋体" w:cs="宋体"/>
          <w:bCs/>
          <w:color w:val="000000" w:themeColor="text1"/>
          <w14:textFill>
            <w14:solidFill>
              <w14:schemeClr w14:val="tx1"/>
            </w14:solidFill>
          </w14:textFill>
        </w:rPr>
        <w:t>⑴设计变更和工程签证，按各市政府或相关部门的规定办理。属不可抗力（自然灾害、突发事件等）造成变更的，按特事特办原则予以办理。</w:t>
      </w:r>
    </w:p>
    <w:p w14:paraId="77B4AA28">
      <w:pPr>
        <w:pStyle w:val="102"/>
        <w:spacing w:line="400" w:lineRule="exact"/>
        <w:rPr>
          <w:rFonts w:hint="eastAsia" w:ascii="宋体" w:hAnsi="宋体" w:cs="宋体"/>
          <w:bCs/>
          <w:color w:val="000000" w:themeColor="text1"/>
          <w14:textFill>
            <w14:solidFill>
              <w14:schemeClr w14:val="tx1"/>
            </w14:solidFill>
          </w14:textFill>
        </w:rPr>
      </w:pPr>
      <w:r>
        <w:rPr>
          <w:rFonts w:hint="eastAsia" w:ascii="宋体" w:hAnsi="宋体" w:cs="宋体"/>
          <w:bCs/>
          <w:color w:val="000000" w:themeColor="text1"/>
          <w14:textFill>
            <w14:solidFill>
              <w14:schemeClr w14:val="tx1"/>
            </w14:solidFill>
          </w14:textFill>
        </w:rPr>
        <w:t>⑵发包人在实施项目过程中，若发生单价变动，由发包人、监理单位、承包人及其他相关单位共同商定并签字确认。</w:t>
      </w:r>
    </w:p>
    <w:p w14:paraId="710ACC6D">
      <w:pPr>
        <w:pStyle w:val="102"/>
        <w:spacing w:line="400" w:lineRule="exact"/>
        <w:rPr>
          <w:rFonts w:hint="eastAsia" w:ascii="宋体" w:hAnsi="宋体" w:cs="宋体"/>
          <w:bCs/>
          <w:color w:val="000000" w:themeColor="text1"/>
          <w14:textFill>
            <w14:solidFill>
              <w14:schemeClr w14:val="tx1"/>
            </w14:solidFill>
          </w14:textFill>
        </w:rPr>
      </w:pPr>
      <w:r>
        <w:rPr>
          <w:rFonts w:hint="eastAsia" w:ascii="宋体" w:hAnsi="宋体" w:cs="宋体"/>
          <w:bCs/>
          <w:color w:val="000000" w:themeColor="text1"/>
          <w14:textFill>
            <w14:solidFill>
              <w14:schemeClr w14:val="tx1"/>
            </w14:solidFill>
          </w14:textFill>
        </w:rPr>
        <w:t>⑶ 当合同规定的合同价款调整情况发生后，承包人未在规定时间内通知发包人，或者未在规定时间内提出调整报告，发包人可以根据有关资料，决定是否调整和调整的金额，并书面通知承包人。</w:t>
      </w:r>
    </w:p>
    <w:p w14:paraId="4D2D87C1">
      <w:pPr>
        <w:spacing w:line="400" w:lineRule="exact"/>
        <w:ind w:firstLine="420" w:firstLineChars="200"/>
        <w:rPr>
          <w:rFonts w:hint="eastAsia"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10.3.3发包人在施工中提出的合理施工变更工作联系函发出后，3个工作日内承包人必须给出明确答复，承包人应在双方约定时间内出具变更方案及预算。如因承包人无正当理由延误变更，或不及时给予明确答复的，因此所延误的时间发包人将书面记录，作为今后处罚承包人延误工期的依据。</w:t>
      </w:r>
    </w:p>
    <w:p w14:paraId="0C14E459">
      <w:pPr>
        <w:spacing w:line="400" w:lineRule="exact"/>
        <w:ind w:firstLine="420" w:firstLineChars="200"/>
        <w:rPr>
          <w:rFonts w:hint="eastAsia"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10.3.4单个变更项目超过1万元的必须在该项施工前至少提前一周书面将施工方案和预算交付发包人。</w:t>
      </w:r>
    </w:p>
    <w:p w14:paraId="55FC01CD">
      <w:pPr>
        <w:spacing w:line="400" w:lineRule="exact"/>
        <w:ind w:firstLine="420" w:firstLineChars="200"/>
        <w:rPr>
          <w:rFonts w:hint="eastAsia"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10.3.5需签证的项目承包人必须在完成该签证项目后三周内完成签证单及原始记录，尤其是隐蔽工程必须尽快完成原始数据的记录和确认，逾期无法核实的承包人应承担一切费用及相应责任。</w:t>
      </w:r>
    </w:p>
    <w:p w14:paraId="04A4F356">
      <w:pPr>
        <w:pStyle w:val="102"/>
        <w:spacing w:line="400" w:lineRule="exact"/>
        <w:rPr>
          <w:rFonts w:hint="eastAsia" w:ascii="宋体" w:hAnsi="宋体" w:cs="宋体"/>
          <w:bCs/>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10.3.6施工中凡实际工程量预计超出预算工程量5%（含5%）以上的各项施工内容，承包人均需在此项施工前以书面材料形式向发包人报备，并在施工完成后15天内组织发包人及监理等相关人员现场计量并做好原始记录，否则在工程结算中发包人有权不予认可工程量超出预算工程量的部分。</w:t>
      </w:r>
    </w:p>
    <w:p w14:paraId="718B44FC">
      <w:pPr>
        <w:pStyle w:val="96"/>
        <w:spacing w:before="0" w:after="200" w:line="400" w:lineRule="exact"/>
        <w:rPr>
          <w:rFonts w:hint="eastAsia" w:ascii="宋体" w:cs="宋体"/>
          <w:bCs w:val="0"/>
          <w:color w:val="000000" w:themeColor="text1"/>
          <w14:textFill>
            <w14:solidFill>
              <w14:schemeClr w14:val="tx1"/>
            </w14:solidFill>
          </w14:textFill>
        </w:rPr>
      </w:pPr>
      <w:bookmarkStart w:id="898" w:name="_Toc31438"/>
      <w:bookmarkStart w:id="899" w:name="_Toc173253222"/>
      <w:bookmarkStart w:id="900" w:name="_Toc185770474"/>
      <w:bookmarkStart w:id="901" w:name="_Toc520505892"/>
      <w:r>
        <w:rPr>
          <w:rFonts w:hint="eastAsia" w:ascii="宋体" w:cs="宋体"/>
          <w:bCs w:val="0"/>
          <w:color w:val="000000" w:themeColor="text1"/>
          <w14:textFill>
            <w14:solidFill>
              <w14:schemeClr w14:val="tx1"/>
            </w14:solidFill>
          </w14:textFill>
        </w:rPr>
        <w:t>10.4 变更估价</w:t>
      </w:r>
      <w:bookmarkEnd w:id="897"/>
      <w:bookmarkEnd w:id="898"/>
      <w:bookmarkEnd w:id="899"/>
      <w:bookmarkEnd w:id="900"/>
      <w:bookmarkEnd w:id="901"/>
    </w:p>
    <w:p w14:paraId="470B47CF">
      <w:pPr>
        <w:spacing w:line="400" w:lineRule="exact"/>
        <w:ind w:firstLine="420" w:firstLineChars="200"/>
        <w:rPr>
          <w:rFonts w:hint="eastAsia"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 xml:space="preserve">10.4.1 变更估价原则: </w:t>
      </w:r>
      <w:r>
        <w:rPr>
          <w:rFonts w:hint="eastAsia" w:ascii="宋体" w:hAnsi="宋体" w:cs="宋体"/>
          <w:bCs/>
          <w:color w:val="000000" w:themeColor="text1"/>
          <w:u w:val="single"/>
          <w14:textFill>
            <w14:solidFill>
              <w14:schemeClr w14:val="tx1"/>
            </w14:solidFill>
          </w14:textFill>
        </w:rPr>
        <w:t>因设计变更、相关签证和工程量清单错误引起工程项目、工程量任何变化的，招标工程量清单错项漏项，变更合同价款按下列方法进行：（1）合同中已有相同项目的，按合同该项目价格进行计算；（2）合同中只有类似项目的，参照该类似项目价格进行计算；（3）合同中没有适用或类似子目的价格计算方法：有定额的套本合同签订时广西施行的定额（费率取中值）及相关文件规定，并乘以下浮系数【（公布的工程招标控制价-中标价）/公布的工程招标控制价】计算，其中材料价格按施工期间的《桂林市建设工程造价信息》相应价格信息进行计算；《桂林市建设工程造价信息》没有相应价格信息的，按市场价计算，市场价由发包人、承包人、监理人三方签证确认；无定额可套的，根据市场价格协商后，通过签证确定综合价格；新增项目的单价必须报监理单位审核，并报有相应资质的第三方审查认可后最终由发包人确认</w:t>
      </w:r>
      <w:r>
        <w:rPr>
          <w:rFonts w:hint="eastAsia" w:ascii="宋体" w:hAnsi="宋体" w:cs="宋体"/>
          <w:color w:val="000000" w:themeColor="text1"/>
          <w14:textFill>
            <w14:solidFill>
              <w14:schemeClr w14:val="tx1"/>
            </w14:solidFill>
          </w14:textFill>
        </w:rPr>
        <w:t>。</w:t>
      </w:r>
    </w:p>
    <w:p w14:paraId="361879DE">
      <w:pPr>
        <w:spacing w:line="400" w:lineRule="exact"/>
        <w:ind w:firstLine="420" w:firstLineChars="200"/>
        <w:rPr>
          <w:rFonts w:hint="eastAsia" w:ascii="宋体" w:hAnsi="宋体" w:cs="宋体"/>
          <w:color w:val="000000" w:themeColor="text1"/>
          <w14:textFill>
            <w14:solidFill>
              <w14:schemeClr w14:val="tx1"/>
            </w14:solidFill>
          </w14:textFill>
        </w:rPr>
      </w:pPr>
      <w:r>
        <w:rPr>
          <w:rFonts w:hint="eastAsia" w:ascii="宋体" w:hAnsi="宋体" w:cs="宋体"/>
          <w:color w:val="000000" w:themeColor="text1"/>
          <w:u w:val="single"/>
          <w14:textFill>
            <w14:solidFill>
              <w14:schemeClr w14:val="tx1"/>
            </w14:solidFill>
          </w14:textFill>
        </w:rPr>
        <w:t>本工程最终结算以有相应资质的第三方审查认可后最终由发包人确认的金额为准。</w:t>
      </w:r>
    </w:p>
    <w:p w14:paraId="0326C24D">
      <w:pPr>
        <w:spacing w:line="400" w:lineRule="exact"/>
        <w:ind w:firstLine="420" w:firstLineChars="200"/>
        <w:rPr>
          <w:rFonts w:hint="eastAsia" w:ascii="宋体" w:hAnsi="宋体" w:cs="宋体"/>
          <w:color w:val="000000" w:themeColor="text1"/>
          <w:u w:val="single"/>
          <w14:textFill>
            <w14:solidFill>
              <w14:schemeClr w14:val="tx1"/>
            </w14:solidFill>
          </w14:textFill>
        </w:rPr>
      </w:pPr>
      <w:r>
        <w:rPr>
          <w:rFonts w:hint="eastAsia" w:ascii="宋体" w:hAnsi="宋体" w:cs="宋体"/>
          <w:color w:val="000000" w:themeColor="text1"/>
          <w14:textFill>
            <w14:solidFill>
              <w14:schemeClr w14:val="tx1"/>
            </w14:solidFill>
          </w14:textFill>
        </w:rPr>
        <w:t>工程变更导致实际完成的变更工程量与已标价清单或预算书中列明的该项目工程量有偏差时，其综合单价的确定按专用条款“1.13工程量清单错误的修正”执行。</w:t>
      </w:r>
    </w:p>
    <w:p w14:paraId="0F862829">
      <w:pPr>
        <w:pStyle w:val="102"/>
        <w:spacing w:line="400" w:lineRule="exact"/>
        <w:rPr>
          <w:rFonts w:hint="eastAsia" w:ascii="宋体" w:hAnsi="宋体" w:cs="宋体"/>
          <w:b/>
          <w:color w:val="000000" w:themeColor="text1"/>
          <w:spacing w:val="-47"/>
          <w:position w:val="-2"/>
          <w:u w:val="single"/>
          <w14:textFill>
            <w14:solidFill>
              <w14:schemeClr w14:val="tx1"/>
            </w14:solidFill>
          </w14:textFill>
        </w:rPr>
      </w:pPr>
      <w:r>
        <w:rPr>
          <w:rFonts w:hint="eastAsia" w:ascii="宋体" w:hAnsi="宋体" w:cs="宋体"/>
          <w:color w:val="000000" w:themeColor="text1"/>
          <w14:textFill>
            <w14:solidFill>
              <w14:schemeClr w14:val="tx1"/>
            </w14:solidFill>
          </w14:textFill>
        </w:rPr>
        <w:t>国家和自治区及工程所在地政府或行政主管部门颁发文件调整人工、材料、机械台班及其他有关费用标准的，按文件规定之日起进行调整。</w:t>
      </w:r>
    </w:p>
    <w:p w14:paraId="353F65F3">
      <w:pPr>
        <w:pStyle w:val="96"/>
        <w:spacing w:before="0" w:after="200" w:line="400" w:lineRule="exact"/>
        <w:rPr>
          <w:rFonts w:hint="eastAsia" w:ascii="宋体" w:cs="宋体"/>
          <w:bCs w:val="0"/>
          <w:color w:val="000000" w:themeColor="text1"/>
          <w14:textFill>
            <w14:solidFill>
              <w14:schemeClr w14:val="tx1"/>
            </w14:solidFill>
          </w14:textFill>
        </w:rPr>
      </w:pPr>
      <w:bookmarkStart w:id="902" w:name="_Toc185770475"/>
      <w:bookmarkStart w:id="903" w:name="_Toc406522264"/>
      <w:bookmarkStart w:id="904" w:name="_Toc4636"/>
      <w:bookmarkStart w:id="905" w:name="_Toc520505893"/>
      <w:bookmarkStart w:id="906" w:name="_Toc173253223"/>
      <w:r>
        <w:rPr>
          <w:rFonts w:hint="eastAsia" w:ascii="宋体" w:cs="宋体"/>
          <w:bCs w:val="0"/>
          <w:color w:val="000000" w:themeColor="text1"/>
          <w14:textFill>
            <w14:solidFill>
              <w14:schemeClr w14:val="tx1"/>
            </w14:solidFill>
          </w14:textFill>
        </w:rPr>
        <w:t>1</w:t>
      </w:r>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Start w:id="907" w:name="_Toc296944536"/>
      <w:bookmarkStart w:id="908" w:name="_Toc297048383"/>
      <w:bookmarkStart w:id="909" w:name="_Toc296346698"/>
      <w:bookmarkStart w:id="910" w:name="_Toc297120497"/>
      <w:bookmarkStart w:id="911" w:name="_Toc292559907"/>
      <w:bookmarkStart w:id="912" w:name="_Toc296347196"/>
      <w:bookmarkStart w:id="913" w:name="_Toc300934993"/>
      <w:bookmarkStart w:id="914" w:name="_Toc296891025"/>
      <w:bookmarkStart w:id="915" w:name="_Toc297123544"/>
      <w:bookmarkStart w:id="916" w:name="_Toc303539150"/>
      <w:bookmarkStart w:id="917" w:name="_Toc296503197"/>
      <w:bookmarkStart w:id="918" w:name="_Toc296891237"/>
      <w:bookmarkStart w:id="919" w:name="_Toc292559402"/>
      <w:bookmarkStart w:id="920" w:name="_Toc297216203"/>
      <w:bookmarkStart w:id="921" w:name="_Toc312678029"/>
      <w:bookmarkStart w:id="922" w:name="_Toc312677503"/>
      <w:bookmarkStart w:id="923" w:name="_Toc304295570"/>
      <w:r>
        <w:rPr>
          <w:rFonts w:hint="eastAsia" w:ascii="宋体" w:cs="宋体"/>
          <w:bCs w:val="0"/>
          <w:color w:val="000000" w:themeColor="text1"/>
          <w14:textFill>
            <w14:solidFill>
              <w14:schemeClr w14:val="tx1"/>
            </w14:solidFill>
          </w14:textFill>
        </w:rPr>
        <w:t>0.5承</w:t>
      </w:r>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Start w:id="924" w:name="_Toc296347202"/>
      <w:bookmarkStart w:id="925" w:name="_Toc296503203"/>
      <w:bookmarkStart w:id="926" w:name="_Toc297048389"/>
      <w:bookmarkStart w:id="927" w:name="_Toc300934994"/>
      <w:bookmarkStart w:id="928" w:name="_Toc296346704"/>
      <w:bookmarkStart w:id="929" w:name="_Toc303539151"/>
      <w:bookmarkStart w:id="930" w:name="_Toc297216204"/>
      <w:bookmarkStart w:id="931" w:name="_Toc292559408"/>
      <w:bookmarkStart w:id="932" w:name="_Toc296891031"/>
      <w:bookmarkStart w:id="933" w:name="_Toc296944542"/>
      <w:bookmarkStart w:id="934" w:name="_Toc292559913"/>
      <w:bookmarkStart w:id="935" w:name="_Toc296891243"/>
      <w:bookmarkStart w:id="936" w:name="_Toc297120503"/>
      <w:bookmarkStart w:id="937" w:name="_Toc297123545"/>
      <w:r>
        <w:rPr>
          <w:rFonts w:hint="eastAsia" w:ascii="宋体" w:cs="宋体"/>
          <w:bCs w:val="0"/>
          <w:color w:val="000000" w:themeColor="text1"/>
          <w14:textFill>
            <w14:solidFill>
              <w14:schemeClr w14:val="tx1"/>
            </w14:solidFill>
          </w14:textFill>
        </w:rPr>
        <w:t>包人的合理化建议</w:t>
      </w:r>
      <w:bookmarkEnd w:id="902"/>
      <w:bookmarkEnd w:id="903"/>
      <w:bookmarkEnd w:id="904"/>
      <w:bookmarkEnd w:id="905"/>
      <w:bookmarkEnd w:id="906"/>
    </w:p>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p w14:paraId="325BF8B7">
      <w:pPr>
        <w:pStyle w:val="102"/>
        <w:spacing w:line="400" w:lineRule="exact"/>
        <w:rPr>
          <w:rFonts w:hint="eastAsia"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监理人审查承包人合理化建议的期限：</w:t>
      </w:r>
      <w:r>
        <w:rPr>
          <w:rFonts w:hint="eastAsia" w:ascii="宋体" w:hAnsi="宋体" w:cs="宋体"/>
          <w:color w:val="000000" w:themeColor="text1"/>
          <w:u w:val="single"/>
          <w14:textFill>
            <w14:solidFill>
              <w14:schemeClr w14:val="tx1"/>
            </w14:solidFill>
          </w14:textFill>
        </w:rPr>
        <w:t xml:space="preserve">收到承包人提交的合理化建议后5天内审核完毕并报送发包人  </w:t>
      </w:r>
      <w:r>
        <w:rPr>
          <w:rFonts w:hint="eastAsia" w:ascii="宋体" w:hAnsi="宋体" w:cs="宋体"/>
          <w:color w:val="000000" w:themeColor="text1"/>
          <w14:textFill>
            <w14:solidFill>
              <w14:schemeClr w14:val="tx1"/>
            </w14:solidFill>
          </w14:textFill>
        </w:rPr>
        <w:t>。</w:t>
      </w:r>
    </w:p>
    <w:p w14:paraId="069F15AD">
      <w:pPr>
        <w:pStyle w:val="102"/>
        <w:spacing w:line="400" w:lineRule="exact"/>
        <w:rPr>
          <w:rFonts w:hint="eastAsia"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发包人审批承包人合理化建议的期限：</w:t>
      </w:r>
      <w:r>
        <w:rPr>
          <w:rFonts w:hint="eastAsia" w:ascii="宋体" w:hAnsi="宋体" w:cs="宋体"/>
          <w:color w:val="000000" w:themeColor="text1"/>
          <w:u w:val="single"/>
          <w14:textFill>
            <w14:solidFill>
              <w14:schemeClr w14:val="tx1"/>
            </w14:solidFill>
          </w14:textFill>
        </w:rPr>
        <w:t>收到监理人提交的合理化建议后5天内审核完毕</w:t>
      </w:r>
      <w:r>
        <w:rPr>
          <w:rFonts w:hint="eastAsia" w:ascii="宋体" w:hAnsi="宋体" w:cs="宋体"/>
          <w:color w:val="000000" w:themeColor="text1"/>
          <w14:textFill>
            <w14:solidFill>
              <w14:schemeClr w14:val="tx1"/>
            </w14:solidFill>
          </w14:textFill>
        </w:rPr>
        <w:t>。</w:t>
      </w:r>
    </w:p>
    <w:p w14:paraId="26206193">
      <w:pPr>
        <w:pStyle w:val="102"/>
        <w:spacing w:line="400" w:lineRule="exact"/>
        <w:rPr>
          <w:rFonts w:hint="eastAsia" w:ascii="宋体" w:hAnsi="宋体" w:cs="宋体"/>
          <w:color w:val="000000" w:themeColor="text1"/>
          <w:u w:val="single"/>
          <w14:textFill>
            <w14:solidFill>
              <w14:schemeClr w14:val="tx1"/>
            </w14:solidFill>
          </w14:textFill>
        </w:rPr>
      </w:pPr>
      <w:r>
        <w:rPr>
          <w:rFonts w:hint="eastAsia" w:ascii="宋体" w:hAnsi="宋体" w:cs="宋体"/>
          <w:color w:val="000000" w:themeColor="text1"/>
          <w14:textFill>
            <w14:solidFill>
              <w14:schemeClr w14:val="tx1"/>
            </w14:solidFill>
          </w14:textFill>
        </w:rPr>
        <w:t>承</w:t>
      </w:r>
      <w:bookmarkStart w:id="938" w:name="_Toc292559409"/>
      <w:bookmarkStart w:id="939" w:name="_Toc312678030"/>
      <w:bookmarkStart w:id="940" w:name="_Toc304295571"/>
      <w:bookmarkStart w:id="941" w:name="_Toc300934995"/>
      <w:bookmarkStart w:id="942" w:name="_Toc312677504"/>
      <w:bookmarkStart w:id="943" w:name="_Toc296891244"/>
      <w:bookmarkStart w:id="944" w:name="_Toc297120504"/>
      <w:bookmarkStart w:id="945" w:name="_Toc296347203"/>
      <w:bookmarkStart w:id="946" w:name="_Toc296503204"/>
      <w:bookmarkStart w:id="947" w:name="_Toc296891032"/>
      <w:bookmarkStart w:id="948" w:name="_Toc297216205"/>
      <w:bookmarkStart w:id="949" w:name="_Toc296346705"/>
      <w:bookmarkStart w:id="950" w:name="_Toc297123546"/>
      <w:bookmarkStart w:id="951" w:name="_Toc297048390"/>
      <w:bookmarkStart w:id="952" w:name="_Toc296944543"/>
      <w:bookmarkStart w:id="953" w:name="_Toc303539152"/>
      <w:bookmarkStart w:id="954" w:name="_Toc318581175"/>
      <w:bookmarkStart w:id="955" w:name="_Toc292559914"/>
      <w:r>
        <w:rPr>
          <w:rFonts w:hint="eastAsia" w:ascii="宋体" w:hAnsi="宋体" w:cs="宋体"/>
          <w:color w:val="000000" w:themeColor="text1"/>
          <w14:textFill>
            <w14:solidFill>
              <w14:schemeClr w14:val="tx1"/>
            </w14:solidFill>
          </w14:textFill>
        </w:rPr>
        <w:t>包人提出的理化建议降低了合同价格或者提高了工程经济效益的奖励的方法和金额为：</w:t>
      </w:r>
      <w:r>
        <w:rPr>
          <w:rFonts w:hint="eastAsia" w:ascii="宋体" w:hAnsi="宋体" w:cs="宋体"/>
          <w:color w:val="000000" w:themeColor="text1"/>
          <w:u w:val="single"/>
          <w14:textFill>
            <w14:solidFill>
              <w14:schemeClr w14:val="tx1"/>
            </w14:solidFill>
          </w14:textFill>
        </w:rPr>
        <w:t xml:space="preserve"> /</w:t>
      </w:r>
      <w:r>
        <w:rPr>
          <w:rFonts w:hint="eastAsia" w:ascii="宋体" w:hAnsi="宋体" w:cs="宋体"/>
          <w:color w:val="000000" w:themeColor="text1"/>
          <w14:textFill>
            <w14:solidFill>
              <w14:schemeClr w14:val="tx1"/>
            </w14:solidFill>
          </w14:textFill>
        </w:rPr>
        <w:t>。</w:t>
      </w:r>
    </w:p>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p w14:paraId="34ED4D8E">
      <w:pPr>
        <w:pStyle w:val="96"/>
        <w:spacing w:before="0" w:after="200" w:line="400" w:lineRule="exact"/>
        <w:rPr>
          <w:rFonts w:hint="eastAsia" w:ascii="宋体" w:cs="宋体"/>
          <w:bCs w:val="0"/>
          <w:color w:val="000000" w:themeColor="text1"/>
          <w14:textFill>
            <w14:solidFill>
              <w14:schemeClr w14:val="tx1"/>
            </w14:solidFill>
          </w14:textFill>
        </w:rPr>
      </w:pPr>
      <w:bookmarkStart w:id="956" w:name="_Toc14878"/>
      <w:bookmarkStart w:id="957" w:name="_Toc185770476"/>
      <w:bookmarkStart w:id="958" w:name="_Toc173253224"/>
      <w:bookmarkStart w:id="959" w:name="_Toc406522265"/>
      <w:bookmarkStart w:id="960" w:name="_Toc520505894"/>
      <w:r>
        <w:rPr>
          <w:rFonts w:hint="eastAsia" w:ascii="宋体" w:cs="宋体"/>
          <w:bCs w:val="0"/>
          <w:color w:val="000000" w:themeColor="text1"/>
          <w14:textFill>
            <w14:solidFill>
              <w14:schemeClr w14:val="tx1"/>
            </w14:solidFill>
          </w14:textFill>
        </w:rPr>
        <w:t>1</w:t>
      </w:r>
      <w:bookmarkStart w:id="961" w:name="_Toc312677507"/>
      <w:bookmarkStart w:id="962" w:name="_Toc296891239"/>
      <w:bookmarkStart w:id="963" w:name="_Toc296891027"/>
      <w:bookmarkStart w:id="964" w:name="_Toc296944538"/>
      <w:bookmarkStart w:id="965" w:name="_Toc292559909"/>
      <w:bookmarkStart w:id="966" w:name="_Toc297123548"/>
      <w:bookmarkStart w:id="967" w:name="_Toc296346700"/>
      <w:bookmarkStart w:id="968" w:name="_Toc297216207"/>
      <w:bookmarkStart w:id="969" w:name="_Toc304295574"/>
      <w:bookmarkStart w:id="970" w:name="_Toc303539154"/>
      <w:bookmarkStart w:id="971" w:name="_Toc292559404"/>
      <w:bookmarkStart w:id="972" w:name="_Toc300934997"/>
      <w:bookmarkStart w:id="973" w:name="_Toc297120499"/>
      <w:bookmarkStart w:id="974" w:name="_Toc312678033"/>
      <w:bookmarkStart w:id="975" w:name="_Toc297048385"/>
      <w:bookmarkStart w:id="976" w:name="_Toc296347198"/>
      <w:bookmarkStart w:id="977" w:name="_Toc296503199"/>
      <w:r>
        <w:rPr>
          <w:rFonts w:hint="eastAsia" w:ascii="宋体" w:cs="宋体"/>
          <w:bCs w:val="0"/>
          <w:color w:val="000000" w:themeColor="text1"/>
          <w14:textFill>
            <w14:solidFill>
              <w14:schemeClr w14:val="tx1"/>
            </w14:solidFill>
          </w14:textFill>
        </w:rPr>
        <w:t>0.7 暂估价</w:t>
      </w:r>
      <w:bookmarkEnd w:id="956"/>
      <w:bookmarkEnd w:id="957"/>
      <w:bookmarkEnd w:id="958"/>
      <w:bookmarkEnd w:id="959"/>
      <w:bookmarkEnd w:id="960"/>
    </w:p>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p w14:paraId="767C462C">
      <w:pPr>
        <w:pStyle w:val="102"/>
        <w:spacing w:line="400" w:lineRule="exact"/>
        <w:rPr>
          <w:rFonts w:hint="eastAsia"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暂估价材料和工程设备的明细详见附件：《暂估价一览表》。</w:t>
      </w:r>
    </w:p>
    <w:p w14:paraId="5541DD73">
      <w:pPr>
        <w:pStyle w:val="102"/>
        <w:spacing w:line="400" w:lineRule="exact"/>
        <w:outlineLvl w:val="0"/>
        <w:rPr>
          <w:rFonts w:hint="eastAsia" w:ascii="宋体" w:hAnsi="宋体" w:cs="宋体"/>
          <w:color w:val="000000" w:themeColor="text1"/>
          <w14:textFill>
            <w14:solidFill>
              <w14:schemeClr w14:val="tx1"/>
            </w14:solidFill>
          </w14:textFill>
        </w:rPr>
      </w:pPr>
      <w:bookmarkStart w:id="978" w:name="_Toc406419390"/>
      <w:bookmarkStart w:id="979" w:name="_Toc173253225"/>
      <w:bookmarkStart w:id="980" w:name="_Toc185770477"/>
      <w:bookmarkStart w:id="981" w:name="_Toc32390"/>
      <w:bookmarkStart w:id="982" w:name="_Toc406522266"/>
      <w:bookmarkStart w:id="983" w:name="_Toc520505895"/>
      <w:r>
        <w:rPr>
          <w:rFonts w:hint="eastAsia" w:ascii="宋体" w:hAnsi="宋体" w:cs="宋体"/>
          <w:color w:val="000000" w:themeColor="text1"/>
          <w14:textFill>
            <w14:solidFill>
              <w14:schemeClr w14:val="tx1"/>
            </w14:solidFill>
          </w14:textFill>
        </w:rPr>
        <w:t>1</w:t>
      </w:r>
      <w:bookmarkStart w:id="984" w:name="_Toc312677509"/>
      <w:bookmarkStart w:id="985" w:name="_Toc318581177"/>
      <w:bookmarkStart w:id="986" w:name="_Toc312678035"/>
      <w:r>
        <w:rPr>
          <w:rFonts w:hint="eastAsia" w:ascii="宋体" w:hAnsi="宋体" w:cs="宋体"/>
          <w:color w:val="000000" w:themeColor="text1"/>
          <w14:textFill>
            <w14:solidFill>
              <w14:schemeClr w14:val="tx1"/>
            </w14:solidFill>
          </w14:textFill>
        </w:rPr>
        <w:t>0.7.1 依法必须招标的暂估价项目</w:t>
      </w:r>
      <w:bookmarkEnd w:id="978"/>
      <w:bookmarkEnd w:id="979"/>
      <w:bookmarkEnd w:id="980"/>
      <w:bookmarkEnd w:id="981"/>
      <w:bookmarkEnd w:id="982"/>
      <w:bookmarkEnd w:id="983"/>
    </w:p>
    <w:bookmarkEnd w:id="984"/>
    <w:bookmarkEnd w:id="985"/>
    <w:bookmarkEnd w:id="986"/>
    <w:p w14:paraId="7D6E39E3">
      <w:pPr>
        <w:pStyle w:val="102"/>
        <w:spacing w:line="400" w:lineRule="exact"/>
        <w:rPr>
          <w:rFonts w:hint="eastAsia"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对于依法必须招标的暂估价项目的确认和批准采取第</w:t>
      </w:r>
      <w:r>
        <w:rPr>
          <w:rFonts w:hint="eastAsia" w:ascii="宋体" w:hAnsi="宋体" w:cs="宋体"/>
          <w:color w:val="000000" w:themeColor="text1"/>
          <w:u w:val="single"/>
          <w14:textFill>
            <w14:solidFill>
              <w14:schemeClr w14:val="tx1"/>
            </w14:solidFill>
          </w14:textFill>
        </w:rPr>
        <w:t xml:space="preserve">  1 </w:t>
      </w:r>
      <w:r>
        <w:rPr>
          <w:rFonts w:hint="eastAsia" w:ascii="宋体" w:hAnsi="宋体" w:cs="宋体"/>
          <w:color w:val="000000" w:themeColor="text1"/>
          <w14:textFill>
            <w14:solidFill>
              <w14:schemeClr w14:val="tx1"/>
            </w14:solidFill>
          </w14:textFill>
        </w:rPr>
        <w:t>种方式确定。</w:t>
      </w:r>
    </w:p>
    <w:p w14:paraId="1EBD1B6A">
      <w:pPr>
        <w:pStyle w:val="102"/>
        <w:spacing w:line="400" w:lineRule="exact"/>
        <w:rPr>
          <w:rFonts w:hint="eastAsia"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10.7.2 不属于依法必须招标的暂估价项目</w:t>
      </w:r>
    </w:p>
    <w:p w14:paraId="3428713D">
      <w:pPr>
        <w:pStyle w:val="102"/>
        <w:spacing w:line="400" w:lineRule="exact"/>
        <w:rPr>
          <w:rFonts w:hint="eastAsia"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对于不属于依法必须招标的暂估价项目的确认和批准采取第</w:t>
      </w:r>
      <w:r>
        <w:rPr>
          <w:rFonts w:hint="eastAsia" w:ascii="宋体" w:hAnsi="宋体" w:cs="宋体"/>
          <w:color w:val="000000" w:themeColor="text1"/>
          <w:u w:val="single"/>
          <w14:textFill>
            <w14:solidFill>
              <w14:schemeClr w14:val="tx1"/>
            </w14:solidFill>
          </w14:textFill>
        </w:rPr>
        <w:t xml:space="preserve"> 1  </w:t>
      </w:r>
      <w:r>
        <w:rPr>
          <w:rFonts w:hint="eastAsia" w:ascii="宋体" w:hAnsi="宋体" w:cs="宋体"/>
          <w:color w:val="000000" w:themeColor="text1"/>
          <w14:textFill>
            <w14:solidFill>
              <w14:schemeClr w14:val="tx1"/>
            </w14:solidFill>
          </w14:textFill>
        </w:rPr>
        <w:t xml:space="preserve"> 种方式确定。</w:t>
      </w:r>
    </w:p>
    <w:p w14:paraId="2567F086">
      <w:pPr>
        <w:pStyle w:val="102"/>
        <w:spacing w:line="400" w:lineRule="exact"/>
        <w:rPr>
          <w:rFonts w:hint="eastAsia"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第3种方式：承包人直接实施的暂估价项目</w:t>
      </w:r>
    </w:p>
    <w:p w14:paraId="55EE53FB">
      <w:pPr>
        <w:pStyle w:val="102"/>
        <w:spacing w:line="400" w:lineRule="exact"/>
        <w:rPr>
          <w:rFonts w:hint="eastAsia"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承包人直接实施的暂估价项目的约定：</w:t>
      </w:r>
      <w:r>
        <w:rPr>
          <w:rFonts w:hint="eastAsia" w:ascii="宋体" w:hAnsi="宋体" w:cs="宋体"/>
          <w:color w:val="000000" w:themeColor="text1"/>
          <w:u w:val="single"/>
          <w14:textFill>
            <w14:solidFill>
              <w14:schemeClr w14:val="tx1"/>
            </w14:solidFill>
          </w14:textFill>
        </w:rPr>
        <w:t xml:space="preserve">                /　　　　　　　</w:t>
      </w:r>
      <w:r>
        <w:rPr>
          <w:rFonts w:hint="eastAsia" w:ascii="宋体" w:hAnsi="宋体" w:cs="宋体"/>
          <w:color w:val="000000" w:themeColor="text1"/>
          <w14:textFill>
            <w14:solidFill>
              <w14:schemeClr w14:val="tx1"/>
            </w14:solidFill>
          </w14:textFill>
        </w:rPr>
        <w:t>。</w:t>
      </w:r>
    </w:p>
    <w:p w14:paraId="6C9C0EF9">
      <w:pPr>
        <w:pStyle w:val="96"/>
        <w:spacing w:before="0" w:after="200" w:line="400" w:lineRule="exact"/>
        <w:rPr>
          <w:rFonts w:hint="eastAsia" w:ascii="宋体" w:cs="宋体"/>
          <w:bCs w:val="0"/>
          <w:color w:val="000000" w:themeColor="text1"/>
          <w14:textFill>
            <w14:solidFill>
              <w14:schemeClr w14:val="tx1"/>
            </w14:solidFill>
          </w14:textFill>
        </w:rPr>
      </w:pPr>
      <w:bookmarkStart w:id="987" w:name="_Toc520505896"/>
      <w:bookmarkStart w:id="988" w:name="_Toc173253226"/>
      <w:bookmarkStart w:id="989" w:name="_Toc406522267"/>
      <w:bookmarkStart w:id="990" w:name="_Toc10616"/>
      <w:bookmarkStart w:id="991" w:name="_Toc185770478"/>
      <w:r>
        <w:rPr>
          <w:rFonts w:hint="eastAsia" w:ascii="宋体" w:cs="宋体"/>
          <w:bCs w:val="0"/>
          <w:color w:val="000000" w:themeColor="text1"/>
          <w14:textFill>
            <w14:solidFill>
              <w14:schemeClr w14:val="tx1"/>
            </w14:solidFill>
          </w14:textFill>
        </w:rPr>
        <w:t>10.8 暂列金额</w:t>
      </w:r>
      <w:bookmarkEnd w:id="987"/>
      <w:bookmarkEnd w:id="988"/>
      <w:bookmarkEnd w:id="989"/>
      <w:bookmarkEnd w:id="990"/>
      <w:bookmarkEnd w:id="991"/>
    </w:p>
    <w:p w14:paraId="1C74EC02">
      <w:pPr>
        <w:pStyle w:val="102"/>
        <w:spacing w:line="400" w:lineRule="exact"/>
        <w:rPr>
          <w:rFonts w:hint="eastAsia"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合同当事人关于暂列金额使用的约定：</w:t>
      </w:r>
      <w:r>
        <w:rPr>
          <w:rFonts w:hint="eastAsia" w:ascii="宋体" w:hAnsi="宋体" w:cs="宋体"/>
          <w:color w:val="000000" w:themeColor="text1"/>
          <w:u w:val="single"/>
          <w14:textFill>
            <w14:solidFill>
              <w14:schemeClr w14:val="tx1"/>
            </w14:solidFill>
          </w14:textFill>
        </w:rPr>
        <w:t>按通用条款执行</w:t>
      </w:r>
      <w:r>
        <w:rPr>
          <w:rFonts w:hint="eastAsia" w:ascii="宋体" w:hAnsi="宋体" w:cs="宋体"/>
          <w:color w:val="000000" w:themeColor="text1"/>
          <w14:textFill>
            <w14:solidFill>
              <w14:schemeClr w14:val="tx1"/>
            </w14:solidFill>
          </w14:textFill>
        </w:rPr>
        <w:t>。</w:t>
      </w:r>
    </w:p>
    <w:p w14:paraId="3EF3AFA6">
      <w:pPr>
        <w:pStyle w:val="96"/>
        <w:spacing w:before="0" w:after="200" w:line="400" w:lineRule="exact"/>
        <w:rPr>
          <w:rFonts w:hint="eastAsia" w:ascii="宋体" w:cs="宋体"/>
          <w:bCs w:val="0"/>
          <w:color w:val="000000" w:themeColor="text1"/>
          <w14:textFill>
            <w14:solidFill>
              <w14:schemeClr w14:val="tx1"/>
            </w14:solidFill>
          </w14:textFill>
        </w:rPr>
      </w:pPr>
      <w:bookmarkStart w:id="992" w:name="_Toc351203643"/>
      <w:bookmarkStart w:id="993" w:name="_Toc185770479"/>
      <w:bookmarkStart w:id="994" w:name="_Toc406522268"/>
      <w:bookmarkStart w:id="995" w:name="_Toc30674"/>
      <w:bookmarkStart w:id="996" w:name="_Toc173253227"/>
      <w:bookmarkStart w:id="997" w:name="_Toc520505897"/>
      <w:r>
        <w:rPr>
          <w:rFonts w:hint="eastAsia" w:ascii="宋体" w:cs="宋体"/>
          <w:bCs w:val="0"/>
          <w:color w:val="000000" w:themeColor="text1"/>
          <w14:textFill>
            <w14:solidFill>
              <w14:schemeClr w14:val="tx1"/>
            </w14:solidFill>
          </w14:textFill>
        </w:rPr>
        <w:t>11. 价格调整</w:t>
      </w:r>
      <w:bookmarkEnd w:id="992"/>
      <w:bookmarkEnd w:id="993"/>
      <w:bookmarkEnd w:id="994"/>
      <w:bookmarkEnd w:id="995"/>
      <w:bookmarkEnd w:id="996"/>
      <w:bookmarkEnd w:id="997"/>
    </w:p>
    <w:p w14:paraId="66FE253D">
      <w:pPr>
        <w:pStyle w:val="96"/>
        <w:spacing w:before="0" w:after="200" w:line="400" w:lineRule="exact"/>
        <w:rPr>
          <w:rFonts w:hint="eastAsia" w:ascii="宋体" w:cs="宋体"/>
          <w:bCs w:val="0"/>
          <w:color w:val="000000" w:themeColor="text1"/>
          <w14:textFill>
            <w14:solidFill>
              <w14:schemeClr w14:val="tx1"/>
            </w14:solidFill>
          </w14:textFill>
        </w:rPr>
      </w:pPr>
      <w:bookmarkStart w:id="998" w:name="_Toc14370"/>
      <w:bookmarkStart w:id="999" w:name="_Toc185770480"/>
      <w:bookmarkStart w:id="1000" w:name="_Toc173253228"/>
      <w:bookmarkStart w:id="1001" w:name="_Toc406522269"/>
      <w:bookmarkStart w:id="1002" w:name="_Toc520505898"/>
      <w:bookmarkStart w:id="1003" w:name="_Toc296891029"/>
      <w:bookmarkStart w:id="1004" w:name="_Toc297216209"/>
      <w:bookmarkStart w:id="1005" w:name="_Toc296503201"/>
      <w:bookmarkStart w:id="1006" w:name="_Toc300935000"/>
      <w:bookmarkStart w:id="1007" w:name="_Toc304295577"/>
      <w:bookmarkStart w:id="1008" w:name="_Toc296346702"/>
      <w:bookmarkStart w:id="1009" w:name="_Toc292559911"/>
      <w:bookmarkStart w:id="1010" w:name="_Toc296891241"/>
      <w:bookmarkStart w:id="1011" w:name="_Toc292559406"/>
      <w:bookmarkStart w:id="1012" w:name="_Toc297120501"/>
      <w:bookmarkStart w:id="1013" w:name="_Toc312678039"/>
      <w:bookmarkStart w:id="1014" w:name="_Toc296347200"/>
      <w:bookmarkStart w:id="1015" w:name="_Toc297048387"/>
      <w:bookmarkStart w:id="1016" w:name="_Toc296944540"/>
      <w:bookmarkStart w:id="1017" w:name="_Toc297123550"/>
      <w:bookmarkStart w:id="1018" w:name="_Toc303539157"/>
      <w:r>
        <w:rPr>
          <w:rFonts w:hint="eastAsia" w:ascii="宋体" w:cs="宋体"/>
          <w:bCs w:val="0"/>
          <w:color w:val="000000" w:themeColor="text1"/>
          <w14:textFill>
            <w14:solidFill>
              <w14:schemeClr w14:val="tx1"/>
            </w14:solidFill>
          </w14:textFill>
        </w:rPr>
        <w:t>11.1 市场价格波动引起的调整</w:t>
      </w:r>
      <w:bookmarkEnd w:id="998"/>
      <w:bookmarkEnd w:id="999"/>
      <w:bookmarkEnd w:id="1000"/>
      <w:bookmarkEnd w:id="1001"/>
      <w:bookmarkEnd w:id="1002"/>
    </w:p>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p w14:paraId="66442C22">
      <w:pPr>
        <w:pStyle w:val="102"/>
        <w:spacing w:line="400" w:lineRule="exact"/>
        <w:rPr>
          <w:rFonts w:hint="eastAsia"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市场价格波动是否调整合同价格的约定：</w:t>
      </w:r>
      <w:r>
        <w:rPr>
          <w:rFonts w:hint="eastAsia" w:ascii="宋体" w:hAnsi="宋体" w:cs="宋体"/>
          <w:color w:val="000000" w:themeColor="text1"/>
          <w:u w:val="single"/>
          <w14:textFill>
            <w14:solidFill>
              <w14:schemeClr w14:val="tx1"/>
            </w14:solidFill>
          </w14:textFill>
        </w:rPr>
        <w:t xml:space="preserve">   不做调整   </w:t>
      </w:r>
      <w:r>
        <w:rPr>
          <w:rFonts w:hint="eastAsia" w:ascii="宋体" w:hAnsi="宋体" w:cs="宋体"/>
          <w:color w:val="000000" w:themeColor="text1"/>
          <w14:textFill>
            <w14:solidFill>
              <w14:schemeClr w14:val="tx1"/>
            </w14:solidFill>
          </w14:textFill>
        </w:rPr>
        <w:t>。</w:t>
      </w:r>
    </w:p>
    <w:bookmarkEnd w:id="859"/>
    <w:bookmarkEnd w:id="860"/>
    <w:bookmarkEnd w:id="861"/>
    <w:bookmarkEnd w:id="862"/>
    <w:bookmarkEnd w:id="863"/>
    <w:bookmarkEnd w:id="864"/>
    <w:p w14:paraId="4A7CC5DC">
      <w:pPr>
        <w:pStyle w:val="96"/>
        <w:spacing w:before="0" w:after="200" w:line="400" w:lineRule="exact"/>
        <w:rPr>
          <w:rFonts w:hint="eastAsia" w:ascii="宋体" w:cs="宋体"/>
          <w:bCs w:val="0"/>
          <w:color w:val="000000" w:themeColor="text1"/>
          <w14:textFill>
            <w14:solidFill>
              <w14:schemeClr w14:val="tx1"/>
            </w14:solidFill>
          </w14:textFill>
        </w:rPr>
      </w:pPr>
      <w:bookmarkStart w:id="1019" w:name="_Toc296891033"/>
      <w:bookmarkStart w:id="1020" w:name="_Toc297120505"/>
      <w:bookmarkStart w:id="1021" w:name="_Toc296503205"/>
      <w:bookmarkStart w:id="1022" w:name="_Toc296891245"/>
      <w:bookmarkStart w:id="1023" w:name="_Toc296346706"/>
      <w:bookmarkStart w:id="1024" w:name="_Toc296347204"/>
      <w:bookmarkStart w:id="1025" w:name="_Toc297048391"/>
      <w:bookmarkStart w:id="1026" w:name="_Toc292559915"/>
      <w:bookmarkStart w:id="1027" w:name="_Toc292559410"/>
      <w:bookmarkStart w:id="1028" w:name="_Toc296944544"/>
      <w:bookmarkStart w:id="1029" w:name="_Toc185770481"/>
      <w:bookmarkStart w:id="1030" w:name="_Toc351203644"/>
      <w:bookmarkStart w:id="1031" w:name="_Toc173253229"/>
      <w:bookmarkStart w:id="1032" w:name="_Toc27215"/>
      <w:bookmarkStart w:id="1033" w:name="_Toc406522270"/>
      <w:bookmarkStart w:id="1034" w:name="_Toc520505899"/>
      <w:bookmarkStart w:id="1035" w:name="_Toc297216211"/>
      <w:bookmarkStart w:id="1036" w:name="_Toc312678040"/>
      <w:bookmarkStart w:id="1037" w:name="_Toc304295579"/>
      <w:bookmarkStart w:id="1038" w:name="_Toc297123552"/>
      <w:bookmarkStart w:id="1039" w:name="_Toc303539159"/>
      <w:bookmarkStart w:id="1040" w:name="_Toc300935002"/>
      <w:r>
        <w:rPr>
          <w:rFonts w:hint="eastAsia" w:ascii="宋体" w:cs="宋体"/>
          <w:bCs w:val="0"/>
          <w:color w:val="000000" w:themeColor="text1"/>
          <w14:textFill>
            <w14:solidFill>
              <w14:schemeClr w14:val="tx1"/>
            </w14:solidFill>
          </w14:textFill>
        </w:rPr>
        <w:t xml:space="preserve">12. </w:t>
      </w:r>
      <w:bookmarkEnd w:id="1019"/>
      <w:bookmarkEnd w:id="1020"/>
      <w:bookmarkEnd w:id="1021"/>
      <w:bookmarkEnd w:id="1022"/>
      <w:bookmarkEnd w:id="1023"/>
      <w:bookmarkEnd w:id="1024"/>
      <w:bookmarkEnd w:id="1025"/>
      <w:bookmarkEnd w:id="1026"/>
      <w:bookmarkEnd w:id="1027"/>
      <w:bookmarkEnd w:id="1028"/>
      <w:r>
        <w:rPr>
          <w:rFonts w:hint="eastAsia" w:ascii="宋体" w:cs="宋体"/>
          <w:bCs w:val="0"/>
          <w:color w:val="000000" w:themeColor="text1"/>
          <w14:textFill>
            <w14:solidFill>
              <w14:schemeClr w14:val="tx1"/>
            </w14:solidFill>
          </w14:textFill>
        </w:rPr>
        <w:t>合同价格、计量与支付</w:t>
      </w:r>
      <w:bookmarkEnd w:id="1029"/>
      <w:bookmarkEnd w:id="1030"/>
      <w:bookmarkEnd w:id="1031"/>
      <w:bookmarkEnd w:id="1032"/>
      <w:bookmarkEnd w:id="1033"/>
      <w:bookmarkEnd w:id="1034"/>
    </w:p>
    <w:bookmarkEnd w:id="1035"/>
    <w:bookmarkEnd w:id="1036"/>
    <w:bookmarkEnd w:id="1037"/>
    <w:bookmarkEnd w:id="1038"/>
    <w:bookmarkEnd w:id="1039"/>
    <w:bookmarkEnd w:id="1040"/>
    <w:p w14:paraId="1EEAA36D">
      <w:pPr>
        <w:pStyle w:val="96"/>
        <w:spacing w:before="0" w:after="200" w:line="400" w:lineRule="exact"/>
        <w:rPr>
          <w:rFonts w:hint="eastAsia" w:ascii="宋体" w:cs="宋体"/>
          <w:bCs w:val="0"/>
          <w:color w:val="000000" w:themeColor="text1"/>
          <w14:textFill>
            <w14:solidFill>
              <w14:schemeClr w14:val="tx1"/>
            </w14:solidFill>
          </w14:textFill>
        </w:rPr>
      </w:pPr>
      <w:bookmarkStart w:id="1041" w:name="_Toc267251461"/>
      <w:bookmarkStart w:id="1042" w:name="_Toc292559411"/>
      <w:bookmarkStart w:id="1043" w:name="_Toc292559916"/>
      <w:bookmarkStart w:id="1044" w:name="_Toc296891034"/>
      <w:bookmarkStart w:id="1045" w:name="_Toc296347205"/>
      <w:bookmarkStart w:id="1046" w:name="_Toc296503206"/>
      <w:bookmarkStart w:id="1047" w:name="_Toc296944545"/>
      <w:bookmarkStart w:id="1048" w:name="_Toc296346707"/>
      <w:bookmarkStart w:id="1049" w:name="_Toc296891246"/>
      <w:bookmarkStart w:id="1050" w:name="_Toc297120506"/>
      <w:bookmarkStart w:id="1051" w:name="_Toc297048392"/>
      <w:bookmarkStart w:id="1052" w:name="_Toc389065314"/>
      <w:bookmarkStart w:id="1053" w:name="_Toc520505900"/>
      <w:bookmarkStart w:id="1054" w:name="_Toc373227749"/>
      <w:bookmarkStart w:id="1055" w:name="_Toc395382552"/>
      <w:bookmarkStart w:id="1056" w:name="_Toc373478396"/>
      <w:bookmarkStart w:id="1057" w:name="_Toc185770482"/>
      <w:bookmarkStart w:id="1058" w:name="_Toc173253230"/>
      <w:bookmarkStart w:id="1059" w:name="_Toc406522271"/>
      <w:bookmarkStart w:id="1060" w:name="_Toc23263"/>
      <w:bookmarkStart w:id="1061" w:name="_Toc406421001"/>
      <w:bookmarkStart w:id="1062" w:name="_Toc303539160"/>
      <w:bookmarkStart w:id="1063" w:name="_Toc300935003"/>
      <w:bookmarkStart w:id="1064" w:name="_Toc312678041"/>
      <w:bookmarkStart w:id="1065" w:name="_Toc297123553"/>
      <w:bookmarkStart w:id="1066" w:name="_Toc304295580"/>
      <w:bookmarkStart w:id="1067" w:name="_Toc297216212"/>
      <w:bookmarkStart w:id="1068" w:name="_Toc303539161"/>
      <w:bookmarkStart w:id="1069" w:name="_Toc297216213"/>
      <w:bookmarkStart w:id="1070" w:name="_Toc297123554"/>
      <w:bookmarkStart w:id="1071" w:name="_Toc300935004"/>
      <w:bookmarkStart w:id="1072" w:name="_Toc312678042"/>
      <w:bookmarkStart w:id="1073" w:name="_Toc304295581"/>
      <w:bookmarkStart w:id="1074" w:name="_Toc292559917"/>
      <w:bookmarkStart w:id="1075" w:name="_Toc292559412"/>
      <w:bookmarkStart w:id="1076" w:name="_Toc296346708"/>
      <w:bookmarkStart w:id="1077" w:name="_Toc296944546"/>
      <w:bookmarkStart w:id="1078" w:name="_Toc297120507"/>
      <w:bookmarkStart w:id="1079" w:name="_Toc296891247"/>
      <w:bookmarkStart w:id="1080" w:name="_Toc296347206"/>
      <w:bookmarkStart w:id="1081" w:name="_Toc296891035"/>
      <w:bookmarkStart w:id="1082" w:name="_Toc297048393"/>
      <w:bookmarkStart w:id="1083" w:name="_Toc296503207"/>
      <w:r>
        <w:rPr>
          <w:rFonts w:hint="eastAsia" w:ascii="宋体" w:cs="宋体"/>
          <w:bCs w:val="0"/>
          <w:color w:val="000000" w:themeColor="text1"/>
          <w14:textFill>
            <w14:solidFill>
              <w14:schemeClr w14:val="tx1"/>
            </w14:solidFill>
          </w14:textFill>
        </w:rPr>
        <w:t>12.1 合</w:t>
      </w:r>
      <w:bookmarkEnd w:id="1041"/>
      <w:bookmarkEnd w:id="1042"/>
      <w:bookmarkEnd w:id="1043"/>
      <w:r>
        <w:rPr>
          <w:rFonts w:hint="eastAsia" w:ascii="宋体" w:cs="宋体"/>
          <w:bCs w:val="0"/>
          <w:color w:val="000000" w:themeColor="text1"/>
          <w14:textFill>
            <w14:solidFill>
              <w14:schemeClr w14:val="tx1"/>
            </w14:solidFill>
          </w14:textFill>
        </w:rPr>
        <w:t>同价</w:t>
      </w:r>
      <w:bookmarkEnd w:id="1044"/>
      <w:bookmarkEnd w:id="1045"/>
      <w:bookmarkEnd w:id="1046"/>
      <w:bookmarkEnd w:id="1047"/>
      <w:bookmarkEnd w:id="1048"/>
      <w:bookmarkEnd w:id="1049"/>
      <w:bookmarkEnd w:id="1050"/>
      <w:bookmarkEnd w:id="1051"/>
      <w:r>
        <w:rPr>
          <w:rFonts w:hint="eastAsia" w:ascii="宋体" w:cs="宋体"/>
          <w:bCs w:val="0"/>
          <w:color w:val="000000" w:themeColor="text1"/>
          <w14:textFill>
            <w14:solidFill>
              <w14:schemeClr w14:val="tx1"/>
            </w14:solidFill>
          </w14:textFill>
        </w:rPr>
        <w:t>格形式</w:t>
      </w:r>
      <w:bookmarkEnd w:id="1052"/>
      <w:bookmarkEnd w:id="1053"/>
      <w:bookmarkEnd w:id="1054"/>
      <w:bookmarkEnd w:id="1055"/>
      <w:bookmarkEnd w:id="1056"/>
      <w:bookmarkEnd w:id="1057"/>
      <w:bookmarkEnd w:id="1058"/>
      <w:bookmarkEnd w:id="1059"/>
      <w:bookmarkEnd w:id="1060"/>
      <w:bookmarkEnd w:id="1061"/>
    </w:p>
    <w:bookmarkEnd w:id="1062"/>
    <w:bookmarkEnd w:id="1063"/>
    <w:bookmarkEnd w:id="1064"/>
    <w:bookmarkEnd w:id="1065"/>
    <w:bookmarkEnd w:id="1066"/>
    <w:bookmarkEnd w:id="1067"/>
    <w:p w14:paraId="3061D858">
      <w:pPr>
        <w:spacing w:line="400" w:lineRule="exact"/>
        <w:ind w:firstLine="420" w:firstLineChars="200"/>
        <w:rPr>
          <w:rFonts w:hint="eastAsia"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（1）单价合同。</w:t>
      </w:r>
    </w:p>
    <w:p w14:paraId="345FDBAE">
      <w:pPr>
        <w:spacing w:line="400" w:lineRule="exact"/>
        <w:ind w:firstLine="420" w:firstLineChars="200"/>
        <w:rPr>
          <w:rFonts w:hint="eastAsia"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本合同价款采用</w:t>
      </w:r>
      <w:r>
        <w:rPr>
          <w:rFonts w:hint="eastAsia" w:ascii="宋体" w:hAnsi="宋体" w:cs="宋体"/>
          <w:color w:val="000000" w:themeColor="text1"/>
          <w:u w:val="single"/>
          <w14:textFill>
            <w14:solidFill>
              <w14:schemeClr w14:val="tx1"/>
            </w14:solidFill>
          </w14:textFill>
        </w:rPr>
        <w:t>固定综合单价</w:t>
      </w:r>
      <w:r>
        <w:rPr>
          <w:rFonts w:hint="eastAsia" w:ascii="宋体" w:hAnsi="宋体" w:cs="宋体"/>
          <w:color w:val="000000" w:themeColor="text1"/>
          <w14:textFill>
            <w14:solidFill>
              <w14:schemeClr w14:val="tx1"/>
            </w14:solidFill>
          </w14:textFill>
        </w:rPr>
        <w:t>方式确定。</w:t>
      </w:r>
    </w:p>
    <w:p w14:paraId="74EA8C2E">
      <w:pPr>
        <w:spacing w:line="400" w:lineRule="exact"/>
        <w:ind w:firstLine="420" w:firstLineChars="200"/>
        <w:rPr>
          <w:rFonts w:hint="eastAsia"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综合单价包含的风险范围：</w:t>
      </w:r>
      <w:r>
        <w:rPr>
          <w:rFonts w:hint="eastAsia" w:ascii="宋体" w:hAnsi="宋体" w:cs="宋体"/>
          <w:color w:val="000000" w:themeColor="text1"/>
          <w:u w:val="single"/>
          <w14:textFill>
            <w14:solidFill>
              <w14:schemeClr w14:val="tx1"/>
            </w14:solidFill>
          </w14:textFill>
        </w:rPr>
        <w:t>除工程变更、政策性调整、《承包人提供主要材料和设备一览表》约定的材料、设备价格变动风险以外因素。</w:t>
      </w:r>
    </w:p>
    <w:p w14:paraId="1E618F5F">
      <w:pPr>
        <w:spacing w:line="400" w:lineRule="exact"/>
        <w:ind w:firstLine="441" w:firstLineChars="210"/>
        <w:rPr>
          <w:rFonts w:hint="eastAsia"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风险范围以外合同价格的调整方法：　</w:t>
      </w:r>
    </w:p>
    <w:p w14:paraId="3A84A470">
      <w:pPr>
        <w:spacing w:line="400" w:lineRule="exact"/>
        <w:ind w:firstLine="441" w:firstLineChars="210"/>
        <w:rPr>
          <w:rFonts w:hint="eastAsia"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①工程变更：按10.4.1变更估价原则的约定调整。</w:t>
      </w:r>
    </w:p>
    <w:p w14:paraId="26449804">
      <w:pPr>
        <w:spacing w:line="400" w:lineRule="exact"/>
        <w:ind w:firstLine="441" w:firstLineChars="210"/>
        <w:rPr>
          <w:rFonts w:hint="eastAsia"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②政策性调整：按自治区建设行政主管部门颁布的文件执行。</w:t>
      </w:r>
    </w:p>
    <w:p w14:paraId="0F5BB9C8">
      <w:pPr>
        <w:spacing w:line="400" w:lineRule="exact"/>
        <w:ind w:firstLine="441" w:firstLineChars="210"/>
        <w:rPr>
          <w:rFonts w:hint="eastAsia"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③材料价格风险：按11.1的约定调整。</w:t>
      </w:r>
    </w:p>
    <w:p w14:paraId="1D82024B">
      <w:pPr>
        <w:spacing w:line="400" w:lineRule="exact"/>
        <w:ind w:firstLine="420" w:firstLineChars="200"/>
        <w:rPr>
          <w:rFonts w:hint="eastAsia"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④其它：</w:t>
      </w:r>
      <w:r>
        <w:rPr>
          <w:rFonts w:hint="eastAsia" w:ascii="宋体" w:hAnsi="宋体" w:cs="宋体"/>
          <w:color w:val="000000" w:themeColor="text1"/>
          <w:u w:val="single"/>
          <w14:textFill>
            <w14:solidFill>
              <w14:schemeClr w14:val="tx1"/>
            </w14:solidFill>
          </w14:textFill>
        </w:rPr>
        <w:t xml:space="preserve">          /         </w:t>
      </w:r>
      <w:r>
        <w:rPr>
          <w:rFonts w:hint="eastAsia" w:ascii="宋体" w:hAnsi="宋体" w:cs="宋体"/>
          <w:color w:val="000000" w:themeColor="text1"/>
          <w14:textFill>
            <w14:solidFill>
              <w14:schemeClr w14:val="tx1"/>
            </w14:solidFill>
          </w14:textFill>
        </w:rPr>
        <w:t>。</w:t>
      </w:r>
    </w:p>
    <w:p w14:paraId="696D3331">
      <w:pPr>
        <w:spacing w:line="400" w:lineRule="exact"/>
        <w:ind w:firstLine="420" w:firstLineChars="200"/>
        <w:rPr>
          <w:rFonts w:hint="eastAsia"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（2）总价合同。</w:t>
      </w:r>
    </w:p>
    <w:p w14:paraId="01F37E1D">
      <w:pPr>
        <w:spacing w:line="400" w:lineRule="exact"/>
        <w:ind w:firstLine="420" w:firstLineChars="200"/>
        <w:rPr>
          <w:rFonts w:hint="eastAsia"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总价包含的风险范围：</w:t>
      </w:r>
      <w:r>
        <w:rPr>
          <w:rFonts w:hint="eastAsia" w:ascii="宋体" w:hAnsi="宋体" w:cs="宋体"/>
          <w:color w:val="000000" w:themeColor="text1"/>
          <w:u w:val="single"/>
          <w14:textFill>
            <w14:solidFill>
              <w14:schemeClr w14:val="tx1"/>
            </w14:solidFill>
          </w14:textFill>
        </w:rPr>
        <w:t xml:space="preserve">    /    </w:t>
      </w:r>
      <w:r>
        <w:rPr>
          <w:rFonts w:hint="eastAsia" w:ascii="宋体" w:hAnsi="宋体" w:cs="宋体"/>
          <w:color w:val="000000" w:themeColor="text1"/>
          <w14:textFill>
            <w14:solidFill>
              <w14:schemeClr w14:val="tx1"/>
            </w14:solidFill>
          </w14:textFill>
        </w:rPr>
        <w:t>。</w:t>
      </w:r>
    </w:p>
    <w:p w14:paraId="2B14A9EE">
      <w:pPr>
        <w:spacing w:line="400" w:lineRule="exact"/>
        <w:ind w:firstLine="420" w:firstLineChars="200"/>
        <w:rPr>
          <w:rFonts w:hint="eastAsia"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风险范围以外合同价格的调整方法：</w:t>
      </w:r>
      <w:r>
        <w:rPr>
          <w:rFonts w:hint="eastAsia" w:ascii="宋体" w:hAnsi="宋体" w:cs="宋体"/>
          <w:color w:val="000000" w:themeColor="text1"/>
          <w:u w:val="single"/>
          <w14:textFill>
            <w14:solidFill>
              <w14:schemeClr w14:val="tx1"/>
            </w14:solidFill>
          </w14:textFill>
        </w:rPr>
        <w:t xml:space="preserve">    /    </w:t>
      </w:r>
      <w:r>
        <w:rPr>
          <w:rFonts w:hint="eastAsia" w:ascii="宋体" w:hAnsi="宋体" w:cs="宋体"/>
          <w:color w:val="000000" w:themeColor="text1"/>
          <w14:textFill>
            <w14:solidFill>
              <w14:schemeClr w14:val="tx1"/>
            </w14:solidFill>
          </w14:textFill>
        </w:rPr>
        <w:t>。</w:t>
      </w:r>
    </w:p>
    <w:p w14:paraId="0E43BAD4">
      <w:pPr>
        <w:spacing w:line="400" w:lineRule="exact"/>
        <w:ind w:firstLine="420" w:firstLineChars="200"/>
        <w:rPr>
          <w:rFonts w:hint="eastAsia"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（3）其他价格方式：</w:t>
      </w:r>
      <w:r>
        <w:rPr>
          <w:rFonts w:hint="eastAsia" w:ascii="宋体" w:hAnsi="宋体" w:cs="宋体"/>
          <w:color w:val="000000" w:themeColor="text1"/>
          <w:u w:val="single"/>
          <w14:textFill>
            <w14:solidFill>
              <w14:schemeClr w14:val="tx1"/>
            </w14:solidFill>
          </w14:textFill>
        </w:rPr>
        <w:t xml:space="preserve">    /    </w:t>
      </w:r>
      <w:r>
        <w:rPr>
          <w:rFonts w:hint="eastAsia" w:ascii="宋体" w:hAnsi="宋体" w:cs="宋体"/>
          <w:color w:val="000000" w:themeColor="text1"/>
          <w14:textFill>
            <w14:solidFill>
              <w14:schemeClr w14:val="tx1"/>
            </w14:solidFill>
          </w14:textFill>
        </w:rPr>
        <w:t>。</w:t>
      </w:r>
    </w:p>
    <w:p w14:paraId="5861F838">
      <w:pPr>
        <w:pStyle w:val="96"/>
        <w:spacing w:before="0" w:after="200" w:line="400" w:lineRule="exact"/>
        <w:rPr>
          <w:rFonts w:hint="eastAsia" w:ascii="宋体" w:cs="宋体"/>
          <w:bCs w:val="0"/>
          <w:color w:val="000000" w:themeColor="text1"/>
          <w14:textFill>
            <w14:solidFill>
              <w14:schemeClr w14:val="tx1"/>
            </w14:solidFill>
          </w14:textFill>
        </w:rPr>
      </w:pPr>
      <w:bookmarkStart w:id="1084" w:name="_Toc520505901"/>
      <w:bookmarkStart w:id="1085" w:name="_Toc4758"/>
      <w:bookmarkStart w:id="1086" w:name="_Toc406522272"/>
      <w:bookmarkStart w:id="1087" w:name="_Toc173253231"/>
      <w:bookmarkStart w:id="1088" w:name="_Toc185770483"/>
      <w:r>
        <w:rPr>
          <w:rFonts w:hint="eastAsia" w:ascii="宋体" w:cs="宋体"/>
          <w:bCs w:val="0"/>
          <w:color w:val="000000" w:themeColor="text1"/>
          <w14:textFill>
            <w14:solidFill>
              <w14:schemeClr w14:val="tx1"/>
            </w14:solidFill>
          </w14:textFill>
        </w:rPr>
        <w:t>12.2 预付款</w:t>
      </w:r>
      <w:bookmarkEnd w:id="1084"/>
      <w:bookmarkEnd w:id="1085"/>
      <w:bookmarkEnd w:id="1086"/>
      <w:bookmarkEnd w:id="1087"/>
      <w:bookmarkEnd w:id="1088"/>
    </w:p>
    <w:bookmarkEnd w:id="1068"/>
    <w:bookmarkEnd w:id="1069"/>
    <w:bookmarkEnd w:id="1070"/>
    <w:bookmarkEnd w:id="1071"/>
    <w:bookmarkEnd w:id="1072"/>
    <w:bookmarkEnd w:id="1073"/>
    <w:p w14:paraId="75677032">
      <w:pPr>
        <w:pStyle w:val="102"/>
        <w:spacing w:line="400" w:lineRule="exact"/>
        <w:rPr>
          <w:rFonts w:hint="eastAsia"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12.2.1 预付款的支付</w:t>
      </w:r>
    </w:p>
    <w:p w14:paraId="1DDD07BF">
      <w:pPr>
        <w:pStyle w:val="102"/>
        <w:spacing w:line="400" w:lineRule="exact"/>
        <w:rPr>
          <w:rFonts w:hint="eastAsia" w:ascii="宋体" w:hAnsi="宋体"/>
          <w:color w:val="000000" w:themeColor="text1"/>
          <w:sz w:val="22"/>
          <w:szCs w:val="22"/>
          <w:highlight w:val="none"/>
          <w:lang w:eastAsia="zh-CN"/>
          <w14:textFill>
            <w14:solidFill>
              <w14:schemeClr w14:val="tx1"/>
            </w14:solidFill>
          </w14:textFill>
        </w:rPr>
      </w:pPr>
      <w:r>
        <w:rPr>
          <w:rFonts w:hint="eastAsia" w:ascii="宋体" w:hAnsi="宋体"/>
          <w:color w:val="000000" w:themeColor="text1"/>
          <w:sz w:val="22"/>
          <w:szCs w:val="22"/>
          <w:highlight w:val="none"/>
          <w:lang w:eastAsia="zh-CN"/>
          <w14:textFill>
            <w14:solidFill>
              <w14:schemeClr w14:val="tx1"/>
            </w14:solidFill>
          </w14:textFill>
        </w:rPr>
        <w:t>预付款支付比例或金额：</w:t>
      </w:r>
      <w:r>
        <w:rPr>
          <w:rFonts w:hint="eastAsia" w:ascii="宋体" w:hAnsi="宋体"/>
          <w:color w:val="000000" w:themeColor="text1"/>
          <w:sz w:val="22"/>
          <w:szCs w:val="22"/>
          <w:highlight w:val="none"/>
          <w:u w:val="single"/>
          <w:lang w:eastAsia="zh-CN"/>
          <w14:textFill>
            <w14:solidFill>
              <w14:schemeClr w14:val="tx1"/>
            </w14:solidFill>
          </w14:textFill>
        </w:rPr>
        <w:t xml:space="preserve"> </w:t>
      </w:r>
      <w:r>
        <w:rPr>
          <w:rFonts w:hint="eastAsia" w:ascii="宋体" w:hAnsi="宋体"/>
          <w:color w:val="000000" w:themeColor="text1"/>
          <w:sz w:val="22"/>
          <w:szCs w:val="22"/>
          <w:highlight w:val="none"/>
          <w:u w:val="single"/>
          <w:lang w:val="en-US" w:eastAsia="zh-CN"/>
          <w14:textFill>
            <w14:solidFill>
              <w14:schemeClr w14:val="tx1"/>
            </w14:solidFill>
          </w14:textFill>
        </w:rPr>
        <w:t xml:space="preserve">   </w:t>
      </w:r>
      <w:r>
        <w:rPr>
          <w:rFonts w:hint="eastAsia" w:ascii="宋体" w:hAnsi="宋体" w:cs="宋体"/>
          <w:color w:val="000000" w:themeColor="text1"/>
          <w:u w:val="single"/>
          <w14:textFill>
            <w14:solidFill>
              <w14:schemeClr w14:val="tx1"/>
            </w14:solidFill>
          </w14:textFill>
        </w:rPr>
        <w:t xml:space="preserve">无 </w:t>
      </w:r>
      <w:r>
        <w:rPr>
          <w:rFonts w:hint="eastAsia" w:ascii="宋体" w:hAnsi="宋体" w:cs="宋体"/>
          <w:color w:val="000000" w:themeColor="text1"/>
          <w:u w:val="single"/>
          <w:lang w:val="en-US" w:eastAsia="zh-CN"/>
          <w14:textFill>
            <w14:solidFill>
              <w14:schemeClr w14:val="tx1"/>
            </w14:solidFill>
          </w14:textFill>
        </w:rPr>
        <w:t xml:space="preserve">     </w:t>
      </w:r>
      <w:r>
        <w:rPr>
          <w:rFonts w:hint="eastAsia" w:ascii="宋体" w:hAnsi="宋体"/>
          <w:color w:val="000000" w:themeColor="text1"/>
          <w:sz w:val="22"/>
          <w:szCs w:val="22"/>
          <w:highlight w:val="none"/>
          <w:u w:val="single"/>
          <w:lang w:eastAsia="zh-CN"/>
          <w14:textFill>
            <w14:solidFill>
              <w14:schemeClr w14:val="tx1"/>
            </w14:solidFill>
          </w14:textFill>
        </w:rPr>
        <w:t xml:space="preserve">  </w:t>
      </w:r>
      <w:r>
        <w:rPr>
          <w:rFonts w:hint="eastAsia" w:ascii="宋体" w:hAnsi="宋体"/>
          <w:color w:val="000000" w:themeColor="text1"/>
          <w:sz w:val="22"/>
          <w:szCs w:val="22"/>
          <w:highlight w:val="none"/>
          <w:lang w:eastAsia="zh-CN"/>
          <w14:textFill>
            <w14:solidFill>
              <w14:schemeClr w14:val="tx1"/>
            </w14:solidFill>
          </w14:textFill>
        </w:rPr>
        <w:t>。</w:t>
      </w:r>
    </w:p>
    <w:p w14:paraId="4C585FC5">
      <w:pPr>
        <w:pStyle w:val="102"/>
        <w:spacing w:line="400" w:lineRule="exact"/>
        <w:rPr>
          <w:rFonts w:hint="eastAsia" w:ascii="宋体" w:hAnsi="宋体"/>
          <w:color w:val="000000" w:themeColor="text1"/>
          <w:sz w:val="22"/>
          <w:szCs w:val="22"/>
          <w:highlight w:val="none"/>
          <w:lang w:eastAsia="zh-CN"/>
          <w14:textFill>
            <w14:solidFill>
              <w14:schemeClr w14:val="tx1"/>
            </w14:solidFill>
          </w14:textFill>
        </w:rPr>
      </w:pPr>
      <w:r>
        <w:rPr>
          <w:rFonts w:hint="eastAsia" w:ascii="宋体" w:hAnsi="宋体"/>
          <w:color w:val="000000" w:themeColor="text1"/>
          <w:sz w:val="22"/>
          <w:szCs w:val="22"/>
          <w:highlight w:val="none"/>
          <w:lang w:eastAsia="zh-CN"/>
          <w14:textFill>
            <w14:solidFill>
              <w14:schemeClr w14:val="tx1"/>
            </w14:solidFill>
          </w14:textFill>
        </w:rPr>
        <w:t>预付款支付期限：</w:t>
      </w:r>
      <w:r>
        <w:rPr>
          <w:rFonts w:hint="eastAsia" w:ascii="宋体" w:hAnsi="宋体"/>
          <w:color w:val="000000" w:themeColor="text1"/>
          <w:sz w:val="22"/>
          <w:szCs w:val="22"/>
          <w:highlight w:val="none"/>
          <w:u w:val="single"/>
          <w:lang w:eastAsia="zh-CN"/>
          <w14:textFill>
            <w14:solidFill>
              <w14:schemeClr w14:val="tx1"/>
            </w14:solidFill>
          </w14:textFill>
        </w:rPr>
        <w:t xml:space="preserve"> </w:t>
      </w:r>
      <w:r>
        <w:rPr>
          <w:rFonts w:hint="eastAsia" w:ascii="宋体" w:hAnsi="宋体"/>
          <w:color w:val="000000" w:themeColor="text1"/>
          <w:sz w:val="22"/>
          <w:szCs w:val="22"/>
          <w:highlight w:val="none"/>
          <w:u w:val="single"/>
          <w:lang w:val="en-US" w:eastAsia="zh-CN"/>
          <w14:textFill>
            <w14:solidFill>
              <w14:schemeClr w14:val="tx1"/>
            </w14:solidFill>
          </w14:textFill>
        </w:rPr>
        <w:t xml:space="preserve">      </w:t>
      </w:r>
      <w:r>
        <w:rPr>
          <w:rFonts w:hint="eastAsia" w:ascii="宋体" w:hAnsi="宋体" w:cs="宋体"/>
          <w:color w:val="000000" w:themeColor="text1"/>
          <w:u w:val="single"/>
          <w14:textFill>
            <w14:solidFill>
              <w14:schemeClr w14:val="tx1"/>
            </w14:solidFill>
          </w14:textFill>
        </w:rPr>
        <w:t>无</w:t>
      </w:r>
      <w:r>
        <w:rPr>
          <w:rFonts w:hint="eastAsia" w:ascii="宋体" w:hAnsi="宋体" w:cs="宋体"/>
          <w:color w:val="000000" w:themeColor="text1"/>
          <w:u w:val="single"/>
          <w:lang w:val="en-US" w:eastAsia="zh-CN"/>
          <w14:textFill>
            <w14:solidFill>
              <w14:schemeClr w14:val="tx1"/>
            </w14:solidFill>
          </w14:textFill>
        </w:rPr>
        <w:t xml:space="preserve">         </w:t>
      </w:r>
      <w:r>
        <w:rPr>
          <w:rFonts w:hint="eastAsia" w:ascii="宋体" w:hAnsi="宋体" w:cs="宋体"/>
          <w:color w:val="000000" w:themeColor="text1"/>
          <w:u w:val="single"/>
          <w14:textFill>
            <w14:solidFill>
              <w14:schemeClr w14:val="tx1"/>
            </w14:solidFill>
          </w14:textFill>
        </w:rPr>
        <w:t xml:space="preserve"> </w:t>
      </w:r>
      <w:r>
        <w:rPr>
          <w:rFonts w:hint="eastAsia" w:ascii="宋体" w:hAnsi="宋体"/>
          <w:color w:val="000000" w:themeColor="text1"/>
          <w:sz w:val="22"/>
          <w:szCs w:val="22"/>
          <w:highlight w:val="none"/>
          <w:u w:val="single"/>
          <w:lang w:eastAsia="zh-CN"/>
          <w14:textFill>
            <w14:solidFill>
              <w14:schemeClr w14:val="tx1"/>
            </w14:solidFill>
          </w14:textFill>
        </w:rPr>
        <w:t xml:space="preserve"> </w:t>
      </w:r>
      <w:r>
        <w:rPr>
          <w:rFonts w:hint="eastAsia" w:ascii="宋体" w:hAnsi="宋体"/>
          <w:color w:val="000000" w:themeColor="text1"/>
          <w:sz w:val="22"/>
          <w:szCs w:val="22"/>
          <w:highlight w:val="none"/>
          <w:lang w:eastAsia="zh-CN"/>
          <w14:textFill>
            <w14:solidFill>
              <w14:schemeClr w14:val="tx1"/>
            </w14:solidFill>
          </w14:textFill>
        </w:rPr>
        <w:t>。</w:t>
      </w:r>
    </w:p>
    <w:p w14:paraId="5A251A9B">
      <w:pPr>
        <w:pStyle w:val="102"/>
        <w:spacing w:line="400" w:lineRule="exact"/>
        <w:rPr>
          <w:rFonts w:hint="eastAsia" w:ascii="宋体" w:hAnsi="宋体"/>
          <w:color w:val="000000" w:themeColor="text1"/>
          <w:sz w:val="22"/>
          <w:szCs w:val="22"/>
          <w:highlight w:val="none"/>
          <w:lang w:eastAsia="zh-CN"/>
          <w14:textFill>
            <w14:solidFill>
              <w14:schemeClr w14:val="tx1"/>
            </w14:solidFill>
          </w14:textFill>
        </w:rPr>
      </w:pPr>
      <w:r>
        <w:rPr>
          <w:rFonts w:hint="eastAsia" w:ascii="宋体" w:hAnsi="宋体" w:eastAsia="宋体" w:cs="Times New Roman"/>
          <w:color w:val="000000" w:themeColor="text1"/>
          <w:sz w:val="22"/>
          <w:szCs w:val="22"/>
          <w:highlight w:val="none"/>
          <w:lang w:eastAsia="zh-CN"/>
          <w14:textFill>
            <w14:solidFill>
              <w14:schemeClr w14:val="tx1"/>
            </w14:solidFill>
          </w14:textFill>
        </w:rPr>
        <w:t>预付款</w:t>
      </w:r>
      <w:r>
        <w:rPr>
          <w:rFonts w:hint="eastAsia" w:ascii="宋体" w:hAnsi="宋体"/>
          <w:color w:val="000000" w:themeColor="text1"/>
          <w:sz w:val="22"/>
          <w:szCs w:val="22"/>
          <w:highlight w:val="none"/>
          <w:lang w:eastAsia="zh-CN"/>
          <w14:textFill>
            <w14:solidFill>
              <w14:schemeClr w14:val="tx1"/>
            </w14:solidFill>
          </w14:textFill>
        </w:rPr>
        <w:t>扣回的方式：</w:t>
      </w:r>
      <w:r>
        <w:rPr>
          <w:rFonts w:hint="eastAsia" w:ascii="宋体" w:hAnsi="宋体"/>
          <w:color w:val="000000" w:themeColor="text1"/>
          <w:sz w:val="22"/>
          <w:szCs w:val="22"/>
          <w:highlight w:val="none"/>
          <w:u w:val="single"/>
          <w:lang w:eastAsia="zh-CN"/>
          <w14:textFill>
            <w14:solidFill>
              <w14:schemeClr w14:val="tx1"/>
            </w14:solidFill>
          </w14:textFill>
        </w:rPr>
        <w:t xml:space="preserve"> </w:t>
      </w:r>
      <w:r>
        <w:rPr>
          <w:rFonts w:hint="eastAsia" w:ascii="宋体" w:hAnsi="宋体"/>
          <w:color w:val="000000" w:themeColor="text1"/>
          <w:sz w:val="22"/>
          <w:szCs w:val="22"/>
          <w:highlight w:val="none"/>
          <w:u w:val="single"/>
          <w:lang w:val="en-US" w:eastAsia="zh-CN"/>
          <w14:textFill>
            <w14:solidFill>
              <w14:schemeClr w14:val="tx1"/>
            </w14:solidFill>
          </w14:textFill>
        </w:rPr>
        <w:t xml:space="preserve">    </w:t>
      </w:r>
      <w:r>
        <w:rPr>
          <w:rFonts w:hint="eastAsia" w:ascii="宋体" w:hAnsi="宋体" w:cs="宋体"/>
          <w:color w:val="000000" w:themeColor="text1"/>
          <w:u w:val="single"/>
          <w14:textFill>
            <w14:solidFill>
              <w14:schemeClr w14:val="tx1"/>
            </w14:solidFill>
          </w14:textFill>
        </w:rPr>
        <w:t xml:space="preserve">无 </w:t>
      </w:r>
      <w:r>
        <w:rPr>
          <w:rFonts w:hint="eastAsia" w:ascii="宋体" w:hAnsi="宋体" w:cs="宋体"/>
          <w:color w:val="000000" w:themeColor="text1"/>
          <w:u w:val="single"/>
          <w:lang w:val="en-US" w:eastAsia="zh-CN"/>
          <w14:textFill>
            <w14:solidFill>
              <w14:schemeClr w14:val="tx1"/>
            </w14:solidFill>
          </w14:textFill>
        </w:rPr>
        <w:t xml:space="preserve">        </w:t>
      </w:r>
      <w:r>
        <w:rPr>
          <w:rFonts w:hint="eastAsia" w:ascii="宋体" w:hAnsi="宋体"/>
          <w:color w:val="000000" w:themeColor="text1"/>
          <w:sz w:val="22"/>
          <w:szCs w:val="22"/>
          <w:highlight w:val="none"/>
          <w:u w:val="single"/>
          <w:lang w:eastAsia="zh-CN"/>
          <w14:textFill>
            <w14:solidFill>
              <w14:schemeClr w14:val="tx1"/>
            </w14:solidFill>
          </w14:textFill>
        </w:rPr>
        <w:t xml:space="preserve">  </w:t>
      </w:r>
      <w:r>
        <w:rPr>
          <w:rFonts w:hint="eastAsia" w:ascii="宋体" w:hAnsi="宋体"/>
          <w:color w:val="000000" w:themeColor="text1"/>
          <w:sz w:val="22"/>
          <w:szCs w:val="22"/>
          <w:highlight w:val="none"/>
          <w:lang w:eastAsia="zh-CN"/>
          <w14:textFill>
            <w14:solidFill>
              <w14:schemeClr w14:val="tx1"/>
            </w14:solidFill>
          </w14:textFill>
        </w:rPr>
        <w:t>。</w:t>
      </w:r>
    </w:p>
    <w:p w14:paraId="40735105">
      <w:pPr>
        <w:pStyle w:val="102"/>
        <w:spacing w:line="400" w:lineRule="exact"/>
        <w:rPr>
          <w:rFonts w:hint="eastAsia" w:ascii="宋体" w:hAnsi="宋体" w:cs="宋体"/>
          <w:color w:val="000000" w:themeColor="text1"/>
          <w14:textFill>
            <w14:solidFill>
              <w14:schemeClr w14:val="tx1"/>
            </w14:solidFill>
          </w14:textFill>
        </w:rPr>
      </w:pPr>
    </w:p>
    <w:p w14:paraId="6A8CF9F7">
      <w:pPr>
        <w:pStyle w:val="102"/>
        <w:spacing w:line="400" w:lineRule="exact"/>
        <w:outlineLvl w:val="0"/>
        <w:rPr>
          <w:rFonts w:hint="eastAsia" w:ascii="宋体" w:hAnsi="宋体" w:cs="宋体"/>
          <w:color w:val="000000" w:themeColor="text1"/>
          <w14:textFill>
            <w14:solidFill>
              <w14:schemeClr w14:val="tx1"/>
            </w14:solidFill>
          </w14:textFill>
        </w:rPr>
      </w:pPr>
      <w:bookmarkStart w:id="1089" w:name="_Toc173253232"/>
      <w:bookmarkStart w:id="1090" w:name="_Toc406419397"/>
      <w:bookmarkStart w:id="1091" w:name="_Toc406522273"/>
      <w:bookmarkStart w:id="1092" w:name="_Toc520505902"/>
      <w:bookmarkStart w:id="1093" w:name="_Toc13096"/>
      <w:bookmarkStart w:id="1094" w:name="_Toc185770484"/>
      <w:r>
        <w:rPr>
          <w:rFonts w:hint="eastAsia" w:ascii="宋体" w:hAnsi="宋体" w:cs="宋体"/>
          <w:color w:val="000000" w:themeColor="text1"/>
          <w14:textFill>
            <w14:solidFill>
              <w14:schemeClr w14:val="tx1"/>
            </w14:solidFill>
          </w14:textFill>
        </w:rPr>
        <w:t>12.2.2 预付款担保</w:t>
      </w:r>
      <w:bookmarkEnd w:id="1089"/>
      <w:bookmarkEnd w:id="1090"/>
      <w:bookmarkEnd w:id="1091"/>
      <w:bookmarkEnd w:id="1092"/>
      <w:bookmarkEnd w:id="1093"/>
      <w:bookmarkEnd w:id="1094"/>
    </w:p>
    <w:p w14:paraId="2C630644">
      <w:pPr>
        <w:pStyle w:val="102"/>
        <w:spacing w:line="400" w:lineRule="exact"/>
        <w:rPr>
          <w:rFonts w:hint="eastAsia" w:ascii="宋体" w:hAnsi="宋体"/>
          <w:color w:val="000000" w:themeColor="text1"/>
          <w:sz w:val="22"/>
          <w:highlight w:val="none"/>
          <w:lang w:eastAsia="zh-CN"/>
          <w14:textFill>
            <w14:solidFill>
              <w14:schemeClr w14:val="tx1"/>
            </w14:solidFill>
          </w14:textFill>
        </w:rPr>
      </w:pPr>
      <w:r>
        <w:rPr>
          <w:rFonts w:hint="eastAsia" w:ascii="宋体" w:hAnsi="宋体" w:eastAsia="宋体" w:cs="Times New Roman"/>
          <w:color w:val="000000" w:themeColor="text1"/>
          <w:sz w:val="22"/>
          <w:szCs w:val="22"/>
          <w:highlight w:val="none"/>
          <w:lang w:eastAsia="zh-CN"/>
          <w14:textFill>
            <w14:solidFill>
              <w14:schemeClr w14:val="tx1"/>
            </w14:solidFill>
          </w14:textFill>
        </w:rPr>
        <w:t>预付款</w:t>
      </w:r>
      <w:r>
        <w:rPr>
          <w:rFonts w:hint="eastAsia" w:ascii="宋体" w:hAnsi="宋体"/>
          <w:color w:val="000000" w:themeColor="text1"/>
          <w:sz w:val="22"/>
          <w:highlight w:val="none"/>
          <w:lang w:eastAsia="zh-CN"/>
          <w14:textFill>
            <w14:solidFill>
              <w14:schemeClr w14:val="tx1"/>
            </w14:solidFill>
          </w14:textFill>
        </w:rPr>
        <w:t>担保额度：</w:t>
      </w:r>
      <w:r>
        <w:rPr>
          <w:rFonts w:hint="eastAsia" w:ascii="宋体" w:hAnsi="宋体"/>
          <w:color w:val="000000" w:themeColor="text1"/>
          <w:sz w:val="22"/>
          <w:highlight w:val="none"/>
          <w:u w:val="single"/>
          <w:lang w:eastAsia="zh-CN"/>
          <w14:textFill>
            <w14:solidFill>
              <w14:schemeClr w14:val="tx1"/>
            </w14:solidFill>
          </w14:textFill>
        </w:rPr>
        <w:t xml:space="preserve">  </w:t>
      </w:r>
      <w:r>
        <w:rPr>
          <w:rFonts w:hint="eastAsia" w:ascii="宋体" w:hAnsi="宋体"/>
          <w:color w:val="000000" w:themeColor="text1"/>
          <w:sz w:val="22"/>
          <w:highlight w:val="none"/>
          <w:u w:val="single"/>
          <w:lang w:val="en-US" w:eastAsia="zh-CN"/>
          <w14:textFill>
            <w14:solidFill>
              <w14:schemeClr w14:val="tx1"/>
            </w14:solidFill>
          </w14:textFill>
        </w:rPr>
        <w:t xml:space="preserve">                </w:t>
      </w:r>
      <w:r>
        <w:rPr>
          <w:rFonts w:hint="eastAsia" w:ascii="宋体" w:hAnsi="宋体"/>
          <w:color w:val="000000" w:themeColor="text1"/>
          <w:sz w:val="22"/>
          <w:highlight w:val="none"/>
          <w:u w:val="single"/>
          <w:lang w:eastAsia="zh-CN"/>
          <w14:textFill>
            <w14:solidFill>
              <w14:schemeClr w14:val="tx1"/>
            </w14:solidFill>
          </w14:textFill>
        </w:rPr>
        <w:t xml:space="preserve">    </w:t>
      </w:r>
      <w:r>
        <w:rPr>
          <w:rFonts w:hint="eastAsia" w:ascii="宋体" w:hAnsi="宋体"/>
          <w:color w:val="000000" w:themeColor="text1"/>
          <w:sz w:val="22"/>
          <w:highlight w:val="none"/>
          <w:lang w:eastAsia="zh-CN"/>
          <w14:textFill>
            <w14:solidFill>
              <w14:schemeClr w14:val="tx1"/>
            </w14:solidFill>
          </w14:textFill>
        </w:rPr>
        <w:t>。</w:t>
      </w:r>
    </w:p>
    <w:p w14:paraId="3968F9CD">
      <w:pPr>
        <w:pStyle w:val="102"/>
        <w:spacing w:line="400" w:lineRule="exact"/>
        <w:rPr>
          <w:rFonts w:hint="eastAsia" w:ascii="宋体" w:hAnsi="宋体"/>
          <w:color w:val="000000" w:themeColor="text1"/>
          <w:sz w:val="22"/>
          <w:highlight w:val="none"/>
          <w:lang w:eastAsia="zh-CN"/>
          <w14:textFill>
            <w14:solidFill>
              <w14:schemeClr w14:val="tx1"/>
            </w14:solidFill>
          </w14:textFill>
        </w:rPr>
      </w:pPr>
      <w:r>
        <w:rPr>
          <w:rFonts w:hint="eastAsia" w:ascii="宋体" w:hAnsi="宋体" w:eastAsia="宋体" w:cs="Times New Roman"/>
          <w:color w:val="000000" w:themeColor="text1"/>
          <w:sz w:val="22"/>
          <w:szCs w:val="22"/>
          <w:highlight w:val="none"/>
          <w:lang w:eastAsia="zh-CN"/>
          <w14:textFill>
            <w14:solidFill>
              <w14:schemeClr w14:val="tx1"/>
            </w14:solidFill>
          </w14:textFill>
        </w:rPr>
        <w:t>预付款</w:t>
      </w:r>
      <w:r>
        <w:rPr>
          <w:rFonts w:hint="eastAsia" w:ascii="宋体" w:hAnsi="宋体"/>
          <w:color w:val="000000" w:themeColor="text1"/>
          <w:sz w:val="22"/>
          <w:highlight w:val="none"/>
          <w:lang w:eastAsia="zh-CN"/>
          <w14:textFill>
            <w14:solidFill>
              <w14:schemeClr w14:val="tx1"/>
            </w14:solidFill>
          </w14:textFill>
        </w:rPr>
        <w:t>担保的形式为：</w:t>
      </w:r>
      <w:r>
        <w:rPr>
          <w:rFonts w:hint="eastAsia" w:ascii="宋体" w:hAnsi="宋体"/>
          <w:color w:val="000000" w:themeColor="text1"/>
          <w:sz w:val="22"/>
          <w:highlight w:val="none"/>
          <w:u w:val="single"/>
          <w:lang w:eastAsia="zh-CN"/>
          <w14:textFill>
            <w14:solidFill>
              <w14:schemeClr w14:val="tx1"/>
            </w14:solidFill>
          </w14:textFill>
        </w:rPr>
        <w:t xml:space="preserve">   </w:t>
      </w:r>
      <w:r>
        <w:rPr>
          <w:rFonts w:hint="eastAsia" w:ascii="宋体" w:hAnsi="宋体"/>
          <w:b/>
          <w:color w:val="000000" w:themeColor="text1"/>
          <w:sz w:val="22"/>
          <w:highlight w:val="none"/>
          <w:u w:val="single"/>
          <w:lang w:val="en-US" w:eastAsia="zh-CN"/>
          <w14:textFill>
            <w14:solidFill>
              <w14:schemeClr w14:val="tx1"/>
            </w14:solidFill>
          </w14:textFill>
        </w:rPr>
        <w:t xml:space="preserve">                </w:t>
      </w:r>
      <w:r>
        <w:rPr>
          <w:rFonts w:hint="eastAsia" w:ascii="宋体" w:hAnsi="宋体"/>
          <w:color w:val="000000" w:themeColor="text1"/>
          <w:sz w:val="22"/>
          <w:highlight w:val="none"/>
          <w:u w:val="single"/>
          <w:lang w:eastAsia="zh-CN"/>
          <w14:textFill>
            <w14:solidFill>
              <w14:schemeClr w14:val="tx1"/>
            </w14:solidFill>
          </w14:textFill>
        </w:rPr>
        <w:t xml:space="preserve">  </w:t>
      </w:r>
      <w:r>
        <w:rPr>
          <w:rFonts w:hint="eastAsia" w:ascii="宋体" w:hAnsi="宋体"/>
          <w:color w:val="000000" w:themeColor="text1"/>
          <w:sz w:val="22"/>
          <w:highlight w:val="none"/>
          <w:lang w:eastAsia="zh-CN"/>
          <w14:textFill>
            <w14:solidFill>
              <w14:schemeClr w14:val="tx1"/>
            </w14:solidFill>
          </w14:textFill>
        </w:rPr>
        <w:t>。</w:t>
      </w:r>
    </w:p>
    <w:p w14:paraId="2DBDD7DF">
      <w:pPr>
        <w:pStyle w:val="102"/>
        <w:spacing w:line="400" w:lineRule="exact"/>
        <w:rPr>
          <w:rFonts w:hint="eastAsia" w:ascii="宋体" w:hAnsi="宋体"/>
          <w:color w:val="000000" w:themeColor="text1"/>
          <w:sz w:val="22"/>
          <w:highlight w:val="none"/>
          <w:lang w:eastAsia="zh-CN"/>
          <w14:textFill>
            <w14:solidFill>
              <w14:schemeClr w14:val="tx1"/>
            </w14:solidFill>
          </w14:textFill>
        </w:rPr>
      </w:pPr>
      <w:r>
        <w:rPr>
          <w:rFonts w:hint="eastAsia" w:ascii="宋体" w:hAnsi="宋体"/>
          <w:color w:val="000000" w:themeColor="text1"/>
          <w:sz w:val="22"/>
          <w:highlight w:val="none"/>
          <w:lang w:eastAsia="zh-CN"/>
          <w14:textFill>
            <w14:solidFill>
              <w14:schemeClr w14:val="tx1"/>
            </w14:solidFill>
          </w14:textFill>
        </w:rPr>
        <w:t>承包人提交预付款担保的期限：</w:t>
      </w:r>
      <w:r>
        <w:rPr>
          <w:rFonts w:hint="eastAsia" w:ascii="宋体" w:hAnsi="宋体"/>
          <w:color w:val="000000" w:themeColor="text1"/>
          <w:sz w:val="22"/>
          <w:highlight w:val="none"/>
          <w:u w:val="single"/>
          <w:lang w:eastAsia="zh-CN"/>
          <w14:textFill>
            <w14:solidFill>
              <w14:schemeClr w14:val="tx1"/>
            </w14:solidFill>
          </w14:textFill>
        </w:rPr>
        <w:t xml:space="preserve">    </w:t>
      </w:r>
      <w:r>
        <w:rPr>
          <w:rFonts w:hint="eastAsia" w:ascii="宋体" w:hAnsi="宋体"/>
          <w:color w:val="000000" w:themeColor="text1"/>
          <w:sz w:val="22"/>
          <w:szCs w:val="22"/>
          <w:highlight w:val="none"/>
          <w:u w:val="single"/>
          <w:lang w:val="en-US" w:eastAsia="zh-CN"/>
          <w14:textFill>
            <w14:solidFill>
              <w14:schemeClr w14:val="tx1"/>
            </w14:solidFill>
          </w14:textFill>
        </w:rPr>
        <w:t xml:space="preserve">    </w:t>
      </w:r>
      <w:r>
        <w:rPr>
          <w:rFonts w:hint="eastAsia" w:ascii="宋体" w:hAnsi="宋体"/>
          <w:color w:val="000000" w:themeColor="text1"/>
          <w:sz w:val="22"/>
          <w:highlight w:val="none"/>
          <w:u w:val="single"/>
          <w:lang w:eastAsia="zh-CN"/>
          <w14:textFill>
            <w14:solidFill>
              <w14:schemeClr w14:val="tx1"/>
            </w14:solidFill>
          </w14:textFill>
        </w:rPr>
        <w:t xml:space="preserve">      </w:t>
      </w:r>
      <w:r>
        <w:rPr>
          <w:rFonts w:hint="eastAsia" w:ascii="宋体" w:hAnsi="宋体"/>
          <w:color w:val="000000" w:themeColor="text1"/>
          <w:sz w:val="22"/>
          <w:highlight w:val="none"/>
          <w:lang w:eastAsia="zh-CN"/>
          <w14:textFill>
            <w14:solidFill>
              <w14:schemeClr w14:val="tx1"/>
            </w14:solidFill>
          </w14:textFill>
        </w:rPr>
        <w:t>。</w:t>
      </w:r>
    </w:p>
    <w:bookmarkEnd w:id="1074"/>
    <w:bookmarkEnd w:id="1075"/>
    <w:bookmarkEnd w:id="1076"/>
    <w:bookmarkEnd w:id="1077"/>
    <w:bookmarkEnd w:id="1078"/>
    <w:bookmarkEnd w:id="1079"/>
    <w:bookmarkEnd w:id="1080"/>
    <w:bookmarkEnd w:id="1081"/>
    <w:bookmarkEnd w:id="1082"/>
    <w:bookmarkEnd w:id="1083"/>
    <w:p w14:paraId="0A64562B">
      <w:pPr>
        <w:pStyle w:val="96"/>
        <w:spacing w:before="0" w:after="200" w:line="400" w:lineRule="exact"/>
        <w:rPr>
          <w:rFonts w:hint="eastAsia" w:ascii="宋体" w:cs="宋体"/>
          <w:bCs w:val="0"/>
          <w:color w:val="000000" w:themeColor="text1"/>
          <w14:textFill>
            <w14:solidFill>
              <w14:schemeClr w14:val="tx1"/>
            </w14:solidFill>
          </w14:textFill>
        </w:rPr>
      </w:pPr>
      <w:bookmarkStart w:id="1095" w:name="_Toc185770485"/>
      <w:bookmarkStart w:id="1096" w:name="_Toc173253233"/>
      <w:bookmarkStart w:id="1097" w:name="_Toc520505903"/>
      <w:bookmarkStart w:id="1098" w:name="_Toc406522274"/>
      <w:bookmarkStart w:id="1099" w:name="_Toc3708"/>
      <w:r>
        <w:rPr>
          <w:rFonts w:hint="eastAsia" w:ascii="宋体" w:cs="宋体"/>
          <w:bCs w:val="0"/>
          <w:color w:val="000000" w:themeColor="text1"/>
          <w14:textFill>
            <w14:solidFill>
              <w14:schemeClr w14:val="tx1"/>
            </w14:solidFill>
          </w14:textFill>
        </w:rPr>
        <w:t>12.3 计量</w:t>
      </w:r>
      <w:bookmarkEnd w:id="1095"/>
      <w:bookmarkEnd w:id="1096"/>
      <w:bookmarkEnd w:id="1097"/>
      <w:bookmarkEnd w:id="1098"/>
      <w:bookmarkEnd w:id="1099"/>
    </w:p>
    <w:p w14:paraId="5FECA3E8">
      <w:pPr>
        <w:spacing w:line="400" w:lineRule="exact"/>
        <w:ind w:firstLine="420" w:firstLineChars="200"/>
        <w:rPr>
          <w:rFonts w:hint="eastAsia" w:ascii="宋体" w:hAnsi="宋体" w:cs="宋体"/>
          <w:color w:val="000000" w:themeColor="text1"/>
          <w14:textFill>
            <w14:solidFill>
              <w14:schemeClr w14:val="tx1"/>
            </w14:solidFill>
          </w14:textFill>
        </w:rPr>
      </w:pPr>
      <w:bookmarkStart w:id="1100" w:name="_Toc406419399"/>
      <w:r>
        <w:rPr>
          <w:rFonts w:hint="eastAsia" w:ascii="宋体" w:hAnsi="宋体" w:cs="宋体"/>
          <w:color w:val="000000" w:themeColor="text1"/>
          <w14:textFill>
            <w14:solidFill>
              <w14:schemeClr w14:val="tx1"/>
            </w14:solidFill>
          </w14:textFill>
        </w:rPr>
        <w:t>12.3.1 计量原则</w:t>
      </w:r>
    </w:p>
    <w:p w14:paraId="5D0B432D">
      <w:pPr>
        <w:spacing w:line="400" w:lineRule="exact"/>
        <w:ind w:firstLine="420" w:firstLineChars="200"/>
        <w:rPr>
          <w:rFonts w:hint="eastAsia"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工程量计算规则：</w:t>
      </w:r>
      <w:r>
        <w:rPr>
          <w:rFonts w:hint="eastAsia" w:ascii="宋体" w:hAnsi="宋体" w:cs="宋体"/>
          <w:color w:val="000000" w:themeColor="text1"/>
          <w:u w:val="single"/>
          <w14:textFill>
            <w14:solidFill>
              <w14:schemeClr w14:val="tx1"/>
            </w14:solidFill>
          </w14:textFill>
        </w:rPr>
        <w:t>工程的计量均以《建设工程工程量清单计价规范》（GB50500－2013）和及其广西壮族自治区实施细则、《建设工程工程量清单计算规范》（GB50854~50862－2013）及其广西实施细则、《关于建筑业实施营业税改征增值税后广西壮族自治区建设工程计价依据调整的通知》（桂建标〔2016〕17号）、本工程补充项目清单为准。</w:t>
      </w:r>
    </w:p>
    <w:p w14:paraId="3AD0D6A0">
      <w:pPr>
        <w:pStyle w:val="102"/>
        <w:spacing w:line="400" w:lineRule="exact"/>
        <w:outlineLvl w:val="0"/>
        <w:rPr>
          <w:rFonts w:hint="eastAsia" w:ascii="宋体" w:hAnsi="宋体" w:cs="宋体"/>
          <w:color w:val="000000" w:themeColor="text1"/>
          <w14:textFill>
            <w14:solidFill>
              <w14:schemeClr w14:val="tx1"/>
            </w14:solidFill>
          </w14:textFill>
        </w:rPr>
      </w:pPr>
      <w:bookmarkStart w:id="1101" w:name="_Toc406522275"/>
      <w:bookmarkStart w:id="1102" w:name="_Toc185770486"/>
      <w:bookmarkStart w:id="1103" w:name="_Toc18643"/>
      <w:bookmarkStart w:id="1104" w:name="_Toc520505904"/>
      <w:bookmarkStart w:id="1105" w:name="_Toc173253234"/>
      <w:r>
        <w:rPr>
          <w:rFonts w:hint="eastAsia" w:ascii="宋体" w:hAnsi="宋体" w:cs="宋体"/>
          <w:color w:val="000000" w:themeColor="text1"/>
          <w14:textFill>
            <w14:solidFill>
              <w14:schemeClr w14:val="tx1"/>
            </w14:solidFill>
          </w14:textFill>
        </w:rPr>
        <w:t>12.3.2 计量周期</w:t>
      </w:r>
      <w:bookmarkEnd w:id="1100"/>
      <w:bookmarkEnd w:id="1101"/>
      <w:bookmarkEnd w:id="1102"/>
      <w:bookmarkEnd w:id="1103"/>
      <w:bookmarkEnd w:id="1104"/>
      <w:bookmarkEnd w:id="1105"/>
    </w:p>
    <w:p w14:paraId="4DE418B4">
      <w:pPr>
        <w:pStyle w:val="102"/>
        <w:spacing w:line="400" w:lineRule="exact"/>
        <w:rPr>
          <w:rFonts w:hint="eastAsia"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关于计量周期的约定：</w:t>
      </w:r>
      <w:r>
        <w:rPr>
          <w:rFonts w:hint="eastAsia" w:ascii="宋体" w:hAnsi="宋体" w:cs="宋体"/>
          <w:color w:val="000000" w:themeColor="text1"/>
          <w:u w:val="single"/>
          <w14:textFill>
            <w14:solidFill>
              <w14:schemeClr w14:val="tx1"/>
            </w14:solidFill>
          </w14:textFill>
        </w:rPr>
        <w:t>按通用条款约定执行</w:t>
      </w:r>
      <w:r>
        <w:rPr>
          <w:rFonts w:hint="eastAsia" w:ascii="宋体" w:hAnsi="宋体" w:cs="宋体"/>
          <w:color w:val="000000" w:themeColor="text1"/>
          <w14:textFill>
            <w14:solidFill>
              <w14:schemeClr w14:val="tx1"/>
            </w14:solidFill>
          </w14:textFill>
        </w:rPr>
        <w:t>。</w:t>
      </w:r>
    </w:p>
    <w:p w14:paraId="195DA2B9">
      <w:pPr>
        <w:pStyle w:val="102"/>
        <w:spacing w:line="400" w:lineRule="exact"/>
        <w:rPr>
          <w:rFonts w:hint="eastAsia"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12.3.3 单价合同的计量</w:t>
      </w:r>
    </w:p>
    <w:p w14:paraId="0D997F04">
      <w:pPr>
        <w:pStyle w:val="102"/>
        <w:spacing w:line="400" w:lineRule="exact"/>
        <w:rPr>
          <w:rFonts w:hint="eastAsia"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关于单价合同计量的约定：</w:t>
      </w:r>
      <w:r>
        <w:rPr>
          <w:rFonts w:hint="eastAsia" w:ascii="宋体" w:hAnsi="宋体" w:cs="宋体"/>
          <w:color w:val="000000" w:themeColor="text1"/>
          <w:u w:val="single"/>
          <w14:textFill>
            <w14:solidFill>
              <w14:schemeClr w14:val="tx1"/>
            </w14:solidFill>
          </w14:textFill>
        </w:rPr>
        <w:t>按通用条款约定执行</w:t>
      </w:r>
      <w:r>
        <w:rPr>
          <w:rFonts w:hint="eastAsia" w:ascii="宋体" w:hAnsi="宋体" w:cs="宋体"/>
          <w:color w:val="000000" w:themeColor="text1"/>
          <w14:textFill>
            <w14:solidFill>
              <w14:schemeClr w14:val="tx1"/>
            </w14:solidFill>
          </w14:textFill>
        </w:rPr>
        <w:t>。</w:t>
      </w:r>
    </w:p>
    <w:p w14:paraId="419E928C">
      <w:pPr>
        <w:pStyle w:val="102"/>
        <w:spacing w:line="400" w:lineRule="exact"/>
        <w:outlineLvl w:val="0"/>
        <w:rPr>
          <w:rFonts w:hint="eastAsia" w:ascii="宋体" w:hAnsi="宋体" w:cs="宋体"/>
          <w:color w:val="000000" w:themeColor="text1"/>
          <w14:textFill>
            <w14:solidFill>
              <w14:schemeClr w14:val="tx1"/>
            </w14:solidFill>
          </w14:textFill>
        </w:rPr>
      </w:pPr>
      <w:bookmarkStart w:id="1106" w:name="_Toc27274"/>
      <w:bookmarkStart w:id="1107" w:name="_Toc173253235"/>
      <w:bookmarkStart w:id="1108" w:name="_Toc406522276"/>
      <w:bookmarkStart w:id="1109" w:name="_Toc406419400"/>
      <w:bookmarkStart w:id="1110" w:name="_Toc520505905"/>
      <w:bookmarkStart w:id="1111" w:name="_Toc185770487"/>
      <w:r>
        <w:rPr>
          <w:rFonts w:hint="eastAsia" w:ascii="宋体" w:hAnsi="宋体" w:cs="宋体"/>
          <w:color w:val="000000" w:themeColor="text1"/>
          <w14:textFill>
            <w14:solidFill>
              <w14:schemeClr w14:val="tx1"/>
            </w14:solidFill>
          </w14:textFill>
        </w:rPr>
        <w:t>12.3.4 总价合同的计量</w:t>
      </w:r>
      <w:bookmarkEnd w:id="1106"/>
      <w:bookmarkEnd w:id="1107"/>
      <w:bookmarkEnd w:id="1108"/>
      <w:bookmarkEnd w:id="1109"/>
      <w:bookmarkEnd w:id="1110"/>
      <w:bookmarkEnd w:id="1111"/>
    </w:p>
    <w:p w14:paraId="0A4C3906">
      <w:pPr>
        <w:pStyle w:val="102"/>
        <w:spacing w:line="400" w:lineRule="exact"/>
        <w:rPr>
          <w:rFonts w:hint="eastAsia"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关于总价合同计量的约定：</w:t>
      </w:r>
      <w:r>
        <w:rPr>
          <w:rFonts w:hint="eastAsia" w:ascii="宋体" w:hAnsi="宋体" w:cs="宋体"/>
          <w:color w:val="000000" w:themeColor="text1"/>
          <w:u w:val="single"/>
          <w14:textFill>
            <w14:solidFill>
              <w14:schemeClr w14:val="tx1"/>
            </w14:solidFill>
          </w14:textFill>
        </w:rPr>
        <w:t xml:space="preserve">             /                </w:t>
      </w:r>
      <w:r>
        <w:rPr>
          <w:rFonts w:hint="eastAsia" w:ascii="宋体" w:hAnsi="宋体" w:cs="宋体"/>
          <w:color w:val="000000" w:themeColor="text1"/>
          <w14:textFill>
            <w14:solidFill>
              <w14:schemeClr w14:val="tx1"/>
            </w14:solidFill>
          </w14:textFill>
        </w:rPr>
        <w:t>。</w:t>
      </w:r>
    </w:p>
    <w:p w14:paraId="4910E8D7">
      <w:pPr>
        <w:pStyle w:val="102"/>
        <w:spacing w:line="400" w:lineRule="exact"/>
        <w:rPr>
          <w:rFonts w:hint="eastAsia"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12.3.5总价合同采用支付分解表计量支付的，是否适用第12.3.4 项〔总价合同的计量〕约定进行计量：</w:t>
      </w:r>
      <w:r>
        <w:rPr>
          <w:rFonts w:hint="eastAsia" w:ascii="宋体" w:hAnsi="宋体" w:cs="宋体"/>
          <w:color w:val="000000" w:themeColor="text1"/>
          <w:u w:val="single"/>
          <w14:textFill>
            <w14:solidFill>
              <w14:schemeClr w14:val="tx1"/>
            </w14:solidFill>
          </w14:textFill>
        </w:rPr>
        <w:t xml:space="preserve">            /         </w:t>
      </w:r>
      <w:r>
        <w:rPr>
          <w:rFonts w:hint="eastAsia" w:ascii="宋体" w:hAnsi="宋体" w:cs="宋体"/>
          <w:color w:val="000000" w:themeColor="text1"/>
          <w14:textFill>
            <w14:solidFill>
              <w14:schemeClr w14:val="tx1"/>
            </w14:solidFill>
          </w14:textFill>
        </w:rPr>
        <w:t>。</w:t>
      </w:r>
    </w:p>
    <w:p w14:paraId="4CAF0B17">
      <w:pPr>
        <w:pStyle w:val="102"/>
        <w:spacing w:line="400" w:lineRule="exact"/>
        <w:outlineLvl w:val="0"/>
        <w:rPr>
          <w:rFonts w:hint="eastAsia" w:ascii="宋体" w:hAnsi="宋体" w:cs="宋体"/>
          <w:color w:val="000000" w:themeColor="text1"/>
          <w14:textFill>
            <w14:solidFill>
              <w14:schemeClr w14:val="tx1"/>
            </w14:solidFill>
          </w14:textFill>
        </w:rPr>
      </w:pPr>
      <w:bookmarkStart w:id="1112" w:name="_Toc12835"/>
      <w:bookmarkStart w:id="1113" w:name="_Toc520505906"/>
      <w:bookmarkStart w:id="1114" w:name="_Toc185770488"/>
      <w:bookmarkStart w:id="1115" w:name="_Toc406522277"/>
      <w:bookmarkStart w:id="1116" w:name="_Toc406419401"/>
      <w:bookmarkStart w:id="1117" w:name="_Toc173253236"/>
      <w:r>
        <w:rPr>
          <w:rFonts w:hint="eastAsia" w:ascii="宋体" w:hAnsi="宋体" w:cs="宋体"/>
          <w:color w:val="000000" w:themeColor="text1"/>
          <w14:textFill>
            <w14:solidFill>
              <w14:schemeClr w14:val="tx1"/>
            </w14:solidFill>
          </w14:textFill>
        </w:rPr>
        <w:t>12.3.6 其他价格形式合同的计量</w:t>
      </w:r>
      <w:bookmarkEnd w:id="1112"/>
      <w:bookmarkEnd w:id="1113"/>
      <w:bookmarkEnd w:id="1114"/>
      <w:bookmarkEnd w:id="1115"/>
      <w:bookmarkEnd w:id="1116"/>
      <w:bookmarkEnd w:id="1117"/>
    </w:p>
    <w:p w14:paraId="6F5DEE1A">
      <w:pPr>
        <w:pStyle w:val="102"/>
        <w:spacing w:line="400" w:lineRule="exact"/>
        <w:rPr>
          <w:rFonts w:hint="eastAsia" w:ascii="宋体" w:hAnsi="宋体" w:cs="宋体"/>
          <w:color w:val="000000" w:themeColor="text1"/>
          <w:u w:val="single"/>
          <w14:textFill>
            <w14:solidFill>
              <w14:schemeClr w14:val="tx1"/>
            </w14:solidFill>
          </w14:textFill>
        </w:rPr>
      </w:pPr>
      <w:r>
        <w:rPr>
          <w:rFonts w:hint="eastAsia" w:ascii="宋体" w:hAnsi="宋体" w:cs="宋体"/>
          <w:color w:val="000000" w:themeColor="text1"/>
          <w14:textFill>
            <w14:solidFill>
              <w14:schemeClr w14:val="tx1"/>
            </w14:solidFill>
          </w14:textFill>
        </w:rPr>
        <w:t>其他价格形式的计量方式和程序：</w:t>
      </w:r>
      <w:r>
        <w:rPr>
          <w:rFonts w:hint="eastAsia" w:ascii="宋体" w:hAnsi="宋体" w:cs="宋体"/>
          <w:color w:val="000000" w:themeColor="text1"/>
          <w:u w:val="single"/>
          <w14:textFill>
            <w14:solidFill>
              <w14:schemeClr w14:val="tx1"/>
            </w14:solidFill>
          </w14:textFill>
        </w:rPr>
        <w:t xml:space="preserve">              /           　</w:t>
      </w:r>
      <w:r>
        <w:rPr>
          <w:rFonts w:hint="eastAsia" w:ascii="宋体" w:hAnsi="宋体" w:cs="宋体"/>
          <w:color w:val="000000" w:themeColor="text1"/>
          <w14:textFill>
            <w14:solidFill>
              <w14:schemeClr w14:val="tx1"/>
            </w14:solidFill>
          </w14:textFill>
        </w:rPr>
        <w:t>。</w:t>
      </w:r>
    </w:p>
    <w:p w14:paraId="2BC5AA94">
      <w:pPr>
        <w:pStyle w:val="96"/>
        <w:spacing w:before="0" w:after="200" w:line="400" w:lineRule="exact"/>
        <w:rPr>
          <w:rFonts w:hint="eastAsia" w:ascii="宋体" w:cs="宋体"/>
          <w:bCs w:val="0"/>
          <w:color w:val="000000" w:themeColor="text1"/>
          <w14:textFill>
            <w14:solidFill>
              <w14:schemeClr w14:val="tx1"/>
            </w14:solidFill>
          </w14:textFill>
        </w:rPr>
      </w:pPr>
      <w:bookmarkStart w:id="1118" w:name="_Toc406522278"/>
      <w:bookmarkStart w:id="1119" w:name="_Toc14410"/>
      <w:bookmarkStart w:id="1120" w:name="_Toc173253237"/>
      <w:bookmarkStart w:id="1121" w:name="_Toc520505907"/>
      <w:bookmarkStart w:id="1122" w:name="_Toc185770489"/>
      <w:r>
        <w:rPr>
          <w:rFonts w:hint="eastAsia" w:ascii="宋体" w:cs="宋体"/>
          <w:bCs w:val="0"/>
          <w:color w:val="000000" w:themeColor="text1"/>
          <w14:textFill>
            <w14:solidFill>
              <w14:schemeClr w14:val="tx1"/>
            </w14:solidFill>
          </w14:textFill>
        </w:rPr>
        <w:t>12.4 工程进度款支付</w:t>
      </w:r>
      <w:bookmarkEnd w:id="1118"/>
      <w:bookmarkEnd w:id="1119"/>
      <w:bookmarkEnd w:id="1120"/>
      <w:bookmarkEnd w:id="1121"/>
      <w:bookmarkEnd w:id="1122"/>
    </w:p>
    <w:p w14:paraId="38F97FE9">
      <w:pPr>
        <w:pStyle w:val="102"/>
        <w:spacing w:line="400" w:lineRule="exact"/>
        <w:rPr>
          <w:rFonts w:hint="eastAsia" w:ascii="宋体" w:hAnsi="宋体" w:cs="宋体"/>
          <w:color w:val="000000" w:themeColor="text1"/>
          <w14:textFill>
            <w14:solidFill>
              <w14:schemeClr w14:val="tx1"/>
            </w14:solidFill>
          </w14:textFill>
        </w:rPr>
      </w:pPr>
      <w:bookmarkStart w:id="1123" w:name="_Toc297048397"/>
      <w:bookmarkStart w:id="1124" w:name="_Toc297120511"/>
      <w:bookmarkStart w:id="1125" w:name="_Toc297123556"/>
      <w:bookmarkStart w:id="1126" w:name="_Toc303539163"/>
      <w:bookmarkStart w:id="1127" w:name="_Toc292559416"/>
      <w:bookmarkStart w:id="1128" w:name="_Toc296891039"/>
      <w:bookmarkStart w:id="1129" w:name="_Toc296503211"/>
      <w:bookmarkStart w:id="1130" w:name="_Toc292559921"/>
      <w:bookmarkStart w:id="1131" w:name="_Toc300935006"/>
      <w:bookmarkStart w:id="1132" w:name="_Toc296891251"/>
      <w:bookmarkStart w:id="1133" w:name="_Toc296944550"/>
      <w:bookmarkStart w:id="1134" w:name="_Toc296346712"/>
      <w:bookmarkStart w:id="1135" w:name="_Toc297216215"/>
      <w:bookmarkStart w:id="1136" w:name="_Toc296347210"/>
      <w:r>
        <w:rPr>
          <w:rFonts w:hint="eastAsia" w:ascii="宋体" w:hAnsi="宋体" w:cs="宋体"/>
          <w:color w:val="000000" w:themeColor="text1"/>
          <w14:textFill>
            <w14:solidFill>
              <w14:schemeClr w14:val="tx1"/>
            </w14:solidFill>
          </w14:textFill>
        </w:rPr>
        <w:t>12.4.1 付款周期</w:t>
      </w:r>
    </w:p>
    <w:p w14:paraId="67B11D11">
      <w:pPr>
        <w:pStyle w:val="102"/>
        <w:spacing w:line="400" w:lineRule="exact"/>
        <w:rPr>
          <w:rFonts w:hint="eastAsia" w:ascii="宋体" w:hAnsi="宋体" w:cs="宋体"/>
          <w:bCs/>
          <w:color w:val="000000" w:themeColor="text1"/>
          <w:u w:val="single"/>
          <w14:textFill>
            <w14:solidFill>
              <w14:schemeClr w14:val="tx1"/>
            </w14:solidFill>
          </w14:textFill>
        </w:rPr>
      </w:pPr>
      <w:r>
        <w:rPr>
          <w:rFonts w:hint="eastAsia" w:ascii="宋体" w:hAnsi="宋体" w:cs="宋体"/>
          <w:color w:val="000000" w:themeColor="text1"/>
          <w14:textFill>
            <w14:solidFill>
              <w14:schemeClr w14:val="tx1"/>
            </w14:solidFill>
          </w14:textFill>
        </w:rPr>
        <w:t>（1）关于付款周期的约定：</w:t>
      </w:r>
      <w:r>
        <w:rPr>
          <w:rFonts w:hint="eastAsia" w:ascii="宋体" w:hAnsi="宋体" w:cs="宋体"/>
          <w:color w:val="000000" w:themeColor="text1"/>
          <w:u w:val="single"/>
          <w14:textFill>
            <w14:solidFill>
              <w14:schemeClr w14:val="tx1"/>
            </w14:solidFill>
          </w14:textFill>
        </w:rPr>
        <w:t>主要材料到场且工程量完工50%以上（附经业主审定认可的完工工程量清单），按规定程序付给乙方40%的合同价款；工程完工验收合格（附经业主审定认可的完工工程量清单），按规定程序付至乙方80%的合同价款；经按财务规定审核确认最终造价后，工程款付至工程审核造价的97%；</w:t>
      </w:r>
      <w:r>
        <w:rPr>
          <w:rFonts w:hint="eastAsia" w:ascii="宋体" w:hAnsi="宋体" w:cs="宋体"/>
          <w:color w:val="000000" w:themeColor="text1"/>
          <w:u w:val="single"/>
          <w14:textFill>
            <w14:solidFill>
              <w14:schemeClr w14:val="tx1"/>
            </w14:solidFill>
          </w14:textFill>
        </w:rPr>
        <w:t>余工程审核造价金额的3%于质保期（两年）满后一个月内付清（无息）</w:t>
      </w:r>
      <w:r>
        <w:rPr>
          <w:rFonts w:hint="eastAsia" w:ascii="宋体" w:hAnsi="宋体" w:cs="宋体"/>
          <w:color w:val="000000" w:themeColor="text1"/>
          <w:u w:val="single"/>
          <w14:textFill>
            <w14:solidFill>
              <w14:schemeClr w14:val="tx1"/>
            </w14:solidFill>
          </w14:textFill>
        </w:rPr>
        <w:t>。</w:t>
      </w:r>
    </w:p>
    <w:p w14:paraId="310F0E8D">
      <w:pPr>
        <w:spacing w:line="400" w:lineRule="exact"/>
        <w:ind w:firstLine="422"/>
        <w:rPr>
          <w:rFonts w:hint="eastAsia" w:ascii="宋体" w:hAnsi="宋体" w:cs="宋体"/>
          <w:color w:val="000000" w:themeColor="text1"/>
          <w:u w:val="single"/>
          <w:lang w:val="zh-CN"/>
          <w14:textFill>
            <w14:solidFill>
              <w14:schemeClr w14:val="tx1"/>
            </w14:solidFill>
          </w14:textFill>
        </w:rPr>
      </w:pPr>
      <w:r>
        <w:rPr>
          <w:rFonts w:hint="eastAsia" w:ascii="宋体" w:hAnsi="宋体" w:cs="宋体"/>
          <w:color w:val="000000" w:themeColor="text1"/>
          <w:lang w:val="zh-CN"/>
          <w14:textFill>
            <w14:solidFill>
              <w14:schemeClr w14:val="tx1"/>
            </w14:solidFill>
          </w14:textFill>
        </w:rPr>
        <w:t>（2）</w:t>
      </w:r>
      <w:r>
        <w:rPr>
          <w:rFonts w:hint="eastAsia" w:ascii="宋体" w:hAnsi="宋体" w:cs="宋体"/>
          <w:color w:val="000000" w:themeColor="text1"/>
          <w:u w:val="single"/>
          <w:lang w:val="zh-CN"/>
          <w14:textFill>
            <w14:solidFill>
              <w14:schemeClr w14:val="tx1"/>
            </w14:solidFill>
          </w14:textFill>
        </w:rPr>
        <w:t>发包人在支付给承包人每一笔款前，承包人必须向发包人提供符合财税规定的工程发票。以上所指的工程量是以经双方及监理工程师审核确认的工程实物量。</w:t>
      </w:r>
    </w:p>
    <w:p w14:paraId="44D208FA">
      <w:pPr>
        <w:pStyle w:val="102"/>
        <w:spacing w:line="400" w:lineRule="exact"/>
        <w:outlineLvl w:val="0"/>
        <w:rPr>
          <w:rFonts w:hint="eastAsia" w:ascii="宋体" w:hAnsi="宋体" w:cs="宋体"/>
          <w:color w:val="000000" w:themeColor="text1"/>
          <w14:textFill>
            <w14:solidFill>
              <w14:schemeClr w14:val="tx1"/>
            </w14:solidFill>
          </w14:textFill>
        </w:rPr>
      </w:pPr>
      <w:bookmarkStart w:id="1137" w:name="_Toc406419403"/>
      <w:bookmarkStart w:id="1138" w:name="_Toc173253238"/>
      <w:bookmarkStart w:id="1139" w:name="_Toc185770490"/>
      <w:bookmarkStart w:id="1140" w:name="_Toc520505908"/>
      <w:bookmarkStart w:id="1141" w:name="_Toc406522279"/>
      <w:bookmarkStart w:id="1142" w:name="_Toc9582"/>
      <w:r>
        <w:rPr>
          <w:rFonts w:hint="eastAsia" w:ascii="宋体" w:hAnsi="宋体" w:cs="宋体"/>
          <w:color w:val="000000" w:themeColor="text1"/>
          <w14:textFill>
            <w14:solidFill>
              <w14:schemeClr w14:val="tx1"/>
            </w14:solidFill>
          </w14:textFill>
        </w:rPr>
        <w:t>12.4.2 进度付款申请单的编制</w:t>
      </w:r>
      <w:bookmarkEnd w:id="1137"/>
      <w:bookmarkEnd w:id="1138"/>
      <w:bookmarkEnd w:id="1139"/>
      <w:bookmarkEnd w:id="1140"/>
      <w:bookmarkEnd w:id="1141"/>
      <w:bookmarkEnd w:id="1142"/>
    </w:p>
    <w:p w14:paraId="6B9EA059">
      <w:pPr>
        <w:pStyle w:val="102"/>
        <w:spacing w:line="400" w:lineRule="exact"/>
        <w:rPr>
          <w:rFonts w:hint="eastAsia"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关于进度付款申请单编制的约定：</w:t>
      </w:r>
      <w:r>
        <w:rPr>
          <w:rFonts w:hint="eastAsia" w:ascii="宋体" w:hAnsi="宋体" w:cs="宋体"/>
          <w:color w:val="000000" w:themeColor="text1"/>
          <w:u w:val="single"/>
          <w14:textFill>
            <w14:solidFill>
              <w14:schemeClr w14:val="tx1"/>
            </w14:solidFill>
          </w14:textFill>
        </w:rPr>
        <w:t>按通用条款约定执行</w:t>
      </w:r>
      <w:r>
        <w:rPr>
          <w:rFonts w:hint="eastAsia" w:ascii="宋体" w:hAnsi="宋体" w:cs="宋体"/>
          <w:color w:val="000000" w:themeColor="text1"/>
          <w14:textFill>
            <w14:solidFill>
              <w14:schemeClr w14:val="tx1"/>
            </w14:solidFill>
          </w14:textFill>
        </w:rPr>
        <w:t>。</w:t>
      </w:r>
    </w:p>
    <w:p w14:paraId="494C823F">
      <w:pPr>
        <w:pStyle w:val="102"/>
        <w:spacing w:line="400" w:lineRule="exact"/>
        <w:rPr>
          <w:rFonts w:hint="eastAsia"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1</w:t>
      </w:r>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r>
        <w:rPr>
          <w:rFonts w:hint="eastAsia" w:ascii="宋体" w:hAnsi="宋体" w:cs="宋体"/>
          <w:color w:val="000000" w:themeColor="text1"/>
          <w14:textFill>
            <w14:solidFill>
              <w14:schemeClr w14:val="tx1"/>
            </w14:solidFill>
          </w14:textFill>
        </w:rPr>
        <w:t>2.4.3 进度付款申请单的提交</w:t>
      </w:r>
    </w:p>
    <w:p w14:paraId="71C4DDF2">
      <w:pPr>
        <w:pStyle w:val="102"/>
        <w:spacing w:line="400" w:lineRule="exact"/>
        <w:rPr>
          <w:rFonts w:hint="eastAsia"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（1）单价合同进度付款申请单提交的约定：</w:t>
      </w:r>
      <w:r>
        <w:rPr>
          <w:rFonts w:hint="eastAsia" w:ascii="宋体" w:hAnsi="宋体" w:cs="宋体"/>
          <w:color w:val="000000" w:themeColor="text1"/>
          <w:u w:val="single"/>
          <w14:textFill>
            <w14:solidFill>
              <w14:schemeClr w14:val="tx1"/>
            </w14:solidFill>
          </w14:textFill>
        </w:rPr>
        <w:t>按通用条款约定执行</w:t>
      </w:r>
      <w:r>
        <w:rPr>
          <w:rFonts w:hint="eastAsia" w:ascii="宋体" w:hAnsi="宋体" w:cs="宋体"/>
          <w:color w:val="000000" w:themeColor="text1"/>
          <w14:textFill>
            <w14:solidFill>
              <w14:schemeClr w14:val="tx1"/>
            </w14:solidFill>
          </w14:textFill>
        </w:rPr>
        <w:t>。</w:t>
      </w:r>
    </w:p>
    <w:p w14:paraId="3136BF81">
      <w:pPr>
        <w:pStyle w:val="102"/>
        <w:spacing w:line="400" w:lineRule="exact"/>
        <w:rPr>
          <w:rFonts w:hint="eastAsia"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（2）总价合同进度付款申请单提交的约定：</w:t>
      </w:r>
      <w:r>
        <w:rPr>
          <w:rFonts w:hint="eastAsia" w:ascii="宋体" w:hAnsi="宋体" w:cs="宋体"/>
          <w:color w:val="000000" w:themeColor="text1"/>
          <w:u w:val="single"/>
          <w14:textFill>
            <w14:solidFill>
              <w14:schemeClr w14:val="tx1"/>
            </w14:solidFill>
          </w14:textFill>
        </w:rPr>
        <w:t xml:space="preserve">           /  　　　　  </w:t>
      </w:r>
      <w:r>
        <w:rPr>
          <w:rFonts w:hint="eastAsia" w:ascii="宋体" w:hAnsi="宋体" w:cs="宋体"/>
          <w:color w:val="000000" w:themeColor="text1"/>
          <w14:textFill>
            <w14:solidFill>
              <w14:schemeClr w14:val="tx1"/>
            </w14:solidFill>
          </w14:textFill>
        </w:rPr>
        <w:t>。</w:t>
      </w:r>
    </w:p>
    <w:p w14:paraId="58F94800">
      <w:pPr>
        <w:pStyle w:val="102"/>
        <w:spacing w:line="400" w:lineRule="exact"/>
        <w:rPr>
          <w:rFonts w:hint="eastAsia" w:ascii="宋体" w:hAnsi="宋体" w:cs="宋体"/>
          <w:color w:val="000000" w:themeColor="text1"/>
          <w:u w:val="single"/>
          <w14:textFill>
            <w14:solidFill>
              <w14:schemeClr w14:val="tx1"/>
            </w14:solidFill>
          </w14:textFill>
        </w:rPr>
      </w:pPr>
      <w:r>
        <w:rPr>
          <w:rFonts w:hint="eastAsia" w:ascii="宋体" w:hAnsi="宋体" w:cs="宋体"/>
          <w:color w:val="000000" w:themeColor="text1"/>
          <w14:textFill>
            <w14:solidFill>
              <w14:schemeClr w14:val="tx1"/>
            </w14:solidFill>
          </w14:textFill>
        </w:rPr>
        <w:t>（3）其他价格形式合同进度付款申请单提交的约定：</w:t>
      </w:r>
      <w:r>
        <w:rPr>
          <w:rFonts w:hint="eastAsia" w:ascii="宋体" w:hAnsi="宋体" w:cs="宋体"/>
          <w:color w:val="000000" w:themeColor="text1"/>
          <w:u w:val="single"/>
          <w14:textFill>
            <w14:solidFill>
              <w14:schemeClr w14:val="tx1"/>
            </w14:solidFill>
          </w14:textFill>
        </w:rPr>
        <w:t xml:space="preserve">      　　　/　　　　　</w:t>
      </w:r>
      <w:r>
        <w:rPr>
          <w:rFonts w:hint="eastAsia" w:ascii="宋体" w:hAnsi="宋体" w:cs="宋体"/>
          <w:color w:val="000000" w:themeColor="text1"/>
          <w14:textFill>
            <w14:solidFill>
              <w14:schemeClr w14:val="tx1"/>
            </w14:solidFill>
          </w14:textFill>
        </w:rPr>
        <w:t>。</w:t>
      </w:r>
    </w:p>
    <w:p w14:paraId="3DD1D452">
      <w:pPr>
        <w:pStyle w:val="102"/>
        <w:spacing w:line="400" w:lineRule="exact"/>
        <w:outlineLvl w:val="0"/>
        <w:rPr>
          <w:rFonts w:hint="eastAsia" w:ascii="宋体" w:hAnsi="宋体" w:cs="宋体"/>
          <w:color w:val="000000" w:themeColor="text1"/>
          <w14:textFill>
            <w14:solidFill>
              <w14:schemeClr w14:val="tx1"/>
            </w14:solidFill>
          </w14:textFill>
        </w:rPr>
      </w:pPr>
      <w:bookmarkStart w:id="1143" w:name="_Toc173253239"/>
      <w:bookmarkStart w:id="1144" w:name="_Toc185770491"/>
      <w:bookmarkStart w:id="1145" w:name="_Toc406419404"/>
      <w:bookmarkStart w:id="1146" w:name="_Toc520505909"/>
      <w:bookmarkStart w:id="1147" w:name="_Toc23530"/>
      <w:bookmarkStart w:id="1148" w:name="_Toc406522280"/>
      <w:r>
        <w:rPr>
          <w:rFonts w:hint="eastAsia" w:ascii="宋体" w:hAnsi="宋体" w:cs="宋体"/>
          <w:color w:val="000000" w:themeColor="text1"/>
          <w14:textFill>
            <w14:solidFill>
              <w14:schemeClr w14:val="tx1"/>
            </w14:solidFill>
          </w14:textFill>
        </w:rPr>
        <w:t>12.4.4 进度款审核和支付</w:t>
      </w:r>
      <w:bookmarkEnd w:id="1143"/>
      <w:bookmarkEnd w:id="1144"/>
      <w:bookmarkEnd w:id="1145"/>
      <w:bookmarkEnd w:id="1146"/>
      <w:bookmarkEnd w:id="1147"/>
      <w:bookmarkEnd w:id="1148"/>
    </w:p>
    <w:p w14:paraId="4B830BE9">
      <w:pPr>
        <w:pStyle w:val="102"/>
        <w:spacing w:line="400" w:lineRule="exact"/>
        <w:rPr>
          <w:rFonts w:hint="eastAsia" w:ascii="宋体" w:hAnsi="宋体" w:cs="宋体"/>
          <w:color w:val="000000" w:themeColor="text1"/>
          <w:u w:val="single"/>
          <w14:textFill>
            <w14:solidFill>
              <w14:schemeClr w14:val="tx1"/>
            </w14:solidFill>
          </w14:textFill>
        </w:rPr>
      </w:pPr>
      <w:r>
        <w:rPr>
          <w:rFonts w:hint="eastAsia" w:ascii="宋体" w:hAnsi="宋体" w:cs="宋体"/>
          <w:color w:val="000000" w:themeColor="text1"/>
          <w14:textFill>
            <w14:solidFill>
              <w14:schemeClr w14:val="tx1"/>
            </w14:solidFill>
          </w14:textFill>
        </w:rPr>
        <w:t>（1）监理人审查并报送发包人的期限：</w:t>
      </w:r>
      <w:r>
        <w:rPr>
          <w:rFonts w:hint="eastAsia" w:ascii="宋体" w:hAnsi="宋体" w:cs="宋体"/>
          <w:color w:val="000000" w:themeColor="text1"/>
          <w:u w:val="single"/>
          <w14:textFill>
            <w14:solidFill>
              <w14:schemeClr w14:val="tx1"/>
            </w14:solidFill>
          </w14:textFill>
        </w:rPr>
        <w:t>按通用条款约定执行</w:t>
      </w:r>
      <w:r>
        <w:rPr>
          <w:rFonts w:hint="eastAsia" w:ascii="宋体" w:hAnsi="宋体" w:cs="宋体"/>
          <w:color w:val="000000" w:themeColor="text1"/>
          <w14:textFill>
            <w14:solidFill>
              <w14:schemeClr w14:val="tx1"/>
            </w14:solidFill>
          </w14:textFill>
        </w:rPr>
        <w:t>。</w:t>
      </w:r>
    </w:p>
    <w:p w14:paraId="59782289">
      <w:pPr>
        <w:pStyle w:val="102"/>
        <w:spacing w:line="400" w:lineRule="exact"/>
        <w:rPr>
          <w:rFonts w:hint="eastAsia"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发包人完成审批并签发进度款支付证书的期限：</w:t>
      </w:r>
      <w:r>
        <w:rPr>
          <w:rFonts w:hint="eastAsia" w:ascii="宋体" w:hAnsi="宋体" w:cs="宋体"/>
          <w:color w:val="000000" w:themeColor="text1"/>
          <w:u w:val="single"/>
          <w14:textFill>
            <w14:solidFill>
              <w14:schemeClr w14:val="tx1"/>
            </w14:solidFill>
          </w14:textFill>
        </w:rPr>
        <w:t>按通用条款约定执行</w:t>
      </w:r>
      <w:r>
        <w:rPr>
          <w:rFonts w:hint="eastAsia" w:ascii="宋体" w:hAnsi="宋体" w:cs="宋体"/>
          <w:color w:val="000000" w:themeColor="text1"/>
          <w14:textFill>
            <w14:solidFill>
              <w14:schemeClr w14:val="tx1"/>
            </w14:solidFill>
          </w14:textFill>
        </w:rPr>
        <w:t>。</w:t>
      </w:r>
    </w:p>
    <w:p w14:paraId="174E92C9">
      <w:pPr>
        <w:pStyle w:val="102"/>
        <w:spacing w:line="400" w:lineRule="exact"/>
        <w:rPr>
          <w:rFonts w:hint="eastAsia"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（2）发包人支付进度款的期限：</w:t>
      </w:r>
      <w:r>
        <w:rPr>
          <w:rFonts w:hint="eastAsia" w:ascii="宋体" w:hAnsi="宋体" w:cs="宋体"/>
          <w:color w:val="000000" w:themeColor="text1"/>
          <w:u w:val="single"/>
          <w14:textFill>
            <w14:solidFill>
              <w14:schemeClr w14:val="tx1"/>
            </w14:solidFill>
          </w14:textFill>
        </w:rPr>
        <w:t>发包人将在进度款支付证书或临时进度款支付证书签发后15个工作日内进行支付</w:t>
      </w:r>
      <w:r>
        <w:rPr>
          <w:rFonts w:hint="eastAsia" w:ascii="宋体" w:hAnsi="宋体" w:cs="宋体"/>
          <w:color w:val="000000" w:themeColor="text1"/>
          <w14:textFill>
            <w14:solidFill>
              <w14:schemeClr w14:val="tx1"/>
            </w14:solidFill>
          </w14:textFill>
        </w:rPr>
        <w:t>。</w:t>
      </w:r>
    </w:p>
    <w:p w14:paraId="0687482E">
      <w:pPr>
        <w:pStyle w:val="102"/>
        <w:spacing w:line="400" w:lineRule="exact"/>
        <w:rPr>
          <w:rFonts w:hint="eastAsia"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发包人逾期支付进度款的违约金的计算方式：</w:t>
      </w:r>
      <w:r>
        <w:rPr>
          <w:rFonts w:hint="eastAsia" w:ascii="宋体" w:hAnsi="宋体" w:cs="宋体"/>
          <w:color w:val="000000" w:themeColor="text1"/>
          <w:u w:val="single"/>
          <w14:textFill>
            <w14:solidFill>
              <w14:schemeClr w14:val="tx1"/>
            </w14:solidFill>
          </w14:textFill>
        </w:rPr>
        <w:t>从约定应付之日起按银行同期贷款利率支付违约金，因此造成工程的工期延误，总工期相应顺延，并承担承包人的损失</w:t>
      </w:r>
      <w:r>
        <w:rPr>
          <w:rFonts w:hint="eastAsia" w:ascii="宋体" w:hAnsi="宋体" w:cs="宋体"/>
          <w:color w:val="000000" w:themeColor="text1"/>
          <w14:textFill>
            <w14:solidFill>
              <w14:schemeClr w14:val="tx1"/>
            </w14:solidFill>
          </w14:textFill>
        </w:rPr>
        <w:t>。</w:t>
      </w:r>
    </w:p>
    <w:p w14:paraId="1FA0D194">
      <w:pPr>
        <w:pStyle w:val="102"/>
        <w:spacing w:line="400" w:lineRule="exact"/>
        <w:rPr>
          <w:rFonts w:hint="eastAsia"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12.4.6 支付分解表的编制</w:t>
      </w:r>
    </w:p>
    <w:p w14:paraId="5FC3EBD0">
      <w:pPr>
        <w:pStyle w:val="102"/>
        <w:spacing w:line="400" w:lineRule="exact"/>
        <w:rPr>
          <w:rFonts w:hint="eastAsia" w:ascii="宋体" w:hAnsi="宋体" w:cs="宋体"/>
          <w:color w:val="000000" w:themeColor="text1"/>
          <w:u w:val="single"/>
          <w14:textFill>
            <w14:solidFill>
              <w14:schemeClr w14:val="tx1"/>
            </w14:solidFill>
          </w14:textFill>
        </w:rPr>
      </w:pPr>
      <w:r>
        <w:rPr>
          <w:rFonts w:hint="eastAsia" w:ascii="宋体" w:hAnsi="宋体" w:cs="宋体"/>
          <w:color w:val="000000" w:themeColor="text1"/>
          <w14:textFill>
            <w14:solidFill>
              <w14:schemeClr w14:val="tx1"/>
            </w14:solidFill>
          </w14:textFill>
        </w:rPr>
        <w:t>2、总价合同支付分解表的编制与审批：</w:t>
      </w:r>
      <w:r>
        <w:rPr>
          <w:rFonts w:hint="eastAsia" w:ascii="宋体" w:hAnsi="宋体" w:cs="宋体"/>
          <w:color w:val="000000" w:themeColor="text1"/>
          <w:u w:val="single"/>
          <w14:textFill>
            <w14:solidFill>
              <w14:schemeClr w14:val="tx1"/>
            </w14:solidFill>
          </w14:textFill>
        </w:rPr>
        <w:t xml:space="preserve">    　/　　　 </w:t>
      </w:r>
      <w:r>
        <w:rPr>
          <w:rFonts w:hint="eastAsia" w:ascii="宋体" w:hAnsi="宋体" w:cs="宋体"/>
          <w:color w:val="000000" w:themeColor="text1"/>
          <w14:textFill>
            <w14:solidFill>
              <w14:schemeClr w14:val="tx1"/>
            </w14:solidFill>
          </w14:textFill>
        </w:rPr>
        <w:t>。</w:t>
      </w:r>
    </w:p>
    <w:p w14:paraId="70B29D9B">
      <w:pPr>
        <w:pStyle w:val="102"/>
        <w:spacing w:line="400" w:lineRule="exact"/>
        <w:rPr>
          <w:rFonts w:hint="eastAsia"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3、单价合同的总价项目支付分解表的编制与审批：</w:t>
      </w:r>
      <w:r>
        <w:rPr>
          <w:rFonts w:hint="eastAsia" w:ascii="宋体" w:hAnsi="宋体" w:cs="宋体"/>
          <w:color w:val="000000" w:themeColor="text1"/>
          <w:u w:val="single"/>
          <w14:textFill>
            <w14:solidFill>
              <w14:schemeClr w14:val="tx1"/>
            </w14:solidFill>
          </w14:textFill>
        </w:rPr>
        <w:t>按通用条款约定执行</w:t>
      </w:r>
      <w:r>
        <w:rPr>
          <w:rFonts w:hint="eastAsia" w:ascii="宋体" w:hAnsi="宋体" w:cs="宋体"/>
          <w:color w:val="000000" w:themeColor="text1"/>
          <w14:textFill>
            <w14:solidFill>
              <w14:schemeClr w14:val="tx1"/>
            </w14:solidFill>
          </w14:textFill>
        </w:rPr>
        <w:t>。</w:t>
      </w:r>
    </w:p>
    <w:bookmarkEnd w:id="865"/>
    <w:p w14:paraId="72C87D7F">
      <w:pPr>
        <w:pStyle w:val="96"/>
        <w:spacing w:before="0" w:after="200" w:line="400" w:lineRule="exact"/>
        <w:rPr>
          <w:rFonts w:hint="eastAsia" w:ascii="宋体" w:cs="宋体"/>
          <w:bCs w:val="0"/>
          <w:color w:val="000000" w:themeColor="text1"/>
          <w14:textFill>
            <w14:solidFill>
              <w14:schemeClr w14:val="tx1"/>
            </w14:solidFill>
          </w14:textFill>
        </w:rPr>
      </w:pPr>
      <w:bookmarkStart w:id="1149" w:name="_Toc173253240"/>
      <w:bookmarkStart w:id="1150" w:name="_Toc2217"/>
      <w:bookmarkStart w:id="1151" w:name="_Toc351203645"/>
      <w:bookmarkStart w:id="1152" w:name="_Toc520505910"/>
      <w:bookmarkStart w:id="1153" w:name="_Toc406522281"/>
      <w:bookmarkStart w:id="1154" w:name="_Toc185770492"/>
      <w:bookmarkStart w:id="1155" w:name="_Toc292559424"/>
      <w:bookmarkStart w:id="1156" w:name="_Toc296944558"/>
      <w:bookmarkStart w:id="1157" w:name="_Toc296346720"/>
      <w:bookmarkStart w:id="1158" w:name="_Toc297123564"/>
      <w:bookmarkStart w:id="1159" w:name="_Toc297048405"/>
      <w:bookmarkStart w:id="1160" w:name="_Toc296347218"/>
      <w:bookmarkStart w:id="1161" w:name="_Toc303539172"/>
      <w:bookmarkStart w:id="1162" w:name="_Toc312678053"/>
      <w:bookmarkStart w:id="1163" w:name="_Toc292559929"/>
      <w:bookmarkStart w:id="1164" w:name="_Toc296503219"/>
      <w:bookmarkStart w:id="1165" w:name="_Toc297120519"/>
      <w:bookmarkStart w:id="1166" w:name="_Toc296891047"/>
      <w:bookmarkStart w:id="1167" w:name="_Toc304295593"/>
      <w:bookmarkStart w:id="1168" w:name="_Toc300935015"/>
      <w:bookmarkStart w:id="1169" w:name="_Toc297216223"/>
      <w:bookmarkStart w:id="1170" w:name="_Toc296891259"/>
      <w:r>
        <w:rPr>
          <w:rFonts w:hint="eastAsia" w:ascii="宋体" w:cs="宋体"/>
          <w:bCs w:val="0"/>
          <w:color w:val="000000" w:themeColor="text1"/>
          <w14:textFill>
            <w14:solidFill>
              <w14:schemeClr w14:val="tx1"/>
            </w14:solidFill>
          </w14:textFill>
        </w:rPr>
        <w:t>13. 验收和工程试车</w:t>
      </w:r>
      <w:bookmarkEnd w:id="1149"/>
      <w:bookmarkEnd w:id="1150"/>
      <w:bookmarkEnd w:id="1151"/>
      <w:bookmarkEnd w:id="1152"/>
      <w:bookmarkEnd w:id="1153"/>
      <w:bookmarkEnd w:id="1154"/>
    </w:p>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p w14:paraId="452E19AA">
      <w:pPr>
        <w:pStyle w:val="96"/>
        <w:spacing w:before="0" w:after="200" w:line="400" w:lineRule="exact"/>
        <w:rPr>
          <w:rFonts w:hint="eastAsia" w:ascii="宋体" w:cs="宋体"/>
          <w:bCs w:val="0"/>
          <w:color w:val="000000" w:themeColor="text1"/>
          <w14:textFill>
            <w14:solidFill>
              <w14:schemeClr w14:val="tx1"/>
            </w14:solidFill>
          </w14:textFill>
        </w:rPr>
      </w:pPr>
      <w:bookmarkStart w:id="1171" w:name="_Toc29700"/>
      <w:bookmarkStart w:id="1172" w:name="_Toc173253241"/>
      <w:bookmarkStart w:id="1173" w:name="_Toc185770493"/>
      <w:bookmarkStart w:id="1174" w:name="_Toc520505911"/>
      <w:bookmarkStart w:id="1175" w:name="_Toc406522282"/>
      <w:r>
        <w:rPr>
          <w:rFonts w:hint="eastAsia" w:ascii="宋体" w:cs="宋体"/>
          <w:bCs w:val="0"/>
          <w:color w:val="000000" w:themeColor="text1"/>
          <w14:textFill>
            <w14:solidFill>
              <w14:schemeClr w14:val="tx1"/>
            </w14:solidFill>
          </w14:textFill>
        </w:rPr>
        <w:t>13.1 分部分项工程验收</w:t>
      </w:r>
      <w:bookmarkEnd w:id="1171"/>
      <w:bookmarkEnd w:id="1172"/>
      <w:bookmarkEnd w:id="1173"/>
      <w:bookmarkEnd w:id="1174"/>
      <w:bookmarkEnd w:id="1175"/>
    </w:p>
    <w:p w14:paraId="71587441">
      <w:pPr>
        <w:pStyle w:val="102"/>
        <w:spacing w:line="400" w:lineRule="exact"/>
        <w:rPr>
          <w:rFonts w:hint="eastAsia"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13.1.2监理人不能按时进行验收时，应提前</w:t>
      </w:r>
      <w:r>
        <w:rPr>
          <w:rFonts w:hint="eastAsia" w:ascii="宋体" w:hAnsi="宋体" w:cs="宋体"/>
          <w:color w:val="000000" w:themeColor="text1"/>
          <w:u w:val="single"/>
          <w14:textFill>
            <w14:solidFill>
              <w14:schemeClr w14:val="tx1"/>
            </w14:solidFill>
          </w14:textFill>
        </w:rPr>
        <w:t>24</w:t>
      </w:r>
      <w:r>
        <w:rPr>
          <w:rFonts w:hint="eastAsia" w:ascii="宋体" w:hAnsi="宋体" w:cs="宋体"/>
          <w:color w:val="000000" w:themeColor="text1"/>
          <w14:textFill>
            <w14:solidFill>
              <w14:schemeClr w14:val="tx1"/>
            </w14:solidFill>
          </w14:textFill>
        </w:rPr>
        <w:t>小时提交书面延期要求。</w:t>
      </w:r>
    </w:p>
    <w:p w14:paraId="18A03CDC">
      <w:pPr>
        <w:pStyle w:val="102"/>
        <w:spacing w:line="400" w:lineRule="exact"/>
        <w:rPr>
          <w:rFonts w:hint="eastAsia" w:ascii="宋体" w:hAnsi="宋体" w:cs="宋体"/>
          <w:b/>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关于延期最长不得超过：</w:t>
      </w:r>
      <w:r>
        <w:rPr>
          <w:rFonts w:hint="eastAsia" w:ascii="宋体" w:hAnsi="宋体" w:cs="宋体"/>
          <w:color w:val="000000" w:themeColor="text1"/>
          <w:u w:val="single"/>
          <w14:textFill>
            <w14:solidFill>
              <w14:schemeClr w14:val="tx1"/>
            </w14:solidFill>
          </w14:textFill>
        </w:rPr>
        <w:t>48</w:t>
      </w:r>
      <w:r>
        <w:rPr>
          <w:rFonts w:hint="eastAsia" w:ascii="宋体" w:hAnsi="宋体" w:cs="宋体"/>
          <w:color w:val="000000" w:themeColor="text1"/>
          <w14:textFill>
            <w14:solidFill>
              <w14:schemeClr w14:val="tx1"/>
            </w14:solidFill>
          </w14:textFill>
        </w:rPr>
        <w:t>小时。</w:t>
      </w:r>
    </w:p>
    <w:p w14:paraId="317A0787">
      <w:pPr>
        <w:pStyle w:val="96"/>
        <w:spacing w:before="0" w:after="200" w:line="400" w:lineRule="exact"/>
        <w:rPr>
          <w:rFonts w:hint="eastAsia" w:ascii="宋体" w:cs="宋体"/>
          <w:bCs w:val="0"/>
          <w:color w:val="000000" w:themeColor="text1"/>
          <w14:textFill>
            <w14:solidFill>
              <w14:schemeClr w14:val="tx1"/>
            </w14:solidFill>
          </w14:textFill>
        </w:rPr>
      </w:pPr>
      <w:bookmarkStart w:id="1176" w:name="_Toc185770494"/>
      <w:bookmarkStart w:id="1177" w:name="_Toc173253242"/>
      <w:bookmarkStart w:id="1178" w:name="_Toc406522283"/>
      <w:bookmarkStart w:id="1179" w:name="_Toc520505912"/>
      <w:bookmarkStart w:id="1180" w:name="_Toc30365"/>
      <w:bookmarkStart w:id="1181" w:name="_Toc296944562"/>
      <w:bookmarkStart w:id="1182" w:name="_Toc300935016"/>
      <w:bookmarkStart w:id="1183" w:name="_Toc296346724"/>
      <w:bookmarkStart w:id="1184" w:name="_Toc296891051"/>
      <w:bookmarkStart w:id="1185" w:name="_Toc292559428"/>
      <w:bookmarkStart w:id="1186" w:name="_Toc296503223"/>
      <w:bookmarkStart w:id="1187" w:name="_Toc296891263"/>
      <w:bookmarkStart w:id="1188" w:name="_Toc297120523"/>
      <w:bookmarkStart w:id="1189" w:name="_Toc297216224"/>
      <w:bookmarkStart w:id="1190" w:name="_Toc303539173"/>
      <w:bookmarkStart w:id="1191" w:name="_Toc304295596"/>
      <w:bookmarkStart w:id="1192" w:name="_Toc297048409"/>
      <w:bookmarkStart w:id="1193" w:name="_Toc296347222"/>
      <w:bookmarkStart w:id="1194" w:name="_Toc292559933"/>
      <w:bookmarkStart w:id="1195" w:name="_Toc312678056"/>
      <w:bookmarkStart w:id="1196" w:name="_Toc297123565"/>
      <w:bookmarkStart w:id="1197" w:name="_Toc267251474"/>
      <w:bookmarkStart w:id="1198" w:name="_Toc267251476"/>
      <w:bookmarkStart w:id="1199" w:name="_Toc267251475"/>
      <w:bookmarkStart w:id="1200" w:name="_Toc267251473"/>
      <w:bookmarkStart w:id="1201" w:name="_Toc267251472"/>
      <w:bookmarkStart w:id="1202" w:name="_Toc267251470"/>
      <w:bookmarkStart w:id="1203" w:name="_Toc267251471"/>
      <w:r>
        <w:rPr>
          <w:rFonts w:hint="eastAsia" w:ascii="宋体" w:cs="宋体"/>
          <w:bCs w:val="0"/>
          <w:color w:val="000000" w:themeColor="text1"/>
          <w14:textFill>
            <w14:solidFill>
              <w14:schemeClr w14:val="tx1"/>
            </w14:solidFill>
          </w14:textFill>
        </w:rPr>
        <w:t>13.2 竣工验收</w:t>
      </w:r>
      <w:bookmarkEnd w:id="1176"/>
      <w:bookmarkEnd w:id="1177"/>
      <w:bookmarkEnd w:id="1178"/>
      <w:bookmarkEnd w:id="1179"/>
      <w:bookmarkEnd w:id="1180"/>
    </w:p>
    <w:p w14:paraId="52F52AA4">
      <w:pPr>
        <w:pStyle w:val="102"/>
        <w:spacing w:line="400" w:lineRule="exact"/>
        <w:rPr>
          <w:rFonts w:hint="eastAsia"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13.2.1竣工验收条件</w:t>
      </w:r>
    </w:p>
    <w:p w14:paraId="63BF1104">
      <w:pPr>
        <w:pStyle w:val="102"/>
        <w:spacing w:line="400" w:lineRule="exact"/>
        <w:rPr>
          <w:rFonts w:hint="eastAsia"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（3）承包人负责整理和提交的竣工验收资料应当符合工程所在地建设行政主管部门和(或)城市建设档案管理机构有关施工资料的要求，具体内容包括：</w:t>
      </w:r>
      <w:r>
        <w:rPr>
          <w:rFonts w:hint="eastAsia" w:ascii="宋体" w:hAnsi="宋体" w:cs="宋体"/>
          <w:color w:val="000000" w:themeColor="text1"/>
          <w:u w:val="single"/>
          <w14:textFill>
            <w14:solidFill>
              <w14:schemeClr w14:val="tx1"/>
            </w14:solidFill>
          </w14:textFill>
        </w:rPr>
        <w:t>按国家现行规定执行</w:t>
      </w:r>
      <w:r>
        <w:rPr>
          <w:rFonts w:hint="eastAsia" w:ascii="宋体" w:hAnsi="宋体" w:cs="宋体"/>
          <w:color w:val="000000" w:themeColor="text1"/>
          <w14:textFill>
            <w14:solidFill>
              <w14:schemeClr w14:val="tx1"/>
            </w14:solidFill>
          </w14:textFill>
        </w:rPr>
        <w:t>。</w:t>
      </w:r>
    </w:p>
    <w:p w14:paraId="756CED8D">
      <w:pPr>
        <w:pStyle w:val="102"/>
        <w:spacing w:line="400" w:lineRule="exact"/>
        <w:rPr>
          <w:rFonts w:hint="eastAsia"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竣工验收资料的份数：</w:t>
      </w:r>
      <w:r>
        <w:rPr>
          <w:rFonts w:hint="eastAsia" w:ascii="宋体" w:hAnsi="宋体" w:cs="宋体"/>
          <w:color w:val="000000" w:themeColor="text1"/>
          <w:u w:val="single"/>
          <w14:textFill>
            <w14:solidFill>
              <w14:schemeClr w14:val="tx1"/>
            </w14:solidFill>
          </w14:textFill>
        </w:rPr>
        <w:t>一式五份</w:t>
      </w:r>
      <w:r>
        <w:rPr>
          <w:rFonts w:hint="eastAsia" w:ascii="宋体" w:hAnsi="宋体" w:cs="宋体"/>
          <w:color w:val="000000" w:themeColor="text1"/>
          <w14:textFill>
            <w14:solidFill>
              <w14:schemeClr w14:val="tx1"/>
            </w14:solidFill>
          </w14:textFill>
        </w:rPr>
        <w:t>。</w:t>
      </w:r>
    </w:p>
    <w:p w14:paraId="2DBA7A10">
      <w:pPr>
        <w:pStyle w:val="102"/>
        <w:spacing w:line="400" w:lineRule="exact"/>
        <w:rPr>
          <w:rFonts w:hint="eastAsia" w:ascii="宋体" w:hAnsi="宋体" w:cs="宋体"/>
          <w:color w:val="000000" w:themeColor="text1"/>
          <w14:textFill>
            <w14:solidFill>
              <w14:schemeClr w14:val="tx1"/>
            </w14:solidFill>
          </w14:textFill>
        </w:rPr>
      </w:pPr>
      <w:r>
        <w:rPr>
          <w:rFonts w:hint="eastAsia" w:ascii="宋体" w:hAnsi="宋体" w:cs="宋体"/>
          <w:bCs/>
          <w:color w:val="000000" w:themeColor="text1"/>
          <w14:textFill>
            <w14:solidFill>
              <w14:schemeClr w14:val="tx1"/>
            </w14:solidFill>
          </w14:textFill>
        </w:rPr>
        <w:t>承包人提供竣工图的约定：：</w:t>
      </w:r>
      <w:r>
        <w:rPr>
          <w:rFonts w:hint="eastAsia" w:ascii="宋体" w:hAnsi="宋体" w:cs="宋体"/>
          <w:bCs/>
          <w:color w:val="000000" w:themeColor="text1"/>
          <w:u w:val="single"/>
          <w14:textFill>
            <w14:solidFill>
              <w14:schemeClr w14:val="tx1"/>
            </w14:solidFill>
          </w14:textFill>
        </w:rPr>
        <w:t>竣工验收正式通过后5天，提供竣工图的数量分别为5套。</w:t>
      </w:r>
    </w:p>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p w14:paraId="39A15982">
      <w:pPr>
        <w:pStyle w:val="102"/>
        <w:spacing w:line="400" w:lineRule="exact"/>
        <w:rPr>
          <w:rFonts w:hint="eastAsia" w:ascii="宋体" w:hAnsi="宋体" w:cs="宋体"/>
          <w:color w:val="000000" w:themeColor="text1"/>
          <w14:textFill>
            <w14:solidFill>
              <w14:schemeClr w14:val="tx1"/>
            </w14:solidFill>
          </w14:textFill>
        </w:rPr>
      </w:pPr>
      <w:bookmarkStart w:id="1204" w:name="_Toc280868704"/>
      <w:bookmarkStart w:id="1205" w:name="_Toc280868705"/>
      <w:bookmarkStart w:id="1206" w:name="_Toc280868706"/>
      <w:bookmarkStart w:id="1207" w:name="_Toc280868707"/>
      <w:bookmarkStart w:id="1208" w:name="_Toc280868708"/>
      <w:bookmarkStart w:id="1209" w:name="_Toc280868709"/>
      <w:r>
        <w:rPr>
          <w:rFonts w:hint="eastAsia" w:ascii="宋体" w:hAnsi="宋体" w:cs="宋体"/>
          <w:color w:val="000000" w:themeColor="text1"/>
          <w14:textFill>
            <w14:solidFill>
              <w14:schemeClr w14:val="tx1"/>
            </w14:solidFill>
          </w14:textFill>
        </w:rPr>
        <w:t>13.2.2竣工验收程序</w:t>
      </w:r>
    </w:p>
    <w:bookmarkEnd w:id="1204"/>
    <w:p w14:paraId="0B53F32B">
      <w:pPr>
        <w:pStyle w:val="102"/>
        <w:spacing w:line="400" w:lineRule="exact"/>
        <w:rPr>
          <w:rFonts w:hint="eastAsia"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关于竣工验收程序的约定：</w:t>
      </w:r>
      <w:r>
        <w:rPr>
          <w:rFonts w:hint="eastAsia" w:ascii="宋体" w:hAnsi="宋体" w:cs="宋体"/>
          <w:color w:val="000000" w:themeColor="text1"/>
          <w:u w:val="single"/>
          <w14:textFill>
            <w14:solidFill>
              <w14:schemeClr w14:val="tx1"/>
            </w14:solidFill>
          </w14:textFill>
        </w:rPr>
        <w:t xml:space="preserve">按通用条款执行  </w:t>
      </w:r>
      <w:r>
        <w:rPr>
          <w:rFonts w:hint="eastAsia" w:ascii="宋体" w:hAnsi="宋体" w:cs="宋体"/>
          <w:color w:val="000000" w:themeColor="text1"/>
          <w14:textFill>
            <w14:solidFill>
              <w14:schemeClr w14:val="tx1"/>
            </w14:solidFill>
          </w14:textFill>
        </w:rPr>
        <w:t>。</w:t>
      </w:r>
    </w:p>
    <w:p w14:paraId="4875DBBB">
      <w:pPr>
        <w:pStyle w:val="102"/>
        <w:spacing w:line="400" w:lineRule="exact"/>
        <w:rPr>
          <w:rFonts w:hint="eastAsia" w:ascii="宋体" w:hAnsi="宋体" w:cs="宋体"/>
          <w:color w:val="000000" w:themeColor="text1"/>
          <w:u w:val="single"/>
          <w14:textFill>
            <w14:solidFill>
              <w14:schemeClr w14:val="tx1"/>
            </w14:solidFill>
          </w14:textFill>
        </w:rPr>
      </w:pPr>
      <w:r>
        <w:rPr>
          <w:rFonts w:hint="eastAsia" w:ascii="宋体" w:hAnsi="宋体" w:cs="宋体"/>
          <w:color w:val="000000" w:themeColor="text1"/>
          <w14:textFill>
            <w14:solidFill>
              <w14:schemeClr w14:val="tx1"/>
            </w14:solidFill>
          </w14:textFill>
        </w:rPr>
        <w:t>发包人不按照本项约定组织竣工验收、颁发工程接收证书的违约金的计算方法：</w:t>
      </w:r>
      <w:r>
        <w:rPr>
          <w:rFonts w:hint="eastAsia" w:ascii="宋体" w:hAnsi="宋体" w:cs="宋体"/>
          <w:color w:val="000000" w:themeColor="text1"/>
          <w:u w:val="single"/>
          <w14:textFill>
            <w14:solidFill>
              <w14:schemeClr w14:val="tx1"/>
            </w14:solidFill>
          </w14:textFill>
        </w:rPr>
        <w:t xml:space="preserve">   /   </w:t>
      </w:r>
      <w:r>
        <w:rPr>
          <w:rFonts w:hint="eastAsia" w:ascii="宋体" w:hAnsi="宋体" w:cs="宋体"/>
          <w:color w:val="000000" w:themeColor="text1"/>
          <w14:textFill>
            <w14:solidFill>
              <w14:schemeClr w14:val="tx1"/>
            </w14:solidFill>
          </w14:textFill>
        </w:rPr>
        <w:t>。</w:t>
      </w:r>
    </w:p>
    <w:bookmarkEnd w:id="1205"/>
    <w:p w14:paraId="45AEF8BB">
      <w:pPr>
        <w:pStyle w:val="102"/>
        <w:spacing w:line="400" w:lineRule="exact"/>
        <w:rPr>
          <w:rFonts w:hint="eastAsia"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13.2.5移交、接收全部与部分工程</w:t>
      </w:r>
    </w:p>
    <w:bookmarkEnd w:id="1206"/>
    <w:p w14:paraId="7874A925">
      <w:pPr>
        <w:pStyle w:val="102"/>
        <w:spacing w:line="400" w:lineRule="exact"/>
        <w:rPr>
          <w:rFonts w:hint="eastAsia"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承包人向发包人移交工程的期限：</w:t>
      </w:r>
      <w:r>
        <w:rPr>
          <w:rFonts w:hint="eastAsia" w:ascii="宋体" w:hAnsi="宋体" w:cs="宋体"/>
          <w:color w:val="000000" w:themeColor="text1"/>
          <w:u w:val="single"/>
          <w14:textFill>
            <w14:solidFill>
              <w14:schemeClr w14:val="tx1"/>
            </w14:solidFill>
          </w14:textFill>
        </w:rPr>
        <w:t>按通用条款约定执行</w:t>
      </w:r>
      <w:r>
        <w:rPr>
          <w:rFonts w:hint="eastAsia" w:ascii="宋体" w:hAnsi="宋体" w:cs="宋体"/>
          <w:color w:val="000000" w:themeColor="text1"/>
          <w14:textFill>
            <w14:solidFill>
              <w14:schemeClr w14:val="tx1"/>
            </w14:solidFill>
          </w14:textFill>
        </w:rPr>
        <w:t>。</w:t>
      </w:r>
    </w:p>
    <w:p w14:paraId="3DB32C0D">
      <w:pPr>
        <w:pStyle w:val="102"/>
        <w:spacing w:line="400" w:lineRule="exact"/>
        <w:rPr>
          <w:rFonts w:hint="eastAsia" w:ascii="宋体" w:hAnsi="宋体" w:cs="宋体"/>
          <w:color w:val="000000" w:themeColor="text1"/>
          <w:u w:val="single"/>
          <w14:textFill>
            <w14:solidFill>
              <w14:schemeClr w14:val="tx1"/>
            </w14:solidFill>
          </w14:textFill>
        </w:rPr>
      </w:pPr>
      <w:r>
        <w:rPr>
          <w:rFonts w:hint="eastAsia" w:ascii="宋体" w:hAnsi="宋体" w:cs="宋体"/>
          <w:color w:val="000000" w:themeColor="text1"/>
          <w14:textFill>
            <w14:solidFill>
              <w14:schemeClr w14:val="tx1"/>
            </w14:solidFill>
          </w14:textFill>
        </w:rPr>
        <w:t>发包人未按本合同约定接收全部或部分工程的，违约金的计算方法为：</w:t>
      </w:r>
      <w:r>
        <w:rPr>
          <w:rFonts w:hint="eastAsia" w:ascii="宋体" w:hAnsi="宋体" w:cs="宋体"/>
          <w:color w:val="000000" w:themeColor="text1"/>
          <w:u w:val="single"/>
          <w14:textFill>
            <w14:solidFill>
              <w14:schemeClr w14:val="tx1"/>
            </w14:solidFill>
          </w14:textFill>
        </w:rPr>
        <w:t xml:space="preserve">   /   </w:t>
      </w:r>
      <w:r>
        <w:rPr>
          <w:rFonts w:hint="eastAsia" w:ascii="宋体" w:hAnsi="宋体" w:cs="宋体"/>
          <w:color w:val="000000" w:themeColor="text1"/>
          <w14:textFill>
            <w14:solidFill>
              <w14:schemeClr w14:val="tx1"/>
            </w14:solidFill>
          </w14:textFill>
        </w:rPr>
        <w:t>。</w:t>
      </w:r>
    </w:p>
    <w:bookmarkEnd w:id="1207"/>
    <w:p w14:paraId="4ECD1E2C">
      <w:pPr>
        <w:pStyle w:val="102"/>
        <w:spacing w:line="400" w:lineRule="exact"/>
        <w:rPr>
          <w:rFonts w:hint="eastAsia"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承包人未按时移交工程的，违约金的计算方法为：</w:t>
      </w:r>
      <w:r>
        <w:rPr>
          <w:rFonts w:hint="eastAsia" w:ascii="宋体" w:hAnsi="宋体" w:cs="宋体"/>
          <w:color w:val="000000" w:themeColor="text1"/>
          <w:u w:val="single"/>
          <w14:textFill>
            <w14:solidFill>
              <w14:schemeClr w14:val="tx1"/>
            </w14:solidFill>
          </w14:textFill>
        </w:rPr>
        <w:t>按通用条款执行</w:t>
      </w:r>
      <w:r>
        <w:rPr>
          <w:rFonts w:hint="eastAsia" w:ascii="宋体" w:hAnsi="宋体" w:cs="宋体"/>
          <w:color w:val="000000" w:themeColor="text1"/>
          <w14:textFill>
            <w14:solidFill>
              <w14:schemeClr w14:val="tx1"/>
            </w14:solidFill>
          </w14:textFill>
        </w:rPr>
        <w:t>。</w:t>
      </w:r>
    </w:p>
    <w:p w14:paraId="76A57172">
      <w:pPr>
        <w:pStyle w:val="96"/>
        <w:spacing w:before="0" w:after="200" w:line="400" w:lineRule="exact"/>
        <w:rPr>
          <w:rFonts w:hint="eastAsia" w:ascii="宋体" w:cs="宋体"/>
          <w:bCs w:val="0"/>
          <w:color w:val="000000" w:themeColor="text1"/>
          <w14:textFill>
            <w14:solidFill>
              <w14:schemeClr w14:val="tx1"/>
            </w14:solidFill>
          </w14:textFill>
        </w:rPr>
      </w:pPr>
      <w:bookmarkStart w:id="1210" w:name="_Toc173253243"/>
      <w:bookmarkStart w:id="1211" w:name="_Toc5255"/>
      <w:bookmarkStart w:id="1212" w:name="_Toc520505913"/>
      <w:bookmarkStart w:id="1213" w:name="_Toc185770495"/>
      <w:bookmarkStart w:id="1214" w:name="_Toc406522284"/>
      <w:r>
        <w:rPr>
          <w:rFonts w:hint="eastAsia" w:ascii="宋体" w:cs="宋体"/>
          <w:bCs w:val="0"/>
          <w:color w:val="000000" w:themeColor="text1"/>
          <w14:textFill>
            <w14:solidFill>
              <w14:schemeClr w14:val="tx1"/>
            </w14:solidFill>
          </w14:textFill>
        </w:rPr>
        <w:t>13.3 工程试车</w:t>
      </w:r>
      <w:bookmarkEnd w:id="1210"/>
      <w:bookmarkEnd w:id="1211"/>
      <w:bookmarkEnd w:id="1212"/>
      <w:bookmarkEnd w:id="1213"/>
      <w:bookmarkEnd w:id="1214"/>
    </w:p>
    <w:bookmarkEnd w:id="1208"/>
    <w:p w14:paraId="719F6CA9">
      <w:pPr>
        <w:pStyle w:val="102"/>
        <w:spacing w:line="400" w:lineRule="exact"/>
        <w:outlineLvl w:val="0"/>
        <w:rPr>
          <w:rFonts w:hint="eastAsia" w:ascii="宋体" w:hAnsi="宋体" w:cs="宋体"/>
          <w:color w:val="000000" w:themeColor="text1"/>
          <w14:textFill>
            <w14:solidFill>
              <w14:schemeClr w14:val="tx1"/>
            </w14:solidFill>
          </w14:textFill>
        </w:rPr>
      </w:pPr>
      <w:bookmarkStart w:id="1215" w:name="_Toc406522285"/>
      <w:bookmarkStart w:id="1216" w:name="_Toc173253244"/>
      <w:bookmarkStart w:id="1217" w:name="_Toc520505914"/>
      <w:bookmarkStart w:id="1218" w:name="_Toc406419409"/>
      <w:bookmarkStart w:id="1219" w:name="_Toc11929"/>
      <w:bookmarkStart w:id="1220" w:name="_Toc185770496"/>
      <w:r>
        <w:rPr>
          <w:rFonts w:hint="eastAsia" w:ascii="宋体" w:hAnsi="宋体" w:cs="宋体"/>
          <w:color w:val="000000" w:themeColor="text1"/>
          <w14:textFill>
            <w14:solidFill>
              <w14:schemeClr w14:val="tx1"/>
            </w14:solidFill>
          </w14:textFill>
        </w:rPr>
        <w:t>13.3.1 试车程序</w:t>
      </w:r>
      <w:bookmarkEnd w:id="1215"/>
      <w:bookmarkEnd w:id="1216"/>
      <w:bookmarkEnd w:id="1217"/>
      <w:bookmarkEnd w:id="1218"/>
      <w:bookmarkEnd w:id="1219"/>
      <w:bookmarkEnd w:id="1220"/>
    </w:p>
    <w:p w14:paraId="0E5BF32F">
      <w:pPr>
        <w:pStyle w:val="102"/>
        <w:spacing w:line="400" w:lineRule="exact"/>
        <w:rPr>
          <w:rFonts w:hint="eastAsia"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工程试车内容：</w:t>
      </w:r>
      <w:r>
        <w:rPr>
          <w:rFonts w:hint="eastAsia" w:ascii="宋体" w:hAnsi="宋体" w:cs="宋体"/>
          <w:color w:val="000000" w:themeColor="text1"/>
          <w:u w:val="single"/>
          <w14:textFill>
            <w14:solidFill>
              <w14:schemeClr w14:val="tx1"/>
            </w14:solidFill>
          </w14:textFill>
        </w:rPr>
        <w:t xml:space="preserve">    /   </w:t>
      </w:r>
      <w:r>
        <w:rPr>
          <w:rFonts w:hint="eastAsia" w:ascii="宋体" w:hAnsi="宋体" w:cs="宋体"/>
          <w:color w:val="000000" w:themeColor="text1"/>
          <w14:textFill>
            <w14:solidFill>
              <w14:schemeClr w14:val="tx1"/>
            </w14:solidFill>
          </w14:textFill>
        </w:rPr>
        <w:t>。</w:t>
      </w:r>
    </w:p>
    <w:p w14:paraId="61F7BA12">
      <w:pPr>
        <w:pStyle w:val="102"/>
        <w:spacing w:line="400" w:lineRule="exact"/>
        <w:rPr>
          <w:rFonts w:hint="eastAsia"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（1）单机无负荷试车费用由</w:t>
      </w:r>
      <w:r>
        <w:rPr>
          <w:rFonts w:hint="eastAsia" w:ascii="宋体" w:hAnsi="宋体" w:cs="宋体"/>
          <w:color w:val="000000" w:themeColor="text1"/>
          <w:u w:val="single"/>
          <w14:textFill>
            <w14:solidFill>
              <w14:schemeClr w14:val="tx1"/>
            </w14:solidFill>
          </w14:textFill>
        </w:rPr>
        <w:t xml:space="preserve">    /   </w:t>
      </w:r>
      <w:r>
        <w:rPr>
          <w:rFonts w:hint="eastAsia" w:ascii="宋体" w:hAnsi="宋体" w:cs="宋体"/>
          <w:color w:val="000000" w:themeColor="text1"/>
          <w14:textFill>
            <w14:solidFill>
              <w14:schemeClr w14:val="tx1"/>
            </w14:solidFill>
          </w14:textFill>
        </w:rPr>
        <w:t>承担；</w:t>
      </w:r>
    </w:p>
    <w:p w14:paraId="79958003">
      <w:pPr>
        <w:pStyle w:val="102"/>
        <w:spacing w:line="400" w:lineRule="exact"/>
        <w:rPr>
          <w:rFonts w:hint="eastAsia"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（2）无负荷联动试车费用由</w:t>
      </w:r>
      <w:r>
        <w:rPr>
          <w:rFonts w:hint="eastAsia" w:ascii="宋体" w:hAnsi="宋体" w:cs="宋体"/>
          <w:color w:val="000000" w:themeColor="text1"/>
          <w:u w:val="single"/>
          <w14:textFill>
            <w14:solidFill>
              <w14:schemeClr w14:val="tx1"/>
            </w14:solidFill>
          </w14:textFill>
        </w:rPr>
        <w:t xml:space="preserve">    /   </w:t>
      </w:r>
      <w:r>
        <w:rPr>
          <w:rFonts w:hint="eastAsia" w:ascii="宋体" w:hAnsi="宋体" w:cs="宋体"/>
          <w:color w:val="000000" w:themeColor="text1"/>
          <w14:textFill>
            <w14:solidFill>
              <w14:schemeClr w14:val="tx1"/>
            </w14:solidFill>
          </w14:textFill>
        </w:rPr>
        <w:t>承担。</w:t>
      </w:r>
    </w:p>
    <w:p w14:paraId="1CF55DFB">
      <w:pPr>
        <w:pStyle w:val="102"/>
        <w:spacing w:line="400" w:lineRule="exact"/>
        <w:outlineLvl w:val="0"/>
        <w:rPr>
          <w:rFonts w:hint="eastAsia" w:ascii="宋体" w:hAnsi="宋体" w:cs="宋体"/>
          <w:color w:val="000000" w:themeColor="text1"/>
          <w14:textFill>
            <w14:solidFill>
              <w14:schemeClr w14:val="tx1"/>
            </w14:solidFill>
          </w14:textFill>
        </w:rPr>
      </w:pPr>
      <w:bookmarkStart w:id="1221" w:name="_Toc173253245"/>
      <w:bookmarkStart w:id="1222" w:name="_Toc406419410"/>
      <w:bookmarkStart w:id="1223" w:name="_Toc185770497"/>
      <w:bookmarkStart w:id="1224" w:name="_Toc520505915"/>
      <w:bookmarkStart w:id="1225" w:name="_Toc5660"/>
      <w:bookmarkStart w:id="1226" w:name="_Toc406522286"/>
      <w:r>
        <w:rPr>
          <w:rFonts w:hint="eastAsia" w:ascii="宋体" w:hAnsi="宋体" w:cs="宋体"/>
          <w:color w:val="000000" w:themeColor="text1"/>
          <w14:textFill>
            <w14:solidFill>
              <w14:schemeClr w14:val="tx1"/>
            </w14:solidFill>
          </w14:textFill>
        </w:rPr>
        <w:t>13.3.3 投料试车</w:t>
      </w:r>
      <w:bookmarkEnd w:id="1221"/>
      <w:bookmarkEnd w:id="1222"/>
      <w:bookmarkEnd w:id="1223"/>
      <w:bookmarkEnd w:id="1224"/>
      <w:bookmarkEnd w:id="1225"/>
      <w:bookmarkEnd w:id="1226"/>
    </w:p>
    <w:p w14:paraId="23A6FDB9">
      <w:pPr>
        <w:pStyle w:val="102"/>
        <w:spacing w:line="400" w:lineRule="exact"/>
        <w:rPr>
          <w:rFonts w:hint="eastAsia"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关于投料试车相关事项的约定：</w:t>
      </w:r>
      <w:r>
        <w:rPr>
          <w:rFonts w:hint="eastAsia" w:ascii="宋体" w:hAnsi="宋体" w:cs="宋体"/>
          <w:color w:val="000000" w:themeColor="text1"/>
          <w:u w:val="single"/>
          <w14:textFill>
            <w14:solidFill>
              <w14:schemeClr w14:val="tx1"/>
            </w14:solidFill>
          </w14:textFill>
        </w:rPr>
        <w:t xml:space="preserve">    /   </w:t>
      </w:r>
      <w:r>
        <w:rPr>
          <w:rFonts w:hint="eastAsia" w:ascii="宋体" w:hAnsi="宋体" w:cs="宋体"/>
          <w:color w:val="000000" w:themeColor="text1"/>
          <w14:textFill>
            <w14:solidFill>
              <w14:schemeClr w14:val="tx1"/>
            </w14:solidFill>
          </w14:textFill>
        </w:rPr>
        <w:t>。</w:t>
      </w:r>
    </w:p>
    <w:p w14:paraId="65A9FE82">
      <w:pPr>
        <w:pStyle w:val="96"/>
        <w:spacing w:before="0" w:after="200" w:line="400" w:lineRule="exact"/>
        <w:rPr>
          <w:rFonts w:hint="eastAsia" w:ascii="宋体" w:cs="宋体"/>
          <w:bCs w:val="0"/>
          <w:color w:val="000000" w:themeColor="text1"/>
          <w14:textFill>
            <w14:solidFill>
              <w14:schemeClr w14:val="tx1"/>
            </w14:solidFill>
          </w14:textFill>
        </w:rPr>
      </w:pPr>
      <w:bookmarkStart w:id="1227" w:name="_Toc406522287"/>
      <w:bookmarkStart w:id="1228" w:name="_Toc520505916"/>
      <w:bookmarkStart w:id="1229" w:name="_Toc185770498"/>
      <w:bookmarkStart w:id="1230" w:name="_Toc19163"/>
      <w:bookmarkStart w:id="1231" w:name="_Toc173253246"/>
      <w:r>
        <w:rPr>
          <w:rFonts w:hint="eastAsia" w:ascii="宋体" w:cs="宋体"/>
          <w:bCs w:val="0"/>
          <w:color w:val="000000" w:themeColor="text1"/>
          <w14:textFill>
            <w14:solidFill>
              <w14:schemeClr w14:val="tx1"/>
            </w14:solidFill>
          </w14:textFill>
        </w:rPr>
        <w:t>13.6 竣工退场</w:t>
      </w:r>
      <w:bookmarkEnd w:id="1227"/>
      <w:bookmarkEnd w:id="1228"/>
      <w:bookmarkEnd w:id="1229"/>
      <w:bookmarkEnd w:id="1230"/>
      <w:bookmarkEnd w:id="1231"/>
    </w:p>
    <w:p w14:paraId="65ED5FF8">
      <w:pPr>
        <w:pStyle w:val="102"/>
        <w:spacing w:line="400" w:lineRule="exact"/>
        <w:rPr>
          <w:rFonts w:hint="eastAsia"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13.6.1 竣工退场</w:t>
      </w:r>
    </w:p>
    <w:p w14:paraId="7116510F">
      <w:pPr>
        <w:pStyle w:val="102"/>
        <w:spacing w:line="400" w:lineRule="exact"/>
        <w:rPr>
          <w:rFonts w:hint="eastAsia"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承包人完成竣工退场的期限：</w:t>
      </w:r>
      <w:r>
        <w:rPr>
          <w:rFonts w:hint="eastAsia" w:ascii="宋体" w:hAnsi="宋体" w:cs="宋体"/>
          <w:color w:val="000000" w:themeColor="text1"/>
          <w:spacing w:val="11"/>
          <w:u w:val="single"/>
          <w14:textFill>
            <w14:solidFill>
              <w14:schemeClr w14:val="tx1"/>
            </w14:solidFill>
          </w14:textFill>
        </w:rPr>
        <w:t>缺陷责任期满时，承包人施工人员、施工设备及其临时工程全部撤离</w:t>
      </w:r>
      <w:r>
        <w:rPr>
          <w:rFonts w:hint="eastAsia" w:ascii="宋体" w:hAnsi="宋体" w:cs="宋体"/>
          <w:color w:val="000000" w:themeColor="text1"/>
          <w14:textFill>
            <w14:solidFill>
              <w14:schemeClr w14:val="tx1"/>
            </w14:solidFill>
          </w14:textFill>
        </w:rPr>
        <w:t>。</w:t>
      </w:r>
    </w:p>
    <w:p w14:paraId="3F918177">
      <w:pPr>
        <w:pStyle w:val="96"/>
        <w:spacing w:before="0" w:after="200" w:line="400" w:lineRule="exact"/>
        <w:rPr>
          <w:rFonts w:hint="eastAsia" w:ascii="宋体" w:cs="宋体"/>
          <w:bCs w:val="0"/>
          <w:color w:val="000000" w:themeColor="text1"/>
          <w14:textFill>
            <w14:solidFill>
              <w14:schemeClr w14:val="tx1"/>
            </w14:solidFill>
          </w14:textFill>
        </w:rPr>
      </w:pPr>
      <w:bookmarkStart w:id="1232" w:name="_Toc351203646"/>
      <w:bookmarkStart w:id="1233" w:name="_Toc520505917"/>
      <w:bookmarkStart w:id="1234" w:name="_Toc185770499"/>
      <w:bookmarkStart w:id="1235" w:name="_Toc173253247"/>
      <w:bookmarkStart w:id="1236" w:name="_Toc1400"/>
      <w:bookmarkStart w:id="1237" w:name="_Toc406522288"/>
      <w:r>
        <w:rPr>
          <w:rFonts w:hint="eastAsia" w:ascii="宋体" w:cs="宋体"/>
          <w:bCs w:val="0"/>
          <w:color w:val="000000" w:themeColor="text1"/>
          <w14:textFill>
            <w14:solidFill>
              <w14:schemeClr w14:val="tx1"/>
            </w14:solidFill>
          </w14:textFill>
        </w:rPr>
        <w:t>14. 竣工结算</w:t>
      </w:r>
      <w:bookmarkEnd w:id="1232"/>
      <w:bookmarkEnd w:id="1233"/>
      <w:bookmarkEnd w:id="1234"/>
      <w:bookmarkEnd w:id="1235"/>
      <w:bookmarkEnd w:id="1236"/>
      <w:bookmarkEnd w:id="1237"/>
    </w:p>
    <w:p w14:paraId="08579FEB">
      <w:pPr>
        <w:pStyle w:val="96"/>
        <w:spacing w:before="0" w:after="200" w:line="400" w:lineRule="exact"/>
        <w:rPr>
          <w:rFonts w:hint="eastAsia" w:ascii="宋体" w:cs="宋体"/>
          <w:bCs w:val="0"/>
          <w:color w:val="000000" w:themeColor="text1"/>
          <w14:textFill>
            <w14:solidFill>
              <w14:schemeClr w14:val="tx1"/>
            </w14:solidFill>
          </w14:textFill>
        </w:rPr>
      </w:pPr>
      <w:bookmarkStart w:id="1238" w:name="_Toc520505918"/>
      <w:bookmarkStart w:id="1239" w:name="_Toc406522289"/>
      <w:bookmarkStart w:id="1240" w:name="_Toc185770500"/>
      <w:bookmarkStart w:id="1241" w:name="_Toc173253248"/>
      <w:bookmarkStart w:id="1242" w:name="_Toc15105"/>
      <w:r>
        <w:rPr>
          <w:rFonts w:hint="eastAsia" w:ascii="宋体" w:cs="宋体"/>
          <w:bCs w:val="0"/>
          <w:color w:val="000000" w:themeColor="text1"/>
          <w14:textFill>
            <w14:solidFill>
              <w14:schemeClr w14:val="tx1"/>
            </w14:solidFill>
          </w14:textFill>
        </w:rPr>
        <w:t>14.1 竣工结算申请</w:t>
      </w:r>
      <w:bookmarkEnd w:id="1238"/>
      <w:bookmarkEnd w:id="1239"/>
      <w:bookmarkEnd w:id="1240"/>
      <w:bookmarkEnd w:id="1241"/>
      <w:bookmarkEnd w:id="1242"/>
    </w:p>
    <w:p w14:paraId="7BB364E5">
      <w:pPr>
        <w:pStyle w:val="102"/>
        <w:spacing w:line="400" w:lineRule="exact"/>
        <w:rPr>
          <w:rFonts w:hint="eastAsia"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承包人提交竣工结算申请单的期限：</w:t>
      </w:r>
      <w:r>
        <w:rPr>
          <w:rFonts w:hint="eastAsia" w:ascii="宋体" w:hAnsi="宋体" w:cs="宋体"/>
          <w:color w:val="000000" w:themeColor="text1"/>
          <w:u w:val="single"/>
          <w14:textFill>
            <w14:solidFill>
              <w14:schemeClr w14:val="tx1"/>
            </w14:solidFill>
          </w14:textFill>
        </w:rPr>
        <w:t>具备竣工验收条件后60天内</w:t>
      </w:r>
      <w:r>
        <w:rPr>
          <w:rFonts w:hint="eastAsia" w:ascii="宋体" w:hAnsi="宋体" w:cs="宋体"/>
          <w:color w:val="000000" w:themeColor="text1"/>
          <w14:textFill>
            <w14:solidFill>
              <w14:schemeClr w14:val="tx1"/>
            </w14:solidFill>
          </w14:textFill>
        </w:rPr>
        <w:t>。</w:t>
      </w:r>
    </w:p>
    <w:p w14:paraId="435C80A7">
      <w:pPr>
        <w:pStyle w:val="102"/>
        <w:spacing w:line="400" w:lineRule="exact"/>
        <w:rPr>
          <w:rFonts w:hint="eastAsia"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竣工结算申请单应包括的内容：</w:t>
      </w:r>
      <w:r>
        <w:rPr>
          <w:rFonts w:hint="eastAsia" w:ascii="宋体" w:hAnsi="宋体" w:cs="宋体"/>
          <w:color w:val="000000" w:themeColor="text1"/>
          <w:u w:val="single"/>
          <w14:textFill>
            <w14:solidFill>
              <w14:schemeClr w14:val="tx1"/>
            </w14:solidFill>
          </w14:textFill>
        </w:rPr>
        <w:t>竣工结算由承包人提交相关结算资料（主要包括合同、竣工图、设计变更通知、签证单、有关技术资料、双方往来函件（上述资料均为原件）、工程结算书、工程量（含钢筋）计算底稿等）齐全后经监理人初审，发包人审</w:t>
      </w:r>
      <w:r>
        <w:rPr>
          <w:rFonts w:hint="eastAsia" w:ascii="宋体" w:hAnsi="宋体" w:cs="宋体"/>
          <w:color w:val="000000" w:themeColor="text1"/>
          <w:spacing w:val="-2"/>
          <w:u w:val="single"/>
          <w14:textFill>
            <w14:solidFill>
              <w14:schemeClr w14:val="tx1"/>
            </w14:solidFill>
          </w14:textFill>
        </w:rPr>
        <w:t>定</w:t>
      </w:r>
      <w:r>
        <w:rPr>
          <w:rFonts w:hint="eastAsia" w:ascii="宋体" w:hAnsi="宋体" w:cs="宋体"/>
          <w:color w:val="000000" w:themeColor="text1"/>
          <w:u w:val="single"/>
          <w14:textFill>
            <w14:solidFill>
              <w14:schemeClr w14:val="tx1"/>
            </w14:solidFill>
          </w14:textFill>
        </w:rPr>
        <w:t>后，方可办理工程结算或竣工决算</w:t>
      </w:r>
      <w:r>
        <w:rPr>
          <w:rFonts w:hint="eastAsia" w:ascii="宋体" w:hAnsi="宋体" w:cs="宋体"/>
          <w:color w:val="000000" w:themeColor="text1"/>
          <w14:textFill>
            <w14:solidFill>
              <w14:schemeClr w14:val="tx1"/>
            </w14:solidFill>
          </w14:textFill>
        </w:rPr>
        <w:t>。</w:t>
      </w:r>
    </w:p>
    <w:p w14:paraId="7692A9B0">
      <w:pPr>
        <w:pStyle w:val="96"/>
        <w:spacing w:before="0" w:after="200" w:line="400" w:lineRule="exact"/>
        <w:rPr>
          <w:rFonts w:hint="eastAsia" w:ascii="宋体" w:cs="宋体"/>
          <w:bCs w:val="0"/>
          <w:color w:val="000000" w:themeColor="text1"/>
          <w14:textFill>
            <w14:solidFill>
              <w14:schemeClr w14:val="tx1"/>
            </w14:solidFill>
          </w14:textFill>
        </w:rPr>
      </w:pPr>
      <w:bookmarkStart w:id="1243" w:name="_Toc520505919"/>
      <w:bookmarkStart w:id="1244" w:name="_Toc23162"/>
      <w:bookmarkStart w:id="1245" w:name="_Toc406522290"/>
      <w:bookmarkStart w:id="1246" w:name="_Toc173253249"/>
      <w:bookmarkStart w:id="1247" w:name="_Toc185770501"/>
      <w:r>
        <w:rPr>
          <w:rFonts w:hint="eastAsia" w:ascii="宋体" w:cs="宋体"/>
          <w:bCs w:val="0"/>
          <w:color w:val="000000" w:themeColor="text1"/>
          <w14:textFill>
            <w14:solidFill>
              <w14:schemeClr w14:val="tx1"/>
            </w14:solidFill>
          </w14:textFill>
        </w:rPr>
        <w:t>14.2 竣工结算审核</w:t>
      </w:r>
      <w:bookmarkEnd w:id="1243"/>
      <w:bookmarkEnd w:id="1244"/>
      <w:bookmarkEnd w:id="1245"/>
      <w:bookmarkEnd w:id="1246"/>
      <w:bookmarkEnd w:id="1247"/>
    </w:p>
    <w:p w14:paraId="43B73A47">
      <w:pPr>
        <w:spacing w:line="400" w:lineRule="exact"/>
        <w:ind w:firstLine="411" w:firstLineChars="196"/>
        <w:rPr>
          <w:rFonts w:hint="eastAsia" w:ascii="宋体" w:hAnsi="宋体" w:cs="宋体"/>
          <w:bCs/>
          <w:color w:val="000000" w:themeColor="text1"/>
          <w14:textFill>
            <w14:solidFill>
              <w14:schemeClr w14:val="tx1"/>
            </w14:solidFill>
          </w14:textFill>
        </w:rPr>
      </w:pPr>
      <w:bookmarkStart w:id="1248" w:name="_Toc406522291"/>
      <w:r>
        <w:rPr>
          <w:rFonts w:hint="eastAsia" w:ascii="宋体" w:hAnsi="宋体" w:cs="宋体"/>
          <w:bCs/>
          <w:color w:val="000000" w:themeColor="text1"/>
          <w14:textFill>
            <w14:solidFill>
              <w14:schemeClr w14:val="tx1"/>
            </w14:solidFill>
          </w14:textFill>
        </w:rPr>
        <w:t>结算审核约定：</w:t>
      </w:r>
    </w:p>
    <w:p w14:paraId="1AB57B0F">
      <w:pPr>
        <w:spacing w:line="400" w:lineRule="exact"/>
        <w:ind w:firstLine="411" w:firstLineChars="196"/>
        <w:rPr>
          <w:rFonts w:hint="eastAsia" w:ascii="宋体" w:hAnsi="宋体" w:cs="宋体"/>
          <w:bCs/>
          <w:color w:val="000000" w:themeColor="text1"/>
          <w:u w:val="single"/>
          <w14:textFill>
            <w14:solidFill>
              <w14:schemeClr w14:val="tx1"/>
            </w14:solidFill>
          </w14:textFill>
        </w:rPr>
      </w:pPr>
      <w:r>
        <w:rPr>
          <w:rFonts w:hint="eastAsia" w:ascii="宋体" w:hAnsi="宋体" w:cs="宋体"/>
          <w:bCs/>
          <w:color w:val="000000" w:themeColor="text1"/>
          <w:u w:val="single"/>
          <w14:textFill>
            <w14:solidFill>
              <w14:schemeClr w14:val="tx1"/>
            </w14:solidFill>
          </w14:textFill>
        </w:rPr>
        <w:t>1、工程竣工验收报告经发包人认可后7天内，承包人向发包人递交竣工验收合格资料及完整的结算资料和报告，双方按照协议书约定的合同价款及专用条款约定的合同价调整内容，进行工程竣工结算。2、发包人收到承包人递交的竣工结算报告及结算资料之日起60天内进行审核，给予确认或者提出初审意见。发包人逾期不予审定结算的视为发包人已同意上述竣工结算报告及结算资料，并以此作为最终结算的依据。发包人初审竣工结算完毕之日起30天内，按审定后的结算价款，通知经办银行向承包人支付工程竣工结算价款。承包人应根据发包人的需要随时将竣工工程交付发包人。</w:t>
      </w:r>
    </w:p>
    <w:p w14:paraId="274BF8E3">
      <w:pPr>
        <w:spacing w:line="400" w:lineRule="exact"/>
        <w:ind w:firstLine="420" w:firstLineChars="200"/>
        <w:rPr>
          <w:rFonts w:hint="eastAsia" w:ascii="宋体" w:hAnsi="宋体" w:cs="宋体"/>
          <w:bCs/>
          <w:color w:val="000000" w:themeColor="text1"/>
          <w:u w:val="single"/>
          <w14:textFill>
            <w14:solidFill>
              <w14:schemeClr w14:val="tx1"/>
            </w14:solidFill>
          </w14:textFill>
        </w:rPr>
      </w:pPr>
      <w:r>
        <w:rPr>
          <w:rFonts w:hint="eastAsia" w:ascii="宋体" w:hAnsi="宋体" w:cs="宋体"/>
          <w:bCs/>
          <w:color w:val="000000" w:themeColor="text1"/>
          <w:u w:val="single"/>
          <w14:textFill>
            <w14:solidFill>
              <w14:schemeClr w14:val="tx1"/>
            </w14:solidFill>
          </w14:textFill>
        </w:rPr>
        <w:t>发包人完成竣工付款的期限：竣工结算报告经三方签字盖章后30天内。</w:t>
      </w:r>
    </w:p>
    <w:p w14:paraId="5D219E06">
      <w:pPr>
        <w:spacing w:line="400" w:lineRule="exact"/>
        <w:ind w:firstLine="420" w:firstLineChars="200"/>
        <w:rPr>
          <w:rFonts w:hint="eastAsia"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关于竣工付款证书异议部分复核的方式和程序：</w:t>
      </w:r>
      <w:r>
        <w:rPr>
          <w:rFonts w:hint="eastAsia" w:ascii="宋体" w:hAnsi="宋体" w:cs="宋体"/>
          <w:color w:val="000000" w:themeColor="text1"/>
          <w:u w:val="single"/>
          <w14:textFill>
            <w14:solidFill>
              <w14:schemeClr w14:val="tx1"/>
            </w14:solidFill>
          </w14:textFill>
        </w:rPr>
        <w:t>按通用条款执行</w:t>
      </w:r>
      <w:r>
        <w:rPr>
          <w:rFonts w:hint="eastAsia" w:ascii="宋体" w:hAnsi="宋体" w:cs="宋体"/>
          <w:color w:val="000000" w:themeColor="text1"/>
          <w14:textFill>
            <w14:solidFill>
              <w14:schemeClr w14:val="tx1"/>
            </w14:solidFill>
          </w14:textFill>
        </w:rPr>
        <w:t>。</w:t>
      </w:r>
    </w:p>
    <w:p w14:paraId="2013C1CF">
      <w:pPr>
        <w:pStyle w:val="96"/>
        <w:spacing w:before="0" w:after="200" w:line="400" w:lineRule="exact"/>
        <w:rPr>
          <w:rFonts w:hint="eastAsia" w:ascii="宋体" w:cs="宋体"/>
          <w:bCs w:val="0"/>
          <w:color w:val="000000" w:themeColor="text1"/>
          <w14:textFill>
            <w14:solidFill>
              <w14:schemeClr w14:val="tx1"/>
            </w14:solidFill>
          </w14:textFill>
        </w:rPr>
      </w:pPr>
      <w:bookmarkStart w:id="1249" w:name="_Toc173253250"/>
      <w:bookmarkStart w:id="1250" w:name="_Toc185770502"/>
      <w:bookmarkStart w:id="1251" w:name="_Toc520505920"/>
      <w:bookmarkStart w:id="1252" w:name="_Toc11072"/>
      <w:r>
        <w:rPr>
          <w:rFonts w:hint="eastAsia" w:ascii="宋体" w:cs="宋体"/>
          <w:bCs w:val="0"/>
          <w:color w:val="000000" w:themeColor="text1"/>
          <w14:textFill>
            <w14:solidFill>
              <w14:schemeClr w14:val="tx1"/>
            </w14:solidFill>
          </w14:textFill>
        </w:rPr>
        <w:t>14.4 最终结清</w:t>
      </w:r>
      <w:bookmarkEnd w:id="1248"/>
      <w:bookmarkEnd w:id="1249"/>
      <w:bookmarkEnd w:id="1250"/>
      <w:bookmarkEnd w:id="1251"/>
      <w:bookmarkEnd w:id="1252"/>
    </w:p>
    <w:p w14:paraId="7A592498">
      <w:pPr>
        <w:pStyle w:val="102"/>
        <w:spacing w:line="400" w:lineRule="exact"/>
        <w:rPr>
          <w:rFonts w:hint="eastAsia"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14.4.1 最终结清申请单</w:t>
      </w:r>
    </w:p>
    <w:p w14:paraId="2921163E">
      <w:pPr>
        <w:pStyle w:val="102"/>
        <w:spacing w:line="400" w:lineRule="exact"/>
        <w:rPr>
          <w:rFonts w:hint="eastAsia"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承包人提交最终结清申请单的份数：</w:t>
      </w:r>
      <w:r>
        <w:rPr>
          <w:rFonts w:hint="eastAsia" w:ascii="宋体" w:hAnsi="宋体" w:cs="宋体"/>
          <w:color w:val="000000" w:themeColor="text1"/>
          <w:u w:val="single"/>
          <w14:textFill>
            <w14:solidFill>
              <w14:schemeClr w14:val="tx1"/>
            </w14:solidFill>
          </w14:textFill>
        </w:rPr>
        <w:t xml:space="preserve">一式四份  </w:t>
      </w:r>
      <w:r>
        <w:rPr>
          <w:rFonts w:hint="eastAsia" w:ascii="宋体" w:hAnsi="宋体" w:cs="宋体"/>
          <w:color w:val="000000" w:themeColor="text1"/>
          <w14:textFill>
            <w14:solidFill>
              <w14:schemeClr w14:val="tx1"/>
            </w14:solidFill>
          </w14:textFill>
        </w:rPr>
        <w:t>。</w:t>
      </w:r>
    </w:p>
    <w:p w14:paraId="144A0B0F">
      <w:pPr>
        <w:pStyle w:val="102"/>
        <w:spacing w:line="400" w:lineRule="exact"/>
        <w:rPr>
          <w:rFonts w:hint="eastAsia"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承包人提交最终结算申请单的期限：</w:t>
      </w:r>
      <w:r>
        <w:rPr>
          <w:rFonts w:hint="eastAsia" w:ascii="宋体" w:hAnsi="宋体" w:cs="宋体"/>
          <w:color w:val="000000" w:themeColor="text1"/>
          <w:u w:val="single"/>
          <w14:textFill>
            <w14:solidFill>
              <w14:schemeClr w14:val="tx1"/>
            </w14:solidFill>
          </w14:textFill>
        </w:rPr>
        <w:t>缺陷责任期终止证书签发后14日内提交给发包人</w:t>
      </w:r>
      <w:r>
        <w:rPr>
          <w:rFonts w:hint="eastAsia" w:ascii="宋体" w:hAnsi="宋体" w:cs="宋体"/>
          <w:color w:val="000000" w:themeColor="text1"/>
          <w14:textFill>
            <w14:solidFill>
              <w14:schemeClr w14:val="tx1"/>
            </w14:solidFill>
          </w14:textFill>
        </w:rPr>
        <w:t xml:space="preserve">。 </w:t>
      </w:r>
    </w:p>
    <w:p w14:paraId="2C9F3442">
      <w:pPr>
        <w:pStyle w:val="102"/>
        <w:spacing w:line="400" w:lineRule="exact"/>
        <w:rPr>
          <w:rFonts w:hint="eastAsia"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14.4.2 最终结清证书和支付</w:t>
      </w:r>
    </w:p>
    <w:p w14:paraId="65BB6F19">
      <w:pPr>
        <w:pStyle w:val="102"/>
        <w:spacing w:line="400" w:lineRule="exact"/>
        <w:rPr>
          <w:rFonts w:hint="eastAsia"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（1）发包人完成最终结清申请单的审批并颁发最终结清证书的期限：</w:t>
      </w:r>
      <w:r>
        <w:rPr>
          <w:rFonts w:hint="eastAsia" w:ascii="宋体" w:hAnsi="宋体" w:cs="宋体"/>
          <w:color w:val="000000" w:themeColor="text1"/>
          <w:u w:val="single"/>
          <w14:textFill>
            <w14:solidFill>
              <w14:schemeClr w14:val="tx1"/>
            </w14:solidFill>
          </w14:textFill>
        </w:rPr>
        <w:t>按通用条款执行</w:t>
      </w:r>
      <w:r>
        <w:rPr>
          <w:rFonts w:hint="eastAsia" w:ascii="宋体" w:hAnsi="宋体" w:cs="宋体"/>
          <w:color w:val="000000" w:themeColor="text1"/>
          <w14:textFill>
            <w14:solidFill>
              <w14:schemeClr w14:val="tx1"/>
            </w14:solidFill>
          </w14:textFill>
        </w:rPr>
        <w:t>。</w:t>
      </w:r>
    </w:p>
    <w:p w14:paraId="21F6B603">
      <w:pPr>
        <w:pStyle w:val="102"/>
        <w:spacing w:line="400" w:lineRule="exact"/>
        <w:rPr>
          <w:rFonts w:hint="eastAsia"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（2）发包人完成支付的期限：</w:t>
      </w:r>
      <w:r>
        <w:rPr>
          <w:rFonts w:hint="eastAsia" w:ascii="宋体" w:hAnsi="宋体" w:cs="宋体"/>
          <w:color w:val="000000" w:themeColor="text1"/>
          <w:u w:val="single"/>
          <w14:textFill>
            <w14:solidFill>
              <w14:schemeClr w14:val="tx1"/>
            </w14:solidFill>
          </w14:textFill>
        </w:rPr>
        <w:t>发包人在颁发最终结清证书后30天内完成支付</w:t>
      </w:r>
      <w:r>
        <w:rPr>
          <w:rFonts w:hint="eastAsia" w:ascii="宋体" w:hAnsi="宋体" w:cs="宋体"/>
          <w:color w:val="000000" w:themeColor="text1"/>
          <w14:textFill>
            <w14:solidFill>
              <w14:schemeClr w14:val="tx1"/>
            </w14:solidFill>
          </w14:textFill>
        </w:rPr>
        <w:t>。</w:t>
      </w:r>
    </w:p>
    <w:bookmarkEnd w:id="1197"/>
    <w:bookmarkEnd w:id="1198"/>
    <w:bookmarkEnd w:id="1199"/>
    <w:bookmarkEnd w:id="1200"/>
    <w:bookmarkEnd w:id="1201"/>
    <w:bookmarkEnd w:id="1202"/>
    <w:bookmarkEnd w:id="1203"/>
    <w:bookmarkEnd w:id="1209"/>
    <w:p w14:paraId="01E9734E">
      <w:pPr>
        <w:pStyle w:val="96"/>
        <w:spacing w:before="0" w:after="200" w:line="400" w:lineRule="exact"/>
        <w:rPr>
          <w:rFonts w:hint="eastAsia" w:ascii="宋体" w:cs="宋体"/>
          <w:bCs w:val="0"/>
          <w:color w:val="000000" w:themeColor="text1"/>
          <w14:textFill>
            <w14:solidFill>
              <w14:schemeClr w14:val="tx1"/>
            </w14:solidFill>
          </w14:textFill>
        </w:rPr>
      </w:pPr>
      <w:bookmarkStart w:id="1253" w:name="_Toc173253251"/>
      <w:bookmarkStart w:id="1254" w:name="_Toc406522292"/>
      <w:bookmarkStart w:id="1255" w:name="_Toc351203647"/>
      <w:bookmarkStart w:id="1256" w:name="_Toc185770503"/>
      <w:bookmarkStart w:id="1257" w:name="_Toc7436"/>
      <w:bookmarkStart w:id="1258" w:name="_Toc520505921"/>
      <w:bookmarkStart w:id="1259" w:name="_Toc267251483"/>
      <w:bookmarkStart w:id="1260" w:name="_Toc267251484"/>
      <w:bookmarkStart w:id="1261" w:name="_Toc267251482"/>
      <w:bookmarkStart w:id="1262" w:name="_Toc267251485"/>
      <w:bookmarkStart w:id="1263" w:name="_Toc267251490"/>
      <w:bookmarkStart w:id="1264" w:name="_Toc267251489"/>
      <w:bookmarkStart w:id="1265" w:name="_Toc267251488"/>
      <w:bookmarkStart w:id="1266" w:name="_Toc267251486"/>
      <w:bookmarkStart w:id="1267" w:name="_Toc267251501"/>
      <w:bookmarkStart w:id="1268" w:name="_Toc267251492"/>
      <w:bookmarkStart w:id="1269" w:name="_Toc267251491"/>
      <w:bookmarkStart w:id="1270" w:name="_Toc267251494"/>
      <w:bookmarkStart w:id="1271" w:name="_Toc267251496"/>
      <w:bookmarkStart w:id="1272" w:name="_Toc267251493"/>
      <w:bookmarkStart w:id="1273" w:name="_Toc267251502"/>
      <w:bookmarkStart w:id="1274" w:name="_Toc267251503"/>
      <w:bookmarkStart w:id="1275" w:name="_Toc267251498"/>
      <w:bookmarkStart w:id="1276" w:name="_Toc267251497"/>
      <w:bookmarkStart w:id="1277" w:name="_Toc267251495"/>
      <w:bookmarkStart w:id="1278" w:name="_Toc267251499"/>
      <w:bookmarkStart w:id="1279" w:name="_Toc267251506"/>
      <w:bookmarkStart w:id="1280" w:name="_Toc267251504"/>
      <w:bookmarkStart w:id="1281" w:name="_Toc267251507"/>
      <w:bookmarkStart w:id="1282" w:name="_Toc267251508"/>
      <w:bookmarkStart w:id="1283" w:name="_Toc267251515"/>
      <w:bookmarkStart w:id="1284" w:name="_Toc267251511"/>
      <w:bookmarkStart w:id="1285" w:name="_Toc267251513"/>
      <w:bookmarkStart w:id="1286" w:name="_Toc267251514"/>
      <w:bookmarkStart w:id="1287" w:name="_Toc267251510"/>
      <w:bookmarkStart w:id="1288" w:name="_Toc267251509"/>
      <w:r>
        <w:rPr>
          <w:rFonts w:hint="eastAsia" w:ascii="宋体" w:cs="宋体"/>
          <w:bCs w:val="0"/>
          <w:color w:val="000000" w:themeColor="text1"/>
          <w14:textFill>
            <w14:solidFill>
              <w14:schemeClr w14:val="tx1"/>
            </w14:solidFill>
          </w14:textFill>
        </w:rPr>
        <w:t>15. 缺陷责任期与保修</w:t>
      </w:r>
      <w:bookmarkEnd w:id="1253"/>
      <w:bookmarkEnd w:id="1254"/>
      <w:bookmarkEnd w:id="1255"/>
      <w:bookmarkEnd w:id="1256"/>
      <w:bookmarkEnd w:id="1257"/>
      <w:bookmarkEnd w:id="1258"/>
    </w:p>
    <w:p w14:paraId="0DD769AA">
      <w:pPr>
        <w:pStyle w:val="96"/>
        <w:spacing w:before="0" w:after="200" w:line="400" w:lineRule="exact"/>
        <w:rPr>
          <w:rFonts w:hint="eastAsia" w:ascii="宋体" w:cs="宋体"/>
          <w:bCs w:val="0"/>
          <w:color w:val="000000" w:themeColor="text1"/>
          <w14:textFill>
            <w14:solidFill>
              <w14:schemeClr w14:val="tx1"/>
            </w14:solidFill>
          </w14:textFill>
        </w:rPr>
      </w:pPr>
      <w:bookmarkStart w:id="1289" w:name="_Toc173253252"/>
      <w:bookmarkStart w:id="1290" w:name="_Toc406522293"/>
      <w:bookmarkStart w:id="1291" w:name="_Toc1599"/>
      <w:bookmarkStart w:id="1292" w:name="_Toc185770504"/>
      <w:bookmarkStart w:id="1293" w:name="_Toc520505922"/>
      <w:r>
        <w:rPr>
          <w:rFonts w:hint="eastAsia" w:ascii="宋体" w:cs="宋体"/>
          <w:bCs w:val="0"/>
          <w:color w:val="000000" w:themeColor="text1"/>
          <w14:textFill>
            <w14:solidFill>
              <w14:schemeClr w14:val="tx1"/>
            </w14:solidFill>
          </w14:textFill>
        </w:rPr>
        <w:t>15.2缺陷责任期</w:t>
      </w:r>
      <w:bookmarkEnd w:id="1259"/>
      <w:bookmarkEnd w:id="1289"/>
      <w:bookmarkEnd w:id="1290"/>
      <w:bookmarkEnd w:id="1291"/>
      <w:bookmarkEnd w:id="1292"/>
      <w:bookmarkEnd w:id="1293"/>
    </w:p>
    <w:p w14:paraId="643D2866">
      <w:pPr>
        <w:pStyle w:val="102"/>
        <w:spacing w:line="400" w:lineRule="exact"/>
        <w:rPr>
          <w:rFonts w:hint="eastAsia"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缺陷责任期的具体期限：</w:t>
      </w:r>
      <w:r>
        <w:rPr>
          <w:rFonts w:hint="eastAsia" w:ascii="宋体" w:hAnsi="宋体" w:cs="宋体"/>
          <w:color w:val="000000" w:themeColor="text1"/>
          <w:u w:val="single"/>
          <w14:textFill>
            <w14:solidFill>
              <w14:schemeClr w14:val="tx1"/>
            </w14:solidFill>
          </w14:textFill>
        </w:rPr>
        <w:t>24个月</w:t>
      </w:r>
      <w:r>
        <w:rPr>
          <w:rFonts w:hint="eastAsia" w:ascii="宋体" w:hAnsi="宋体" w:cs="宋体"/>
          <w:color w:val="000000" w:themeColor="text1"/>
          <w14:textFill>
            <w14:solidFill>
              <w14:schemeClr w14:val="tx1"/>
            </w14:solidFill>
          </w14:textFill>
        </w:rPr>
        <w:t>。</w:t>
      </w:r>
    </w:p>
    <w:p w14:paraId="2921BFCC">
      <w:pPr>
        <w:pStyle w:val="96"/>
        <w:spacing w:before="0" w:after="200" w:line="400" w:lineRule="exact"/>
        <w:rPr>
          <w:rFonts w:hint="eastAsia" w:ascii="宋体" w:cs="宋体"/>
          <w:bCs w:val="0"/>
          <w:color w:val="000000" w:themeColor="text1"/>
          <w14:textFill>
            <w14:solidFill>
              <w14:schemeClr w14:val="tx1"/>
            </w14:solidFill>
          </w14:textFill>
        </w:rPr>
      </w:pPr>
      <w:bookmarkStart w:id="1294" w:name="_Toc185770505"/>
      <w:bookmarkStart w:id="1295" w:name="_Toc173253253"/>
      <w:bookmarkStart w:id="1296" w:name="_Toc3604"/>
      <w:bookmarkStart w:id="1297" w:name="_Toc406522294"/>
      <w:bookmarkStart w:id="1298" w:name="_Toc520505923"/>
      <w:r>
        <w:rPr>
          <w:rFonts w:hint="eastAsia" w:ascii="宋体" w:cs="宋体"/>
          <w:bCs w:val="0"/>
          <w:color w:val="000000" w:themeColor="text1"/>
          <w14:textFill>
            <w14:solidFill>
              <w14:schemeClr w14:val="tx1"/>
            </w14:solidFill>
          </w14:textFill>
        </w:rPr>
        <w:t>15.3 质量保证金</w:t>
      </w:r>
      <w:bookmarkEnd w:id="1294"/>
      <w:bookmarkEnd w:id="1295"/>
      <w:bookmarkEnd w:id="1296"/>
      <w:bookmarkEnd w:id="1297"/>
      <w:bookmarkEnd w:id="1298"/>
    </w:p>
    <w:p w14:paraId="7503EB46">
      <w:pPr>
        <w:pStyle w:val="102"/>
        <w:spacing w:line="400" w:lineRule="exact"/>
        <w:rPr>
          <w:rFonts w:hint="eastAsia"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关于是否扣留质量保证金的约定：</w:t>
      </w:r>
      <w:r>
        <w:rPr>
          <w:rFonts w:hint="eastAsia" w:ascii="宋体" w:hAnsi="宋体" w:cs="宋体"/>
          <w:color w:val="000000" w:themeColor="text1"/>
          <w:spacing w:val="1"/>
          <w:position w:val="-2"/>
          <w:u w:val="single"/>
          <w14:textFill>
            <w14:solidFill>
              <w14:schemeClr w14:val="tx1"/>
            </w14:solidFill>
          </w14:textFill>
        </w:rPr>
        <w:t>预留工程竣工结算总造价的</w:t>
      </w:r>
      <w:r>
        <w:rPr>
          <w:rFonts w:hint="eastAsia" w:ascii="宋体" w:hAnsi="宋体" w:cs="宋体"/>
          <w:color w:val="000000" w:themeColor="text1"/>
          <w:spacing w:val="1"/>
          <w:position w:val="-2"/>
          <w:u w:val="single"/>
          <w14:textFill>
            <w14:solidFill>
              <w14:schemeClr w14:val="tx1"/>
            </w14:solidFill>
          </w14:textFill>
        </w:rPr>
        <w:t>3%作为</w:t>
      </w:r>
      <w:r>
        <w:rPr>
          <w:rFonts w:hint="eastAsia" w:ascii="宋体" w:hAnsi="宋体" w:cs="宋体"/>
          <w:color w:val="000000" w:themeColor="text1"/>
          <w:u w:val="single"/>
          <w14:textFill>
            <w14:solidFill>
              <w14:schemeClr w14:val="tx1"/>
            </w14:solidFill>
          </w14:textFill>
        </w:rPr>
        <w:t>工程质量保修金</w:t>
      </w:r>
      <w:r>
        <w:rPr>
          <w:rFonts w:hint="eastAsia" w:ascii="宋体" w:hAnsi="宋体" w:cs="宋体"/>
          <w:color w:val="000000" w:themeColor="text1"/>
          <w14:textFill>
            <w14:solidFill>
              <w14:schemeClr w14:val="tx1"/>
            </w14:solidFill>
          </w14:textFill>
        </w:rPr>
        <w:t>。</w:t>
      </w:r>
    </w:p>
    <w:p w14:paraId="335E2D45">
      <w:pPr>
        <w:pStyle w:val="102"/>
        <w:spacing w:line="400" w:lineRule="exact"/>
        <w:rPr>
          <w:rFonts w:hint="eastAsia"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15.3.1 承包人提供质量保证金的方式</w:t>
      </w:r>
    </w:p>
    <w:p w14:paraId="2E367AC3">
      <w:pPr>
        <w:pStyle w:val="102"/>
        <w:spacing w:line="400" w:lineRule="exact"/>
        <w:rPr>
          <w:rFonts w:hint="eastAsia"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质量保证金采用以下第</w:t>
      </w:r>
      <w:r>
        <w:rPr>
          <w:rFonts w:hint="eastAsia" w:ascii="宋体" w:hAnsi="宋体" w:cs="宋体"/>
          <w:color w:val="000000" w:themeColor="text1"/>
          <w:u w:val="single"/>
          <w14:textFill>
            <w14:solidFill>
              <w14:schemeClr w14:val="tx1"/>
            </w14:solidFill>
          </w14:textFill>
        </w:rPr>
        <w:t xml:space="preserve">   2  </w:t>
      </w:r>
      <w:r>
        <w:rPr>
          <w:rFonts w:hint="eastAsia" w:ascii="宋体" w:hAnsi="宋体" w:cs="宋体"/>
          <w:color w:val="000000" w:themeColor="text1"/>
          <w14:textFill>
            <w14:solidFill>
              <w14:schemeClr w14:val="tx1"/>
            </w14:solidFill>
          </w14:textFill>
        </w:rPr>
        <w:t>种方式：</w:t>
      </w:r>
    </w:p>
    <w:p w14:paraId="3AB1A01D">
      <w:pPr>
        <w:pStyle w:val="102"/>
        <w:spacing w:line="400" w:lineRule="exact"/>
        <w:rPr>
          <w:rFonts w:hint="eastAsia"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（1）质量保证金保函，保证金额为：</w:t>
      </w:r>
      <w:r>
        <w:rPr>
          <w:rFonts w:hint="eastAsia" w:ascii="宋体" w:hAnsi="宋体" w:cs="宋体"/>
          <w:color w:val="000000" w:themeColor="text1"/>
          <w:u w:val="single"/>
          <w14:textFill>
            <w14:solidFill>
              <w14:schemeClr w14:val="tx1"/>
            </w14:solidFill>
          </w14:textFill>
        </w:rPr>
        <w:t xml:space="preserve">         /          </w:t>
      </w:r>
      <w:r>
        <w:rPr>
          <w:rFonts w:hint="eastAsia" w:ascii="宋体" w:hAnsi="宋体" w:cs="宋体"/>
          <w:color w:val="000000" w:themeColor="text1"/>
          <w14:textFill>
            <w14:solidFill>
              <w14:schemeClr w14:val="tx1"/>
            </w14:solidFill>
          </w14:textFill>
        </w:rPr>
        <w:t xml:space="preserve">； </w:t>
      </w:r>
    </w:p>
    <w:p w14:paraId="0C390E0B">
      <w:pPr>
        <w:spacing w:line="400" w:lineRule="exact"/>
        <w:ind w:firstLine="420" w:firstLineChars="200"/>
        <w:rPr>
          <w:rFonts w:hint="eastAsia"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（2）</w:t>
      </w:r>
      <w:r>
        <w:rPr>
          <w:rFonts w:hint="eastAsia" w:ascii="宋体" w:hAnsi="宋体" w:cs="宋体"/>
          <w:bCs/>
          <w:color w:val="000000" w:themeColor="text1"/>
          <w14:textFill>
            <w14:solidFill>
              <w14:schemeClr w14:val="tx1"/>
            </w14:solidFill>
          </w14:textFill>
        </w:rPr>
        <w:t>发包人按工程价款结算总额的</w:t>
      </w:r>
      <w:r>
        <w:rPr>
          <w:rFonts w:hint="eastAsia" w:ascii="宋体" w:hAnsi="宋体" w:cs="宋体"/>
          <w:bCs/>
          <w:color w:val="000000" w:themeColor="text1"/>
          <w:u w:val="single"/>
          <w14:textFill>
            <w14:solidFill>
              <w14:schemeClr w14:val="tx1"/>
            </w14:solidFill>
          </w14:textFill>
        </w:rPr>
        <w:t xml:space="preserve"> 3 </w:t>
      </w:r>
      <w:r>
        <w:rPr>
          <w:rFonts w:hint="eastAsia" w:ascii="宋体" w:hAnsi="宋体" w:cs="宋体"/>
          <w:bCs/>
          <w:color w:val="000000" w:themeColor="text1"/>
          <w14:textFill>
            <w14:solidFill>
              <w14:schemeClr w14:val="tx1"/>
            </w14:solidFill>
          </w14:textFill>
        </w:rPr>
        <w:t>%预留工程质量保修金，待缺陷责任期满后返还</w:t>
      </w:r>
      <w:r>
        <w:rPr>
          <w:rFonts w:hint="eastAsia" w:ascii="宋体" w:hAnsi="宋体" w:cs="宋体"/>
          <w:color w:val="000000" w:themeColor="text1"/>
          <w14:textFill>
            <w14:solidFill>
              <w14:schemeClr w14:val="tx1"/>
            </w14:solidFill>
          </w14:textFill>
        </w:rPr>
        <w:t>；</w:t>
      </w:r>
    </w:p>
    <w:p w14:paraId="77933CEC">
      <w:pPr>
        <w:pStyle w:val="102"/>
        <w:spacing w:line="400" w:lineRule="exact"/>
        <w:rPr>
          <w:rFonts w:hint="eastAsia"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（3）其他方式:</w:t>
      </w:r>
      <w:r>
        <w:rPr>
          <w:rFonts w:hint="eastAsia" w:ascii="宋体" w:hAnsi="宋体" w:cs="宋体"/>
          <w:color w:val="000000" w:themeColor="text1"/>
          <w:u w:val="single"/>
          <w14:textFill>
            <w14:solidFill>
              <w14:schemeClr w14:val="tx1"/>
            </w14:solidFill>
          </w14:textFill>
        </w:rPr>
        <w:t xml:space="preserve">                  /                    </w:t>
      </w:r>
      <w:r>
        <w:rPr>
          <w:rFonts w:hint="eastAsia" w:ascii="宋体" w:hAnsi="宋体" w:cs="宋体"/>
          <w:color w:val="000000" w:themeColor="text1"/>
          <w14:textFill>
            <w14:solidFill>
              <w14:schemeClr w14:val="tx1"/>
            </w14:solidFill>
          </w14:textFill>
        </w:rPr>
        <w:t>。</w:t>
      </w:r>
    </w:p>
    <w:p w14:paraId="0D885039">
      <w:pPr>
        <w:pStyle w:val="102"/>
        <w:spacing w:line="400" w:lineRule="exact"/>
        <w:rPr>
          <w:rFonts w:hint="eastAsia"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 xml:space="preserve">15.3.2 质量保证金的扣留 </w:t>
      </w:r>
    </w:p>
    <w:p w14:paraId="5766A4BA">
      <w:pPr>
        <w:pStyle w:val="102"/>
        <w:spacing w:line="400" w:lineRule="exact"/>
        <w:rPr>
          <w:rFonts w:hint="eastAsia"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质量保证金的扣留采取以下第</w:t>
      </w:r>
      <w:r>
        <w:rPr>
          <w:rFonts w:hint="eastAsia" w:ascii="宋体" w:hAnsi="宋体" w:cs="宋体"/>
          <w:color w:val="000000" w:themeColor="text1"/>
          <w:u w:val="single"/>
          <w14:textFill>
            <w14:solidFill>
              <w14:schemeClr w14:val="tx1"/>
            </w14:solidFill>
          </w14:textFill>
        </w:rPr>
        <w:t xml:space="preserve">   （2）  </w:t>
      </w:r>
      <w:r>
        <w:rPr>
          <w:rFonts w:hint="eastAsia" w:ascii="宋体" w:hAnsi="宋体" w:cs="宋体"/>
          <w:color w:val="000000" w:themeColor="text1"/>
          <w14:textFill>
            <w14:solidFill>
              <w14:schemeClr w14:val="tx1"/>
            </w14:solidFill>
          </w14:textFill>
        </w:rPr>
        <w:t>种方式：</w:t>
      </w:r>
    </w:p>
    <w:p w14:paraId="0068EA50">
      <w:pPr>
        <w:pStyle w:val="102"/>
        <w:spacing w:line="400" w:lineRule="exact"/>
        <w:rPr>
          <w:rFonts w:hint="eastAsia"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（1）在支付工程进度款时逐次扣留，在此情形下，质量保证金的计算基数不包括预付款的支付、扣回以及价格调整的金额；</w:t>
      </w:r>
    </w:p>
    <w:p w14:paraId="243E9027">
      <w:pPr>
        <w:pStyle w:val="102"/>
        <w:spacing w:line="400" w:lineRule="exact"/>
        <w:rPr>
          <w:rFonts w:hint="eastAsia"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（2）工程竣工结算时一次性扣留质量保证金；</w:t>
      </w:r>
    </w:p>
    <w:p w14:paraId="0D83B9A8">
      <w:pPr>
        <w:pStyle w:val="102"/>
        <w:spacing w:line="400" w:lineRule="exact"/>
        <w:rPr>
          <w:rFonts w:hint="eastAsia"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（3）其他扣留方式:</w:t>
      </w:r>
      <w:r>
        <w:rPr>
          <w:rFonts w:hint="eastAsia" w:ascii="宋体" w:hAnsi="宋体" w:cs="宋体"/>
          <w:color w:val="000000" w:themeColor="text1"/>
          <w:u w:val="single"/>
          <w14:textFill>
            <w14:solidFill>
              <w14:schemeClr w14:val="tx1"/>
            </w14:solidFill>
          </w14:textFill>
        </w:rPr>
        <w:t xml:space="preserve"> </w:t>
      </w:r>
      <w:r>
        <w:rPr>
          <w:rFonts w:hint="eastAsia" w:ascii="宋体" w:hAnsi="宋体" w:cs="宋体"/>
          <w:color w:val="000000" w:themeColor="text1"/>
          <w:u w:val="single"/>
          <w14:textFill>
            <w14:solidFill>
              <w14:schemeClr w14:val="tx1"/>
            </w14:solidFill>
          </w14:textFill>
        </w:rPr>
        <w:t>工程完工验收合格且财政资金到位后，乙方向甲方支付工程审核造价</w:t>
      </w:r>
      <w:r>
        <w:rPr>
          <w:rFonts w:hint="eastAsia" w:ascii="宋体" w:hAnsi="宋体" w:cs="宋体"/>
          <w:color w:val="000000" w:themeColor="text1"/>
          <w:u w:val="single"/>
          <w14:textFill>
            <w14:solidFill>
              <w14:schemeClr w14:val="tx1"/>
            </w14:solidFill>
          </w14:textFill>
        </w:rPr>
        <w:t>的3%为工程质量保修金</w:t>
      </w:r>
      <w:r>
        <w:rPr>
          <w:rFonts w:hint="eastAsia" w:ascii="宋体" w:hAnsi="宋体" w:cs="宋体"/>
          <w:color w:val="000000" w:themeColor="text1"/>
          <w14:textFill>
            <w14:solidFill>
              <w14:schemeClr w14:val="tx1"/>
            </w14:solidFill>
          </w14:textFill>
        </w:rPr>
        <w:t>。</w:t>
      </w:r>
    </w:p>
    <w:p w14:paraId="7A14403D">
      <w:pPr>
        <w:pStyle w:val="102"/>
        <w:spacing w:line="400" w:lineRule="exact"/>
        <w:rPr>
          <w:rFonts w:hint="eastAsia"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关于质量保证金的补充约定：</w:t>
      </w:r>
      <w:r>
        <w:rPr>
          <w:rFonts w:hint="eastAsia" w:ascii="宋体" w:hAnsi="宋体" w:cs="宋体"/>
          <w:color w:val="000000" w:themeColor="text1"/>
          <w:u w:val="single"/>
          <w14:textFill>
            <w14:solidFill>
              <w14:schemeClr w14:val="tx1"/>
            </w14:solidFill>
          </w14:textFill>
        </w:rPr>
        <w:t>详见附件3《工程质量保修书》</w:t>
      </w:r>
      <w:r>
        <w:rPr>
          <w:rFonts w:hint="eastAsia" w:ascii="宋体" w:hAnsi="宋体" w:cs="宋体"/>
          <w:color w:val="000000" w:themeColor="text1"/>
          <w14:textFill>
            <w14:solidFill>
              <w14:schemeClr w14:val="tx1"/>
            </w14:solidFill>
          </w14:textFill>
        </w:rPr>
        <w:t>。</w:t>
      </w:r>
    </w:p>
    <w:p w14:paraId="6B772AE8">
      <w:pPr>
        <w:pStyle w:val="102"/>
        <w:spacing w:line="400" w:lineRule="exact"/>
        <w:rPr>
          <w:rFonts w:hint="eastAsia"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关于质量保证金的补充约定：</w:t>
      </w:r>
      <w:r>
        <w:rPr>
          <w:rFonts w:hint="eastAsia" w:ascii="宋体" w:hAnsi="宋体" w:cs="宋体"/>
          <w:color w:val="000000" w:themeColor="text1"/>
          <w:u w:val="single"/>
          <w14:textFill>
            <w14:solidFill>
              <w14:schemeClr w14:val="tx1"/>
            </w14:solidFill>
          </w14:textFill>
        </w:rPr>
        <w:t>双方约定，发包人预留本工程最终结算总价的</w:t>
      </w:r>
      <w:r>
        <w:rPr>
          <w:rFonts w:hint="eastAsia" w:ascii="宋体" w:hAnsi="宋体" w:cs="宋体"/>
          <w:color w:val="000000" w:themeColor="text1"/>
          <w:u w:val="single"/>
          <w14:textFill>
            <w14:solidFill>
              <w14:schemeClr w14:val="tx1"/>
            </w14:solidFill>
          </w14:textFill>
        </w:rPr>
        <w:t>3%作为工程质量保修金</w:t>
      </w:r>
      <w:r>
        <w:rPr>
          <w:rFonts w:hint="eastAsia" w:ascii="宋体" w:hAnsi="宋体" w:cs="宋体"/>
          <w:color w:val="000000" w:themeColor="text1"/>
          <w:u w:val="single"/>
          <w14:textFill>
            <w14:solidFill>
              <w14:schemeClr w14:val="tx1"/>
            </w14:solidFill>
          </w14:textFill>
        </w:rPr>
        <w:t>。本工程保修期以工程竣工综合验收合格交付发包人之日起计算。质量保修金在工程竣工验收合格之日起满两年后14天内将保修金返回给承包人。质量保证金的返还，并不能免除承包人按照合同约定应承担的质量保修责任和应履行的质量保修义务</w:t>
      </w:r>
      <w:r>
        <w:rPr>
          <w:rFonts w:hint="eastAsia" w:ascii="宋体" w:hAnsi="宋体" w:cs="宋体"/>
          <w:color w:val="000000" w:themeColor="text1"/>
          <w14:textFill>
            <w14:solidFill>
              <w14:schemeClr w14:val="tx1"/>
            </w14:solidFill>
          </w14:textFill>
        </w:rPr>
        <w:t>。</w:t>
      </w:r>
    </w:p>
    <w:bookmarkEnd w:id="1260"/>
    <w:bookmarkEnd w:id="1261"/>
    <w:p w14:paraId="5F90C4A3">
      <w:pPr>
        <w:pStyle w:val="96"/>
        <w:spacing w:before="0" w:after="200" w:line="400" w:lineRule="exact"/>
        <w:rPr>
          <w:rFonts w:hint="eastAsia" w:ascii="宋体" w:cs="宋体"/>
          <w:bCs w:val="0"/>
          <w:color w:val="000000" w:themeColor="text1"/>
          <w14:textFill>
            <w14:solidFill>
              <w14:schemeClr w14:val="tx1"/>
            </w14:solidFill>
          </w14:textFill>
        </w:rPr>
      </w:pPr>
      <w:bookmarkStart w:id="1299" w:name="_Toc520505924"/>
      <w:bookmarkStart w:id="1300" w:name="_Toc185770506"/>
      <w:bookmarkStart w:id="1301" w:name="_Toc173253254"/>
      <w:bookmarkStart w:id="1302" w:name="_Toc406522295"/>
      <w:bookmarkStart w:id="1303" w:name="_Toc28347"/>
      <w:r>
        <w:rPr>
          <w:rFonts w:hint="eastAsia" w:ascii="宋体" w:cs="宋体"/>
          <w:bCs w:val="0"/>
          <w:color w:val="000000" w:themeColor="text1"/>
          <w14:textFill>
            <w14:solidFill>
              <w14:schemeClr w14:val="tx1"/>
            </w14:solidFill>
          </w14:textFill>
        </w:rPr>
        <w:t>15.4保修</w:t>
      </w:r>
      <w:bookmarkEnd w:id="1299"/>
      <w:bookmarkEnd w:id="1300"/>
      <w:bookmarkEnd w:id="1301"/>
      <w:bookmarkEnd w:id="1302"/>
      <w:bookmarkEnd w:id="1303"/>
    </w:p>
    <w:bookmarkEnd w:id="1262"/>
    <w:p w14:paraId="02E586AB">
      <w:pPr>
        <w:pStyle w:val="102"/>
        <w:spacing w:line="400" w:lineRule="exact"/>
        <w:rPr>
          <w:rFonts w:hint="eastAsia"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15.4.1 保修责任</w:t>
      </w:r>
    </w:p>
    <w:p w14:paraId="5583B22B">
      <w:pPr>
        <w:pStyle w:val="102"/>
        <w:spacing w:line="400" w:lineRule="exact"/>
        <w:rPr>
          <w:rFonts w:hint="eastAsia"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工程保修期为：</w:t>
      </w:r>
      <w:r>
        <w:rPr>
          <w:rFonts w:hint="eastAsia" w:ascii="宋体" w:hAnsi="宋体" w:cs="宋体"/>
          <w:color w:val="000000" w:themeColor="text1"/>
          <w:u w:val="single"/>
          <w14:textFill>
            <w14:solidFill>
              <w14:schemeClr w14:val="tx1"/>
            </w14:solidFill>
          </w14:textFill>
        </w:rPr>
        <w:t>详见附件3《工程质量保修书》</w:t>
      </w:r>
      <w:r>
        <w:rPr>
          <w:rFonts w:hint="eastAsia" w:ascii="宋体" w:hAnsi="宋体" w:cs="宋体"/>
          <w:color w:val="000000" w:themeColor="text1"/>
          <w14:textFill>
            <w14:solidFill>
              <w14:schemeClr w14:val="tx1"/>
            </w14:solidFill>
          </w14:textFill>
        </w:rPr>
        <w:t>。</w:t>
      </w:r>
    </w:p>
    <w:p w14:paraId="705587CD">
      <w:pPr>
        <w:pStyle w:val="102"/>
        <w:spacing w:line="400" w:lineRule="exact"/>
        <w:rPr>
          <w:rFonts w:hint="eastAsia"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15.4.3 修复通知</w:t>
      </w:r>
    </w:p>
    <w:p w14:paraId="7F543AC4">
      <w:pPr>
        <w:pStyle w:val="102"/>
        <w:spacing w:line="400" w:lineRule="exact"/>
        <w:rPr>
          <w:rFonts w:hint="eastAsia"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承包人收到保修通知并到达工程现场的合理时间：</w:t>
      </w:r>
      <w:r>
        <w:rPr>
          <w:rFonts w:hint="eastAsia" w:ascii="宋体" w:hAnsi="宋体" w:cs="宋体"/>
          <w:color w:val="000000" w:themeColor="text1"/>
          <w:u w:val="single"/>
          <w14:textFill>
            <w14:solidFill>
              <w14:schemeClr w14:val="tx1"/>
            </w14:solidFill>
          </w14:textFill>
        </w:rPr>
        <w:t>（1）属于保修范围、内容的项目，承包人应当在接到保修通知之日起7天内派人保修。承包人不在约定期限内派人保修的，发包人可以委托他人修理，费用由承包人承担。（2）发生紧急抢修事故的，承包人在接到事故通知后，应当立即到达事故现场抢修。（3）质量保修完成后，由发包人组织验收。（4）保修费用由造成质量缺陷的责任方承担。详见附件3《工程质量保修书》</w:t>
      </w:r>
      <w:r>
        <w:rPr>
          <w:rFonts w:hint="eastAsia" w:ascii="宋体" w:hAnsi="宋体" w:cs="宋体"/>
          <w:color w:val="000000" w:themeColor="text1"/>
          <w14:textFill>
            <w14:solidFill>
              <w14:schemeClr w14:val="tx1"/>
            </w14:solidFill>
          </w14:textFill>
        </w:rPr>
        <w:t>。</w:t>
      </w:r>
    </w:p>
    <w:bookmarkEnd w:id="1263"/>
    <w:bookmarkEnd w:id="1264"/>
    <w:bookmarkEnd w:id="1265"/>
    <w:bookmarkEnd w:id="1266"/>
    <w:p w14:paraId="35F3F1E6">
      <w:pPr>
        <w:pStyle w:val="96"/>
        <w:spacing w:before="0" w:after="200" w:line="400" w:lineRule="exact"/>
        <w:rPr>
          <w:rFonts w:hint="eastAsia" w:ascii="宋体" w:cs="宋体"/>
          <w:bCs w:val="0"/>
          <w:color w:val="000000" w:themeColor="text1"/>
          <w14:textFill>
            <w14:solidFill>
              <w14:schemeClr w14:val="tx1"/>
            </w14:solidFill>
          </w14:textFill>
        </w:rPr>
      </w:pPr>
      <w:bookmarkStart w:id="1304" w:name="_Toc406522296"/>
      <w:bookmarkStart w:id="1305" w:name="_Toc520505925"/>
      <w:bookmarkStart w:id="1306" w:name="_Toc185770507"/>
      <w:bookmarkStart w:id="1307" w:name="_Toc23811"/>
      <w:bookmarkStart w:id="1308" w:name="_Toc173253255"/>
      <w:bookmarkStart w:id="1309" w:name="_Toc351203648"/>
      <w:bookmarkStart w:id="1310" w:name="_Toc280868717"/>
      <w:bookmarkStart w:id="1311" w:name="_Toc280868718"/>
      <w:r>
        <w:rPr>
          <w:rFonts w:hint="eastAsia" w:ascii="宋体" w:cs="宋体"/>
          <w:bCs w:val="0"/>
          <w:color w:val="000000" w:themeColor="text1"/>
          <w14:textFill>
            <w14:solidFill>
              <w14:schemeClr w14:val="tx1"/>
            </w14:solidFill>
          </w14:textFill>
        </w:rPr>
        <w:t>16. 违约</w:t>
      </w:r>
      <w:bookmarkEnd w:id="1304"/>
      <w:bookmarkEnd w:id="1305"/>
      <w:bookmarkEnd w:id="1306"/>
      <w:bookmarkEnd w:id="1307"/>
      <w:bookmarkEnd w:id="1308"/>
      <w:bookmarkEnd w:id="1309"/>
    </w:p>
    <w:p w14:paraId="7B5CF10A">
      <w:pPr>
        <w:pStyle w:val="96"/>
        <w:spacing w:before="0" w:after="200" w:line="400" w:lineRule="exact"/>
        <w:rPr>
          <w:rFonts w:hint="eastAsia" w:ascii="宋体" w:cs="宋体"/>
          <w:bCs w:val="0"/>
          <w:color w:val="000000" w:themeColor="text1"/>
          <w14:textFill>
            <w14:solidFill>
              <w14:schemeClr w14:val="tx1"/>
            </w14:solidFill>
          </w14:textFill>
        </w:rPr>
      </w:pPr>
      <w:bookmarkStart w:id="1312" w:name="_Toc173253256"/>
      <w:bookmarkStart w:id="1313" w:name="_Toc14182"/>
      <w:bookmarkStart w:id="1314" w:name="_Toc406522297"/>
      <w:bookmarkStart w:id="1315" w:name="_Toc185770508"/>
      <w:bookmarkStart w:id="1316" w:name="_Toc520505926"/>
      <w:r>
        <w:rPr>
          <w:rFonts w:hint="eastAsia" w:ascii="宋体" w:cs="宋体"/>
          <w:bCs w:val="0"/>
          <w:color w:val="000000" w:themeColor="text1"/>
          <w14:textFill>
            <w14:solidFill>
              <w14:schemeClr w14:val="tx1"/>
            </w14:solidFill>
          </w14:textFill>
        </w:rPr>
        <w:t>16.1 发包人违约</w:t>
      </w:r>
      <w:bookmarkEnd w:id="1312"/>
      <w:bookmarkEnd w:id="1313"/>
      <w:bookmarkEnd w:id="1314"/>
      <w:bookmarkEnd w:id="1315"/>
      <w:bookmarkEnd w:id="1316"/>
    </w:p>
    <w:p w14:paraId="558298D4">
      <w:pPr>
        <w:pStyle w:val="102"/>
        <w:spacing w:line="400" w:lineRule="exact"/>
        <w:rPr>
          <w:rFonts w:hint="eastAsia"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16.1.1发包人违约的情形</w:t>
      </w:r>
    </w:p>
    <w:p w14:paraId="404D6C6D">
      <w:pPr>
        <w:pStyle w:val="102"/>
        <w:spacing w:line="400" w:lineRule="exact"/>
        <w:rPr>
          <w:rFonts w:hint="eastAsia"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发包人违约的其他情形：</w:t>
      </w:r>
      <w:r>
        <w:rPr>
          <w:rFonts w:hint="eastAsia" w:ascii="宋体" w:hAnsi="宋体" w:cs="宋体"/>
          <w:color w:val="000000" w:themeColor="text1"/>
          <w:u w:val="single"/>
          <w14:textFill>
            <w14:solidFill>
              <w14:schemeClr w14:val="tx1"/>
            </w14:solidFill>
          </w14:textFill>
        </w:rPr>
        <w:t>（1）、建设单位无合理理由而不按时支付工程进度款；（2）、建设单位无合理理由而不支付工程竣工结算价款</w:t>
      </w:r>
      <w:r>
        <w:rPr>
          <w:rFonts w:hint="eastAsia" w:ascii="宋体" w:hAnsi="宋体" w:cs="宋体"/>
          <w:color w:val="000000" w:themeColor="text1"/>
          <w14:textFill>
            <w14:solidFill>
              <w14:schemeClr w14:val="tx1"/>
            </w14:solidFill>
          </w14:textFill>
        </w:rPr>
        <w:t>。</w:t>
      </w:r>
    </w:p>
    <w:p w14:paraId="66B89BE8">
      <w:pPr>
        <w:pStyle w:val="102"/>
        <w:spacing w:line="400" w:lineRule="exact"/>
        <w:outlineLvl w:val="0"/>
        <w:rPr>
          <w:rFonts w:hint="eastAsia"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 xml:space="preserve"> </w:t>
      </w:r>
      <w:bookmarkStart w:id="1317" w:name="_Toc173253257"/>
      <w:bookmarkStart w:id="1318" w:name="_Toc406522298"/>
      <w:bookmarkStart w:id="1319" w:name="_Toc406419422"/>
      <w:bookmarkStart w:id="1320" w:name="_Toc30399"/>
      <w:bookmarkStart w:id="1321" w:name="_Toc520505927"/>
      <w:bookmarkStart w:id="1322" w:name="_Toc185770509"/>
      <w:r>
        <w:rPr>
          <w:rFonts w:hint="eastAsia" w:ascii="宋体" w:hAnsi="宋体" w:cs="宋体"/>
          <w:color w:val="000000" w:themeColor="text1"/>
          <w14:textFill>
            <w14:solidFill>
              <w14:schemeClr w14:val="tx1"/>
            </w14:solidFill>
          </w14:textFill>
        </w:rPr>
        <w:t>16.1.2 发包人违约的责任</w:t>
      </w:r>
      <w:bookmarkEnd w:id="1317"/>
      <w:bookmarkEnd w:id="1318"/>
      <w:bookmarkEnd w:id="1319"/>
      <w:bookmarkEnd w:id="1320"/>
      <w:bookmarkEnd w:id="1321"/>
      <w:bookmarkEnd w:id="1322"/>
    </w:p>
    <w:p w14:paraId="2D2900DA">
      <w:pPr>
        <w:pStyle w:val="102"/>
        <w:spacing w:line="400" w:lineRule="exact"/>
        <w:rPr>
          <w:rFonts w:hint="eastAsia"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发包人违约责任的承担方式和计算方法：</w:t>
      </w:r>
    </w:p>
    <w:p w14:paraId="4B3291C9">
      <w:pPr>
        <w:pStyle w:val="102"/>
        <w:spacing w:line="400" w:lineRule="exact"/>
        <w:rPr>
          <w:rFonts w:hint="eastAsia" w:ascii="宋体" w:hAnsi="宋体" w:cs="宋体"/>
          <w:color w:val="000000" w:themeColor="text1"/>
          <w:u w:val="single"/>
          <w14:textFill>
            <w14:solidFill>
              <w14:schemeClr w14:val="tx1"/>
            </w14:solidFill>
          </w14:textFill>
        </w:rPr>
      </w:pPr>
      <w:r>
        <w:rPr>
          <w:rFonts w:hint="eastAsia" w:ascii="宋体" w:hAnsi="宋体" w:cs="宋体"/>
          <w:color w:val="000000" w:themeColor="text1"/>
          <w14:textFill>
            <w14:solidFill>
              <w14:schemeClr w14:val="tx1"/>
            </w14:solidFill>
          </w14:textFill>
        </w:rPr>
        <w:t>（1）因发包人原因未能在计划开工日期前7天内下达开工通知的违约责任：</w:t>
      </w:r>
      <w:r>
        <w:rPr>
          <w:rFonts w:hint="eastAsia" w:ascii="宋体" w:hAnsi="宋体" w:cs="宋体"/>
          <w:color w:val="000000" w:themeColor="text1"/>
          <w:u w:val="single"/>
          <w14:textFill>
            <w14:solidFill>
              <w14:schemeClr w14:val="tx1"/>
            </w14:solidFill>
          </w14:textFill>
        </w:rPr>
        <w:t>视情况相应延长工期</w:t>
      </w:r>
      <w:r>
        <w:rPr>
          <w:rFonts w:hint="eastAsia" w:ascii="宋体" w:hAnsi="宋体" w:cs="宋体"/>
          <w:color w:val="000000" w:themeColor="text1"/>
          <w14:textFill>
            <w14:solidFill>
              <w14:schemeClr w14:val="tx1"/>
            </w14:solidFill>
          </w14:textFill>
        </w:rPr>
        <w:t>。</w:t>
      </w:r>
    </w:p>
    <w:p w14:paraId="0E79AC90">
      <w:pPr>
        <w:pStyle w:val="102"/>
        <w:spacing w:line="400" w:lineRule="exact"/>
        <w:rPr>
          <w:rFonts w:hint="eastAsia"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（2）因发包人原因未能按合同约定支付合同价款的违约责任：</w:t>
      </w:r>
      <w:r>
        <w:rPr>
          <w:rFonts w:hint="eastAsia" w:ascii="宋体" w:hAnsi="宋体" w:cs="宋体"/>
          <w:color w:val="000000" w:themeColor="text1"/>
          <w:u w:val="single"/>
          <w14:textFill>
            <w14:solidFill>
              <w14:schemeClr w14:val="tx1"/>
            </w14:solidFill>
          </w14:textFill>
        </w:rPr>
        <w:t>从约定应付之日起按银行同期贷款利率支付违约金</w:t>
      </w:r>
      <w:r>
        <w:rPr>
          <w:rFonts w:hint="eastAsia" w:ascii="宋体" w:hAnsi="宋体" w:cs="宋体"/>
          <w:color w:val="000000" w:themeColor="text1"/>
          <w14:textFill>
            <w14:solidFill>
              <w14:schemeClr w14:val="tx1"/>
            </w14:solidFill>
          </w14:textFill>
        </w:rPr>
        <w:t>。</w:t>
      </w:r>
    </w:p>
    <w:p w14:paraId="7366E1BE">
      <w:pPr>
        <w:pStyle w:val="102"/>
        <w:spacing w:line="400" w:lineRule="exact"/>
        <w:rPr>
          <w:rFonts w:hint="eastAsia"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（3）发包人违反第10.1款〔变更的范围〕第（2）项约定，自行实施被取消的工作或转由他人实施的违约责任：</w:t>
      </w:r>
      <w:r>
        <w:rPr>
          <w:rFonts w:hint="eastAsia" w:ascii="宋体" w:hAnsi="宋体" w:cs="宋体"/>
          <w:color w:val="000000" w:themeColor="text1"/>
          <w:u w:val="single"/>
          <w14:textFill>
            <w14:solidFill>
              <w14:schemeClr w14:val="tx1"/>
            </w14:solidFill>
          </w14:textFill>
        </w:rPr>
        <w:t>由双方根据实际情况进行协商</w:t>
      </w:r>
      <w:r>
        <w:rPr>
          <w:rFonts w:hint="eastAsia" w:ascii="宋体" w:hAnsi="宋体" w:cs="宋体"/>
          <w:color w:val="000000" w:themeColor="text1"/>
          <w14:textFill>
            <w14:solidFill>
              <w14:schemeClr w14:val="tx1"/>
            </w14:solidFill>
          </w14:textFill>
        </w:rPr>
        <w:t>。</w:t>
      </w:r>
    </w:p>
    <w:p w14:paraId="29AF0F10">
      <w:pPr>
        <w:pStyle w:val="102"/>
        <w:spacing w:line="400" w:lineRule="exact"/>
        <w:rPr>
          <w:rFonts w:hint="eastAsia"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（4）发包人提供的材料、工程设备的规格、数量或质量不符合合同约定，或因发包人原因导致交货日期延误或交货地点变更等情况的违约责任：</w:t>
      </w:r>
      <w:r>
        <w:rPr>
          <w:rFonts w:hint="eastAsia" w:ascii="宋体" w:hAnsi="宋体" w:cs="宋体"/>
          <w:color w:val="000000" w:themeColor="text1"/>
          <w:u w:val="single"/>
          <w14:textFill>
            <w14:solidFill>
              <w14:schemeClr w14:val="tx1"/>
            </w14:solidFill>
          </w14:textFill>
        </w:rPr>
        <w:t>应当承担违约责任，赔偿因其违约给承包单位造成的损失，顺延延误的工期</w:t>
      </w:r>
      <w:r>
        <w:rPr>
          <w:rFonts w:hint="eastAsia" w:ascii="宋体" w:hAnsi="宋体" w:cs="宋体"/>
          <w:color w:val="000000" w:themeColor="text1"/>
          <w14:textFill>
            <w14:solidFill>
              <w14:schemeClr w14:val="tx1"/>
            </w14:solidFill>
          </w14:textFill>
        </w:rPr>
        <w:t>。</w:t>
      </w:r>
    </w:p>
    <w:p w14:paraId="23AD8D23">
      <w:pPr>
        <w:pStyle w:val="102"/>
        <w:spacing w:line="400" w:lineRule="exact"/>
        <w:rPr>
          <w:rFonts w:hint="eastAsia"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（5）因发包人违反合同约定造成暂停施工的违约责任：</w:t>
      </w:r>
      <w:r>
        <w:rPr>
          <w:rFonts w:hint="eastAsia" w:ascii="宋体" w:hAnsi="宋体" w:cs="宋体"/>
          <w:color w:val="000000" w:themeColor="text1"/>
          <w:u w:val="single"/>
          <w14:textFill>
            <w14:solidFill>
              <w14:schemeClr w14:val="tx1"/>
            </w14:solidFill>
          </w14:textFill>
        </w:rPr>
        <w:t>由双方另行协商</w:t>
      </w:r>
      <w:r>
        <w:rPr>
          <w:rFonts w:hint="eastAsia" w:ascii="宋体" w:hAnsi="宋体" w:cs="宋体"/>
          <w:color w:val="000000" w:themeColor="text1"/>
          <w14:textFill>
            <w14:solidFill>
              <w14:schemeClr w14:val="tx1"/>
            </w14:solidFill>
          </w14:textFill>
        </w:rPr>
        <w:t>。</w:t>
      </w:r>
    </w:p>
    <w:p w14:paraId="062D7E00">
      <w:pPr>
        <w:pStyle w:val="102"/>
        <w:spacing w:line="400" w:lineRule="exact"/>
        <w:rPr>
          <w:rFonts w:hint="eastAsia"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（6）发包人无正当理由没有在约定期限内发出复工指示，导致承包人无法复工的违约责任：</w:t>
      </w:r>
      <w:r>
        <w:rPr>
          <w:rFonts w:hint="eastAsia" w:ascii="宋体" w:hAnsi="宋体" w:cs="宋体"/>
          <w:color w:val="000000" w:themeColor="text1"/>
          <w:u w:val="single"/>
          <w14:textFill>
            <w14:solidFill>
              <w14:schemeClr w14:val="tx1"/>
            </w14:solidFill>
          </w14:textFill>
        </w:rPr>
        <w:t>由双方另行协商</w:t>
      </w:r>
      <w:r>
        <w:rPr>
          <w:rFonts w:hint="eastAsia" w:ascii="宋体" w:hAnsi="宋体" w:cs="宋体"/>
          <w:color w:val="000000" w:themeColor="text1"/>
          <w14:textFill>
            <w14:solidFill>
              <w14:schemeClr w14:val="tx1"/>
            </w14:solidFill>
          </w14:textFill>
        </w:rPr>
        <w:t>。</w:t>
      </w:r>
    </w:p>
    <w:p w14:paraId="1762382F">
      <w:pPr>
        <w:pStyle w:val="102"/>
        <w:spacing w:line="400" w:lineRule="exact"/>
        <w:rPr>
          <w:rFonts w:hint="eastAsia"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（7）其他：</w:t>
      </w:r>
      <w:r>
        <w:rPr>
          <w:rFonts w:hint="eastAsia" w:ascii="宋体" w:hAnsi="宋体" w:cs="宋体"/>
          <w:color w:val="000000" w:themeColor="text1"/>
          <w:u w:val="single"/>
          <w14:textFill>
            <w14:solidFill>
              <w14:schemeClr w14:val="tx1"/>
            </w14:solidFill>
          </w14:textFill>
        </w:rPr>
        <w:t>建设单位不按合同约定履行义务，应当承担违约责任，赔偿因其违约给承包单位造成的损失，顺延延误的工期</w:t>
      </w:r>
      <w:r>
        <w:rPr>
          <w:rFonts w:hint="eastAsia" w:ascii="宋体" w:hAnsi="宋体" w:cs="宋体"/>
          <w:color w:val="000000" w:themeColor="text1"/>
          <w14:textFill>
            <w14:solidFill>
              <w14:schemeClr w14:val="tx1"/>
            </w14:solidFill>
          </w14:textFill>
        </w:rPr>
        <w:t>。</w:t>
      </w:r>
    </w:p>
    <w:p w14:paraId="5BABD87E">
      <w:pPr>
        <w:pStyle w:val="102"/>
        <w:spacing w:line="400" w:lineRule="exact"/>
        <w:rPr>
          <w:rFonts w:hint="eastAsia"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16.1.3 因发包人违约解除合同</w:t>
      </w:r>
    </w:p>
    <w:p w14:paraId="5E9F91C2">
      <w:pPr>
        <w:pStyle w:val="102"/>
        <w:spacing w:line="400" w:lineRule="exact"/>
        <w:rPr>
          <w:rFonts w:hint="eastAsia"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承包人按16.1.1项〔发包人违约的情形〕约定暂停施工满</w:t>
      </w:r>
      <w:r>
        <w:rPr>
          <w:rFonts w:hint="eastAsia" w:ascii="宋体" w:hAnsi="宋体" w:cs="宋体"/>
          <w:color w:val="000000" w:themeColor="text1"/>
          <w:u w:val="single"/>
          <w14:textFill>
            <w14:solidFill>
              <w14:schemeClr w14:val="tx1"/>
            </w14:solidFill>
          </w14:textFill>
        </w:rPr>
        <w:t xml:space="preserve"> 28  </w:t>
      </w:r>
      <w:r>
        <w:rPr>
          <w:rFonts w:hint="eastAsia" w:ascii="宋体" w:hAnsi="宋体" w:cs="宋体"/>
          <w:color w:val="000000" w:themeColor="text1"/>
          <w14:textFill>
            <w14:solidFill>
              <w14:schemeClr w14:val="tx1"/>
            </w14:solidFill>
          </w14:textFill>
        </w:rPr>
        <w:t>天后发包人仍不纠正其违约行为并致使合同目的不能实现的，承包人有权解除合同。</w:t>
      </w:r>
    </w:p>
    <w:p w14:paraId="32FFD2FA">
      <w:pPr>
        <w:pStyle w:val="96"/>
        <w:spacing w:before="0" w:after="200" w:line="400" w:lineRule="exact"/>
        <w:rPr>
          <w:rFonts w:hint="eastAsia" w:ascii="宋体" w:cs="宋体"/>
          <w:color w:val="000000" w:themeColor="text1"/>
          <w14:textFill>
            <w14:solidFill>
              <w14:schemeClr w14:val="tx1"/>
            </w14:solidFill>
          </w14:textFill>
        </w:rPr>
      </w:pPr>
      <w:bookmarkStart w:id="1323" w:name="_Toc520505928"/>
      <w:bookmarkStart w:id="1324" w:name="_Toc406522299"/>
      <w:bookmarkStart w:id="1325" w:name="_Toc185770510"/>
      <w:bookmarkStart w:id="1326" w:name="_Toc21148"/>
      <w:bookmarkStart w:id="1327" w:name="_Toc173253258"/>
      <w:r>
        <w:rPr>
          <w:rFonts w:hint="eastAsia" w:ascii="宋体" w:cs="宋体"/>
          <w:color w:val="000000" w:themeColor="text1"/>
          <w14:textFill>
            <w14:solidFill>
              <w14:schemeClr w14:val="tx1"/>
            </w14:solidFill>
          </w14:textFill>
        </w:rPr>
        <w:t>16.2 承包人违约</w:t>
      </w:r>
      <w:bookmarkEnd w:id="1323"/>
      <w:bookmarkEnd w:id="1324"/>
      <w:bookmarkEnd w:id="1325"/>
      <w:bookmarkEnd w:id="1326"/>
      <w:bookmarkEnd w:id="1327"/>
    </w:p>
    <w:p w14:paraId="23EDD092">
      <w:pPr>
        <w:pStyle w:val="102"/>
        <w:spacing w:line="400" w:lineRule="exact"/>
        <w:rPr>
          <w:rFonts w:hint="eastAsia"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16.2.1 承包人违约的情形</w:t>
      </w:r>
    </w:p>
    <w:p w14:paraId="5C939D03">
      <w:pPr>
        <w:pStyle w:val="102"/>
        <w:spacing w:line="400" w:lineRule="exact"/>
        <w:rPr>
          <w:rFonts w:hint="eastAsia"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承包人违约的其他情形：</w:t>
      </w:r>
      <w:r>
        <w:rPr>
          <w:rFonts w:hint="eastAsia" w:ascii="宋体" w:hAnsi="宋体" w:cs="宋体"/>
          <w:color w:val="000000" w:themeColor="text1"/>
          <w:u w:val="single"/>
          <w14:textFill>
            <w14:solidFill>
              <w14:schemeClr w14:val="tx1"/>
            </w14:solidFill>
          </w14:textFill>
        </w:rPr>
        <w:t>①、本工程施工过程中，出现安全事故、劳务纠纷、拖欠民工工资等，另外受到政府有关主管部门的通报批评，给发包人的形象和声誉造成损失，每发生一次应支付10000元违约金给发包人，发包人有权从承包人工程款中扣除。在质量保修内，由于承包人施工质量问题、且维修不及时，每发生一次应支付5000元违约金给发包人，发包人有权从承包人保修款中扣除</w:t>
      </w:r>
      <w:r>
        <w:rPr>
          <w:rFonts w:hint="eastAsia" w:ascii="宋体" w:hAnsi="宋体" w:cs="宋体"/>
          <w:color w:val="000000" w:themeColor="text1"/>
          <w14:textFill>
            <w14:solidFill>
              <w14:schemeClr w14:val="tx1"/>
            </w14:solidFill>
          </w14:textFill>
        </w:rPr>
        <w:t>。</w:t>
      </w:r>
    </w:p>
    <w:p w14:paraId="213E3922">
      <w:pPr>
        <w:spacing w:line="400" w:lineRule="exact"/>
        <w:ind w:firstLine="420" w:firstLineChars="200"/>
        <w:rPr>
          <w:rFonts w:hint="eastAsia" w:ascii="宋体" w:hAnsi="宋体" w:cs="宋体"/>
          <w:color w:val="000000" w:themeColor="text1"/>
          <w14:textFill>
            <w14:solidFill>
              <w14:schemeClr w14:val="tx1"/>
            </w14:solidFill>
          </w14:textFill>
        </w:rPr>
      </w:pPr>
      <w:r>
        <w:rPr>
          <w:rFonts w:hint="eastAsia" w:ascii="宋体" w:hAnsi="宋体" w:cs="宋体"/>
          <w:color w:val="000000" w:themeColor="text1"/>
          <w:u w:val="single"/>
          <w14:textFill>
            <w14:solidFill>
              <w14:schemeClr w14:val="tx1"/>
            </w14:solidFill>
          </w14:textFill>
        </w:rPr>
        <w:t>②、承包人对本项目所有施工作业人员进行三级教育，健全安全管理体制，落实安全管理制度。</w:t>
      </w:r>
    </w:p>
    <w:p w14:paraId="2CF5B8C6">
      <w:pPr>
        <w:pStyle w:val="104"/>
        <w:spacing w:before="0" w:after="0" w:line="400" w:lineRule="exact"/>
        <w:ind w:left="0" w:right="0" w:firstLine="420" w:firstLineChars="200"/>
        <w:rPr>
          <w:rFonts w:hint="eastAsia" w:ascii="宋体" w:hAnsi="宋体" w:cs="宋体"/>
          <w:color w:val="000000" w:themeColor="text1"/>
          <w:sz w:val="21"/>
          <w:szCs w:val="21"/>
          <w:u w:val="single"/>
          <w14:textFill>
            <w14:solidFill>
              <w14:schemeClr w14:val="tx1"/>
            </w14:solidFill>
          </w14:textFill>
        </w:rPr>
      </w:pPr>
      <w:r>
        <w:rPr>
          <w:rFonts w:hint="eastAsia" w:ascii="宋体" w:hAnsi="宋体" w:cs="宋体"/>
          <w:color w:val="000000" w:themeColor="text1"/>
          <w:sz w:val="21"/>
          <w:szCs w:val="21"/>
          <w:u w:val="single"/>
          <w14:textFill>
            <w14:solidFill>
              <w14:schemeClr w14:val="tx1"/>
            </w14:solidFill>
          </w14:textFill>
        </w:rPr>
        <w:t>③、因承包单位原因不能按照合同约定的工期或建设单位、监理同意的工期完工或竣工，未按节点工期完成工程进度。</w:t>
      </w:r>
    </w:p>
    <w:p w14:paraId="2048114D">
      <w:pPr>
        <w:pStyle w:val="104"/>
        <w:spacing w:before="0" w:after="0" w:line="400" w:lineRule="exact"/>
        <w:ind w:left="0" w:right="0" w:firstLine="420" w:firstLineChars="200"/>
        <w:rPr>
          <w:rFonts w:hint="eastAsia" w:ascii="宋体" w:hAnsi="宋体" w:cs="宋体"/>
          <w:color w:val="000000" w:themeColor="text1"/>
          <w:sz w:val="21"/>
          <w:szCs w:val="21"/>
          <w:u w:val="single"/>
          <w14:textFill>
            <w14:solidFill>
              <w14:schemeClr w14:val="tx1"/>
            </w14:solidFill>
          </w14:textFill>
        </w:rPr>
      </w:pPr>
      <w:r>
        <w:rPr>
          <w:rFonts w:hint="eastAsia" w:ascii="宋体" w:hAnsi="宋体" w:cs="宋体"/>
          <w:color w:val="000000" w:themeColor="text1"/>
          <w:sz w:val="21"/>
          <w:szCs w:val="21"/>
          <w:u w:val="single"/>
          <w14:textFill>
            <w14:solidFill>
              <w14:schemeClr w14:val="tx1"/>
            </w14:solidFill>
          </w14:textFill>
        </w:rPr>
        <w:t>④、承包单位不履行合同义务或不按合同约定履行义务的其他情况。</w:t>
      </w:r>
    </w:p>
    <w:p w14:paraId="31184551">
      <w:pPr>
        <w:pStyle w:val="104"/>
        <w:spacing w:before="0" w:after="0" w:line="400" w:lineRule="exact"/>
        <w:ind w:left="0" w:right="0" w:firstLine="420" w:firstLineChars="200"/>
        <w:rPr>
          <w:rFonts w:hint="eastAsia" w:ascii="宋体" w:hAnsi="宋体" w:cs="宋体"/>
          <w:color w:val="000000" w:themeColor="text1"/>
          <w:sz w:val="21"/>
          <w:szCs w:val="21"/>
          <w:u w:val="single"/>
          <w14:textFill>
            <w14:solidFill>
              <w14:schemeClr w14:val="tx1"/>
            </w14:solidFill>
          </w14:textFill>
        </w:rPr>
      </w:pPr>
      <w:r>
        <w:rPr>
          <w:rFonts w:hint="eastAsia" w:ascii="宋体" w:hAnsi="宋体" w:cs="宋体"/>
          <w:color w:val="000000" w:themeColor="text1"/>
          <w:sz w:val="21"/>
          <w:szCs w:val="21"/>
          <w:u w:val="single"/>
          <w14:textFill>
            <w14:solidFill>
              <w14:schemeClr w14:val="tx1"/>
            </w14:solidFill>
          </w14:textFill>
        </w:rPr>
        <w:t>⑤、合同中约定，承包单位“应”履行的事项，如果承包单位未按合同要求、建设单位或监理要求的时间并保证质量的执行或拒绝执行，均视为承包单位违反规定。</w:t>
      </w:r>
    </w:p>
    <w:p w14:paraId="3FD997A1">
      <w:pPr>
        <w:pStyle w:val="102"/>
        <w:spacing w:line="400" w:lineRule="exact"/>
        <w:rPr>
          <w:rFonts w:hint="eastAsia"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16.2.2承包人违约的责任</w:t>
      </w:r>
    </w:p>
    <w:p w14:paraId="0248DE1D">
      <w:pPr>
        <w:spacing w:line="400" w:lineRule="exact"/>
        <w:ind w:firstLine="420" w:firstLineChars="200"/>
        <w:rPr>
          <w:rFonts w:hint="eastAsia"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承包人违约责任的承担方式和计算方法：</w:t>
      </w:r>
    </w:p>
    <w:p w14:paraId="0B333C02">
      <w:pPr>
        <w:spacing w:line="400" w:lineRule="exact"/>
        <w:ind w:firstLine="420" w:firstLineChars="200"/>
        <w:rPr>
          <w:rFonts w:hint="eastAsia"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（1）承包人未按本合同通用条款第16.2.1（2）、（3）条内容完成的，承包人无条件返工处理，修复至工程质量要求并承担相关费用，并在发包人规定的时间内按要求完成返工。</w:t>
      </w:r>
    </w:p>
    <w:p w14:paraId="5FED6C0F">
      <w:pPr>
        <w:pStyle w:val="102"/>
        <w:spacing w:line="400" w:lineRule="exact"/>
        <w:rPr>
          <w:rFonts w:hint="eastAsia" w:ascii="宋体" w:hAnsi="宋体" w:cs="宋体"/>
          <w:color w:val="000000" w:themeColor="text1"/>
          <w:u w:val="single"/>
          <w14:textFill>
            <w14:solidFill>
              <w14:schemeClr w14:val="tx1"/>
            </w14:solidFill>
          </w14:textFill>
        </w:rPr>
      </w:pPr>
      <w:r>
        <w:rPr>
          <w:rFonts w:hint="eastAsia" w:ascii="宋体" w:hAnsi="宋体" w:cs="宋体"/>
          <w:color w:val="000000" w:themeColor="text1"/>
          <w14:textFill>
            <w14:solidFill>
              <w14:schemeClr w14:val="tx1"/>
            </w14:solidFill>
          </w14:textFill>
        </w:rPr>
        <w:t xml:space="preserve">（2）承包人有本合同通用条款第16.2.1（6）条情形的，或经监理人检验认为修复质量不合格而承包人拒绝再进行修补的，发包人将扣除承包人全部质量保修金。    </w:t>
      </w:r>
    </w:p>
    <w:p w14:paraId="0C83C4D2">
      <w:pPr>
        <w:pStyle w:val="102"/>
        <w:spacing w:line="400" w:lineRule="exact"/>
        <w:rPr>
          <w:rFonts w:hint="eastAsia"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16.2.3 因承包人违约解除合同</w:t>
      </w:r>
    </w:p>
    <w:p w14:paraId="312CFD2F">
      <w:pPr>
        <w:pStyle w:val="102"/>
        <w:spacing w:line="400" w:lineRule="exact"/>
        <w:rPr>
          <w:rFonts w:hint="eastAsia"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关于承包人违约解除合同的特别约定：</w:t>
      </w:r>
      <w:r>
        <w:rPr>
          <w:rFonts w:hint="eastAsia" w:ascii="宋体" w:hAnsi="宋体" w:cs="宋体"/>
          <w:color w:val="000000" w:themeColor="text1"/>
          <w:u w:val="single"/>
          <w14:textFill>
            <w14:solidFill>
              <w14:schemeClr w14:val="tx1"/>
            </w14:solidFill>
          </w14:textFill>
        </w:rPr>
        <w:t xml:space="preserve">   按通用条款执行   </w:t>
      </w:r>
      <w:r>
        <w:rPr>
          <w:rFonts w:hint="eastAsia" w:ascii="宋体" w:hAnsi="宋体" w:cs="宋体"/>
          <w:color w:val="000000" w:themeColor="text1"/>
          <w14:textFill>
            <w14:solidFill>
              <w14:schemeClr w14:val="tx1"/>
            </w14:solidFill>
          </w14:textFill>
        </w:rPr>
        <w:t>。</w:t>
      </w:r>
    </w:p>
    <w:p w14:paraId="245E7DB9">
      <w:pPr>
        <w:pStyle w:val="102"/>
        <w:spacing w:line="400" w:lineRule="exact"/>
        <w:rPr>
          <w:rFonts w:hint="eastAsia"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发包人继续使用承包人在施工现场的材料、设备、临时工程、承包人文件和由承包人或以其名义编制的其他文件的费用承担方式：</w:t>
      </w:r>
      <w:r>
        <w:rPr>
          <w:rFonts w:hint="eastAsia" w:ascii="宋体" w:hAnsi="宋体" w:cs="宋体"/>
          <w:color w:val="000000" w:themeColor="text1"/>
          <w:u w:val="single"/>
          <w14:textFill>
            <w14:solidFill>
              <w14:schemeClr w14:val="tx1"/>
            </w14:solidFill>
          </w14:textFill>
        </w:rPr>
        <w:t>双方另行协商</w:t>
      </w:r>
      <w:r>
        <w:rPr>
          <w:rFonts w:hint="eastAsia" w:ascii="宋体" w:hAnsi="宋体" w:cs="宋体"/>
          <w:color w:val="000000" w:themeColor="text1"/>
          <w14:textFill>
            <w14:solidFill>
              <w14:schemeClr w14:val="tx1"/>
            </w14:solidFill>
          </w14:textFill>
        </w:rPr>
        <w:t>。　</w:t>
      </w:r>
    </w:p>
    <w:p w14:paraId="3E6F3503">
      <w:pPr>
        <w:pStyle w:val="96"/>
        <w:spacing w:before="0" w:after="200" w:line="400" w:lineRule="exact"/>
        <w:rPr>
          <w:rFonts w:hint="eastAsia" w:ascii="宋体" w:cs="宋体"/>
          <w:bCs w:val="0"/>
          <w:color w:val="000000" w:themeColor="text1"/>
          <w14:textFill>
            <w14:solidFill>
              <w14:schemeClr w14:val="tx1"/>
            </w14:solidFill>
          </w14:textFill>
        </w:rPr>
      </w:pPr>
      <w:bookmarkStart w:id="1328" w:name="_Toc173253259"/>
      <w:bookmarkStart w:id="1329" w:name="_Toc406522300"/>
      <w:bookmarkStart w:id="1330" w:name="_Toc351203649"/>
      <w:bookmarkStart w:id="1331" w:name="_Toc16611"/>
      <w:bookmarkStart w:id="1332" w:name="_Toc185770511"/>
      <w:bookmarkStart w:id="1333" w:name="_Toc520505929"/>
      <w:r>
        <w:rPr>
          <w:rFonts w:hint="eastAsia" w:ascii="宋体" w:cs="宋体"/>
          <w:bCs w:val="0"/>
          <w:color w:val="000000" w:themeColor="text1"/>
          <w14:textFill>
            <w14:solidFill>
              <w14:schemeClr w14:val="tx1"/>
            </w14:solidFill>
          </w14:textFill>
        </w:rPr>
        <w:t>17. 不可抗力</w:t>
      </w:r>
      <w:bookmarkEnd w:id="1328"/>
      <w:bookmarkEnd w:id="1329"/>
      <w:bookmarkEnd w:id="1330"/>
      <w:bookmarkEnd w:id="1331"/>
      <w:bookmarkEnd w:id="1332"/>
      <w:bookmarkEnd w:id="1333"/>
      <w:r>
        <w:rPr>
          <w:rFonts w:hint="eastAsia" w:ascii="宋体" w:cs="宋体"/>
          <w:bCs w:val="0"/>
          <w:color w:val="000000" w:themeColor="text1"/>
          <w14:textFill>
            <w14:solidFill>
              <w14:schemeClr w14:val="tx1"/>
            </w14:solidFill>
          </w14:textFill>
        </w:rPr>
        <w:t xml:space="preserve"> </w:t>
      </w:r>
      <w:bookmarkEnd w:id="1310"/>
    </w:p>
    <w:p w14:paraId="087545F3">
      <w:pPr>
        <w:pStyle w:val="96"/>
        <w:spacing w:before="0" w:after="200" w:line="400" w:lineRule="exact"/>
        <w:rPr>
          <w:rFonts w:hint="eastAsia" w:ascii="宋体" w:cs="宋体"/>
          <w:bCs w:val="0"/>
          <w:color w:val="000000" w:themeColor="text1"/>
          <w14:textFill>
            <w14:solidFill>
              <w14:schemeClr w14:val="tx1"/>
            </w14:solidFill>
          </w14:textFill>
        </w:rPr>
      </w:pPr>
      <w:bookmarkStart w:id="1334" w:name="_Toc406522301"/>
      <w:bookmarkStart w:id="1335" w:name="_Toc173253260"/>
      <w:bookmarkStart w:id="1336" w:name="_Toc520505930"/>
      <w:bookmarkStart w:id="1337" w:name="_Toc185770512"/>
      <w:bookmarkStart w:id="1338" w:name="_Toc27972"/>
      <w:r>
        <w:rPr>
          <w:rFonts w:hint="eastAsia" w:ascii="宋体" w:cs="宋体"/>
          <w:bCs w:val="0"/>
          <w:color w:val="000000" w:themeColor="text1"/>
          <w14:textFill>
            <w14:solidFill>
              <w14:schemeClr w14:val="tx1"/>
            </w14:solidFill>
          </w14:textFill>
        </w:rPr>
        <w:t>17.1 不可抗力的确认</w:t>
      </w:r>
      <w:bookmarkEnd w:id="1334"/>
      <w:bookmarkEnd w:id="1335"/>
      <w:bookmarkEnd w:id="1336"/>
      <w:bookmarkEnd w:id="1337"/>
      <w:bookmarkEnd w:id="1338"/>
    </w:p>
    <w:p w14:paraId="52603F4F">
      <w:pPr>
        <w:pStyle w:val="104"/>
        <w:spacing w:before="0" w:after="0" w:line="400" w:lineRule="exact"/>
        <w:ind w:left="0" w:right="0" w:firstLine="420" w:firstLineChars="200"/>
        <w:rPr>
          <w:rFonts w:hint="eastAsia" w:ascii="宋体" w:hAnsi="宋体" w:cs="宋体"/>
          <w:color w:val="000000" w:themeColor="text1"/>
          <w:sz w:val="21"/>
          <w:szCs w:val="21"/>
          <w:u w:val="single"/>
          <w14:textFill>
            <w14:solidFill>
              <w14:schemeClr w14:val="tx1"/>
            </w14:solidFill>
          </w14:textFill>
        </w:rPr>
      </w:pPr>
      <w:r>
        <w:rPr>
          <w:rFonts w:hint="eastAsia" w:ascii="宋体" w:hAnsi="宋体" w:cs="宋体"/>
          <w:color w:val="000000" w:themeColor="text1"/>
          <w:sz w:val="21"/>
          <w:szCs w:val="21"/>
          <w14:textFill>
            <w14:solidFill>
              <w14:schemeClr w14:val="tx1"/>
            </w14:solidFill>
          </w14:textFill>
        </w:rPr>
        <w:t xml:space="preserve">除通用合同条款约定的不可抗力事件之外，视为不可抗力的其他情形： </w:t>
      </w:r>
      <w:r>
        <w:rPr>
          <w:rFonts w:hint="eastAsia" w:ascii="宋体" w:hAnsi="宋体" w:cs="宋体"/>
          <w:color w:val="000000" w:themeColor="text1"/>
          <w:sz w:val="21"/>
          <w:szCs w:val="21"/>
          <w:u w:val="single"/>
          <w14:textFill>
            <w14:solidFill>
              <w14:schemeClr w14:val="tx1"/>
            </w14:solidFill>
          </w14:textFill>
        </w:rPr>
        <w:t>（1）、不可抗力包括因战争、动乱、空中飞行物体坠落或其他非双方责任造成的爆炸、火灾，以及以下方面的自然灾害（以地震局或气象台出具本区天气资料为准）：</w:t>
      </w:r>
    </w:p>
    <w:p w14:paraId="1F783CEE">
      <w:pPr>
        <w:pStyle w:val="104"/>
        <w:spacing w:before="0" w:after="0" w:line="400" w:lineRule="exact"/>
        <w:ind w:left="0" w:right="0" w:firstLine="420" w:firstLineChars="200"/>
        <w:rPr>
          <w:rFonts w:hint="eastAsia" w:ascii="宋体" w:hAnsi="宋体" w:cs="宋体"/>
          <w:color w:val="000000" w:themeColor="text1"/>
          <w:sz w:val="21"/>
          <w:szCs w:val="21"/>
          <w:u w:val="single"/>
          <w14:textFill>
            <w14:solidFill>
              <w14:schemeClr w14:val="tx1"/>
            </w14:solidFill>
          </w14:textFill>
        </w:rPr>
      </w:pPr>
      <w:r>
        <w:rPr>
          <w:rFonts w:hint="eastAsia" w:ascii="宋体" w:hAnsi="宋体" w:cs="宋体"/>
          <w:color w:val="000000" w:themeColor="text1"/>
          <w:sz w:val="21"/>
          <w:szCs w:val="21"/>
          <w:u w:val="single"/>
          <w14:textFill>
            <w14:solidFill>
              <w14:schemeClr w14:val="tx1"/>
            </w14:solidFill>
          </w14:textFill>
        </w:rPr>
        <w:t>①、烈度为5级以上的地震；</w:t>
      </w:r>
    </w:p>
    <w:p w14:paraId="549400EC">
      <w:pPr>
        <w:pStyle w:val="104"/>
        <w:spacing w:before="0" w:after="0" w:line="400" w:lineRule="exact"/>
        <w:ind w:left="0" w:right="0" w:firstLine="420" w:firstLineChars="200"/>
        <w:rPr>
          <w:rFonts w:hint="eastAsia" w:ascii="宋体" w:hAnsi="宋体" w:cs="宋体"/>
          <w:color w:val="000000" w:themeColor="text1"/>
          <w:sz w:val="21"/>
          <w:szCs w:val="21"/>
          <w:u w:val="single"/>
          <w14:textFill>
            <w14:solidFill>
              <w14:schemeClr w14:val="tx1"/>
            </w14:solidFill>
          </w14:textFill>
        </w:rPr>
      </w:pPr>
      <w:r>
        <w:rPr>
          <w:rFonts w:hint="eastAsia" w:ascii="宋体" w:hAnsi="宋体" w:cs="宋体"/>
          <w:color w:val="000000" w:themeColor="text1"/>
          <w:sz w:val="21"/>
          <w:szCs w:val="21"/>
          <w:u w:val="single"/>
          <w14:textFill>
            <w14:solidFill>
              <w14:schemeClr w14:val="tx1"/>
            </w14:solidFill>
          </w14:textFill>
        </w:rPr>
        <w:t>②、8级以上持续24小时的大风；</w:t>
      </w:r>
    </w:p>
    <w:p w14:paraId="28682228">
      <w:pPr>
        <w:pStyle w:val="104"/>
        <w:spacing w:before="0" w:after="0" w:line="400" w:lineRule="exact"/>
        <w:ind w:left="0" w:right="0" w:firstLine="420" w:firstLineChars="200"/>
        <w:rPr>
          <w:rFonts w:hint="eastAsia" w:ascii="宋体" w:hAnsi="宋体" w:cs="宋体"/>
          <w:color w:val="000000" w:themeColor="text1"/>
          <w:sz w:val="21"/>
          <w:szCs w:val="21"/>
          <w:u w:val="single"/>
          <w14:textFill>
            <w14:solidFill>
              <w14:schemeClr w14:val="tx1"/>
            </w14:solidFill>
          </w14:textFill>
        </w:rPr>
      </w:pPr>
      <w:r>
        <w:rPr>
          <w:rFonts w:hint="eastAsia" w:ascii="宋体" w:hAnsi="宋体" w:cs="宋体"/>
          <w:color w:val="000000" w:themeColor="text1"/>
          <w:sz w:val="21"/>
          <w:szCs w:val="21"/>
          <w:u w:val="single"/>
          <w14:textFill>
            <w14:solidFill>
              <w14:schemeClr w14:val="tx1"/>
            </w14:solidFill>
          </w14:textFill>
        </w:rPr>
        <w:t>③、持续降雨24小时且降雨量为200mm以上；</w:t>
      </w:r>
    </w:p>
    <w:p w14:paraId="17197A19">
      <w:pPr>
        <w:pStyle w:val="104"/>
        <w:spacing w:before="0" w:after="0" w:line="400" w:lineRule="exact"/>
        <w:ind w:left="0" w:right="0" w:firstLine="420" w:firstLineChars="200"/>
        <w:rPr>
          <w:rFonts w:hint="eastAsia" w:ascii="宋体" w:hAnsi="宋体" w:cs="宋体"/>
          <w:color w:val="000000" w:themeColor="text1"/>
          <w:sz w:val="21"/>
          <w:szCs w:val="21"/>
          <w:u w:val="single"/>
          <w14:textFill>
            <w14:solidFill>
              <w14:schemeClr w14:val="tx1"/>
            </w14:solidFill>
          </w14:textFill>
        </w:rPr>
      </w:pPr>
      <w:r>
        <w:rPr>
          <w:rFonts w:hint="eastAsia" w:ascii="宋体" w:hAnsi="宋体" w:cs="宋体"/>
          <w:color w:val="000000" w:themeColor="text1"/>
          <w:sz w:val="21"/>
          <w:szCs w:val="21"/>
          <w:u w:val="single"/>
          <w14:textFill>
            <w14:solidFill>
              <w14:schemeClr w14:val="tx1"/>
            </w14:solidFill>
          </w14:textFill>
        </w:rPr>
        <w:t>④、42摄氏度及以上持续24小时的高温；</w:t>
      </w:r>
    </w:p>
    <w:p w14:paraId="56D9444C">
      <w:pPr>
        <w:pStyle w:val="104"/>
        <w:spacing w:before="0" w:after="0" w:line="400" w:lineRule="exact"/>
        <w:ind w:left="0" w:right="0" w:firstLine="420" w:firstLineChars="200"/>
        <w:rPr>
          <w:rFonts w:hint="eastAsia" w:ascii="宋体" w:hAnsi="宋体" w:cs="宋体"/>
          <w:color w:val="000000" w:themeColor="text1"/>
          <w:sz w:val="21"/>
          <w:szCs w:val="21"/>
          <w:u w:val="single"/>
          <w14:textFill>
            <w14:solidFill>
              <w14:schemeClr w14:val="tx1"/>
            </w14:solidFill>
          </w14:textFill>
        </w:rPr>
      </w:pPr>
      <w:r>
        <w:rPr>
          <w:rFonts w:hint="eastAsia" w:ascii="宋体" w:hAnsi="宋体" w:cs="宋体"/>
          <w:color w:val="000000" w:themeColor="text1"/>
          <w:sz w:val="21"/>
          <w:szCs w:val="21"/>
          <w:u w:val="single"/>
          <w14:textFill>
            <w14:solidFill>
              <w14:schemeClr w14:val="tx1"/>
            </w14:solidFill>
          </w14:textFill>
        </w:rPr>
        <w:t>⑤、－5摄氏度及以下持续24小时的低温。</w:t>
      </w:r>
    </w:p>
    <w:p w14:paraId="49D15A65">
      <w:pPr>
        <w:pStyle w:val="102"/>
        <w:spacing w:line="400" w:lineRule="exact"/>
        <w:rPr>
          <w:rFonts w:hint="eastAsia" w:ascii="宋体" w:hAnsi="宋体" w:cs="宋体"/>
          <w:color w:val="000000" w:themeColor="text1"/>
          <w14:textFill>
            <w14:solidFill>
              <w14:schemeClr w14:val="tx1"/>
            </w14:solidFill>
          </w14:textFill>
        </w:rPr>
      </w:pPr>
      <w:r>
        <w:rPr>
          <w:rFonts w:hint="eastAsia" w:ascii="宋体" w:hAnsi="宋体" w:cs="宋体"/>
          <w:color w:val="000000" w:themeColor="text1"/>
          <w:u w:val="single"/>
          <w14:textFill>
            <w14:solidFill>
              <w14:schemeClr w14:val="tx1"/>
            </w14:solidFill>
          </w14:textFill>
        </w:rPr>
        <w:t>不可抗力事件发生后，承包单位应立即通知监理，在力所能及的条件下迅速采取措施，尽力减少损失，建设单位应协助承包单位采取措施。不可抗力事件结束后48小时内承包单位向监理通报受害情况和损失情况，及预计清理和修复的费用。不可抗事件持续发生，承包单位应每隔7天向监理报告一次受害情况。不可抗力事件结束后14天内，承包单位向监理提交清理和修复费用的正式报告及有关资料</w:t>
      </w:r>
      <w:r>
        <w:rPr>
          <w:rFonts w:hint="eastAsia" w:ascii="宋体" w:hAnsi="宋体" w:cs="宋体"/>
          <w:color w:val="000000" w:themeColor="text1"/>
          <w14:textFill>
            <w14:solidFill>
              <w14:schemeClr w14:val="tx1"/>
            </w14:solidFill>
          </w14:textFill>
        </w:rPr>
        <w:t>。</w:t>
      </w:r>
    </w:p>
    <w:p w14:paraId="205D8190">
      <w:pPr>
        <w:pStyle w:val="104"/>
        <w:spacing w:before="0" w:after="0" w:line="400" w:lineRule="exact"/>
        <w:ind w:left="0" w:right="0" w:firstLine="420" w:firstLineChars="200"/>
        <w:rPr>
          <w:rFonts w:hint="eastAsia" w:ascii="宋体" w:hAnsi="宋体" w:cs="宋体"/>
          <w:color w:val="000000" w:themeColor="text1"/>
          <w:sz w:val="21"/>
          <w:szCs w:val="21"/>
          <w:u w:val="single"/>
          <w14:textFill>
            <w14:solidFill>
              <w14:schemeClr w14:val="tx1"/>
            </w14:solidFill>
          </w14:textFill>
        </w:rPr>
      </w:pPr>
      <w:r>
        <w:rPr>
          <w:rFonts w:hint="eastAsia" w:ascii="宋体" w:hAnsi="宋体" w:cs="宋体"/>
          <w:color w:val="000000" w:themeColor="text1"/>
          <w:sz w:val="21"/>
          <w:szCs w:val="21"/>
          <w:u w:val="single"/>
          <w14:textFill>
            <w14:solidFill>
              <w14:schemeClr w14:val="tx1"/>
            </w14:solidFill>
          </w14:textFill>
        </w:rPr>
        <w:t>（2）、因不可抗力事件导致的费用由双方按以下方法分别承担：</w:t>
      </w:r>
    </w:p>
    <w:p w14:paraId="58EF1BD9">
      <w:pPr>
        <w:pStyle w:val="104"/>
        <w:spacing w:before="0" w:after="0" w:line="400" w:lineRule="exact"/>
        <w:ind w:left="0" w:right="0" w:firstLine="420" w:firstLineChars="200"/>
        <w:rPr>
          <w:rFonts w:hint="eastAsia" w:ascii="宋体" w:hAnsi="宋体" w:cs="宋体"/>
          <w:color w:val="000000" w:themeColor="text1"/>
          <w:sz w:val="21"/>
          <w:szCs w:val="21"/>
          <w:u w:val="single"/>
          <w14:textFill>
            <w14:solidFill>
              <w14:schemeClr w14:val="tx1"/>
            </w14:solidFill>
          </w14:textFill>
        </w:rPr>
      </w:pPr>
      <w:r>
        <w:rPr>
          <w:rFonts w:hint="eastAsia" w:ascii="宋体" w:hAnsi="宋体" w:cs="宋体"/>
          <w:color w:val="000000" w:themeColor="text1"/>
          <w:sz w:val="21"/>
          <w:szCs w:val="21"/>
          <w:u w:val="single"/>
          <w14:textFill>
            <w14:solidFill>
              <w14:schemeClr w14:val="tx1"/>
            </w14:solidFill>
          </w14:textFill>
        </w:rPr>
        <w:t>①、工程本身的损害、因工程损害导致第三人人员伤亡和财产损失以及运至施工场地用于施工的材料和待安装的设备的损害、清理、修复费用，由建设单位承担；但若由于承包单位施工质量及安全措施未达标准而引起的损失由承包单位承担赔偿责任。</w:t>
      </w:r>
    </w:p>
    <w:p w14:paraId="2A517602">
      <w:pPr>
        <w:pStyle w:val="104"/>
        <w:spacing w:before="0" w:after="0" w:line="400" w:lineRule="exact"/>
        <w:ind w:left="0" w:right="0" w:firstLine="420" w:firstLineChars="200"/>
        <w:rPr>
          <w:rFonts w:hint="eastAsia" w:ascii="宋体" w:hAnsi="宋体" w:cs="宋体"/>
          <w:color w:val="000000" w:themeColor="text1"/>
          <w:sz w:val="21"/>
          <w:szCs w:val="21"/>
          <w:u w:val="single"/>
          <w14:textFill>
            <w14:solidFill>
              <w14:schemeClr w14:val="tx1"/>
            </w14:solidFill>
          </w14:textFill>
        </w:rPr>
      </w:pPr>
      <w:r>
        <w:rPr>
          <w:rFonts w:hint="eastAsia" w:ascii="宋体" w:hAnsi="宋体" w:cs="宋体"/>
          <w:color w:val="000000" w:themeColor="text1"/>
          <w:sz w:val="21"/>
          <w:szCs w:val="21"/>
          <w:u w:val="single"/>
          <w14:textFill>
            <w14:solidFill>
              <w14:schemeClr w14:val="tx1"/>
            </w14:solidFill>
          </w14:textFill>
        </w:rPr>
        <w:t>②、双方人员伤亡由其所在单位负责，并承担相应费用；</w:t>
      </w:r>
    </w:p>
    <w:p w14:paraId="49E7C4A8">
      <w:pPr>
        <w:pStyle w:val="104"/>
        <w:spacing w:before="0" w:after="0" w:line="400" w:lineRule="exact"/>
        <w:ind w:left="0" w:right="0" w:firstLine="420" w:firstLineChars="200"/>
        <w:rPr>
          <w:rFonts w:hint="eastAsia" w:ascii="宋体" w:hAnsi="宋体" w:cs="宋体"/>
          <w:color w:val="000000" w:themeColor="text1"/>
          <w:sz w:val="21"/>
          <w:szCs w:val="21"/>
          <w:u w:val="single"/>
          <w14:textFill>
            <w14:solidFill>
              <w14:schemeClr w14:val="tx1"/>
            </w14:solidFill>
          </w14:textFill>
        </w:rPr>
      </w:pPr>
      <w:r>
        <w:rPr>
          <w:rFonts w:hint="eastAsia" w:ascii="宋体" w:hAnsi="宋体" w:cs="宋体"/>
          <w:color w:val="000000" w:themeColor="text1"/>
          <w:sz w:val="21"/>
          <w:szCs w:val="21"/>
          <w:u w:val="single"/>
          <w14:textFill>
            <w14:solidFill>
              <w14:schemeClr w14:val="tx1"/>
            </w14:solidFill>
          </w14:textFill>
        </w:rPr>
        <w:t>③、承包单位机械设备损坏及停工损失，由承包单位承担；</w:t>
      </w:r>
    </w:p>
    <w:p w14:paraId="2718C7EF">
      <w:pPr>
        <w:pStyle w:val="104"/>
        <w:spacing w:before="0" w:after="0" w:line="400" w:lineRule="exact"/>
        <w:ind w:left="0" w:right="0" w:firstLine="420" w:firstLineChars="200"/>
        <w:rPr>
          <w:rFonts w:hint="eastAsia" w:ascii="宋体" w:hAnsi="宋体" w:cs="宋体"/>
          <w:color w:val="000000" w:themeColor="text1"/>
          <w:sz w:val="21"/>
          <w:szCs w:val="21"/>
          <w:u w:val="single"/>
          <w14:textFill>
            <w14:solidFill>
              <w14:schemeClr w14:val="tx1"/>
            </w14:solidFill>
          </w14:textFill>
        </w:rPr>
      </w:pPr>
      <w:r>
        <w:rPr>
          <w:rFonts w:hint="eastAsia" w:ascii="宋体" w:hAnsi="宋体" w:cs="宋体"/>
          <w:color w:val="000000" w:themeColor="text1"/>
          <w:sz w:val="21"/>
          <w:szCs w:val="21"/>
          <w:u w:val="single"/>
          <w14:textFill>
            <w14:solidFill>
              <w14:schemeClr w14:val="tx1"/>
            </w14:solidFill>
          </w14:textFill>
        </w:rPr>
        <w:t>④、停工期间，承包单位按监理要求留在施工场地的必要的管理人员及保卫人员的费用由建设单位承担；</w:t>
      </w:r>
    </w:p>
    <w:p w14:paraId="7B5241D4">
      <w:pPr>
        <w:pStyle w:val="104"/>
        <w:spacing w:before="0" w:after="0" w:line="400" w:lineRule="exact"/>
        <w:ind w:left="0" w:right="0" w:firstLine="420" w:firstLineChars="200"/>
        <w:rPr>
          <w:rFonts w:hint="eastAsia" w:ascii="宋体" w:hAnsi="宋体" w:cs="宋体"/>
          <w:color w:val="000000" w:themeColor="text1"/>
          <w:sz w:val="21"/>
          <w:szCs w:val="21"/>
          <w:u w:val="single"/>
          <w14:textFill>
            <w14:solidFill>
              <w14:schemeClr w14:val="tx1"/>
            </w14:solidFill>
          </w14:textFill>
        </w:rPr>
      </w:pPr>
      <w:r>
        <w:rPr>
          <w:rFonts w:hint="eastAsia" w:ascii="宋体" w:hAnsi="宋体" w:cs="宋体"/>
          <w:color w:val="000000" w:themeColor="text1"/>
          <w:sz w:val="21"/>
          <w:szCs w:val="21"/>
          <w:u w:val="single"/>
          <w14:textFill>
            <w14:solidFill>
              <w14:schemeClr w14:val="tx1"/>
            </w14:solidFill>
          </w14:textFill>
        </w:rPr>
        <w:t>⑤、因合同一方迟延履行合同后发生不可抗力的，不能免除违约方的相应责任。</w:t>
      </w:r>
    </w:p>
    <w:p w14:paraId="272F6A3C">
      <w:pPr>
        <w:pStyle w:val="102"/>
        <w:spacing w:line="400" w:lineRule="exact"/>
        <w:rPr>
          <w:rFonts w:hint="eastAsia" w:ascii="宋体" w:hAnsi="宋体" w:cs="宋体"/>
          <w:color w:val="000000" w:themeColor="text1"/>
          <w:u w:val="single"/>
          <w14:textFill>
            <w14:solidFill>
              <w14:schemeClr w14:val="tx1"/>
            </w14:solidFill>
          </w14:textFill>
        </w:rPr>
      </w:pPr>
      <w:r>
        <w:rPr>
          <w:rFonts w:hint="eastAsia" w:ascii="宋体" w:hAnsi="宋体" w:cs="宋体"/>
          <w:color w:val="000000" w:themeColor="text1"/>
          <w:u w:val="single"/>
          <w14:textFill>
            <w14:solidFill>
              <w14:schemeClr w14:val="tx1"/>
            </w14:solidFill>
          </w14:textFill>
        </w:rPr>
        <w:t>（3）、因不可抗力造成的延误，工期顺延。</w:t>
      </w:r>
    </w:p>
    <w:p w14:paraId="2A36D4DC">
      <w:pPr>
        <w:pStyle w:val="102"/>
        <w:spacing w:line="400" w:lineRule="exact"/>
        <w:rPr>
          <w:rFonts w:hint="eastAsia"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17.4 因不可抗力解除合同</w:t>
      </w:r>
    </w:p>
    <w:p w14:paraId="74D67363">
      <w:pPr>
        <w:pStyle w:val="102"/>
        <w:spacing w:line="400" w:lineRule="exact"/>
        <w:rPr>
          <w:rFonts w:hint="eastAsia"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合同解除后，发包人应在商定或确定发包人应支付款项后</w:t>
      </w:r>
      <w:r>
        <w:rPr>
          <w:rFonts w:hint="eastAsia" w:ascii="宋体" w:hAnsi="宋体" w:cs="宋体"/>
          <w:color w:val="000000" w:themeColor="text1"/>
          <w:u w:val="single"/>
          <w14:textFill>
            <w14:solidFill>
              <w14:schemeClr w14:val="tx1"/>
            </w14:solidFill>
          </w14:textFill>
        </w:rPr>
        <w:t xml:space="preserve">  /  </w:t>
      </w:r>
      <w:r>
        <w:rPr>
          <w:rFonts w:hint="eastAsia" w:ascii="宋体" w:hAnsi="宋体" w:cs="宋体"/>
          <w:color w:val="000000" w:themeColor="text1"/>
          <w14:textFill>
            <w14:solidFill>
              <w14:schemeClr w14:val="tx1"/>
            </w14:solidFill>
          </w14:textFill>
        </w:rPr>
        <w:t>天内完成款项的支付。</w:t>
      </w:r>
    </w:p>
    <w:p w14:paraId="3E643BDF">
      <w:pPr>
        <w:pStyle w:val="96"/>
        <w:spacing w:before="0" w:after="200" w:line="400" w:lineRule="exact"/>
        <w:rPr>
          <w:rFonts w:hint="eastAsia" w:ascii="宋体" w:cs="宋体"/>
          <w:bCs w:val="0"/>
          <w:color w:val="000000" w:themeColor="text1"/>
          <w14:textFill>
            <w14:solidFill>
              <w14:schemeClr w14:val="tx1"/>
            </w14:solidFill>
          </w14:textFill>
        </w:rPr>
      </w:pPr>
      <w:bookmarkStart w:id="1339" w:name="_Toc31829"/>
      <w:bookmarkStart w:id="1340" w:name="_Toc406522302"/>
      <w:bookmarkStart w:id="1341" w:name="_Toc351203650"/>
      <w:bookmarkStart w:id="1342" w:name="_Toc520505931"/>
      <w:bookmarkStart w:id="1343" w:name="_Toc185770513"/>
      <w:bookmarkStart w:id="1344" w:name="_Toc173253261"/>
      <w:r>
        <w:rPr>
          <w:rFonts w:hint="eastAsia" w:ascii="宋体" w:cs="宋体"/>
          <w:bCs w:val="0"/>
          <w:color w:val="000000" w:themeColor="text1"/>
          <w14:textFill>
            <w14:solidFill>
              <w14:schemeClr w14:val="tx1"/>
            </w14:solidFill>
          </w14:textFill>
        </w:rPr>
        <w:t>18. 保险</w:t>
      </w:r>
      <w:bookmarkEnd w:id="1339"/>
      <w:bookmarkEnd w:id="1340"/>
      <w:bookmarkEnd w:id="1341"/>
      <w:bookmarkEnd w:id="1342"/>
      <w:bookmarkEnd w:id="1343"/>
      <w:bookmarkEnd w:id="1344"/>
    </w:p>
    <w:bookmarkEnd w:id="1311"/>
    <w:p w14:paraId="4A2E4806">
      <w:pPr>
        <w:pStyle w:val="96"/>
        <w:spacing w:before="0" w:after="200" w:line="400" w:lineRule="exact"/>
        <w:rPr>
          <w:rFonts w:hint="eastAsia" w:ascii="宋体" w:cs="宋体"/>
          <w:bCs w:val="0"/>
          <w:color w:val="000000" w:themeColor="text1"/>
          <w14:textFill>
            <w14:solidFill>
              <w14:schemeClr w14:val="tx1"/>
            </w14:solidFill>
          </w14:textFill>
        </w:rPr>
      </w:pPr>
      <w:bookmarkStart w:id="1345" w:name="_Toc185770514"/>
      <w:bookmarkStart w:id="1346" w:name="_Toc406522303"/>
      <w:bookmarkStart w:id="1347" w:name="_Toc520505932"/>
      <w:bookmarkStart w:id="1348" w:name="_Toc10546"/>
      <w:bookmarkStart w:id="1349" w:name="_Toc173253262"/>
      <w:r>
        <w:rPr>
          <w:rFonts w:hint="eastAsia" w:ascii="宋体" w:cs="宋体"/>
          <w:bCs w:val="0"/>
          <w:color w:val="000000" w:themeColor="text1"/>
          <w14:textFill>
            <w14:solidFill>
              <w14:schemeClr w14:val="tx1"/>
            </w14:solidFill>
          </w14:textFill>
        </w:rPr>
        <w:t>18.1 工程保险</w:t>
      </w:r>
      <w:bookmarkEnd w:id="1345"/>
      <w:bookmarkEnd w:id="1346"/>
      <w:bookmarkEnd w:id="1347"/>
      <w:bookmarkEnd w:id="1348"/>
      <w:bookmarkEnd w:id="1349"/>
    </w:p>
    <w:p w14:paraId="4D7098EA">
      <w:pPr>
        <w:pStyle w:val="102"/>
        <w:spacing w:line="400" w:lineRule="exact"/>
        <w:rPr>
          <w:rFonts w:hint="eastAsia"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关于工程保险的特别约定：</w:t>
      </w:r>
      <w:r>
        <w:rPr>
          <w:rFonts w:hint="eastAsia" w:ascii="宋体" w:hAnsi="宋体" w:cs="宋体"/>
          <w:color w:val="000000" w:themeColor="text1"/>
          <w:u w:val="single"/>
          <w14:textFill>
            <w14:solidFill>
              <w14:schemeClr w14:val="tx1"/>
            </w14:solidFill>
          </w14:textFill>
        </w:rPr>
        <w:t>承包人应投保建筑工程一切险并承担相关费用</w:t>
      </w:r>
      <w:r>
        <w:rPr>
          <w:rFonts w:hint="eastAsia" w:ascii="宋体" w:hAnsi="宋体" w:cs="宋体"/>
          <w:color w:val="000000" w:themeColor="text1"/>
          <w14:textFill>
            <w14:solidFill>
              <w14:schemeClr w14:val="tx1"/>
            </w14:solidFill>
          </w14:textFill>
        </w:rPr>
        <w:t>。</w:t>
      </w:r>
    </w:p>
    <w:p w14:paraId="5B780FA9">
      <w:pPr>
        <w:pStyle w:val="102"/>
        <w:spacing w:line="400" w:lineRule="exact"/>
        <w:rPr>
          <w:rFonts w:hint="eastAsia"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关于工程保险的特别约定：</w:t>
      </w:r>
      <w:r>
        <w:rPr>
          <w:rFonts w:hint="eastAsia" w:ascii="宋体" w:hAnsi="宋体" w:cs="宋体"/>
          <w:color w:val="000000" w:themeColor="text1"/>
          <w:u w:val="single"/>
          <w14:textFill>
            <w14:solidFill>
              <w14:schemeClr w14:val="tx1"/>
            </w14:solidFill>
          </w14:textFill>
        </w:rPr>
        <w:t>承包人以发包人和承包人的名义投保，发包人协助。相关费用由承包人承担，包含在合同价格（计入响应报价）中，发包人不另行支付。投保内容为本合同工程办理施工许可证前应购买建筑团体工伤保险</w:t>
      </w:r>
    </w:p>
    <w:p w14:paraId="73FD15E6">
      <w:pPr>
        <w:pStyle w:val="96"/>
        <w:spacing w:before="0" w:after="200" w:line="400" w:lineRule="exact"/>
        <w:rPr>
          <w:rFonts w:hint="eastAsia" w:ascii="宋体" w:cs="宋体"/>
          <w:color w:val="000000" w:themeColor="text1"/>
          <w14:textFill>
            <w14:solidFill>
              <w14:schemeClr w14:val="tx1"/>
            </w14:solidFill>
          </w14:textFill>
        </w:rPr>
      </w:pPr>
      <w:bookmarkStart w:id="1350" w:name="_Toc185770515"/>
      <w:bookmarkStart w:id="1351" w:name="_Toc406522304"/>
      <w:bookmarkStart w:id="1352" w:name="_Toc173253263"/>
      <w:bookmarkStart w:id="1353" w:name="_Toc4192"/>
      <w:bookmarkStart w:id="1354" w:name="_Toc520505933"/>
      <w:r>
        <w:rPr>
          <w:rFonts w:hint="eastAsia" w:ascii="宋体" w:cs="宋体"/>
          <w:color w:val="000000" w:themeColor="text1"/>
          <w14:textFill>
            <w14:solidFill>
              <w14:schemeClr w14:val="tx1"/>
            </w14:solidFill>
          </w14:textFill>
        </w:rPr>
        <w:t>18.3 其他保险</w:t>
      </w:r>
      <w:bookmarkEnd w:id="1350"/>
      <w:bookmarkEnd w:id="1351"/>
      <w:bookmarkEnd w:id="1352"/>
      <w:bookmarkEnd w:id="1353"/>
      <w:bookmarkEnd w:id="1354"/>
    </w:p>
    <w:p w14:paraId="6E65ABD5">
      <w:pPr>
        <w:pStyle w:val="102"/>
        <w:spacing w:line="400" w:lineRule="exact"/>
        <w:rPr>
          <w:rFonts w:hint="eastAsia"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关于其他保险的约定：</w:t>
      </w:r>
      <w:r>
        <w:rPr>
          <w:rFonts w:hint="eastAsia" w:ascii="宋体" w:hAnsi="宋体"/>
          <w:color w:val="000000" w:themeColor="text1"/>
          <w:highlight w:val="none"/>
          <w:u w:val="single"/>
          <w:lang w:eastAsia="zh-CN"/>
          <w14:textFill>
            <w14:solidFill>
              <w14:schemeClr w14:val="tx1"/>
            </w14:solidFill>
          </w14:textFill>
        </w:rPr>
        <w:t>承包人按市建协字【2009】3号文规定须缴纳建筑工伤保险费（意外伤害险）及广西壮族自治区、桂林市相关规定缴纳建筑意外伤害保险费，按《自治区住房城乡建设厅关于印发广西壮族自治区房屋建筑和市政基础设施工程安全生产责任保险计价规定的通知》（桂建发〔2023〕6号）规定投保安全生产责任保险。</w:t>
      </w:r>
    </w:p>
    <w:p w14:paraId="67DCA2F5">
      <w:pPr>
        <w:pStyle w:val="102"/>
        <w:spacing w:line="400" w:lineRule="exact"/>
        <w:rPr>
          <w:rFonts w:hint="eastAsia" w:ascii="宋体" w:hAnsi="宋体" w:cs="宋体"/>
          <w:color w:val="000000" w:themeColor="text1"/>
          <w:u w:val="single"/>
          <w14:textFill>
            <w14:solidFill>
              <w14:schemeClr w14:val="tx1"/>
            </w14:solidFill>
          </w14:textFill>
        </w:rPr>
      </w:pPr>
      <w:r>
        <w:rPr>
          <w:rFonts w:hint="eastAsia" w:ascii="宋体" w:hAnsi="宋体" w:cs="宋体"/>
          <w:color w:val="000000" w:themeColor="text1"/>
          <w14:textFill>
            <w14:solidFill>
              <w14:schemeClr w14:val="tx1"/>
            </w14:solidFill>
          </w14:textFill>
        </w:rPr>
        <w:t>承包人是否应为其施工设备等办理财产保险：</w:t>
      </w:r>
      <w:r>
        <w:rPr>
          <w:rFonts w:hint="eastAsia" w:ascii="宋体" w:hAnsi="宋体" w:cs="宋体"/>
          <w:color w:val="000000" w:themeColor="text1"/>
          <w:u w:val="single"/>
          <w14:textFill>
            <w14:solidFill>
              <w14:schemeClr w14:val="tx1"/>
            </w14:solidFill>
          </w14:textFill>
        </w:rPr>
        <w:t xml:space="preserve">  按通用条款执行  </w:t>
      </w:r>
      <w:r>
        <w:rPr>
          <w:rFonts w:hint="eastAsia" w:ascii="宋体" w:hAnsi="宋体" w:cs="宋体"/>
          <w:color w:val="000000" w:themeColor="text1"/>
          <w14:textFill>
            <w14:solidFill>
              <w14:schemeClr w14:val="tx1"/>
            </w14:solidFill>
          </w14:textFill>
        </w:rPr>
        <w:t>。</w:t>
      </w:r>
    </w:p>
    <w:p w14:paraId="1B170542">
      <w:pPr>
        <w:pStyle w:val="96"/>
        <w:spacing w:before="0" w:after="200" w:line="400" w:lineRule="exact"/>
        <w:rPr>
          <w:rFonts w:hint="eastAsia" w:ascii="宋体" w:cs="宋体"/>
          <w:bCs w:val="0"/>
          <w:color w:val="000000" w:themeColor="text1"/>
          <w14:textFill>
            <w14:solidFill>
              <w14:schemeClr w14:val="tx1"/>
            </w14:solidFill>
          </w14:textFill>
        </w:rPr>
      </w:pPr>
      <w:bookmarkStart w:id="1355" w:name="_Toc173253264"/>
      <w:bookmarkStart w:id="1356" w:name="_Toc185770516"/>
      <w:bookmarkStart w:id="1357" w:name="_Toc23991"/>
      <w:bookmarkStart w:id="1358" w:name="_Toc520505934"/>
      <w:bookmarkStart w:id="1359" w:name="_Toc406522305"/>
      <w:r>
        <w:rPr>
          <w:rFonts w:hint="eastAsia" w:ascii="宋体" w:cs="宋体"/>
          <w:bCs w:val="0"/>
          <w:color w:val="000000" w:themeColor="text1"/>
          <w14:textFill>
            <w14:solidFill>
              <w14:schemeClr w14:val="tx1"/>
            </w14:solidFill>
          </w14:textFill>
        </w:rPr>
        <w:t>18.7 通知义务</w:t>
      </w:r>
      <w:bookmarkEnd w:id="1355"/>
      <w:bookmarkEnd w:id="1356"/>
      <w:bookmarkEnd w:id="1357"/>
      <w:bookmarkEnd w:id="1358"/>
      <w:bookmarkEnd w:id="1359"/>
    </w:p>
    <w:p w14:paraId="1F9D0E6E">
      <w:pPr>
        <w:pStyle w:val="102"/>
        <w:spacing w:line="400" w:lineRule="exact"/>
        <w:rPr>
          <w:rFonts w:hint="eastAsia"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关于变更保险合同时的通知义务的约定：</w:t>
      </w:r>
      <w:r>
        <w:rPr>
          <w:rFonts w:hint="eastAsia" w:ascii="宋体" w:hAnsi="宋体" w:cs="宋体"/>
          <w:color w:val="000000" w:themeColor="text1"/>
          <w:u w:val="single"/>
          <w14:textFill>
            <w14:solidFill>
              <w14:schemeClr w14:val="tx1"/>
            </w14:solidFill>
          </w14:textFill>
        </w:rPr>
        <w:t>由承包人书面通知发包人</w:t>
      </w:r>
      <w:r>
        <w:rPr>
          <w:rFonts w:hint="eastAsia" w:ascii="宋体" w:hAnsi="宋体" w:cs="宋体"/>
          <w:color w:val="000000" w:themeColor="text1"/>
          <w14:textFill>
            <w14:solidFill>
              <w14:schemeClr w14:val="tx1"/>
            </w14:solidFill>
          </w14:textFill>
        </w:rPr>
        <w:t>。</w:t>
      </w:r>
    </w:p>
    <w:bookmarkEnd w:id="1267"/>
    <w:bookmarkEnd w:id="1268"/>
    <w:bookmarkEnd w:id="1269"/>
    <w:bookmarkEnd w:id="1270"/>
    <w:bookmarkEnd w:id="1271"/>
    <w:bookmarkEnd w:id="1272"/>
    <w:bookmarkEnd w:id="1273"/>
    <w:bookmarkEnd w:id="1274"/>
    <w:bookmarkEnd w:id="1275"/>
    <w:bookmarkEnd w:id="1276"/>
    <w:bookmarkEnd w:id="1277"/>
    <w:bookmarkEnd w:id="1278"/>
    <w:p w14:paraId="26524E9A">
      <w:pPr>
        <w:pStyle w:val="96"/>
        <w:spacing w:before="0" w:after="200" w:line="400" w:lineRule="exact"/>
        <w:rPr>
          <w:rFonts w:hint="eastAsia" w:ascii="宋体" w:cs="宋体"/>
          <w:bCs w:val="0"/>
          <w:color w:val="000000" w:themeColor="text1"/>
          <w14:textFill>
            <w14:solidFill>
              <w14:schemeClr w14:val="tx1"/>
            </w14:solidFill>
          </w14:textFill>
        </w:rPr>
      </w:pPr>
      <w:bookmarkStart w:id="1360" w:name="_Toc18561"/>
      <w:bookmarkStart w:id="1361" w:name="_Toc173253265"/>
      <w:bookmarkStart w:id="1362" w:name="_Toc406522306"/>
      <w:bookmarkStart w:id="1363" w:name="_Toc185770517"/>
      <w:bookmarkStart w:id="1364" w:name="_Toc520505935"/>
      <w:bookmarkStart w:id="1365" w:name="_Toc351203651"/>
      <w:r>
        <w:rPr>
          <w:rFonts w:hint="eastAsia" w:ascii="宋体" w:cs="宋体"/>
          <w:bCs w:val="0"/>
          <w:color w:val="000000" w:themeColor="text1"/>
          <w14:textFill>
            <w14:solidFill>
              <w14:schemeClr w14:val="tx1"/>
            </w14:solidFill>
          </w14:textFill>
        </w:rPr>
        <w:t>20. 争议解决</w:t>
      </w:r>
      <w:bookmarkEnd w:id="1360"/>
      <w:bookmarkEnd w:id="1361"/>
      <w:bookmarkEnd w:id="1362"/>
      <w:bookmarkEnd w:id="1363"/>
      <w:bookmarkEnd w:id="1364"/>
      <w:bookmarkEnd w:id="1365"/>
    </w:p>
    <w:bookmarkEnd w:id="1279"/>
    <w:bookmarkEnd w:id="1280"/>
    <w:p w14:paraId="6E916DC6">
      <w:pPr>
        <w:pStyle w:val="96"/>
        <w:spacing w:before="0" w:after="200" w:line="400" w:lineRule="exact"/>
        <w:rPr>
          <w:rFonts w:hint="eastAsia" w:ascii="宋体" w:cs="宋体"/>
          <w:bCs w:val="0"/>
          <w:color w:val="000000" w:themeColor="text1"/>
          <w14:textFill>
            <w14:solidFill>
              <w14:schemeClr w14:val="tx1"/>
            </w14:solidFill>
          </w14:textFill>
        </w:rPr>
      </w:pPr>
      <w:bookmarkStart w:id="1366" w:name="_Toc520505936"/>
      <w:bookmarkStart w:id="1367" w:name="_Toc185770518"/>
      <w:bookmarkStart w:id="1368" w:name="_Toc173253266"/>
      <w:bookmarkStart w:id="1369" w:name="_Toc15716"/>
      <w:bookmarkStart w:id="1370" w:name="_Toc406522307"/>
      <w:r>
        <w:rPr>
          <w:rFonts w:hint="eastAsia" w:ascii="宋体" w:cs="宋体"/>
          <w:bCs w:val="0"/>
          <w:color w:val="000000" w:themeColor="text1"/>
          <w14:textFill>
            <w14:solidFill>
              <w14:schemeClr w14:val="tx1"/>
            </w14:solidFill>
          </w14:textFill>
        </w:rPr>
        <w:t>20.3 争</w:t>
      </w:r>
      <w:bookmarkEnd w:id="1281"/>
      <w:r>
        <w:rPr>
          <w:rFonts w:hint="eastAsia" w:ascii="宋体" w:cs="宋体"/>
          <w:bCs w:val="0"/>
          <w:color w:val="000000" w:themeColor="text1"/>
          <w14:textFill>
            <w14:solidFill>
              <w14:schemeClr w14:val="tx1"/>
            </w14:solidFill>
          </w14:textFill>
        </w:rPr>
        <w:t>议评审</w:t>
      </w:r>
      <w:bookmarkEnd w:id="1366"/>
      <w:bookmarkEnd w:id="1367"/>
      <w:bookmarkEnd w:id="1368"/>
      <w:bookmarkEnd w:id="1369"/>
      <w:bookmarkEnd w:id="1370"/>
    </w:p>
    <w:p w14:paraId="6FDFCC80">
      <w:pPr>
        <w:pStyle w:val="102"/>
        <w:spacing w:line="400" w:lineRule="exact"/>
        <w:rPr>
          <w:rFonts w:hint="eastAsia"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合同当事人是否同意将工程争议提交争议评审小组决定：</w:t>
      </w:r>
      <w:r>
        <w:rPr>
          <w:rFonts w:hint="eastAsia" w:ascii="宋体" w:hAnsi="宋体" w:cs="宋体"/>
          <w:color w:val="000000" w:themeColor="text1"/>
          <w:u w:val="single"/>
          <w14:textFill>
            <w14:solidFill>
              <w14:schemeClr w14:val="tx1"/>
            </w14:solidFill>
          </w14:textFill>
        </w:rPr>
        <w:t xml:space="preserve">    /   </w:t>
      </w:r>
      <w:r>
        <w:rPr>
          <w:rFonts w:hint="eastAsia" w:ascii="宋体" w:hAnsi="宋体" w:cs="宋体"/>
          <w:color w:val="000000" w:themeColor="text1"/>
          <w14:textFill>
            <w14:solidFill>
              <w14:schemeClr w14:val="tx1"/>
            </w14:solidFill>
          </w14:textFill>
        </w:rPr>
        <w:t xml:space="preserve">。  </w:t>
      </w:r>
    </w:p>
    <w:p w14:paraId="08A05FCB">
      <w:pPr>
        <w:pStyle w:val="102"/>
        <w:spacing w:line="400" w:lineRule="exact"/>
        <w:rPr>
          <w:rFonts w:hint="eastAsia"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20.3.1 争议评审小组的确定</w:t>
      </w:r>
    </w:p>
    <w:p w14:paraId="7DB771DB">
      <w:pPr>
        <w:pStyle w:val="102"/>
        <w:spacing w:line="400" w:lineRule="exact"/>
        <w:rPr>
          <w:rFonts w:hint="eastAsia" w:ascii="宋体" w:hAnsi="宋体" w:cs="宋体"/>
          <w:color w:val="000000" w:themeColor="text1"/>
          <w:u w:val="single"/>
          <w14:textFill>
            <w14:solidFill>
              <w14:schemeClr w14:val="tx1"/>
            </w14:solidFill>
          </w14:textFill>
        </w:rPr>
      </w:pPr>
      <w:r>
        <w:rPr>
          <w:rFonts w:hint="eastAsia" w:ascii="宋体" w:hAnsi="宋体" w:cs="宋体"/>
          <w:color w:val="000000" w:themeColor="text1"/>
          <w14:textFill>
            <w14:solidFill>
              <w14:schemeClr w14:val="tx1"/>
            </w14:solidFill>
          </w14:textFill>
        </w:rPr>
        <w:t>争议评审小组成员的确定：</w:t>
      </w:r>
      <w:r>
        <w:rPr>
          <w:rFonts w:hint="eastAsia" w:ascii="宋体" w:hAnsi="宋体" w:cs="宋体"/>
          <w:color w:val="000000" w:themeColor="text1"/>
          <w:u w:val="single"/>
          <w14:textFill>
            <w14:solidFill>
              <w14:schemeClr w14:val="tx1"/>
            </w14:solidFill>
          </w14:textFill>
        </w:rPr>
        <w:t xml:space="preserve">    /   </w:t>
      </w:r>
      <w:r>
        <w:rPr>
          <w:rFonts w:hint="eastAsia" w:ascii="宋体" w:hAnsi="宋体" w:cs="宋体"/>
          <w:color w:val="000000" w:themeColor="text1"/>
          <w14:textFill>
            <w14:solidFill>
              <w14:schemeClr w14:val="tx1"/>
            </w14:solidFill>
          </w14:textFill>
        </w:rPr>
        <w:t>。</w:t>
      </w:r>
    </w:p>
    <w:p w14:paraId="21BC87DC">
      <w:pPr>
        <w:pStyle w:val="102"/>
        <w:spacing w:line="400" w:lineRule="exact"/>
        <w:rPr>
          <w:rFonts w:hint="eastAsia"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选定争议评审员的期限：</w:t>
      </w:r>
      <w:r>
        <w:rPr>
          <w:rFonts w:hint="eastAsia" w:ascii="宋体" w:hAnsi="宋体" w:cs="宋体"/>
          <w:color w:val="000000" w:themeColor="text1"/>
          <w:u w:val="single"/>
          <w14:textFill>
            <w14:solidFill>
              <w14:schemeClr w14:val="tx1"/>
            </w14:solidFill>
          </w14:textFill>
        </w:rPr>
        <w:t xml:space="preserve">    /   </w:t>
      </w:r>
      <w:r>
        <w:rPr>
          <w:rFonts w:hint="eastAsia" w:ascii="宋体" w:hAnsi="宋体" w:cs="宋体"/>
          <w:color w:val="000000" w:themeColor="text1"/>
          <w14:textFill>
            <w14:solidFill>
              <w14:schemeClr w14:val="tx1"/>
            </w14:solidFill>
          </w14:textFill>
        </w:rPr>
        <w:t>。</w:t>
      </w:r>
    </w:p>
    <w:p w14:paraId="0D0A1983">
      <w:pPr>
        <w:pStyle w:val="102"/>
        <w:spacing w:line="400" w:lineRule="exact"/>
        <w:rPr>
          <w:rFonts w:hint="eastAsia"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争议评审小组成员的报酬承担方式：</w:t>
      </w:r>
      <w:r>
        <w:rPr>
          <w:rFonts w:hint="eastAsia" w:ascii="宋体" w:hAnsi="宋体" w:cs="宋体"/>
          <w:color w:val="000000" w:themeColor="text1"/>
          <w:u w:val="single"/>
          <w14:textFill>
            <w14:solidFill>
              <w14:schemeClr w14:val="tx1"/>
            </w14:solidFill>
          </w14:textFill>
        </w:rPr>
        <w:t xml:space="preserve">    /   </w:t>
      </w:r>
      <w:r>
        <w:rPr>
          <w:rFonts w:hint="eastAsia" w:ascii="宋体" w:hAnsi="宋体" w:cs="宋体"/>
          <w:color w:val="000000" w:themeColor="text1"/>
          <w14:textFill>
            <w14:solidFill>
              <w14:schemeClr w14:val="tx1"/>
            </w14:solidFill>
          </w14:textFill>
        </w:rPr>
        <w:t>。</w:t>
      </w:r>
    </w:p>
    <w:p w14:paraId="22013183">
      <w:pPr>
        <w:pStyle w:val="102"/>
        <w:spacing w:line="400" w:lineRule="exact"/>
        <w:rPr>
          <w:rFonts w:hint="eastAsia"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其他事项的约定：</w:t>
      </w:r>
      <w:r>
        <w:rPr>
          <w:rFonts w:hint="eastAsia" w:ascii="宋体" w:hAnsi="宋体" w:cs="宋体"/>
          <w:color w:val="000000" w:themeColor="text1"/>
          <w:u w:val="single"/>
          <w14:textFill>
            <w14:solidFill>
              <w14:schemeClr w14:val="tx1"/>
            </w14:solidFill>
          </w14:textFill>
        </w:rPr>
        <w:t xml:space="preserve">    /   </w:t>
      </w:r>
      <w:r>
        <w:rPr>
          <w:rFonts w:hint="eastAsia" w:ascii="宋体" w:hAnsi="宋体" w:cs="宋体"/>
          <w:color w:val="000000" w:themeColor="text1"/>
          <w14:textFill>
            <w14:solidFill>
              <w14:schemeClr w14:val="tx1"/>
            </w14:solidFill>
          </w14:textFill>
        </w:rPr>
        <w:t>。</w:t>
      </w:r>
    </w:p>
    <w:p w14:paraId="5645D12B">
      <w:pPr>
        <w:pStyle w:val="102"/>
        <w:spacing w:line="400" w:lineRule="exact"/>
        <w:rPr>
          <w:rFonts w:hint="eastAsia"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20.3.2 争议评审小组的决定</w:t>
      </w:r>
    </w:p>
    <w:p w14:paraId="251BD64C">
      <w:pPr>
        <w:pStyle w:val="102"/>
        <w:spacing w:line="400" w:lineRule="exact"/>
        <w:rPr>
          <w:rFonts w:hint="eastAsia"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合同当事人关于本项的约定：</w:t>
      </w:r>
      <w:r>
        <w:rPr>
          <w:rFonts w:hint="eastAsia" w:ascii="宋体" w:hAnsi="宋体" w:cs="宋体"/>
          <w:color w:val="000000" w:themeColor="text1"/>
          <w:u w:val="single"/>
          <w14:textFill>
            <w14:solidFill>
              <w14:schemeClr w14:val="tx1"/>
            </w14:solidFill>
          </w14:textFill>
        </w:rPr>
        <w:t xml:space="preserve">    /   </w:t>
      </w:r>
      <w:r>
        <w:rPr>
          <w:rFonts w:hint="eastAsia" w:ascii="宋体" w:hAnsi="宋体" w:cs="宋体"/>
          <w:color w:val="000000" w:themeColor="text1"/>
          <w14:textFill>
            <w14:solidFill>
              <w14:schemeClr w14:val="tx1"/>
            </w14:solidFill>
          </w14:textFill>
        </w:rPr>
        <w:t>。</w:t>
      </w:r>
    </w:p>
    <w:p w14:paraId="67CBC3F5">
      <w:pPr>
        <w:pStyle w:val="96"/>
        <w:spacing w:before="0" w:after="200" w:line="400" w:lineRule="exact"/>
        <w:rPr>
          <w:rFonts w:hint="eastAsia" w:ascii="宋体" w:cs="宋体"/>
          <w:color w:val="000000" w:themeColor="text1"/>
          <w14:textFill>
            <w14:solidFill>
              <w14:schemeClr w14:val="tx1"/>
            </w14:solidFill>
          </w14:textFill>
        </w:rPr>
      </w:pPr>
      <w:bookmarkStart w:id="1371" w:name="_Toc185770519"/>
      <w:bookmarkStart w:id="1372" w:name="_Toc520505937"/>
      <w:bookmarkStart w:id="1373" w:name="_Toc173253267"/>
      <w:bookmarkStart w:id="1374" w:name="_Toc406522308"/>
      <w:bookmarkStart w:id="1375" w:name="_Toc30184"/>
      <w:r>
        <w:rPr>
          <w:rFonts w:hint="eastAsia" w:ascii="宋体" w:cs="宋体"/>
          <w:color w:val="000000" w:themeColor="text1"/>
          <w14:textFill>
            <w14:solidFill>
              <w14:schemeClr w14:val="tx1"/>
            </w14:solidFill>
          </w14:textFill>
        </w:rPr>
        <w:t>20.4仲裁或诉讼</w:t>
      </w:r>
      <w:bookmarkEnd w:id="1282"/>
      <w:bookmarkEnd w:id="1371"/>
      <w:bookmarkEnd w:id="1372"/>
      <w:bookmarkEnd w:id="1373"/>
      <w:bookmarkEnd w:id="1374"/>
      <w:bookmarkEnd w:id="1375"/>
    </w:p>
    <w:p w14:paraId="2A20B8C5">
      <w:pPr>
        <w:pStyle w:val="102"/>
        <w:spacing w:line="400" w:lineRule="exact"/>
        <w:rPr>
          <w:rFonts w:hint="eastAsia"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因合同及合同有关事项发生的争议，按下列第</w:t>
      </w:r>
      <w:r>
        <w:rPr>
          <w:rFonts w:hint="eastAsia" w:ascii="宋体" w:hAnsi="宋体" w:cs="宋体"/>
          <w:color w:val="000000" w:themeColor="text1"/>
          <w:u w:val="single"/>
          <w14:textFill>
            <w14:solidFill>
              <w14:schemeClr w14:val="tx1"/>
            </w14:solidFill>
          </w14:textFill>
        </w:rPr>
        <w:t xml:space="preserve"> （2）</w:t>
      </w:r>
      <w:r>
        <w:rPr>
          <w:rFonts w:hint="eastAsia" w:ascii="宋体" w:hAnsi="宋体" w:cs="宋体"/>
          <w:color w:val="000000" w:themeColor="text1"/>
          <w14:textFill>
            <w14:solidFill>
              <w14:schemeClr w14:val="tx1"/>
            </w14:solidFill>
          </w14:textFill>
        </w:rPr>
        <w:t>种方式解决：</w:t>
      </w:r>
    </w:p>
    <w:p w14:paraId="5BE06508">
      <w:pPr>
        <w:pStyle w:val="102"/>
        <w:spacing w:line="400" w:lineRule="exact"/>
        <w:rPr>
          <w:rFonts w:hint="eastAsia"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（1）向</w:t>
      </w:r>
      <w:r>
        <w:rPr>
          <w:rFonts w:hint="eastAsia" w:ascii="宋体" w:hAnsi="宋体" w:cs="宋体"/>
          <w:color w:val="000000" w:themeColor="text1"/>
          <w:u w:val="single"/>
          <w14:textFill>
            <w14:solidFill>
              <w14:schemeClr w14:val="tx1"/>
            </w14:solidFill>
          </w14:textFill>
        </w:rPr>
        <w:t>桂林市</w:t>
      </w:r>
      <w:r>
        <w:rPr>
          <w:rFonts w:hint="eastAsia" w:ascii="宋体" w:hAnsi="宋体" w:cs="宋体"/>
          <w:color w:val="000000" w:themeColor="text1"/>
          <w14:textFill>
            <w14:solidFill>
              <w14:schemeClr w14:val="tx1"/>
            </w14:solidFill>
          </w14:textFill>
        </w:rPr>
        <w:t>仲裁委员会申请仲裁；</w:t>
      </w:r>
    </w:p>
    <w:p w14:paraId="146907BC">
      <w:pPr>
        <w:spacing w:line="400" w:lineRule="exact"/>
        <w:ind w:firstLine="420" w:firstLineChars="200"/>
        <w:rPr>
          <w:rFonts w:hint="eastAsia"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（2）向</w:t>
      </w:r>
      <w:r>
        <w:rPr>
          <w:rFonts w:hint="eastAsia" w:ascii="宋体" w:hAnsi="宋体" w:cs="宋体"/>
          <w:color w:val="000000" w:themeColor="text1"/>
          <w:u w:val="single"/>
          <w14:textFill>
            <w14:solidFill>
              <w14:schemeClr w14:val="tx1"/>
            </w14:solidFill>
          </w14:textFill>
        </w:rPr>
        <w:t>所在地</w:t>
      </w:r>
      <w:r>
        <w:rPr>
          <w:rFonts w:hint="eastAsia" w:ascii="宋体" w:hAnsi="宋体" w:cs="宋体"/>
          <w:color w:val="000000" w:themeColor="text1"/>
          <w14:textFill>
            <w14:solidFill>
              <w14:schemeClr w14:val="tx1"/>
            </w14:solidFill>
          </w14:textFill>
        </w:rPr>
        <w:t>人民法院起诉。</w:t>
      </w:r>
      <w:bookmarkEnd w:id="1283"/>
      <w:bookmarkEnd w:id="1284"/>
      <w:bookmarkEnd w:id="1285"/>
      <w:bookmarkEnd w:id="1286"/>
      <w:bookmarkEnd w:id="1287"/>
      <w:bookmarkEnd w:id="1288"/>
      <w:bookmarkStart w:id="1376" w:name="_Toc360462082"/>
    </w:p>
    <w:p w14:paraId="17DF8B75">
      <w:pPr>
        <w:spacing w:line="400" w:lineRule="exact"/>
        <w:ind w:firstLine="420" w:firstLineChars="200"/>
        <w:rPr>
          <w:rFonts w:hint="eastAsia" w:ascii="宋体" w:hAnsi="宋体" w:cs="宋体"/>
          <w:color w:val="000000" w:themeColor="text1"/>
          <w14:textFill>
            <w14:solidFill>
              <w14:schemeClr w14:val="tx1"/>
            </w14:solidFill>
          </w14:textFill>
        </w:rPr>
      </w:pPr>
    </w:p>
    <w:p w14:paraId="41303C6B">
      <w:pPr>
        <w:spacing w:line="400" w:lineRule="exact"/>
        <w:ind w:firstLine="422" w:firstLineChars="200"/>
        <w:rPr>
          <w:rFonts w:hint="eastAsia" w:ascii="宋体" w:hAnsi="宋体" w:cs="宋体"/>
          <w:b/>
          <w:color w:val="000000" w:themeColor="text1"/>
          <w14:textFill>
            <w14:solidFill>
              <w14:schemeClr w14:val="tx1"/>
            </w14:solidFill>
          </w14:textFill>
        </w:rPr>
      </w:pPr>
      <w:r>
        <w:rPr>
          <w:rFonts w:hint="eastAsia" w:ascii="宋体" w:hAnsi="宋体" w:cs="宋体"/>
          <w:b/>
          <w:color w:val="000000" w:themeColor="text1"/>
          <w14:textFill>
            <w14:solidFill>
              <w14:schemeClr w14:val="tx1"/>
            </w14:solidFill>
          </w14:textFill>
        </w:rPr>
        <w:t>附件</w:t>
      </w:r>
    </w:p>
    <w:p w14:paraId="1730F9CD">
      <w:pPr>
        <w:pStyle w:val="102"/>
        <w:spacing w:line="400" w:lineRule="exact"/>
        <w:rPr>
          <w:rFonts w:hint="eastAsia"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附件1：工程质量保修书</w:t>
      </w:r>
    </w:p>
    <w:p w14:paraId="447D0F43">
      <w:pPr>
        <w:pStyle w:val="102"/>
        <w:spacing w:line="400" w:lineRule="exact"/>
        <w:rPr>
          <w:rFonts w:hint="eastAsia"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附件2：发包人供应材料设备一览表</w:t>
      </w:r>
    </w:p>
    <w:p w14:paraId="6910878F">
      <w:pPr>
        <w:pStyle w:val="102"/>
        <w:spacing w:line="400" w:lineRule="exact"/>
        <w:rPr>
          <w:rFonts w:hint="eastAsia"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附件3：承包人用于本工程施工的机械设备表</w:t>
      </w:r>
    </w:p>
    <w:p w14:paraId="03A0B4F7">
      <w:pPr>
        <w:pStyle w:val="102"/>
        <w:spacing w:line="400" w:lineRule="exact"/>
        <w:rPr>
          <w:rFonts w:hint="eastAsia"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附件4：承包人主要施工管理人员表</w:t>
      </w:r>
    </w:p>
    <w:p w14:paraId="2F299E0C">
      <w:pPr>
        <w:pStyle w:val="102"/>
        <w:spacing w:line="400" w:lineRule="exact"/>
        <w:rPr>
          <w:rFonts w:hint="eastAsia"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附件5：暂估价一览表</w:t>
      </w:r>
    </w:p>
    <w:p w14:paraId="1D90305E">
      <w:pPr>
        <w:pStyle w:val="102"/>
        <w:rPr>
          <w:rFonts w:ascii="宋体" w:hAnsi="宋体"/>
          <w:color w:val="000000" w:themeColor="text1"/>
          <w14:textFill>
            <w14:solidFill>
              <w14:schemeClr w14:val="tx1"/>
            </w14:solidFill>
          </w14:textFill>
        </w:rPr>
      </w:pPr>
    </w:p>
    <w:bookmarkEnd w:id="1376"/>
    <w:p w14:paraId="11BCD811">
      <w:pPr>
        <w:pStyle w:val="102"/>
        <w:ind w:firstLine="600"/>
        <w:rPr>
          <w:rFonts w:ascii="宋体" w:hAnsi="宋体"/>
          <w:color w:val="000000" w:themeColor="text1"/>
          <w:sz w:val="30"/>
          <w:szCs w:val="30"/>
          <w14:textFill>
            <w14:solidFill>
              <w14:schemeClr w14:val="tx1"/>
            </w14:solidFill>
          </w14:textFill>
        </w:rPr>
        <w:sectPr>
          <w:headerReference r:id="rId13" w:type="default"/>
          <w:footerReference r:id="rId14" w:type="default"/>
          <w:footerReference r:id="rId15" w:type="even"/>
          <w:pgSz w:w="11906" w:h="16838"/>
          <w:pgMar w:top="1134" w:right="1134" w:bottom="1134" w:left="1134" w:header="851" w:footer="992" w:gutter="0"/>
          <w:cols w:space="720" w:num="1"/>
          <w:docGrid w:linePitch="312" w:charSpace="0"/>
        </w:sectPr>
      </w:pPr>
    </w:p>
    <w:p w14:paraId="1489E32D">
      <w:pPr>
        <w:pStyle w:val="102"/>
        <w:ind w:firstLine="300" w:firstLineChars="100"/>
        <w:rPr>
          <w:rFonts w:ascii="宋体" w:hAnsi="宋体"/>
          <w:color w:val="000000" w:themeColor="text1"/>
          <w:sz w:val="30"/>
          <w:szCs w:val="30"/>
          <w14:textFill>
            <w14:solidFill>
              <w14:schemeClr w14:val="tx1"/>
            </w14:solidFill>
          </w14:textFill>
        </w:rPr>
      </w:pPr>
      <w:r>
        <w:rPr>
          <w:rFonts w:hint="eastAsia" w:ascii="宋体" w:hAnsi="宋体"/>
          <w:color w:val="000000" w:themeColor="text1"/>
          <w:sz w:val="30"/>
          <w:szCs w:val="30"/>
          <w14:textFill>
            <w14:solidFill>
              <w14:schemeClr w14:val="tx1"/>
            </w14:solidFill>
          </w14:textFill>
        </w:rPr>
        <w:t>附件1：</w:t>
      </w:r>
    </w:p>
    <w:p w14:paraId="1AD63F41">
      <w:pPr>
        <w:pStyle w:val="102"/>
        <w:ind w:firstLine="0" w:firstLineChars="0"/>
        <w:jc w:val="center"/>
        <w:rPr>
          <w:rFonts w:ascii="宋体" w:hAnsi="宋体"/>
          <w:color w:val="000000" w:themeColor="text1"/>
          <w:sz w:val="30"/>
          <w:szCs w:val="30"/>
          <w14:textFill>
            <w14:solidFill>
              <w14:schemeClr w14:val="tx1"/>
            </w14:solidFill>
          </w14:textFill>
        </w:rPr>
      </w:pPr>
      <w:r>
        <w:rPr>
          <w:rFonts w:hint="eastAsia" w:ascii="宋体" w:hAnsi="宋体"/>
          <w:b/>
          <w:color w:val="000000" w:themeColor="text1"/>
          <w:sz w:val="30"/>
          <w:szCs w:val="30"/>
          <w14:textFill>
            <w14:solidFill>
              <w14:schemeClr w14:val="tx1"/>
            </w14:solidFill>
          </w14:textFill>
        </w:rPr>
        <w:t>工程质量保修书</w:t>
      </w:r>
    </w:p>
    <w:p w14:paraId="46B9517A">
      <w:pPr>
        <w:pStyle w:val="102"/>
        <w:ind w:firstLine="602"/>
        <w:jc w:val="center"/>
        <w:rPr>
          <w:rFonts w:ascii="宋体" w:hAnsi="宋体"/>
          <w:b/>
          <w:color w:val="000000" w:themeColor="text1"/>
          <w:sz w:val="30"/>
          <w:szCs w:val="30"/>
          <w14:textFill>
            <w14:solidFill>
              <w14:schemeClr w14:val="tx1"/>
            </w14:solidFill>
          </w14:textFill>
        </w:rPr>
      </w:pPr>
    </w:p>
    <w:p w14:paraId="403942BC">
      <w:pPr>
        <w:pStyle w:val="102"/>
        <w:ind w:firstLine="0" w:firstLineChars="0"/>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发包人（全称）：</w:t>
      </w:r>
      <w:r>
        <w:rPr>
          <w:rFonts w:hint="eastAsia" w:ascii="宋体" w:hAnsi="宋体"/>
          <w:color w:val="000000" w:themeColor="text1"/>
          <w:u w:val="single"/>
          <w14:textFill>
            <w14:solidFill>
              <w14:schemeClr w14:val="tx1"/>
            </w14:solidFill>
          </w14:textFill>
        </w:rPr>
        <w:t xml:space="preserve">                           </w:t>
      </w:r>
    </w:p>
    <w:p w14:paraId="120F4313">
      <w:pPr>
        <w:pStyle w:val="102"/>
        <w:ind w:firstLine="0" w:firstLineChars="0"/>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承包人（全称）：</w:t>
      </w:r>
      <w:r>
        <w:rPr>
          <w:rFonts w:ascii="宋体" w:hAnsi="宋体"/>
          <w:color w:val="000000" w:themeColor="text1"/>
          <w:u w:val="single"/>
          <w14:textFill>
            <w14:solidFill>
              <w14:schemeClr w14:val="tx1"/>
            </w14:solidFill>
          </w14:textFill>
        </w:rPr>
        <w:t xml:space="preserve">                           </w:t>
      </w:r>
    </w:p>
    <w:p w14:paraId="4C7ACB67">
      <w:pPr>
        <w:pStyle w:val="102"/>
        <w:ind w:firstLine="0" w:firstLineChars="0"/>
        <w:rPr>
          <w:rFonts w:ascii="宋体" w:hAnsi="宋体"/>
          <w:color w:val="000000" w:themeColor="text1"/>
          <w14:textFill>
            <w14:solidFill>
              <w14:schemeClr w14:val="tx1"/>
            </w14:solidFill>
          </w14:textFill>
        </w:rPr>
      </w:pPr>
    </w:p>
    <w:p w14:paraId="568C8232">
      <w:pPr>
        <w:pStyle w:val="102"/>
        <w:jc w:val="left"/>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发包人和承包人根据《中华人民共和国建筑法》和《建设工程质量管理条例》，经协商一致就</w:t>
      </w:r>
      <w:r>
        <w:rPr>
          <w:rFonts w:ascii="宋体" w:hAnsi="宋体"/>
          <w:color w:val="000000" w:themeColor="text1"/>
          <w:u w:val="single"/>
          <w14:textFill>
            <w14:solidFill>
              <w14:schemeClr w14:val="tx1"/>
            </w14:solidFill>
          </w14:textFill>
        </w:rPr>
        <w:t xml:space="preserve"> </w:t>
      </w:r>
      <w:r>
        <w:rPr>
          <w:rFonts w:hint="eastAsia" w:ascii="宋体" w:hAnsi="宋体" w:cs="宋体"/>
          <w:bCs/>
          <w:color w:val="000000" w:themeColor="text1"/>
          <w:u w:val="single"/>
          <w:lang w:eastAsia="zh-CN"/>
          <w14:textFill>
            <w14:solidFill>
              <w14:schemeClr w14:val="tx1"/>
            </w14:solidFill>
          </w14:textFill>
        </w:rPr>
        <w:t>桂林市中西医结合医院消化内镜中心装修改造工程</w:t>
      </w:r>
      <w:r>
        <w:rPr>
          <w:rFonts w:hint="eastAsia" w:ascii="宋体" w:hAnsi="宋体" w:cs="宋体"/>
          <w:bCs/>
          <w:color w:val="000000" w:themeColor="text1"/>
          <w:u w:val="single"/>
          <w14:textFill>
            <w14:solidFill>
              <w14:schemeClr w14:val="tx1"/>
            </w14:solidFill>
          </w14:textFill>
        </w:rPr>
        <w:t xml:space="preserve"> </w:t>
      </w:r>
      <w:r>
        <w:rPr>
          <w:rFonts w:hint="eastAsia" w:ascii="宋体" w:hAnsi="宋体"/>
          <w:color w:val="000000" w:themeColor="text1"/>
          <w14:textFill>
            <w14:solidFill>
              <w14:schemeClr w14:val="tx1"/>
            </w14:solidFill>
          </w14:textFill>
        </w:rPr>
        <w:t>签订工程质量保修书。</w:t>
      </w:r>
    </w:p>
    <w:p w14:paraId="436FC125">
      <w:pPr>
        <w:pStyle w:val="102"/>
        <w:ind w:firstLine="0" w:firstLineChars="0"/>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　　一、工程质量保修范围和内容</w:t>
      </w:r>
    </w:p>
    <w:p w14:paraId="061FFC2E">
      <w:pPr>
        <w:pStyle w:val="102"/>
        <w:ind w:firstLine="0" w:firstLineChars="0"/>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　　承包人在质量保修期内，按照有关法律规定和合同约定，承担工程质量保修责任。</w:t>
      </w:r>
    </w:p>
    <w:p w14:paraId="5D21D56B">
      <w:pPr>
        <w:pStyle w:val="102"/>
        <w:ind w:firstLine="0" w:firstLineChars="0"/>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　　质量保修范围包括地基基础工程、主体结构工程，屋面防水工程、有防水要求的卫生间、房间和外墙面的防渗漏，供热与供冷系统，电气管线、给排水管道、设备安装和装修工程，以及双方约定的其他项目。具体保修的内容，双方约定如下：</w:t>
      </w:r>
    </w:p>
    <w:p w14:paraId="5A92DF7D">
      <w:pPr>
        <w:pStyle w:val="102"/>
        <w:ind w:firstLine="0" w:firstLineChars="0"/>
        <w:rPr>
          <w:rFonts w:ascii="宋体" w:hAnsi="宋体"/>
          <w:color w:val="000000" w:themeColor="text1"/>
          <w:szCs w:val="22"/>
          <w14:textFill>
            <w14:solidFill>
              <w14:schemeClr w14:val="tx1"/>
            </w14:solidFill>
          </w14:textFill>
        </w:rPr>
      </w:pPr>
      <w:r>
        <w:rPr>
          <w:rFonts w:hint="eastAsia" w:ascii="宋体" w:hAnsi="宋体"/>
          <w:color w:val="000000" w:themeColor="text1"/>
          <w:szCs w:val="22"/>
          <w14:textFill>
            <w14:solidFill>
              <w14:schemeClr w14:val="tx1"/>
            </w14:solidFill>
          </w14:textFill>
        </w:rPr>
        <w:t xml:space="preserve">　  </w:t>
      </w:r>
      <w:r>
        <w:rPr>
          <w:rFonts w:hint="eastAsia" w:ascii="宋体" w:hAnsi="宋体"/>
          <w:color w:val="000000" w:themeColor="text1"/>
          <w:szCs w:val="22"/>
          <w:u w:val="single"/>
          <w:lang w:val="zh-CN"/>
          <w14:textFill>
            <w14:solidFill>
              <w14:schemeClr w14:val="tx1"/>
            </w14:solidFill>
          </w14:textFill>
        </w:rPr>
        <w:t>在承包人承包范围内，属承包人责任造成的工程质量问题，由承包人承担质量保修责任</w:t>
      </w:r>
      <w:r>
        <w:rPr>
          <w:rFonts w:hint="eastAsia" w:ascii="宋体" w:hAnsi="宋体"/>
          <w:color w:val="000000" w:themeColor="text1"/>
          <w:szCs w:val="22"/>
          <w14:textFill>
            <w14:solidFill>
              <w14:schemeClr w14:val="tx1"/>
            </w14:solidFill>
          </w14:textFill>
        </w:rPr>
        <w:t>。</w:t>
      </w:r>
    </w:p>
    <w:p w14:paraId="23BF31B7">
      <w:pPr>
        <w:pStyle w:val="102"/>
        <w:ind w:firstLine="0" w:firstLineChars="0"/>
        <w:rPr>
          <w:rFonts w:ascii="宋体" w:hAnsi="宋体"/>
          <w:color w:val="000000" w:themeColor="text1"/>
          <w14:textFill>
            <w14:solidFill>
              <w14:schemeClr w14:val="tx1"/>
            </w14:solidFill>
          </w14:textFill>
        </w:rPr>
      </w:pPr>
      <w:r>
        <w:rPr>
          <w:rFonts w:hint="eastAsia" w:ascii="宋体" w:hAnsi="宋体"/>
          <w:b/>
          <w:color w:val="000000" w:themeColor="text1"/>
          <w14:textFill>
            <w14:solidFill>
              <w14:schemeClr w14:val="tx1"/>
            </w14:solidFill>
          </w14:textFill>
        </w:rPr>
        <w:t>　　</w:t>
      </w:r>
      <w:r>
        <w:rPr>
          <w:rFonts w:hint="eastAsia" w:ascii="宋体" w:hAnsi="宋体"/>
          <w:color w:val="000000" w:themeColor="text1"/>
          <w14:textFill>
            <w14:solidFill>
              <w14:schemeClr w14:val="tx1"/>
            </w14:solidFill>
          </w14:textFill>
        </w:rPr>
        <w:t>二、质量保修期</w:t>
      </w:r>
    </w:p>
    <w:p w14:paraId="344C55B5">
      <w:pPr>
        <w:pStyle w:val="102"/>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根据《建设工程质量管理条例》及有关规定，工程的质量保修期如下：</w:t>
      </w:r>
    </w:p>
    <w:p w14:paraId="4B0B9C49">
      <w:pPr>
        <w:pStyle w:val="102"/>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1</w:t>
      </w:r>
      <w:r>
        <w:rPr>
          <w:rFonts w:hint="eastAsia" w:ascii="宋体" w:hAnsi="宋体"/>
          <w:color w:val="000000" w:themeColor="text1"/>
          <w14:textFill>
            <w14:solidFill>
              <w14:schemeClr w14:val="tx1"/>
            </w14:solidFill>
          </w14:textFill>
        </w:rPr>
        <w:t>．地基基础工程和主体结构工程为设计文件规定的工程合理使用年限；</w:t>
      </w:r>
    </w:p>
    <w:p w14:paraId="661789C5">
      <w:pPr>
        <w:pStyle w:val="102"/>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2</w:t>
      </w:r>
      <w:r>
        <w:rPr>
          <w:rFonts w:hint="eastAsia" w:ascii="宋体" w:hAnsi="宋体"/>
          <w:color w:val="000000" w:themeColor="text1"/>
          <w14:textFill>
            <w14:solidFill>
              <w14:schemeClr w14:val="tx1"/>
            </w14:solidFill>
          </w14:textFill>
        </w:rPr>
        <w:t>．屋面防水工程、有防水要求的卫生间、房间和外墙面的防渗漏为</w:t>
      </w:r>
      <w:r>
        <w:rPr>
          <w:rFonts w:hint="eastAsia" w:ascii="宋体" w:hAnsi="宋体"/>
          <w:color w:val="000000" w:themeColor="text1"/>
          <w:u w:val="single"/>
          <w14:textFill>
            <w14:solidFill>
              <w14:schemeClr w14:val="tx1"/>
            </w14:solidFill>
          </w14:textFill>
        </w:rPr>
        <w:t>五</w:t>
      </w:r>
      <w:r>
        <w:rPr>
          <w:rFonts w:hint="eastAsia" w:ascii="宋体" w:hAnsi="宋体"/>
          <w:color w:val="000000" w:themeColor="text1"/>
          <w14:textFill>
            <w14:solidFill>
              <w14:schemeClr w14:val="tx1"/>
            </w14:solidFill>
          </w14:textFill>
        </w:rPr>
        <w:t>年；</w:t>
      </w:r>
    </w:p>
    <w:p w14:paraId="68F21F4C">
      <w:pPr>
        <w:pStyle w:val="102"/>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3</w:t>
      </w:r>
      <w:r>
        <w:rPr>
          <w:rFonts w:hint="eastAsia" w:ascii="宋体" w:hAnsi="宋体"/>
          <w:color w:val="000000" w:themeColor="text1"/>
          <w14:textFill>
            <w14:solidFill>
              <w14:schemeClr w14:val="tx1"/>
            </w14:solidFill>
          </w14:textFill>
        </w:rPr>
        <w:t>．装修工程为</w:t>
      </w:r>
      <w:r>
        <w:rPr>
          <w:rFonts w:hint="eastAsia" w:ascii="宋体" w:hAnsi="宋体"/>
          <w:color w:val="000000" w:themeColor="text1"/>
          <w:u w:val="single"/>
          <w14:textFill>
            <w14:solidFill>
              <w14:schemeClr w14:val="tx1"/>
            </w14:solidFill>
          </w14:textFill>
        </w:rPr>
        <w:t>两</w:t>
      </w:r>
      <w:r>
        <w:rPr>
          <w:rFonts w:hint="eastAsia" w:ascii="宋体" w:hAnsi="宋体"/>
          <w:color w:val="000000" w:themeColor="text1"/>
          <w14:textFill>
            <w14:solidFill>
              <w14:schemeClr w14:val="tx1"/>
            </w14:solidFill>
          </w14:textFill>
        </w:rPr>
        <w:t>年；</w:t>
      </w:r>
    </w:p>
    <w:p w14:paraId="00224E96">
      <w:pPr>
        <w:pStyle w:val="102"/>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4</w:t>
      </w:r>
      <w:r>
        <w:rPr>
          <w:rFonts w:hint="eastAsia" w:ascii="宋体" w:hAnsi="宋体"/>
          <w:color w:val="000000" w:themeColor="text1"/>
          <w14:textFill>
            <w14:solidFill>
              <w14:schemeClr w14:val="tx1"/>
            </w14:solidFill>
          </w14:textFill>
        </w:rPr>
        <w:t>．电气管线、给排水管道、设备安装工程为</w:t>
      </w:r>
      <w:r>
        <w:rPr>
          <w:rFonts w:hint="eastAsia" w:ascii="宋体" w:hAnsi="宋体"/>
          <w:color w:val="000000" w:themeColor="text1"/>
          <w:u w:val="single"/>
          <w14:textFill>
            <w14:solidFill>
              <w14:schemeClr w14:val="tx1"/>
            </w14:solidFill>
          </w14:textFill>
        </w:rPr>
        <w:t>两</w:t>
      </w:r>
      <w:r>
        <w:rPr>
          <w:rFonts w:hint="eastAsia" w:ascii="宋体" w:hAnsi="宋体"/>
          <w:color w:val="000000" w:themeColor="text1"/>
          <w14:textFill>
            <w14:solidFill>
              <w14:schemeClr w14:val="tx1"/>
            </w14:solidFill>
          </w14:textFill>
        </w:rPr>
        <w:t>年；</w:t>
      </w:r>
    </w:p>
    <w:p w14:paraId="6136C9F6">
      <w:pPr>
        <w:pStyle w:val="102"/>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5</w:t>
      </w:r>
      <w:r>
        <w:rPr>
          <w:rFonts w:hint="eastAsia" w:ascii="宋体" w:hAnsi="宋体"/>
          <w:color w:val="000000" w:themeColor="text1"/>
          <w14:textFill>
            <w14:solidFill>
              <w14:schemeClr w14:val="tx1"/>
            </w14:solidFill>
          </w14:textFill>
        </w:rPr>
        <w:t>．供热与供冷系统为</w:t>
      </w:r>
      <w:r>
        <w:rPr>
          <w:rFonts w:hint="eastAsia" w:ascii="宋体" w:hAnsi="宋体"/>
          <w:color w:val="000000" w:themeColor="text1"/>
          <w:u w:val="single"/>
          <w14:textFill>
            <w14:solidFill>
              <w14:schemeClr w14:val="tx1"/>
            </w14:solidFill>
          </w14:textFill>
        </w:rPr>
        <w:t>两</w:t>
      </w:r>
      <w:r>
        <w:rPr>
          <w:rFonts w:hint="eastAsia" w:ascii="宋体" w:hAnsi="宋体"/>
          <w:color w:val="000000" w:themeColor="text1"/>
          <w14:textFill>
            <w14:solidFill>
              <w14:schemeClr w14:val="tx1"/>
            </w14:solidFill>
          </w14:textFill>
        </w:rPr>
        <w:t>个采暖期、供冷期；</w:t>
      </w:r>
    </w:p>
    <w:p w14:paraId="29A98808">
      <w:pPr>
        <w:pStyle w:val="102"/>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6</w:t>
      </w:r>
      <w:r>
        <w:rPr>
          <w:rFonts w:hint="eastAsia" w:ascii="宋体" w:hAnsi="宋体"/>
          <w:color w:val="000000" w:themeColor="text1"/>
          <w14:textFill>
            <w14:solidFill>
              <w14:schemeClr w14:val="tx1"/>
            </w14:solidFill>
          </w14:textFill>
        </w:rPr>
        <w:t>．住宅小区内的给排水设施、道路等配套工程为</w:t>
      </w:r>
      <w:r>
        <w:rPr>
          <w:rFonts w:hint="eastAsia" w:ascii="宋体" w:hAnsi="宋体"/>
          <w:color w:val="000000" w:themeColor="text1"/>
          <w:u w:val="single"/>
          <w14:textFill>
            <w14:solidFill>
              <w14:schemeClr w14:val="tx1"/>
            </w14:solidFill>
          </w14:textFill>
        </w:rPr>
        <w:t>两</w:t>
      </w:r>
      <w:r>
        <w:rPr>
          <w:rFonts w:hint="eastAsia" w:ascii="宋体" w:hAnsi="宋体"/>
          <w:color w:val="000000" w:themeColor="text1"/>
          <w14:textFill>
            <w14:solidFill>
              <w14:schemeClr w14:val="tx1"/>
            </w14:solidFill>
          </w14:textFill>
        </w:rPr>
        <w:t>年；</w:t>
      </w:r>
    </w:p>
    <w:p w14:paraId="45E6FE07">
      <w:pPr>
        <w:pStyle w:val="102"/>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7</w:t>
      </w:r>
      <w:r>
        <w:rPr>
          <w:rFonts w:hint="eastAsia" w:ascii="宋体" w:hAnsi="宋体"/>
          <w:color w:val="000000" w:themeColor="text1"/>
          <w14:textFill>
            <w14:solidFill>
              <w14:schemeClr w14:val="tx1"/>
            </w14:solidFill>
          </w14:textFill>
        </w:rPr>
        <w:t>．其他项目保修期限约定如下：</w:t>
      </w:r>
      <w:r>
        <w:rPr>
          <w:rFonts w:ascii="宋体" w:hAnsi="宋体"/>
          <w:color w:val="000000" w:themeColor="text1"/>
          <w:u w:val="single"/>
          <w14:textFill>
            <w14:solidFill>
              <w14:schemeClr w14:val="tx1"/>
            </w14:solidFill>
          </w14:textFill>
        </w:rPr>
        <w:t>/</w:t>
      </w:r>
      <w:r>
        <w:rPr>
          <w:rFonts w:hint="eastAsia" w:ascii="宋体" w:hAnsi="宋体"/>
          <w:color w:val="000000" w:themeColor="text1"/>
          <w14:textFill>
            <w14:solidFill>
              <w14:schemeClr w14:val="tx1"/>
            </w14:solidFill>
          </w14:textFill>
        </w:rPr>
        <w:t>。</w:t>
      </w:r>
    </w:p>
    <w:p w14:paraId="403EED8A">
      <w:pPr>
        <w:pStyle w:val="102"/>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质量保修期自工程竣工验收合格之日起计算。</w:t>
      </w:r>
    </w:p>
    <w:p w14:paraId="679500B6">
      <w:pPr>
        <w:pStyle w:val="102"/>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三、缺陷责任期</w:t>
      </w:r>
    </w:p>
    <w:p w14:paraId="3C0B4F4E">
      <w:pPr>
        <w:pStyle w:val="102"/>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工程缺陷责任期为</w:t>
      </w:r>
      <w:r>
        <w:rPr>
          <w:rFonts w:hint="eastAsia" w:ascii="宋体" w:hAnsi="宋体"/>
          <w:color w:val="000000" w:themeColor="text1"/>
          <w:u w:val="single"/>
          <w14:textFill>
            <w14:solidFill>
              <w14:schemeClr w14:val="tx1"/>
            </w14:solidFill>
          </w14:textFill>
        </w:rPr>
        <w:t xml:space="preserve"> </w:t>
      </w:r>
      <w:r>
        <w:rPr>
          <w:rFonts w:ascii="宋体" w:hAnsi="宋体"/>
          <w:color w:val="000000" w:themeColor="text1"/>
          <w:u w:val="single"/>
          <w14:textFill>
            <w14:solidFill>
              <w14:schemeClr w14:val="tx1"/>
            </w14:solidFill>
          </w14:textFill>
        </w:rPr>
        <w:t>24</w:t>
      </w:r>
      <w:r>
        <w:rPr>
          <w:rFonts w:hint="eastAsia" w:ascii="宋体" w:hAnsi="宋体"/>
          <w:color w:val="000000" w:themeColor="text1"/>
          <w14:textFill>
            <w14:solidFill>
              <w14:schemeClr w14:val="tx1"/>
            </w14:solidFill>
          </w14:textFill>
        </w:rPr>
        <w:t>个月，缺陷责任期自工程实际竣工之日起计算。单位工程先于全部工程进行验收，单位工程缺陷责任期自单位工程验收合格之日起算。</w:t>
      </w:r>
    </w:p>
    <w:p w14:paraId="616A9E08">
      <w:pPr>
        <w:pStyle w:val="102"/>
        <w:ind w:firstLine="0" w:firstLineChars="0"/>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缺陷责任期终止后，发包人应退还剩余的质量保证金。</w:t>
      </w:r>
    </w:p>
    <w:p w14:paraId="473A6DE8">
      <w:pPr>
        <w:pStyle w:val="102"/>
        <w:ind w:firstLine="0" w:firstLineChars="0"/>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 xml:space="preserve">    </w:t>
      </w:r>
      <w:r>
        <w:rPr>
          <w:rFonts w:hint="eastAsia" w:ascii="宋体" w:hAnsi="宋体"/>
          <w:color w:val="000000" w:themeColor="text1"/>
          <w14:textFill>
            <w14:solidFill>
              <w14:schemeClr w14:val="tx1"/>
            </w14:solidFill>
          </w14:textFill>
        </w:rPr>
        <w:t>四、质量保修责任</w:t>
      </w:r>
    </w:p>
    <w:p w14:paraId="54A2322C">
      <w:pPr>
        <w:pStyle w:val="102"/>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1</w:t>
      </w:r>
      <w:r>
        <w:rPr>
          <w:rFonts w:hint="eastAsia" w:ascii="宋体" w:hAnsi="宋体"/>
          <w:color w:val="000000" w:themeColor="text1"/>
          <w14:textFill>
            <w14:solidFill>
              <w14:schemeClr w14:val="tx1"/>
            </w14:solidFill>
          </w14:textFill>
        </w:rPr>
        <w:t>．属于保修范围、内容的项目，承包人应当在接到保修通知之日起</w:t>
      </w:r>
      <w:r>
        <w:rPr>
          <w:rFonts w:ascii="宋体" w:hAnsi="宋体"/>
          <w:color w:val="000000" w:themeColor="text1"/>
          <w14:textFill>
            <w14:solidFill>
              <w14:schemeClr w14:val="tx1"/>
            </w14:solidFill>
          </w14:textFill>
        </w:rPr>
        <w:t>7</w:t>
      </w:r>
      <w:r>
        <w:rPr>
          <w:rFonts w:hint="eastAsia" w:ascii="宋体" w:hAnsi="宋体"/>
          <w:color w:val="000000" w:themeColor="text1"/>
          <w14:textFill>
            <w14:solidFill>
              <w14:schemeClr w14:val="tx1"/>
            </w14:solidFill>
          </w14:textFill>
        </w:rPr>
        <w:t>天内派人保修。承包人不在约定期限内派人保修的，发包人可以委托他人修理。</w:t>
      </w:r>
    </w:p>
    <w:p w14:paraId="281E0286">
      <w:pPr>
        <w:pStyle w:val="102"/>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2</w:t>
      </w:r>
      <w:r>
        <w:rPr>
          <w:rFonts w:hint="eastAsia" w:ascii="宋体" w:hAnsi="宋体"/>
          <w:color w:val="000000" w:themeColor="text1"/>
          <w14:textFill>
            <w14:solidFill>
              <w14:schemeClr w14:val="tx1"/>
            </w14:solidFill>
          </w14:textFill>
        </w:rPr>
        <w:t>．发生紧急事故需抢修的，承包人在接到事故通知后，应当立即到达事故现场抢修。</w:t>
      </w:r>
    </w:p>
    <w:p w14:paraId="30EA0D67">
      <w:pPr>
        <w:pStyle w:val="102"/>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3</w:t>
      </w:r>
      <w:r>
        <w:rPr>
          <w:rFonts w:hint="eastAsia" w:ascii="宋体" w:hAnsi="宋体"/>
          <w:color w:val="000000" w:themeColor="text1"/>
          <w14:textFill>
            <w14:solidFill>
              <w14:schemeClr w14:val="tx1"/>
            </w14:solidFill>
          </w14:textFill>
        </w:rPr>
        <w:t>．对于涉及结构安全的质量问题，应当按照《建设工程质量管理条例》的规定，立即向当地建设行政主管部门和有关部门报告，采取安全防范措施，并由原设计人或者具有相应资质等级的设计人提出保修方案，承包人实施保修。</w:t>
      </w:r>
    </w:p>
    <w:p w14:paraId="4CF2CA3A">
      <w:pPr>
        <w:pStyle w:val="102"/>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4</w:t>
      </w:r>
      <w:r>
        <w:rPr>
          <w:rFonts w:hint="eastAsia" w:ascii="宋体" w:hAnsi="宋体"/>
          <w:color w:val="000000" w:themeColor="text1"/>
          <w14:textFill>
            <w14:solidFill>
              <w14:schemeClr w14:val="tx1"/>
            </w14:solidFill>
          </w14:textFill>
        </w:rPr>
        <w:t>．质量保修完成后，由发包人组织验收。</w:t>
      </w:r>
    </w:p>
    <w:p w14:paraId="596F29BE">
      <w:pPr>
        <w:pStyle w:val="102"/>
        <w:ind w:firstLine="0" w:firstLineChars="0"/>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　　五、保修费用</w:t>
      </w:r>
    </w:p>
    <w:p w14:paraId="00C5226C">
      <w:pPr>
        <w:pStyle w:val="102"/>
        <w:ind w:firstLine="0" w:firstLineChars="0"/>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　　保修费用由造成质量缺陷的责任方承担。</w:t>
      </w:r>
    </w:p>
    <w:p w14:paraId="5A9526D8">
      <w:pPr>
        <w:pStyle w:val="102"/>
        <w:rPr>
          <w:rFonts w:ascii="宋体" w:hAnsi="宋体"/>
          <w:color w:val="000000" w:themeColor="text1"/>
          <w:szCs w:val="22"/>
          <w14:textFill>
            <w14:solidFill>
              <w14:schemeClr w14:val="tx1"/>
            </w14:solidFill>
          </w14:textFill>
        </w:rPr>
      </w:pPr>
      <w:r>
        <w:rPr>
          <w:rFonts w:hint="eastAsia" w:ascii="宋体" w:hAnsi="宋体"/>
          <w:bCs/>
          <w:color w:val="000000" w:themeColor="text1"/>
          <w14:textFill>
            <w14:solidFill>
              <w14:schemeClr w14:val="tx1"/>
            </w14:solidFill>
          </w14:textFill>
        </w:rPr>
        <w:t>六</w:t>
      </w:r>
      <w:r>
        <w:rPr>
          <w:rFonts w:hint="eastAsia" w:ascii="宋体" w:hAnsi="宋体"/>
          <w:color w:val="000000" w:themeColor="text1"/>
          <w14:textFill>
            <w14:solidFill>
              <w14:schemeClr w14:val="tx1"/>
            </w14:solidFill>
          </w14:textFill>
        </w:rPr>
        <w:t>、双方约定的其他工程质量保修事项：</w:t>
      </w:r>
      <w:r>
        <w:rPr>
          <w:rFonts w:hint="eastAsia" w:ascii="宋体" w:hAnsi="宋体" w:cs="宋体"/>
          <w:color w:val="000000" w:themeColor="text1"/>
          <w:u w:val="single"/>
          <w14:textFill>
            <w14:solidFill>
              <w14:schemeClr w14:val="tx1"/>
            </w14:solidFill>
          </w14:textFill>
        </w:rPr>
        <w:t>双方约定，发包人预留本工程最</w:t>
      </w:r>
      <w:r>
        <w:rPr>
          <w:rFonts w:ascii="宋体" w:hAnsi="宋体" w:cs="宋体"/>
          <w:color w:val="000000" w:themeColor="text1"/>
          <w:u w:val="single"/>
          <w14:textFill>
            <w14:solidFill>
              <w14:schemeClr w14:val="tx1"/>
            </w14:solidFill>
          </w14:textFill>
        </w:rPr>
        <w:t>终</w:t>
      </w:r>
      <w:r>
        <w:rPr>
          <w:rFonts w:hint="eastAsia" w:ascii="宋体" w:hAnsi="宋体" w:cs="宋体"/>
          <w:color w:val="000000" w:themeColor="text1"/>
          <w:u w:val="single"/>
          <w14:textFill>
            <w14:solidFill>
              <w14:schemeClr w14:val="tx1"/>
            </w14:solidFill>
          </w14:textFill>
        </w:rPr>
        <w:t>结算总价的</w:t>
      </w:r>
      <w:r>
        <w:rPr>
          <w:rFonts w:hint="eastAsia" w:ascii="宋体" w:hAnsi="宋体" w:cs="宋体"/>
          <w:color w:val="000000" w:themeColor="text1"/>
          <w:u w:val="single"/>
          <w14:textFill>
            <w14:solidFill>
              <w14:schemeClr w14:val="tx1"/>
            </w14:solidFill>
          </w14:textFill>
        </w:rPr>
        <w:t>3%</w:t>
      </w:r>
      <w:r>
        <w:rPr>
          <w:rFonts w:hint="eastAsia" w:ascii="宋体" w:hAnsi="宋体"/>
          <w:color w:val="000000" w:themeColor="text1"/>
          <w:u w:val="single"/>
          <w14:textFill>
            <w14:solidFill>
              <w14:schemeClr w14:val="tx1"/>
            </w14:solidFill>
          </w14:textFill>
        </w:rPr>
        <w:t>作为工程质量保修金</w:t>
      </w:r>
      <w:r>
        <w:rPr>
          <w:rFonts w:hint="eastAsia" w:ascii="宋体" w:hAnsi="宋体"/>
          <w:color w:val="000000" w:themeColor="text1"/>
          <w:u w:val="single"/>
          <w14:textFill>
            <w14:solidFill>
              <w14:schemeClr w14:val="tx1"/>
            </w14:solidFill>
          </w14:textFill>
        </w:rPr>
        <w:t>。本工程保修期以工程竣工综合验收合格交付发包人之日起计算。</w:t>
      </w:r>
      <w:r>
        <w:rPr>
          <w:rFonts w:hint="eastAsia" w:ascii="宋体" w:hAnsi="宋体" w:cs="宋体"/>
          <w:color w:val="000000" w:themeColor="text1"/>
          <w:u w:val="single"/>
          <w14:textFill>
            <w14:solidFill>
              <w14:schemeClr w14:val="tx1"/>
            </w14:solidFill>
          </w14:textFill>
        </w:rPr>
        <w:t>质量保修金在工程竣工验收合格之日起满两年后14天内将保修金返回给承包人。质量保证金的返还，并不能免除承包人按照合同约定应承担的质量保修责任和应履行的质量保修义务</w:t>
      </w:r>
      <w:r>
        <w:rPr>
          <w:rFonts w:ascii="宋体" w:hAnsi="宋体"/>
          <w:color w:val="000000" w:themeColor="text1"/>
          <w14:textFill>
            <w14:solidFill>
              <w14:schemeClr w14:val="tx1"/>
            </w14:solidFill>
          </w14:textFill>
        </w:rPr>
        <w:t>。</w:t>
      </w:r>
    </w:p>
    <w:p w14:paraId="658E5D41">
      <w:pPr>
        <w:pStyle w:val="102"/>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工程质量保修书由发包人、承包人在工程竣工验收前共同签署，作为施工合同附件，其有效期限至保修期满。</w:t>
      </w:r>
    </w:p>
    <w:p w14:paraId="19E92908">
      <w:pPr>
        <w:pStyle w:val="102"/>
        <w:rPr>
          <w:rFonts w:hint="eastAsia" w:ascii="宋体" w:hAnsi="宋体"/>
          <w:color w:val="000000" w:themeColor="text1"/>
          <w14:textFill>
            <w14:solidFill>
              <w14:schemeClr w14:val="tx1"/>
            </w14:solidFill>
          </w14:textFill>
        </w:rPr>
      </w:pPr>
    </w:p>
    <w:p w14:paraId="34EEC43D">
      <w:pPr>
        <w:pStyle w:val="102"/>
        <w:rPr>
          <w:rFonts w:hint="eastAsia" w:ascii="宋体" w:hAnsi="宋体"/>
          <w:color w:val="000000" w:themeColor="text1"/>
          <w14:textFill>
            <w14:solidFill>
              <w14:schemeClr w14:val="tx1"/>
            </w14:solidFill>
          </w14:textFill>
        </w:rPr>
      </w:pPr>
    </w:p>
    <w:p w14:paraId="01235BAA">
      <w:pPr>
        <w:pStyle w:val="102"/>
        <w:rPr>
          <w:rFonts w:hint="eastAsia" w:ascii="宋体" w:hAnsi="宋体"/>
          <w:color w:val="000000" w:themeColor="text1"/>
          <w14:textFill>
            <w14:solidFill>
              <w14:schemeClr w14:val="tx1"/>
            </w14:solidFill>
          </w14:textFill>
        </w:rPr>
      </w:pPr>
    </w:p>
    <w:p w14:paraId="5406359F">
      <w:pPr>
        <w:pStyle w:val="102"/>
        <w:rPr>
          <w:rFonts w:hint="eastAsia"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发包人</w:t>
      </w:r>
      <w:r>
        <w:rPr>
          <w:rFonts w:ascii="宋体" w:hAnsi="宋体"/>
          <w:color w:val="000000" w:themeColor="text1"/>
          <w14:textFill>
            <w14:solidFill>
              <w14:schemeClr w14:val="tx1"/>
            </w14:solidFill>
          </w14:textFill>
        </w:rPr>
        <w:t>(</w:t>
      </w:r>
      <w:r>
        <w:rPr>
          <w:rFonts w:hint="eastAsia" w:ascii="宋体" w:hAnsi="宋体"/>
          <w:color w:val="000000" w:themeColor="text1"/>
          <w14:textFill>
            <w14:solidFill>
              <w14:schemeClr w14:val="tx1"/>
            </w14:solidFill>
          </w14:textFill>
        </w:rPr>
        <w:t>公章</w:t>
      </w:r>
      <w:r>
        <w:rPr>
          <w:rFonts w:ascii="宋体" w:hAnsi="宋体"/>
          <w:color w:val="000000" w:themeColor="text1"/>
          <w14:textFill>
            <w14:solidFill>
              <w14:schemeClr w14:val="tx1"/>
            </w14:solidFill>
          </w14:textFill>
        </w:rPr>
        <w:t>)</w:t>
      </w:r>
      <w:r>
        <w:rPr>
          <w:rFonts w:hint="eastAsia" w:ascii="宋体" w:hAnsi="宋体"/>
          <w:color w:val="000000" w:themeColor="text1"/>
          <w14:textFill>
            <w14:solidFill>
              <w14:schemeClr w14:val="tx1"/>
            </w14:solidFill>
          </w14:textFill>
        </w:rPr>
        <w:t>：</w:t>
      </w:r>
      <w:r>
        <w:rPr>
          <w:rFonts w:ascii="宋体" w:hAnsi="宋体"/>
          <w:color w:val="000000" w:themeColor="text1"/>
          <w:u w:val="single"/>
          <w14:textFill>
            <w14:solidFill>
              <w14:schemeClr w14:val="tx1"/>
            </w14:solidFill>
          </w14:textFill>
        </w:rPr>
        <w:t xml:space="preserve"> </w:t>
      </w:r>
      <w:r>
        <w:rPr>
          <w:rFonts w:hint="eastAsia" w:ascii="宋体" w:hAnsi="宋体" w:cs="宋体"/>
          <w:color w:val="000000" w:themeColor="text1"/>
          <w:u w:val="single"/>
          <w14:textFill>
            <w14:solidFill>
              <w14:schemeClr w14:val="tx1"/>
            </w14:solidFill>
          </w14:textFill>
        </w:rPr>
        <w:t></w:t>
      </w:r>
      <w:r>
        <w:rPr>
          <w:rFonts w:ascii="宋体" w:hAnsi="宋体"/>
          <w:color w:val="000000" w:themeColor="text1"/>
          <w:u w:val="single"/>
          <w14:textFill>
            <w14:solidFill>
              <w14:schemeClr w14:val="tx1"/>
            </w14:solidFill>
          </w14:textFill>
        </w:rPr>
        <w:t xml:space="preserve"> </w:t>
      </w:r>
      <w:r>
        <w:rPr>
          <w:rFonts w:hint="eastAsia" w:ascii="宋体" w:hAnsi="宋体" w:cs="宋体"/>
          <w:color w:val="000000" w:themeColor="text1"/>
          <w:u w:val="single"/>
          <w14:textFill>
            <w14:solidFill>
              <w14:schemeClr w14:val="tx1"/>
            </w14:solidFill>
          </w14:textFill>
        </w:rPr>
        <w:t></w:t>
      </w:r>
      <w:r>
        <w:rPr>
          <w:rFonts w:ascii="宋体" w:hAnsi="宋体"/>
          <w:color w:val="000000" w:themeColor="text1"/>
          <w:u w:val="single"/>
          <w14:textFill>
            <w14:solidFill>
              <w14:schemeClr w14:val="tx1"/>
            </w14:solidFill>
          </w14:textFill>
        </w:rPr>
        <w:t xml:space="preserve">       </w:t>
      </w:r>
      <w:r>
        <w:rPr>
          <w:rFonts w:hint="eastAsia" w:ascii="宋体" w:hAnsi="宋体"/>
          <w:color w:val="000000" w:themeColor="text1"/>
          <w:u w:val="single"/>
          <w14:textFill>
            <w14:solidFill>
              <w14:schemeClr w14:val="tx1"/>
            </w14:solidFill>
          </w14:textFill>
        </w:rPr>
        <w:t xml:space="preserve">           </w:t>
      </w:r>
      <w:r>
        <w:rPr>
          <w:rFonts w:hint="eastAsia" w:ascii="宋体" w:hAnsi="宋体"/>
          <w:color w:val="000000" w:themeColor="text1"/>
          <w14:textFill>
            <w14:solidFill>
              <w14:schemeClr w14:val="tx1"/>
            </w14:solidFill>
          </w14:textFill>
        </w:rPr>
        <w:t xml:space="preserve">    承包人</w:t>
      </w:r>
      <w:r>
        <w:rPr>
          <w:rFonts w:ascii="宋体" w:hAnsi="宋体"/>
          <w:color w:val="000000" w:themeColor="text1"/>
          <w14:textFill>
            <w14:solidFill>
              <w14:schemeClr w14:val="tx1"/>
            </w14:solidFill>
          </w14:textFill>
        </w:rPr>
        <w:t>(</w:t>
      </w:r>
      <w:r>
        <w:rPr>
          <w:rFonts w:hint="eastAsia" w:ascii="宋体" w:hAnsi="宋体"/>
          <w:color w:val="000000" w:themeColor="text1"/>
          <w14:textFill>
            <w14:solidFill>
              <w14:schemeClr w14:val="tx1"/>
            </w14:solidFill>
          </w14:textFill>
        </w:rPr>
        <w:t>公章</w:t>
      </w:r>
      <w:r>
        <w:rPr>
          <w:rFonts w:ascii="宋体" w:hAnsi="宋体"/>
          <w:color w:val="000000" w:themeColor="text1"/>
          <w14:textFill>
            <w14:solidFill>
              <w14:schemeClr w14:val="tx1"/>
            </w14:solidFill>
          </w14:textFill>
        </w:rPr>
        <w:t>)</w:t>
      </w:r>
      <w:r>
        <w:rPr>
          <w:rFonts w:hint="eastAsia" w:ascii="宋体" w:hAnsi="宋体"/>
          <w:color w:val="000000" w:themeColor="text1"/>
          <w14:textFill>
            <w14:solidFill>
              <w14:schemeClr w14:val="tx1"/>
            </w14:solidFill>
          </w14:textFill>
        </w:rPr>
        <w:t>：</w:t>
      </w:r>
      <w:r>
        <w:rPr>
          <w:rFonts w:hint="eastAsia" w:ascii="宋体" w:hAnsi="宋体" w:cs="宋体"/>
          <w:color w:val="000000" w:themeColor="text1"/>
          <w:u w:val="single"/>
          <w14:textFill>
            <w14:solidFill>
              <w14:schemeClr w14:val="tx1"/>
            </w14:solidFill>
          </w14:textFill>
        </w:rPr>
        <w:t></w:t>
      </w:r>
      <w:r>
        <w:rPr>
          <w:rFonts w:ascii="宋体" w:hAnsi="宋体"/>
          <w:color w:val="000000" w:themeColor="text1"/>
          <w:u w:val="single"/>
          <w14:textFill>
            <w14:solidFill>
              <w14:schemeClr w14:val="tx1"/>
            </w14:solidFill>
          </w14:textFill>
        </w:rPr>
        <w:t xml:space="preserve">          </w:t>
      </w:r>
      <w:r>
        <w:rPr>
          <w:rFonts w:hint="eastAsia" w:ascii="宋体" w:hAnsi="宋体" w:cs="宋体"/>
          <w:color w:val="000000" w:themeColor="text1"/>
          <w:u w:val="single"/>
          <w14:textFill>
            <w14:solidFill>
              <w14:schemeClr w14:val="tx1"/>
            </w14:solidFill>
          </w14:textFill>
        </w:rPr>
        <w:t></w:t>
      </w:r>
      <w:r>
        <w:rPr>
          <w:rFonts w:ascii="宋体" w:hAnsi="宋体"/>
          <w:color w:val="000000" w:themeColor="text1"/>
          <w:u w:val="single"/>
          <w14:textFill>
            <w14:solidFill>
              <w14:schemeClr w14:val="tx1"/>
            </w14:solidFill>
          </w14:textFill>
        </w:rPr>
        <w:t xml:space="preserve"> </w:t>
      </w:r>
      <w:r>
        <w:rPr>
          <w:rFonts w:hint="eastAsia" w:ascii="宋体" w:hAnsi="宋体"/>
          <w:color w:val="000000" w:themeColor="text1"/>
          <w:u w:val="single"/>
          <w14:textFill>
            <w14:solidFill>
              <w14:schemeClr w14:val="tx1"/>
            </w14:solidFill>
          </w14:textFill>
        </w:rPr>
        <w:t xml:space="preserve">            </w:t>
      </w:r>
    </w:p>
    <w:p w14:paraId="2AB0A668">
      <w:pPr>
        <w:pStyle w:val="102"/>
        <w:rPr>
          <w:rFonts w:hint="eastAsia" w:ascii="宋体" w:hAnsi="宋体"/>
          <w:color w:val="000000" w:themeColor="text1"/>
          <w14:textFill>
            <w14:solidFill>
              <w14:schemeClr w14:val="tx1"/>
            </w14:solidFill>
          </w14:textFill>
        </w:rPr>
      </w:pPr>
    </w:p>
    <w:p w14:paraId="0DD7F2D6">
      <w:pPr>
        <w:pStyle w:val="102"/>
        <w:rPr>
          <w:rFonts w:hint="eastAsia"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法定代表人或委托代理人</w:t>
      </w:r>
      <w:r>
        <w:rPr>
          <w:rFonts w:ascii="宋体" w:hAnsi="宋体"/>
          <w:color w:val="000000" w:themeColor="text1"/>
          <w14:textFill>
            <w14:solidFill>
              <w14:schemeClr w14:val="tx1"/>
            </w14:solidFill>
          </w14:textFill>
        </w:rPr>
        <w:t>(</w:t>
      </w:r>
      <w:r>
        <w:rPr>
          <w:rFonts w:hint="eastAsia" w:ascii="宋体" w:hAnsi="宋体"/>
          <w:color w:val="000000" w:themeColor="text1"/>
          <w14:textFill>
            <w14:solidFill>
              <w14:schemeClr w14:val="tx1"/>
            </w14:solidFill>
          </w14:textFill>
        </w:rPr>
        <w:t>签字</w:t>
      </w:r>
      <w:r>
        <w:rPr>
          <w:rFonts w:ascii="宋体" w:hAnsi="宋体"/>
          <w:color w:val="000000" w:themeColor="text1"/>
          <w14:textFill>
            <w14:solidFill>
              <w14:schemeClr w14:val="tx1"/>
            </w14:solidFill>
          </w14:textFill>
        </w:rPr>
        <w:t>)</w:t>
      </w:r>
      <w:r>
        <w:rPr>
          <w:rFonts w:hint="eastAsia" w:ascii="宋体" w:hAnsi="宋体"/>
          <w:color w:val="000000" w:themeColor="text1"/>
          <w14:textFill>
            <w14:solidFill>
              <w14:schemeClr w14:val="tx1"/>
            </w14:solidFill>
          </w14:textFill>
        </w:rPr>
        <w:t>：</w:t>
      </w:r>
      <w:r>
        <w:rPr>
          <w:rFonts w:hint="eastAsia" w:ascii="宋体" w:hAnsi="宋体" w:cs="宋体"/>
          <w:color w:val="000000" w:themeColor="text1"/>
          <w:u w:val="single"/>
          <w14:textFill>
            <w14:solidFill>
              <w14:schemeClr w14:val="tx1"/>
            </w14:solidFill>
          </w14:textFill>
        </w:rPr>
        <w:t></w:t>
      </w:r>
      <w:r>
        <w:rPr>
          <w:rFonts w:ascii="宋体" w:hAnsi="宋体"/>
          <w:color w:val="000000" w:themeColor="text1"/>
          <w:u w:val="single"/>
          <w14:textFill>
            <w14:solidFill>
              <w14:schemeClr w14:val="tx1"/>
            </w14:solidFill>
          </w14:textFill>
        </w:rPr>
        <w:t xml:space="preserve">    </w:t>
      </w:r>
      <w:r>
        <w:rPr>
          <w:rFonts w:hint="eastAsia" w:ascii="宋体" w:hAnsi="宋体"/>
          <w:color w:val="000000" w:themeColor="text1"/>
          <w:u w:val="single"/>
          <w14:textFill>
            <w14:solidFill>
              <w14:schemeClr w14:val="tx1"/>
            </w14:solidFill>
          </w14:textFill>
        </w:rPr>
        <w:t xml:space="preserve">  </w:t>
      </w:r>
      <w:r>
        <w:rPr>
          <w:rFonts w:hint="eastAsia" w:ascii="宋体" w:hAnsi="宋体"/>
          <w:color w:val="000000" w:themeColor="text1"/>
          <w14:textFill>
            <w14:solidFill>
              <w14:schemeClr w14:val="tx1"/>
            </w14:solidFill>
          </w14:textFill>
        </w:rPr>
        <w:t xml:space="preserve">   法定代表人或委托代理人</w:t>
      </w:r>
      <w:r>
        <w:rPr>
          <w:rFonts w:ascii="宋体" w:hAnsi="宋体"/>
          <w:color w:val="000000" w:themeColor="text1"/>
          <w14:textFill>
            <w14:solidFill>
              <w14:schemeClr w14:val="tx1"/>
            </w14:solidFill>
          </w14:textFill>
        </w:rPr>
        <w:t>(</w:t>
      </w:r>
      <w:r>
        <w:rPr>
          <w:rFonts w:hint="eastAsia" w:ascii="宋体" w:hAnsi="宋体"/>
          <w:color w:val="000000" w:themeColor="text1"/>
          <w14:textFill>
            <w14:solidFill>
              <w14:schemeClr w14:val="tx1"/>
            </w14:solidFill>
          </w14:textFill>
        </w:rPr>
        <w:t>签字</w:t>
      </w:r>
      <w:r>
        <w:rPr>
          <w:rFonts w:ascii="宋体" w:hAnsi="宋体"/>
          <w:color w:val="000000" w:themeColor="text1"/>
          <w14:textFill>
            <w14:solidFill>
              <w14:schemeClr w14:val="tx1"/>
            </w14:solidFill>
          </w14:textFill>
        </w:rPr>
        <w:t>)</w:t>
      </w:r>
      <w:r>
        <w:rPr>
          <w:rFonts w:hint="eastAsia" w:ascii="宋体" w:hAnsi="宋体"/>
          <w:color w:val="000000" w:themeColor="text1"/>
          <w14:textFill>
            <w14:solidFill>
              <w14:schemeClr w14:val="tx1"/>
            </w14:solidFill>
          </w14:textFill>
        </w:rPr>
        <w:t>：</w:t>
      </w:r>
      <w:r>
        <w:rPr>
          <w:rFonts w:hint="eastAsia" w:ascii="宋体" w:hAnsi="宋体" w:cs="宋体"/>
          <w:color w:val="000000" w:themeColor="text1"/>
          <w:u w:val="single"/>
          <w14:textFill>
            <w14:solidFill>
              <w14:schemeClr w14:val="tx1"/>
            </w14:solidFill>
          </w14:textFill>
        </w:rPr>
        <w:t></w:t>
      </w:r>
      <w:r>
        <w:rPr>
          <w:rFonts w:ascii="宋体" w:hAnsi="宋体"/>
          <w:color w:val="000000" w:themeColor="text1"/>
          <w:u w:val="single"/>
          <w14:textFill>
            <w14:solidFill>
              <w14:schemeClr w14:val="tx1"/>
            </w14:solidFill>
          </w14:textFill>
        </w:rPr>
        <w:t xml:space="preserve">       </w:t>
      </w:r>
      <w:r>
        <w:rPr>
          <w:rFonts w:hint="eastAsia" w:ascii="宋体" w:hAnsi="宋体"/>
          <w:color w:val="000000" w:themeColor="text1"/>
          <w:u w:val="single"/>
          <w14:textFill>
            <w14:solidFill>
              <w14:schemeClr w14:val="tx1"/>
            </w14:solidFill>
          </w14:textFill>
        </w:rPr>
        <w:t xml:space="preserve"> </w:t>
      </w:r>
    </w:p>
    <w:p w14:paraId="30B491D7">
      <w:pPr>
        <w:pStyle w:val="102"/>
        <w:ind w:firstLine="301" w:firstLineChars="100"/>
        <w:rPr>
          <w:rFonts w:ascii="宋体" w:hAnsi="宋体"/>
          <w:color w:val="000000" w:themeColor="text1"/>
          <w:sz w:val="30"/>
          <w:szCs w:val="30"/>
          <w14:textFill>
            <w14:solidFill>
              <w14:schemeClr w14:val="tx1"/>
            </w14:solidFill>
          </w14:textFill>
        </w:rPr>
      </w:pPr>
      <w:r>
        <w:rPr>
          <w:rFonts w:ascii="宋体" w:hAnsi="宋体"/>
          <w:b/>
          <w:color w:val="000000" w:themeColor="text1"/>
          <w:sz w:val="30"/>
          <w:szCs w:val="30"/>
          <w14:textFill>
            <w14:solidFill>
              <w14:schemeClr w14:val="tx1"/>
            </w14:solidFill>
          </w14:textFill>
        </w:rPr>
        <w:br w:type="page"/>
      </w:r>
      <w:r>
        <w:rPr>
          <w:rFonts w:hint="eastAsia" w:ascii="宋体" w:hAnsi="宋体"/>
          <w:color w:val="000000" w:themeColor="text1"/>
          <w:sz w:val="30"/>
          <w:szCs w:val="30"/>
          <w14:textFill>
            <w14:solidFill>
              <w14:schemeClr w14:val="tx1"/>
            </w14:solidFill>
          </w14:textFill>
        </w:rPr>
        <w:t>附件2：</w:t>
      </w:r>
    </w:p>
    <w:p w14:paraId="59B35E16">
      <w:pPr>
        <w:pStyle w:val="102"/>
        <w:ind w:firstLine="0" w:firstLineChars="0"/>
        <w:jc w:val="center"/>
        <w:rPr>
          <w:rFonts w:ascii="宋体" w:hAnsi="宋体"/>
          <w:color w:val="000000" w:themeColor="text1"/>
          <w:sz w:val="30"/>
          <w:szCs w:val="30"/>
          <w14:textFill>
            <w14:solidFill>
              <w14:schemeClr w14:val="tx1"/>
            </w14:solidFill>
          </w14:textFill>
        </w:rPr>
      </w:pPr>
      <w:r>
        <w:rPr>
          <w:rFonts w:hint="eastAsia" w:ascii="宋体" w:hAnsi="宋体"/>
          <w:color w:val="000000" w:themeColor="text1"/>
          <w:sz w:val="30"/>
          <w:szCs w:val="30"/>
          <w14:textFill>
            <w14:solidFill>
              <w14:schemeClr w14:val="tx1"/>
            </w14:solidFill>
          </w14:textFill>
        </w:rPr>
        <w:t>发包人供应材料设备一览表</w:t>
      </w:r>
    </w:p>
    <w:tbl>
      <w:tblPr>
        <w:tblStyle w:val="29"/>
        <w:tblW w:w="10009"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851"/>
        <w:gridCol w:w="1276"/>
        <w:gridCol w:w="1127"/>
        <w:gridCol w:w="940"/>
        <w:gridCol w:w="851"/>
        <w:gridCol w:w="1044"/>
        <w:gridCol w:w="992"/>
        <w:gridCol w:w="851"/>
        <w:gridCol w:w="1085"/>
        <w:gridCol w:w="992"/>
      </w:tblGrid>
      <w:tr w14:paraId="670F894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851" w:type="dxa"/>
            <w:tcBorders>
              <w:top w:val="single" w:color="auto" w:sz="12" w:space="0"/>
              <w:bottom w:val="double" w:color="auto" w:sz="6" w:space="0"/>
            </w:tcBorders>
            <w:noWrap w:val="0"/>
            <w:vAlign w:val="center"/>
          </w:tcPr>
          <w:p w14:paraId="4080FA60">
            <w:pPr>
              <w:pStyle w:val="102"/>
              <w:adjustRightInd w:val="0"/>
              <w:ind w:firstLine="0" w:firstLineChars="0"/>
              <w:jc w:val="center"/>
              <w:rPr>
                <w:rFonts w:ascii="宋体" w:hAnsi="宋体"/>
                <w:color w:val="000000" w:themeColor="text1"/>
                <w:sz w:val="28"/>
                <w:szCs w:val="30"/>
                <w:lang w:val="en-US" w:eastAsia="zh-CN"/>
                <w14:textFill>
                  <w14:solidFill>
                    <w14:schemeClr w14:val="tx1"/>
                  </w14:solidFill>
                </w14:textFill>
              </w:rPr>
            </w:pPr>
            <w:r>
              <w:rPr>
                <w:rFonts w:hint="eastAsia" w:ascii="宋体" w:hAnsi="宋体"/>
                <w:color w:val="000000" w:themeColor="text1"/>
                <w:sz w:val="28"/>
                <w:szCs w:val="30"/>
                <w:lang w:val="en-US" w:eastAsia="zh-CN"/>
                <w14:textFill>
                  <w14:solidFill>
                    <w14:schemeClr w14:val="tx1"/>
                  </w14:solidFill>
                </w14:textFill>
              </w:rPr>
              <w:t>序号</w:t>
            </w:r>
          </w:p>
        </w:tc>
        <w:tc>
          <w:tcPr>
            <w:tcW w:w="1276" w:type="dxa"/>
            <w:tcBorders>
              <w:top w:val="single" w:color="auto" w:sz="12" w:space="0"/>
              <w:bottom w:val="double" w:color="auto" w:sz="6" w:space="0"/>
            </w:tcBorders>
            <w:noWrap w:val="0"/>
            <w:vAlign w:val="center"/>
          </w:tcPr>
          <w:p w14:paraId="3F1D1260">
            <w:pPr>
              <w:pStyle w:val="102"/>
              <w:adjustRightInd w:val="0"/>
              <w:ind w:firstLine="0" w:firstLineChars="0"/>
              <w:jc w:val="center"/>
              <w:rPr>
                <w:rFonts w:ascii="宋体" w:hAnsi="宋体"/>
                <w:color w:val="000000" w:themeColor="text1"/>
                <w:sz w:val="28"/>
                <w:szCs w:val="30"/>
                <w:lang w:val="en-US" w:eastAsia="zh-CN"/>
                <w14:textFill>
                  <w14:solidFill>
                    <w14:schemeClr w14:val="tx1"/>
                  </w14:solidFill>
                </w14:textFill>
              </w:rPr>
            </w:pPr>
            <w:r>
              <w:rPr>
                <w:rFonts w:hint="eastAsia" w:ascii="宋体" w:hAnsi="宋体"/>
                <w:color w:val="000000" w:themeColor="text1"/>
                <w:sz w:val="28"/>
                <w:szCs w:val="30"/>
                <w:lang w:val="en-US" w:eastAsia="zh-CN"/>
                <w14:textFill>
                  <w14:solidFill>
                    <w14:schemeClr w14:val="tx1"/>
                  </w14:solidFill>
                </w14:textFill>
              </w:rPr>
              <w:t>材料、</w:t>
            </w:r>
          </w:p>
          <w:p w14:paraId="61E25667">
            <w:pPr>
              <w:pStyle w:val="102"/>
              <w:adjustRightInd w:val="0"/>
              <w:ind w:firstLine="0" w:firstLineChars="0"/>
              <w:jc w:val="center"/>
              <w:rPr>
                <w:rFonts w:ascii="宋体" w:hAnsi="宋体"/>
                <w:color w:val="000000" w:themeColor="text1"/>
                <w:sz w:val="28"/>
                <w:szCs w:val="30"/>
                <w:lang w:val="en-US" w:eastAsia="zh-CN"/>
                <w14:textFill>
                  <w14:solidFill>
                    <w14:schemeClr w14:val="tx1"/>
                  </w14:solidFill>
                </w14:textFill>
              </w:rPr>
            </w:pPr>
            <w:r>
              <w:rPr>
                <w:rFonts w:hint="eastAsia" w:ascii="宋体" w:hAnsi="宋体"/>
                <w:color w:val="000000" w:themeColor="text1"/>
                <w:sz w:val="28"/>
                <w:szCs w:val="30"/>
                <w:lang w:val="en-US" w:eastAsia="zh-CN"/>
                <w14:textFill>
                  <w14:solidFill>
                    <w14:schemeClr w14:val="tx1"/>
                  </w14:solidFill>
                </w14:textFill>
              </w:rPr>
              <w:t>设备品种</w:t>
            </w:r>
          </w:p>
        </w:tc>
        <w:tc>
          <w:tcPr>
            <w:tcW w:w="1127" w:type="dxa"/>
            <w:tcBorders>
              <w:top w:val="single" w:color="auto" w:sz="12" w:space="0"/>
              <w:bottom w:val="double" w:color="auto" w:sz="6" w:space="0"/>
            </w:tcBorders>
            <w:noWrap w:val="0"/>
            <w:vAlign w:val="center"/>
          </w:tcPr>
          <w:p w14:paraId="3BE09693">
            <w:pPr>
              <w:pStyle w:val="102"/>
              <w:adjustRightInd w:val="0"/>
              <w:ind w:firstLine="0" w:firstLineChars="0"/>
              <w:jc w:val="center"/>
              <w:rPr>
                <w:rFonts w:ascii="宋体" w:hAnsi="宋体"/>
                <w:color w:val="000000" w:themeColor="text1"/>
                <w:sz w:val="28"/>
                <w:szCs w:val="30"/>
                <w:lang w:val="en-US" w:eastAsia="zh-CN"/>
                <w14:textFill>
                  <w14:solidFill>
                    <w14:schemeClr w14:val="tx1"/>
                  </w14:solidFill>
                </w14:textFill>
              </w:rPr>
            </w:pPr>
            <w:r>
              <w:rPr>
                <w:rFonts w:hint="eastAsia" w:ascii="宋体" w:hAnsi="宋体"/>
                <w:color w:val="000000" w:themeColor="text1"/>
                <w:sz w:val="28"/>
                <w:szCs w:val="30"/>
                <w:lang w:val="en-US" w:eastAsia="zh-CN"/>
                <w14:textFill>
                  <w14:solidFill>
                    <w14:schemeClr w14:val="tx1"/>
                  </w14:solidFill>
                </w14:textFill>
              </w:rPr>
              <w:t>规格型号</w:t>
            </w:r>
          </w:p>
        </w:tc>
        <w:tc>
          <w:tcPr>
            <w:tcW w:w="940" w:type="dxa"/>
            <w:tcBorders>
              <w:top w:val="single" w:color="auto" w:sz="12" w:space="0"/>
              <w:bottom w:val="double" w:color="auto" w:sz="6" w:space="0"/>
            </w:tcBorders>
            <w:noWrap w:val="0"/>
            <w:vAlign w:val="center"/>
          </w:tcPr>
          <w:p w14:paraId="28F0FC2D">
            <w:pPr>
              <w:pStyle w:val="102"/>
              <w:adjustRightInd w:val="0"/>
              <w:ind w:firstLine="0" w:firstLineChars="0"/>
              <w:jc w:val="center"/>
              <w:rPr>
                <w:rFonts w:ascii="宋体" w:hAnsi="宋体"/>
                <w:color w:val="000000" w:themeColor="text1"/>
                <w:sz w:val="28"/>
                <w:szCs w:val="30"/>
                <w:lang w:val="en-US" w:eastAsia="zh-CN"/>
                <w14:textFill>
                  <w14:solidFill>
                    <w14:schemeClr w14:val="tx1"/>
                  </w14:solidFill>
                </w14:textFill>
              </w:rPr>
            </w:pPr>
            <w:r>
              <w:rPr>
                <w:rFonts w:hint="eastAsia" w:ascii="宋体" w:hAnsi="宋体"/>
                <w:color w:val="000000" w:themeColor="text1"/>
                <w:sz w:val="28"/>
                <w:szCs w:val="30"/>
                <w:lang w:val="en-US" w:eastAsia="zh-CN"/>
                <w14:textFill>
                  <w14:solidFill>
                    <w14:schemeClr w14:val="tx1"/>
                  </w14:solidFill>
                </w14:textFill>
              </w:rPr>
              <w:t>单位</w:t>
            </w:r>
          </w:p>
        </w:tc>
        <w:tc>
          <w:tcPr>
            <w:tcW w:w="851" w:type="dxa"/>
            <w:tcBorders>
              <w:top w:val="single" w:color="auto" w:sz="12" w:space="0"/>
              <w:bottom w:val="double" w:color="auto" w:sz="6" w:space="0"/>
            </w:tcBorders>
            <w:noWrap w:val="0"/>
            <w:vAlign w:val="center"/>
          </w:tcPr>
          <w:p w14:paraId="600D10F1">
            <w:pPr>
              <w:pStyle w:val="102"/>
              <w:adjustRightInd w:val="0"/>
              <w:ind w:firstLine="0" w:firstLineChars="0"/>
              <w:jc w:val="center"/>
              <w:rPr>
                <w:rFonts w:ascii="宋体" w:hAnsi="宋体"/>
                <w:color w:val="000000" w:themeColor="text1"/>
                <w:sz w:val="28"/>
                <w:szCs w:val="30"/>
                <w:lang w:val="en-US" w:eastAsia="zh-CN"/>
                <w14:textFill>
                  <w14:solidFill>
                    <w14:schemeClr w14:val="tx1"/>
                  </w14:solidFill>
                </w14:textFill>
              </w:rPr>
            </w:pPr>
            <w:r>
              <w:rPr>
                <w:rFonts w:hint="eastAsia" w:ascii="宋体" w:hAnsi="宋体"/>
                <w:color w:val="000000" w:themeColor="text1"/>
                <w:sz w:val="28"/>
                <w:szCs w:val="30"/>
                <w:lang w:val="en-US" w:eastAsia="zh-CN"/>
                <w14:textFill>
                  <w14:solidFill>
                    <w14:schemeClr w14:val="tx1"/>
                  </w14:solidFill>
                </w14:textFill>
              </w:rPr>
              <w:t>数量</w:t>
            </w:r>
          </w:p>
        </w:tc>
        <w:tc>
          <w:tcPr>
            <w:tcW w:w="1044" w:type="dxa"/>
            <w:tcBorders>
              <w:top w:val="single" w:color="auto" w:sz="12" w:space="0"/>
              <w:bottom w:val="double" w:color="auto" w:sz="6" w:space="0"/>
            </w:tcBorders>
            <w:noWrap w:val="0"/>
            <w:vAlign w:val="center"/>
          </w:tcPr>
          <w:p w14:paraId="4C020CAD">
            <w:pPr>
              <w:pStyle w:val="102"/>
              <w:adjustRightInd w:val="0"/>
              <w:ind w:firstLine="0" w:firstLineChars="0"/>
              <w:jc w:val="center"/>
              <w:rPr>
                <w:rFonts w:ascii="宋体" w:hAnsi="宋体"/>
                <w:color w:val="000000" w:themeColor="text1"/>
                <w:sz w:val="28"/>
                <w:szCs w:val="30"/>
                <w:lang w:val="en-US" w:eastAsia="zh-CN"/>
                <w14:textFill>
                  <w14:solidFill>
                    <w14:schemeClr w14:val="tx1"/>
                  </w14:solidFill>
                </w14:textFill>
              </w:rPr>
            </w:pPr>
            <w:r>
              <w:rPr>
                <w:rFonts w:hint="eastAsia" w:ascii="宋体" w:hAnsi="宋体"/>
                <w:color w:val="000000" w:themeColor="text1"/>
                <w:sz w:val="28"/>
                <w:szCs w:val="30"/>
                <w:lang w:val="en-US" w:eastAsia="zh-CN"/>
                <w14:textFill>
                  <w14:solidFill>
                    <w14:schemeClr w14:val="tx1"/>
                  </w14:solidFill>
                </w14:textFill>
              </w:rPr>
              <w:t>单价（元）</w:t>
            </w:r>
          </w:p>
        </w:tc>
        <w:tc>
          <w:tcPr>
            <w:tcW w:w="992" w:type="dxa"/>
            <w:tcBorders>
              <w:top w:val="single" w:color="auto" w:sz="12" w:space="0"/>
              <w:bottom w:val="double" w:color="auto" w:sz="6" w:space="0"/>
            </w:tcBorders>
            <w:noWrap w:val="0"/>
            <w:vAlign w:val="center"/>
          </w:tcPr>
          <w:p w14:paraId="11420A15">
            <w:pPr>
              <w:pStyle w:val="102"/>
              <w:adjustRightInd w:val="0"/>
              <w:ind w:firstLine="0" w:firstLineChars="0"/>
              <w:jc w:val="center"/>
              <w:rPr>
                <w:rFonts w:ascii="宋体" w:hAnsi="宋体"/>
                <w:color w:val="000000" w:themeColor="text1"/>
                <w:sz w:val="28"/>
                <w:szCs w:val="30"/>
                <w:lang w:val="en-US" w:eastAsia="zh-CN"/>
                <w14:textFill>
                  <w14:solidFill>
                    <w14:schemeClr w14:val="tx1"/>
                  </w14:solidFill>
                </w14:textFill>
              </w:rPr>
            </w:pPr>
            <w:r>
              <w:rPr>
                <w:rFonts w:hint="eastAsia" w:ascii="宋体" w:hAnsi="宋体"/>
                <w:color w:val="000000" w:themeColor="text1"/>
                <w:sz w:val="28"/>
                <w:szCs w:val="30"/>
                <w:lang w:val="en-US" w:eastAsia="zh-CN"/>
                <w14:textFill>
                  <w14:solidFill>
                    <w14:schemeClr w14:val="tx1"/>
                  </w14:solidFill>
                </w14:textFill>
              </w:rPr>
              <w:t>质量</w:t>
            </w:r>
          </w:p>
          <w:p w14:paraId="6A302940">
            <w:pPr>
              <w:pStyle w:val="102"/>
              <w:adjustRightInd w:val="0"/>
              <w:ind w:firstLine="0" w:firstLineChars="0"/>
              <w:jc w:val="center"/>
              <w:rPr>
                <w:rFonts w:ascii="宋体" w:hAnsi="宋体"/>
                <w:color w:val="000000" w:themeColor="text1"/>
                <w:sz w:val="28"/>
                <w:szCs w:val="30"/>
                <w:lang w:val="en-US" w:eastAsia="zh-CN"/>
                <w14:textFill>
                  <w14:solidFill>
                    <w14:schemeClr w14:val="tx1"/>
                  </w14:solidFill>
                </w14:textFill>
              </w:rPr>
            </w:pPr>
            <w:r>
              <w:rPr>
                <w:rFonts w:hint="eastAsia" w:ascii="宋体" w:hAnsi="宋体"/>
                <w:color w:val="000000" w:themeColor="text1"/>
                <w:sz w:val="28"/>
                <w:szCs w:val="30"/>
                <w:lang w:val="en-US" w:eastAsia="zh-CN"/>
                <w14:textFill>
                  <w14:solidFill>
                    <w14:schemeClr w14:val="tx1"/>
                  </w14:solidFill>
                </w14:textFill>
              </w:rPr>
              <w:t>等级</w:t>
            </w:r>
          </w:p>
        </w:tc>
        <w:tc>
          <w:tcPr>
            <w:tcW w:w="851" w:type="dxa"/>
            <w:tcBorders>
              <w:top w:val="single" w:color="auto" w:sz="12" w:space="0"/>
              <w:bottom w:val="double" w:color="auto" w:sz="6" w:space="0"/>
            </w:tcBorders>
            <w:noWrap w:val="0"/>
            <w:vAlign w:val="center"/>
          </w:tcPr>
          <w:p w14:paraId="0482F4E9">
            <w:pPr>
              <w:pStyle w:val="102"/>
              <w:adjustRightInd w:val="0"/>
              <w:ind w:firstLine="0" w:firstLineChars="0"/>
              <w:jc w:val="center"/>
              <w:rPr>
                <w:rFonts w:ascii="宋体" w:hAnsi="宋体"/>
                <w:color w:val="000000" w:themeColor="text1"/>
                <w:sz w:val="28"/>
                <w:szCs w:val="30"/>
                <w:lang w:val="en-US" w:eastAsia="zh-CN"/>
                <w14:textFill>
                  <w14:solidFill>
                    <w14:schemeClr w14:val="tx1"/>
                  </w14:solidFill>
                </w14:textFill>
              </w:rPr>
            </w:pPr>
            <w:r>
              <w:rPr>
                <w:rFonts w:hint="eastAsia" w:ascii="宋体" w:hAnsi="宋体"/>
                <w:color w:val="000000" w:themeColor="text1"/>
                <w:sz w:val="28"/>
                <w:szCs w:val="30"/>
                <w:lang w:val="en-US" w:eastAsia="zh-CN"/>
                <w14:textFill>
                  <w14:solidFill>
                    <w14:schemeClr w14:val="tx1"/>
                  </w14:solidFill>
                </w14:textFill>
              </w:rPr>
              <w:t>供应</w:t>
            </w:r>
          </w:p>
          <w:p w14:paraId="1E053A39">
            <w:pPr>
              <w:pStyle w:val="102"/>
              <w:adjustRightInd w:val="0"/>
              <w:ind w:firstLine="0" w:firstLineChars="0"/>
              <w:jc w:val="center"/>
              <w:rPr>
                <w:rFonts w:ascii="宋体" w:hAnsi="宋体"/>
                <w:color w:val="000000" w:themeColor="text1"/>
                <w:sz w:val="28"/>
                <w:szCs w:val="30"/>
                <w:lang w:val="en-US" w:eastAsia="zh-CN"/>
                <w14:textFill>
                  <w14:solidFill>
                    <w14:schemeClr w14:val="tx1"/>
                  </w14:solidFill>
                </w14:textFill>
              </w:rPr>
            </w:pPr>
            <w:r>
              <w:rPr>
                <w:rFonts w:hint="eastAsia" w:ascii="宋体" w:hAnsi="宋体"/>
                <w:color w:val="000000" w:themeColor="text1"/>
                <w:sz w:val="28"/>
                <w:szCs w:val="30"/>
                <w:lang w:val="en-US" w:eastAsia="zh-CN"/>
                <w14:textFill>
                  <w14:solidFill>
                    <w14:schemeClr w14:val="tx1"/>
                  </w14:solidFill>
                </w14:textFill>
              </w:rPr>
              <w:t>时间</w:t>
            </w:r>
          </w:p>
        </w:tc>
        <w:tc>
          <w:tcPr>
            <w:tcW w:w="1085" w:type="dxa"/>
            <w:tcBorders>
              <w:top w:val="single" w:color="auto" w:sz="12" w:space="0"/>
              <w:bottom w:val="double" w:color="auto" w:sz="6" w:space="0"/>
            </w:tcBorders>
            <w:noWrap w:val="0"/>
            <w:vAlign w:val="center"/>
          </w:tcPr>
          <w:p w14:paraId="4C848ADC">
            <w:pPr>
              <w:pStyle w:val="102"/>
              <w:adjustRightInd w:val="0"/>
              <w:ind w:firstLine="0" w:firstLineChars="0"/>
              <w:jc w:val="center"/>
              <w:rPr>
                <w:rFonts w:ascii="宋体" w:hAnsi="宋体"/>
                <w:color w:val="000000" w:themeColor="text1"/>
                <w:sz w:val="28"/>
                <w:szCs w:val="30"/>
                <w:lang w:val="en-US" w:eastAsia="zh-CN"/>
                <w14:textFill>
                  <w14:solidFill>
                    <w14:schemeClr w14:val="tx1"/>
                  </w14:solidFill>
                </w14:textFill>
              </w:rPr>
            </w:pPr>
            <w:r>
              <w:rPr>
                <w:rFonts w:hint="eastAsia" w:ascii="宋体" w:hAnsi="宋体"/>
                <w:color w:val="000000" w:themeColor="text1"/>
                <w:sz w:val="28"/>
                <w:szCs w:val="30"/>
                <w:lang w:val="en-US" w:eastAsia="zh-CN"/>
                <w14:textFill>
                  <w14:solidFill>
                    <w14:schemeClr w14:val="tx1"/>
                  </w14:solidFill>
                </w14:textFill>
              </w:rPr>
              <w:t>送达地点</w:t>
            </w:r>
          </w:p>
        </w:tc>
        <w:tc>
          <w:tcPr>
            <w:tcW w:w="992" w:type="dxa"/>
            <w:tcBorders>
              <w:top w:val="single" w:color="auto" w:sz="12" w:space="0"/>
              <w:bottom w:val="double" w:color="auto" w:sz="6" w:space="0"/>
            </w:tcBorders>
            <w:noWrap w:val="0"/>
            <w:vAlign w:val="center"/>
          </w:tcPr>
          <w:p w14:paraId="6FEAF562">
            <w:pPr>
              <w:pStyle w:val="102"/>
              <w:adjustRightInd w:val="0"/>
              <w:ind w:firstLine="0" w:firstLineChars="0"/>
              <w:jc w:val="center"/>
              <w:rPr>
                <w:rFonts w:ascii="宋体" w:hAnsi="宋体"/>
                <w:color w:val="000000" w:themeColor="text1"/>
                <w:sz w:val="28"/>
                <w:szCs w:val="30"/>
                <w:lang w:val="en-US" w:eastAsia="zh-CN"/>
                <w14:textFill>
                  <w14:solidFill>
                    <w14:schemeClr w14:val="tx1"/>
                  </w14:solidFill>
                </w14:textFill>
              </w:rPr>
            </w:pPr>
            <w:r>
              <w:rPr>
                <w:rFonts w:hint="eastAsia" w:ascii="宋体" w:hAnsi="宋体"/>
                <w:color w:val="000000" w:themeColor="text1"/>
                <w:sz w:val="28"/>
                <w:szCs w:val="30"/>
                <w:lang w:val="en-US" w:eastAsia="zh-CN"/>
                <w14:textFill>
                  <w14:solidFill>
                    <w14:schemeClr w14:val="tx1"/>
                  </w14:solidFill>
                </w14:textFill>
              </w:rPr>
              <w:t>备注</w:t>
            </w:r>
          </w:p>
        </w:tc>
      </w:tr>
      <w:tr w14:paraId="1790BB6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tcBorders>
              <w:top w:val="double" w:color="auto" w:sz="6" w:space="0"/>
            </w:tcBorders>
            <w:noWrap w:val="0"/>
            <w:vAlign w:val="center"/>
          </w:tcPr>
          <w:p w14:paraId="2C33C26A">
            <w:pPr>
              <w:pStyle w:val="102"/>
              <w:adjustRightInd w:val="0"/>
              <w:ind w:firstLine="0" w:firstLineChars="0"/>
              <w:rPr>
                <w:rFonts w:ascii="宋体" w:hAnsi="宋体"/>
                <w:color w:val="000000" w:themeColor="text1"/>
                <w:sz w:val="30"/>
                <w:szCs w:val="30"/>
                <w:lang w:val="en-US" w:eastAsia="zh-CN"/>
                <w14:textFill>
                  <w14:solidFill>
                    <w14:schemeClr w14:val="tx1"/>
                  </w14:solidFill>
                </w14:textFill>
              </w:rPr>
            </w:pPr>
          </w:p>
        </w:tc>
        <w:tc>
          <w:tcPr>
            <w:tcW w:w="1276" w:type="dxa"/>
            <w:tcBorders>
              <w:top w:val="double" w:color="auto" w:sz="6" w:space="0"/>
            </w:tcBorders>
            <w:noWrap w:val="0"/>
            <w:vAlign w:val="center"/>
          </w:tcPr>
          <w:p w14:paraId="2FA3BB3F">
            <w:pPr>
              <w:pStyle w:val="102"/>
              <w:adjustRightInd w:val="0"/>
              <w:ind w:firstLine="0" w:firstLineChars="0"/>
              <w:rPr>
                <w:rFonts w:ascii="宋体" w:hAnsi="宋体"/>
                <w:color w:val="000000" w:themeColor="text1"/>
                <w:sz w:val="30"/>
                <w:szCs w:val="30"/>
                <w:lang w:val="en-US" w:eastAsia="zh-CN"/>
                <w14:textFill>
                  <w14:solidFill>
                    <w14:schemeClr w14:val="tx1"/>
                  </w14:solidFill>
                </w14:textFill>
              </w:rPr>
            </w:pPr>
          </w:p>
        </w:tc>
        <w:tc>
          <w:tcPr>
            <w:tcW w:w="1127" w:type="dxa"/>
            <w:tcBorders>
              <w:top w:val="double" w:color="auto" w:sz="6" w:space="0"/>
            </w:tcBorders>
            <w:noWrap w:val="0"/>
            <w:vAlign w:val="center"/>
          </w:tcPr>
          <w:p w14:paraId="0783F2DD">
            <w:pPr>
              <w:pStyle w:val="102"/>
              <w:adjustRightInd w:val="0"/>
              <w:ind w:firstLine="0" w:firstLineChars="0"/>
              <w:rPr>
                <w:rFonts w:ascii="宋体" w:hAnsi="宋体"/>
                <w:color w:val="000000" w:themeColor="text1"/>
                <w:sz w:val="30"/>
                <w:szCs w:val="30"/>
                <w:lang w:val="en-US" w:eastAsia="zh-CN"/>
                <w14:textFill>
                  <w14:solidFill>
                    <w14:schemeClr w14:val="tx1"/>
                  </w14:solidFill>
                </w14:textFill>
              </w:rPr>
            </w:pPr>
          </w:p>
        </w:tc>
        <w:tc>
          <w:tcPr>
            <w:tcW w:w="940" w:type="dxa"/>
            <w:tcBorders>
              <w:top w:val="double" w:color="auto" w:sz="6" w:space="0"/>
            </w:tcBorders>
            <w:noWrap w:val="0"/>
            <w:vAlign w:val="center"/>
          </w:tcPr>
          <w:p w14:paraId="15DAC549">
            <w:pPr>
              <w:pStyle w:val="102"/>
              <w:adjustRightInd w:val="0"/>
              <w:ind w:firstLine="0" w:firstLineChars="0"/>
              <w:rPr>
                <w:rFonts w:ascii="宋体" w:hAnsi="宋体"/>
                <w:color w:val="000000" w:themeColor="text1"/>
                <w:sz w:val="30"/>
                <w:szCs w:val="30"/>
                <w:lang w:val="en-US" w:eastAsia="zh-CN"/>
                <w14:textFill>
                  <w14:solidFill>
                    <w14:schemeClr w14:val="tx1"/>
                  </w14:solidFill>
                </w14:textFill>
              </w:rPr>
            </w:pPr>
          </w:p>
        </w:tc>
        <w:tc>
          <w:tcPr>
            <w:tcW w:w="851" w:type="dxa"/>
            <w:tcBorders>
              <w:top w:val="double" w:color="auto" w:sz="6" w:space="0"/>
            </w:tcBorders>
            <w:noWrap w:val="0"/>
            <w:vAlign w:val="center"/>
          </w:tcPr>
          <w:p w14:paraId="049FE7B7">
            <w:pPr>
              <w:pStyle w:val="102"/>
              <w:adjustRightInd w:val="0"/>
              <w:ind w:firstLine="0" w:firstLineChars="0"/>
              <w:rPr>
                <w:rFonts w:ascii="宋体" w:hAnsi="宋体"/>
                <w:color w:val="000000" w:themeColor="text1"/>
                <w:sz w:val="30"/>
                <w:szCs w:val="30"/>
                <w:lang w:val="en-US" w:eastAsia="zh-CN"/>
                <w14:textFill>
                  <w14:solidFill>
                    <w14:schemeClr w14:val="tx1"/>
                  </w14:solidFill>
                </w14:textFill>
              </w:rPr>
            </w:pPr>
          </w:p>
        </w:tc>
        <w:tc>
          <w:tcPr>
            <w:tcW w:w="1044" w:type="dxa"/>
            <w:tcBorders>
              <w:top w:val="double" w:color="auto" w:sz="6" w:space="0"/>
            </w:tcBorders>
            <w:noWrap w:val="0"/>
            <w:vAlign w:val="center"/>
          </w:tcPr>
          <w:p w14:paraId="7D269540">
            <w:pPr>
              <w:pStyle w:val="102"/>
              <w:adjustRightInd w:val="0"/>
              <w:ind w:firstLine="0" w:firstLineChars="0"/>
              <w:rPr>
                <w:rFonts w:ascii="宋体" w:hAnsi="宋体"/>
                <w:color w:val="000000" w:themeColor="text1"/>
                <w:sz w:val="30"/>
                <w:szCs w:val="30"/>
                <w:lang w:val="en-US" w:eastAsia="zh-CN"/>
                <w14:textFill>
                  <w14:solidFill>
                    <w14:schemeClr w14:val="tx1"/>
                  </w14:solidFill>
                </w14:textFill>
              </w:rPr>
            </w:pPr>
          </w:p>
        </w:tc>
        <w:tc>
          <w:tcPr>
            <w:tcW w:w="992" w:type="dxa"/>
            <w:tcBorders>
              <w:top w:val="double" w:color="auto" w:sz="6" w:space="0"/>
            </w:tcBorders>
            <w:noWrap w:val="0"/>
            <w:vAlign w:val="center"/>
          </w:tcPr>
          <w:p w14:paraId="4A69B09C">
            <w:pPr>
              <w:pStyle w:val="102"/>
              <w:adjustRightInd w:val="0"/>
              <w:ind w:firstLine="0" w:firstLineChars="0"/>
              <w:rPr>
                <w:rFonts w:ascii="宋体" w:hAnsi="宋体"/>
                <w:color w:val="000000" w:themeColor="text1"/>
                <w:sz w:val="30"/>
                <w:szCs w:val="30"/>
                <w:lang w:val="en-US" w:eastAsia="zh-CN"/>
                <w14:textFill>
                  <w14:solidFill>
                    <w14:schemeClr w14:val="tx1"/>
                  </w14:solidFill>
                </w14:textFill>
              </w:rPr>
            </w:pPr>
          </w:p>
        </w:tc>
        <w:tc>
          <w:tcPr>
            <w:tcW w:w="851" w:type="dxa"/>
            <w:tcBorders>
              <w:top w:val="double" w:color="auto" w:sz="6" w:space="0"/>
            </w:tcBorders>
            <w:noWrap w:val="0"/>
            <w:vAlign w:val="center"/>
          </w:tcPr>
          <w:p w14:paraId="77D668C8">
            <w:pPr>
              <w:pStyle w:val="102"/>
              <w:adjustRightInd w:val="0"/>
              <w:ind w:firstLine="0" w:firstLineChars="0"/>
              <w:rPr>
                <w:rFonts w:ascii="宋体" w:hAnsi="宋体"/>
                <w:color w:val="000000" w:themeColor="text1"/>
                <w:sz w:val="30"/>
                <w:szCs w:val="30"/>
                <w:lang w:val="en-US" w:eastAsia="zh-CN"/>
                <w14:textFill>
                  <w14:solidFill>
                    <w14:schemeClr w14:val="tx1"/>
                  </w14:solidFill>
                </w14:textFill>
              </w:rPr>
            </w:pPr>
          </w:p>
        </w:tc>
        <w:tc>
          <w:tcPr>
            <w:tcW w:w="1085" w:type="dxa"/>
            <w:tcBorders>
              <w:top w:val="double" w:color="auto" w:sz="6" w:space="0"/>
            </w:tcBorders>
            <w:noWrap w:val="0"/>
            <w:vAlign w:val="center"/>
          </w:tcPr>
          <w:p w14:paraId="035548A7">
            <w:pPr>
              <w:pStyle w:val="102"/>
              <w:adjustRightInd w:val="0"/>
              <w:ind w:firstLine="0" w:firstLineChars="0"/>
              <w:rPr>
                <w:rFonts w:ascii="宋体" w:hAnsi="宋体"/>
                <w:color w:val="000000" w:themeColor="text1"/>
                <w:sz w:val="30"/>
                <w:szCs w:val="30"/>
                <w:lang w:val="en-US" w:eastAsia="zh-CN"/>
                <w14:textFill>
                  <w14:solidFill>
                    <w14:schemeClr w14:val="tx1"/>
                  </w14:solidFill>
                </w14:textFill>
              </w:rPr>
            </w:pPr>
          </w:p>
        </w:tc>
        <w:tc>
          <w:tcPr>
            <w:tcW w:w="992" w:type="dxa"/>
            <w:tcBorders>
              <w:top w:val="double" w:color="auto" w:sz="6" w:space="0"/>
            </w:tcBorders>
            <w:noWrap w:val="0"/>
            <w:vAlign w:val="center"/>
          </w:tcPr>
          <w:p w14:paraId="614D6F45">
            <w:pPr>
              <w:pStyle w:val="102"/>
              <w:adjustRightInd w:val="0"/>
              <w:ind w:firstLine="0" w:firstLineChars="0"/>
              <w:rPr>
                <w:rFonts w:ascii="宋体" w:hAnsi="宋体"/>
                <w:color w:val="000000" w:themeColor="text1"/>
                <w:sz w:val="30"/>
                <w:szCs w:val="30"/>
                <w:lang w:val="en-US" w:eastAsia="zh-CN"/>
                <w14:textFill>
                  <w14:solidFill>
                    <w14:schemeClr w14:val="tx1"/>
                  </w14:solidFill>
                </w14:textFill>
              </w:rPr>
            </w:pPr>
          </w:p>
        </w:tc>
      </w:tr>
      <w:tr w14:paraId="64FA216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tcBorders>
              <w:top w:val="nil"/>
            </w:tcBorders>
            <w:noWrap w:val="0"/>
            <w:vAlign w:val="center"/>
          </w:tcPr>
          <w:p w14:paraId="79DD95F6">
            <w:pPr>
              <w:pStyle w:val="102"/>
              <w:adjustRightInd w:val="0"/>
              <w:ind w:firstLine="0" w:firstLineChars="0"/>
              <w:rPr>
                <w:rFonts w:ascii="宋体" w:hAnsi="宋体"/>
                <w:color w:val="000000" w:themeColor="text1"/>
                <w:sz w:val="30"/>
                <w:szCs w:val="30"/>
                <w:lang w:val="en-US" w:eastAsia="zh-CN"/>
                <w14:textFill>
                  <w14:solidFill>
                    <w14:schemeClr w14:val="tx1"/>
                  </w14:solidFill>
                </w14:textFill>
              </w:rPr>
            </w:pPr>
          </w:p>
        </w:tc>
        <w:tc>
          <w:tcPr>
            <w:tcW w:w="1276" w:type="dxa"/>
            <w:tcBorders>
              <w:top w:val="nil"/>
            </w:tcBorders>
            <w:noWrap w:val="0"/>
            <w:vAlign w:val="center"/>
          </w:tcPr>
          <w:p w14:paraId="72CF17FC">
            <w:pPr>
              <w:pStyle w:val="102"/>
              <w:adjustRightInd w:val="0"/>
              <w:ind w:firstLine="0" w:firstLineChars="0"/>
              <w:rPr>
                <w:rFonts w:ascii="宋体" w:hAnsi="宋体"/>
                <w:color w:val="000000" w:themeColor="text1"/>
                <w:sz w:val="30"/>
                <w:szCs w:val="30"/>
                <w:lang w:val="en-US" w:eastAsia="zh-CN"/>
                <w14:textFill>
                  <w14:solidFill>
                    <w14:schemeClr w14:val="tx1"/>
                  </w14:solidFill>
                </w14:textFill>
              </w:rPr>
            </w:pPr>
          </w:p>
        </w:tc>
        <w:tc>
          <w:tcPr>
            <w:tcW w:w="1127" w:type="dxa"/>
            <w:tcBorders>
              <w:top w:val="nil"/>
            </w:tcBorders>
            <w:noWrap w:val="0"/>
            <w:vAlign w:val="center"/>
          </w:tcPr>
          <w:p w14:paraId="4D760577">
            <w:pPr>
              <w:pStyle w:val="102"/>
              <w:adjustRightInd w:val="0"/>
              <w:ind w:firstLine="0" w:firstLineChars="0"/>
              <w:rPr>
                <w:rFonts w:ascii="宋体" w:hAnsi="宋体"/>
                <w:color w:val="000000" w:themeColor="text1"/>
                <w:sz w:val="30"/>
                <w:szCs w:val="30"/>
                <w:lang w:val="en-US" w:eastAsia="zh-CN"/>
                <w14:textFill>
                  <w14:solidFill>
                    <w14:schemeClr w14:val="tx1"/>
                  </w14:solidFill>
                </w14:textFill>
              </w:rPr>
            </w:pPr>
          </w:p>
        </w:tc>
        <w:tc>
          <w:tcPr>
            <w:tcW w:w="940" w:type="dxa"/>
            <w:tcBorders>
              <w:top w:val="nil"/>
            </w:tcBorders>
            <w:noWrap w:val="0"/>
            <w:vAlign w:val="center"/>
          </w:tcPr>
          <w:p w14:paraId="5EE1059C">
            <w:pPr>
              <w:pStyle w:val="102"/>
              <w:adjustRightInd w:val="0"/>
              <w:ind w:firstLine="0" w:firstLineChars="0"/>
              <w:rPr>
                <w:rFonts w:ascii="宋体" w:hAnsi="宋体"/>
                <w:color w:val="000000" w:themeColor="text1"/>
                <w:sz w:val="30"/>
                <w:szCs w:val="30"/>
                <w:lang w:val="en-US" w:eastAsia="zh-CN"/>
                <w14:textFill>
                  <w14:solidFill>
                    <w14:schemeClr w14:val="tx1"/>
                  </w14:solidFill>
                </w14:textFill>
              </w:rPr>
            </w:pPr>
          </w:p>
        </w:tc>
        <w:tc>
          <w:tcPr>
            <w:tcW w:w="851" w:type="dxa"/>
            <w:tcBorders>
              <w:top w:val="nil"/>
            </w:tcBorders>
            <w:noWrap w:val="0"/>
            <w:vAlign w:val="center"/>
          </w:tcPr>
          <w:p w14:paraId="29CF24F1">
            <w:pPr>
              <w:pStyle w:val="102"/>
              <w:adjustRightInd w:val="0"/>
              <w:ind w:firstLine="0" w:firstLineChars="0"/>
              <w:rPr>
                <w:rFonts w:ascii="宋体" w:hAnsi="宋体"/>
                <w:color w:val="000000" w:themeColor="text1"/>
                <w:sz w:val="30"/>
                <w:szCs w:val="30"/>
                <w:lang w:val="en-US" w:eastAsia="zh-CN"/>
                <w14:textFill>
                  <w14:solidFill>
                    <w14:schemeClr w14:val="tx1"/>
                  </w14:solidFill>
                </w14:textFill>
              </w:rPr>
            </w:pPr>
          </w:p>
        </w:tc>
        <w:tc>
          <w:tcPr>
            <w:tcW w:w="1044" w:type="dxa"/>
            <w:tcBorders>
              <w:top w:val="nil"/>
            </w:tcBorders>
            <w:noWrap w:val="0"/>
            <w:vAlign w:val="center"/>
          </w:tcPr>
          <w:p w14:paraId="0448EC3D">
            <w:pPr>
              <w:pStyle w:val="102"/>
              <w:adjustRightInd w:val="0"/>
              <w:ind w:firstLine="0" w:firstLineChars="0"/>
              <w:rPr>
                <w:rFonts w:ascii="宋体" w:hAnsi="宋体"/>
                <w:color w:val="000000" w:themeColor="text1"/>
                <w:sz w:val="30"/>
                <w:szCs w:val="30"/>
                <w:lang w:val="en-US" w:eastAsia="zh-CN"/>
                <w14:textFill>
                  <w14:solidFill>
                    <w14:schemeClr w14:val="tx1"/>
                  </w14:solidFill>
                </w14:textFill>
              </w:rPr>
            </w:pPr>
          </w:p>
        </w:tc>
        <w:tc>
          <w:tcPr>
            <w:tcW w:w="992" w:type="dxa"/>
            <w:tcBorders>
              <w:top w:val="nil"/>
            </w:tcBorders>
            <w:noWrap w:val="0"/>
            <w:vAlign w:val="center"/>
          </w:tcPr>
          <w:p w14:paraId="4886DF74">
            <w:pPr>
              <w:pStyle w:val="102"/>
              <w:adjustRightInd w:val="0"/>
              <w:ind w:firstLine="0" w:firstLineChars="0"/>
              <w:rPr>
                <w:rFonts w:ascii="宋体" w:hAnsi="宋体"/>
                <w:color w:val="000000" w:themeColor="text1"/>
                <w:sz w:val="30"/>
                <w:szCs w:val="30"/>
                <w:lang w:val="en-US" w:eastAsia="zh-CN"/>
                <w14:textFill>
                  <w14:solidFill>
                    <w14:schemeClr w14:val="tx1"/>
                  </w14:solidFill>
                </w14:textFill>
              </w:rPr>
            </w:pPr>
          </w:p>
        </w:tc>
        <w:tc>
          <w:tcPr>
            <w:tcW w:w="851" w:type="dxa"/>
            <w:tcBorders>
              <w:top w:val="nil"/>
            </w:tcBorders>
            <w:noWrap w:val="0"/>
            <w:vAlign w:val="center"/>
          </w:tcPr>
          <w:p w14:paraId="1B69514D">
            <w:pPr>
              <w:pStyle w:val="102"/>
              <w:adjustRightInd w:val="0"/>
              <w:ind w:firstLine="0" w:firstLineChars="0"/>
              <w:rPr>
                <w:rFonts w:ascii="宋体" w:hAnsi="宋体"/>
                <w:color w:val="000000" w:themeColor="text1"/>
                <w:sz w:val="30"/>
                <w:szCs w:val="30"/>
                <w:lang w:val="en-US" w:eastAsia="zh-CN"/>
                <w14:textFill>
                  <w14:solidFill>
                    <w14:schemeClr w14:val="tx1"/>
                  </w14:solidFill>
                </w14:textFill>
              </w:rPr>
            </w:pPr>
          </w:p>
        </w:tc>
        <w:tc>
          <w:tcPr>
            <w:tcW w:w="1085" w:type="dxa"/>
            <w:tcBorders>
              <w:top w:val="nil"/>
            </w:tcBorders>
            <w:noWrap w:val="0"/>
            <w:vAlign w:val="center"/>
          </w:tcPr>
          <w:p w14:paraId="6F4976F1">
            <w:pPr>
              <w:pStyle w:val="102"/>
              <w:adjustRightInd w:val="0"/>
              <w:ind w:firstLine="0" w:firstLineChars="0"/>
              <w:rPr>
                <w:rFonts w:ascii="宋体" w:hAnsi="宋体"/>
                <w:color w:val="000000" w:themeColor="text1"/>
                <w:sz w:val="30"/>
                <w:szCs w:val="30"/>
                <w:lang w:val="en-US" w:eastAsia="zh-CN"/>
                <w14:textFill>
                  <w14:solidFill>
                    <w14:schemeClr w14:val="tx1"/>
                  </w14:solidFill>
                </w14:textFill>
              </w:rPr>
            </w:pPr>
          </w:p>
        </w:tc>
        <w:tc>
          <w:tcPr>
            <w:tcW w:w="992" w:type="dxa"/>
            <w:tcBorders>
              <w:top w:val="nil"/>
            </w:tcBorders>
            <w:noWrap w:val="0"/>
            <w:vAlign w:val="center"/>
          </w:tcPr>
          <w:p w14:paraId="4DBCFE94">
            <w:pPr>
              <w:pStyle w:val="102"/>
              <w:adjustRightInd w:val="0"/>
              <w:ind w:firstLine="0" w:firstLineChars="0"/>
              <w:rPr>
                <w:rFonts w:ascii="宋体" w:hAnsi="宋体"/>
                <w:color w:val="000000" w:themeColor="text1"/>
                <w:sz w:val="30"/>
                <w:szCs w:val="30"/>
                <w:lang w:val="en-US" w:eastAsia="zh-CN"/>
                <w14:textFill>
                  <w14:solidFill>
                    <w14:schemeClr w14:val="tx1"/>
                  </w14:solidFill>
                </w14:textFill>
              </w:rPr>
            </w:pPr>
          </w:p>
        </w:tc>
      </w:tr>
      <w:tr w14:paraId="0762A0D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noWrap w:val="0"/>
            <w:vAlign w:val="center"/>
          </w:tcPr>
          <w:p w14:paraId="2619DDBD">
            <w:pPr>
              <w:pStyle w:val="102"/>
              <w:adjustRightInd w:val="0"/>
              <w:ind w:firstLine="0" w:firstLineChars="0"/>
              <w:rPr>
                <w:rFonts w:ascii="宋体" w:hAnsi="宋体"/>
                <w:color w:val="000000" w:themeColor="text1"/>
                <w:sz w:val="30"/>
                <w:szCs w:val="30"/>
                <w:lang w:val="en-US" w:eastAsia="zh-CN"/>
                <w14:textFill>
                  <w14:solidFill>
                    <w14:schemeClr w14:val="tx1"/>
                  </w14:solidFill>
                </w14:textFill>
              </w:rPr>
            </w:pPr>
          </w:p>
        </w:tc>
        <w:tc>
          <w:tcPr>
            <w:tcW w:w="1276" w:type="dxa"/>
            <w:noWrap w:val="0"/>
            <w:vAlign w:val="center"/>
          </w:tcPr>
          <w:p w14:paraId="04047539">
            <w:pPr>
              <w:pStyle w:val="102"/>
              <w:adjustRightInd w:val="0"/>
              <w:ind w:firstLine="0" w:firstLineChars="0"/>
              <w:rPr>
                <w:rFonts w:ascii="宋体" w:hAnsi="宋体"/>
                <w:color w:val="000000" w:themeColor="text1"/>
                <w:sz w:val="30"/>
                <w:szCs w:val="30"/>
                <w:lang w:val="en-US" w:eastAsia="zh-CN"/>
                <w14:textFill>
                  <w14:solidFill>
                    <w14:schemeClr w14:val="tx1"/>
                  </w14:solidFill>
                </w14:textFill>
              </w:rPr>
            </w:pPr>
          </w:p>
        </w:tc>
        <w:tc>
          <w:tcPr>
            <w:tcW w:w="1127" w:type="dxa"/>
            <w:noWrap w:val="0"/>
            <w:vAlign w:val="center"/>
          </w:tcPr>
          <w:p w14:paraId="15E4E487">
            <w:pPr>
              <w:pStyle w:val="102"/>
              <w:adjustRightInd w:val="0"/>
              <w:ind w:firstLine="0" w:firstLineChars="0"/>
              <w:rPr>
                <w:rFonts w:ascii="宋体" w:hAnsi="宋体"/>
                <w:color w:val="000000" w:themeColor="text1"/>
                <w:sz w:val="30"/>
                <w:szCs w:val="30"/>
                <w:lang w:val="en-US" w:eastAsia="zh-CN"/>
                <w14:textFill>
                  <w14:solidFill>
                    <w14:schemeClr w14:val="tx1"/>
                  </w14:solidFill>
                </w14:textFill>
              </w:rPr>
            </w:pPr>
          </w:p>
        </w:tc>
        <w:tc>
          <w:tcPr>
            <w:tcW w:w="940" w:type="dxa"/>
            <w:noWrap w:val="0"/>
            <w:vAlign w:val="center"/>
          </w:tcPr>
          <w:p w14:paraId="2F380CC3">
            <w:pPr>
              <w:pStyle w:val="102"/>
              <w:adjustRightInd w:val="0"/>
              <w:ind w:firstLine="0" w:firstLineChars="0"/>
              <w:rPr>
                <w:rFonts w:ascii="宋体" w:hAnsi="宋体"/>
                <w:color w:val="000000" w:themeColor="text1"/>
                <w:sz w:val="30"/>
                <w:szCs w:val="30"/>
                <w:lang w:val="en-US" w:eastAsia="zh-CN"/>
                <w14:textFill>
                  <w14:solidFill>
                    <w14:schemeClr w14:val="tx1"/>
                  </w14:solidFill>
                </w14:textFill>
              </w:rPr>
            </w:pPr>
          </w:p>
        </w:tc>
        <w:tc>
          <w:tcPr>
            <w:tcW w:w="851" w:type="dxa"/>
            <w:noWrap w:val="0"/>
            <w:vAlign w:val="center"/>
          </w:tcPr>
          <w:p w14:paraId="2DA60B0F">
            <w:pPr>
              <w:pStyle w:val="102"/>
              <w:adjustRightInd w:val="0"/>
              <w:ind w:firstLine="0" w:firstLineChars="0"/>
              <w:rPr>
                <w:rFonts w:ascii="宋体" w:hAnsi="宋体"/>
                <w:color w:val="000000" w:themeColor="text1"/>
                <w:sz w:val="30"/>
                <w:szCs w:val="30"/>
                <w:lang w:val="en-US" w:eastAsia="zh-CN"/>
                <w14:textFill>
                  <w14:solidFill>
                    <w14:schemeClr w14:val="tx1"/>
                  </w14:solidFill>
                </w14:textFill>
              </w:rPr>
            </w:pPr>
          </w:p>
        </w:tc>
        <w:tc>
          <w:tcPr>
            <w:tcW w:w="1044" w:type="dxa"/>
            <w:noWrap w:val="0"/>
            <w:vAlign w:val="center"/>
          </w:tcPr>
          <w:p w14:paraId="17CA6D5C">
            <w:pPr>
              <w:pStyle w:val="102"/>
              <w:adjustRightInd w:val="0"/>
              <w:ind w:firstLine="0" w:firstLineChars="0"/>
              <w:rPr>
                <w:rFonts w:ascii="宋体" w:hAnsi="宋体"/>
                <w:color w:val="000000" w:themeColor="text1"/>
                <w:sz w:val="30"/>
                <w:szCs w:val="30"/>
                <w:lang w:val="en-US" w:eastAsia="zh-CN"/>
                <w14:textFill>
                  <w14:solidFill>
                    <w14:schemeClr w14:val="tx1"/>
                  </w14:solidFill>
                </w14:textFill>
              </w:rPr>
            </w:pPr>
          </w:p>
        </w:tc>
        <w:tc>
          <w:tcPr>
            <w:tcW w:w="992" w:type="dxa"/>
            <w:noWrap w:val="0"/>
            <w:vAlign w:val="center"/>
          </w:tcPr>
          <w:p w14:paraId="7C8EFA4C">
            <w:pPr>
              <w:pStyle w:val="102"/>
              <w:adjustRightInd w:val="0"/>
              <w:ind w:firstLine="0" w:firstLineChars="0"/>
              <w:rPr>
                <w:rFonts w:ascii="宋体" w:hAnsi="宋体"/>
                <w:color w:val="000000" w:themeColor="text1"/>
                <w:sz w:val="30"/>
                <w:szCs w:val="30"/>
                <w:lang w:val="en-US" w:eastAsia="zh-CN"/>
                <w14:textFill>
                  <w14:solidFill>
                    <w14:schemeClr w14:val="tx1"/>
                  </w14:solidFill>
                </w14:textFill>
              </w:rPr>
            </w:pPr>
          </w:p>
        </w:tc>
        <w:tc>
          <w:tcPr>
            <w:tcW w:w="851" w:type="dxa"/>
            <w:noWrap w:val="0"/>
            <w:vAlign w:val="center"/>
          </w:tcPr>
          <w:p w14:paraId="508884DE">
            <w:pPr>
              <w:pStyle w:val="102"/>
              <w:adjustRightInd w:val="0"/>
              <w:ind w:firstLine="0" w:firstLineChars="0"/>
              <w:rPr>
                <w:rFonts w:ascii="宋体" w:hAnsi="宋体"/>
                <w:color w:val="000000" w:themeColor="text1"/>
                <w:sz w:val="30"/>
                <w:szCs w:val="30"/>
                <w:lang w:val="en-US" w:eastAsia="zh-CN"/>
                <w14:textFill>
                  <w14:solidFill>
                    <w14:schemeClr w14:val="tx1"/>
                  </w14:solidFill>
                </w14:textFill>
              </w:rPr>
            </w:pPr>
          </w:p>
        </w:tc>
        <w:tc>
          <w:tcPr>
            <w:tcW w:w="1085" w:type="dxa"/>
            <w:noWrap w:val="0"/>
            <w:vAlign w:val="center"/>
          </w:tcPr>
          <w:p w14:paraId="5C6FF397">
            <w:pPr>
              <w:pStyle w:val="102"/>
              <w:adjustRightInd w:val="0"/>
              <w:ind w:firstLine="0" w:firstLineChars="0"/>
              <w:rPr>
                <w:rFonts w:ascii="宋体" w:hAnsi="宋体"/>
                <w:color w:val="000000" w:themeColor="text1"/>
                <w:sz w:val="30"/>
                <w:szCs w:val="30"/>
                <w:lang w:val="en-US" w:eastAsia="zh-CN"/>
                <w14:textFill>
                  <w14:solidFill>
                    <w14:schemeClr w14:val="tx1"/>
                  </w14:solidFill>
                </w14:textFill>
              </w:rPr>
            </w:pPr>
          </w:p>
        </w:tc>
        <w:tc>
          <w:tcPr>
            <w:tcW w:w="992" w:type="dxa"/>
            <w:noWrap w:val="0"/>
            <w:vAlign w:val="center"/>
          </w:tcPr>
          <w:p w14:paraId="22280E37">
            <w:pPr>
              <w:pStyle w:val="102"/>
              <w:adjustRightInd w:val="0"/>
              <w:ind w:firstLine="0" w:firstLineChars="0"/>
              <w:rPr>
                <w:rFonts w:ascii="宋体" w:hAnsi="宋体"/>
                <w:color w:val="000000" w:themeColor="text1"/>
                <w:sz w:val="30"/>
                <w:szCs w:val="30"/>
                <w:lang w:val="en-US" w:eastAsia="zh-CN"/>
                <w14:textFill>
                  <w14:solidFill>
                    <w14:schemeClr w14:val="tx1"/>
                  </w14:solidFill>
                </w14:textFill>
              </w:rPr>
            </w:pPr>
          </w:p>
        </w:tc>
      </w:tr>
      <w:tr w14:paraId="4198CBB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noWrap w:val="0"/>
            <w:vAlign w:val="center"/>
          </w:tcPr>
          <w:p w14:paraId="43E4BAF4">
            <w:pPr>
              <w:pStyle w:val="102"/>
              <w:adjustRightInd w:val="0"/>
              <w:ind w:firstLine="0" w:firstLineChars="0"/>
              <w:rPr>
                <w:rFonts w:ascii="宋体" w:hAnsi="宋体"/>
                <w:color w:val="000000" w:themeColor="text1"/>
                <w:sz w:val="30"/>
                <w:szCs w:val="30"/>
                <w:lang w:val="en-US" w:eastAsia="zh-CN"/>
                <w14:textFill>
                  <w14:solidFill>
                    <w14:schemeClr w14:val="tx1"/>
                  </w14:solidFill>
                </w14:textFill>
              </w:rPr>
            </w:pPr>
          </w:p>
        </w:tc>
        <w:tc>
          <w:tcPr>
            <w:tcW w:w="1276" w:type="dxa"/>
            <w:noWrap w:val="0"/>
            <w:vAlign w:val="center"/>
          </w:tcPr>
          <w:p w14:paraId="7B792A24">
            <w:pPr>
              <w:pStyle w:val="102"/>
              <w:adjustRightInd w:val="0"/>
              <w:ind w:firstLine="0" w:firstLineChars="0"/>
              <w:rPr>
                <w:rFonts w:ascii="宋体" w:hAnsi="宋体"/>
                <w:color w:val="000000" w:themeColor="text1"/>
                <w:sz w:val="30"/>
                <w:szCs w:val="30"/>
                <w:lang w:val="en-US" w:eastAsia="zh-CN"/>
                <w14:textFill>
                  <w14:solidFill>
                    <w14:schemeClr w14:val="tx1"/>
                  </w14:solidFill>
                </w14:textFill>
              </w:rPr>
            </w:pPr>
          </w:p>
        </w:tc>
        <w:tc>
          <w:tcPr>
            <w:tcW w:w="1127" w:type="dxa"/>
            <w:noWrap w:val="0"/>
            <w:vAlign w:val="center"/>
          </w:tcPr>
          <w:p w14:paraId="05B2AAF3">
            <w:pPr>
              <w:pStyle w:val="102"/>
              <w:adjustRightInd w:val="0"/>
              <w:ind w:firstLine="0" w:firstLineChars="0"/>
              <w:rPr>
                <w:rFonts w:ascii="宋体" w:hAnsi="宋体"/>
                <w:color w:val="000000" w:themeColor="text1"/>
                <w:sz w:val="30"/>
                <w:szCs w:val="30"/>
                <w:lang w:val="en-US" w:eastAsia="zh-CN"/>
                <w14:textFill>
                  <w14:solidFill>
                    <w14:schemeClr w14:val="tx1"/>
                  </w14:solidFill>
                </w14:textFill>
              </w:rPr>
            </w:pPr>
          </w:p>
        </w:tc>
        <w:tc>
          <w:tcPr>
            <w:tcW w:w="940" w:type="dxa"/>
            <w:noWrap w:val="0"/>
            <w:vAlign w:val="center"/>
          </w:tcPr>
          <w:p w14:paraId="2F76DE02">
            <w:pPr>
              <w:pStyle w:val="102"/>
              <w:adjustRightInd w:val="0"/>
              <w:ind w:firstLine="0" w:firstLineChars="0"/>
              <w:rPr>
                <w:rFonts w:ascii="宋体" w:hAnsi="宋体"/>
                <w:color w:val="000000" w:themeColor="text1"/>
                <w:sz w:val="30"/>
                <w:szCs w:val="30"/>
                <w:lang w:val="en-US" w:eastAsia="zh-CN"/>
                <w14:textFill>
                  <w14:solidFill>
                    <w14:schemeClr w14:val="tx1"/>
                  </w14:solidFill>
                </w14:textFill>
              </w:rPr>
            </w:pPr>
          </w:p>
        </w:tc>
        <w:tc>
          <w:tcPr>
            <w:tcW w:w="851" w:type="dxa"/>
            <w:noWrap w:val="0"/>
            <w:vAlign w:val="center"/>
          </w:tcPr>
          <w:p w14:paraId="28445F73">
            <w:pPr>
              <w:pStyle w:val="102"/>
              <w:adjustRightInd w:val="0"/>
              <w:ind w:firstLine="0" w:firstLineChars="0"/>
              <w:rPr>
                <w:rFonts w:ascii="宋体" w:hAnsi="宋体"/>
                <w:color w:val="000000" w:themeColor="text1"/>
                <w:sz w:val="30"/>
                <w:szCs w:val="30"/>
                <w:lang w:val="en-US" w:eastAsia="zh-CN"/>
                <w14:textFill>
                  <w14:solidFill>
                    <w14:schemeClr w14:val="tx1"/>
                  </w14:solidFill>
                </w14:textFill>
              </w:rPr>
            </w:pPr>
          </w:p>
        </w:tc>
        <w:tc>
          <w:tcPr>
            <w:tcW w:w="1044" w:type="dxa"/>
            <w:noWrap w:val="0"/>
            <w:vAlign w:val="center"/>
          </w:tcPr>
          <w:p w14:paraId="61BCBC67">
            <w:pPr>
              <w:pStyle w:val="102"/>
              <w:adjustRightInd w:val="0"/>
              <w:ind w:firstLine="0" w:firstLineChars="0"/>
              <w:rPr>
                <w:rFonts w:ascii="宋体" w:hAnsi="宋体"/>
                <w:color w:val="000000" w:themeColor="text1"/>
                <w:sz w:val="30"/>
                <w:szCs w:val="30"/>
                <w:lang w:val="en-US" w:eastAsia="zh-CN"/>
                <w14:textFill>
                  <w14:solidFill>
                    <w14:schemeClr w14:val="tx1"/>
                  </w14:solidFill>
                </w14:textFill>
              </w:rPr>
            </w:pPr>
          </w:p>
        </w:tc>
        <w:tc>
          <w:tcPr>
            <w:tcW w:w="992" w:type="dxa"/>
            <w:noWrap w:val="0"/>
            <w:vAlign w:val="center"/>
          </w:tcPr>
          <w:p w14:paraId="00B09DC2">
            <w:pPr>
              <w:pStyle w:val="102"/>
              <w:adjustRightInd w:val="0"/>
              <w:ind w:firstLine="0" w:firstLineChars="0"/>
              <w:rPr>
                <w:rFonts w:ascii="宋体" w:hAnsi="宋体"/>
                <w:color w:val="000000" w:themeColor="text1"/>
                <w:sz w:val="30"/>
                <w:szCs w:val="30"/>
                <w:lang w:val="en-US" w:eastAsia="zh-CN"/>
                <w14:textFill>
                  <w14:solidFill>
                    <w14:schemeClr w14:val="tx1"/>
                  </w14:solidFill>
                </w14:textFill>
              </w:rPr>
            </w:pPr>
          </w:p>
        </w:tc>
        <w:tc>
          <w:tcPr>
            <w:tcW w:w="851" w:type="dxa"/>
            <w:noWrap w:val="0"/>
            <w:vAlign w:val="center"/>
          </w:tcPr>
          <w:p w14:paraId="7004541D">
            <w:pPr>
              <w:pStyle w:val="102"/>
              <w:adjustRightInd w:val="0"/>
              <w:ind w:firstLine="0" w:firstLineChars="0"/>
              <w:rPr>
                <w:rFonts w:ascii="宋体" w:hAnsi="宋体"/>
                <w:color w:val="000000" w:themeColor="text1"/>
                <w:sz w:val="30"/>
                <w:szCs w:val="30"/>
                <w:lang w:val="en-US" w:eastAsia="zh-CN"/>
                <w14:textFill>
                  <w14:solidFill>
                    <w14:schemeClr w14:val="tx1"/>
                  </w14:solidFill>
                </w14:textFill>
              </w:rPr>
            </w:pPr>
          </w:p>
        </w:tc>
        <w:tc>
          <w:tcPr>
            <w:tcW w:w="1085" w:type="dxa"/>
            <w:noWrap w:val="0"/>
            <w:vAlign w:val="center"/>
          </w:tcPr>
          <w:p w14:paraId="0114EB67">
            <w:pPr>
              <w:pStyle w:val="102"/>
              <w:adjustRightInd w:val="0"/>
              <w:ind w:firstLine="0" w:firstLineChars="0"/>
              <w:rPr>
                <w:rFonts w:ascii="宋体" w:hAnsi="宋体"/>
                <w:color w:val="000000" w:themeColor="text1"/>
                <w:sz w:val="30"/>
                <w:szCs w:val="30"/>
                <w:lang w:val="en-US" w:eastAsia="zh-CN"/>
                <w14:textFill>
                  <w14:solidFill>
                    <w14:schemeClr w14:val="tx1"/>
                  </w14:solidFill>
                </w14:textFill>
              </w:rPr>
            </w:pPr>
          </w:p>
        </w:tc>
        <w:tc>
          <w:tcPr>
            <w:tcW w:w="992" w:type="dxa"/>
            <w:noWrap w:val="0"/>
            <w:vAlign w:val="center"/>
          </w:tcPr>
          <w:p w14:paraId="1E7B8A3A">
            <w:pPr>
              <w:pStyle w:val="102"/>
              <w:adjustRightInd w:val="0"/>
              <w:ind w:firstLine="0" w:firstLineChars="0"/>
              <w:rPr>
                <w:rFonts w:ascii="宋体" w:hAnsi="宋体"/>
                <w:color w:val="000000" w:themeColor="text1"/>
                <w:sz w:val="30"/>
                <w:szCs w:val="30"/>
                <w:lang w:val="en-US" w:eastAsia="zh-CN"/>
                <w14:textFill>
                  <w14:solidFill>
                    <w14:schemeClr w14:val="tx1"/>
                  </w14:solidFill>
                </w14:textFill>
              </w:rPr>
            </w:pPr>
          </w:p>
        </w:tc>
      </w:tr>
      <w:tr w14:paraId="3762BAD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noWrap w:val="0"/>
            <w:vAlign w:val="center"/>
          </w:tcPr>
          <w:p w14:paraId="4AEE2211">
            <w:pPr>
              <w:pStyle w:val="102"/>
              <w:adjustRightInd w:val="0"/>
              <w:ind w:firstLine="0" w:firstLineChars="0"/>
              <w:rPr>
                <w:rFonts w:ascii="宋体" w:hAnsi="宋体"/>
                <w:color w:val="000000" w:themeColor="text1"/>
                <w:sz w:val="30"/>
                <w:szCs w:val="30"/>
                <w:lang w:val="en-US" w:eastAsia="zh-CN"/>
                <w14:textFill>
                  <w14:solidFill>
                    <w14:schemeClr w14:val="tx1"/>
                  </w14:solidFill>
                </w14:textFill>
              </w:rPr>
            </w:pPr>
          </w:p>
        </w:tc>
        <w:tc>
          <w:tcPr>
            <w:tcW w:w="1276" w:type="dxa"/>
            <w:noWrap w:val="0"/>
            <w:vAlign w:val="center"/>
          </w:tcPr>
          <w:p w14:paraId="5307404C">
            <w:pPr>
              <w:pStyle w:val="102"/>
              <w:adjustRightInd w:val="0"/>
              <w:ind w:firstLine="0" w:firstLineChars="0"/>
              <w:rPr>
                <w:rFonts w:ascii="宋体" w:hAnsi="宋体"/>
                <w:color w:val="000000" w:themeColor="text1"/>
                <w:sz w:val="30"/>
                <w:szCs w:val="30"/>
                <w:lang w:val="en-US" w:eastAsia="zh-CN"/>
                <w14:textFill>
                  <w14:solidFill>
                    <w14:schemeClr w14:val="tx1"/>
                  </w14:solidFill>
                </w14:textFill>
              </w:rPr>
            </w:pPr>
          </w:p>
        </w:tc>
        <w:tc>
          <w:tcPr>
            <w:tcW w:w="1127" w:type="dxa"/>
            <w:noWrap w:val="0"/>
            <w:vAlign w:val="center"/>
          </w:tcPr>
          <w:p w14:paraId="1DF97692">
            <w:pPr>
              <w:pStyle w:val="102"/>
              <w:adjustRightInd w:val="0"/>
              <w:ind w:firstLine="0" w:firstLineChars="0"/>
              <w:rPr>
                <w:rFonts w:ascii="宋体" w:hAnsi="宋体"/>
                <w:color w:val="000000" w:themeColor="text1"/>
                <w:sz w:val="30"/>
                <w:szCs w:val="30"/>
                <w:lang w:val="en-US" w:eastAsia="zh-CN"/>
                <w14:textFill>
                  <w14:solidFill>
                    <w14:schemeClr w14:val="tx1"/>
                  </w14:solidFill>
                </w14:textFill>
              </w:rPr>
            </w:pPr>
          </w:p>
        </w:tc>
        <w:tc>
          <w:tcPr>
            <w:tcW w:w="940" w:type="dxa"/>
            <w:noWrap w:val="0"/>
            <w:vAlign w:val="center"/>
          </w:tcPr>
          <w:p w14:paraId="3653A1FD">
            <w:pPr>
              <w:pStyle w:val="102"/>
              <w:adjustRightInd w:val="0"/>
              <w:ind w:firstLine="0" w:firstLineChars="0"/>
              <w:rPr>
                <w:rFonts w:ascii="宋体" w:hAnsi="宋体"/>
                <w:color w:val="000000" w:themeColor="text1"/>
                <w:sz w:val="30"/>
                <w:szCs w:val="30"/>
                <w:lang w:val="en-US" w:eastAsia="zh-CN"/>
                <w14:textFill>
                  <w14:solidFill>
                    <w14:schemeClr w14:val="tx1"/>
                  </w14:solidFill>
                </w14:textFill>
              </w:rPr>
            </w:pPr>
          </w:p>
        </w:tc>
        <w:tc>
          <w:tcPr>
            <w:tcW w:w="851" w:type="dxa"/>
            <w:noWrap w:val="0"/>
            <w:vAlign w:val="center"/>
          </w:tcPr>
          <w:p w14:paraId="5C7970F7">
            <w:pPr>
              <w:pStyle w:val="102"/>
              <w:adjustRightInd w:val="0"/>
              <w:ind w:firstLine="0" w:firstLineChars="0"/>
              <w:rPr>
                <w:rFonts w:ascii="宋体" w:hAnsi="宋体"/>
                <w:color w:val="000000" w:themeColor="text1"/>
                <w:sz w:val="30"/>
                <w:szCs w:val="30"/>
                <w:lang w:val="en-US" w:eastAsia="zh-CN"/>
                <w14:textFill>
                  <w14:solidFill>
                    <w14:schemeClr w14:val="tx1"/>
                  </w14:solidFill>
                </w14:textFill>
              </w:rPr>
            </w:pPr>
          </w:p>
        </w:tc>
        <w:tc>
          <w:tcPr>
            <w:tcW w:w="1044" w:type="dxa"/>
            <w:noWrap w:val="0"/>
            <w:vAlign w:val="center"/>
          </w:tcPr>
          <w:p w14:paraId="6F0A27C5">
            <w:pPr>
              <w:pStyle w:val="102"/>
              <w:adjustRightInd w:val="0"/>
              <w:ind w:firstLine="0" w:firstLineChars="0"/>
              <w:rPr>
                <w:rFonts w:ascii="宋体" w:hAnsi="宋体"/>
                <w:color w:val="000000" w:themeColor="text1"/>
                <w:sz w:val="30"/>
                <w:szCs w:val="30"/>
                <w:lang w:val="en-US" w:eastAsia="zh-CN"/>
                <w14:textFill>
                  <w14:solidFill>
                    <w14:schemeClr w14:val="tx1"/>
                  </w14:solidFill>
                </w14:textFill>
              </w:rPr>
            </w:pPr>
          </w:p>
        </w:tc>
        <w:tc>
          <w:tcPr>
            <w:tcW w:w="992" w:type="dxa"/>
            <w:noWrap w:val="0"/>
            <w:vAlign w:val="center"/>
          </w:tcPr>
          <w:p w14:paraId="0AF19563">
            <w:pPr>
              <w:pStyle w:val="102"/>
              <w:adjustRightInd w:val="0"/>
              <w:ind w:firstLine="0" w:firstLineChars="0"/>
              <w:rPr>
                <w:rFonts w:ascii="宋体" w:hAnsi="宋体"/>
                <w:color w:val="000000" w:themeColor="text1"/>
                <w:sz w:val="30"/>
                <w:szCs w:val="30"/>
                <w:lang w:val="en-US" w:eastAsia="zh-CN"/>
                <w14:textFill>
                  <w14:solidFill>
                    <w14:schemeClr w14:val="tx1"/>
                  </w14:solidFill>
                </w14:textFill>
              </w:rPr>
            </w:pPr>
          </w:p>
        </w:tc>
        <w:tc>
          <w:tcPr>
            <w:tcW w:w="851" w:type="dxa"/>
            <w:noWrap w:val="0"/>
            <w:vAlign w:val="center"/>
          </w:tcPr>
          <w:p w14:paraId="5766604C">
            <w:pPr>
              <w:pStyle w:val="102"/>
              <w:adjustRightInd w:val="0"/>
              <w:ind w:firstLine="0" w:firstLineChars="0"/>
              <w:rPr>
                <w:rFonts w:ascii="宋体" w:hAnsi="宋体"/>
                <w:color w:val="000000" w:themeColor="text1"/>
                <w:sz w:val="30"/>
                <w:szCs w:val="30"/>
                <w:lang w:val="en-US" w:eastAsia="zh-CN"/>
                <w14:textFill>
                  <w14:solidFill>
                    <w14:schemeClr w14:val="tx1"/>
                  </w14:solidFill>
                </w14:textFill>
              </w:rPr>
            </w:pPr>
          </w:p>
        </w:tc>
        <w:tc>
          <w:tcPr>
            <w:tcW w:w="1085" w:type="dxa"/>
            <w:noWrap w:val="0"/>
            <w:vAlign w:val="center"/>
          </w:tcPr>
          <w:p w14:paraId="65BAF2BB">
            <w:pPr>
              <w:pStyle w:val="102"/>
              <w:adjustRightInd w:val="0"/>
              <w:ind w:firstLine="0" w:firstLineChars="0"/>
              <w:rPr>
                <w:rFonts w:ascii="宋体" w:hAnsi="宋体"/>
                <w:color w:val="000000" w:themeColor="text1"/>
                <w:sz w:val="30"/>
                <w:szCs w:val="30"/>
                <w:lang w:val="en-US" w:eastAsia="zh-CN"/>
                <w14:textFill>
                  <w14:solidFill>
                    <w14:schemeClr w14:val="tx1"/>
                  </w14:solidFill>
                </w14:textFill>
              </w:rPr>
            </w:pPr>
          </w:p>
        </w:tc>
        <w:tc>
          <w:tcPr>
            <w:tcW w:w="992" w:type="dxa"/>
            <w:noWrap w:val="0"/>
            <w:vAlign w:val="center"/>
          </w:tcPr>
          <w:p w14:paraId="338DC214">
            <w:pPr>
              <w:pStyle w:val="102"/>
              <w:adjustRightInd w:val="0"/>
              <w:ind w:firstLine="0" w:firstLineChars="0"/>
              <w:rPr>
                <w:rFonts w:ascii="宋体" w:hAnsi="宋体"/>
                <w:color w:val="000000" w:themeColor="text1"/>
                <w:sz w:val="30"/>
                <w:szCs w:val="30"/>
                <w:lang w:val="en-US" w:eastAsia="zh-CN"/>
                <w14:textFill>
                  <w14:solidFill>
                    <w14:schemeClr w14:val="tx1"/>
                  </w14:solidFill>
                </w14:textFill>
              </w:rPr>
            </w:pPr>
          </w:p>
        </w:tc>
      </w:tr>
      <w:tr w14:paraId="7C32D6A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noWrap w:val="0"/>
            <w:vAlign w:val="center"/>
          </w:tcPr>
          <w:p w14:paraId="4B7BDB13">
            <w:pPr>
              <w:pStyle w:val="102"/>
              <w:adjustRightInd w:val="0"/>
              <w:ind w:firstLine="0" w:firstLineChars="0"/>
              <w:rPr>
                <w:rFonts w:ascii="宋体" w:hAnsi="宋体"/>
                <w:color w:val="000000" w:themeColor="text1"/>
                <w:sz w:val="30"/>
                <w:szCs w:val="30"/>
                <w:lang w:val="en-US" w:eastAsia="zh-CN"/>
                <w14:textFill>
                  <w14:solidFill>
                    <w14:schemeClr w14:val="tx1"/>
                  </w14:solidFill>
                </w14:textFill>
              </w:rPr>
            </w:pPr>
          </w:p>
        </w:tc>
        <w:tc>
          <w:tcPr>
            <w:tcW w:w="1276" w:type="dxa"/>
            <w:noWrap w:val="0"/>
            <w:vAlign w:val="center"/>
          </w:tcPr>
          <w:p w14:paraId="0237FF76">
            <w:pPr>
              <w:pStyle w:val="102"/>
              <w:adjustRightInd w:val="0"/>
              <w:ind w:firstLine="0" w:firstLineChars="0"/>
              <w:rPr>
                <w:rFonts w:ascii="宋体" w:hAnsi="宋体"/>
                <w:color w:val="000000" w:themeColor="text1"/>
                <w:sz w:val="30"/>
                <w:szCs w:val="30"/>
                <w:lang w:val="en-US" w:eastAsia="zh-CN"/>
                <w14:textFill>
                  <w14:solidFill>
                    <w14:schemeClr w14:val="tx1"/>
                  </w14:solidFill>
                </w14:textFill>
              </w:rPr>
            </w:pPr>
          </w:p>
        </w:tc>
        <w:tc>
          <w:tcPr>
            <w:tcW w:w="1127" w:type="dxa"/>
            <w:noWrap w:val="0"/>
            <w:vAlign w:val="center"/>
          </w:tcPr>
          <w:p w14:paraId="48746186">
            <w:pPr>
              <w:pStyle w:val="102"/>
              <w:adjustRightInd w:val="0"/>
              <w:ind w:firstLine="0" w:firstLineChars="0"/>
              <w:rPr>
                <w:rFonts w:ascii="宋体" w:hAnsi="宋体"/>
                <w:color w:val="000000" w:themeColor="text1"/>
                <w:sz w:val="30"/>
                <w:szCs w:val="30"/>
                <w:lang w:val="en-US" w:eastAsia="zh-CN"/>
                <w14:textFill>
                  <w14:solidFill>
                    <w14:schemeClr w14:val="tx1"/>
                  </w14:solidFill>
                </w14:textFill>
              </w:rPr>
            </w:pPr>
          </w:p>
        </w:tc>
        <w:tc>
          <w:tcPr>
            <w:tcW w:w="940" w:type="dxa"/>
            <w:noWrap w:val="0"/>
            <w:vAlign w:val="center"/>
          </w:tcPr>
          <w:p w14:paraId="0A66F8AF">
            <w:pPr>
              <w:pStyle w:val="102"/>
              <w:adjustRightInd w:val="0"/>
              <w:ind w:firstLine="0" w:firstLineChars="0"/>
              <w:rPr>
                <w:rFonts w:ascii="宋体" w:hAnsi="宋体"/>
                <w:color w:val="000000" w:themeColor="text1"/>
                <w:sz w:val="30"/>
                <w:szCs w:val="30"/>
                <w:lang w:val="en-US" w:eastAsia="zh-CN"/>
                <w14:textFill>
                  <w14:solidFill>
                    <w14:schemeClr w14:val="tx1"/>
                  </w14:solidFill>
                </w14:textFill>
              </w:rPr>
            </w:pPr>
          </w:p>
        </w:tc>
        <w:tc>
          <w:tcPr>
            <w:tcW w:w="851" w:type="dxa"/>
            <w:noWrap w:val="0"/>
            <w:vAlign w:val="center"/>
          </w:tcPr>
          <w:p w14:paraId="2B035E22">
            <w:pPr>
              <w:pStyle w:val="102"/>
              <w:adjustRightInd w:val="0"/>
              <w:ind w:firstLine="0" w:firstLineChars="0"/>
              <w:rPr>
                <w:rFonts w:ascii="宋体" w:hAnsi="宋体"/>
                <w:color w:val="000000" w:themeColor="text1"/>
                <w:sz w:val="30"/>
                <w:szCs w:val="30"/>
                <w:lang w:val="en-US" w:eastAsia="zh-CN"/>
                <w14:textFill>
                  <w14:solidFill>
                    <w14:schemeClr w14:val="tx1"/>
                  </w14:solidFill>
                </w14:textFill>
              </w:rPr>
            </w:pPr>
          </w:p>
        </w:tc>
        <w:tc>
          <w:tcPr>
            <w:tcW w:w="1044" w:type="dxa"/>
            <w:noWrap w:val="0"/>
            <w:vAlign w:val="center"/>
          </w:tcPr>
          <w:p w14:paraId="7F043F11">
            <w:pPr>
              <w:pStyle w:val="102"/>
              <w:adjustRightInd w:val="0"/>
              <w:ind w:firstLine="0" w:firstLineChars="0"/>
              <w:rPr>
                <w:rFonts w:ascii="宋体" w:hAnsi="宋体"/>
                <w:color w:val="000000" w:themeColor="text1"/>
                <w:sz w:val="30"/>
                <w:szCs w:val="30"/>
                <w:lang w:val="en-US" w:eastAsia="zh-CN"/>
                <w14:textFill>
                  <w14:solidFill>
                    <w14:schemeClr w14:val="tx1"/>
                  </w14:solidFill>
                </w14:textFill>
              </w:rPr>
            </w:pPr>
          </w:p>
        </w:tc>
        <w:tc>
          <w:tcPr>
            <w:tcW w:w="992" w:type="dxa"/>
            <w:noWrap w:val="0"/>
            <w:vAlign w:val="center"/>
          </w:tcPr>
          <w:p w14:paraId="370757A2">
            <w:pPr>
              <w:pStyle w:val="102"/>
              <w:adjustRightInd w:val="0"/>
              <w:ind w:firstLine="0" w:firstLineChars="0"/>
              <w:rPr>
                <w:rFonts w:ascii="宋体" w:hAnsi="宋体"/>
                <w:color w:val="000000" w:themeColor="text1"/>
                <w:sz w:val="30"/>
                <w:szCs w:val="30"/>
                <w:lang w:val="en-US" w:eastAsia="zh-CN"/>
                <w14:textFill>
                  <w14:solidFill>
                    <w14:schemeClr w14:val="tx1"/>
                  </w14:solidFill>
                </w14:textFill>
              </w:rPr>
            </w:pPr>
          </w:p>
        </w:tc>
        <w:tc>
          <w:tcPr>
            <w:tcW w:w="851" w:type="dxa"/>
            <w:noWrap w:val="0"/>
            <w:vAlign w:val="center"/>
          </w:tcPr>
          <w:p w14:paraId="7D1E38B5">
            <w:pPr>
              <w:pStyle w:val="102"/>
              <w:adjustRightInd w:val="0"/>
              <w:ind w:firstLine="0" w:firstLineChars="0"/>
              <w:rPr>
                <w:rFonts w:ascii="宋体" w:hAnsi="宋体"/>
                <w:color w:val="000000" w:themeColor="text1"/>
                <w:sz w:val="30"/>
                <w:szCs w:val="30"/>
                <w:lang w:val="en-US" w:eastAsia="zh-CN"/>
                <w14:textFill>
                  <w14:solidFill>
                    <w14:schemeClr w14:val="tx1"/>
                  </w14:solidFill>
                </w14:textFill>
              </w:rPr>
            </w:pPr>
          </w:p>
        </w:tc>
        <w:tc>
          <w:tcPr>
            <w:tcW w:w="1085" w:type="dxa"/>
            <w:noWrap w:val="0"/>
            <w:vAlign w:val="center"/>
          </w:tcPr>
          <w:p w14:paraId="3B3F2FA8">
            <w:pPr>
              <w:pStyle w:val="102"/>
              <w:adjustRightInd w:val="0"/>
              <w:ind w:firstLine="0" w:firstLineChars="0"/>
              <w:rPr>
                <w:rFonts w:ascii="宋体" w:hAnsi="宋体"/>
                <w:color w:val="000000" w:themeColor="text1"/>
                <w:sz w:val="30"/>
                <w:szCs w:val="30"/>
                <w:lang w:val="en-US" w:eastAsia="zh-CN"/>
                <w14:textFill>
                  <w14:solidFill>
                    <w14:schemeClr w14:val="tx1"/>
                  </w14:solidFill>
                </w14:textFill>
              </w:rPr>
            </w:pPr>
          </w:p>
        </w:tc>
        <w:tc>
          <w:tcPr>
            <w:tcW w:w="992" w:type="dxa"/>
            <w:noWrap w:val="0"/>
            <w:vAlign w:val="center"/>
          </w:tcPr>
          <w:p w14:paraId="1A61BC3D">
            <w:pPr>
              <w:pStyle w:val="102"/>
              <w:adjustRightInd w:val="0"/>
              <w:ind w:firstLine="0" w:firstLineChars="0"/>
              <w:rPr>
                <w:rFonts w:ascii="宋体" w:hAnsi="宋体"/>
                <w:color w:val="000000" w:themeColor="text1"/>
                <w:sz w:val="30"/>
                <w:szCs w:val="30"/>
                <w:lang w:val="en-US" w:eastAsia="zh-CN"/>
                <w14:textFill>
                  <w14:solidFill>
                    <w14:schemeClr w14:val="tx1"/>
                  </w14:solidFill>
                </w14:textFill>
              </w:rPr>
            </w:pPr>
          </w:p>
        </w:tc>
      </w:tr>
    </w:tbl>
    <w:p w14:paraId="5DE8C953">
      <w:pPr>
        <w:pStyle w:val="102"/>
        <w:ind w:firstLine="600"/>
        <w:rPr>
          <w:rFonts w:ascii="宋体" w:hAnsi="宋体"/>
          <w:color w:val="000000" w:themeColor="text1"/>
          <w:sz w:val="30"/>
          <w:szCs w:val="30"/>
          <w14:textFill>
            <w14:solidFill>
              <w14:schemeClr w14:val="tx1"/>
            </w14:solidFill>
          </w14:textFill>
        </w:rPr>
      </w:pPr>
    </w:p>
    <w:p w14:paraId="1FBA2EC7">
      <w:pPr>
        <w:spacing w:line="440" w:lineRule="exact"/>
        <w:rPr>
          <w:rFonts w:ascii="宋体" w:hAnsi="宋体"/>
          <w:color w:val="000000" w:themeColor="text1"/>
          <w:sz w:val="30"/>
          <w:szCs w:val="30"/>
          <w14:textFill>
            <w14:solidFill>
              <w14:schemeClr w14:val="tx1"/>
            </w14:solidFill>
          </w14:textFill>
        </w:rPr>
      </w:pPr>
    </w:p>
    <w:p w14:paraId="6DAEFF8A">
      <w:pPr>
        <w:spacing w:line="440" w:lineRule="exact"/>
        <w:ind w:firstLine="300" w:firstLineChars="100"/>
        <w:rPr>
          <w:rFonts w:ascii="宋体" w:hAnsi="宋体"/>
          <w:color w:val="000000" w:themeColor="text1"/>
          <w:sz w:val="30"/>
          <w:szCs w:val="30"/>
          <w14:textFill>
            <w14:solidFill>
              <w14:schemeClr w14:val="tx1"/>
            </w14:solidFill>
          </w14:textFill>
        </w:rPr>
      </w:pPr>
      <w:r>
        <w:rPr>
          <w:rFonts w:hint="eastAsia" w:ascii="宋体" w:hAnsi="宋体"/>
          <w:color w:val="000000" w:themeColor="text1"/>
          <w:sz w:val="30"/>
          <w:szCs w:val="30"/>
          <w14:textFill>
            <w14:solidFill>
              <w14:schemeClr w14:val="tx1"/>
            </w14:solidFill>
          </w14:textFill>
        </w:rPr>
        <w:t>附件3：</w:t>
      </w:r>
    </w:p>
    <w:p w14:paraId="058465C9">
      <w:pPr>
        <w:spacing w:before="120" w:beforeLines="50" w:after="120" w:afterLines="50" w:line="440" w:lineRule="exact"/>
        <w:jc w:val="center"/>
        <w:rPr>
          <w:rFonts w:ascii="宋体" w:hAnsi="宋体"/>
          <w:color w:val="000000" w:themeColor="text1"/>
          <w:sz w:val="30"/>
          <w:szCs w:val="30"/>
          <w14:textFill>
            <w14:solidFill>
              <w14:schemeClr w14:val="tx1"/>
            </w14:solidFill>
          </w14:textFill>
        </w:rPr>
      </w:pPr>
      <w:r>
        <w:rPr>
          <w:rFonts w:hint="eastAsia" w:ascii="宋体" w:hAnsi="宋体"/>
          <w:color w:val="000000" w:themeColor="text1"/>
          <w:sz w:val="30"/>
          <w:szCs w:val="30"/>
          <w14:textFill>
            <w14:solidFill>
              <w14:schemeClr w14:val="tx1"/>
            </w14:solidFill>
          </w14:textFill>
        </w:rPr>
        <w:t>承包人用于本工程施工的机械设备表</w:t>
      </w:r>
    </w:p>
    <w:tbl>
      <w:tblPr>
        <w:tblStyle w:val="29"/>
        <w:tblW w:w="9809"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1162"/>
        <w:gridCol w:w="1418"/>
        <w:gridCol w:w="850"/>
        <w:gridCol w:w="1058"/>
        <w:gridCol w:w="880"/>
        <w:gridCol w:w="1020"/>
        <w:gridCol w:w="1480"/>
        <w:gridCol w:w="1020"/>
        <w:gridCol w:w="921"/>
      </w:tblGrid>
      <w:tr w14:paraId="0D949B3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162" w:type="dxa"/>
            <w:tcBorders>
              <w:top w:val="single" w:color="auto" w:sz="12" w:space="0"/>
              <w:bottom w:val="double" w:color="auto" w:sz="6" w:space="0"/>
            </w:tcBorders>
            <w:noWrap w:val="0"/>
            <w:vAlign w:val="center"/>
          </w:tcPr>
          <w:p w14:paraId="16658C78">
            <w:pPr>
              <w:keepNext/>
              <w:spacing w:line="440" w:lineRule="exact"/>
              <w:ind w:left="63" w:leftChars="30" w:right="63" w:rightChars="30"/>
              <w:jc w:val="center"/>
              <w:rPr>
                <w:rFonts w:ascii="宋体" w:hAnsi="宋体"/>
                <w:color w:val="000000" w:themeColor="text1"/>
                <w:szCs w:val="30"/>
                <w14:textFill>
                  <w14:solidFill>
                    <w14:schemeClr w14:val="tx1"/>
                  </w14:solidFill>
                </w14:textFill>
              </w:rPr>
            </w:pPr>
            <w:r>
              <w:rPr>
                <w:rFonts w:hint="eastAsia" w:ascii="宋体" w:hAnsi="宋体"/>
                <w:color w:val="000000" w:themeColor="text1"/>
                <w:szCs w:val="30"/>
                <w14:textFill>
                  <w14:solidFill>
                    <w14:schemeClr w14:val="tx1"/>
                  </w14:solidFill>
                </w14:textFill>
              </w:rPr>
              <w:t>序号</w:t>
            </w:r>
          </w:p>
        </w:tc>
        <w:tc>
          <w:tcPr>
            <w:tcW w:w="1418" w:type="dxa"/>
            <w:tcBorders>
              <w:top w:val="single" w:color="auto" w:sz="12" w:space="0"/>
              <w:bottom w:val="double" w:color="auto" w:sz="6" w:space="0"/>
            </w:tcBorders>
            <w:noWrap w:val="0"/>
            <w:vAlign w:val="center"/>
          </w:tcPr>
          <w:p w14:paraId="72E055D8">
            <w:pPr>
              <w:keepNext/>
              <w:spacing w:line="440" w:lineRule="exact"/>
              <w:ind w:left="63" w:leftChars="30" w:right="63" w:rightChars="30"/>
              <w:jc w:val="center"/>
              <w:rPr>
                <w:rFonts w:ascii="宋体" w:hAnsi="宋体"/>
                <w:color w:val="000000" w:themeColor="text1"/>
                <w:szCs w:val="30"/>
                <w14:textFill>
                  <w14:solidFill>
                    <w14:schemeClr w14:val="tx1"/>
                  </w14:solidFill>
                </w14:textFill>
              </w:rPr>
            </w:pPr>
            <w:r>
              <w:rPr>
                <w:rFonts w:hint="eastAsia" w:ascii="宋体" w:hAnsi="宋体"/>
                <w:color w:val="000000" w:themeColor="text1"/>
                <w:szCs w:val="30"/>
                <w14:textFill>
                  <w14:solidFill>
                    <w14:schemeClr w14:val="tx1"/>
                  </w14:solidFill>
                </w14:textFill>
              </w:rPr>
              <w:t>机械或设备名称</w:t>
            </w:r>
          </w:p>
        </w:tc>
        <w:tc>
          <w:tcPr>
            <w:tcW w:w="850" w:type="dxa"/>
            <w:tcBorders>
              <w:top w:val="single" w:color="auto" w:sz="12" w:space="0"/>
              <w:bottom w:val="double" w:color="auto" w:sz="6" w:space="0"/>
            </w:tcBorders>
            <w:noWrap w:val="0"/>
            <w:vAlign w:val="center"/>
          </w:tcPr>
          <w:p w14:paraId="3F1296C9">
            <w:pPr>
              <w:keepNext/>
              <w:spacing w:line="440" w:lineRule="exact"/>
              <w:ind w:left="63" w:leftChars="30" w:right="63" w:rightChars="30"/>
              <w:jc w:val="center"/>
              <w:rPr>
                <w:rFonts w:ascii="宋体" w:hAnsi="宋体"/>
                <w:color w:val="000000" w:themeColor="text1"/>
                <w:szCs w:val="30"/>
                <w14:textFill>
                  <w14:solidFill>
                    <w14:schemeClr w14:val="tx1"/>
                  </w14:solidFill>
                </w14:textFill>
              </w:rPr>
            </w:pPr>
            <w:r>
              <w:rPr>
                <w:rFonts w:hint="eastAsia" w:ascii="宋体" w:hAnsi="宋体"/>
                <w:color w:val="000000" w:themeColor="text1"/>
                <w:szCs w:val="30"/>
                <w14:textFill>
                  <w14:solidFill>
                    <w14:schemeClr w14:val="tx1"/>
                  </w14:solidFill>
                </w14:textFill>
              </w:rPr>
              <w:t>规格型号</w:t>
            </w:r>
          </w:p>
        </w:tc>
        <w:tc>
          <w:tcPr>
            <w:tcW w:w="1058" w:type="dxa"/>
            <w:tcBorders>
              <w:top w:val="single" w:color="auto" w:sz="12" w:space="0"/>
              <w:bottom w:val="double" w:color="auto" w:sz="6" w:space="0"/>
            </w:tcBorders>
            <w:noWrap w:val="0"/>
            <w:vAlign w:val="center"/>
          </w:tcPr>
          <w:p w14:paraId="5650385A">
            <w:pPr>
              <w:keepNext/>
              <w:spacing w:line="440" w:lineRule="exact"/>
              <w:ind w:left="63" w:leftChars="30" w:right="63" w:rightChars="30"/>
              <w:jc w:val="center"/>
              <w:rPr>
                <w:rFonts w:ascii="宋体" w:hAnsi="宋体"/>
                <w:color w:val="000000" w:themeColor="text1"/>
                <w:szCs w:val="30"/>
                <w14:textFill>
                  <w14:solidFill>
                    <w14:schemeClr w14:val="tx1"/>
                  </w14:solidFill>
                </w14:textFill>
              </w:rPr>
            </w:pPr>
            <w:r>
              <w:rPr>
                <w:rFonts w:hint="eastAsia" w:ascii="宋体" w:hAnsi="宋体"/>
                <w:color w:val="000000" w:themeColor="text1"/>
                <w:szCs w:val="30"/>
                <w14:textFill>
                  <w14:solidFill>
                    <w14:schemeClr w14:val="tx1"/>
                  </w14:solidFill>
                </w14:textFill>
              </w:rPr>
              <w:t>数量</w:t>
            </w:r>
          </w:p>
        </w:tc>
        <w:tc>
          <w:tcPr>
            <w:tcW w:w="880" w:type="dxa"/>
            <w:tcBorders>
              <w:top w:val="single" w:color="auto" w:sz="12" w:space="0"/>
              <w:bottom w:val="double" w:color="auto" w:sz="6" w:space="0"/>
            </w:tcBorders>
            <w:noWrap w:val="0"/>
            <w:vAlign w:val="center"/>
          </w:tcPr>
          <w:p w14:paraId="045D59E7">
            <w:pPr>
              <w:keepNext/>
              <w:spacing w:line="440" w:lineRule="exact"/>
              <w:ind w:left="63" w:leftChars="30" w:right="63" w:rightChars="30"/>
              <w:jc w:val="center"/>
              <w:rPr>
                <w:rFonts w:ascii="宋体" w:hAnsi="宋体"/>
                <w:color w:val="000000" w:themeColor="text1"/>
                <w:szCs w:val="30"/>
                <w14:textFill>
                  <w14:solidFill>
                    <w14:schemeClr w14:val="tx1"/>
                  </w14:solidFill>
                </w14:textFill>
              </w:rPr>
            </w:pPr>
            <w:r>
              <w:rPr>
                <w:rFonts w:hint="eastAsia" w:ascii="宋体" w:hAnsi="宋体"/>
                <w:color w:val="000000" w:themeColor="text1"/>
                <w:szCs w:val="30"/>
                <w14:textFill>
                  <w14:solidFill>
                    <w14:schemeClr w14:val="tx1"/>
                  </w14:solidFill>
                </w14:textFill>
              </w:rPr>
              <w:t>产地</w:t>
            </w:r>
          </w:p>
        </w:tc>
        <w:tc>
          <w:tcPr>
            <w:tcW w:w="1020" w:type="dxa"/>
            <w:tcBorders>
              <w:top w:val="single" w:color="auto" w:sz="12" w:space="0"/>
              <w:bottom w:val="double" w:color="auto" w:sz="6" w:space="0"/>
            </w:tcBorders>
            <w:noWrap w:val="0"/>
            <w:vAlign w:val="center"/>
          </w:tcPr>
          <w:p w14:paraId="7F79C22A">
            <w:pPr>
              <w:keepNext/>
              <w:spacing w:line="440" w:lineRule="exact"/>
              <w:ind w:left="63" w:leftChars="30" w:right="63" w:rightChars="30"/>
              <w:jc w:val="center"/>
              <w:rPr>
                <w:rFonts w:ascii="宋体" w:hAnsi="宋体"/>
                <w:color w:val="000000" w:themeColor="text1"/>
                <w:szCs w:val="30"/>
                <w14:textFill>
                  <w14:solidFill>
                    <w14:schemeClr w14:val="tx1"/>
                  </w14:solidFill>
                </w14:textFill>
              </w:rPr>
            </w:pPr>
            <w:r>
              <w:rPr>
                <w:rFonts w:hint="eastAsia" w:ascii="宋体" w:hAnsi="宋体"/>
                <w:color w:val="000000" w:themeColor="text1"/>
                <w:szCs w:val="30"/>
                <w14:textFill>
                  <w14:solidFill>
                    <w14:schemeClr w14:val="tx1"/>
                  </w14:solidFill>
                </w14:textFill>
              </w:rPr>
              <w:t>制造年份</w:t>
            </w:r>
          </w:p>
        </w:tc>
        <w:tc>
          <w:tcPr>
            <w:tcW w:w="1480" w:type="dxa"/>
            <w:tcBorders>
              <w:top w:val="single" w:color="auto" w:sz="12" w:space="0"/>
              <w:bottom w:val="double" w:color="auto" w:sz="6" w:space="0"/>
            </w:tcBorders>
            <w:noWrap w:val="0"/>
            <w:vAlign w:val="center"/>
          </w:tcPr>
          <w:p w14:paraId="14A101CA">
            <w:pPr>
              <w:keepNext/>
              <w:spacing w:line="440" w:lineRule="exact"/>
              <w:ind w:left="63" w:leftChars="30" w:right="63" w:rightChars="30"/>
              <w:jc w:val="center"/>
              <w:rPr>
                <w:rFonts w:ascii="宋体" w:hAnsi="宋体"/>
                <w:color w:val="000000" w:themeColor="text1"/>
                <w:szCs w:val="30"/>
                <w14:textFill>
                  <w14:solidFill>
                    <w14:schemeClr w14:val="tx1"/>
                  </w14:solidFill>
                </w14:textFill>
              </w:rPr>
            </w:pPr>
            <w:r>
              <w:rPr>
                <w:rFonts w:hint="eastAsia" w:ascii="宋体" w:hAnsi="宋体"/>
                <w:color w:val="000000" w:themeColor="text1"/>
                <w:szCs w:val="30"/>
                <w14:textFill>
                  <w14:solidFill>
                    <w14:schemeClr w14:val="tx1"/>
                  </w14:solidFill>
                </w14:textFill>
              </w:rPr>
              <w:t>额定功率</w:t>
            </w:r>
            <w:r>
              <w:rPr>
                <w:rFonts w:ascii="宋体" w:hAnsi="宋体"/>
                <w:color w:val="000000" w:themeColor="text1"/>
                <w:szCs w:val="30"/>
                <w14:textFill>
                  <w14:solidFill>
                    <w14:schemeClr w14:val="tx1"/>
                  </w14:solidFill>
                </w14:textFill>
              </w:rPr>
              <w:t>(kW)</w:t>
            </w:r>
          </w:p>
        </w:tc>
        <w:tc>
          <w:tcPr>
            <w:tcW w:w="1020" w:type="dxa"/>
            <w:tcBorders>
              <w:top w:val="single" w:color="auto" w:sz="12" w:space="0"/>
              <w:bottom w:val="double" w:color="auto" w:sz="6" w:space="0"/>
            </w:tcBorders>
            <w:noWrap w:val="0"/>
            <w:vAlign w:val="center"/>
          </w:tcPr>
          <w:p w14:paraId="4CAB00E8">
            <w:pPr>
              <w:keepNext/>
              <w:spacing w:line="440" w:lineRule="exact"/>
              <w:ind w:left="63" w:leftChars="30" w:right="63" w:rightChars="30"/>
              <w:jc w:val="center"/>
              <w:rPr>
                <w:rFonts w:ascii="宋体" w:hAnsi="宋体"/>
                <w:color w:val="000000" w:themeColor="text1"/>
                <w:szCs w:val="30"/>
                <w14:textFill>
                  <w14:solidFill>
                    <w14:schemeClr w14:val="tx1"/>
                  </w14:solidFill>
                </w14:textFill>
              </w:rPr>
            </w:pPr>
            <w:r>
              <w:rPr>
                <w:rFonts w:hint="eastAsia" w:ascii="宋体" w:hAnsi="宋体"/>
                <w:color w:val="000000" w:themeColor="text1"/>
                <w:szCs w:val="30"/>
                <w14:textFill>
                  <w14:solidFill>
                    <w14:schemeClr w14:val="tx1"/>
                  </w14:solidFill>
                </w14:textFill>
              </w:rPr>
              <w:t>生产能力</w:t>
            </w:r>
          </w:p>
        </w:tc>
        <w:tc>
          <w:tcPr>
            <w:tcW w:w="921" w:type="dxa"/>
            <w:tcBorders>
              <w:top w:val="single" w:color="auto" w:sz="12" w:space="0"/>
              <w:bottom w:val="double" w:color="auto" w:sz="6" w:space="0"/>
            </w:tcBorders>
            <w:noWrap w:val="0"/>
            <w:vAlign w:val="center"/>
          </w:tcPr>
          <w:p w14:paraId="0359EAED">
            <w:pPr>
              <w:keepNext/>
              <w:spacing w:line="440" w:lineRule="exact"/>
              <w:ind w:left="63" w:leftChars="30" w:right="63" w:rightChars="30"/>
              <w:jc w:val="center"/>
              <w:rPr>
                <w:rFonts w:ascii="宋体" w:hAnsi="宋体"/>
                <w:color w:val="000000" w:themeColor="text1"/>
                <w:szCs w:val="30"/>
                <w14:textFill>
                  <w14:solidFill>
                    <w14:schemeClr w14:val="tx1"/>
                  </w14:solidFill>
                </w14:textFill>
              </w:rPr>
            </w:pPr>
            <w:r>
              <w:rPr>
                <w:rFonts w:hint="eastAsia" w:ascii="宋体" w:hAnsi="宋体"/>
                <w:color w:val="000000" w:themeColor="text1"/>
                <w:szCs w:val="30"/>
                <w14:textFill>
                  <w14:solidFill>
                    <w14:schemeClr w14:val="tx1"/>
                  </w14:solidFill>
                </w14:textFill>
              </w:rPr>
              <w:t>备注</w:t>
            </w:r>
          </w:p>
        </w:tc>
      </w:tr>
      <w:tr w14:paraId="7232A92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tcBorders>
              <w:top w:val="double" w:color="auto" w:sz="6" w:space="0"/>
            </w:tcBorders>
            <w:noWrap w:val="0"/>
            <w:vAlign w:val="center"/>
          </w:tcPr>
          <w:p w14:paraId="2A0CD29E">
            <w:pPr>
              <w:keepNext/>
              <w:spacing w:line="440" w:lineRule="exact"/>
              <w:ind w:left="63" w:leftChars="30" w:right="63" w:rightChars="30"/>
              <w:jc w:val="center"/>
              <w:rPr>
                <w:rFonts w:ascii="宋体" w:hAnsi="宋体"/>
                <w:color w:val="000000" w:themeColor="text1"/>
                <w:sz w:val="30"/>
                <w:szCs w:val="30"/>
                <w14:textFill>
                  <w14:solidFill>
                    <w14:schemeClr w14:val="tx1"/>
                  </w14:solidFill>
                </w14:textFill>
              </w:rPr>
            </w:pPr>
          </w:p>
        </w:tc>
        <w:tc>
          <w:tcPr>
            <w:tcW w:w="1418" w:type="dxa"/>
            <w:tcBorders>
              <w:top w:val="double" w:color="auto" w:sz="6" w:space="0"/>
            </w:tcBorders>
            <w:noWrap w:val="0"/>
            <w:vAlign w:val="center"/>
          </w:tcPr>
          <w:p w14:paraId="2418FC0F">
            <w:pPr>
              <w:keepNext/>
              <w:spacing w:line="440" w:lineRule="exact"/>
              <w:ind w:left="63" w:leftChars="30" w:right="63" w:rightChars="30"/>
              <w:jc w:val="center"/>
              <w:rPr>
                <w:rFonts w:ascii="宋体" w:hAnsi="宋体"/>
                <w:color w:val="000000" w:themeColor="text1"/>
                <w:sz w:val="30"/>
                <w:szCs w:val="30"/>
                <w14:textFill>
                  <w14:solidFill>
                    <w14:schemeClr w14:val="tx1"/>
                  </w14:solidFill>
                </w14:textFill>
              </w:rPr>
            </w:pPr>
          </w:p>
        </w:tc>
        <w:tc>
          <w:tcPr>
            <w:tcW w:w="850" w:type="dxa"/>
            <w:tcBorders>
              <w:top w:val="double" w:color="auto" w:sz="6" w:space="0"/>
            </w:tcBorders>
            <w:noWrap w:val="0"/>
            <w:vAlign w:val="center"/>
          </w:tcPr>
          <w:p w14:paraId="586CCEA6">
            <w:pPr>
              <w:keepNext/>
              <w:spacing w:line="440" w:lineRule="exact"/>
              <w:ind w:left="63" w:leftChars="30" w:right="63" w:rightChars="30"/>
              <w:jc w:val="center"/>
              <w:rPr>
                <w:rFonts w:ascii="宋体" w:hAnsi="宋体"/>
                <w:color w:val="000000" w:themeColor="text1"/>
                <w:sz w:val="30"/>
                <w:szCs w:val="30"/>
                <w14:textFill>
                  <w14:solidFill>
                    <w14:schemeClr w14:val="tx1"/>
                  </w14:solidFill>
                </w14:textFill>
              </w:rPr>
            </w:pPr>
          </w:p>
        </w:tc>
        <w:tc>
          <w:tcPr>
            <w:tcW w:w="1058" w:type="dxa"/>
            <w:tcBorders>
              <w:top w:val="double" w:color="auto" w:sz="6" w:space="0"/>
            </w:tcBorders>
            <w:noWrap w:val="0"/>
            <w:vAlign w:val="center"/>
          </w:tcPr>
          <w:p w14:paraId="6B0FBD83">
            <w:pPr>
              <w:keepNext/>
              <w:spacing w:line="440" w:lineRule="exact"/>
              <w:ind w:left="63" w:leftChars="30" w:right="63" w:rightChars="30"/>
              <w:jc w:val="center"/>
              <w:rPr>
                <w:rFonts w:ascii="宋体" w:hAnsi="宋体"/>
                <w:color w:val="000000" w:themeColor="text1"/>
                <w:sz w:val="30"/>
                <w:szCs w:val="30"/>
                <w14:textFill>
                  <w14:solidFill>
                    <w14:schemeClr w14:val="tx1"/>
                  </w14:solidFill>
                </w14:textFill>
              </w:rPr>
            </w:pPr>
          </w:p>
        </w:tc>
        <w:tc>
          <w:tcPr>
            <w:tcW w:w="880" w:type="dxa"/>
            <w:tcBorders>
              <w:top w:val="double" w:color="auto" w:sz="6" w:space="0"/>
            </w:tcBorders>
            <w:noWrap w:val="0"/>
            <w:vAlign w:val="center"/>
          </w:tcPr>
          <w:p w14:paraId="2086C326">
            <w:pPr>
              <w:keepNext/>
              <w:spacing w:line="440" w:lineRule="exact"/>
              <w:ind w:left="63" w:leftChars="30" w:right="63" w:rightChars="30"/>
              <w:jc w:val="center"/>
              <w:rPr>
                <w:rFonts w:ascii="宋体" w:hAnsi="宋体"/>
                <w:color w:val="000000" w:themeColor="text1"/>
                <w:sz w:val="30"/>
                <w:szCs w:val="30"/>
                <w14:textFill>
                  <w14:solidFill>
                    <w14:schemeClr w14:val="tx1"/>
                  </w14:solidFill>
                </w14:textFill>
              </w:rPr>
            </w:pPr>
          </w:p>
        </w:tc>
        <w:tc>
          <w:tcPr>
            <w:tcW w:w="1020" w:type="dxa"/>
            <w:tcBorders>
              <w:top w:val="double" w:color="auto" w:sz="6" w:space="0"/>
            </w:tcBorders>
            <w:noWrap w:val="0"/>
            <w:vAlign w:val="center"/>
          </w:tcPr>
          <w:p w14:paraId="09C94C72">
            <w:pPr>
              <w:keepNext/>
              <w:spacing w:line="440" w:lineRule="exact"/>
              <w:ind w:left="63" w:leftChars="30" w:right="63" w:rightChars="30"/>
              <w:jc w:val="center"/>
              <w:rPr>
                <w:rFonts w:ascii="宋体" w:hAnsi="宋体"/>
                <w:color w:val="000000" w:themeColor="text1"/>
                <w:sz w:val="30"/>
                <w:szCs w:val="30"/>
                <w14:textFill>
                  <w14:solidFill>
                    <w14:schemeClr w14:val="tx1"/>
                  </w14:solidFill>
                </w14:textFill>
              </w:rPr>
            </w:pPr>
          </w:p>
        </w:tc>
        <w:tc>
          <w:tcPr>
            <w:tcW w:w="1480" w:type="dxa"/>
            <w:tcBorders>
              <w:top w:val="double" w:color="auto" w:sz="6" w:space="0"/>
            </w:tcBorders>
            <w:noWrap w:val="0"/>
            <w:vAlign w:val="center"/>
          </w:tcPr>
          <w:p w14:paraId="60FD9D20">
            <w:pPr>
              <w:keepNext/>
              <w:spacing w:line="440" w:lineRule="exact"/>
              <w:ind w:left="63" w:leftChars="30" w:right="63" w:rightChars="30"/>
              <w:jc w:val="center"/>
              <w:rPr>
                <w:rFonts w:ascii="宋体" w:hAnsi="宋体"/>
                <w:color w:val="000000" w:themeColor="text1"/>
                <w:sz w:val="30"/>
                <w:szCs w:val="30"/>
                <w14:textFill>
                  <w14:solidFill>
                    <w14:schemeClr w14:val="tx1"/>
                  </w14:solidFill>
                </w14:textFill>
              </w:rPr>
            </w:pPr>
          </w:p>
        </w:tc>
        <w:tc>
          <w:tcPr>
            <w:tcW w:w="1020" w:type="dxa"/>
            <w:tcBorders>
              <w:top w:val="double" w:color="auto" w:sz="6" w:space="0"/>
            </w:tcBorders>
            <w:noWrap w:val="0"/>
            <w:vAlign w:val="center"/>
          </w:tcPr>
          <w:p w14:paraId="0F2D176D">
            <w:pPr>
              <w:keepNext/>
              <w:spacing w:line="440" w:lineRule="exact"/>
              <w:ind w:left="63" w:leftChars="30" w:right="63" w:rightChars="30"/>
              <w:jc w:val="center"/>
              <w:rPr>
                <w:rFonts w:ascii="宋体" w:hAnsi="宋体"/>
                <w:color w:val="000000" w:themeColor="text1"/>
                <w:sz w:val="30"/>
                <w:szCs w:val="30"/>
                <w14:textFill>
                  <w14:solidFill>
                    <w14:schemeClr w14:val="tx1"/>
                  </w14:solidFill>
                </w14:textFill>
              </w:rPr>
            </w:pPr>
          </w:p>
        </w:tc>
        <w:tc>
          <w:tcPr>
            <w:tcW w:w="921" w:type="dxa"/>
            <w:tcBorders>
              <w:top w:val="double" w:color="auto" w:sz="6" w:space="0"/>
            </w:tcBorders>
            <w:noWrap w:val="0"/>
            <w:vAlign w:val="center"/>
          </w:tcPr>
          <w:p w14:paraId="3758B117">
            <w:pPr>
              <w:keepNext/>
              <w:spacing w:line="440" w:lineRule="exact"/>
              <w:ind w:left="63" w:leftChars="30" w:right="63" w:rightChars="30"/>
              <w:jc w:val="center"/>
              <w:rPr>
                <w:rFonts w:ascii="宋体" w:hAnsi="宋体"/>
                <w:color w:val="000000" w:themeColor="text1"/>
                <w:sz w:val="30"/>
                <w:szCs w:val="30"/>
                <w14:textFill>
                  <w14:solidFill>
                    <w14:schemeClr w14:val="tx1"/>
                  </w14:solidFill>
                </w14:textFill>
              </w:rPr>
            </w:pPr>
          </w:p>
        </w:tc>
      </w:tr>
      <w:tr w14:paraId="33059CD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tcBorders>
              <w:top w:val="nil"/>
            </w:tcBorders>
            <w:noWrap w:val="0"/>
            <w:vAlign w:val="center"/>
          </w:tcPr>
          <w:p w14:paraId="49AD73F8">
            <w:pPr>
              <w:keepNext/>
              <w:spacing w:line="440" w:lineRule="exact"/>
              <w:ind w:left="63" w:leftChars="30" w:right="63" w:rightChars="30"/>
              <w:jc w:val="center"/>
              <w:rPr>
                <w:rFonts w:ascii="宋体" w:hAnsi="宋体"/>
                <w:color w:val="000000" w:themeColor="text1"/>
                <w:sz w:val="30"/>
                <w:szCs w:val="30"/>
                <w14:textFill>
                  <w14:solidFill>
                    <w14:schemeClr w14:val="tx1"/>
                  </w14:solidFill>
                </w14:textFill>
              </w:rPr>
            </w:pPr>
          </w:p>
        </w:tc>
        <w:tc>
          <w:tcPr>
            <w:tcW w:w="1418" w:type="dxa"/>
            <w:tcBorders>
              <w:top w:val="nil"/>
            </w:tcBorders>
            <w:noWrap w:val="0"/>
            <w:vAlign w:val="center"/>
          </w:tcPr>
          <w:p w14:paraId="5BEC8396">
            <w:pPr>
              <w:keepNext/>
              <w:spacing w:line="440" w:lineRule="exact"/>
              <w:ind w:left="63" w:leftChars="30" w:right="63" w:rightChars="30"/>
              <w:jc w:val="center"/>
              <w:rPr>
                <w:rFonts w:ascii="宋体" w:hAnsi="宋体"/>
                <w:color w:val="000000" w:themeColor="text1"/>
                <w:sz w:val="30"/>
                <w:szCs w:val="30"/>
                <w14:textFill>
                  <w14:solidFill>
                    <w14:schemeClr w14:val="tx1"/>
                  </w14:solidFill>
                </w14:textFill>
              </w:rPr>
            </w:pPr>
          </w:p>
        </w:tc>
        <w:tc>
          <w:tcPr>
            <w:tcW w:w="850" w:type="dxa"/>
            <w:tcBorders>
              <w:top w:val="nil"/>
            </w:tcBorders>
            <w:noWrap w:val="0"/>
            <w:vAlign w:val="center"/>
          </w:tcPr>
          <w:p w14:paraId="67E98A4B">
            <w:pPr>
              <w:keepNext/>
              <w:spacing w:line="440" w:lineRule="exact"/>
              <w:ind w:left="63" w:leftChars="30" w:right="63" w:rightChars="30"/>
              <w:jc w:val="center"/>
              <w:rPr>
                <w:rFonts w:ascii="宋体" w:hAnsi="宋体"/>
                <w:color w:val="000000" w:themeColor="text1"/>
                <w:sz w:val="30"/>
                <w:szCs w:val="30"/>
                <w14:textFill>
                  <w14:solidFill>
                    <w14:schemeClr w14:val="tx1"/>
                  </w14:solidFill>
                </w14:textFill>
              </w:rPr>
            </w:pPr>
          </w:p>
        </w:tc>
        <w:tc>
          <w:tcPr>
            <w:tcW w:w="1058" w:type="dxa"/>
            <w:tcBorders>
              <w:top w:val="nil"/>
            </w:tcBorders>
            <w:noWrap w:val="0"/>
            <w:vAlign w:val="center"/>
          </w:tcPr>
          <w:p w14:paraId="358CF8F0">
            <w:pPr>
              <w:keepNext/>
              <w:spacing w:line="440" w:lineRule="exact"/>
              <w:ind w:left="63" w:leftChars="30" w:right="63" w:rightChars="30"/>
              <w:jc w:val="center"/>
              <w:rPr>
                <w:rFonts w:ascii="宋体" w:hAnsi="宋体"/>
                <w:color w:val="000000" w:themeColor="text1"/>
                <w:sz w:val="30"/>
                <w:szCs w:val="30"/>
                <w14:textFill>
                  <w14:solidFill>
                    <w14:schemeClr w14:val="tx1"/>
                  </w14:solidFill>
                </w14:textFill>
              </w:rPr>
            </w:pPr>
          </w:p>
        </w:tc>
        <w:tc>
          <w:tcPr>
            <w:tcW w:w="880" w:type="dxa"/>
            <w:tcBorders>
              <w:top w:val="nil"/>
            </w:tcBorders>
            <w:noWrap w:val="0"/>
            <w:vAlign w:val="center"/>
          </w:tcPr>
          <w:p w14:paraId="56A3D4A9">
            <w:pPr>
              <w:keepNext/>
              <w:spacing w:line="440" w:lineRule="exact"/>
              <w:ind w:left="63" w:leftChars="30" w:right="63" w:rightChars="30"/>
              <w:jc w:val="center"/>
              <w:rPr>
                <w:rFonts w:ascii="宋体" w:hAnsi="宋体"/>
                <w:color w:val="000000" w:themeColor="text1"/>
                <w:sz w:val="30"/>
                <w:szCs w:val="30"/>
                <w14:textFill>
                  <w14:solidFill>
                    <w14:schemeClr w14:val="tx1"/>
                  </w14:solidFill>
                </w14:textFill>
              </w:rPr>
            </w:pPr>
          </w:p>
        </w:tc>
        <w:tc>
          <w:tcPr>
            <w:tcW w:w="1020" w:type="dxa"/>
            <w:tcBorders>
              <w:top w:val="nil"/>
            </w:tcBorders>
            <w:noWrap w:val="0"/>
            <w:vAlign w:val="center"/>
          </w:tcPr>
          <w:p w14:paraId="5ED39BEC">
            <w:pPr>
              <w:keepNext/>
              <w:spacing w:line="440" w:lineRule="exact"/>
              <w:ind w:left="63" w:leftChars="30" w:right="63" w:rightChars="30"/>
              <w:jc w:val="center"/>
              <w:rPr>
                <w:rFonts w:ascii="宋体" w:hAnsi="宋体"/>
                <w:color w:val="000000" w:themeColor="text1"/>
                <w:sz w:val="30"/>
                <w:szCs w:val="30"/>
                <w14:textFill>
                  <w14:solidFill>
                    <w14:schemeClr w14:val="tx1"/>
                  </w14:solidFill>
                </w14:textFill>
              </w:rPr>
            </w:pPr>
          </w:p>
        </w:tc>
        <w:tc>
          <w:tcPr>
            <w:tcW w:w="1480" w:type="dxa"/>
            <w:tcBorders>
              <w:top w:val="nil"/>
            </w:tcBorders>
            <w:noWrap w:val="0"/>
            <w:vAlign w:val="center"/>
          </w:tcPr>
          <w:p w14:paraId="4B807142">
            <w:pPr>
              <w:keepNext/>
              <w:spacing w:line="440" w:lineRule="exact"/>
              <w:ind w:left="63" w:leftChars="30" w:right="63" w:rightChars="30"/>
              <w:jc w:val="center"/>
              <w:rPr>
                <w:rFonts w:ascii="宋体" w:hAnsi="宋体"/>
                <w:color w:val="000000" w:themeColor="text1"/>
                <w:sz w:val="30"/>
                <w:szCs w:val="30"/>
                <w14:textFill>
                  <w14:solidFill>
                    <w14:schemeClr w14:val="tx1"/>
                  </w14:solidFill>
                </w14:textFill>
              </w:rPr>
            </w:pPr>
          </w:p>
        </w:tc>
        <w:tc>
          <w:tcPr>
            <w:tcW w:w="1020" w:type="dxa"/>
            <w:tcBorders>
              <w:top w:val="nil"/>
            </w:tcBorders>
            <w:noWrap w:val="0"/>
            <w:vAlign w:val="center"/>
          </w:tcPr>
          <w:p w14:paraId="3E993944">
            <w:pPr>
              <w:keepNext/>
              <w:spacing w:line="440" w:lineRule="exact"/>
              <w:ind w:left="63" w:leftChars="30" w:right="63" w:rightChars="30"/>
              <w:jc w:val="center"/>
              <w:rPr>
                <w:rFonts w:ascii="宋体" w:hAnsi="宋体"/>
                <w:color w:val="000000" w:themeColor="text1"/>
                <w:sz w:val="30"/>
                <w:szCs w:val="30"/>
                <w14:textFill>
                  <w14:solidFill>
                    <w14:schemeClr w14:val="tx1"/>
                  </w14:solidFill>
                </w14:textFill>
              </w:rPr>
            </w:pPr>
          </w:p>
        </w:tc>
        <w:tc>
          <w:tcPr>
            <w:tcW w:w="921" w:type="dxa"/>
            <w:tcBorders>
              <w:top w:val="nil"/>
            </w:tcBorders>
            <w:noWrap w:val="0"/>
            <w:vAlign w:val="center"/>
          </w:tcPr>
          <w:p w14:paraId="00247DEB">
            <w:pPr>
              <w:keepNext/>
              <w:spacing w:line="440" w:lineRule="exact"/>
              <w:ind w:left="63" w:leftChars="30" w:right="63" w:rightChars="30"/>
              <w:jc w:val="center"/>
              <w:rPr>
                <w:rFonts w:ascii="宋体" w:hAnsi="宋体"/>
                <w:color w:val="000000" w:themeColor="text1"/>
                <w:sz w:val="30"/>
                <w:szCs w:val="30"/>
                <w14:textFill>
                  <w14:solidFill>
                    <w14:schemeClr w14:val="tx1"/>
                  </w14:solidFill>
                </w14:textFill>
              </w:rPr>
            </w:pPr>
          </w:p>
        </w:tc>
      </w:tr>
      <w:tr w14:paraId="414BCDE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noWrap w:val="0"/>
            <w:vAlign w:val="center"/>
          </w:tcPr>
          <w:p w14:paraId="2E6CDB1D">
            <w:pPr>
              <w:keepNext/>
              <w:spacing w:line="440" w:lineRule="exact"/>
              <w:ind w:left="63" w:leftChars="30" w:right="63" w:rightChars="30"/>
              <w:jc w:val="center"/>
              <w:rPr>
                <w:rFonts w:ascii="宋体" w:hAnsi="宋体"/>
                <w:color w:val="000000" w:themeColor="text1"/>
                <w:sz w:val="30"/>
                <w:szCs w:val="30"/>
                <w14:textFill>
                  <w14:solidFill>
                    <w14:schemeClr w14:val="tx1"/>
                  </w14:solidFill>
                </w14:textFill>
              </w:rPr>
            </w:pPr>
          </w:p>
        </w:tc>
        <w:tc>
          <w:tcPr>
            <w:tcW w:w="1418" w:type="dxa"/>
            <w:noWrap w:val="0"/>
            <w:vAlign w:val="center"/>
          </w:tcPr>
          <w:p w14:paraId="450ED007">
            <w:pPr>
              <w:keepNext/>
              <w:spacing w:line="440" w:lineRule="exact"/>
              <w:ind w:left="63" w:leftChars="30" w:right="63" w:rightChars="30"/>
              <w:jc w:val="center"/>
              <w:rPr>
                <w:rFonts w:ascii="宋体" w:hAnsi="宋体"/>
                <w:color w:val="000000" w:themeColor="text1"/>
                <w:sz w:val="30"/>
                <w:szCs w:val="30"/>
                <w14:textFill>
                  <w14:solidFill>
                    <w14:schemeClr w14:val="tx1"/>
                  </w14:solidFill>
                </w14:textFill>
              </w:rPr>
            </w:pPr>
          </w:p>
        </w:tc>
        <w:tc>
          <w:tcPr>
            <w:tcW w:w="850" w:type="dxa"/>
            <w:noWrap w:val="0"/>
            <w:vAlign w:val="center"/>
          </w:tcPr>
          <w:p w14:paraId="4AEAF9FB">
            <w:pPr>
              <w:keepNext/>
              <w:spacing w:line="440" w:lineRule="exact"/>
              <w:ind w:left="63" w:leftChars="30" w:right="63" w:rightChars="30"/>
              <w:jc w:val="center"/>
              <w:rPr>
                <w:rFonts w:ascii="宋体" w:hAnsi="宋体"/>
                <w:color w:val="000000" w:themeColor="text1"/>
                <w:sz w:val="30"/>
                <w:szCs w:val="30"/>
                <w14:textFill>
                  <w14:solidFill>
                    <w14:schemeClr w14:val="tx1"/>
                  </w14:solidFill>
                </w14:textFill>
              </w:rPr>
            </w:pPr>
          </w:p>
        </w:tc>
        <w:tc>
          <w:tcPr>
            <w:tcW w:w="1058" w:type="dxa"/>
            <w:noWrap w:val="0"/>
            <w:vAlign w:val="center"/>
          </w:tcPr>
          <w:p w14:paraId="5881CA78">
            <w:pPr>
              <w:keepNext/>
              <w:spacing w:line="440" w:lineRule="exact"/>
              <w:ind w:left="63" w:leftChars="30" w:right="63" w:rightChars="30"/>
              <w:jc w:val="center"/>
              <w:rPr>
                <w:rFonts w:ascii="宋体" w:hAnsi="宋体"/>
                <w:color w:val="000000" w:themeColor="text1"/>
                <w:sz w:val="30"/>
                <w:szCs w:val="30"/>
                <w14:textFill>
                  <w14:solidFill>
                    <w14:schemeClr w14:val="tx1"/>
                  </w14:solidFill>
                </w14:textFill>
              </w:rPr>
            </w:pPr>
          </w:p>
        </w:tc>
        <w:tc>
          <w:tcPr>
            <w:tcW w:w="880" w:type="dxa"/>
            <w:noWrap w:val="0"/>
            <w:vAlign w:val="center"/>
          </w:tcPr>
          <w:p w14:paraId="2F7EA273">
            <w:pPr>
              <w:keepNext/>
              <w:spacing w:line="440" w:lineRule="exact"/>
              <w:ind w:left="63" w:leftChars="30" w:right="63" w:rightChars="30"/>
              <w:jc w:val="center"/>
              <w:rPr>
                <w:rFonts w:ascii="宋体" w:hAnsi="宋体"/>
                <w:color w:val="000000" w:themeColor="text1"/>
                <w:sz w:val="30"/>
                <w:szCs w:val="30"/>
                <w14:textFill>
                  <w14:solidFill>
                    <w14:schemeClr w14:val="tx1"/>
                  </w14:solidFill>
                </w14:textFill>
              </w:rPr>
            </w:pPr>
          </w:p>
        </w:tc>
        <w:tc>
          <w:tcPr>
            <w:tcW w:w="1020" w:type="dxa"/>
            <w:noWrap w:val="0"/>
            <w:vAlign w:val="center"/>
          </w:tcPr>
          <w:p w14:paraId="327C870D">
            <w:pPr>
              <w:keepNext/>
              <w:spacing w:line="440" w:lineRule="exact"/>
              <w:ind w:left="63" w:leftChars="30" w:right="63" w:rightChars="30"/>
              <w:jc w:val="center"/>
              <w:rPr>
                <w:rFonts w:ascii="宋体" w:hAnsi="宋体"/>
                <w:color w:val="000000" w:themeColor="text1"/>
                <w:sz w:val="30"/>
                <w:szCs w:val="30"/>
                <w14:textFill>
                  <w14:solidFill>
                    <w14:schemeClr w14:val="tx1"/>
                  </w14:solidFill>
                </w14:textFill>
              </w:rPr>
            </w:pPr>
          </w:p>
        </w:tc>
        <w:tc>
          <w:tcPr>
            <w:tcW w:w="1480" w:type="dxa"/>
            <w:noWrap w:val="0"/>
            <w:vAlign w:val="center"/>
          </w:tcPr>
          <w:p w14:paraId="63B26F79">
            <w:pPr>
              <w:keepNext/>
              <w:spacing w:line="440" w:lineRule="exact"/>
              <w:ind w:left="63" w:leftChars="30" w:right="63" w:rightChars="30"/>
              <w:jc w:val="center"/>
              <w:rPr>
                <w:rFonts w:ascii="宋体" w:hAnsi="宋体"/>
                <w:color w:val="000000" w:themeColor="text1"/>
                <w:sz w:val="30"/>
                <w:szCs w:val="30"/>
                <w14:textFill>
                  <w14:solidFill>
                    <w14:schemeClr w14:val="tx1"/>
                  </w14:solidFill>
                </w14:textFill>
              </w:rPr>
            </w:pPr>
          </w:p>
        </w:tc>
        <w:tc>
          <w:tcPr>
            <w:tcW w:w="1020" w:type="dxa"/>
            <w:noWrap w:val="0"/>
            <w:vAlign w:val="center"/>
          </w:tcPr>
          <w:p w14:paraId="196EA8FF">
            <w:pPr>
              <w:keepNext/>
              <w:spacing w:line="440" w:lineRule="exact"/>
              <w:ind w:left="63" w:leftChars="30" w:right="63" w:rightChars="30"/>
              <w:jc w:val="center"/>
              <w:rPr>
                <w:rFonts w:ascii="宋体" w:hAnsi="宋体"/>
                <w:color w:val="000000" w:themeColor="text1"/>
                <w:sz w:val="30"/>
                <w:szCs w:val="30"/>
                <w14:textFill>
                  <w14:solidFill>
                    <w14:schemeClr w14:val="tx1"/>
                  </w14:solidFill>
                </w14:textFill>
              </w:rPr>
            </w:pPr>
          </w:p>
        </w:tc>
        <w:tc>
          <w:tcPr>
            <w:tcW w:w="921" w:type="dxa"/>
            <w:noWrap w:val="0"/>
            <w:vAlign w:val="center"/>
          </w:tcPr>
          <w:p w14:paraId="01D49ACF">
            <w:pPr>
              <w:keepNext/>
              <w:spacing w:line="440" w:lineRule="exact"/>
              <w:ind w:left="63" w:leftChars="30" w:right="63" w:rightChars="30"/>
              <w:jc w:val="center"/>
              <w:rPr>
                <w:rFonts w:ascii="宋体" w:hAnsi="宋体"/>
                <w:color w:val="000000" w:themeColor="text1"/>
                <w:sz w:val="30"/>
                <w:szCs w:val="30"/>
                <w14:textFill>
                  <w14:solidFill>
                    <w14:schemeClr w14:val="tx1"/>
                  </w14:solidFill>
                </w14:textFill>
              </w:rPr>
            </w:pPr>
          </w:p>
        </w:tc>
      </w:tr>
      <w:tr w14:paraId="1CF05C8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noWrap w:val="0"/>
            <w:vAlign w:val="center"/>
          </w:tcPr>
          <w:p w14:paraId="4EE80D5F">
            <w:pPr>
              <w:keepNext/>
              <w:spacing w:line="440" w:lineRule="exact"/>
              <w:ind w:left="63" w:leftChars="30" w:right="63" w:rightChars="30"/>
              <w:jc w:val="center"/>
              <w:rPr>
                <w:rFonts w:ascii="宋体" w:hAnsi="宋体"/>
                <w:color w:val="000000" w:themeColor="text1"/>
                <w:sz w:val="30"/>
                <w:szCs w:val="30"/>
                <w14:textFill>
                  <w14:solidFill>
                    <w14:schemeClr w14:val="tx1"/>
                  </w14:solidFill>
                </w14:textFill>
              </w:rPr>
            </w:pPr>
          </w:p>
        </w:tc>
        <w:tc>
          <w:tcPr>
            <w:tcW w:w="1418" w:type="dxa"/>
            <w:noWrap w:val="0"/>
            <w:vAlign w:val="center"/>
          </w:tcPr>
          <w:p w14:paraId="43B38F92">
            <w:pPr>
              <w:keepNext/>
              <w:spacing w:line="440" w:lineRule="exact"/>
              <w:ind w:left="63" w:leftChars="30" w:right="63" w:rightChars="30"/>
              <w:jc w:val="center"/>
              <w:rPr>
                <w:rFonts w:ascii="宋体" w:hAnsi="宋体"/>
                <w:color w:val="000000" w:themeColor="text1"/>
                <w:sz w:val="30"/>
                <w:szCs w:val="30"/>
                <w14:textFill>
                  <w14:solidFill>
                    <w14:schemeClr w14:val="tx1"/>
                  </w14:solidFill>
                </w14:textFill>
              </w:rPr>
            </w:pPr>
          </w:p>
        </w:tc>
        <w:tc>
          <w:tcPr>
            <w:tcW w:w="850" w:type="dxa"/>
            <w:noWrap w:val="0"/>
            <w:vAlign w:val="center"/>
          </w:tcPr>
          <w:p w14:paraId="6F91BF6F">
            <w:pPr>
              <w:keepNext/>
              <w:spacing w:line="440" w:lineRule="exact"/>
              <w:ind w:left="63" w:leftChars="30" w:right="63" w:rightChars="30"/>
              <w:jc w:val="center"/>
              <w:rPr>
                <w:rFonts w:ascii="宋体" w:hAnsi="宋体"/>
                <w:color w:val="000000" w:themeColor="text1"/>
                <w:sz w:val="30"/>
                <w:szCs w:val="30"/>
                <w14:textFill>
                  <w14:solidFill>
                    <w14:schemeClr w14:val="tx1"/>
                  </w14:solidFill>
                </w14:textFill>
              </w:rPr>
            </w:pPr>
          </w:p>
        </w:tc>
        <w:tc>
          <w:tcPr>
            <w:tcW w:w="1058" w:type="dxa"/>
            <w:noWrap w:val="0"/>
            <w:vAlign w:val="center"/>
          </w:tcPr>
          <w:p w14:paraId="6D561BA9">
            <w:pPr>
              <w:keepNext/>
              <w:spacing w:line="440" w:lineRule="exact"/>
              <w:ind w:left="63" w:leftChars="30" w:right="63" w:rightChars="30"/>
              <w:jc w:val="center"/>
              <w:rPr>
                <w:rFonts w:ascii="宋体" w:hAnsi="宋体"/>
                <w:color w:val="000000" w:themeColor="text1"/>
                <w:sz w:val="30"/>
                <w:szCs w:val="30"/>
                <w14:textFill>
                  <w14:solidFill>
                    <w14:schemeClr w14:val="tx1"/>
                  </w14:solidFill>
                </w14:textFill>
              </w:rPr>
            </w:pPr>
          </w:p>
        </w:tc>
        <w:tc>
          <w:tcPr>
            <w:tcW w:w="880" w:type="dxa"/>
            <w:noWrap w:val="0"/>
            <w:vAlign w:val="center"/>
          </w:tcPr>
          <w:p w14:paraId="2A18C077">
            <w:pPr>
              <w:keepNext/>
              <w:spacing w:line="440" w:lineRule="exact"/>
              <w:ind w:left="63" w:leftChars="30" w:right="63" w:rightChars="30"/>
              <w:jc w:val="center"/>
              <w:rPr>
                <w:rFonts w:ascii="宋体" w:hAnsi="宋体"/>
                <w:color w:val="000000" w:themeColor="text1"/>
                <w:sz w:val="30"/>
                <w:szCs w:val="30"/>
                <w14:textFill>
                  <w14:solidFill>
                    <w14:schemeClr w14:val="tx1"/>
                  </w14:solidFill>
                </w14:textFill>
              </w:rPr>
            </w:pPr>
          </w:p>
        </w:tc>
        <w:tc>
          <w:tcPr>
            <w:tcW w:w="1020" w:type="dxa"/>
            <w:noWrap w:val="0"/>
            <w:vAlign w:val="center"/>
          </w:tcPr>
          <w:p w14:paraId="600CEA30">
            <w:pPr>
              <w:keepNext/>
              <w:spacing w:line="440" w:lineRule="exact"/>
              <w:ind w:left="63" w:leftChars="30" w:right="63" w:rightChars="30"/>
              <w:jc w:val="center"/>
              <w:rPr>
                <w:rFonts w:ascii="宋体" w:hAnsi="宋体"/>
                <w:color w:val="000000" w:themeColor="text1"/>
                <w:sz w:val="30"/>
                <w:szCs w:val="30"/>
                <w14:textFill>
                  <w14:solidFill>
                    <w14:schemeClr w14:val="tx1"/>
                  </w14:solidFill>
                </w14:textFill>
              </w:rPr>
            </w:pPr>
          </w:p>
        </w:tc>
        <w:tc>
          <w:tcPr>
            <w:tcW w:w="1480" w:type="dxa"/>
            <w:noWrap w:val="0"/>
            <w:vAlign w:val="center"/>
          </w:tcPr>
          <w:p w14:paraId="4FF81935">
            <w:pPr>
              <w:keepNext/>
              <w:spacing w:line="440" w:lineRule="exact"/>
              <w:ind w:left="63" w:leftChars="30" w:right="63" w:rightChars="30"/>
              <w:jc w:val="center"/>
              <w:rPr>
                <w:rFonts w:ascii="宋体" w:hAnsi="宋体"/>
                <w:color w:val="000000" w:themeColor="text1"/>
                <w:sz w:val="30"/>
                <w:szCs w:val="30"/>
                <w14:textFill>
                  <w14:solidFill>
                    <w14:schemeClr w14:val="tx1"/>
                  </w14:solidFill>
                </w14:textFill>
              </w:rPr>
            </w:pPr>
          </w:p>
        </w:tc>
        <w:tc>
          <w:tcPr>
            <w:tcW w:w="1020" w:type="dxa"/>
            <w:noWrap w:val="0"/>
            <w:vAlign w:val="center"/>
          </w:tcPr>
          <w:p w14:paraId="1AFB1285">
            <w:pPr>
              <w:keepNext/>
              <w:spacing w:line="440" w:lineRule="exact"/>
              <w:ind w:left="63" w:leftChars="30" w:right="63" w:rightChars="30"/>
              <w:jc w:val="center"/>
              <w:rPr>
                <w:rFonts w:ascii="宋体" w:hAnsi="宋体"/>
                <w:color w:val="000000" w:themeColor="text1"/>
                <w:sz w:val="30"/>
                <w:szCs w:val="30"/>
                <w14:textFill>
                  <w14:solidFill>
                    <w14:schemeClr w14:val="tx1"/>
                  </w14:solidFill>
                </w14:textFill>
              </w:rPr>
            </w:pPr>
          </w:p>
        </w:tc>
        <w:tc>
          <w:tcPr>
            <w:tcW w:w="921" w:type="dxa"/>
            <w:noWrap w:val="0"/>
            <w:vAlign w:val="center"/>
          </w:tcPr>
          <w:p w14:paraId="755C77C0">
            <w:pPr>
              <w:keepNext/>
              <w:spacing w:line="440" w:lineRule="exact"/>
              <w:ind w:left="63" w:leftChars="30" w:right="63" w:rightChars="30"/>
              <w:jc w:val="center"/>
              <w:rPr>
                <w:rFonts w:ascii="宋体" w:hAnsi="宋体"/>
                <w:color w:val="000000" w:themeColor="text1"/>
                <w:sz w:val="30"/>
                <w:szCs w:val="30"/>
                <w14:textFill>
                  <w14:solidFill>
                    <w14:schemeClr w14:val="tx1"/>
                  </w14:solidFill>
                </w14:textFill>
              </w:rPr>
            </w:pPr>
          </w:p>
        </w:tc>
      </w:tr>
      <w:tr w14:paraId="11AE2A4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noWrap w:val="0"/>
            <w:vAlign w:val="top"/>
          </w:tcPr>
          <w:p w14:paraId="1310A2DC">
            <w:pPr>
              <w:rPr>
                <w:rFonts w:ascii="宋体" w:hAnsi="宋体"/>
                <w:color w:val="000000" w:themeColor="text1"/>
                <w:sz w:val="30"/>
                <w:szCs w:val="30"/>
                <w14:textFill>
                  <w14:solidFill>
                    <w14:schemeClr w14:val="tx1"/>
                  </w14:solidFill>
                </w14:textFill>
              </w:rPr>
            </w:pPr>
          </w:p>
        </w:tc>
        <w:tc>
          <w:tcPr>
            <w:tcW w:w="1418" w:type="dxa"/>
            <w:noWrap w:val="0"/>
            <w:vAlign w:val="top"/>
          </w:tcPr>
          <w:p w14:paraId="1F960E28">
            <w:pPr>
              <w:rPr>
                <w:rFonts w:ascii="宋体" w:hAnsi="宋体"/>
                <w:color w:val="000000" w:themeColor="text1"/>
                <w:sz w:val="30"/>
                <w:szCs w:val="30"/>
                <w14:textFill>
                  <w14:solidFill>
                    <w14:schemeClr w14:val="tx1"/>
                  </w14:solidFill>
                </w14:textFill>
              </w:rPr>
            </w:pPr>
          </w:p>
        </w:tc>
        <w:tc>
          <w:tcPr>
            <w:tcW w:w="850" w:type="dxa"/>
            <w:noWrap w:val="0"/>
            <w:vAlign w:val="top"/>
          </w:tcPr>
          <w:p w14:paraId="6545EF04">
            <w:pPr>
              <w:rPr>
                <w:rFonts w:ascii="宋体" w:hAnsi="宋体"/>
                <w:color w:val="000000" w:themeColor="text1"/>
                <w:sz w:val="30"/>
                <w:szCs w:val="30"/>
                <w14:textFill>
                  <w14:solidFill>
                    <w14:schemeClr w14:val="tx1"/>
                  </w14:solidFill>
                </w14:textFill>
              </w:rPr>
            </w:pPr>
          </w:p>
        </w:tc>
        <w:tc>
          <w:tcPr>
            <w:tcW w:w="1058" w:type="dxa"/>
            <w:noWrap w:val="0"/>
            <w:vAlign w:val="top"/>
          </w:tcPr>
          <w:p w14:paraId="02EFB365">
            <w:pPr>
              <w:rPr>
                <w:rFonts w:ascii="宋体" w:hAnsi="宋体"/>
                <w:color w:val="000000" w:themeColor="text1"/>
                <w:sz w:val="30"/>
                <w:szCs w:val="30"/>
                <w14:textFill>
                  <w14:solidFill>
                    <w14:schemeClr w14:val="tx1"/>
                  </w14:solidFill>
                </w14:textFill>
              </w:rPr>
            </w:pPr>
          </w:p>
        </w:tc>
        <w:tc>
          <w:tcPr>
            <w:tcW w:w="880" w:type="dxa"/>
            <w:noWrap w:val="0"/>
            <w:vAlign w:val="top"/>
          </w:tcPr>
          <w:p w14:paraId="478C37F9">
            <w:pPr>
              <w:rPr>
                <w:rFonts w:ascii="宋体" w:hAnsi="宋体"/>
                <w:color w:val="000000" w:themeColor="text1"/>
                <w:sz w:val="30"/>
                <w:szCs w:val="30"/>
                <w14:textFill>
                  <w14:solidFill>
                    <w14:schemeClr w14:val="tx1"/>
                  </w14:solidFill>
                </w14:textFill>
              </w:rPr>
            </w:pPr>
          </w:p>
        </w:tc>
        <w:tc>
          <w:tcPr>
            <w:tcW w:w="1020" w:type="dxa"/>
            <w:noWrap w:val="0"/>
            <w:vAlign w:val="top"/>
          </w:tcPr>
          <w:p w14:paraId="315F3DCA">
            <w:pPr>
              <w:rPr>
                <w:rFonts w:ascii="宋体" w:hAnsi="宋体"/>
                <w:color w:val="000000" w:themeColor="text1"/>
                <w:sz w:val="30"/>
                <w:szCs w:val="30"/>
                <w14:textFill>
                  <w14:solidFill>
                    <w14:schemeClr w14:val="tx1"/>
                  </w14:solidFill>
                </w14:textFill>
              </w:rPr>
            </w:pPr>
          </w:p>
        </w:tc>
        <w:tc>
          <w:tcPr>
            <w:tcW w:w="1480" w:type="dxa"/>
            <w:noWrap w:val="0"/>
            <w:vAlign w:val="top"/>
          </w:tcPr>
          <w:p w14:paraId="69FE4588">
            <w:pPr>
              <w:rPr>
                <w:rFonts w:ascii="宋体" w:hAnsi="宋体"/>
                <w:color w:val="000000" w:themeColor="text1"/>
                <w:sz w:val="30"/>
                <w:szCs w:val="30"/>
                <w14:textFill>
                  <w14:solidFill>
                    <w14:schemeClr w14:val="tx1"/>
                  </w14:solidFill>
                </w14:textFill>
              </w:rPr>
            </w:pPr>
          </w:p>
        </w:tc>
        <w:tc>
          <w:tcPr>
            <w:tcW w:w="1020" w:type="dxa"/>
            <w:noWrap w:val="0"/>
            <w:vAlign w:val="top"/>
          </w:tcPr>
          <w:p w14:paraId="5323057C">
            <w:pPr>
              <w:rPr>
                <w:rFonts w:ascii="宋体" w:hAnsi="宋体"/>
                <w:color w:val="000000" w:themeColor="text1"/>
                <w:sz w:val="30"/>
                <w:szCs w:val="30"/>
                <w14:textFill>
                  <w14:solidFill>
                    <w14:schemeClr w14:val="tx1"/>
                  </w14:solidFill>
                </w14:textFill>
              </w:rPr>
            </w:pPr>
          </w:p>
        </w:tc>
        <w:tc>
          <w:tcPr>
            <w:tcW w:w="921" w:type="dxa"/>
            <w:noWrap w:val="0"/>
            <w:vAlign w:val="top"/>
          </w:tcPr>
          <w:p w14:paraId="7E6EA052">
            <w:pPr>
              <w:rPr>
                <w:rFonts w:ascii="宋体" w:hAnsi="宋体"/>
                <w:color w:val="000000" w:themeColor="text1"/>
                <w:sz w:val="30"/>
                <w:szCs w:val="30"/>
                <w14:textFill>
                  <w14:solidFill>
                    <w14:schemeClr w14:val="tx1"/>
                  </w14:solidFill>
                </w14:textFill>
              </w:rPr>
            </w:pPr>
          </w:p>
        </w:tc>
      </w:tr>
      <w:tr w14:paraId="3F901C0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noWrap w:val="0"/>
            <w:vAlign w:val="center"/>
          </w:tcPr>
          <w:p w14:paraId="765B7FF6">
            <w:pPr>
              <w:keepNext/>
              <w:spacing w:line="440" w:lineRule="exact"/>
              <w:ind w:left="63" w:leftChars="30" w:right="63" w:rightChars="30"/>
              <w:jc w:val="center"/>
              <w:rPr>
                <w:rFonts w:ascii="宋体" w:hAnsi="宋体"/>
                <w:color w:val="000000" w:themeColor="text1"/>
                <w:sz w:val="30"/>
                <w:szCs w:val="30"/>
                <w14:textFill>
                  <w14:solidFill>
                    <w14:schemeClr w14:val="tx1"/>
                  </w14:solidFill>
                </w14:textFill>
              </w:rPr>
            </w:pPr>
          </w:p>
        </w:tc>
        <w:tc>
          <w:tcPr>
            <w:tcW w:w="1418" w:type="dxa"/>
            <w:noWrap w:val="0"/>
            <w:vAlign w:val="center"/>
          </w:tcPr>
          <w:p w14:paraId="130CA881">
            <w:pPr>
              <w:keepNext/>
              <w:spacing w:line="440" w:lineRule="exact"/>
              <w:ind w:left="63" w:leftChars="30" w:right="63" w:rightChars="30"/>
              <w:jc w:val="center"/>
              <w:rPr>
                <w:rFonts w:ascii="宋体" w:hAnsi="宋体"/>
                <w:color w:val="000000" w:themeColor="text1"/>
                <w:sz w:val="30"/>
                <w:szCs w:val="30"/>
                <w14:textFill>
                  <w14:solidFill>
                    <w14:schemeClr w14:val="tx1"/>
                  </w14:solidFill>
                </w14:textFill>
              </w:rPr>
            </w:pPr>
          </w:p>
        </w:tc>
        <w:tc>
          <w:tcPr>
            <w:tcW w:w="850" w:type="dxa"/>
            <w:noWrap w:val="0"/>
            <w:vAlign w:val="center"/>
          </w:tcPr>
          <w:p w14:paraId="722B3801">
            <w:pPr>
              <w:keepNext/>
              <w:spacing w:line="440" w:lineRule="exact"/>
              <w:ind w:left="63" w:leftChars="30" w:right="63" w:rightChars="30"/>
              <w:jc w:val="center"/>
              <w:rPr>
                <w:rFonts w:ascii="宋体" w:hAnsi="宋体"/>
                <w:color w:val="000000" w:themeColor="text1"/>
                <w:sz w:val="30"/>
                <w:szCs w:val="30"/>
                <w14:textFill>
                  <w14:solidFill>
                    <w14:schemeClr w14:val="tx1"/>
                  </w14:solidFill>
                </w14:textFill>
              </w:rPr>
            </w:pPr>
          </w:p>
        </w:tc>
        <w:tc>
          <w:tcPr>
            <w:tcW w:w="1058" w:type="dxa"/>
            <w:noWrap w:val="0"/>
            <w:vAlign w:val="center"/>
          </w:tcPr>
          <w:p w14:paraId="3EDC37B7">
            <w:pPr>
              <w:keepNext/>
              <w:spacing w:line="440" w:lineRule="exact"/>
              <w:ind w:left="63" w:leftChars="30" w:right="63" w:rightChars="30"/>
              <w:jc w:val="center"/>
              <w:rPr>
                <w:rFonts w:ascii="宋体" w:hAnsi="宋体"/>
                <w:color w:val="000000" w:themeColor="text1"/>
                <w:sz w:val="30"/>
                <w:szCs w:val="30"/>
                <w14:textFill>
                  <w14:solidFill>
                    <w14:schemeClr w14:val="tx1"/>
                  </w14:solidFill>
                </w14:textFill>
              </w:rPr>
            </w:pPr>
          </w:p>
        </w:tc>
        <w:tc>
          <w:tcPr>
            <w:tcW w:w="880" w:type="dxa"/>
            <w:noWrap w:val="0"/>
            <w:vAlign w:val="center"/>
          </w:tcPr>
          <w:p w14:paraId="03D5490E">
            <w:pPr>
              <w:keepNext/>
              <w:spacing w:line="440" w:lineRule="exact"/>
              <w:ind w:left="63" w:leftChars="30" w:right="63" w:rightChars="30"/>
              <w:jc w:val="center"/>
              <w:rPr>
                <w:rFonts w:ascii="宋体" w:hAnsi="宋体"/>
                <w:color w:val="000000" w:themeColor="text1"/>
                <w:sz w:val="30"/>
                <w:szCs w:val="30"/>
                <w14:textFill>
                  <w14:solidFill>
                    <w14:schemeClr w14:val="tx1"/>
                  </w14:solidFill>
                </w14:textFill>
              </w:rPr>
            </w:pPr>
          </w:p>
        </w:tc>
        <w:tc>
          <w:tcPr>
            <w:tcW w:w="1020" w:type="dxa"/>
            <w:noWrap w:val="0"/>
            <w:vAlign w:val="center"/>
          </w:tcPr>
          <w:p w14:paraId="3142A301">
            <w:pPr>
              <w:keepNext/>
              <w:spacing w:line="440" w:lineRule="exact"/>
              <w:ind w:left="63" w:leftChars="30" w:right="63" w:rightChars="30"/>
              <w:jc w:val="center"/>
              <w:rPr>
                <w:rFonts w:ascii="宋体" w:hAnsi="宋体"/>
                <w:color w:val="000000" w:themeColor="text1"/>
                <w:sz w:val="30"/>
                <w:szCs w:val="30"/>
                <w14:textFill>
                  <w14:solidFill>
                    <w14:schemeClr w14:val="tx1"/>
                  </w14:solidFill>
                </w14:textFill>
              </w:rPr>
            </w:pPr>
          </w:p>
        </w:tc>
        <w:tc>
          <w:tcPr>
            <w:tcW w:w="1480" w:type="dxa"/>
            <w:noWrap w:val="0"/>
            <w:vAlign w:val="center"/>
          </w:tcPr>
          <w:p w14:paraId="2ECF0EF3">
            <w:pPr>
              <w:keepNext/>
              <w:spacing w:line="440" w:lineRule="exact"/>
              <w:ind w:left="63" w:leftChars="30" w:right="63" w:rightChars="30"/>
              <w:jc w:val="center"/>
              <w:rPr>
                <w:rFonts w:ascii="宋体" w:hAnsi="宋体"/>
                <w:color w:val="000000" w:themeColor="text1"/>
                <w:sz w:val="30"/>
                <w:szCs w:val="30"/>
                <w14:textFill>
                  <w14:solidFill>
                    <w14:schemeClr w14:val="tx1"/>
                  </w14:solidFill>
                </w14:textFill>
              </w:rPr>
            </w:pPr>
          </w:p>
        </w:tc>
        <w:tc>
          <w:tcPr>
            <w:tcW w:w="1020" w:type="dxa"/>
            <w:noWrap w:val="0"/>
            <w:vAlign w:val="center"/>
          </w:tcPr>
          <w:p w14:paraId="75994525">
            <w:pPr>
              <w:keepNext/>
              <w:spacing w:line="440" w:lineRule="exact"/>
              <w:ind w:left="63" w:leftChars="30" w:right="63" w:rightChars="30"/>
              <w:jc w:val="center"/>
              <w:rPr>
                <w:rFonts w:ascii="宋体" w:hAnsi="宋体"/>
                <w:color w:val="000000" w:themeColor="text1"/>
                <w:sz w:val="30"/>
                <w:szCs w:val="30"/>
                <w14:textFill>
                  <w14:solidFill>
                    <w14:schemeClr w14:val="tx1"/>
                  </w14:solidFill>
                </w14:textFill>
              </w:rPr>
            </w:pPr>
          </w:p>
        </w:tc>
        <w:tc>
          <w:tcPr>
            <w:tcW w:w="921" w:type="dxa"/>
            <w:noWrap w:val="0"/>
            <w:vAlign w:val="center"/>
          </w:tcPr>
          <w:p w14:paraId="71CC0991">
            <w:pPr>
              <w:keepNext/>
              <w:spacing w:line="440" w:lineRule="exact"/>
              <w:ind w:left="63" w:leftChars="30" w:right="63" w:rightChars="30"/>
              <w:jc w:val="center"/>
              <w:rPr>
                <w:rFonts w:ascii="宋体" w:hAnsi="宋体"/>
                <w:color w:val="000000" w:themeColor="text1"/>
                <w:sz w:val="30"/>
                <w:szCs w:val="30"/>
                <w14:textFill>
                  <w14:solidFill>
                    <w14:schemeClr w14:val="tx1"/>
                  </w14:solidFill>
                </w14:textFill>
              </w:rPr>
            </w:pPr>
          </w:p>
        </w:tc>
      </w:tr>
      <w:tr w14:paraId="54E3C82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noWrap w:val="0"/>
            <w:vAlign w:val="top"/>
          </w:tcPr>
          <w:p w14:paraId="4E8A0C53">
            <w:pPr>
              <w:rPr>
                <w:rFonts w:ascii="宋体" w:hAnsi="宋体"/>
                <w:color w:val="000000" w:themeColor="text1"/>
                <w:sz w:val="30"/>
                <w:szCs w:val="30"/>
                <w14:textFill>
                  <w14:solidFill>
                    <w14:schemeClr w14:val="tx1"/>
                  </w14:solidFill>
                </w14:textFill>
              </w:rPr>
            </w:pPr>
          </w:p>
        </w:tc>
        <w:tc>
          <w:tcPr>
            <w:tcW w:w="1418" w:type="dxa"/>
            <w:noWrap w:val="0"/>
            <w:vAlign w:val="top"/>
          </w:tcPr>
          <w:p w14:paraId="43123DBD">
            <w:pPr>
              <w:rPr>
                <w:rFonts w:ascii="宋体" w:hAnsi="宋体"/>
                <w:color w:val="000000" w:themeColor="text1"/>
                <w:sz w:val="30"/>
                <w:szCs w:val="30"/>
                <w14:textFill>
                  <w14:solidFill>
                    <w14:schemeClr w14:val="tx1"/>
                  </w14:solidFill>
                </w14:textFill>
              </w:rPr>
            </w:pPr>
          </w:p>
        </w:tc>
        <w:tc>
          <w:tcPr>
            <w:tcW w:w="850" w:type="dxa"/>
            <w:noWrap w:val="0"/>
            <w:vAlign w:val="top"/>
          </w:tcPr>
          <w:p w14:paraId="426CA496">
            <w:pPr>
              <w:rPr>
                <w:rFonts w:ascii="宋体" w:hAnsi="宋体"/>
                <w:color w:val="000000" w:themeColor="text1"/>
                <w:sz w:val="30"/>
                <w:szCs w:val="30"/>
                <w14:textFill>
                  <w14:solidFill>
                    <w14:schemeClr w14:val="tx1"/>
                  </w14:solidFill>
                </w14:textFill>
              </w:rPr>
            </w:pPr>
          </w:p>
        </w:tc>
        <w:tc>
          <w:tcPr>
            <w:tcW w:w="1058" w:type="dxa"/>
            <w:noWrap w:val="0"/>
            <w:vAlign w:val="top"/>
          </w:tcPr>
          <w:p w14:paraId="410B3715">
            <w:pPr>
              <w:rPr>
                <w:rFonts w:ascii="宋体" w:hAnsi="宋体"/>
                <w:color w:val="000000" w:themeColor="text1"/>
                <w:sz w:val="30"/>
                <w:szCs w:val="30"/>
                <w14:textFill>
                  <w14:solidFill>
                    <w14:schemeClr w14:val="tx1"/>
                  </w14:solidFill>
                </w14:textFill>
              </w:rPr>
            </w:pPr>
          </w:p>
        </w:tc>
        <w:tc>
          <w:tcPr>
            <w:tcW w:w="880" w:type="dxa"/>
            <w:noWrap w:val="0"/>
            <w:vAlign w:val="top"/>
          </w:tcPr>
          <w:p w14:paraId="35ACB2F0">
            <w:pPr>
              <w:rPr>
                <w:rFonts w:ascii="宋体" w:hAnsi="宋体"/>
                <w:color w:val="000000" w:themeColor="text1"/>
                <w:sz w:val="30"/>
                <w:szCs w:val="30"/>
                <w14:textFill>
                  <w14:solidFill>
                    <w14:schemeClr w14:val="tx1"/>
                  </w14:solidFill>
                </w14:textFill>
              </w:rPr>
            </w:pPr>
          </w:p>
        </w:tc>
        <w:tc>
          <w:tcPr>
            <w:tcW w:w="1020" w:type="dxa"/>
            <w:noWrap w:val="0"/>
            <w:vAlign w:val="top"/>
          </w:tcPr>
          <w:p w14:paraId="0C66CC9C">
            <w:pPr>
              <w:rPr>
                <w:rFonts w:ascii="宋体" w:hAnsi="宋体"/>
                <w:color w:val="000000" w:themeColor="text1"/>
                <w:sz w:val="30"/>
                <w:szCs w:val="30"/>
                <w14:textFill>
                  <w14:solidFill>
                    <w14:schemeClr w14:val="tx1"/>
                  </w14:solidFill>
                </w14:textFill>
              </w:rPr>
            </w:pPr>
          </w:p>
        </w:tc>
        <w:tc>
          <w:tcPr>
            <w:tcW w:w="1480" w:type="dxa"/>
            <w:noWrap w:val="0"/>
            <w:vAlign w:val="top"/>
          </w:tcPr>
          <w:p w14:paraId="18690AA6">
            <w:pPr>
              <w:rPr>
                <w:rFonts w:ascii="宋体" w:hAnsi="宋体"/>
                <w:color w:val="000000" w:themeColor="text1"/>
                <w:sz w:val="30"/>
                <w:szCs w:val="30"/>
                <w14:textFill>
                  <w14:solidFill>
                    <w14:schemeClr w14:val="tx1"/>
                  </w14:solidFill>
                </w14:textFill>
              </w:rPr>
            </w:pPr>
          </w:p>
        </w:tc>
        <w:tc>
          <w:tcPr>
            <w:tcW w:w="1020" w:type="dxa"/>
            <w:noWrap w:val="0"/>
            <w:vAlign w:val="top"/>
          </w:tcPr>
          <w:p w14:paraId="500EFBCB">
            <w:pPr>
              <w:rPr>
                <w:rFonts w:ascii="宋体" w:hAnsi="宋体"/>
                <w:color w:val="000000" w:themeColor="text1"/>
                <w:sz w:val="30"/>
                <w:szCs w:val="30"/>
                <w14:textFill>
                  <w14:solidFill>
                    <w14:schemeClr w14:val="tx1"/>
                  </w14:solidFill>
                </w14:textFill>
              </w:rPr>
            </w:pPr>
          </w:p>
        </w:tc>
        <w:tc>
          <w:tcPr>
            <w:tcW w:w="921" w:type="dxa"/>
            <w:noWrap w:val="0"/>
            <w:vAlign w:val="top"/>
          </w:tcPr>
          <w:p w14:paraId="62CDA86A">
            <w:pPr>
              <w:rPr>
                <w:rFonts w:ascii="宋体" w:hAnsi="宋体"/>
                <w:color w:val="000000" w:themeColor="text1"/>
                <w:sz w:val="30"/>
                <w:szCs w:val="30"/>
                <w14:textFill>
                  <w14:solidFill>
                    <w14:schemeClr w14:val="tx1"/>
                  </w14:solidFill>
                </w14:textFill>
              </w:rPr>
            </w:pPr>
          </w:p>
        </w:tc>
      </w:tr>
    </w:tbl>
    <w:p w14:paraId="59F116CE">
      <w:pPr>
        <w:spacing w:line="440" w:lineRule="exact"/>
        <w:rPr>
          <w:rFonts w:ascii="宋体" w:hAnsi="宋体"/>
          <w:color w:val="000000" w:themeColor="text1"/>
          <w:sz w:val="30"/>
          <w:szCs w:val="30"/>
          <w14:textFill>
            <w14:solidFill>
              <w14:schemeClr w14:val="tx1"/>
            </w14:solidFill>
          </w14:textFill>
        </w:rPr>
      </w:pPr>
    </w:p>
    <w:p w14:paraId="1FD095B0">
      <w:pPr>
        <w:pStyle w:val="38"/>
        <w:rPr>
          <w:rFonts w:hint="eastAsia" w:hAnsi="宋体"/>
          <w:color w:val="000000" w:themeColor="text1"/>
          <w:sz w:val="30"/>
          <w:szCs w:val="30"/>
          <w14:textFill>
            <w14:solidFill>
              <w14:schemeClr w14:val="tx1"/>
            </w14:solidFill>
          </w14:textFill>
        </w:rPr>
      </w:pPr>
    </w:p>
    <w:p w14:paraId="5D0D6E40">
      <w:pPr>
        <w:spacing w:line="440" w:lineRule="exact"/>
        <w:ind w:firstLine="300" w:firstLineChars="100"/>
        <w:rPr>
          <w:rFonts w:hint="eastAsia" w:ascii="宋体" w:hAnsi="宋体"/>
          <w:color w:val="000000" w:themeColor="text1"/>
          <w:sz w:val="30"/>
          <w:szCs w:val="30"/>
          <w14:textFill>
            <w14:solidFill>
              <w14:schemeClr w14:val="tx1"/>
            </w14:solidFill>
          </w14:textFill>
        </w:rPr>
      </w:pPr>
    </w:p>
    <w:p w14:paraId="08D07B14">
      <w:pPr>
        <w:spacing w:line="440" w:lineRule="exact"/>
        <w:ind w:firstLine="300" w:firstLineChars="100"/>
        <w:rPr>
          <w:rFonts w:hint="eastAsia" w:ascii="宋体" w:hAnsi="宋体"/>
          <w:color w:val="000000" w:themeColor="text1"/>
          <w:sz w:val="30"/>
          <w:szCs w:val="30"/>
          <w14:textFill>
            <w14:solidFill>
              <w14:schemeClr w14:val="tx1"/>
            </w14:solidFill>
          </w14:textFill>
        </w:rPr>
      </w:pPr>
    </w:p>
    <w:p w14:paraId="00EB6A3A">
      <w:pPr>
        <w:spacing w:line="440" w:lineRule="exact"/>
        <w:ind w:firstLine="300" w:firstLineChars="100"/>
        <w:rPr>
          <w:rFonts w:hint="eastAsia" w:ascii="宋体" w:hAnsi="宋体"/>
          <w:color w:val="000000" w:themeColor="text1"/>
          <w:sz w:val="30"/>
          <w:szCs w:val="30"/>
          <w14:textFill>
            <w14:solidFill>
              <w14:schemeClr w14:val="tx1"/>
            </w14:solidFill>
          </w14:textFill>
        </w:rPr>
      </w:pPr>
    </w:p>
    <w:p w14:paraId="4E9A99BD">
      <w:pPr>
        <w:spacing w:line="440" w:lineRule="exact"/>
        <w:ind w:firstLine="300" w:firstLineChars="100"/>
        <w:rPr>
          <w:rFonts w:hint="eastAsia" w:ascii="宋体" w:hAnsi="宋体"/>
          <w:color w:val="000000" w:themeColor="text1"/>
          <w:sz w:val="30"/>
          <w:szCs w:val="30"/>
          <w14:textFill>
            <w14:solidFill>
              <w14:schemeClr w14:val="tx1"/>
            </w14:solidFill>
          </w14:textFill>
        </w:rPr>
      </w:pPr>
      <w:r>
        <w:rPr>
          <w:rFonts w:hint="eastAsia" w:ascii="宋体" w:hAnsi="宋体"/>
          <w:color w:val="000000" w:themeColor="text1"/>
          <w:sz w:val="30"/>
          <w:szCs w:val="30"/>
          <w14:textFill>
            <w14:solidFill>
              <w14:schemeClr w14:val="tx1"/>
            </w14:solidFill>
          </w14:textFill>
        </w:rPr>
        <w:t>附件4：</w:t>
      </w:r>
    </w:p>
    <w:p w14:paraId="7BFA8670">
      <w:pPr>
        <w:spacing w:line="440" w:lineRule="exact"/>
        <w:jc w:val="center"/>
        <w:rPr>
          <w:rFonts w:ascii="宋体" w:hAnsi="宋体"/>
          <w:color w:val="000000" w:themeColor="text1"/>
          <w:sz w:val="30"/>
          <w:szCs w:val="30"/>
          <w14:textFill>
            <w14:solidFill>
              <w14:schemeClr w14:val="tx1"/>
            </w14:solidFill>
          </w14:textFill>
        </w:rPr>
      </w:pPr>
      <w:r>
        <w:rPr>
          <w:rFonts w:hint="eastAsia" w:ascii="宋体" w:hAnsi="宋体"/>
          <w:color w:val="000000" w:themeColor="text1"/>
          <w:sz w:val="30"/>
          <w:szCs w:val="30"/>
          <w14:textFill>
            <w14:solidFill>
              <w14:schemeClr w14:val="tx1"/>
            </w14:solidFill>
          </w14:textFill>
        </w:rPr>
        <w:t>承包人主要施工管理人员表</w:t>
      </w:r>
    </w:p>
    <w:tbl>
      <w:tblPr>
        <w:tblStyle w:val="29"/>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1871"/>
        <w:gridCol w:w="1418"/>
        <w:gridCol w:w="1134"/>
        <w:gridCol w:w="1134"/>
        <w:gridCol w:w="4252"/>
      </w:tblGrid>
      <w:tr w14:paraId="2367F87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12" w:space="0"/>
              <w:bottom w:val="double" w:color="auto" w:sz="6" w:space="0"/>
            </w:tcBorders>
            <w:noWrap w:val="0"/>
            <w:vAlign w:val="center"/>
          </w:tcPr>
          <w:p w14:paraId="751BA919">
            <w:pPr>
              <w:keepNext/>
              <w:spacing w:line="440" w:lineRule="exact"/>
              <w:ind w:left="63" w:leftChars="30" w:right="63" w:rightChars="30"/>
              <w:jc w:val="center"/>
              <w:rPr>
                <w:rFonts w:ascii="宋体" w:hAnsi="宋体"/>
                <w:color w:val="000000" w:themeColor="text1"/>
                <w:szCs w:val="30"/>
                <w14:textFill>
                  <w14:solidFill>
                    <w14:schemeClr w14:val="tx1"/>
                  </w14:solidFill>
                </w14:textFill>
              </w:rPr>
            </w:pPr>
            <w:r>
              <w:rPr>
                <w:rFonts w:hint="eastAsia" w:ascii="宋体" w:hAnsi="宋体"/>
                <w:color w:val="000000" w:themeColor="text1"/>
                <w:szCs w:val="30"/>
                <w14:textFill>
                  <w14:solidFill>
                    <w14:schemeClr w14:val="tx1"/>
                  </w14:solidFill>
                </w14:textFill>
              </w:rPr>
              <w:t>名</w:t>
            </w:r>
            <w:r>
              <w:rPr>
                <w:rFonts w:ascii="宋体" w:hAnsi="宋体"/>
                <w:color w:val="000000" w:themeColor="text1"/>
                <w:szCs w:val="30"/>
                <w14:textFill>
                  <w14:solidFill>
                    <w14:schemeClr w14:val="tx1"/>
                  </w14:solidFill>
                </w14:textFill>
              </w:rPr>
              <w:t xml:space="preserve">    </w:t>
            </w:r>
            <w:r>
              <w:rPr>
                <w:rFonts w:hint="eastAsia" w:ascii="宋体" w:hAnsi="宋体"/>
                <w:color w:val="000000" w:themeColor="text1"/>
                <w:szCs w:val="30"/>
                <w14:textFill>
                  <w14:solidFill>
                    <w14:schemeClr w14:val="tx1"/>
                  </w14:solidFill>
                </w14:textFill>
              </w:rPr>
              <w:t>称</w:t>
            </w:r>
          </w:p>
        </w:tc>
        <w:tc>
          <w:tcPr>
            <w:tcW w:w="1418" w:type="dxa"/>
            <w:tcBorders>
              <w:top w:val="single" w:color="auto" w:sz="12" w:space="0"/>
              <w:bottom w:val="double" w:color="auto" w:sz="6" w:space="0"/>
            </w:tcBorders>
            <w:noWrap w:val="0"/>
            <w:vAlign w:val="center"/>
          </w:tcPr>
          <w:p w14:paraId="29E56056">
            <w:pPr>
              <w:keepNext/>
              <w:spacing w:line="440" w:lineRule="exact"/>
              <w:ind w:left="63" w:leftChars="30" w:right="63" w:rightChars="30"/>
              <w:jc w:val="center"/>
              <w:rPr>
                <w:rFonts w:ascii="宋体" w:hAnsi="宋体"/>
                <w:color w:val="000000" w:themeColor="text1"/>
                <w:szCs w:val="30"/>
                <w14:textFill>
                  <w14:solidFill>
                    <w14:schemeClr w14:val="tx1"/>
                  </w14:solidFill>
                </w14:textFill>
              </w:rPr>
            </w:pPr>
            <w:r>
              <w:rPr>
                <w:rFonts w:hint="eastAsia" w:ascii="宋体" w:hAnsi="宋体"/>
                <w:color w:val="000000" w:themeColor="text1"/>
                <w:szCs w:val="30"/>
                <w14:textFill>
                  <w14:solidFill>
                    <w14:schemeClr w14:val="tx1"/>
                  </w14:solidFill>
                </w14:textFill>
              </w:rPr>
              <w:t>姓名</w:t>
            </w:r>
          </w:p>
        </w:tc>
        <w:tc>
          <w:tcPr>
            <w:tcW w:w="1134" w:type="dxa"/>
            <w:tcBorders>
              <w:top w:val="single" w:color="auto" w:sz="12" w:space="0"/>
              <w:bottom w:val="double" w:color="auto" w:sz="6" w:space="0"/>
            </w:tcBorders>
            <w:noWrap w:val="0"/>
            <w:vAlign w:val="center"/>
          </w:tcPr>
          <w:p w14:paraId="4C19E06E">
            <w:pPr>
              <w:keepNext/>
              <w:spacing w:line="440" w:lineRule="exact"/>
              <w:ind w:left="63" w:leftChars="30" w:right="63" w:rightChars="30"/>
              <w:jc w:val="center"/>
              <w:rPr>
                <w:rFonts w:ascii="宋体" w:hAnsi="宋体"/>
                <w:color w:val="000000" w:themeColor="text1"/>
                <w:sz w:val="30"/>
                <w:szCs w:val="30"/>
                <w14:textFill>
                  <w14:solidFill>
                    <w14:schemeClr w14:val="tx1"/>
                  </w14:solidFill>
                </w14:textFill>
              </w:rPr>
            </w:pPr>
            <w:r>
              <w:rPr>
                <w:rFonts w:hint="eastAsia" w:ascii="宋体" w:hAnsi="宋体"/>
                <w:color w:val="000000" w:themeColor="text1"/>
                <w:sz w:val="30"/>
                <w:szCs w:val="30"/>
                <w14:textFill>
                  <w14:solidFill>
                    <w14:schemeClr w14:val="tx1"/>
                  </w14:solidFill>
                </w14:textFill>
              </w:rPr>
              <w:t>职务</w:t>
            </w:r>
          </w:p>
        </w:tc>
        <w:tc>
          <w:tcPr>
            <w:tcW w:w="1134" w:type="dxa"/>
            <w:tcBorders>
              <w:top w:val="single" w:color="auto" w:sz="12" w:space="0"/>
              <w:bottom w:val="double" w:color="auto" w:sz="6" w:space="0"/>
            </w:tcBorders>
            <w:noWrap w:val="0"/>
            <w:vAlign w:val="center"/>
          </w:tcPr>
          <w:p w14:paraId="62427E98">
            <w:pPr>
              <w:keepNext/>
              <w:spacing w:line="440" w:lineRule="exact"/>
              <w:ind w:left="63" w:leftChars="30" w:right="63" w:rightChars="30"/>
              <w:jc w:val="center"/>
              <w:rPr>
                <w:rFonts w:ascii="宋体" w:hAnsi="宋体"/>
                <w:color w:val="000000" w:themeColor="text1"/>
                <w:sz w:val="30"/>
                <w:szCs w:val="30"/>
                <w14:textFill>
                  <w14:solidFill>
                    <w14:schemeClr w14:val="tx1"/>
                  </w14:solidFill>
                </w14:textFill>
              </w:rPr>
            </w:pPr>
            <w:r>
              <w:rPr>
                <w:rFonts w:hint="eastAsia" w:ascii="宋体" w:hAnsi="宋体"/>
                <w:color w:val="000000" w:themeColor="text1"/>
                <w:sz w:val="30"/>
                <w:szCs w:val="30"/>
                <w14:textFill>
                  <w14:solidFill>
                    <w14:schemeClr w14:val="tx1"/>
                  </w14:solidFill>
                </w14:textFill>
              </w:rPr>
              <w:t>职称</w:t>
            </w:r>
          </w:p>
        </w:tc>
        <w:tc>
          <w:tcPr>
            <w:tcW w:w="4252" w:type="dxa"/>
            <w:tcBorders>
              <w:top w:val="single" w:color="auto" w:sz="12" w:space="0"/>
              <w:bottom w:val="double" w:color="auto" w:sz="6" w:space="0"/>
            </w:tcBorders>
            <w:noWrap w:val="0"/>
            <w:vAlign w:val="center"/>
          </w:tcPr>
          <w:p w14:paraId="479915D0">
            <w:pPr>
              <w:keepNext/>
              <w:spacing w:line="440" w:lineRule="exact"/>
              <w:ind w:left="63" w:leftChars="30" w:right="63" w:rightChars="30"/>
              <w:jc w:val="center"/>
              <w:rPr>
                <w:rFonts w:ascii="宋体" w:hAnsi="宋体"/>
                <w:color w:val="000000" w:themeColor="text1"/>
                <w:sz w:val="30"/>
                <w:szCs w:val="30"/>
                <w14:textFill>
                  <w14:solidFill>
                    <w14:schemeClr w14:val="tx1"/>
                  </w14:solidFill>
                </w14:textFill>
              </w:rPr>
            </w:pPr>
            <w:r>
              <w:rPr>
                <w:rFonts w:hint="eastAsia" w:ascii="宋体" w:hAnsi="宋体"/>
                <w:color w:val="000000" w:themeColor="text1"/>
                <w:sz w:val="30"/>
                <w:szCs w:val="30"/>
                <w14:textFill>
                  <w14:solidFill>
                    <w14:schemeClr w14:val="tx1"/>
                  </w14:solidFill>
                </w14:textFill>
              </w:rPr>
              <w:t>主要资历、经验及承担过的项目</w:t>
            </w:r>
          </w:p>
        </w:tc>
      </w:tr>
      <w:tr w14:paraId="155108D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809" w:type="dxa"/>
            <w:gridSpan w:val="5"/>
            <w:tcBorders>
              <w:top w:val="double" w:color="auto" w:sz="6" w:space="0"/>
            </w:tcBorders>
            <w:noWrap w:val="0"/>
            <w:vAlign w:val="center"/>
          </w:tcPr>
          <w:p w14:paraId="06B08B54">
            <w:pPr>
              <w:keepNext/>
              <w:spacing w:line="440" w:lineRule="exact"/>
              <w:ind w:left="63" w:leftChars="30" w:right="63" w:rightChars="30"/>
              <w:jc w:val="center"/>
              <w:rPr>
                <w:rFonts w:ascii="宋体" w:hAnsi="宋体"/>
                <w:color w:val="000000" w:themeColor="text1"/>
                <w:szCs w:val="30"/>
                <w14:textFill>
                  <w14:solidFill>
                    <w14:schemeClr w14:val="tx1"/>
                  </w14:solidFill>
                </w14:textFill>
              </w:rPr>
            </w:pPr>
            <w:r>
              <w:rPr>
                <w:rFonts w:hint="eastAsia" w:ascii="宋体" w:hAnsi="宋体"/>
                <w:color w:val="000000" w:themeColor="text1"/>
                <w:szCs w:val="30"/>
                <w14:textFill>
                  <w14:solidFill>
                    <w14:schemeClr w14:val="tx1"/>
                  </w14:solidFill>
                </w14:textFill>
              </w:rPr>
              <w:t>一、总部人员</w:t>
            </w:r>
          </w:p>
        </w:tc>
      </w:tr>
      <w:tr w14:paraId="3144D41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nil"/>
              <w:bottom w:val="nil"/>
            </w:tcBorders>
            <w:noWrap w:val="0"/>
            <w:vAlign w:val="center"/>
          </w:tcPr>
          <w:p w14:paraId="73BED360">
            <w:pPr>
              <w:keepNext/>
              <w:spacing w:line="440" w:lineRule="exact"/>
              <w:ind w:left="63" w:leftChars="30" w:right="63" w:rightChars="30"/>
              <w:jc w:val="center"/>
              <w:rPr>
                <w:rFonts w:ascii="宋体" w:hAnsi="宋体"/>
                <w:color w:val="000000" w:themeColor="text1"/>
                <w:szCs w:val="30"/>
                <w14:textFill>
                  <w14:solidFill>
                    <w14:schemeClr w14:val="tx1"/>
                  </w14:solidFill>
                </w14:textFill>
              </w:rPr>
            </w:pPr>
            <w:r>
              <w:rPr>
                <w:rFonts w:hint="eastAsia" w:ascii="宋体" w:hAnsi="宋体"/>
                <w:color w:val="000000" w:themeColor="text1"/>
                <w:szCs w:val="30"/>
                <w14:textFill>
                  <w14:solidFill>
                    <w14:schemeClr w14:val="tx1"/>
                  </w14:solidFill>
                </w14:textFill>
              </w:rPr>
              <w:t>项目主管</w:t>
            </w:r>
          </w:p>
        </w:tc>
        <w:tc>
          <w:tcPr>
            <w:tcW w:w="1418" w:type="dxa"/>
            <w:tcBorders>
              <w:top w:val="nil"/>
            </w:tcBorders>
            <w:noWrap w:val="0"/>
            <w:vAlign w:val="center"/>
          </w:tcPr>
          <w:p w14:paraId="419B4E8C">
            <w:pPr>
              <w:keepNext/>
              <w:spacing w:line="440" w:lineRule="exact"/>
              <w:ind w:left="63" w:leftChars="30" w:right="63" w:rightChars="30"/>
              <w:jc w:val="center"/>
              <w:rPr>
                <w:rFonts w:ascii="宋体" w:hAnsi="宋体"/>
                <w:color w:val="000000" w:themeColor="text1"/>
                <w:szCs w:val="30"/>
                <w14:textFill>
                  <w14:solidFill>
                    <w14:schemeClr w14:val="tx1"/>
                  </w14:solidFill>
                </w14:textFill>
              </w:rPr>
            </w:pPr>
          </w:p>
        </w:tc>
        <w:tc>
          <w:tcPr>
            <w:tcW w:w="1134" w:type="dxa"/>
            <w:tcBorders>
              <w:top w:val="nil"/>
            </w:tcBorders>
            <w:noWrap w:val="0"/>
            <w:vAlign w:val="center"/>
          </w:tcPr>
          <w:p w14:paraId="4016B241">
            <w:pPr>
              <w:keepNext/>
              <w:spacing w:line="440" w:lineRule="exact"/>
              <w:ind w:left="63" w:leftChars="30" w:right="63" w:rightChars="30"/>
              <w:jc w:val="center"/>
              <w:rPr>
                <w:rFonts w:ascii="宋体" w:hAnsi="宋体"/>
                <w:color w:val="000000" w:themeColor="text1"/>
                <w:sz w:val="30"/>
                <w:szCs w:val="30"/>
                <w14:textFill>
                  <w14:solidFill>
                    <w14:schemeClr w14:val="tx1"/>
                  </w14:solidFill>
                </w14:textFill>
              </w:rPr>
            </w:pPr>
          </w:p>
        </w:tc>
        <w:tc>
          <w:tcPr>
            <w:tcW w:w="1134" w:type="dxa"/>
            <w:tcBorders>
              <w:top w:val="nil"/>
            </w:tcBorders>
            <w:noWrap w:val="0"/>
            <w:vAlign w:val="center"/>
          </w:tcPr>
          <w:p w14:paraId="5A00A711">
            <w:pPr>
              <w:keepNext/>
              <w:spacing w:line="440" w:lineRule="exact"/>
              <w:ind w:left="63" w:leftChars="30" w:right="63" w:rightChars="30"/>
              <w:jc w:val="center"/>
              <w:rPr>
                <w:rFonts w:ascii="宋体" w:hAnsi="宋体"/>
                <w:color w:val="000000" w:themeColor="text1"/>
                <w:sz w:val="30"/>
                <w:szCs w:val="30"/>
                <w14:textFill>
                  <w14:solidFill>
                    <w14:schemeClr w14:val="tx1"/>
                  </w14:solidFill>
                </w14:textFill>
              </w:rPr>
            </w:pPr>
          </w:p>
        </w:tc>
        <w:tc>
          <w:tcPr>
            <w:tcW w:w="4252" w:type="dxa"/>
            <w:tcBorders>
              <w:top w:val="nil"/>
            </w:tcBorders>
            <w:noWrap w:val="0"/>
            <w:vAlign w:val="center"/>
          </w:tcPr>
          <w:p w14:paraId="17427BE0">
            <w:pPr>
              <w:keepNext/>
              <w:spacing w:line="440" w:lineRule="exact"/>
              <w:ind w:left="63" w:leftChars="30" w:right="63" w:rightChars="30"/>
              <w:jc w:val="center"/>
              <w:rPr>
                <w:rFonts w:ascii="宋体" w:hAnsi="宋体"/>
                <w:color w:val="000000" w:themeColor="text1"/>
                <w:sz w:val="30"/>
                <w:szCs w:val="30"/>
                <w14:textFill>
                  <w14:solidFill>
                    <w14:schemeClr w14:val="tx1"/>
                  </w14:solidFill>
                </w14:textFill>
              </w:rPr>
            </w:pPr>
          </w:p>
        </w:tc>
      </w:tr>
      <w:tr w14:paraId="4F5A10B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bottom w:val="nil"/>
            </w:tcBorders>
            <w:noWrap w:val="0"/>
            <w:vAlign w:val="center"/>
          </w:tcPr>
          <w:p w14:paraId="2084EF91">
            <w:pPr>
              <w:keepNext/>
              <w:spacing w:line="440" w:lineRule="exact"/>
              <w:ind w:left="63" w:leftChars="30" w:right="63" w:rightChars="30"/>
              <w:jc w:val="center"/>
              <w:rPr>
                <w:rFonts w:ascii="宋体" w:hAnsi="宋体"/>
                <w:color w:val="000000" w:themeColor="text1"/>
                <w:szCs w:val="30"/>
                <w14:textFill>
                  <w14:solidFill>
                    <w14:schemeClr w14:val="tx1"/>
                  </w14:solidFill>
                </w14:textFill>
              </w:rPr>
            </w:pPr>
          </w:p>
        </w:tc>
        <w:tc>
          <w:tcPr>
            <w:tcW w:w="1418" w:type="dxa"/>
            <w:noWrap w:val="0"/>
            <w:vAlign w:val="center"/>
          </w:tcPr>
          <w:p w14:paraId="7A2B398C">
            <w:pPr>
              <w:keepNext/>
              <w:spacing w:line="440" w:lineRule="exact"/>
              <w:ind w:left="63" w:leftChars="30" w:right="63" w:rightChars="30"/>
              <w:jc w:val="center"/>
              <w:rPr>
                <w:rFonts w:ascii="宋体" w:hAnsi="宋体"/>
                <w:color w:val="000000" w:themeColor="text1"/>
                <w:szCs w:val="30"/>
                <w14:textFill>
                  <w14:solidFill>
                    <w14:schemeClr w14:val="tx1"/>
                  </w14:solidFill>
                </w14:textFill>
              </w:rPr>
            </w:pPr>
          </w:p>
        </w:tc>
        <w:tc>
          <w:tcPr>
            <w:tcW w:w="1134" w:type="dxa"/>
            <w:noWrap w:val="0"/>
            <w:vAlign w:val="center"/>
          </w:tcPr>
          <w:p w14:paraId="13698C36">
            <w:pPr>
              <w:keepNext/>
              <w:spacing w:line="440" w:lineRule="exact"/>
              <w:ind w:left="63" w:leftChars="30" w:right="63" w:rightChars="30"/>
              <w:jc w:val="center"/>
              <w:rPr>
                <w:rFonts w:ascii="宋体" w:hAnsi="宋体"/>
                <w:color w:val="000000" w:themeColor="text1"/>
                <w:sz w:val="30"/>
                <w:szCs w:val="30"/>
                <w14:textFill>
                  <w14:solidFill>
                    <w14:schemeClr w14:val="tx1"/>
                  </w14:solidFill>
                </w14:textFill>
              </w:rPr>
            </w:pPr>
          </w:p>
        </w:tc>
        <w:tc>
          <w:tcPr>
            <w:tcW w:w="1134" w:type="dxa"/>
            <w:noWrap w:val="0"/>
            <w:vAlign w:val="center"/>
          </w:tcPr>
          <w:p w14:paraId="7D9FCB7F">
            <w:pPr>
              <w:keepNext/>
              <w:spacing w:line="440" w:lineRule="exact"/>
              <w:ind w:left="63" w:leftChars="30" w:right="63" w:rightChars="30"/>
              <w:jc w:val="center"/>
              <w:rPr>
                <w:rFonts w:ascii="宋体" w:hAnsi="宋体"/>
                <w:color w:val="000000" w:themeColor="text1"/>
                <w:sz w:val="30"/>
                <w:szCs w:val="30"/>
                <w14:textFill>
                  <w14:solidFill>
                    <w14:schemeClr w14:val="tx1"/>
                  </w14:solidFill>
                </w14:textFill>
              </w:rPr>
            </w:pPr>
          </w:p>
        </w:tc>
        <w:tc>
          <w:tcPr>
            <w:tcW w:w="4252" w:type="dxa"/>
            <w:noWrap w:val="0"/>
            <w:vAlign w:val="center"/>
          </w:tcPr>
          <w:p w14:paraId="39AF09FE">
            <w:pPr>
              <w:keepNext/>
              <w:spacing w:line="440" w:lineRule="exact"/>
              <w:ind w:left="63" w:leftChars="30" w:right="63" w:rightChars="30"/>
              <w:jc w:val="center"/>
              <w:rPr>
                <w:rFonts w:ascii="宋体" w:hAnsi="宋体"/>
                <w:color w:val="000000" w:themeColor="text1"/>
                <w:sz w:val="30"/>
                <w:szCs w:val="30"/>
                <w14:textFill>
                  <w14:solidFill>
                    <w14:schemeClr w14:val="tx1"/>
                  </w14:solidFill>
                </w14:textFill>
              </w:rPr>
            </w:pPr>
          </w:p>
        </w:tc>
      </w:tr>
      <w:tr w14:paraId="2686E62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nil"/>
              <w:bottom w:val="nil"/>
            </w:tcBorders>
            <w:noWrap w:val="0"/>
            <w:vAlign w:val="center"/>
          </w:tcPr>
          <w:p w14:paraId="5D52814D">
            <w:pPr>
              <w:keepNext/>
              <w:spacing w:line="440" w:lineRule="exact"/>
              <w:ind w:left="63" w:leftChars="30" w:right="63" w:rightChars="30"/>
              <w:jc w:val="center"/>
              <w:rPr>
                <w:rFonts w:ascii="宋体" w:hAnsi="宋体"/>
                <w:color w:val="000000" w:themeColor="text1"/>
                <w:szCs w:val="30"/>
                <w14:textFill>
                  <w14:solidFill>
                    <w14:schemeClr w14:val="tx1"/>
                  </w14:solidFill>
                </w14:textFill>
              </w:rPr>
            </w:pPr>
            <w:r>
              <w:rPr>
                <w:rFonts w:hint="eastAsia" w:ascii="宋体" w:hAnsi="宋体"/>
                <w:color w:val="000000" w:themeColor="text1"/>
                <w:szCs w:val="30"/>
                <w14:textFill>
                  <w14:solidFill>
                    <w14:schemeClr w14:val="tx1"/>
                  </w14:solidFill>
                </w14:textFill>
              </w:rPr>
              <w:t>其他人员</w:t>
            </w:r>
          </w:p>
        </w:tc>
        <w:tc>
          <w:tcPr>
            <w:tcW w:w="1418" w:type="dxa"/>
            <w:noWrap w:val="0"/>
            <w:vAlign w:val="center"/>
          </w:tcPr>
          <w:p w14:paraId="671DDA55">
            <w:pPr>
              <w:keepNext/>
              <w:spacing w:line="440" w:lineRule="exact"/>
              <w:ind w:left="63" w:leftChars="30" w:right="63" w:rightChars="30"/>
              <w:jc w:val="center"/>
              <w:rPr>
                <w:rFonts w:ascii="宋体" w:hAnsi="宋体"/>
                <w:color w:val="000000" w:themeColor="text1"/>
                <w:szCs w:val="30"/>
                <w14:textFill>
                  <w14:solidFill>
                    <w14:schemeClr w14:val="tx1"/>
                  </w14:solidFill>
                </w14:textFill>
              </w:rPr>
            </w:pPr>
          </w:p>
        </w:tc>
        <w:tc>
          <w:tcPr>
            <w:tcW w:w="1134" w:type="dxa"/>
            <w:noWrap w:val="0"/>
            <w:vAlign w:val="center"/>
          </w:tcPr>
          <w:p w14:paraId="0A0000F6">
            <w:pPr>
              <w:keepNext/>
              <w:spacing w:line="440" w:lineRule="exact"/>
              <w:ind w:left="63" w:leftChars="30" w:right="63" w:rightChars="30"/>
              <w:jc w:val="center"/>
              <w:rPr>
                <w:rFonts w:ascii="宋体" w:hAnsi="宋体"/>
                <w:color w:val="000000" w:themeColor="text1"/>
                <w:sz w:val="30"/>
                <w:szCs w:val="30"/>
                <w14:textFill>
                  <w14:solidFill>
                    <w14:schemeClr w14:val="tx1"/>
                  </w14:solidFill>
                </w14:textFill>
              </w:rPr>
            </w:pPr>
          </w:p>
        </w:tc>
        <w:tc>
          <w:tcPr>
            <w:tcW w:w="1134" w:type="dxa"/>
            <w:noWrap w:val="0"/>
            <w:vAlign w:val="center"/>
          </w:tcPr>
          <w:p w14:paraId="02AB2FF8">
            <w:pPr>
              <w:keepNext/>
              <w:spacing w:line="440" w:lineRule="exact"/>
              <w:ind w:left="63" w:leftChars="30" w:right="63" w:rightChars="30"/>
              <w:jc w:val="center"/>
              <w:rPr>
                <w:rFonts w:ascii="宋体" w:hAnsi="宋体"/>
                <w:color w:val="000000" w:themeColor="text1"/>
                <w:sz w:val="30"/>
                <w:szCs w:val="30"/>
                <w14:textFill>
                  <w14:solidFill>
                    <w14:schemeClr w14:val="tx1"/>
                  </w14:solidFill>
                </w14:textFill>
              </w:rPr>
            </w:pPr>
          </w:p>
        </w:tc>
        <w:tc>
          <w:tcPr>
            <w:tcW w:w="4252" w:type="dxa"/>
            <w:noWrap w:val="0"/>
            <w:vAlign w:val="center"/>
          </w:tcPr>
          <w:p w14:paraId="13EC0751">
            <w:pPr>
              <w:keepNext/>
              <w:spacing w:line="440" w:lineRule="exact"/>
              <w:ind w:left="63" w:leftChars="30" w:right="63" w:rightChars="30"/>
              <w:jc w:val="center"/>
              <w:rPr>
                <w:rFonts w:ascii="宋体" w:hAnsi="宋体"/>
                <w:color w:val="000000" w:themeColor="text1"/>
                <w:sz w:val="30"/>
                <w:szCs w:val="30"/>
                <w14:textFill>
                  <w14:solidFill>
                    <w14:schemeClr w14:val="tx1"/>
                  </w14:solidFill>
                </w14:textFill>
              </w:rPr>
            </w:pPr>
          </w:p>
        </w:tc>
      </w:tr>
      <w:tr w14:paraId="01A54C0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809" w:type="dxa"/>
            <w:gridSpan w:val="5"/>
            <w:noWrap w:val="0"/>
            <w:vAlign w:val="center"/>
          </w:tcPr>
          <w:p w14:paraId="7B3C5335">
            <w:pPr>
              <w:keepNext/>
              <w:spacing w:line="440" w:lineRule="exact"/>
              <w:ind w:left="63" w:leftChars="30" w:right="63" w:rightChars="30"/>
              <w:jc w:val="center"/>
              <w:rPr>
                <w:rFonts w:ascii="宋体" w:hAnsi="宋体"/>
                <w:color w:val="000000" w:themeColor="text1"/>
                <w:szCs w:val="30"/>
                <w14:textFill>
                  <w14:solidFill>
                    <w14:schemeClr w14:val="tx1"/>
                  </w14:solidFill>
                </w14:textFill>
              </w:rPr>
            </w:pPr>
            <w:r>
              <w:rPr>
                <w:rFonts w:hint="eastAsia" w:ascii="宋体" w:hAnsi="宋体"/>
                <w:color w:val="000000" w:themeColor="text1"/>
                <w:szCs w:val="30"/>
                <w14:textFill>
                  <w14:solidFill>
                    <w14:schemeClr w14:val="tx1"/>
                  </w14:solidFill>
                </w14:textFill>
              </w:rPr>
              <w:t>二、现场人员</w:t>
            </w:r>
          </w:p>
        </w:tc>
      </w:tr>
      <w:tr w14:paraId="452740B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noWrap w:val="0"/>
            <w:vAlign w:val="center"/>
          </w:tcPr>
          <w:p w14:paraId="7B2C613F">
            <w:pPr>
              <w:keepNext/>
              <w:spacing w:line="440" w:lineRule="exact"/>
              <w:ind w:left="63" w:leftChars="30" w:right="63" w:rightChars="30"/>
              <w:jc w:val="center"/>
              <w:rPr>
                <w:rFonts w:ascii="宋体" w:hAnsi="宋体"/>
                <w:color w:val="000000" w:themeColor="text1"/>
                <w:szCs w:val="30"/>
                <w14:textFill>
                  <w14:solidFill>
                    <w14:schemeClr w14:val="tx1"/>
                  </w14:solidFill>
                </w14:textFill>
              </w:rPr>
            </w:pPr>
            <w:r>
              <w:rPr>
                <w:rFonts w:hint="eastAsia" w:ascii="宋体" w:hAnsi="宋体"/>
                <w:color w:val="000000" w:themeColor="text1"/>
                <w:szCs w:val="30"/>
                <w14:textFill>
                  <w14:solidFill>
                    <w14:schemeClr w14:val="tx1"/>
                  </w14:solidFill>
                </w14:textFill>
              </w:rPr>
              <w:t>项目经理</w:t>
            </w:r>
          </w:p>
        </w:tc>
        <w:tc>
          <w:tcPr>
            <w:tcW w:w="1418" w:type="dxa"/>
            <w:noWrap w:val="0"/>
            <w:vAlign w:val="center"/>
          </w:tcPr>
          <w:p w14:paraId="32B8914C">
            <w:pPr>
              <w:keepNext/>
              <w:spacing w:line="440" w:lineRule="exact"/>
              <w:ind w:left="63" w:leftChars="30" w:right="63" w:rightChars="30"/>
              <w:jc w:val="center"/>
              <w:rPr>
                <w:rFonts w:ascii="宋体" w:hAnsi="宋体"/>
                <w:color w:val="000000" w:themeColor="text1"/>
                <w:szCs w:val="30"/>
                <w14:textFill>
                  <w14:solidFill>
                    <w14:schemeClr w14:val="tx1"/>
                  </w14:solidFill>
                </w14:textFill>
              </w:rPr>
            </w:pPr>
          </w:p>
        </w:tc>
        <w:tc>
          <w:tcPr>
            <w:tcW w:w="1134" w:type="dxa"/>
            <w:noWrap w:val="0"/>
            <w:vAlign w:val="center"/>
          </w:tcPr>
          <w:p w14:paraId="2C2BCA93">
            <w:pPr>
              <w:keepNext/>
              <w:spacing w:line="440" w:lineRule="exact"/>
              <w:ind w:left="63" w:leftChars="30" w:right="63" w:rightChars="30"/>
              <w:jc w:val="center"/>
              <w:rPr>
                <w:rFonts w:ascii="宋体" w:hAnsi="宋体"/>
                <w:color w:val="000000" w:themeColor="text1"/>
                <w:sz w:val="30"/>
                <w:szCs w:val="30"/>
                <w14:textFill>
                  <w14:solidFill>
                    <w14:schemeClr w14:val="tx1"/>
                  </w14:solidFill>
                </w14:textFill>
              </w:rPr>
            </w:pPr>
          </w:p>
        </w:tc>
        <w:tc>
          <w:tcPr>
            <w:tcW w:w="1134" w:type="dxa"/>
            <w:noWrap w:val="0"/>
            <w:vAlign w:val="center"/>
          </w:tcPr>
          <w:p w14:paraId="2EDF6950">
            <w:pPr>
              <w:keepNext/>
              <w:spacing w:line="440" w:lineRule="exact"/>
              <w:ind w:left="63" w:leftChars="30" w:right="63" w:rightChars="30"/>
              <w:jc w:val="center"/>
              <w:rPr>
                <w:rFonts w:ascii="宋体" w:hAnsi="宋体"/>
                <w:color w:val="000000" w:themeColor="text1"/>
                <w:sz w:val="30"/>
                <w:szCs w:val="30"/>
                <w14:textFill>
                  <w14:solidFill>
                    <w14:schemeClr w14:val="tx1"/>
                  </w14:solidFill>
                </w14:textFill>
              </w:rPr>
            </w:pPr>
          </w:p>
        </w:tc>
        <w:tc>
          <w:tcPr>
            <w:tcW w:w="4252" w:type="dxa"/>
            <w:noWrap w:val="0"/>
            <w:vAlign w:val="center"/>
          </w:tcPr>
          <w:p w14:paraId="155E7A9B">
            <w:pPr>
              <w:keepNext/>
              <w:spacing w:line="440" w:lineRule="exact"/>
              <w:ind w:left="63" w:leftChars="30" w:right="63" w:rightChars="30"/>
              <w:jc w:val="center"/>
              <w:rPr>
                <w:rFonts w:ascii="宋体" w:hAnsi="宋体"/>
                <w:color w:val="000000" w:themeColor="text1"/>
                <w:sz w:val="30"/>
                <w:szCs w:val="30"/>
                <w14:textFill>
                  <w14:solidFill>
                    <w14:schemeClr w14:val="tx1"/>
                  </w14:solidFill>
                </w14:textFill>
              </w:rPr>
            </w:pPr>
          </w:p>
        </w:tc>
      </w:tr>
      <w:tr w14:paraId="527FE43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noWrap w:val="0"/>
            <w:vAlign w:val="center"/>
          </w:tcPr>
          <w:p w14:paraId="32BBCE9C">
            <w:pPr>
              <w:keepNext/>
              <w:spacing w:line="440" w:lineRule="exact"/>
              <w:ind w:left="63" w:leftChars="30" w:right="63" w:rightChars="30"/>
              <w:jc w:val="center"/>
              <w:rPr>
                <w:rFonts w:ascii="宋体" w:hAnsi="宋体"/>
                <w:color w:val="000000" w:themeColor="text1"/>
                <w:szCs w:val="30"/>
                <w14:textFill>
                  <w14:solidFill>
                    <w14:schemeClr w14:val="tx1"/>
                  </w14:solidFill>
                </w14:textFill>
              </w:rPr>
            </w:pPr>
            <w:r>
              <w:rPr>
                <w:rFonts w:hint="eastAsia" w:ascii="宋体" w:hAnsi="宋体"/>
                <w:color w:val="000000" w:themeColor="text1"/>
                <w:szCs w:val="30"/>
                <w14:textFill>
                  <w14:solidFill>
                    <w14:schemeClr w14:val="tx1"/>
                  </w14:solidFill>
                </w14:textFill>
              </w:rPr>
              <w:t>项目副经理</w:t>
            </w:r>
          </w:p>
        </w:tc>
        <w:tc>
          <w:tcPr>
            <w:tcW w:w="1418" w:type="dxa"/>
            <w:noWrap w:val="0"/>
            <w:vAlign w:val="center"/>
          </w:tcPr>
          <w:p w14:paraId="299C4012">
            <w:pPr>
              <w:keepNext/>
              <w:spacing w:line="440" w:lineRule="exact"/>
              <w:ind w:left="63" w:leftChars="30" w:right="63" w:rightChars="30"/>
              <w:jc w:val="center"/>
              <w:rPr>
                <w:rFonts w:ascii="宋体" w:hAnsi="宋体"/>
                <w:color w:val="000000" w:themeColor="text1"/>
                <w:szCs w:val="30"/>
                <w14:textFill>
                  <w14:solidFill>
                    <w14:schemeClr w14:val="tx1"/>
                  </w14:solidFill>
                </w14:textFill>
              </w:rPr>
            </w:pPr>
          </w:p>
        </w:tc>
        <w:tc>
          <w:tcPr>
            <w:tcW w:w="1134" w:type="dxa"/>
            <w:noWrap w:val="0"/>
            <w:vAlign w:val="center"/>
          </w:tcPr>
          <w:p w14:paraId="65F2E543">
            <w:pPr>
              <w:keepNext/>
              <w:spacing w:line="440" w:lineRule="exact"/>
              <w:ind w:left="63" w:leftChars="30" w:right="63" w:rightChars="30"/>
              <w:jc w:val="center"/>
              <w:rPr>
                <w:rFonts w:ascii="宋体" w:hAnsi="宋体"/>
                <w:color w:val="000000" w:themeColor="text1"/>
                <w:sz w:val="30"/>
                <w:szCs w:val="30"/>
                <w14:textFill>
                  <w14:solidFill>
                    <w14:schemeClr w14:val="tx1"/>
                  </w14:solidFill>
                </w14:textFill>
              </w:rPr>
            </w:pPr>
          </w:p>
        </w:tc>
        <w:tc>
          <w:tcPr>
            <w:tcW w:w="1134" w:type="dxa"/>
            <w:noWrap w:val="0"/>
            <w:vAlign w:val="center"/>
          </w:tcPr>
          <w:p w14:paraId="1B8CEB01">
            <w:pPr>
              <w:keepNext/>
              <w:spacing w:line="440" w:lineRule="exact"/>
              <w:ind w:left="63" w:leftChars="30" w:right="63" w:rightChars="30"/>
              <w:jc w:val="center"/>
              <w:rPr>
                <w:rFonts w:ascii="宋体" w:hAnsi="宋体"/>
                <w:color w:val="000000" w:themeColor="text1"/>
                <w:sz w:val="30"/>
                <w:szCs w:val="30"/>
                <w14:textFill>
                  <w14:solidFill>
                    <w14:schemeClr w14:val="tx1"/>
                  </w14:solidFill>
                </w14:textFill>
              </w:rPr>
            </w:pPr>
          </w:p>
        </w:tc>
        <w:tc>
          <w:tcPr>
            <w:tcW w:w="4252" w:type="dxa"/>
            <w:noWrap w:val="0"/>
            <w:vAlign w:val="center"/>
          </w:tcPr>
          <w:p w14:paraId="33A8FECC">
            <w:pPr>
              <w:keepNext/>
              <w:spacing w:line="440" w:lineRule="exact"/>
              <w:ind w:left="63" w:leftChars="30" w:right="63" w:rightChars="30"/>
              <w:jc w:val="center"/>
              <w:rPr>
                <w:rFonts w:ascii="宋体" w:hAnsi="宋体"/>
                <w:color w:val="000000" w:themeColor="text1"/>
                <w:sz w:val="30"/>
                <w:szCs w:val="30"/>
                <w14:textFill>
                  <w14:solidFill>
                    <w14:schemeClr w14:val="tx1"/>
                  </w14:solidFill>
                </w14:textFill>
              </w:rPr>
            </w:pPr>
          </w:p>
        </w:tc>
      </w:tr>
      <w:tr w14:paraId="2E1BCA5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noWrap w:val="0"/>
            <w:vAlign w:val="center"/>
          </w:tcPr>
          <w:p w14:paraId="13A8F1CC">
            <w:pPr>
              <w:keepNext/>
              <w:spacing w:line="440" w:lineRule="exact"/>
              <w:ind w:left="63" w:leftChars="30" w:right="63" w:rightChars="30"/>
              <w:jc w:val="center"/>
              <w:rPr>
                <w:rFonts w:ascii="宋体" w:hAnsi="宋体"/>
                <w:color w:val="000000" w:themeColor="text1"/>
                <w:szCs w:val="30"/>
                <w14:textFill>
                  <w14:solidFill>
                    <w14:schemeClr w14:val="tx1"/>
                  </w14:solidFill>
                </w14:textFill>
              </w:rPr>
            </w:pPr>
            <w:r>
              <w:rPr>
                <w:rFonts w:hint="eastAsia" w:ascii="宋体" w:hAnsi="宋体"/>
                <w:color w:val="000000" w:themeColor="text1"/>
                <w:szCs w:val="30"/>
                <w14:textFill>
                  <w14:solidFill>
                    <w14:schemeClr w14:val="tx1"/>
                  </w14:solidFill>
                </w14:textFill>
              </w:rPr>
              <w:t>技术负责人</w:t>
            </w:r>
          </w:p>
        </w:tc>
        <w:tc>
          <w:tcPr>
            <w:tcW w:w="1418" w:type="dxa"/>
            <w:noWrap w:val="0"/>
            <w:vAlign w:val="center"/>
          </w:tcPr>
          <w:p w14:paraId="52E6F2F2">
            <w:pPr>
              <w:keepNext/>
              <w:spacing w:line="440" w:lineRule="exact"/>
              <w:ind w:left="63" w:leftChars="30" w:right="63" w:rightChars="30"/>
              <w:jc w:val="center"/>
              <w:rPr>
                <w:rFonts w:ascii="宋体" w:hAnsi="宋体"/>
                <w:color w:val="000000" w:themeColor="text1"/>
                <w:szCs w:val="30"/>
                <w14:textFill>
                  <w14:solidFill>
                    <w14:schemeClr w14:val="tx1"/>
                  </w14:solidFill>
                </w14:textFill>
              </w:rPr>
            </w:pPr>
          </w:p>
        </w:tc>
        <w:tc>
          <w:tcPr>
            <w:tcW w:w="1134" w:type="dxa"/>
            <w:noWrap w:val="0"/>
            <w:vAlign w:val="center"/>
          </w:tcPr>
          <w:p w14:paraId="4E9D56D2">
            <w:pPr>
              <w:keepNext/>
              <w:spacing w:line="440" w:lineRule="exact"/>
              <w:ind w:left="63" w:leftChars="30" w:right="63" w:rightChars="30"/>
              <w:jc w:val="center"/>
              <w:rPr>
                <w:rFonts w:ascii="宋体" w:hAnsi="宋体"/>
                <w:color w:val="000000" w:themeColor="text1"/>
                <w:sz w:val="30"/>
                <w:szCs w:val="30"/>
                <w14:textFill>
                  <w14:solidFill>
                    <w14:schemeClr w14:val="tx1"/>
                  </w14:solidFill>
                </w14:textFill>
              </w:rPr>
            </w:pPr>
          </w:p>
        </w:tc>
        <w:tc>
          <w:tcPr>
            <w:tcW w:w="1134" w:type="dxa"/>
            <w:noWrap w:val="0"/>
            <w:vAlign w:val="center"/>
          </w:tcPr>
          <w:p w14:paraId="28A93442">
            <w:pPr>
              <w:keepNext/>
              <w:spacing w:line="440" w:lineRule="exact"/>
              <w:ind w:left="63" w:leftChars="30" w:right="63" w:rightChars="30"/>
              <w:jc w:val="center"/>
              <w:rPr>
                <w:rFonts w:ascii="宋体" w:hAnsi="宋体"/>
                <w:color w:val="000000" w:themeColor="text1"/>
                <w:sz w:val="30"/>
                <w:szCs w:val="30"/>
                <w14:textFill>
                  <w14:solidFill>
                    <w14:schemeClr w14:val="tx1"/>
                  </w14:solidFill>
                </w14:textFill>
              </w:rPr>
            </w:pPr>
          </w:p>
        </w:tc>
        <w:tc>
          <w:tcPr>
            <w:tcW w:w="4252" w:type="dxa"/>
            <w:noWrap w:val="0"/>
            <w:vAlign w:val="center"/>
          </w:tcPr>
          <w:p w14:paraId="66DB3F9E">
            <w:pPr>
              <w:keepNext/>
              <w:spacing w:line="440" w:lineRule="exact"/>
              <w:ind w:left="63" w:leftChars="30" w:right="63" w:rightChars="30"/>
              <w:jc w:val="center"/>
              <w:rPr>
                <w:rFonts w:ascii="宋体" w:hAnsi="宋体"/>
                <w:color w:val="000000" w:themeColor="text1"/>
                <w:sz w:val="30"/>
                <w:szCs w:val="30"/>
                <w14:textFill>
                  <w14:solidFill>
                    <w14:schemeClr w14:val="tx1"/>
                  </w14:solidFill>
                </w14:textFill>
              </w:rPr>
            </w:pPr>
          </w:p>
        </w:tc>
      </w:tr>
      <w:tr w14:paraId="3913EA7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noWrap w:val="0"/>
            <w:vAlign w:val="center"/>
          </w:tcPr>
          <w:p w14:paraId="3A71BB3D">
            <w:pPr>
              <w:keepNext/>
              <w:spacing w:line="440" w:lineRule="exact"/>
              <w:ind w:left="63" w:leftChars="30" w:right="63" w:rightChars="30"/>
              <w:jc w:val="center"/>
              <w:rPr>
                <w:rFonts w:ascii="宋体" w:hAnsi="宋体"/>
                <w:color w:val="000000" w:themeColor="text1"/>
                <w:szCs w:val="30"/>
                <w14:textFill>
                  <w14:solidFill>
                    <w14:schemeClr w14:val="tx1"/>
                  </w14:solidFill>
                </w14:textFill>
              </w:rPr>
            </w:pPr>
            <w:r>
              <w:rPr>
                <w:rFonts w:hint="eastAsia" w:ascii="宋体" w:hAnsi="宋体"/>
                <w:color w:val="000000" w:themeColor="text1"/>
                <w:szCs w:val="30"/>
                <w14:textFill>
                  <w14:solidFill>
                    <w14:schemeClr w14:val="tx1"/>
                  </w14:solidFill>
                </w14:textFill>
              </w:rPr>
              <w:t>造价管理</w:t>
            </w:r>
          </w:p>
        </w:tc>
        <w:tc>
          <w:tcPr>
            <w:tcW w:w="1418" w:type="dxa"/>
            <w:noWrap w:val="0"/>
            <w:vAlign w:val="center"/>
          </w:tcPr>
          <w:p w14:paraId="03D13CE0">
            <w:pPr>
              <w:keepNext/>
              <w:spacing w:line="440" w:lineRule="exact"/>
              <w:ind w:left="63" w:leftChars="30" w:right="63" w:rightChars="30"/>
              <w:jc w:val="center"/>
              <w:rPr>
                <w:rFonts w:ascii="宋体" w:hAnsi="宋体"/>
                <w:color w:val="000000" w:themeColor="text1"/>
                <w:szCs w:val="30"/>
                <w14:textFill>
                  <w14:solidFill>
                    <w14:schemeClr w14:val="tx1"/>
                  </w14:solidFill>
                </w14:textFill>
              </w:rPr>
            </w:pPr>
          </w:p>
        </w:tc>
        <w:tc>
          <w:tcPr>
            <w:tcW w:w="1134" w:type="dxa"/>
            <w:noWrap w:val="0"/>
            <w:vAlign w:val="center"/>
          </w:tcPr>
          <w:p w14:paraId="2482350D">
            <w:pPr>
              <w:keepNext/>
              <w:spacing w:line="440" w:lineRule="exact"/>
              <w:ind w:left="63" w:leftChars="30" w:right="63" w:rightChars="30"/>
              <w:jc w:val="center"/>
              <w:rPr>
                <w:rFonts w:ascii="宋体" w:hAnsi="宋体"/>
                <w:color w:val="000000" w:themeColor="text1"/>
                <w:sz w:val="30"/>
                <w:szCs w:val="30"/>
                <w14:textFill>
                  <w14:solidFill>
                    <w14:schemeClr w14:val="tx1"/>
                  </w14:solidFill>
                </w14:textFill>
              </w:rPr>
            </w:pPr>
          </w:p>
        </w:tc>
        <w:tc>
          <w:tcPr>
            <w:tcW w:w="1134" w:type="dxa"/>
            <w:noWrap w:val="0"/>
            <w:vAlign w:val="center"/>
          </w:tcPr>
          <w:p w14:paraId="59D38F9A">
            <w:pPr>
              <w:keepNext/>
              <w:spacing w:line="440" w:lineRule="exact"/>
              <w:ind w:left="63" w:leftChars="30" w:right="63" w:rightChars="30"/>
              <w:jc w:val="center"/>
              <w:rPr>
                <w:rFonts w:ascii="宋体" w:hAnsi="宋体"/>
                <w:color w:val="000000" w:themeColor="text1"/>
                <w:sz w:val="30"/>
                <w:szCs w:val="30"/>
                <w14:textFill>
                  <w14:solidFill>
                    <w14:schemeClr w14:val="tx1"/>
                  </w14:solidFill>
                </w14:textFill>
              </w:rPr>
            </w:pPr>
          </w:p>
        </w:tc>
        <w:tc>
          <w:tcPr>
            <w:tcW w:w="4252" w:type="dxa"/>
            <w:noWrap w:val="0"/>
            <w:vAlign w:val="center"/>
          </w:tcPr>
          <w:p w14:paraId="04BC1A7D">
            <w:pPr>
              <w:keepNext/>
              <w:spacing w:line="440" w:lineRule="exact"/>
              <w:ind w:left="63" w:leftChars="30" w:right="63" w:rightChars="30"/>
              <w:jc w:val="center"/>
              <w:rPr>
                <w:rFonts w:ascii="宋体" w:hAnsi="宋体"/>
                <w:color w:val="000000" w:themeColor="text1"/>
                <w:sz w:val="30"/>
                <w:szCs w:val="30"/>
                <w14:textFill>
                  <w14:solidFill>
                    <w14:schemeClr w14:val="tx1"/>
                  </w14:solidFill>
                </w14:textFill>
              </w:rPr>
            </w:pPr>
          </w:p>
        </w:tc>
      </w:tr>
      <w:tr w14:paraId="5BDC654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noWrap w:val="0"/>
            <w:vAlign w:val="center"/>
          </w:tcPr>
          <w:p w14:paraId="1D00073A">
            <w:pPr>
              <w:keepNext/>
              <w:spacing w:line="440" w:lineRule="exact"/>
              <w:ind w:left="63" w:leftChars="30" w:right="63" w:rightChars="30"/>
              <w:jc w:val="center"/>
              <w:rPr>
                <w:rFonts w:ascii="宋体" w:hAnsi="宋体"/>
                <w:color w:val="000000" w:themeColor="text1"/>
                <w:szCs w:val="30"/>
                <w14:textFill>
                  <w14:solidFill>
                    <w14:schemeClr w14:val="tx1"/>
                  </w14:solidFill>
                </w14:textFill>
              </w:rPr>
            </w:pPr>
            <w:r>
              <w:rPr>
                <w:rFonts w:hint="eastAsia" w:ascii="宋体" w:hAnsi="宋体"/>
                <w:color w:val="000000" w:themeColor="text1"/>
                <w:szCs w:val="30"/>
                <w14:textFill>
                  <w14:solidFill>
                    <w14:schemeClr w14:val="tx1"/>
                  </w14:solidFill>
                </w14:textFill>
              </w:rPr>
              <w:t>质量管理</w:t>
            </w:r>
          </w:p>
        </w:tc>
        <w:tc>
          <w:tcPr>
            <w:tcW w:w="1418" w:type="dxa"/>
            <w:noWrap w:val="0"/>
            <w:vAlign w:val="center"/>
          </w:tcPr>
          <w:p w14:paraId="56359F49">
            <w:pPr>
              <w:keepNext/>
              <w:spacing w:line="440" w:lineRule="exact"/>
              <w:ind w:left="63" w:leftChars="30" w:right="63" w:rightChars="30"/>
              <w:jc w:val="center"/>
              <w:rPr>
                <w:rFonts w:ascii="宋体" w:hAnsi="宋体"/>
                <w:color w:val="000000" w:themeColor="text1"/>
                <w:szCs w:val="30"/>
                <w14:textFill>
                  <w14:solidFill>
                    <w14:schemeClr w14:val="tx1"/>
                  </w14:solidFill>
                </w14:textFill>
              </w:rPr>
            </w:pPr>
          </w:p>
        </w:tc>
        <w:tc>
          <w:tcPr>
            <w:tcW w:w="1134" w:type="dxa"/>
            <w:noWrap w:val="0"/>
            <w:vAlign w:val="center"/>
          </w:tcPr>
          <w:p w14:paraId="3B5F459A">
            <w:pPr>
              <w:keepNext/>
              <w:spacing w:line="440" w:lineRule="exact"/>
              <w:ind w:left="63" w:leftChars="30" w:right="63" w:rightChars="30"/>
              <w:jc w:val="center"/>
              <w:rPr>
                <w:rFonts w:ascii="宋体" w:hAnsi="宋体"/>
                <w:color w:val="000000" w:themeColor="text1"/>
                <w:sz w:val="30"/>
                <w:szCs w:val="30"/>
                <w14:textFill>
                  <w14:solidFill>
                    <w14:schemeClr w14:val="tx1"/>
                  </w14:solidFill>
                </w14:textFill>
              </w:rPr>
            </w:pPr>
          </w:p>
        </w:tc>
        <w:tc>
          <w:tcPr>
            <w:tcW w:w="1134" w:type="dxa"/>
            <w:noWrap w:val="0"/>
            <w:vAlign w:val="center"/>
          </w:tcPr>
          <w:p w14:paraId="6C9A3C50">
            <w:pPr>
              <w:keepNext/>
              <w:spacing w:line="440" w:lineRule="exact"/>
              <w:ind w:left="63" w:leftChars="30" w:right="63" w:rightChars="30"/>
              <w:jc w:val="center"/>
              <w:rPr>
                <w:rFonts w:ascii="宋体" w:hAnsi="宋体"/>
                <w:color w:val="000000" w:themeColor="text1"/>
                <w:sz w:val="30"/>
                <w:szCs w:val="30"/>
                <w14:textFill>
                  <w14:solidFill>
                    <w14:schemeClr w14:val="tx1"/>
                  </w14:solidFill>
                </w14:textFill>
              </w:rPr>
            </w:pPr>
          </w:p>
        </w:tc>
        <w:tc>
          <w:tcPr>
            <w:tcW w:w="4252" w:type="dxa"/>
            <w:noWrap w:val="0"/>
            <w:vAlign w:val="center"/>
          </w:tcPr>
          <w:p w14:paraId="4AECB9F7">
            <w:pPr>
              <w:keepNext/>
              <w:spacing w:line="440" w:lineRule="exact"/>
              <w:ind w:left="63" w:leftChars="30" w:right="63" w:rightChars="30"/>
              <w:jc w:val="center"/>
              <w:rPr>
                <w:rFonts w:ascii="宋体" w:hAnsi="宋体"/>
                <w:color w:val="000000" w:themeColor="text1"/>
                <w:sz w:val="30"/>
                <w:szCs w:val="30"/>
                <w14:textFill>
                  <w14:solidFill>
                    <w14:schemeClr w14:val="tx1"/>
                  </w14:solidFill>
                </w14:textFill>
              </w:rPr>
            </w:pPr>
          </w:p>
        </w:tc>
      </w:tr>
      <w:tr w14:paraId="14C4D2D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noWrap w:val="0"/>
            <w:vAlign w:val="center"/>
          </w:tcPr>
          <w:p w14:paraId="4197549B">
            <w:pPr>
              <w:keepNext/>
              <w:spacing w:line="440" w:lineRule="exact"/>
              <w:ind w:left="63" w:leftChars="30" w:right="63" w:rightChars="30"/>
              <w:jc w:val="center"/>
              <w:rPr>
                <w:rFonts w:ascii="宋体" w:hAnsi="宋体"/>
                <w:color w:val="000000" w:themeColor="text1"/>
                <w:szCs w:val="30"/>
                <w14:textFill>
                  <w14:solidFill>
                    <w14:schemeClr w14:val="tx1"/>
                  </w14:solidFill>
                </w14:textFill>
              </w:rPr>
            </w:pPr>
            <w:r>
              <w:rPr>
                <w:rFonts w:hint="eastAsia" w:ascii="宋体" w:hAnsi="宋体"/>
                <w:color w:val="000000" w:themeColor="text1"/>
                <w:szCs w:val="30"/>
                <w14:textFill>
                  <w14:solidFill>
                    <w14:schemeClr w14:val="tx1"/>
                  </w14:solidFill>
                </w14:textFill>
              </w:rPr>
              <w:t>材料管理</w:t>
            </w:r>
          </w:p>
        </w:tc>
        <w:tc>
          <w:tcPr>
            <w:tcW w:w="1418" w:type="dxa"/>
            <w:noWrap w:val="0"/>
            <w:vAlign w:val="center"/>
          </w:tcPr>
          <w:p w14:paraId="65DA26FA">
            <w:pPr>
              <w:keepNext/>
              <w:spacing w:line="440" w:lineRule="exact"/>
              <w:ind w:left="63" w:leftChars="30" w:right="63" w:rightChars="30"/>
              <w:jc w:val="center"/>
              <w:rPr>
                <w:rFonts w:ascii="宋体" w:hAnsi="宋体"/>
                <w:color w:val="000000" w:themeColor="text1"/>
                <w:szCs w:val="30"/>
                <w14:textFill>
                  <w14:solidFill>
                    <w14:schemeClr w14:val="tx1"/>
                  </w14:solidFill>
                </w14:textFill>
              </w:rPr>
            </w:pPr>
          </w:p>
        </w:tc>
        <w:tc>
          <w:tcPr>
            <w:tcW w:w="1134" w:type="dxa"/>
            <w:noWrap w:val="0"/>
            <w:vAlign w:val="center"/>
          </w:tcPr>
          <w:p w14:paraId="4EDABF9C">
            <w:pPr>
              <w:keepNext/>
              <w:spacing w:line="440" w:lineRule="exact"/>
              <w:ind w:left="63" w:leftChars="30" w:right="63" w:rightChars="30"/>
              <w:jc w:val="center"/>
              <w:rPr>
                <w:rFonts w:ascii="宋体" w:hAnsi="宋体"/>
                <w:color w:val="000000" w:themeColor="text1"/>
                <w:sz w:val="30"/>
                <w:szCs w:val="30"/>
                <w14:textFill>
                  <w14:solidFill>
                    <w14:schemeClr w14:val="tx1"/>
                  </w14:solidFill>
                </w14:textFill>
              </w:rPr>
            </w:pPr>
          </w:p>
        </w:tc>
        <w:tc>
          <w:tcPr>
            <w:tcW w:w="1134" w:type="dxa"/>
            <w:noWrap w:val="0"/>
            <w:vAlign w:val="center"/>
          </w:tcPr>
          <w:p w14:paraId="30EF9FF2">
            <w:pPr>
              <w:keepNext/>
              <w:spacing w:line="440" w:lineRule="exact"/>
              <w:ind w:left="63" w:leftChars="30" w:right="63" w:rightChars="30"/>
              <w:jc w:val="center"/>
              <w:rPr>
                <w:rFonts w:ascii="宋体" w:hAnsi="宋体"/>
                <w:color w:val="000000" w:themeColor="text1"/>
                <w:sz w:val="30"/>
                <w:szCs w:val="30"/>
                <w14:textFill>
                  <w14:solidFill>
                    <w14:schemeClr w14:val="tx1"/>
                  </w14:solidFill>
                </w14:textFill>
              </w:rPr>
            </w:pPr>
          </w:p>
        </w:tc>
        <w:tc>
          <w:tcPr>
            <w:tcW w:w="4252" w:type="dxa"/>
            <w:noWrap w:val="0"/>
            <w:vAlign w:val="center"/>
          </w:tcPr>
          <w:p w14:paraId="24FABAC0">
            <w:pPr>
              <w:keepNext/>
              <w:spacing w:line="440" w:lineRule="exact"/>
              <w:ind w:left="63" w:leftChars="30" w:right="63" w:rightChars="30"/>
              <w:jc w:val="center"/>
              <w:rPr>
                <w:rFonts w:ascii="宋体" w:hAnsi="宋体"/>
                <w:color w:val="000000" w:themeColor="text1"/>
                <w:sz w:val="30"/>
                <w:szCs w:val="30"/>
                <w14:textFill>
                  <w14:solidFill>
                    <w14:schemeClr w14:val="tx1"/>
                  </w14:solidFill>
                </w14:textFill>
              </w:rPr>
            </w:pPr>
          </w:p>
        </w:tc>
      </w:tr>
      <w:tr w14:paraId="6C9AB4A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noWrap w:val="0"/>
            <w:vAlign w:val="center"/>
          </w:tcPr>
          <w:p w14:paraId="3D0F694D">
            <w:pPr>
              <w:keepNext/>
              <w:spacing w:line="440" w:lineRule="exact"/>
              <w:ind w:left="63" w:leftChars="30" w:right="63" w:rightChars="30"/>
              <w:jc w:val="center"/>
              <w:rPr>
                <w:rFonts w:ascii="宋体" w:hAnsi="宋体"/>
                <w:color w:val="000000" w:themeColor="text1"/>
                <w:szCs w:val="30"/>
                <w14:textFill>
                  <w14:solidFill>
                    <w14:schemeClr w14:val="tx1"/>
                  </w14:solidFill>
                </w14:textFill>
              </w:rPr>
            </w:pPr>
            <w:r>
              <w:rPr>
                <w:rFonts w:hint="eastAsia" w:ascii="宋体" w:hAnsi="宋体"/>
                <w:color w:val="000000" w:themeColor="text1"/>
                <w:szCs w:val="30"/>
                <w14:textFill>
                  <w14:solidFill>
                    <w14:schemeClr w14:val="tx1"/>
                  </w14:solidFill>
                </w14:textFill>
              </w:rPr>
              <w:t>计划管理</w:t>
            </w:r>
          </w:p>
        </w:tc>
        <w:tc>
          <w:tcPr>
            <w:tcW w:w="1418" w:type="dxa"/>
            <w:noWrap w:val="0"/>
            <w:vAlign w:val="center"/>
          </w:tcPr>
          <w:p w14:paraId="7DEC4A39">
            <w:pPr>
              <w:keepNext/>
              <w:spacing w:line="440" w:lineRule="exact"/>
              <w:ind w:left="63" w:leftChars="30" w:right="63" w:rightChars="30"/>
              <w:jc w:val="center"/>
              <w:rPr>
                <w:rFonts w:ascii="宋体" w:hAnsi="宋体"/>
                <w:color w:val="000000" w:themeColor="text1"/>
                <w:szCs w:val="30"/>
                <w14:textFill>
                  <w14:solidFill>
                    <w14:schemeClr w14:val="tx1"/>
                  </w14:solidFill>
                </w14:textFill>
              </w:rPr>
            </w:pPr>
          </w:p>
        </w:tc>
        <w:tc>
          <w:tcPr>
            <w:tcW w:w="1134" w:type="dxa"/>
            <w:noWrap w:val="0"/>
            <w:vAlign w:val="center"/>
          </w:tcPr>
          <w:p w14:paraId="14D12337">
            <w:pPr>
              <w:keepNext/>
              <w:spacing w:line="440" w:lineRule="exact"/>
              <w:ind w:left="63" w:leftChars="30" w:right="63" w:rightChars="30"/>
              <w:jc w:val="center"/>
              <w:rPr>
                <w:rFonts w:ascii="宋体" w:hAnsi="宋体"/>
                <w:color w:val="000000" w:themeColor="text1"/>
                <w:sz w:val="30"/>
                <w:szCs w:val="30"/>
                <w14:textFill>
                  <w14:solidFill>
                    <w14:schemeClr w14:val="tx1"/>
                  </w14:solidFill>
                </w14:textFill>
              </w:rPr>
            </w:pPr>
          </w:p>
        </w:tc>
        <w:tc>
          <w:tcPr>
            <w:tcW w:w="1134" w:type="dxa"/>
            <w:noWrap w:val="0"/>
            <w:vAlign w:val="center"/>
          </w:tcPr>
          <w:p w14:paraId="07D6E862">
            <w:pPr>
              <w:keepNext/>
              <w:spacing w:line="440" w:lineRule="exact"/>
              <w:ind w:left="63" w:leftChars="30" w:right="63" w:rightChars="30"/>
              <w:jc w:val="center"/>
              <w:rPr>
                <w:rFonts w:ascii="宋体" w:hAnsi="宋体"/>
                <w:color w:val="000000" w:themeColor="text1"/>
                <w:sz w:val="30"/>
                <w:szCs w:val="30"/>
                <w14:textFill>
                  <w14:solidFill>
                    <w14:schemeClr w14:val="tx1"/>
                  </w14:solidFill>
                </w14:textFill>
              </w:rPr>
            </w:pPr>
          </w:p>
        </w:tc>
        <w:tc>
          <w:tcPr>
            <w:tcW w:w="4252" w:type="dxa"/>
            <w:noWrap w:val="0"/>
            <w:vAlign w:val="center"/>
          </w:tcPr>
          <w:p w14:paraId="3C3E5802">
            <w:pPr>
              <w:keepNext/>
              <w:spacing w:line="440" w:lineRule="exact"/>
              <w:ind w:left="63" w:leftChars="30" w:right="63" w:rightChars="30"/>
              <w:jc w:val="center"/>
              <w:rPr>
                <w:rFonts w:ascii="宋体" w:hAnsi="宋体"/>
                <w:color w:val="000000" w:themeColor="text1"/>
                <w:sz w:val="30"/>
                <w:szCs w:val="30"/>
                <w14:textFill>
                  <w14:solidFill>
                    <w14:schemeClr w14:val="tx1"/>
                  </w14:solidFill>
                </w14:textFill>
              </w:rPr>
            </w:pPr>
          </w:p>
        </w:tc>
      </w:tr>
      <w:tr w14:paraId="76E80F2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noWrap w:val="0"/>
            <w:vAlign w:val="center"/>
          </w:tcPr>
          <w:p w14:paraId="1DD95E7A">
            <w:pPr>
              <w:keepNext/>
              <w:spacing w:line="440" w:lineRule="exact"/>
              <w:ind w:left="63" w:leftChars="30" w:right="63" w:rightChars="30"/>
              <w:jc w:val="center"/>
              <w:rPr>
                <w:rFonts w:ascii="宋体" w:hAnsi="宋体"/>
                <w:color w:val="000000" w:themeColor="text1"/>
                <w:szCs w:val="30"/>
                <w14:textFill>
                  <w14:solidFill>
                    <w14:schemeClr w14:val="tx1"/>
                  </w14:solidFill>
                </w14:textFill>
              </w:rPr>
            </w:pPr>
            <w:r>
              <w:rPr>
                <w:rFonts w:hint="eastAsia" w:ascii="宋体" w:hAnsi="宋体"/>
                <w:color w:val="000000" w:themeColor="text1"/>
                <w:szCs w:val="30"/>
                <w14:textFill>
                  <w14:solidFill>
                    <w14:schemeClr w14:val="tx1"/>
                  </w14:solidFill>
                </w14:textFill>
              </w:rPr>
              <w:t>安全管理</w:t>
            </w:r>
          </w:p>
        </w:tc>
        <w:tc>
          <w:tcPr>
            <w:tcW w:w="1418" w:type="dxa"/>
            <w:noWrap w:val="0"/>
            <w:vAlign w:val="center"/>
          </w:tcPr>
          <w:p w14:paraId="3F267D77">
            <w:pPr>
              <w:keepNext/>
              <w:spacing w:line="440" w:lineRule="exact"/>
              <w:ind w:left="63" w:leftChars="30" w:right="63" w:rightChars="30"/>
              <w:jc w:val="center"/>
              <w:rPr>
                <w:rFonts w:ascii="宋体" w:hAnsi="宋体"/>
                <w:color w:val="000000" w:themeColor="text1"/>
                <w:szCs w:val="30"/>
                <w14:textFill>
                  <w14:solidFill>
                    <w14:schemeClr w14:val="tx1"/>
                  </w14:solidFill>
                </w14:textFill>
              </w:rPr>
            </w:pPr>
          </w:p>
        </w:tc>
        <w:tc>
          <w:tcPr>
            <w:tcW w:w="1134" w:type="dxa"/>
            <w:noWrap w:val="0"/>
            <w:vAlign w:val="center"/>
          </w:tcPr>
          <w:p w14:paraId="6EFC80A0">
            <w:pPr>
              <w:keepNext/>
              <w:spacing w:line="440" w:lineRule="exact"/>
              <w:ind w:left="63" w:leftChars="30" w:right="63" w:rightChars="30"/>
              <w:jc w:val="center"/>
              <w:rPr>
                <w:rFonts w:ascii="宋体" w:hAnsi="宋体"/>
                <w:color w:val="000000" w:themeColor="text1"/>
                <w:sz w:val="30"/>
                <w:szCs w:val="30"/>
                <w14:textFill>
                  <w14:solidFill>
                    <w14:schemeClr w14:val="tx1"/>
                  </w14:solidFill>
                </w14:textFill>
              </w:rPr>
            </w:pPr>
          </w:p>
        </w:tc>
        <w:tc>
          <w:tcPr>
            <w:tcW w:w="1134" w:type="dxa"/>
            <w:noWrap w:val="0"/>
            <w:vAlign w:val="center"/>
          </w:tcPr>
          <w:p w14:paraId="5DCB55F2">
            <w:pPr>
              <w:keepNext/>
              <w:spacing w:line="440" w:lineRule="exact"/>
              <w:ind w:left="63" w:leftChars="30" w:right="63" w:rightChars="30"/>
              <w:jc w:val="center"/>
              <w:rPr>
                <w:rFonts w:ascii="宋体" w:hAnsi="宋体"/>
                <w:color w:val="000000" w:themeColor="text1"/>
                <w:sz w:val="30"/>
                <w:szCs w:val="30"/>
                <w14:textFill>
                  <w14:solidFill>
                    <w14:schemeClr w14:val="tx1"/>
                  </w14:solidFill>
                </w14:textFill>
              </w:rPr>
            </w:pPr>
          </w:p>
        </w:tc>
        <w:tc>
          <w:tcPr>
            <w:tcW w:w="4252" w:type="dxa"/>
            <w:noWrap w:val="0"/>
            <w:vAlign w:val="center"/>
          </w:tcPr>
          <w:p w14:paraId="36673FBD">
            <w:pPr>
              <w:keepNext/>
              <w:spacing w:line="440" w:lineRule="exact"/>
              <w:ind w:left="63" w:leftChars="30" w:right="63" w:rightChars="30"/>
              <w:jc w:val="center"/>
              <w:rPr>
                <w:rFonts w:ascii="宋体" w:hAnsi="宋体"/>
                <w:color w:val="000000" w:themeColor="text1"/>
                <w:sz w:val="30"/>
                <w:szCs w:val="30"/>
                <w14:textFill>
                  <w14:solidFill>
                    <w14:schemeClr w14:val="tx1"/>
                  </w14:solidFill>
                </w14:textFill>
              </w:rPr>
            </w:pPr>
          </w:p>
        </w:tc>
      </w:tr>
      <w:tr w14:paraId="0765A30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restart"/>
            <w:noWrap w:val="0"/>
            <w:vAlign w:val="center"/>
          </w:tcPr>
          <w:p w14:paraId="4346B74A">
            <w:pPr>
              <w:keepNext/>
              <w:spacing w:line="440" w:lineRule="exact"/>
              <w:ind w:left="63" w:leftChars="30" w:right="63" w:rightChars="30"/>
              <w:jc w:val="center"/>
              <w:rPr>
                <w:rFonts w:ascii="宋体" w:hAnsi="宋体"/>
                <w:color w:val="000000" w:themeColor="text1"/>
                <w:szCs w:val="30"/>
                <w14:textFill>
                  <w14:solidFill>
                    <w14:schemeClr w14:val="tx1"/>
                  </w14:solidFill>
                </w14:textFill>
              </w:rPr>
            </w:pPr>
            <w:r>
              <w:rPr>
                <w:rFonts w:hint="eastAsia" w:ascii="宋体" w:hAnsi="宋体"/>
                <w:color w:val="000000" w:themeColor="text1"/>
                <w:szCs w:val="30"/>
                <w14:textFill>
                  <w14:solidFill>
                    <w14:schemeClr w14:val="tx1"/>
                  </w14:solidFill>
                </w14:textFill>
              </w:rPr>
              <w:t>其他人员</w:t>
            </w:r>
          </w:p>
        </w:tc>
        <w:tc>
          <w:tcPr>
            <w:tcW w:w="1418" w:type="dxa"/>
            <w:noWrap w:val="0"/>
            <w:vAlign w:val="center"/>
          </w:tcPr>
          <w:p w14:paraId="17FF410C">
            <w:pPr>
              <w:keepNext/>
              <w:spacing w:line="440" w:lineRule="exact"/>
              <w:ind w:left="63" w:leftChars="30" w:right="63" w:rightChars="30"/>
              <w:jc w:val="center"/>
              <w:rPr>
                <w:rFonts w:ascii="宋体" w:hAnsi="宋体"/>
                <w:color w:val="000000" w:themeColor="text1"/>
                <w:szCs w:val="30"/>
                <w14:textFill>
                  <w14:solidFill>
                    <w14:schemeClr w14:val="tx1"/>
                  </w14:solidFill>
                </w14:textFill>
              </w:rPr>
            </w:pPr>
          </w:p>
        </w:tc>
        <w:tc>
          <w:tcPr>
            <w:tcW w:w="1134" w:type="dxa"/>
            <w:noWrap w:val="0"/>
            <w:vAlign w:val="center"/>
          </w:tcPr>
          <w:p w14:paraId="50249E01">
            <w:pPr>
              <w:keepNext/>
              <w:spacing w:line="440" w:lineRule="exact"/>
              <w:ind w:left="63" w:leftChars="30" w:right="63" w:rightChars="30"/>
              <w:jc w:val="center"/>
              <w:rPr>
                <w:rFonts w:ascii="宋体" w:hAnsi="宋体"/>
                <w:color w:val="000000" w:themeColor="text1"/>
                <w:sz w:val="30"/>
                <w:szCs w:val="30"/>
                <w14:textFill>
                  <w14:solidFill>
                    <w14:schemeClr w14:val="tx1"/>
                  </w14:solidFill>
                </w14:textFill>
              </w:rPr>
            </w:pPr>
          </w:p>
        </w:tc>
        <w:tc>
          <w:tcPr>
            <w:tcW w:w="1134" w:type="dxa"/>
            <w:noWrap w:val="0"/>
            <w:vAlign w:val="center"/>
          </w:tcPr>
          <w:p w14:paraId="7D77456E">
            <w:pPr>
              <w:keepNext/>
              <w:spacing w:line="440" w:lineRule="exact"/>
              <w:ind w:left="63" w:leftChars="30" w:right="63" w:rightChars="30"/>
              <w:jc w:val="center"/>
              <w:rPr>
                <w:rFonts w:ascii="宋体" w:hAnsi="宋体"/>
                <w:color w:val="000000" w:themeColor="text1"/>
                <w:sz w:val="30"/>
                <w:szCs w:val="30"/>
                <w14:textFill>
                  <w14:solidFill>
                    <w14:schemeClr w14:val="tx1"/>
                  </w14:solidFill>
                </w14:textFill>
              </w:rPr>
            </w:pPr>
          </w:p>
        </w:tc>
        <w:tc>
          <w:tcPr>
            <w:tcW w:w="4252" w:type="dxa"/>
            <w:noWrap w:val="0"/>
            <w:vAlign w:val="center"/>
          </w:tcPr>
          <w:p w14:paraId="1F622C94">
            <w:pPr>
              <w:keepNext/>
              <w:spacing w:line="440" w:lineRule="exact"/>
              <w:ind w:left="63" w:leftChars="30" w:right="63" w:rightChars="30"/>
              <w:jc w:val="center"/>
              <w:rPr>
                <w:rFonts w:ascii="宋体" w:hAnsi="宋体"/>
                <w:color w:val="000000" w:themeColor="text1"/>
                <w:sz w:val="30"/>
                <w:szCs w:val="30"/>
                <w14:textFill>
                  <w14:solidFill>
                    <w14:schemeClr w14:val="tx1"/>
                  </w14:solidFill>
                </w14:textFill>
              </w:rPr>
            </w:pPr>
          </w:p>
        </w:tc>
      </w:tr>
      <w:tr w14:paraId="7688173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continue"/>
            <w:noWrap w:val="0"/>
            <w:vAlign w:val="center"/>
          </w:tcPr>
          <w:p w14:paraId="7795DB29">
            <w:pPr>
              <w:keepNext/>
              <w:spacing w:line="440" w:lineRule="exact"/>
              <w:ind w:left="63" w:leftChars="30" w:right="63" w:rightChars="30"/>
              <w:jc w:val="center"/>
              <w:rPr>
                <w:rFonts w:ascii="宋体" w:hAnsi="宋体"/>
                <w:color w:val="000000" w:themeColor="text1"/>
                <w:szCs w:val="30"/>
                <w14:textFill>
                  <w14:solidFill>
                    <w14:schemeClr w14:val="tx1"/>
                  </w14:solidFill>
                </w14:textFill>
              </w:rPr>
            </w:pPr>
          </w:p>
        </w:tc>
        <w:tc>
          <w:tcPr>
            <w:tcW w:w="1418" w:type="dxa"/>
            <w:tcBorders>
              <w:bottom w:val="nil"/>
            </w:tcBorders>
            <w:noWrap w:val="0"/>
            <w:vAlign w:val="center"/>
          </w:tcPr>
          <w:p w14:paraId="3A483B63">
            <w:pPr>
              <w:keepNext/>
              <w:spacing w:line="440" w:lineRule="exact"/>
              <w:ind w:left="63" w:leftChars="30" w:right="63" w:rightChars="30"/>
              <w:jc w:val="center"/>
              <w:rPr>
                <w:rFonts w:ascii="宋体" w:hAnsi="宋体"/>
                <w:color w:val="000000" w:themeColor="text1"/>
                <w:szCs w:val="30"/>
                <w14:textFill>
                  <w14:solidFill>
                    <w14:schemeClr w14:val="tx1"/>
                  </w14:solidFill>
                </w14:textFill>
              </w:rPr>
            </w:pPr>
          </w:p>
        </w:tc>
        <w:tc>
          <w:tcPr>
            <w:tcW w:w="1134" w:type="dxa"/>
            <w:tcBorders>
              <w:bottom w:val="nil"/>
            </w:tcBorders>
            <w:noWrap w:val="0"/>
            <w:vAlign w:val="center"/>
          </w:tcPr>
          <w:p w14:paraId="2F5B9361">
            <w:pPr>
              <w:keepNext/>
              <w:spacing w:line="440" w:lineRule="exact"/>
              <w:ind w:left="63" w:leftChars="30" w:right="63" w:rightChars="30"/>
              <w:jc w:val="center"/>
              <w:rPr>
                <w:rFonts w:ascii="宋体" w:hAnsi="宋体"/>
                <w:color w:val="000000" w:themeColor="text1"/>
                <w:sz w:val="30"/>
                <w:szCs w:val="30"/>
                <w14:textFill>
                  <w14:solidFill>
                    <w14:schemeClr w14:val="tx1"/>
                  </w14:solidFill>
                </w14:textFill>
              </w:rPr>
            </w:pPr>
          </w:p>
        </w:tc>
        <w:tc>
          <w:tcPr>
            <w:tcW w:w="1134" w:type="dxa"/>
            <w:tcBorders>
              <w:bottom w:val="nil"/>
            </w:tcBorders>
            <w:noWrap w:val="0"/>
            <w:vAlign w:val="center"/>
          </w:tcPr>
          <w:p w14:paraId="2EAA87C4">
            <w:pPr>
              <w:keepNext/>
              <w:spacing w:line="440" w:lineRule="exact"/>
              <w:ind w:left="63" w:leftChars="30" w:right="63" w:rightChars="30"/>
              <w:jc w:val="center"/>
              <w:rPr>
                <w:rFonts w:ascii="宋体" w:hAnsi="宋体"/>
                <w:color w:val="000000" w:themeColor="text1"/>
                <w:sz w:val="30"/>
                <w:szCs w:val="30"/>
                <w14:textFill>
                  <w14:solidFill>
                    <w14:schemeClr w14:val="tx1"/>
                  </w14:solidFill>
                </w14:textFill>
              </w:rPr>
            </w:pPr>
          </w:p>
        </w:tc>
        <w:tc>
          <w:tcPr>
            <w:tcW w:w="4252" w:type="dxa"/>
            <w:tcBorders>
              <w:bottom w:val="nil"/>
            </w:tcBorders>
            <w:noWrap w:val="0"/>
            <w:vAlign w:val="center"/>
          </w:tcPr>
          <w:p w14:paraId="10437C9E">
            <w:pPr>
              <w:keepNext/>
              <w:spacing w:line="440" w:lineRule="exact"/>
              <w:ind w:left="63" w:leftChars="30" w:right="63" w:rightChars="30"/>
              <w:jc w:val="center"/>
              <w:rPr>
                <w:rFonts w:ascii="宋体" w:hAnsi="宋体"/>
                <w:color w:val="000000" w:themeColor="text1"/>
                <w:sz w:val="30"/>
                <w:szCs w:val="30"/>
                <w14:textFill>
                  <w14:solidFill>
                    <w14:schemeClr w14:val="tx1"/>
                  </w14:solidFill>
                </w14:textFill>
              </w:rPr>
            </w:pPr>
          </w:p>
        </w:tc>
      </w:tr>
      <w:tr w14:paraId="20B99ED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continue"/>
            <w:noWrap w:val="0"/>
            <w:vAlign w:val="center"/>
          </w:tcPr>
          <w:p w14:paraId="5FDD5221">
            <w:pPr>
              <w:keepNext/>
              <w:spacing w:line="440" w:lineRule="exact"/>
              <w:ind w:left="63" w:leftChars="30" w:right="63" w:rightChars="30"/>
              <w:jc w:val="center"/>
              <w:rPr>
                <w:rFonts w:ascii="宋体" w:hAnsi="宋体"/>
                <w:color w:val="000000" w:themeColor="text1"/>
                <w:szCs w:val="30"/>
                <w14:textFill>
                  <w14:solidFill>
                    <w14:schemeClr w14:val="tx1"/>
                  </w14:solidFill>
                </w14:textFill>
              </w:rPr>
            </w:pPr>
          </w:p>
        </w:tc>
        <w:tc>
          <w:tcPr>
            <w:tcW w:w="1418" w:type="dxa"/>
            <w:noWrap w:val="0"/>
            <w:vAlign w:val="center"/>
          </w:tcPr>
          <w:p w14:paraId="15097A30">
            <w:pPr>
              <w:keepNext/>
              <w:spacing w:line="440" w:lineRule="exact"/>
              <w:ind w:left="63" w:leftChars="30" w:right="63" w:rightChars="30"/>
              <w:jc w:val="center"/>
              <w:rPr>
                <w:rFonts w:ascii="宋体" w:hAnsi="宋体"/>
                <w:color w:val="000000" w:themeColor="text1"/>
                <w:szCs w:val="30"/>
                <w14:textFill>
                  <w14:solidFill>
                    <w14:schemeClr w14:val="tx1"/>
                  </w14:solidFill>
                </w14:textFill>
              </w:rPr>
            </w:pPr>
          </w:p>
        </w:tc>
        <w:tc>
          <w:tcPr>
            <w:tcW w:w="1134" w:type="dxa"/>
            <w:noWrap w:val="0"/>
            <w:vAlign w:val="center"/>
          </w:tcPr>
          <w:p w14:paraId="6267F1C4">
            <w:pPr>
              <w:keepNext/>
              <w:spacing w:line="440" w:lineRule="exact"/>
              <w:ind w:left="63" w:leftChars="30" w:right="63" w:rightChars="30"/>
              <w:jc w:val="center"/>
              <w:rPr>
                <w:rFonts w:ascii="宋体" w:hAnsi="宋体"/>
                <w:color w:val="000000" w:themeColor="text1"/>
                <w:sz w:val="30"/>
                <w:szCs w:val="30"/>
                <w14:textFill>
                  <w14:solidFill>
                    <w14:schemeClr w14:val="tx1"/>
                  </w14:solidFill>
                </w14:textFill>
              </w:rPr>
            </w:pPr>
          </w:p>
        </w:tc>
        <w:tc>
          <w:tcPr>
            <w:tcW w:w="1134" w:type="dxa"/>
            <w:noWrap w:val="0"/>
            <w:vAlign w:val="center"/>
          </w:tcPr>
          <w:p w14:paraId="250E7F8B">
            <w:pPr>
              <w:keepNext/>
              <w:spacing w:line="440" w:lineRule="exact"/>
              <w:ind w:left="63" w:leftChars="30" w:right="63" w:rightChars="30"/>
              <w:jc w:val="center"/>
              <w:rPr>
                <w:rFonts w:ascii="宋体" w:hAnsi="宋体"/>
                <w:color w:val="000000" w:themeColor="text1"/>
                <w:sz w:val="30"/>
                <w:szCs w:val="30"/>
                <w14:textFill>
                  <w14:solidFill>
                    <w14:schemeClr w14:val="tx1"/>
                  </w14:solidFill>
                </w14:textFill>
              </w:rPr>
            </w:pPr>
          </w:p>
        </w:tc>
        <w:tc>
          <w:tcPr>
            <w:tcW w:w="4252" w:type="dxa"/>
            <w:noWrap w:val="0"/>
            <w:vAlign w:val="center"/>
          </w:tcPr>
          <w:p w14:paraId="06812DF3">
            <w:pPr>
              <w:keepNext/>
              <w:spacing w:line="440" w:lineRule="exact"/>
              <w:ind w:left="63" w:leftChars="30" w:right="63" w:rightChars="30"/>
              <w:jc w:val="center"/>
              <w:rPr>
                <w:rFonts w:ascii="宋体" w:hAnsi="宋体"/>
                <w:color w:val="000000" w:themeColor="text1"/>
                <w:sz w:val="30"/>
                <w:szCs w:val="30"/>
                <w14:textFill>
                  <w14:solidFill>
                    <w14:schemeClr w14:val="tx1"/>
                  </w14:solidFill>
                </w14:textFill>
              </w:rPr>
            </w:pPr>
          </w:p>
        </w:tc>
      </w:tr>
      <w:tr w14:paraId="199B281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continue"/>
            <w:noWrap w:val="0"/>
            <w:vAlign w:val="center"/>
          </w:tcPr>
          <w:p w14:paraId="5F84F3B7">
            <w:pPr>
              <w:keepNext/>
              <w:spacing w:line="440" w:lineRule="exact"/>
              <w:ind w:left="63" w:leftChars="30" w:right="63" w:rightChars="30"/>
              <w:jc w:val="center"/>
              <w:rPr>
                <w:rFonts w:ascii="宋体" w:hAnsi="宋体"/>
                <w:color w:val="000000" w:themeColor="text1"/>
                <w:szCs w:val="30"/>
                <w14:textFill>
                  <w14:solidFill>
                    <w14:schemeClr w14:val="tx1"/>
                  </w14:solidFill>
                </w14:textFill>
              </w:rPr>
            </w:pPr>
          </w:p>
        </w:tc>
        <w:tc>
          <w:tcPr>
            <w:tcW w:w="1418" w:type="dxa"/>
            <w:noWrap w:val="0"/>
            <w:vAlign w:val="center"/>
          </w:tcPr>
          <w:p w14:paraId="46781AA3">
            <w:pPr>
              <w:keepNext/>
              <w:spacing w:line="440" w:lineRule="exact"/>
              <w:ind w:left="63" w:leftChars="30" w:right="63" w:rightChars="30"/>
              <w:jc w:val="center"/>
              <w:rPr>
                <w:rFonts w:ascii="宋体" w:hAnsi="宋体"/>
                <w:color w:val="000000" w:themeColor="text1"/>
                <w:szCs w:val="30"/>
                <w14:textFill>
                  <w14:solidFill>
                    <w14:schemeClr w14:val="tx1"/>
                  </w14:solidFill>
                </w14:textFill>
              </w:rPr>
            </w:pPr>
          </w:p>
        </w:tc>
        <w:tc>
          <w:tcPr>
            <w:tcW w:w="1134" w:type="dxa"/>
            <w:noWrap w:val="0"/>
            <w:vAlign w:val="center"/>
          </w:tcPr>
          <w:p w14:paraId="51CE4701">
            <w:pPr>
              <w:keepNext/>
              <w:spacing w:line="440" w:lineRule="exact"/>
              <w:ind w:left="63" w:leftChars="30" w:right="63" w:rightChars="30"/>
              <w:jc w:val="center"/>
              <w:rPr>
                <w:rFonts w:ascii="宋体" w:hAnsi="宋体"/>
                <w:color w:val="000000" w:themeColor="text1"/>
                <w:sz w:val="30"/>
                <w:szCs w:val="30"/>
                <w14:textFill>
                  <w14:solidFill>
                    <w14:schemeClr w14:val="tx1"/>
                  </w14:solidFill>
                </w14:textFill>
              </w:rPr>
            </w:pPr>
          </w:p>
        </w:tc>
        <w:tc>
          <w:tcPr>
            <w:tcW w:w="1134" w:type="dxa"/>
            <w:noWrap w:val="0"/>
            <w:vAlign w:val="center"/>
          </w:tcPr>
          <w:p w14:paraId="7F631EBD">
            <w:pPr>
              <w:keepNext/>
              <w:spacing w:line="440" w:lineRule="exact"/>
              <w:ind w:left="63" w:leftChars="30" w:right="63" w:rightChars="30"/>
              <w:jc w:val="center"/>
              <w:rPr>
                <w:rFonts w:ascii="宋体" w:hAnsi="宋体"/>
                <w:color w:val="000000" w:themeColor="text1"/>
                <w:sz w:val="30"/>
                <w:szCs w:val="30"/>
                <w14:textFill>
                  <w14:solidFill>
                    <w14:schemeClr w14:val="tx1"/>
                  </w14:solidFill>
                </w14:textFill>
              </w:rPr>
            </w:pPr>
          </w:p>
        </w:tc>
        <w:tc>
          <w:tcPr>
            <w:tcW w:w="4252" w:type="dxa"/>
            <w:noWrap w:val="0"/>
            <w:vAlign w:val="center"/>
          </w:tcPr>
          <w:p w14:paraId="5823C64E">
            <w:pPr>
              <w:keepNext/>
              <w:spacing w:line="440" w:lineRule="exact"/>
              <w:ind w:left="63" w:leftChars="30" w:right="63" w:rightChars="30"/>
              <w:jc w:val="center"/>
              <w:rPr>
                <w:rFonts w:ascii="宋体" w:hAnsi="宋体"/>
                <w:color w:val="000000" w:themeColor="text1"/>
                <w:sz w:val="30"/>
                <w:szCs w:val="30"/>
                <w14:textFill>
                  <w14:solidFill>
                    <w14:schemeClr w14:val="tx1"/>
                  </w14:solidFill>
                </w14:textFill>
              </w:rPr>
            </w:pPr>
          </w:p>
        </w:tc>
      </w:tr>
    </w:tbl>
    <w:p w14:paraId="5402A52F">
      <w:pPr>
        <w:spacing w:line="440" w:lineRule="exact"/>
        <w:rPr>
          <w:rFonts w:hint="eastAsia" w:ascii="宋体" w:hAnsi="宋体"/>
          <w:color w:val="000000" w:themeColor="text1"/>
          <w:sz w:val="30"/>
          <w:szCs w:val="30"/>
          <w14:textFill>
            <w14:solidFill>
              <w14:schemeClr w14:val="tx1"/>
            </w14:solidFill>
          </w14:textFill>
        </w:rPr>
      </w:pPr>
    </w:p>
    <w:p w14:paraId="26FD586C">
      <w:pPr>
        <w:spacing w:line="440" w:lineRule="exact"/>
        <w:rPr>
          <w:rFonts w:hint="eastAsia" w:ascii="宋体" w:hAnsi="宋体"/>
          <w:color w:val="000000" w:themeColor="text1"/>
          <w:sz w:val="30"/>
          <w:szCs w:val="30"/>
          <w14:textFill>
            <w14:solidFill>
              <w14:schemeClr w14:val="tx1"/>
            </w14:solidFill>
          </w14:textFill>
        </w:rPr>
      </w:pPr>
    </w:p>
    <w:p w14:paraId="4424FF02">
      <w:pPr>
        <w:spacing w:line="440" w:lineRule="exact"/>
        <w:rPr>
          <w:rFonts w:hint="eastAsia" w:ascii="宋体" w:hAnsi="宋体"/>
          <w:color w:val="000000" w:themeColor="text1"/>
          <w:sz w:val="30"/>
          <w:szCs w:val="30"/>
          <w14:textFill>
            <w14:solidFill>
              <w14:schemeClr w14:val="tx1"/>
            </w14:solidFill>
          </w14:textFill>
        </w:rPr>
      </w:pPr>
    </w:p>
    <w:p w14:paraId="1730C8A2">
      <w:pPr>
        <w:spacing w:line="440" w:lineRule="exact"/>
        <w:rPr>
          <w:rFonts w:hint="eastAsia" w:ascii="宋体" w:hAnsi="宋体"/>
          <w:color w:val="000000" w:themeColor="text1"/>
          <w:sz w:val="30"/>
          <w:szCs w:val="30"/>
          <w14:textFill>
            <w14:solidFill>
              <w14:schemeClr w14:val="tx1"/>
            </w14:solidFill>
          </w14:textFill>
        </w:rPr>
      </w:pPr>
    </w:p>
    <w:p w14:paraId="56BAAEF6">
      <w:pPr>
        <w:spacing w:line="440" w:lineRule="exact"/>
        <w:rPr>
          <w:rFonts w:hint="eastAsia" w:ascii="宋体" w:hAnsi="宋体"/>
          <w:color w:val="000000" w:themeColor="text1"/>
          <w:sz w:val="30"/>
          <w:szCs w:val="30"/>
          <w14:textFill>
            <w14:solidFill>
              <w14:schemeClr w14:val="tx1"/>
            </w14:solidFill>
          </w14:textFill>
        </w:rPr>
      </w:pPr>
    </w:p>
    <w:p w14:paraId="40D5D8BB">
      <w:pPr>
        <w:spacing w:line="440" w:lineRule="exact"/>
        <w:rPr>
          <w:rFonts w:hint="eastAsia" w:ascii="宋体" w:hAnsi="宋体"/>
          <w:color w:val="000000" w:themeColor="text1"/>
          <w:sz w:val="30"/>
          <w:szCs w:val="30"/>
          <w14:textFill>
            <w14:solidFill>
              <w14:schemeClr w14:val="tx1"/>
            </w14:solidFill>
          </w14:textFill>
        </w:rPr>
      </w:pPr>
    </w:p>
    <w:p w14:paraId="797D9162">
      <w:pPr>
        <w:spacing w:line="360" w:lineRule="auto"/>
        <w:rPr>
          <w:rFonts w:hint="eastAsia" w:ascii="宋体" w:hAnsi="宋体"/>
          <w:color w:val="000000" w:themeColor="text1"/>
          <w:sz w:val="30"/>
          <w:szCs w:val="30"/>
          <w14:textFill>
            <w14:solidFill>
              <w14:schemeClr w14:val="tx1"/>
            </w14:solidFill>
          </w14:textFill>
        </w:rPr>
      </w:pPr>
    </w:p>
    <w:p w14:paraId="1A2531E2">
      <w:pPr>
        <w:spacing w:line="360" w:lineRule="auto"/>
        <w:rPr>
          <w:rFonts w:hint="eastAsia" w:ascii="宋体" w:hAnsi="宋体"/>
          <w:color w:val="000000" w:themeColor="text1"/>
          <w:sz w:val="30"/>
          <w:szCs w:val="30"/>
          <w14:textFill>
            <w14:solidFill>
              <w14:schemeClr w14:val="tx1"/>
            </w14:solidFill>
          </w14:textFill>
        </w:rPr>
      </w:pPr>
    </w:p>
    <w:p w14:paraId="6E8A15F1">
      <w:pPr>
        <w:spacing w:line="360" w:lineRule="auto"/>
        <w:rPr>
          <w:rFonts w:ascii="宋体" w:hAnsi="宋体"/>
          <w:color w:val="000000" w:themeColor="text1"/>
          <w:sz w:val="30"/>
          <w:szCs w:val="30"/>
          <w14:textFill>
            <w14:solidFill>
              <w14:schemeClr w14:val="tx1"/>
            </w14:solidFill>
          </w14:textFill>
        </w:rPr>
      </w:pPr>
      <w:r>
        <w:rPr>
          <w:rFonts w:hint="eastAsia" w:ascii="宋体" w:hAnsi="宋体"/>
          <w:color w:val="000000" w:themeColor="text1"/>
          <w:sz w:val="30"/>
          <w:szCs w:val="30"/>
          <w14:textFill>
            <w14:solidFill>
              <w14:schemeClr w14:val="tx1"/>
            </w14:solidFill>
          </w14:textFill>
        </w:rPr>
        <w:t>附件5：</w:t>
      </w:r>
    </w:p>
    <w:p w14:paraId="15CEEABF">
      <w:pPr>
        <w:pStyle w:val="102"/>
        <w:ind w:firstLine="0" w:firstLineChars="0"/>
        <w:jc w:val="center"/>
        <w:outlineLvl w:val="0"/>
        <w:rPr>
          <w:rFonts w:ascii="宋体" w:hAnsi="宋体"/>
          <w:color w:val="000000" w:themeColor="text1"/>
          <w:sz w:val="30"/>
          <w:szCs w:val="30"/>
          <w14:textFill>
            <w14:solidFill>
              <w14:schemeClr w14:val="tx1"/>
            </w14:solidFill>
          </w14:textFill>
        </w:rPr>
      </w:pPr>
      <w:bookmarkStart w:id="1377" w:name="_Toc520505938"/>
      <w:bookmarkStart w:id="1378" w:name="_Toc173253268"/>
      <w:bookmarkStart w:id="1379" w:name="_Toc185770520"/>
      <w:bookmarkStart w:id="1380" w:name="_Toc406522309"/>
      <w:bookmarkStart w:id="1381" w:name="_Toc8708"/>
      <w:r>
        <w:rPr>
          <w:rFonts w:hint="eastAsia" w:ascii="宋体" w:hAnsi="宋体"/>
          <w:color w:val="000000" w:themeColor="text1"/>
          <w:sz w:val="30"/>
          <w:szCs w:val="30"/>
          <w14:textFill>
            <w14:solidFill>
              <w14:schemeClr w14:val="tx1"/>
            </w14:solidFill>
          </w14:textFill>
        </w:rPr>
        <w:t>5</w:t>
      </w:r>
      <w:r>
        <w:rPr>
          <w:rFonts w:ascii="宋体" w:hAnsi="宋体"/>
          <w:color w:val="000000" w:themeColor="text1"/>
          <w:sz w:val="30"/>
          <w:szCs w:val="30"/>
          <w14:textFill>
            <w14:solidFill>
              <w14:schemeClr w14:val="tx1"/>
            </w14:solidFill>
          </w14:textFill>
        </w:rPr>
        <w:t>-1</w:t>
      </w:r>
      <w:r>
        <w:rPr>
          <w:rFonts w:hint="eastAsia" w:ascii="宋体" w:hAnsi="宋体"/>
          <w:color w:val="000000" w:themeColor="text1"/>
          <w:sz w:val="30"/>
          <w:szCs w:val="30"/>
          <w14:textFill>
            <w14:solidFill>
              <w14:schemeClr w14:val="tx1"/>
            </w14:solidFill>
          </w14:textFill>
        </w:rPr>
        <w:t>：材料暂估价表</w:t>
      </w:r>
      <w:bookmarkEnd w:id="1377"/>
      <w:bookmarkEnd w:id="1378"/>
      <w:bookmarkEnd w:id="1379"/>
      <w:bookmarkEnd w:id="1380"/>
      <w:bookmarkEnd w:id="1381"/>
    </w:p>
    <w:tbl>
      <w:tblPr>
        <w:tblStyle w:val="29"/>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993"/>
        <w:gridCol w:w="1984"/>
        <w:gridCol w:w="851"/>
        <w:gridCol w:w="774"/>
        <w:gridCol w:w="1352"/>
        <w:gridCol w:w="1418"/>
        <w:gridCol w:w="1701"/>
      </w:tblGrid>
      <w:tr w14:paraId="3B7B462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93" w:type="dxa"/>
            <w:tcBorders>
              <w:top w:val="single" w:color="auto" w:sz="12" w:space="0"/>
              <w:bottom w:val="double" w:color="auto" w:sz="6" w:space="0"/>
            </w:tcBorders>
            <w:noWrap w:val="0"/>
            <w:vAlign w:val="top"/>
          </w:tcPr>
          <w:p w14:paraId="57ED6357">
            <w:pPr>
              <w:keepNext/>
              <w:spacing w:line="440" w:lineRule="exact"/>
              <w:ind w:left="63" w:leftChars="30" w:right="63" w:rightChars="30"/>
              <w:jc w:val="center"/>
              <w:rPr>
                <w:rFonts w:ascii="宋体" w:hAnsi="宋体"/>
                <w:color w:val="000000" w:themeColor="text1"/>
                <w:szCs w:val="30"/>
                <w14:textFill>
                  <w14:solidFill>
                    <w14:schemeClr w14:val="tx1"/>
                  </w14:solidFill>
                </w14:textFill>
              </w:rPr>
            </w:pPr>
            <w:r>
              <w:rPr>
                <w:rFonts w:hint="eastAsia" w:ascii="宋体" w:hAnsi="宋体"/>
                <w:color w:val="000000" w:themeColor="text1"/>
                <w:szCs w:val="30"/>
                <w14:textFill>
                  <w14:solidFill>
                    <w14:schemeClr w14:val="tx1"/>
                  </w14:solidFill>
                </w14:textFill>
              </w:rPr>
              <w:t>序号</w:t>
            </w:r>
          </w:p>
        </w:tc>
        <w:tc>
          <w:tcPr>
            <w:tcW w:w="1984" w:type="dxa"/>
            <w:tcBorders>
              <w:top w:val="single" w:color="auto" w:sz="12" w:space="0"/>
              <w:bottom w:val="double" w:color="auto" w:sz="6" w:space="0"/>
            </w:tcBorders>
            <w:noWrap w:val="0"/>
            <w:vAlign w:val="top"/>
          </w:tcPr>
          <w:p w14:paraId="38241D96">
            <w:pPr>
              <w:keepNext/>
              <w:spacing w:line="440" w:lineRule="exact"/>
              <w:ind w:left="63" w:leftChars="30" w:right="63" w:rightChars="30"/>
              <w:jc w:val="center"/>
              <w:rPr>
                <w:rFonts w:ascii="宋体" w:hAnsi="宋体"/>
                <w:color w:val="000000" w:themeColor="text1"/>
                <w:szCs w:val="30"/>
                <w14:textFill>
                  <w14:solidFill>
                    <w14:schemeClr w14:val="tx1"/>
                  </w14:solidFill>
                </w14:textFill>
              </w:rPr>
            </w:pPr>
            <w:r>
              <w:rPr>
                <w:rFonts w:hint="eastAsia" w:ascii="宋体" w:hAnsi="宋体"/>
                <w:color w:val="000000" w:themeColor="text1"/>
                <w:szCs w:val="30"/>
                <w14:textFill>
                  <w14:solidFill>
                    <w14:schemeClr w14:val="tx1"/>
                  </w14:solidFill>
                </w14:textFill>
              </w:rPr>
              <w:t>名称</w:t>
            </w:r>
          </w:p>
        </w:tc>
        <w:tc>
          <w:tcPr>
            <w:tcW w:w="851" w:type="dxa"/>
            <w:tcBorders>
              <w:top w:val="single" w:color="auto" w:sz="12" w:space="0"/>
              <w:bottom w:val="double" w:color="auto" w:sz="6" w:space="0"/>
            </w:tcBorders>
            <w:noWrap w:val="0"/>
            <w:vAlign w:val="top"/>
          </w:tcPr>
          <w:p w14:paraId="367E5FCC">
            <w:pPr>
              <w:keepNext/>
              <w:spacing w:line="440" w:lineRule="exact"/>
              <w:ind w:left="63" w:leftChars="30" w:right="63" w:rightChars="30"/>
              <w:jc w:val="center"/>
              <w:rPr>
                <w:rFonts w:ascii="宋体" w:hAnsi="宋体"/>
                <w:color w:val="000000" w:themeColor="text1"/>
                <w:szCs w:val="30"/>
                <w14:textFill>
                  <w14:solidFill>
                    <w14:schemeClr w14:val="tx1"/>
                  </w14:solidFill>
                </w14:textFill>
              </w:rPr>
            </w:pPr>
            <w:r>
              <w:rPr>
                <w:rFonts w:hint="eastAsia" w:ascii="宋体" w:hAnsi="宋体"/>
                <w:color w:val="000000" w:themeColor="text1"/>
                <w:szCs w:val="30"/>
                <w14:textFill>
                  <w14:solidFill>
                    <w14:schemeClr w14:val="tx1"/>
                  </w14:solidFill>
                </w14:textFill>
              </w:rPr>
              <w:t>单位</w:t>
            </w:r>
          </w:p>
        </w:tc>
        <w:tc>
          <w:tcPr>
            <w:tcW w:w="774" w:type="dxa"/>
            <w:tcBorders>
              <w:top w:val="single" w:color="auto" w:sz="12" w:space="0"/>
              <w:bottom w:val="double" w:color="auto" w:sz="6" w:space="0"/>
            </w:tcBorders>
            <w:noWrap w:val="0"/>
            <w:vAlign w:val="top"/>
          </w:tcPr>
          <w:p w14:paraId="5A1AA238">
            <w:pPr>
              <w:keepNext/>
              <w:spacing w:line="440" w:lineRule="exact"/>
              <w:ind w:left="63" w:leftChars="30" w:right="63" w:rightChars="30"/>
              <w:jc w:val="center"/>
              <w:rPr>
                <w:rFonts w:ascii="宋体" w:hAnsi="宋体"/>
                <w:color w:val="000000" w:themeColor="text1"/>
                <w:szCs w:val="30"/>
                <w14:textFill>
                  <w14:solidFill>
                    <w14:schemeClr w14:val="tx1"/>
                  </w14:solidFill>
                </w14:textFill>
              </w:rPr>
            </w:pPr>
            <w:r>
              <w:rPr>
                <w:rFonts w:hint="eastAsia" w:ascii="宋体" w:hAnsi="宋体"/>
                <w:color w:val="000000" w:themeColor="text1"/>
                <w:szCs w:val="30"/>
                <w14:textFill>
                  <w14:solidFill>
                    <w14:schemeClr w14:val="tx1"/>
                  </w14:solidFill>
                </w14:textFill>
              </w:rPr>
              <w:t>数量</w:t>
            </w:r>
          </w:p>
        </w:tc>
        <w:tc>
          <w:tcPr>
            <w:tcW w:w="1352" w:type="dxa"/>
            <w:tcBorders>
              <w:top w:val="single" w:color="auto" w:sz="12" w:space="0"/>
              <w:bottom w:val="double" w:color="auto" w:sz="6" w:space="0"/>
            </w:tcBorders>
            <w:noWrap w:val="0"/>
            <w:vAlign w:val="top"/>
          </w:tcPr>
          <w:p w14:paraId="01AF7C14">
            <w:pPr>
              <w:keepNext/>
              <w:spacing w:line="440" w:lineRule="exact"/>
              <w:ind w:left="63" w:leftChars="30" w:right="63" w:rightChars="30"/>
              <w:jc w:val="center"/>
              <w:rPr>
                <w:rFonts w:ascii="宋体" w:hAnsi="宋体"/>
                <w:color w:val="000000" w:themeColor="text1"/>
                <w:szCs w:val="30"/>
                <w14:textFill>
                  <w14:solidFill>
                    <w14:schemeClr w14:val="tx1"/>
                  </w14:solidFill>
                </w14:textFill>
              </w:rPr>
            </w:pPr>
            <w:r>
              <w:rPr>
                <w:rFonts w:hint="eastAsia" w:ascii="宋体" w:hAnsi="宋体"/>
                <w:color w:val="000000" w:themeColor="text1"/>
                <w:szCs w:val="30"/>
                <w14:textFill>
                  <w14:solidFill>
                    <w14:schemeClr w14:val="tx1"/>
                  </w14:solidFill>
                </w14:textFill>
              </w:rPr>
              <w:t>单价（元）</w:t>
            </w:r>
          </w:p>
        </w:tc>
        <w:tc>
          <w:tcPr>
            <w:tcW w:w="1418" w:type="dxa"/>
            <w:tcBorders>
              <w:top w:val="single" w:color="auto" w:sz="12" w:space="0"/>
              <w:bottom w:val="double" w:color="auto" w:sz="6" w:space="0"/>
            </w:tcBorders>
            <w:noWrap w:val="0"/>
            <w:vAlign w:val="top"/>
          </w:tcPr>
          <w:p w14:paraId="5EE2AEA4">
            <w:pPr>
              <w:keepNext/>
              <w:spacing w:line="440" w:lineRule="exact"/>
              <w:ind w:left="63" w:leftChars="30" w:right="63" w:rightChars="30"/>
              <w:jc w:val="center"/>
              <w:rPr>
                <w:rFonts w:ascii="宋体" w:hAnsi="宋体"/>
                <w:color w:val="000000" w:themeColor="text1"/>
                <w:szCs w:val="30"/>
                <w14:textFill>
                  <w14:solidFill>
                    <w14:schemeClr w14:val="tx1"/>
                  </w14:solidFill>
                </w14:textFill>
              </w:rPr>
            </w:pPr>
            <w:r>
              <w:rPr>
                <w:rFonts w:hint="eastAsia" w:ascii="宋体" w:hAnsi="宋体"/>
                <w:color w:val="000000" w:themeColor="text1"/>
                <w:szCs w:val="30"/>
                <w14:textFill>
                  <w14:solidFill>
                    <w14:schemeClr w14:val="tx1"/>
                  </w14:solidFill>
                </w14:textFill>
              </w:rPr>
              <w:t>合价（元）</w:t>
            </w:r>
          </w:p>
        </w:tc>
        <w:tc>
          <w:tcPr>
            <w:tcW w:w="1701" w:type="dxa"/>
            <w:tcBorders>
              <w:top w:val="single" w:color="auto" w:sz="12" w:space="0"/>
              <w:bottom w:val="double" w:color="auto" w:sz="6" w:space="0"/>
            </w:tcBorders>
            <w:noWrap w:val="0"/>
            <w:vAlign w:val="top"/>
          </w:tcPr>
          <w:p w14:paraId="1289A7CF">
            <w:pPr>
              <w:keepNext/>
              <w:spacing w:line="440" w:lineRule="exact"/>
              <w:ind w:left="63" w:leftChars="30" w:right="63" w:rightChars="30"/>
              <w:jc w:val="center"/>
              <w:rPr>
                <w:rFonts w:ascii="宋体" w:hAnsi="宋体"/>
                <w:color w:val="000000" w:themeColor="text1"/>
                <w:szCs w:val="30"/>
                <w14:textFill>
                  <w14:solidFill>
                    <w14:schemeClr w14:val="tx1"/>
                  </w14:solidFill>
                </w14:textFill>
              </w:rPr>
            </w:pPr>
            <w:r>
              <w:rPr>
                <w:rFonts w:hint="eastAsia" w:ascii="宋体" w:hAnsi="宋体"/>
                <w:color w:val="000000" w:themeColor="text1"/>
                <w:szCs w:val="30"/>
                <w14:textFill>
                  <w14:solidFill>
                    <w14:schemeClr w14:val="tx1"/>
                  </w14:solidFill>
                </w14:textFill>
              </w:rPr>
              <w:t>备注</w:t>
            </w:r>
          </w:p>
        </w:tc>
      </w:tr>
      <w:tr w14:paraId="4221353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93" w:type="dxa"/>
            <w:tcBorders>
              <w:top w:val="double" w:color="auto" w:sz="6" w:space="0"/>
            </w:tcBorders>
            <w:noWrap w:val="0"/>
            <w:vAlign w:val="top"/>
          </w:tcPr>
          <w:p w14:paraId="084135E8">
            <w:pPr>
              <w:keepNext/>
              <w:spacing w:line="440" w:lineRule="exact"/>
              <w:ind w:left="63" w:leftChars="30" w:right="63" w:rightChars="30"/>
              <w:jc w:val="center"/>
              <w:rPr>
                <w:rFonts w:ascii="宋体" w:hAnsi="宋体"/>
                <w:color w:val="000000" w:themeColor="text1"/>
                <w:szCs w:val="30"/>
                <w14:textFill>
                  <w14:solidFill>
                    <w14:schemeClr w14:val="tx1"/>
                  </w14:solidFill>
                </w14:textFill>
              </w:rPr>
            </w:pPr>
          </w:p>
        </w:tc>
        <w:tc>
          <w:tcPr>
            <w:tcW w:w="1984" w:type="dxa"/>
            <w:tcBorders>
              <w:top w:val="double" w:color="auto" w:sz="6" w:space="0"/>
            </w:tcBorders>
            <w:noWrap w:val="0"/>
            <w:vAlign w:val="top"/>
          </w:tcPr>
          <w:p w14:paraId="2A21FDED">
            <w:pPr>
              <w:keepNext/>
              <w:spacing w:line="440" w:lineRule="exact"/>
              <w:ind w:left="63" w:leftChars="30" w:right="63" w:rightChars="30"/>
              <w:jc w:val="center"/>
              <w:rPr>
                <w:rFonts w:ascii="宋体" w:hAnsi="宋体"/>
                <w:color w:val="000000" w:themeColor="text1"/>
                <w:szCs w:val="30"/>
                <w14:textFill>
                  <w14:solidFill>
                    <w14:schemeClr w14:val="tx1"/>
                  </w14:solidFill>
                </w14:textFill>
              </w:rPr>
            </w:pPr>
          </w:p>
        </w:tc>
        <w:tc>
          <w:tcPr>
            <w:tcW w:w="851" w:type="dxa"/>
            <w:tcBorders>
              <w:top w:val="double" w:color="auto" w:sz="6" w:space="0"/>
            </w:tcBorders>
            <w:noWrap w:val="0"/>
            <w:vAlign w:val="top"/>
          </w:tcPr>
          <w:p w14:paraId="25C4E7B1">
            <w:pPr>
              <w:keepNext/>
              <w:spacing w:line="440" w:lineRule="exact"/>
              <w:ind w:left="63" w:leftChars="30" w:right="63" w:rightChars="30"/>
              <w:jc w:val="center"/>
              <w:rPr>
                <w:rFonts w:ascii="宋体" w:hAnsi="宋体"/>
                <w:color w:val="000000" w:themeColor="text1"/>
                <w:szCs w:val="30"/>
                <w14:textFill>
                  <w14:solidFill>
                    <w14:schemeClr w14:val="tx1"/>
                  </w14:solidFill>
                </w14:textFill>
              </w:rPr>
            </w:pPr>
          </w:p>
        </w:tc>
        <w:tc>
          <w:tcPr>
            <w:tcW w:w="774" w:type="dxa"/>
            <w:tcBorders>
              <w:top w:val="double" w:color="auto" w:sz="6" w:space="0"/>
            </w:tcBorders>
            <w:noWrap w:val="0"/>
            <w:vAlign w:val="top"/>
          </w:tcPr>
          <w:p w14:paraId="68410A0D">
            <w:pPr>
              <w:keepNext/>
              <w:spacing w:line="440" w:lineRule="exact"/>
              <w:ind w:left="63" w:leftChars="30" w:right="63" w:rightChars="30"/>
              <w:jc w:val="center"/>
              <w:rPr>
                <w:rFonts w:ascii="宋体" w:hAnsi="宋体"/>
                <w:color w:val="000000" w:themeColor="text1"/>
                <w:szCs w:val="30"/>
                <w14:textFill>
                  <w14:solidFill>
                    <w14:schemeClr w14:val="tx1"/>
                  </w14:solidFill>
                </w14:textFill>
              </w:rPr>
            </w:pPr>
          </w:p>
        </w:tc>
        <w:tc>
          <w:tcPr>
            <w:tcW w:w="1352" w:type="dxa"/>
            <w:tcBorders>
              <w:top w:val="double" w:color="auto" w:sz="6" w:space="0"/>
            </w:tcBorders>
            <w:noWrap w:val="0"/>
            <w:vAlign w:val="top"/>
          </w:tcPr>
          <w:p w14:paraId="7A0CC6B9">
            <w:pPr>
              <w:keepNext/>
              <w:spacing w:line="440" w:lineRule="exact"/>
              <w:ind w:left="63" w:leftChars="30" w:right="63" w:rightChars="30"/>
              <w:jc w:val="center"/>
              <w:rPr>
                <w:rFonts w:ascii="宋体" w:hAnsi="宋体"/>
                <w:color w:val="000000" w:themeColor="text1"/>
                <w:szCs w:val="30"/>
                <w14:textFill>
                  <w14:solidFill>
                    <w14:schemeClr w14:val="tx1"/>
                  </w14:solidFill>
                </w14:textFill>
              </w:rPr>
            </w:pPr>
          </w:p>
        </w:tc>
        <w:tc>
          <w:tcPr>
            <w:tcW w:w="1418" w:type="dxa"/>
            <w:tcBorders>
              <w:top w:val="double" w:color="auto" w:sz="6" w:space="0"/>
            </w:tcBorders>
            <w:noWrap w:val="0"/>
            <w:vAlign w:val="top"/>
          </w:tcPr>
          <w:p w14:paraId="00011F86">
            <w:pPr>
              <w:keepNext/>
              <w:spacing w:line="440" w:lineRule="exact"/>
              <w:ind w:left="63" w:leftChars="30" w:right="63" w:rightChars="30"/>
              <w:jc w:val="center"/>
              <w:rPr>
                <w:rFonts w:ascii="宋体" w:hAnsi="宋体"/>
                <w:color w:val="000000" w:themeColor="text1"/>
                <w:szCs w:val="30"/>
                <w14:textFill>
                  <w14:solidFill>
                    <w14:schemeClr w14:val="tx1"/>
                  </w14:solidFill>
                </w14:textFill>
              </w:rPr>
            </w:pPr>
          </w:p>
        </w:tc>
        <w:tc>
          <w:tcPr>
            <w:tcW w:w="1701" w:type="dxa"/>
            <w:tcBorders>
              <w:top w:val="double" w:color="auto" w:sz="6" w:space="0"/>
            </w:tcBorders>
            <w:noWrap w:val="0"/>
            <w:vAlign w:val="top"/>
          </w:tcPr>
          <w:p w14:paraId="342617AC">
            <w:pPr>
              <w:keepNext/>
              <w:spacing w:line="440" w:lineRule="exact"/>
              <w:ind w:left="63" w:leftChars="30" w:right="63" w:rightChars="30"/>
              <w:jc w:val="center"/>
              <w:rPr>
                <w:rFonts w:ascii="宋体" w:hAnsi="宋体"/>
                <w:color w:val="000000" w:themeColor="text1"/>
                <w:szCs w:val="30"/>
                <w14:textFill>
                  <w14:solidFill>
                    <w14:schemeClr w14:val="tx1"/>
                  </w14:solidFill>
                </w14:textFill>
              </w:rPr>
            </w:pPr>
          </w:p>
        </w:tc>
      </w:tr>
      <w:tr w14:paraId="7FB92D0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93" w:type="dxa"/>
            <w:tcBorders>
              <w:top w:val="nil"/>
            </w:tcBorders>
            <w:noWrap w:val="0"/>
            <w:vAlign w:val="top"/>
          </w:tcPr>
          <w:p w14:paraId="36F5A976">
            <w:pPr>
              <w:keepNext/>
              <w:spacing w:line="440" w:lineRule="exact"/>
              <w:ind w:left="63" w:leftChars="30" w:right="63" w:rightChars="30"/>
              <w:jc w:val="center"/>
              <w:rPr>
                <w:rFonts w:ascii="宋体" w:hAnsi="宋体"/>
                <w:color w:val="000000" w:themeColor="text1"/>
                <w:szCs w:val="30"/>
                <w14:textFill>
                  <w14:solidFill>
                    <w14:schemeClr w14:val="tx1"/>
                  </w14:solidFill>
                </w14:textFill>
              </w:rPr>
            </w:pPr>
          </w:p>
        </w:tc>
        <w:tc>
          <w:tcPr>
            <w:tcW w:w="1984" w:type="dxa"/>
            <w:tcBorders>
              <w:top w:val="nil"/>
            </w:tcBorders>
            <w:noWrap w:val="0"/>
            <w:vAlign w:val="top"/>
          </w:tcPr>
          <w:p w14:paraId="543C61F4">
            <w:pPr>
              <w:keepNext/>
              <w:spacing w:line="440" w:lineRule="exact"/>
              <w:ind w:left="63" w:leftChars="30" w:right="63" w:rightChars="30"/>
              <w:jc w:val="center"/>
              <w:rPr>
                <w:rFonts w:ascii="宋体" w:hAnsi="宋体"/>
                <w:color w:val="000000" w:themeColor="text1"/>
                <w:szCs w:val="30"/>
                <w14:textFill>
                  <w14:solidFill>
                    <w14:schemeClr w14:val="tx1"/>
                  </w14:solidFill>
                </w14:textFill>
              </w:rPr>
            </w:pPr>
          </w:p>
        </w:tc>
        <w:tc>
          <w:tcPr>
            <w:tcW w:w="851" w:type="dxa"/>
            <w:tcBorders>
              <w:top w:val="nil"/>
            </w:tcBorders>
            <w:noWrap w:val="0"/>
            <w:vAlign w:val="top"/>
          </w:tcPr>
          <w:p w14:paraId="204DB139">
            <w:pPr>
              <w:keepNext/>
              <w:spacing w:line="440" w:lineRule="exact"/>
              <w:ind w:left="63" w:leftChars="30" w:right="63" w:rightChars="30"/>
              <w:rPr>
                <w:rFonts w:ascii="宋体" w:hAnsi="宋体"/>
                <w:color w:val="000000" w:themeColor="text1"/>
                <w:szCs w:val="30"/>
                <w14:textFill>
                  <w14:solidFill>
                    <w14:schemeClr w14:val="tx1"/>
                  </w14:solidFill>
                </w14:textFill>
              </w:rPr>
            </w:pPr>
          </w:p>
        </w:tc>
        <w:tc>
          <w:tcPr>
            <w:tcW w:w="774" w:type="dxa"/>
            <w:tcBorders>
              <w:top w:val="nil"/>
            </w:tcBorders>
            <w:noWrap w:val="0"/>
            <w:vAlign w:val="top"/>
          </w:tcPr>
          <w:p w14:paraId="3B2EC7D7">
            <w:pPr>
              <w:keepNext/>
              <w:spacing w:line="440" w:lineRule="exact"/>
              <w:ind w:left="63" w:leftChars="30" w:right="63" w:rightChars="30"/>
              <w:jc w:val="center"/>
              <w:rPr>
                <w:rFonts w:ascii="宋体" w:hAnsi="宋体"/>
                <w:color w:val="000000" w:themeColor="text1"/>
                <w:szCs w:val="30"/>
                <w14:textFill>
                  <w14:solidFill>
                    <w14:schemeClr w14:val="tx1"/>
                  </w14:solidFill>
                </w14:textFill>
              </w:rPr>
            </w:pPr>
          </w:p>
        </w:tc>
        <w:tc>
          <w:tcPr>
            <w:tcW w:w="1352" w:type="dxa"/>
            <w:tcBorders>
              <w:top w:val="nil"/>
            </w:tcBorders>
            <w:noWrap w:val="0"/>
            <w:vAlign w:val="top"/>
          </w:tcPr>
          <w:p w14:paraId="09324861">
            <w:pPr>
              <w:keepNext/>
              <w:spacing w:line="440" w:lineRule="exact"/>
              <w:ind w:left="63" w:leftChars="30" w:right="63" w:rightChars="30"/>
              <w:jc w:val="center"/>
              <w:rPr>
                <w:rFonts w:ascii="宋体" w:hAnsi="宋体"/>
                <w:color w:val="000000" w:themeColor="text1"/>
                <w:szCs w:val="30"/>
                <w14:textFill>
                  <w14:solidFill>
                    <w14:schemeClr w14:val="tx1"/>
                  </w14:solidFill>
                </w14:textFill>
              </w:rPr>
            </w:pPr>
          </w:p>
        </w:tc>
        <w:tc>
          <w:tcPr>
            <w:tcW w:w="1418" w:type="dxa"/>
            <w:tcBorders>
              <w:top w:val="nil"/>
            </w:tcBorders>
            <w:noWrap w:val="0"/>
            <w:vAlign w:val="top"/>
          </w:tcPr>
          <w:p w14:paraId="0535FE7B">
            <w:pPr>
              <w:keepNext/>
              <w:spacing w:line="440" w:lineRule="exact"/>
              <w:ind w:left="63" w:leftChars="30" w:right="63" w:rightChars="30"/>
              <w:jc w:val="center"/>
              <w:rPr>
                <w:rFonts w:ascii="宋体" w:hAnsi="宋体"/>
                <w:color w:val="000000" w:themeColor="text1"/>
                <w:szCs w:val="30"/>
                <w14:textFill>
                  <w14:solidFill>
                    <w14:schemeClr w14:val="tx1"/>
                  </w14:solidFill>
                </w14:textFill>
              </w:rPr>
            </w:pPr>
          </w:p>
        </w:tc>
        <w:tc>
          <w:tcPr>
            <w:tcW w:w="1701" w:type="dxa"/>
            <w:tcBorders>
              <w:top w:val="nil"/>
            </w:tcBorders>
            <w:noWrap w:val="0"/>
            <w:vAlign w:val="top"/>
          </w:tcPr>
          <w:p w14:paraId="08569158">
            <w:pPr>
              <w:keepNext/>
              <w:spacing w:line="440" w:lineRule="exact"/>
              <w:ind w:left="63" w:leftChars="30" w:right="63" w:rightChars="30"/>
              <w:jc w:val="center"/>
              <w:rPr>
                <w:rFonts w:ascii="宋体" w:hAnsi="宋体"/>
                <w:color w:val="000000" w:themeColor="text1"/>
                <w:szCs w:val="30"/>
                <w14:textFill>
                  <w14:solidFill>
                    <w14:schemeClr w14:val="tx1"/>
                  </w14:solidFill>
                </w14:textFill>
              </w:rPr>
            </w:pPr>
          </w:p>
        </w:tc>
      </w:tr>
      <w:tr w14:paraId="55E8FC9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93" w:type="dxa"/>
            <w:noWrap w:val="0"/>
            <w:vAlign w:val="top"/>
          </w:tcPr>
          <w:p w14:paraId="0BC21D05">
            <w:pPr>
              <w:keepNext/>
              <w:spacing w:line="440" w:lineRule="exact"/>
              <w:ind w:left="63" w:leftChars="30" w:right="63" w:rightChars="30"/>
              <w:jc w:val="center"/>
              <w:rPr>
                <w:rFonts w:ascii="宋体" w:hAnsi="宋体"/>
                <w:color w:val="000000" w:themeColor="text1"/>
                <w:szCs w:val="30"/>
                <w14:textFill>
                  <w14:solidFill>
                    <w14:schemeClr w14:val="tx1"/>
                  </w14:solidFill>
                </w14:textFill>
              </w:rPr>
            </w:pPr>
          </w:p>
        </w:tc>
        <w:tc>
          <w:tcPr>
            <w:tcW w:w="1984" w:type="dxa"/>
            <w:noWrap w:val="0"/>
            <w:vAlign w:val="top"/>
          </w:tcPr>
          <w:p w14:paraId="05B4D1BE">
            <w:pPr>
              <w:keepNext/>
              <w:spacing w:line="440" w:lineRule="exact"/>
              <w:ind w:left="63" w:leftChars="30" w:right="63" w:rightChars="30"/>
              <w:jc w:val="center"/>
              <w:rPr>
                <w:rFonts w:ascii="宋体" w:hAnsi="宋体"/>
                <w:color w:val="000000" w:themeColor="text1"/>
                <w:szCs w:val="30"/>
                <w14:textFill>
                  <w14:solidFill>
                    <w14:schemeClr w14:val="tx1"/>
                  </w14:solidFill>
                </w14:textFill>
              </w:rPr>
            </w:pPr>
          </w:p>
        </w:tc>
        <w:tc>
          <w:tcPr>
            <w:tcW w:w="851" w:type="dxa"/>
            <w:noWrap w:val="0"/>
            <w:vAlign w:val="top"/>
          </w:tcPr>
          <w:p w14:paraId="52A27626">
            <w:pPr>
              <w:keepNext/>
              <w:spacing w:line="440" w:lineRule="exact"/>
              <w:ind w:left="63" w:leftChars="30" w:right="63" w:rightChars="30"/>
              <w:jc w:val="center"/>
              <w:rPr>
                <w:rFonts w:ascii="宋体" w:hAnsi="宋体"/>
                <w:color w:val="000000" w:themeColor="text1"/>
                <w:szCs w:val="30"/>
                <w14:textFill>
                  <w14:solidFill>
                    <w14:schemeClr w14:val="tx1"/>
                  </w14:solidFill>
                </w14:textFill>
              </w:rPr>
            </w:pPr>
          </w:p>
        </w:tc>
        <w:tc>
          <w:tcPr>
            <w:tcW w:w="774" w:type="dxa"/>
            <w:noWrap w:val="0"/>
            <w:vAlign w:val="top"/>
          </w:tcPr>
          <w:p w14:paraId="03C13E9F">
            <w:pPr>
              <w:keepNext/>
              <w:spacing w:line="440" w:lineRule="exact"/>
              <w:ind w:left="63" w:leftChars="30" w:right="63" w:rightChars="30"/>
              <w:jc w:val="center"/>
              <w:rPr>
                <w:rFonts w:ascii="宋体" w:hAnsi="宋体"/>
                <w:color w:val="000000" w:themeColor="text1"/>
                <w:szCs w:val="30"/>
                <w14:textFill>
                  <w14:solidFill>
                    <w14:schemeClr w14:val="tx1"/>
                  </w14:solidFill>
                </w14:textFill>
              </w:rPr>
            </w:pPr>
          </w:p>
        </w:tc>
        <w:tc>
          <w:tcPr>
            <w:tcW w:w="1352" w:type="dxa"/>
            <w:noWrap w:val="0"/>
            <w:vAlign w:val="top"/>
          </w:tcPr>
          <w:p w14:paraId="6A736CE4">
            <w:pPr>
              <w:keepNext/>
              <w:spacing w:line="440" w:lineRule="exact"/>
              <w:ind w:left="63" w:leftChars="30" w:right="63" w:rightChars="30"/>
              <w:jc w:val="center"/>
              <w:rPr>
                <w:rFonts w:ascii="宋体" w:hAnsi="宋体"/>
                <w:color w:val="000000" w:themeColor="text1"/>
                <w:szCs w:val="30"/>
                <w14:textFill>
                  <w14:solidFill>
                    <w14:schemeClr w14:val="tx1"/>
                  </w14:solidFill>
                </w14:textFill>
              </w:rPr>
            </w:pPr>
          </w:p>
        </w:tc>
        <w:tc>
          <w:tcPr>
            <w:tcW w:w="1418" w:type="dxa"/>
            <w:noWrap w:val="0"/>
            <w:vAlign w:val="top"/>
          </w:tcPr>
          <w:p w14:paraId="410A1387">
            <w:pPr>
              <w:keepNext/>
              <w:spacing w:line="440" w:lineRule="exact"/>
              <w:ind w:left="63" w:leftChars="30" w:right="63" w:rightChars="30"/>
              <w:jc w:val="center"/>
              <w:rPr>
                <w:rFonts w:ascii="宋体" w:hAnsi="宋体"/>
                <w:color w:val="000000" w:themeColor="text1"/>
                <w:szCs w:val="30"/>
                <w14:textFill>
                  <w14:solidFill>
                    <w14:schemeClr w14:val="tx1"/>
                  </w14:solidFill>
                </w14:textFill>
              </w:rPr>
            </w:pPr>
          </w:p>
        </w:tc>
        <w:tc>
          <w:tcPr>
            <w:tcW w:w="1701" w:type="dxa"/>
            <w:noWrap w:val="0"/>
            <w:vAlign w:val="top"/>
          </w:tcPr>
          <w:p w14:paraId="325D0038">
            <w:pPr>
              <w:keepNext/>
              <w:spacing w:line="440" w:lineRule="exact"/>
              <w:ind w:left="63" w:leftChars="30" w:right="63" w:rightChars="30"/>
              <w:jc w:val="center"/>
              <w:rPr>
                <w:rFonts w:ascii="宋体" w:hAnsi="宋体"/>
                <w:color w:val="000000" w:themeColor="text1"/>
                <w:szCs w:val="30"/>
                <w14:textFill>
                  <w14:solidFill>
                    <w14:schemeClr w14:val="tx1"/>
                  </w14:solidFill>
                </w14:textFill>
              </w:rPr>
            </w:pPr>
          </w:p>
        </w:tc>
      </w:tr>
      <w:tr w14:paraId="46828F3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93" w:type="dxa"/>
            <w:noWrap w:val="0"/>
            <w:vAlign w:val="top"/>
          </w:tcPr>
          <w:p w14:paraId="1C227A21">
            <w:pPr>
              <w:keepNext/>
              <w:spacing w:line="440" w:lineRule="exact"/>
              <w:ind w:left="63" w:leftChars="30" w:right="63" w:rightChars="30"/>
              <w:jc w:val="center"/>
              <w:rPr>
                <w:rFonts w:ascii="宋体" w:hAnsi="宋体"/>
                <w:color w:val="000000" w:themeColor="text1"/>
                <w:szCs w:val="30"/>
                <w14:textFill>
                  <w14:solidFill>
                    <w14:schemeClr w14:val="tx1"/>
                  </w14:solidFill>
                </w14:textFill>
              </w:rPr>
            </w:pPr>
          </w:p>
        </w:tc>
        <w:tc>
          <w:tcPr>
            <w:tcW w:w="1984" w:type="dxa"/>
            <w:noWrap w:val="0"/>
            <w:vAlign w:val="top"/>
          </w:tcPr>
          <w:p w14:paraId="5C9FA5E2">
            <w:pPr>
              <w:keepNext/>
              <w:spacing w:line="440" w:lineRule="exact"/>
              <w:ind w:left="63" w:leftChars="30" w:right="63" w:rightChars="30"/>
              <w:jc w:val="center"/>
              <w:rPr>
                <w:rFonts w:ascii="宋体" w:hAnsi="宋体"/>
                <w:color w:val="000000" w:themeColor="text1"/>
                <w:szCs w:val="30"/>
                <w14:textFill>
                  <w14:solidFill>
                    <w14:schemeClr w14:val="tx1"/>
                  </w14:solidFill>
                </w14:textFill>
              </w:rPr>
            </w:pPr>
          </w:p>
        </w:tc>
        <w:tc>
          <w:tcPr>
            <w:tcW w:w="851" w:type="dxa"/>
            <w:noWrap w:val="0"/>
            <w:vAlign w:val="top"/>
          </w:tcPr>
          <w:p w14:paraId="145BBE3F">
            <w:pPr>
              <w:keepNext/>
              <w:spacing w:line="440" w:lineRule="exact"/>
              <w:ind w:left="63" w:leftChars="30" w:right="63" w:rightChars="30"/>
              <w:jc w:val="center"/>
              <w:rPr>
                <w:rFonts w:ascii="宋体" w:hAnsi="宋体"/>
                <w:color w:val="000000" w:themeColor="text1"/>
                <w:szCs w:val="30"/>
                <w14:textFill>
                  <w14:solidFill>
                    <w14:schemeClr w14:val="tx1"/>
                  </w14:solidFill>
                </w14:textFill>
              </w:rPr>
            </w:pPr>
          </w:p>
        </w:tc>
        <w:tc>
          <w:tcPr>
            <w:tcW w:w="774" w:type="dxa"/>
            <w:noWrap w:val="0"/>
            <w:vAlign w:val="top"/>
          </w:tcPr>
          <w:p w14:paraId="624E1EE4">
            <w:pPr>
              <w:keepNext/>
              <w:spacing w:line="440" w:lineRule="exact"/>
              <w:ind w:left="63" w:leftChars="30" w:right="63" w:rightChars="30"/>
              <w:jc w:val="center"/>
              <w:rPr>
                <w:rFonts w:ascii="宋体" w:hAnsi="宋体"/>
                <w:color w:val="000000" w:themeColor="text1"/>
                <w:szCs w:val="30"/>
                <w14:textFill>
                  <w14:solidFill>
                    <w14:schemeClr w14:val="tx1"/>
                  </w14:solidFill>
                </w14:textFill>
              </w:rPr>
            </w:pPr>
          </w:p>
        </w:tc>
        <w:tc>
          <w:tcPr>
            <w:tcW w:w="1352" w:type="dxa"/>
            <w:noWrap w:val="0"/>
            <w:vAlign w:val="top"/>
          </w:tcPr>
          <w:p w14:paraId="0DB5FE0F">
            <w:pPr>
              <w:keepNext/>
              <w:spacing w:line="440" w:lineRule="exact"/>
              <w:ind w:left="63" w:leftChars="30" w:right="63" w:rightChars="30"/>
              <w:jc w:val="center"/>
              <w:rPr>
                <w:rFonts w:ascii="宋体" w:hAnsi="宋体"/>
                <w:color w:val="000000" w:themeColor="text1"/>
                <w:szCs w:val="30"/>
                <w14:textFill>
                  <w14:solidFill>
                    <w14:schemeClr w14:val="tx1"/>
                  </w14:solidFill>
                </w14:textFill>
              </w:rPr>
            </w:pPr>
          </w:p>
        </w:tc>
        <w:tc>
          <w:tcPr>
            <w:tcW w:w="1418" w:type="dxa"/>
            <w:noWrap w:val="0"/>
            <w:vAlign w:val="top"/>
          </w:tcPr>
          <w:p w14:paraId="5032E9E2">
            <w:pPr>
              <w:keepNext/>
              <w:spacing w:line="440" w:lineRule="exact"/>
              <w:ind w:left="63" w:leftChars="30" w:right="63" w:rightChars="30"/>
              <w:jc w:val="center"/>
              <w:rPr>
                <w:rFonts w:ascii="宋体" w:hAnsi="宋体"/>
                <w:color w:val="000000" w:themeColor="text1"/>
                <w:szCs w:val="30"/>
                <w14:textFill>
                  <w14:solidFill>
                    <w14:schemeClr w14:val="tx1"/>
                  </w14:solidFill>
                </w14:textFill>
              </w:rPr>
            </w:pPr>
          </w:p>
        </w:tc>
        <w:tc>
          <w:tcPr>
            <w:tcW w:w="1701" w:type="dxa"/>
            <w:noWrap w:val="0"/>
            <w:vAlign w:val="top"/>
          </w:tcPr>
          <w:p w14:paraId="0239C0DC">
            <w:pPr>
              <w:keepNext/>
              <w:spacing w:line="440" w:lineRule="exact"/>
              <w:ind w:left="63" w:leftChars="30" w:right="63" w:rightChars="30"/>
              <w:jc w:val="center"/>
              <w:rPr>
                <w:rFonts w:ascii="宋体" w:hAnsi="宋体"/>
                <w:color w:val="000000" w:themeColor="text1"/>
                <w:szCs w:val="30"/>
                <w14:textFill>
                  <w14:solidFill>
                    <w14:schemeClr w14:val="tx1"/>
                  </w14:solidFill>
                </w14:textFill>
              </w:rPr>
            </w:pPr>
          </w:p>
        </w:tc>
      </w:tr>
      <w:tr w14:paraId="286B08D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93" w:type="dxa"/>
            <w:noWrap w:val="0"/>
            <w:vAlign w:val="top"/>
          </w:tcPr>
          <w:p w14:paraId="56A41F5D">
            <w:pPr>
              <w:keepNext/>
              <w:spacing w:line="440" w:lineRule="exact"/>
              <w:ind w:left="63" w:leftChars="30" w:right="63" w:rightChars="30"/>
              <w:jc w:val="center"/>
              <w:rPr>
                <w:rFonts w:ascii="宋体" w:hAnsi="宋体"/>
                <w:color w:val="000000" w:themeColor="text1"/>
                <w:szCs w:val="30"/>
                <w14:textFill>
                  <w14:solidFill>
                    <w14:schemeClr w14:val="tx1"/>
                  </w14:solidFill>
                </w14:textFill>
              </w:rPr>
            </w:pPr>
          </w:p>
        </w:tc>
        <w:tc>
          <w:tcPr>
            <w:tcW w:w="1984" w:type="dxa"/>
            <w:noWrap w:val="0"/>
            <w:vAlign w:val="top"/>
          </w:tcPr>
          <w:p w14:paraId="61FF0259">
            <w:pPr>
              <w:keepNext/>
              <w:spacing w:line="440" w:lineRule="exact"/>
              <w:ind w:left="63" w:leftChars="30" w:right="63" w:rightChars="30"/>
              <w:jc w:val="center"/>
              <w:rPr>
                <w:rFonts w:ascii="宋体" w:hAnsi="宋体"/>
                <w:color w:val="000000" w:themeColor="text1"/>
                <w:szCs w:val="30"/>
                <w14:textFill>
                  <w14:solidFill>
                    <w14:schemeClr w14:val="tx1"/>
                  </w14:solidFill>
                </w14:textFill>
              </w:rPr>
            </w:pPr>
          </w:p>
        </w:tc>
        <w:tc>
          <w:tcPr>
            <w:tcW w:w="851" w:type="dxa"/>
            <w:noWrap w:val="0"/>
            <w:vAlign w:val="top"/>
          </w:tcPr>
          <w:p w14:paraId="470584F0">
            <w:pPr>
              <w:keepNext/>
              <w:spacing w:line="440" w:lineRule="exact"/>
              <w:ind w:left="63" w:leftChars="30" w:right="63" w:rightChars="30"/>
              <w:jc w:val="center"/>
              <w:rPr>
                <w:rFonts w:ascii="宋体" w:hAnsi="宋体"/>
                <w:color w:val="000000" w:themeColor="text1"/>
                <w:szCs w:val="30"/>
                <w14:textFill>
                  <w14:solidFill>
                    <w14:schemeClr w14:val="tx1"/>
                  </w14:solidFill>
                </w14:textFill>
              </w:rPr>
            </w:pPr>
          </w:p>
        </w:tc>
        <w:tc>
          <w:tcPr>
            <w:tcW w:w="774" w:type="dxa"/>
            <w:noWrap w:val="0"/>
            <w:vAlign w:val="top"/>
          </w:tcPr>
          <w:p w14:paraId="26B2686D">
            <w:pPr>
              <w:keepNext/>
              <w:spacing w:line="440" w:lineRule="exact"/>
              <w:ind w:left="63" w:leftChars="30" w:right="63" w:rightChars="30"/>
              <w:jc w:val="center"/>
              <w:rPr>
                <w:rFonts w:ascii="宋体" w:hAnsi="宋体"/>
                <w:color w:val="000000" w:themeColor="text1"/>
                <w:szCs w:val="30"/>
                <w14:textFill>
                  <w14:solidFill>
                    <w14:schemeClr w14:val="tx1"/>
                  </w14:solidFill>
                </w14:textFill>
              </w:rPr>
            </w:pPr>
          </w:p>
        </w:tc>
        <w:tc>
          <w:tcPr>
            <w:tcW w:w="1352" w:type="dxa"/>
            <w:noWrap w:val="0"/>
            <w:vAlign w:val="top"/>
          </w:tcPr>
          <w:p w14:paraId="352DE475">
            <w:pPr>
              <w:keepNext/>
              <w:spacing w:line="440" w:lineRule="exact"/>
              <w:ind w:left="63" w:leftChars="30" w:right="63" w:rightChars="30"/>
              <w:jc w:val="center"/>
              <w:rPr>
                <w:rFonts w:ascii="宋体" w:hAnsi="宋体"/>
                <w:color w:val="000000" w:themeColor="text1"/>
                <w:szCs w:val="30"/>
                <w14:textFill>
                  <w14:solidFill>
                    <w14:schemeClr w14:val="tx1"/>
                  </w14:solidFill>
                </w14:textFill>
              </w:rPr>
            </w:pPr>
          </w:p>
        </w:tc>
        <w:tc>
          <w:tcPr>
            <w:tcW w:w="1418" w:type="dxa"/>
            <w:noWrap w:val="0"/>
            <w:vAlign w:val="top"/>
          </w:tcPr>
          <w:p w14:paraId="4F9138D1">
            <w:pPr>
              <w:keepNext/>
              <w:spacing w:line="440" w:lineRule="exact"/>
              <w:ind w:left="63" w:leftChars="30" w:right="63" w:rightChars="30"/>
              <w:jc w:val="center"/>
              <w:rPr>
                <w:rFonts w:ascii="宋体" w:hAnsi="宋体"/>
                <w:color w:val="000000" w:themeColor="text1"/>
                <w:szCs w:val="30"/>
                <w14:textFill>
                  <w14:solidFill>
                    <w14:schemeClr w14:val="tx1"/>
                  </w14:solidFill>
                </w14:textFill>
              </w:rPr>
            </w:pPr>
          </w:p>
        </w:tc>
        <w:tc>
          <w:tcPr>
            <w:tcW w:w="1701" w:type="dxa"/>
            <w:noWrap w:val="0"/>
            <w:vAlign w:val="top"/>
          </w:tcPr>
          <w:p w14:paraId="32DFC422">
            <w:pPr>
              <w:keepNext/>
              <w:spacing w:line="440" w:lineRule="exact"/>
              <w:ind w:left="63" w:leftChars="30" w:right="63" w:rightChars="30"/>
              <w:jc w:val="center"/>
              <w:rPr>
                <w:rFonts w:ascii="宋体" w:hAnsi="宋体"/>
                <w:color w:val="000000" w:themeColor="text1"/>
                <w:szCs w:val="30"/>
                <w14:textFill>
                  <w14:solidFill>
                    <w14:schemeClr w14:val="tx1"/>
                  </w14:solidFill>
                </w14:textFill>
              </w:rPr>
            </w:pPr>
          </w:p>
        </w:tc>
      </w:tr>
      <w:tr w14:paraId="5E1DF22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93" w:type="dxa"/>
            <w:noWrap w:val="0"/>
            <w:vAlign w:val="top"/>
          </w:tcPr>
          <w:p w14:paraId="3A964B6F">
            <w:pPr>
              <w:keepNext/>
              <w:spacing w:line="440" w:lineRule="exact"/>
              <w:ind w:left="63" w:leftChars="30" w:right="63" w:rightChars="30"/>
              <w:jc w:val="center"/>
              <w:rPr>
                <w:rFonts w:ascii="宋体" w:hAnsi="宋体"/>
                <w:color w:val="000000" w:themeColor="text1"/>
                <w:szCs w:val="30"/>
                <w14:textFill>
                  <w14:solidFill>
                    <w14:schemeClr w14:val="tx1"/>
                  </w14:solidFill>
                </w14:textFill>
              </w:rPr>
            </w:pPr>
          </w:p>
        </w:tc>
        <w:tc>
          <w:tcPr>
            <w:tcW w:w="1984" w:type="dxa"/>
            <w:noWrap w:val="0"/>
            <w:vAlign w:val="top"/>
          </w:tcPr>
          <w:p w14:paraId="395D9A42">
            <w:pPr>
              <w:keepNext/>
              <w:spacing w:line="440" w:lineRule="exact"/>
              <w:ind w:left="63" w:leftChars="30" w:right="63" w:rightChars="30"/>
              <w:jc w:val="center"/>
              <w:rPr>
                <w:rFonts w:ascii="宋体" w:hAnsi="宋体"/>
                <w:color w:val="000000" w:themeColor="text1"/>
                <w:szCs w:val="30"/>
                <w14:textFill>
                  <w14:solidFill>
                    <w14:schemeClr w14:val="tx1"/>
                  </w14:solidFill>
                </w14:textFill>
              </w:rPr>
            </w:pPr>
          </w:p>
        </w:tc>
        <w:tc>
          <w:tcPr>
            <w:tcW w:w="851" w:type="dxa"/>
            <w:noWrap w:val="0"/>
            <w:vAlign w:val="top"/>
          </w:tcPr>
          <w:p w14:paraId="322D8ECF">
            <w:pPr>
              <w:keepNext/>
              <w:spacing w:line="440" w:lineRule="exact"/>
              <w:ind w:left="63" w:leftChars="30" w:right="63" w:rightChars="30"/>
              <w:jc w:val="center"/>
              <w:rPr>
                <w:rFonts w:ascii="宋体" w:hAnsi="宋体"/>
                <w:color w:val="000000" w:themeColor="text1"/>
                <w:szCs w:val="30"/>
                <w14:textFill>
                  <w14:solidFill>
                    <w14:schemeClr w14:val="tx1"/>
                  </w14:solidFill>
                </w14:textFill>
              </w:rPr>
            </w:pPr>
          </w:p>
        </w:tc>
        <w:tc>
          <w:tcPr>
            <w:tcW w:w="774" w:type="dxa"/>
            <w:noWrap w:val="0"/>
            <w:vAlign w:val="top"/>
          </w:tcPr>
          <w:p w14:paraId="3AB5AAC2">
            <w:pPr>
              <w:keepNext/>
              <w:spacing w:line="440" w:lineRule="exact"/>
              <w:ind w:left="63" w:leftChars="30" w:right="63" w:rightChars="30"/>
              <w:jc w:val="center"/>
              <w:rPr>
                <w:rFonts w:ascii="宋体" w:hAnsi="宋体"/>
                <w:color w:val="000000" w:themeColor="text1"/>
                <w:szCs w:val="30"/>
                <w14:textFill>
                  <w14:solidFill>
                    <w14:schemeClr w14:val="tx1"/>
                  </w14:solidFill>
                </w14:textFill>
              </w:rPr>
            </w:pPr>
          </w:p>
        </w:tc>
        <w:tc>
          <w:tcPr>
            <w:tcW w:w="1352" w:type="dxa"/>
            <w:noWrap w:val="0"/>
            <w:vAlign w:val="top"/>
          </w:tcPr>
          <w:p w14:paraId="44B55D66">
            <w:pPr>
              <w:keepNext/>
              <w:spacing w:line="440" w:lineRule="exact"/>
              <w:ind w:left="63" w:leftChars="30" w:right="63" w:rightChars="30"/>
              <w:jc w:val="center"/>
              <w:rPr>
                <w:rFonts w:ascii="宋体" w:hAnsi="宋体"/>
                <w:color w:val="000000" w:themeColor="text1"/>
                <w:szCs w:val="30"/>
                <w14:textFill>
                  <w14:solidFill>
                    <w14:schemeClr w14:val="tx1"/>
                  </w14:solidFill>
                </w14:textFill>
              </w:rPr>
            </w:pPr>
          </w:p>
        </w:tc>
        <w:tc>
          <w:tcPr>
            <w:tcW w:w="1418" w:type="dxa"/>
            <w:noWrap w:val="0"/>
            <w:vAlign w:val="top"/>
          </w:tcPr>
          <w:p w14:paraId="088491C8">
            <w:pPr>
              <w:keepNext/>
              <w:spacing w:line="440" w:lineRule="exact"/>
              <w:ind w:left="63" w:leftChars="30" w:right="63" w:rightChars="30"/>
              <w:jc w:val="center"/>
              <w:rPr>
                <w:rFonts w:ascii="宋体" w:hAnsi="宋体"/>
                <w:color w:val="000000" w:themeColor="text1"/>
                <w:szCs w:val="30"/>
                <w14:textFill>
                  <w14:solidFill>
                    <w14:schemeClr w14:val="tx1"/>
                  </w14:solidFill>
                </w14:textFill>
              </w:rPr>
            </w:pPr>
          </w:p>
        </w:tc>
        <w:tc>
          <w:tcPr>
            <w:tcW w:w="1701" w:type="dxa"/>
            <w:noWrap w:val="0"/>
            <w:vAlign w:val="top"/>
          </w:tcPr>
          <w:p w14:paraId="11106111">
            <w:pPr>
              <w:keepNext/>
              <w:spacing w:line="440" w:lineRule="exact"/>
              <w:ind w:left="63" w:leftChars="30" w:right="63" w:rightChars="30"/>
              <w:jc w:val="center"/>
              <w:rPr>
                <w:rFonts w:ascii="宋体" w:hAnsi="宋体"/>
                <w:color w:val="000000" w:themeColor="text1"/>
                <w:szCs w:val="30"/>
                <w14:textFill>
                  <w14:solidFill>
                    <w14:schemeClr w14:val="tx1"/>
                  </w14:solidFill>
                </w14:textFill>
              </w:rPr>
            </w:pPr>
          </w:p>
        </w:tc>
      </w:tr>
    </w:tbl>
    <w:p w14:paraId="6D67AD56">
      <w:pPr>
        <w:pStyle w:val="38"/>
        <w:rPr>
          <w:rFonts w:hAnsi="宋体"/>
          <w:color w:val="000000" w:themeColor="text1"/>
          <w:sz w:val="30"/>
          <w:szCs w:val="30"/>
          <w14:textFill>
            <w14:solidFill>
              <w14:schemeClr w14:val="tx1"/>
            </w14:solidFill>
          </w14:textFill>
        </w:rPr>
      </w:pPr>
    </w:p>
    <w:p w14:paraId="58B3A632">
      <w:pPr>
        <w:spacing w:before="120" w:beforeLines="50" w:after="120" w:afterLines="50" w:line="440" w:lineRule="exact"/>
        <w:jc w:val="center"/>
        <w:rPr>
          <w:rFonts w:ascii="宋体" w:hAnsi="宋体"/>
          <w:color w:val="000000" w:themeColor="text1"/>
          <w:sz w:val="30"/>
          <w:szCs w:val="30"/>
          <w14:textFill>
            <w14:solidFill>
              <w14:schemeClr w14:val="tx1"/>
            </w14:solidFill>
          </w14:textFill>
        </w:rPr>
      </w:pPr>
      <w:r>
        <w:rPr>
          <w:rFonts w:hint="eastAsia" w:ascii="宋体" w:hAnsi="宋体"/>
          <w:color w:val="000000" w:themeColor="text1"/>
          <w:sz w:val="30"/>
          <w:szCs w:val="30"/>
          <w14:textFill>
            <w14:solidFill>
              <w14:schemeClr w14:val="tx1"/>
            </w14:solidFill>
          </w14:textFill>
        </w:rPr>
        <w:t>5</w:t>
      </w:r>
      <w:r>
        <w:rPr>
          <w:rFonts w:ascii="宋体" w:hAnsi="宋体"/>
          <w:color w:val="000000" w:themeColor="text1"/>
          <w:sz w:val="30"/>
          <w:szCs w:val="30"/>
          <w14:textFill>
            <w14:solidFill>
              <w14:schemeClr w14:val="tx1"/>
            </w14:solidFill>
          </w14:textFill>
        </w:rPr>
        <w:t>-2</w:t>
      </w:r>
      <w:r>
        <w:rPr>
          <w:rFonts w:hint="eastAsia" w:ascii="宋体" w:hAnsi="宋体"/>
          <w:color w:val="000000" w:themeColor="text1"/>
          <w:sz w:val="30"/>
          <w:szCs w:val="30"/>
          <w14:textFill>
            <w14:solidFill>
              <w14:schemeClr w14:val="tx1"/>
            </w14:solidFill>
          </w14:textFill>
        </w:rPr>
        <w:t>：工程设备暂估价表</w:t>
      </w:r>
    </w:p>
    <w:tbl>
      <w:tblPr>
        <w:tblStyle w:val="29"/>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993"/>
        <w:gridCol w:w="1984"/>
        <w:gridCol w:w="851"/>
        <w:gridCol w:w="774"/>
        <w:gridCol w:w="1352"/>
        <w:gridCol w:w="1418"/>
        <w:gridCol w:w="1701"/>
      </w:tblGrid>
      <w:tr w14:paraId="2924AA3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93" w:type="dxa"/>
            <w:tcBorders>
              <w:top w:val="single" w:color="auto" w:sz="12" w:space="0"/>
              <w:bottom w:val="double" w:color="auto" w:sz="6" w:space="0"/>
            </w:tcBorders>
            <w:noWrap w:val="0"/>
            <w:vAlign w:val="top"/>
          </w:tcPr>
          <w:p w14:paraId="47943513">
            <w:pPr>
              <w:keepNext/>
              <w:spacing w:line="440" w:lineRule="exact"/>
              <w:ind w:left="63" w:leftChars="30" w:right="63" w:rightChars="30"/>
              <w:jc w:val="center"/>
              <w:rPr>
                <w:rFonts w:ascii="宋体" w:hAnsi="宋体"/>
                <w:color w:val="000000" w:themeColor="text1"/>
                <w:szCs w:val="30"/>
                <w14:textFill>
                  <w14:solidFill>
                    <w14:schemeClr w14:val="tx1"/>
                  </w14:solidFill>
                </w14:textFill>
              </w:rPr>
            </w:pPr>
            <w:r>
              <w:rPr>
                <w:rFonts w:hint="eastAsia" w:ascii="宋体" w:hAnsi="宋体"/>
                <w:color w:val="000000" w:themeColor="text1"/>
                <w:szCs w:val="30"/>
                <w14:textFill>
                  <w14:solidFill>
                    <w14:schemeClr w14:val="tx1"/>
                  </w14:solidFill>
                </w14:textFill>
              </w:rPr>
              <w:t>序号</w:t>
            </w:r>
          </w:p>
        </w:tc>
        <w:tc>
          <w:tcPr>
            <w:tcW w:w="1984" w:type="dxa"/>
            <w:tcBorders>
              <w:top w:val="single" w:color="auto" w:sz="12" w:space="0"/>
              <w:bottom w:val="double" w:color="auto" w:sz="6" w:space="0"/>
            </w:tcBorders>
            <w:noWrap w:val="0"/>
            <w:vAlign w:val="top"/>
          </w:tcPr>
          <w:p w14:paraId="6EB3DD0F">
            <w:pPr>
              <w:keepNext/>
              <w:spacing w:line="440" w:lineRule="exact"/>
              <w:ind w:left="63" w:leftChars="30" w:right="63" w:rightChars="30"/>
              <w:jc w:val="center"/>
              <w:rPr>
                <w:rFonts w:ascii="宋体" w:hAnsi="宋体"/>
                <w:color w:val="000000" w:themeColor="text1"/>
                <w:szCs w:val="30"/>
                <w14:textFill>
                  <w14:solidFill>
                    <w14:schemeClr w14:val="tx1"/>
                  </w14:solidFill>
                </w14:textFill>
              </w:rPr>
            </w:pPr>
            <w:r>
              <w:rPr>
                <w:rFonts w:hint="eastAsia" w:ascii="宋体" w:hAnsi="宋体"/>
                <w:color w:val="000000" w:themeColor="text1"/>
                <w:szCs w:val="30"/>
                <w14:textFill>
                  <w14:solidFill>
                    <w14:schemeClr w14:val="tx1"/>
                  </w14:solidFill>
                </w14:textFill>
              </w:rPr>
              <w:t>名称</w:t>
            </w:r>
          </w:p>
        </w:tc>
        <w:tc>
          <w:tcPr>
            <w:tcW w:w="851" w:type="dxa"/>
            <w:tcBorders>
              <w:top w:val="single" w:color="auto" w:sz="12" w:space="0"/>
              <w:bottom w:val="double" w:color="auto" w:sz="6" w:space="0"/>
            </w:tcBorders>
            <w:noWrap w:val="0"/>
            <w:vAlign w:val="top"/>
          </w:tcPr>
          <w:p w14:paraId="23FCAE99">
            <w:pPr>
              <w:keepNext/>
              <w:spacing w:line="440" w:lineRule="exact"/>
              <w:ind w:left="63" w:leftChars="30" w:right="63" w:rightChars="30"/>
              <w:jc w:val="center"/>
              <w:rPr>
                <w:rFonts w:ascii="宋体" w:hAnsi="宋体"/>
                <w:color w:val="000000" w:themeColor="text1"/>
                <w:szCs w:val="30"/>
                <w14:textFill>
                  <w14:solidFill>
                    <w14:schemeClr w14:val="tx1"/>
                  </w14:solidFill>
                </w14:textFill>
              </w:rPr>
            </w:pPr>
            <w:r>
              <w:rPr>
                <w:rFonts w:hint="eastAsia" w:ascii="宋体" w:hAnsi="宋体"/>
                <w:color w:val="000000" w:themeColor="text1"/>
                <w:szCs w:val="30"/>
                <w14:textFill>
                  <w14:solidFill>
                    <w14:schemeClr w14:val="tx1"/>
                  </w14:solidFill>
                </w14:textFill>
              </w:rPr>
              <w:t>单位</w:t>
            </w:r>
          </w:p>
        </w:tc>
        <w:tc>
          <w:tcPr>
            <w:tcW w:w="774" w:type="dxa"/>
            <w:tcBorders>
              <w:top w:val="single" w:color="auto" w:sz="12" w:space="0"/>
              <w:bottom w:val="double" w:color="auto" w:sz="6" w:space="0"/>
            </w:tcBorders>
            <w:noWrap w:val="0"/>
            <w:vAlign w:val="top"/>
          </w:tcPr>
          <w:p w14:paraId="34E3DCB8">
            <w:pPr>
              <w:keepNext/>
              <w:spacing w:line="440" w:lineRule="exact"/>
              <w:ind w:left="63" w:leftChars="30" w:right="63" w:rightChars="30"/>
              <w:jc w:val="center"/>
              <w:rPr>
                <w:rFonts w:ascii="宋体" w:hAnsi="宋体"/>
                <w:color w:val="000000" w:themeColor="text1"/>
                <w:szCs w:val="30"/>
                <w14:textFill>
                  <w14:solidFill>
                    <w14:schemeClr w14:val="tx1"/>
                  </w14:solidFill>
                </w14:textFill>
              </w:rPr>
            </w:pPr>
            <w:r>
              <w:rPr>
                <w:rFonts w:hint="eastAsia" w:ascii="宋体" w:hAnsi="宋体"/>
                <w:color w:val="000000" w:themeColor="text1"/>
                <w:szCs w:val="30"/>
                <w14:textFill>
                  <w14:solidFill>
                    <w14:schemeClr w14:val="tx1"/>
                  </w14:solidFill>
                </w14:textFill>
              </w:rPr>
              <w:t>数量</w:t>
            </w:r>
          </w:p>
        </w:tc>
        <w:tc>
          <w:tcPr>
            <w:tcW w:w="1352" w:type="dxa"/>
            <w:tcBorders>
              <w:top w:val="single" w:color="auto" w:sz="12" w:space="0"/>
              <w:bottom w:val="double" w:color="auto" w:sz="6" w:space="0"/>
            </w:tcBorders>
            <w:noWrap w:val="0"/>
            <w:vAlign w:val="top"/>
          </w:tcPr>
          <w:p w14:paraId="059E44BE">
            <w:pPr>
              <w:keepNext/>
              <w:spacing w:line="440" w:lineRule="exact"/>
              <w:ind w:left="63" w:leftChars="30" w:right="63" w:rightChars="30"/>
              <w:jc w:val="center"/>
              <w:rPr>
                <w:rFonts w:ascii="宋体" w:hAnsi="宋体"/>
                <w:color w:val="000000" w:themeColor="text1"/>
                <w:szCs w:val="30"/>
                <w14:textFill>
                  <w14:solidFill>
                    <w14:schemeClr w14:val="tx1"/>
                  </w14:solidFill>
                </w14:textFill>
              </w:rPr>
            </w:pPr>
            <w:r>
              <w:rPr>
                <w:rFonts w:hint="eastAsia" w:ascii="宋体" w:hAnsi="宋体"/>
                <w:color w:val="000000" w:themeColor="text1"/>
                <w:szCs w:val="30"/>
                <w14:textFill>
                  <w14:solidFill>
                    <w14:schemeClr w14:val="tx1"/>
                  </w14:solidFill>
                </w14:textFill>
              </w:rPr>
              <w:t>单价（元）</w:t>
            </w:r>
          </w:p>
        </w:tc>
        <w:tc>
          <w:tcPr>
            <w:tcW w:w="1418" w:type="dxa"/>
            <w:tcBorders>
              <w:top w:val="single" w:color="auto" w:sz="12" w:space="0"/>
              <w:bottom w:val="double" w:color="auto" w:sz="6" w:space="0"/>
            </w:tcBorders>
            <w:noWrap w:val="0"/>
            <w:vAlign w:val="top"/>
          </w:tcPr>
          <w:p w14:paraId="66E1C529">
            <w:pPr>
              <w:keepNext/>
              <w:spacing w:line="440" w:lineRule="exact"/>
              <w:ind w:left="63" w:leftChars="30" w:right="63" w:rightChars="30"/>
              <w:jc w:val="center"/>
              <w:rPr>
                <w:rFonts w:ascii="宋体" w:hAnsi="宋体"/>
                <w:color w:val="000000" w:themeColor="text1"/>
                <w:szCs w:val="30"/>
                <w14:textFill>
                  <w14:solidFill>
                    <w14:schemeClr w14:val="tx1"/>
                  </w14:solidFill>
                </w14:textFill>
              </w:rPr>
            </w:pPr>
            <w:r>
              <w:rPr>
                <w:rFonts w:hint="eastAsia" w:ascii="宋体" w:hAnsi="宋体"/>
                <w:color w:val="000000" w:themeColor="text1"/>
                <w:szCs w:val="30"/>
                <w14:textFill>
                  <w14:solidFill>
                    <w14:schemeClr w14:val="tx1"/>
                  </w14:solidFill>
                </w14:textFill>
              </w:rPr>
              <w:t>合价（元）</w:t>
            </w:r>
          </w:p>
        </w:tc>
        <w:tc>
          <w:tcPr>
            <w:tcW w:w="1701" w:type="dxa"/>
            <w:tcBorders>
              <w:top w:val="single" w:color="auto" w:sz="12" w:space="0"/>
              <w:bottom w:val="double" w:color="auto" w:sz="6" w:space="0"/>
            </w:tcBorders>
            <w:noWrap w:val="0"/>
            <w:vAlign w:val="top"/>
          </w:tcPr>
          <w:p w14:paraId="0349D152">
            <w:pPr>
              <w:keepNext/>
              <w:spacing w:line="440" w:lineRule="exact"/>
              <w:ind w:left="63" w:leftChars="30" w:right="63" w:rightChars="30"/>
              <w:jc w:val="center"/>
              <w:rPr>
                <w:rFonts w:ascii="宋体" w:hAnsi="宋体"/>
                <w:color w:val="000000" w:themeColor="text1"/>
                <w:szCs w:val="30"/>
                <w14:textFill>
                  <w14:solidFill>
                    <w14:schemeClr w14:val="tx1"/>
                  </w14:solidFill>
                </w14:textFill>
              </w:rPr>
            </w:pPr>
            <w:r>
              <w:rPr>
                <w:rFonts w:hint="eastAsia" w:ascii="宋体" w:hAnsi="宋体"/>
                <w:color w:val="000000" w:themeColor="text1"/>
                <w:szCs w:val="30"/>
                <w14:textFill>
                  <w14:solidFill>
                    <w14:schemeClr w14:val="tx1"/>
                  </w14:solidFill>
                </w14:textFill>
              </w:rPr>
              <w:t>备注</w:t>
            </w:r>
          </w:p>
        </w:tc>
      </w:tr>
      <w:tr w14:paraId="7CAB507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93" w:type="dxa"/>
            <w:tcBorders>
              <w:top w:val="double" w:color="auto" w:sz="6" w:space="0"/>
            </w:tcBorders>
            <w:noWrap w:val="0"/>
            <w:vAlign w:val="top"/>
          </w:tcPr>
          <w:p w14:paraId="59463D33">
            <w:pPr>
              <w:keepNext/>
              <w:spacing w:line="440" w:lineRule="exact"/>
              <w:ind w:left="63" w:leftChars="30" w:right="63" w:rightChars="30"/>
              <w:jc w:val="center"/>
              <w:rPr>
                <w:rFonts w:ascii="宋体" w:hAnsi="宋体"/>
                <w:color w:val="000000" w:themeColor="text1"/>
                <w:szCs w:val="30"/>
                <w14:textFill>
                  <w14:solidFill>
                    <w14:schemeClr w14:val="tx1"/>
                  </w14:solidFill>
                </w14:textFill>
              </w:rPr>
            </w:pPr>
          </w:p>
        </w:tc>
        <w:tc>
          <w:tcPr>
            <w:tcW w:w="1984" w:type="dxa"/>
            <w:tcBorders>
              <w:top w:val="double" w:color="auto" w:sz="6" w:space="0"/>
            </w:tcBorders>
            <w:noWrap w:val="0"/>
            <w:vAlign w:val="top"/>
          </w:tcPr>
          <w:p w14:paraId="3298F3B1">
            <w:pPr>
              <w:keepNext/>
              <w:spacing w:line="440" w:lineRule="exact"/>
              <w:ind w:left="63" w:leftChars="30" w:right="63" w:rightChars="30"/>
              <w:jc w:val="center"/>
              <w:rPr>
                <w:rFonts w:ascii="宋体" w:hAnsi="宋体"/>
                <w:color w:val="000000" w:themeColor="text1"/>
                <w:szCs w:val="30"/>
                <w14:textFill>
                  <w14:solidFill>
                    <w14:schemeClr w14:val="tx1"/>
                  </w14:solidFill>
                </w14:textFill>
              </w:rPr>
            </w:pPr>
          </w:p>
        </w:tc>
        <w:tc>
          <w:tcPr>
            <w:tcW w:w="851" w:type="dxa"/>
            <w:tcBorders>
              <w:top w:val="double" w:color="auto" w:sz="6" w:space="0"/>
            </w:tcBorders>
            <w:noWrap w:val="0"/>
            <w:vAlign w:val="top"/>
          </w:tcPr>
          <w:p w14:paraId="4F06FDEA">
            <w:pPr>
              <w:keepNext/>
              <w:spacing w:line="440" w:lineRule="exact"/>
              <w:ind w:left="63" w:leftChars="30" w:right="63" w:rightChars="30"/>
              <w:jc w:val="center"/>
              <w:rPr>
                <w:rFonts w:ascii="宋体" w:hAnsi="宋体"/>
                <w:color w:val="000000" w:themeColor="text1"/>
                <w:szCs w:val="30"/>
                <w14:textFill>
                  <w14:solidFill>
                    <w14:schemeClr w14:val="tx1"/>
                  </w14:solidFill>
                </w14:textFill>
              </w:rPr>
            </w:pPr>
          </w:p>
        </w:tc>
        <w:tc>
          <w:tcPr>
            <w:tcW w:w="774" w:type="dxa"/>
            <w:tcBorders>
              <w:top w:val="double" w:color="auto" w:sz="6" w:space="0"/>
            </w:tcBorders>
            <w:noWrap w:val="0"/>
            <w:vAlign w:val="top"/>
          </w:tcPr>
          <w:p w14:paraId="3221DD27">
            <w:pPr>
              <w:keepNext/>
              <w:spacing w:line="440" w:lineRule="exact"/>
              <w:ind w:left="63" w:leftChars="30" w:right="63" w:rightChars="30"/>
              <w:jc w:val="center"/>
              <w:rPr>
                <w:rFonts w:ascii="宋体" w:hAnsi="宋体"/>
                <w:color w:val="000000" w:themeColor="text1"/>
                <w:szCs w:val="30"/>
                <w14:textFill>
                  <w14:solidFill>
                    <w14:schemeClr w14:val="tx1"/>
                  </w14:solidFill>
                </w14:textFill>
              </w:rPr>
            </w:pPr>
          </w:p>
        </w:tc>
        <w:tc>
          <w:tcPr>
            <w:tcW w:w="1352" w:type="dxa"/>
            <w:tcBorders>
              <w:top w:val="double" w:color="auto" w:sz="6" w:space="0"/>
            </w:tcBorders>
            <w:noWrap w:val="0"/>
            <w:vAlign w:val="top"/>
          </w:tcPr>
          <w:p w14:paraId="50C56ED7">
            <w:pPr>
              <w:keepNext/>
              <w:spacing w:line="440" w:lineRule="exact"/>
              <w:ind w:left="63" w:leftChars="30" w:right="63" w:rightChars="30"/>
              <w:jc w:val="center"/>
              <w:rPr>
                <w:rFonts w:ascii="宋体" w:hAnsi="宋体"/>
                <w:color w:val="000000" w:themeColor="text1"/>
                <w:szCs w:val="30"/>
                <w14:textFill>
                  <w14:solidFill>
                    <w14:schemeClr w14:val="tx1"/>
                  </w14:solidFill>
                </w14:textFill>
              </w:rPr>
            </w:pPr>
          </w:p>
        </w:tc>
        <w:tc>
          <w:tcPr>
            <w:tcW w:w="1418" w:type="dxa"/>
            <w:tcBorders>
              <w:top w:val="double" w:color="auto" w:sz="6" w:space="0"/>
            </w:tcBorders>
            <w:noWrap w:val="0"/>
            <w:vAlign w:val="top"/>
          </w:tcPr>
          <w:p w14:paraId="4C5DAA00">
            <w:pPr>
              <w:keepNext/>
              <w:spacing w:line="440" w:lineRule="exact"/>
              <w:ind w:left="63" w:leftChars="30" w:right="63" w:rightChars="30"/>
              <w:jc w:val="center"/>
              <w:rPr>
                <w:rFonts w:ascii="宋体" w:hAnsi="宋体"/>
                <w:color w:val="000000" w:themeColor="text1"/>
                <w:szCs w:val="30"/>
                <w14:textFill>
                  <w14:solidFill>
                    <w14:schemeClr w14:val="tx1"/>
                  </w14:solidFill>
                </w14:textFill>
              </w:rPr>
            </w:pPr>
          </w:p>
        </w:tc>
        <w:tc>
          <w:tcPr>
            <w:tcW w:w="1701" w:type="dxa"/>
            <w:tcBorders>
              <w:top w:val="double" w:color="auto" w:sz="6" w:space="0"/>
            </w:tcBorders>
            <w:noWrap w:val="0"/>
            <w:vAlign w:val="top"/>
          </w:tcPr>
          <w:p w14:paraId="1F9A4D3D">
            <w:pPr>
              <w:keepNext/>
              <w:spacing w:line="440" w:lineRule="exact"/>
              <w:ind w:left="63" w:leftChars="30" w:right="63" w:rightChars="30"/>
              <w:jc w:val="center"/>
              <w:rPr>
                <w:rFonts w:ascii="宋体" w:hAnsi="宋体"/>
                <w:color w:val="000000" w:themeColor="text1"/>
                <w:szCs w:val="30"/>
                <w14:textFill>
                  <w14:solidFill>
                    <w14:schemeClr w14:val="tx1"/>
                  </w14:solidFill>
                </w14:textFill>
              </w:rPr>
            </w:pPr>
          </w:p>
        </w:tc>
      </w:tr>
      <w:tr w14:paraId="509CBB8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93" w:type="dxa"/>
            <w:tcBorders>
              <w:top w:val="nil"/>
            </w:tcBorders>
            <w:noWrap w:val="0"/>
            <w:vAlign w:val="top"/>
          </w:tcPr>
          <w:p w14:paraId="0FE09A11">
            <w:pPr>
              <w:keepNext/>
              <w:spacing w:line="440" w:lineRule="exact"/>
              <w:ind w:left="63" w:leftChars="30" w:right="63" w:rightChars="30"/>
              <w:jc w:val="center"/>
              <w:rPr>
                <w:rFonts w:ascii="宋体" w:hAnsi="宋体"/>
                <w:color w:val="000000" w:themeColor="text1"/>
                <w:szCs w:val="30"/>
                <w14:textFill>
                  <w14:solidFill>
                    <w14:schemeClr w14:val="tx1"/>
                  </w14:solidFill>
                </w14:textFill>
              </w:rPr>
            </w:pPr>
          </w:p>
        </w:tc>
        <w:tc>
          <w:tcPr>
            <w:tcW w:w="1984" w:type="dxa"/>
            <w:tcBorders>
              <w:top w:val="nil"/>
            </w:tcBorders>
            <w:noWrap w:val="0"/>
            <w:vAlign w:val="top"/>
          </w:tcPr>
          <w:p w14:paraId="20CD8B02">
            <w:pPr>
              <w:keepNext/>
              <w:spacing w:line="440" w:lineRule="exact"/>
              <w:ind w:left="63" w:leftChars="30" w:right="63" w:rightChars="30"/>
              <w:jc w:val="center"/>
              <w:rPr>
                <w:rFonts w:ascii="宋体" w:hAnsi="宋体"/>
                <w:color w:val="000000" w:themeColor="text1"/>
                <w:szCs w:val="30"/>
                <w14:textFill>
                  <w14:solidFill>
                    <w14:schemeClr w14:val="tx1"/>
                  </w14:solidFill>
                </w14:textFill>
              </w:rPr>
            </w:pPr>
          </w:p>
        </w:tc>
        <w:tc>
          <w:tcPr>
            <w:tcW w:w="851" w:type="dxa"/>
            <w:tcBorders>
              <w:top w:val="nil"/>
            </w:tcBorders>
            <w:noWrap w:val="0"/>
            <w:vAlign w:val="top"/>
          </w:tcPr>
          <w:p w14:paraId="70767694">
            <w:pPr>
              <w:keepNext/>
              <w:spacing w:line="440" w:lineRule="exact"/>
              <w:ind w:left="63" w:leftChars="30" w:right="63" w:rightChars="30"/>
              <w:jc w:val="center"/>
              <w:rPr>
                <w:rFonts w:ascii="宋体" w:hAnsi="宋体"/>
                <w:color w:val="000000" w:themeColor="text1"/>
                <w:szCs w:val="30"/>
                <w14:textFill>
                  <w14:solidFill>
                    <w14:schemeClr w14:val="tx1"/>
                  </w14:solidFill>
                </w14:textFill>
              </w:rPr>
            </w:pPr>
          </w:p>
        </w:tc>
        <w:tc>
          <w:tcPr>
            <w:tcW w:w="774" w:type="dxa"/>
            <w:tcBorders>
              <w:top w:val="nil"/>
            </w:tcBorders>
            <w:noWrap w:val="0"/>
            <w:vAlign w:val="top"/>
          </w:tcPr>
          <w:p w14:paraId="638D6A2A">
            <w:pPr>
              <w:keepNext/>
              <w:spacing w:line="440" w:lineRule="exact"/>
              <w:ind w:left="63" w:leftChars="30" w:right="63" w:rightChars="30"/>
              <w:jc w:val="center"/>
              <w:rPr>
                <w:rFonts w:ascii="宋体" w:hAnsi="宋体"/>
                <w:color w:val="000000" w:themeColor="text1"/>
                <w:szCs w:val="30"/>
                <w14:textFill>
                  <w14:solidFill>
                    <w14:schemeClr w14:val="tx1"/>
                  </w14:solidFill>
                </w14:textFill>
              </w:rPr>
            </w:pPr>
          </w:p>
        </w:tc>
        <w:tc>
          <w:tcPr>
            <w:tcW w:w="1352" w:type="dxa"/>
            <w:tcBorders>
              <w:top w:val="nil"/>
            </w:tcBorders>
            <w:noWrap w:val="0"/>
            <w:vAlign w:val="top"/>
          </w:tcPr>
          <w:p w14:paraId="7EF565B4">
            <w:pPr>
              <w:keepNext/>
              <w:spacing w:line="440" w:lineRule="exact"/>
              <w:ind w:left="63" w:leftChars="30" w:right="63" w:rightChars="30"/>
              <w:jc w:val="center"/>
              <w:rPr>
                <w:rFonts w:ascii="宋体" w:hAnsi="宋体"/>
                <w:color w:val="000000" w:themeColor="text1"/>
                <w:szCs w:val="30"/>
                <w14:textFill>
                  <w14:solidFill>
                    <w14:schemeClr w14:val="tx1"/>
                  </w14:solidFill>
                </w14:textFill>
              </w:rPr>
            </w:pPr>
          </w:p>
        </w:tc>
        <w:tc>
          <w:tcPr>
            <w:tcW w:w="1418" w:type="dxa"/>
            <w:tcBorders>
              <w:top w:val="nil"/>
            </w:tcBorders>
            <w:noWrap w:val="0"/>
            <w:vAlign w:val="top"/>
          </w:tcPr>
          <w:p w14:paraId="25CF28A9">
            <w:pPr>
              <w:keepNext/>
              <w:spacing w:line="440" w:lineRule="exact"/>
              <w:ind w:left="63" w:leftChars="30" w:right="63" w:rightChars="30"/>
              <w:jc w:val="center"/>
              <w:rPr>
                <w:rFonts w:ascii="宋体" w:hAnsi="宋体"/>
                <w:color w:val="000000" w:themeColor="text1"/>
                <w:szCs w:val="30"/>
                <w14:textFill>
                  <w14:solidFill>
                    <w14:schemeClr w14:val="tx1"/>
                  </w14:solidFill>
                </w14:textFill>
              </w:rPr>
            </w:pPr>
          </w:p>
        </w:tc>
        <w:tc>
          <w:tcPr>
            <w:tcW w:w="1701" w:type="dxa"/>
            <w:tcBorders>
              <w:top w:val="nil"/>
            </w:tcBorders>
            <w:noWrap w:val="0"/>
            <w:vAlign w:val="top"/>
          </w:tcPr>
          <w:p w14:paraId="00570553">
            <w:pPr>
              <w:keepNext/>
              <w:spacing w:line="440" w:lineRule="exact"/>
              <w:ind w:left="63" w:leftChars="30" w:right="63" w:rightChars="30"/>
              <w:jc w:val="center"/>
              <w:rPr>
                <w:rFonts w:ascii="宋体" w:hAnsi="宋体"/>
                <w:color w:val="000000" w:themeColor="text1"/>
                <w:szCs w:val="30"/>
                <w14:textFill>
                  <w14:solidFill>
                    <w14:schemeClr w14:val="tx1"/>
                  </w14:solidFill>
                </w14:textFill>
              </w:rPr>
            </w:pPr>
          </w:p>
        </w:tc>
      </w:tr>
      <w:tr w14:paraId="4D9786B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93" w:type="dxa"/>
            <w:noWrap w:val="0"/>
            <w:vAlign w:val="top"/>
          </w:tcPr>
          <w:p w14:paraId="043E7A2B">
            <w:pPr>
              <w:keepNext/>
              <w:spacing w:line="440" w:lineRule="exact"/>
              <w:ind w:left="63" w:leftChars="30" w:right="63" w:rightChars="30"/>
              <w:jc w:val="center"/>
              <w:rPr>
                <w:rFonts w:ascii="宋体" w:hAnsi="宋体"/>
                <w:color w:val="000000" w:themeColor="text1"/>
                <w:szCs w:val="30"/>
                <w14:textFill>
                  <w14:solidFill>
                    <w14:schemeClr w14:val="tx1"/>
                  </w14:solidFill>
                </w14:textFill>
              </w:rPr>
            </w:pPr>
          </w:p>
        </w:tc>
        <w:tc>
          <w:tcPr>
            <w:tcW w:w="1984" w:type="dxa"/>
            <w:noWrap w:val="0"/>
            <w:vAlign w:val="top"/>
          </w:tcPr>
          <w:p w14:paraId="487CED88">
            <w:pPr>
              <w:keepNext/>
              <w:spacing w:line="440" w:lineRule="exact"/>
              <w:ind w:left="63" w:leftChars="30" w:right="63" w:rightChars="30"/>
              <w:jc w:val="center"/>
              <w:rPr>
                <w:rFonts w:ascii="宋体" w:hAnsi="宋体"/>
                <w:color w:val="000000" w:themeColor="text1"/>
                <w:szCs w:val="30"/>
                <w14:textFill>
                  <w14:solidFill>
                    <w14:schemeClr w14:val="tx1"/>
                  </w14:solidFill>
                </w14:textFill>
              </w:rPr>
            </w:pPr>
          </w:p>
        </w:tc>
        <w:tc>
          <w:tcPr>
            <w:tcW w:w="851" w:type="dxa"/>
            <w:noWrap w:val="0"/>
            <w:vAlign w:val="top"/>
          </w:tcPr>
          <w:p w14:paraId="60AF1B2B">
            <w:pPr>
              <w:keepNext/>
              <w:spacing w:line="440" w:lineRule="exact"/>
              <w:ind w:left="63" w:leftChars="30" w:right="63" w:rightChars="30"/>
              <w:jc w:val="center"/>
              <w:rPr>
                <w:rFonts w:ascii="宋体" w:hAnsi="宋体"/>
                <w:color w:val="000000" w:themeColor="text1"/>
                <w:szCs w:val="30"/>
                <w14:textFill>
                  <w14:solidFill>
                    <w14:schemeClr w14:val="tx1"/>
                  </w14:solidFill>
                </w14:textFill>
              </w:rPr>
            </w:pPr>
          </w:p>
        </w:tc>
        <w:tc>
          <w:tcPr>
            <w:tcW w:w="774" w:type="dxa"/>
            <w:noWrap w:val="0"/>
            <w:vAlign w:val="top"/>
          </w:tcPr>
          <w:p w14:paraId="0CD5EFA1">
            <w:pPr>
              <w:keepNext/>
              <w:spacing w:line="440" w:lineRule="exact"/>
              <w:ind w:left="63" w:leftChars="30" w:right="63" w:rightChars="30"/>
              <w:jc w:val="center"/>
              <w:rPr>
                <w:rFonts w:ascii="宋体" w:hAnsi="宋体"/>
                <w:color w:val="000000" w:themeColor="text1"/>
                <w:szCs w:val="30"/>
                <w14:textFill>
                  <w14:solidFill>
                    <w14:schemeClr w14:val="tx1"/>
                  </w14:solidFill>
                </w14:textFill>
              </w:rPr>
            </w:pPr>
          </w:p>
        </w:tc>
        <w:tc>
          <w:tcPr>
            <w:tcW w:w="1352" w:type="dxa"/>
            <w:noWrap w:val="0"/>
            <w:vAlign w:val="top"/>
          </w:tcPr>
          <w:p w14:paraId="02B6B1D7">
            <w:pPr>
              <w:keepNext/>
              <w:spacing w:line="440" w:lineRule="exact"/>
              <w:ind w:left="63" w:leftChars="30" w:right="63" w:rightChars="30"/>
              <w:jc w:val="center"/>
              <w:rPr>
                <w:rFonts w:ascii="宋体" w:hAnsi="宋体"/>
                <w:color w:val="000000" w:themeColor="text1"/>
                <w:szCs w:val="30"/>
                <w14:textFill>
                  <w14:solidFill>
                    <w14:schemeClr w14:val="tx1"/>
                  </w14:solidFill>
                </w14:textFill>
              </w:rPr>
            </w:pPr>
          </w:p>
        </w:tc>
        <w:tc>
          <w:tcPr>
            <w:tcW w:w="1418" w:type="dxa"/>
            <w:noWrap w:val="0"/>
            <w:vAlign w:val="top"/>
          </w:tcPr>
          <w:p w14:paraId="16322E2C">
            <w:pPr>
              <w:keepNext/>
              <w:spacing w:line="440" w:lineRule="exact"/>
              <w:ind w:left="63" w:leftChars="30" w:right="63" w:rightChars="30"/>
              <w:jc w:val="center"/>
              <w:rPr>
                <w:rFonts w:ascii="宋体" w:hAnsi="宋体"/>
                <w:color w:val="000000" w:themeColor="text1"/>
                <w:szCs w:val="30"/>
                <w14:textFill>
                  <w14:solidFill>
                    <w14:schemeClr w14:val="tx1"/>
                  </w14:solidFill>
                </w14:textFill>
              </w:rPr>
            </w:pPr>
          </w:p>
        </w:tc>
        <w:tc>
          <w:tcPr>
            <w:tcW w:w="1701" w:type="dxa"/>
            <w:noWrap w:val="0"/>
            <w:vAlign w:val="top"/>
          </w:tcPr>
          <w:p w14:paraId="6866C349">
            <w:pPr>
              <w:keepNext/>
              <w:spacing w:line="440" w:lineRule="exact"/>
              <w:ind w:left="63" w:leftChars="30" w:right="63" w:rightChars="30"/>
              <w:jc w:val="center"/>
              <w:rPr>
                <w:rFonts w:ascii="宋体" w:hAnsi="宋体"/>
                <w:color w:val="000000" w:themeColor="text1"/>
                <w:szCs w:val="30"/>
                <w14:textFill>
                  <w14:solidFill>
                    <w14:schemeClr w14:val="tx1"/>
                  </w14:solidFill>
                </w14:textFill>
              </w:rPr>
            </w:pPr>
          </w:p>
        </w:tc>
      </w:tr>
      <w:tr w14:paraId="21D9D57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93" w:type="dxa"/>
            <w:noWrap w:val="0"/>
            <w:vAlign w:val="top"/>
          </w:tcPr>
          <w:p w14:paraId="5F1023B1">
            <w:pPr>
              <w:keepNext/>
              <w:spacing w:line="440" w:lineRule="exact"/>
              <w:ind w:left="63" w:leftChars="30" w:right="63" w:rightChars="30"/>
              <w:jc w:val="center"/>
              <w:rPr>
                <w:rFonts w:ascii="宋体" w:hAnsi="宋体"/>
                <w:color w:val="000000" w:themeColor="text1"/>
                <w:szCs w:val="30"/>
                <w14:textFill>
                  <w14:solidFill>
                    <w14:schemeClr w14:val="tx1"/>
                  </w14:solidFill>
                </w14:textFill>
              </w:rPr>
            </w:pPr>
          </w:p>
        </w:tc>
        <w:tc>
          <w:tcPr>
            <w:tcW w:w="1984" w:type="dxa"/>
            <w:noWrap w:val="0"/>
            <w:vAlign w:val="top"/>
          </w:tcPr>
          <w:p w14:paraId="5FD8E9BA">
            <w:pPr>
              <w:keepNext/>
              <w:spacing w:line="440" w:lineRule="exact"/>
              <w:ind w:left="63" w:leftChars="30" w:right="63" w:rightChars="30"/>
              <w:jc w:val="center"/>
              <w:rPr>
                <w:rFonts w:ascii="宋体" w:hAnsi="宋体"/>
                <w:color w:val="000000" w:themeColor="text1"/>
                <w:szCs w:val="30"/>
                <w14:textFill>
                  <w14:solidFill>
                    <w14:schemeClr w14:val="tx1"/>
                  </w14:solidFill>
                </w14:textFill>
              </w:rPr>
            </w:pPr>
          </w:p>
        </w:tc>
        <w:tc>
          <w:tcPr>
            <w:tcW w:w="851" w:type="dxa"/>
            <w:noWrap w:val="0"/>
            <w:vAlign w:val="top"/>
          </w:tcPr>
          <w:p w14:paraId="2B7DB4A0">
            <w:pPr>
              <w:keepNext/>
              <w:spacing w:line="440" w:lineRule="exact"/>
              <w:ind w:left="63" w:leftChars="30" w:right="63" w:rightChars="30"/>
              <w:jc w:val="center"/>
              <w:rPr>
                <w:rFonts w:ascii="宋体" w:hAnsi="宋体"/>
                <w:color w:val="000000" w:themeColor="text1"/>
                <w:szCs w:val="30"/>
                <w14:textFill>
                  <w14:solidFill>
                    <w14:schemeClr w14:val="tx1"/>
                  </w14:solidFill>
                </w14:textFill>
              </w:rPr>
            </w:pPr>
          </w:p>
        </w:tc>
        <w:tc>
          <w:tcPr>
            <w:tcW w:w="774" w:type="dxa"/>
            <w:noWrap w:val="0"/>
            <w:vAlign w:val="top"/>
          </w:tcPr>
          <w:p w14:paraId="7A8101B7">
            <w:pPr>
              <w:keepNext/>
              <w:spacing w:line="440" w:lineRule="exact"/>
              <w:ind w:left="63" w:leftChars="30" w:right="63" w:rightChars="30"/>
              <w:jc w:val="center"/>
              <w:rPr>
                <w:rFonts w:ascii="宋体" w:hAnsi="宋体"/>
                <w:color w:val="000000" w:themeColor="text1"/>
                <w:szCs w:val="30"/>
                <w14:textFill>
                  <w14:solidFill>
                    <w14:schemeClr w14:val="tx1"/>
                  </w14:solidFill>
                </w14:textFill>
              </w:rPr>
            </w:pPr>
          </w:p>
        </w:tc>
        <w:tc>
          <w:tcPr>
            <w:tcW w:w="1352" w:type="dxa"/>
            <w:noWrap w:val="0"/>
            <w:vAlign w:val="top"/>
          </w:tcPr>
          <w:p w14:paraId="481331B2">
            <w:pPr>
              <w:keepNext/>
              <w:spacing w:line="440" w:lineRule="exact"/>
              <w:ind w:left="63" w:leftChars="30" w:right="63" w:rightChars="30"/>
              <w:jc w:val="center"/>
              <w:rPr>
                <w:rFonts w:ascii="宋体" w:hAnsi="宋体"/>
                <w:color w:val="000000" w:themeColor="text1"/>
                <w:szCs w:val="30"/>
                <w14:textFill>
                  <w14:solidFill>
                    <w14:schemeClr w14:val="tx1"/>
                  </w14:solidFill>
                </w14:textFill>
              </w:rPr>
            </w:pPr>
          </w:p>
        </w:tc>
        <w:tc>
          <w:tcPr>
            <w:tcW w:w="1418" w:type="dxa"/>
            <w:noWrap w:val="0"/>
            <w:vAlign w:val="top"/>
          </w:tcPr>
          <w:p w14:paraId="6A19F940">
            <w:pPr>
              <w:keepNext/>
              <w:spacing w:line="440" w:lineRule="exact"/>
              <w:ind w:left="63" w:leftChars="30" w:right="63" w:rightChars="30"/>
              <w:jc w:val="center"/>
              <w:rPr>
                <w:rFonts w:ascii="宋体" w:hAnsi="宋体"/>
                <w:color w:val="000000" w:themeColor="text1"/>
                <w:szCs w:val="30"/>
                <w14:textFill>
                  <w14:solidFill>
                    <w14:schemeClr w14:val="tx1"/>
                  </w14:solidFill>
                </w14:textFill>
              </w:rPr>
            </w:pPr>
          </w:p>
        </w:tc>
        <w:tc>
          <w:tcPr>
            <w:tcW w:w="1701" w:type="dxa"/>
            <w:noWrap w:val="0"/>
            <w:vAlign w:val="top"/>
          </w:tcPr>
          <w:p w14:paraId="2F04462C">
            <w:pPr>
              <w:keepNext/>
              <w:spacing w:line="440" w:lineRule="exact"/>
              <w:ind w:left="63" w:leftChars="30" w:right="63" w:rightChars="30"/>
              <w:jc w:val="center"/>
              <w:rPr>
                <w:rFonts w:ascii="宋体" w:hAnsi="宋体"/>
                <w:color w:val="000000" w:themeColor="text1"/>
                <w:szCs w:val="30"/>
                <w14:textFill>
                  <w14:solidFill>
                    <w14:schemeClr w14:val="tx1"/>
                  </w14:solidFill>
                </w14:textFill>
              </w:rPr>
            </w:pPr>
          </w:p>
        </w:tc>
      </w:tr>
      <w:tr w14:paraId="5636403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93" w:type="dxa"/>
            <w:noWrap w:val="0"/>
            <w:vAlign w:val="top"/>
          </w:tcPr>
          <w:p w14:paraId="699B2533">
            <w:pPr>
              <w:keepNext/>
              <w:spacing w:line="440" w:lineRule="exact"/>
              <w:ind w:left="63" w:leftChars="30" w:right="63" w:rightChars="30"/>
              <w:jc w:val="center"/>
              <w:rPr>
                <w:rFonts w:ascii="宋体" w:hAnsi="宋体"/>
                <w:color w:val="000000" w:themeColor="text1"/>
                <w:szCs w:val="30"/>
                <w14:textFill>
                  <w14:solidFill>
                    <w14:schemeClr w14:val="tx1"/>
                  </w14:solidFill>
                </w14:textFill>
              </w:rPr>
            </w:pPr>
          </w:p>
        </w:tc>
        <w:tc>
          <w:tcPr>
            <w:tcW w:w="1984" w:type="dxa"/>
            <w:noWrap w:val="0"/>
            <w:vAlign w:val="top"/>
          </w:tcPr>
          <w:p w14:paraId="2CDED4A5">
            <w:pPr>
              <w:keepNext/>
              <w:spacing w:line="440" w:lineRule="exact"/>
              <w:ind w:left="63" w:leftChars="30" w:right="63" w:rightChars="30"/>
              <w:jc w:val="center"/>
              <w:rPr>
                <w:rFonts w:ascii="宋体" w:hAnsi="宋体"/>
                <w:color w:val="000000" w:themeColor="text1"/>
                <w:szCs w:val="30"/>
                <w14:textFill>
                  <w14:solidFill>
                    <w14:schemeClr w14:val="tx1"/>
                  </w14:solidFill>
                </w14:textFill>
              </w:rPr>
            </w:pPr>
          </w:p>
        </w:tc>
        <w:tc>
          <w:tcPr>
            <w:tcW w:w="851" w:type="dxa"/>
            <w:noWrap w:val="0"/>
            <w:vAlign w:val="top"/>
          </w:tcPr>
          <w:p w14:paraId="60B7D33B">
            <w:pPr>
              <w:keepNext/>
              <w:spacing w:line="440" w:lineRule="exact"/>
              <w:ind w:left="63" w:leftChars="30" w:right="63" w:rightChars="30"/>
              <w:jc w:val="center"/>
              <w:rPr>
                <w:rFonts w:ascii="宋体" w:hAnsi="宋体"/>
                <w:color w:val="000000" w:themeColor="text1"/>
                <w:szCs w:val="30"/>
                <w14:textFill>
                  <w14:solidFill>
                    <w14:schemeClr w14:val="tx1"/>
                  </w14:solidFill>
                </w14:textFill>
              </w:rPr>
            </w:pPr>
          </w:p>
        </w:tc>
        <w:tc>
          <w:tcPr>
            <w:tcW w:w="774" w:type="dxa"/>
            <w:noWrap w:val="0"/>
            <w:vAlign w:val="top"/>
          </w:tcPr>
          <w:p w14:paraId="11E0EE87">
            <w:pPr>
              <w:keepNext/>
              <w:spacing w:line="440" w:lineRule="exact"/>
              <w:ind w:left="63" w:leftChars="30" w:right="63" w:rightChars="30"/>
              <w:jc w:val="center"/>
              <w:rPr>
                <w:rFonts w:ascii="宋体" w:hAnsi="宋体"/>
                <w:color w:val="000000" w:themeColor="text1"/>
                <w:szCs w:val="30"/>
                <w14:textFill>
                  <w14:solidFill>
                    <w14:schemeClr w14:val="tx1"/>
                  </w14:solidFill>
                </w14:textFill>
              </w:rPr>
            </w:pPr>
          </w:p>
        </w:tc>
        <w:tc>
          <w:tcPr>
            <w:tcW w:w="1352" w:type="dxa"/>
            <w:noWrap w:val="0"/>
            <w:vAlign w:val="top"/>
          </w:tcPr>
          <w:p w14:paraId="2B29D6C1">
            <w:pPr>
              <w:keepNext/>
              <w:spacing w:line="440" w:lineRule="exact"/>
              <w:ind w:left="63" w:leftChars="30" w:right="63" w:rightChars="30"/>
              <w:jc w:val="center"/>
              <w:rPr>
                <w:rFonts w:ascii="宋体" w:hAnsi="宋体"/>
                <w:color w:val="000000" w:themeColor="text1"/>
                <w:szCs w:val="30"/>
                <w14:textFill>
                  <w14:solidFill>
                    <w14:schemeClr w14:val="tx1"/>
                  </w14:solidFill>
                </w14:textFill>
              </w:rPr>
            </w:pPr>
          </w:p>
        </w:tc>
        <w:tc>
          <w:tcPr>
            <w:tcW w:w="1418" w:type="dxa"/>
            <w:noWrap w:val="0"/>
            <w:vAlign w:val="top"/>
          </w:tcPr>
          <w:p w14:paraId="6F04BA9A">
            <w:pPr>
              <w:keepNext/>
              <w:spacing w:line="440" w:lineRule="exact"/>
              <w:ind w:left="63" w:leftChars="30" w:right="63" w:rightChars="30"/>
              <w:jc w:val="center"/>
              <w:rPr>
                <w:rFonts w:ascii="宋体" w:hAnsi="宋体"/>
                <w:color w:val="000000" w:themeColor="text1"/>
                <w:szCs w:val="30"/>
                <w14:textFill>
                  <w14:solidFill>
                    <w14:schemeClr w14:val="tx1"/>
                  </w14:solidFill>
                </w14:textFill>
              </w:rPr>
            </w:pPr>
          </w:p>
        </w:tc>
        <w:tc>
          <w:tcPr>
            <w:tcW w:w="1701" w:type="dxa"/>
            <w:noWrap w:val="0"/>
            <w:vAlign w:val="top"/>
          </w:tcPr>
          <w:p w14:paraId="530D8E93">
            <w:pPr>
              <w:keepNext/>
              <w:spacing w:line="440" w:lineRule="exact"/>
              <w:ind w:left="63" w:leftChars="30" w:right="63" w:rightChars="30"/>
              <w:jc w:val="center"/>
              <w:rPr>
                <w:rFonts w:ascii="宋体" w:hAnsi="宋体"/>
                <w:color w:val="000000" w:themeColor="text1"/>
                <w:szCs w:val="30"/>
                <w14:textFill>
                  <w14:solidFill>
                    <w14:schemeClr w14:val="tx1"/>
                  </w14:solidFill>
                </w14:textFill>
              </w:rPr>
            </w:pPr>
          </w:p>
        </w:tc>
      </w:tr>
      <w:tr w14:paraId="473176A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93" w:type="dxa"/>
            <w:noWrap w:val="0"/>
            <w:vAlign w:val="top"/>
          </w:tcPr>
          <w:p w14:paraId="59C301C0">
            <w:pPr>
              <w:keepNext/>
              <w:spacing w:line="440" w:lineRule="exact"/>
              <w:ind w:left="63" w:leftChars="30" w:right="63" w:rightChars="30"/>
              <w:jc w:val="center"/>
              <w:rPr>
                <w:rFonts w:ascii="宋体" w:hAnsi="宋体"/>
                <w:color w:val="000000" w:themeColor="text1"/>
                <w:szCs w:val="30"/>
                <w14:textFill>
                  <w14:solidFill>
                    <w14:schemeClr w14:val="tx1"/>
                  </w14:solidFill>
                </w14:textFill>
              </w:rPr>
            </w:pPr>
          </w:p>
        </w:tc>
        <w:tc>
          <w:tcPr>
            <w:tcW w:w="1984" w:type="dxa"/>
            <w:noWrap w:val="0"/>
            <w:vAlign w:val="top"/>
          </w:tcPr>
          <w:p w14:paraId="53F6526A">
            <w:pPr>
              <w:keepNext/>
              <w:spacing w:line="440" w:lineRule="exact"/>
              <w:ind w:left="63" w:leftChars="30" w:right="63" w:rightChars="30"/>
              <w:jc w:val="center"/>
              <w:rPr>
                <w:rFonts w:ascii="宋体" w:hAnsi="宋体"/>
                <w:color w:val="000000" w:themeColor="text1"/>
                <w:szCs w:val="30"/>
                <w14:textFill>
                  <w14:solidFill>
                    <w14:schemeClr w14:val="tx1"/>
                  </w14:solidFill>
                </w14:textFill>
              </w:rPr>
            </w:pPr>
          </w:p>
        </w:tc>
        <w:tc>
          <w:tcPr>
            <w:tcW w:w="851" w:type="dxa"/>
            <w:noWrap w:val="0"/>
            <w:vAlign w:val="top"/>
          </w:tcPr>
          <w:p w14:paraId="7DFE8EB2">
            <w:pPr>
              <w:keepNext/>
              <w:spacing w:line="440" w:lineRule="exact"/>
              <w:ind w:left="63" w:leftChars="30" w:right="63" w:rightChars="30"/>
              <w:jc w:val="center"/>
              <w:rPr>
                <w:rFonts w:ascii="宋体" w:hAnsi="宋体"/>
                <w:color w:val="000000" w:themeColor="text1"/>
                <w:szCs w:val="30"/>
                <w14:textFill>
                  <w14:solidFill>
                    <w14:schemeClr w14:val="tx1"/>
                  </w14:solidFill>
                </w14:textFill>
              </w:rPr>
            </w:pPr>
          </w:p>
        </w:tc>
        <w:tc>
          <w:tcPr>
            <w:tcW w:w="774" w:type="dxa"/>
            <w:noWrap w:val="0"/>
            <w:vAlign w:val="top"/>
          </w:tcPr>
          <w:p w14:paraId="21F85D1C">
            <w:pPr>
              <w:keepNext/>
              <w:spacing w:line="440" w:lineRule="exact"/>
              <w:ind w:left="63" w:leftChars="30" w:right="63" w:rightChars="30"/>
              <w:jc w:val="center"/>
              <w:rPr>
                <w:rFonts w:ascii="宋体" w:hAnsi="宋体"/>
                <w:color w:val="000000" w:themeColor="text1"/>
                <w:szCs w:val="30"/>
                <w14:textFill>
                  <w14:solidFill>
                    <w14:schemeClr w14:val="tx1"/>
                  </w14:solidFill>
                </w14:textFill>
              </w:rPr>
            </w:pPr>
          </w:p>
        </w:tc>
        <w:tc>
          <w:tcPr>
            <w:tcW w:w="1352" w:type="dxa"/>
            <w:noWrap w:val="0"/>
            <w:vAlign w:val="top"/>
          </w:tcPr>
          <w:p w14:paraId="0DC6C9FF">
            <w:pPr>
              <w:keepNext/>
              <w:spacing w:line="440" w:lineRule="exact"/>
              <w:ind w:left="63" w:leftChars="30" w:right="63" w:rightChars="30"/>
              <w:jc w:val="center"/>
              <w:rPr>
                <w:rFonts w:ascii="宋体" w:hAnsi="宋体"/>
                <w:color w:val="000000" w:themeColor="text1"/>
                <w:szCs w:val="30"/>
                <w14:textFill>
                  <w14:solidFill>
                    <w14:schemeClr w14:val="tx1"/>
                  </w14:solidFill>
                </w14:textFill>
              </w:rPr>
            </w:pPr>
          </w:p>
        </w:tc>
        <w:tc>
          <w:tcPr>
            <w:tcW w:w="1418" w:type="dxa"/>
            <w:noWrap w:val="0"/>
            <w:vAlign w:val="top"/>
          </w:tcPr>
          <w:p w14:paraId="58851AA8">
            <w:pPr>
              <w:keepNext/>
              <w:spacing w:line="440" w:lineRule="exact"/>
              <w:ind w:left="63" w:leftChars="30" w:right="63" w:rightChars="30"/>
              <w:jc w:val="center"/>
              <w:rPr>
                <w:rFonts w:ascii="宋体" w:hAnsi="宋体"/>
                <w:color w:val="000000" w:themeColor="text1"/>
                <w:szCs w:val="30"/>
                <w14:textFill>
                  <w14:solidFill>
                    <w14:schemeClr w14:val="tx1"/>
                  </w14:solidFill>
                </w14:textFill>
              </w:rPr>
            </w:pPr>
          </w:p>
        </w:tc>
        <w:tc>
          <w:tcPr>
            <w:tcW w:w="1701" w:type="dxa"/>
            <w:noWrap w:val="0"/>
            <w:vAlign w:val="top"/>
          </w:tcPr>
          <w:p w14:paraId="3B970BA5">
            <w:pPr>
              <w:keepNext/>
              <w:spacing w:line="440" w:lineRule="exact"/>
              <w:ind w:left="63" w:leftChars="30" w:right="63" w:rightChars="30"/>
              <w:jc w:val="center"/>
              <w:rPr>
                <w:rFonts w:ascii="宋体" w:hAnsi="宋体"/>
                <w:color w:val="000000" w:themeColor="text1"/>
                <w:szCs w:val="30"/>
                <w14:textFill>
                  <w14:solidFill>
                    <w14:schemeClr w14:val="tx1"/>
                  </w14:solidFill>
                </w14:textFill>
              </w:rPr>
            </w:pPr>
          </w:p>
        </w:tc>
      </w:tr>
    </w:tbl>
    <w:p w14:paraId="690FEC8E">
      <w:pPr>
        <w:spacing w:before="120" w:beforeLines="50" w:after="120" w:afterLines="50" w:line="440" w:lineRule="exact"/>
        <w:jc w:val="center"/>
        <w:rPr>
          <w:rFonts w:hint="eastAsia" w:ascii="宋体" w:hAnsi="宋体"/>
          <w:color w:val="000000" w:themeColor="text1"/>
          <w:sz w:val="30"/>
          <w:szCs w:val="30"/>
          <w14:textFill>
            <w14:solidFill>
              <w14:schemeClr w14:val="tx1"/>
            </w14:solidFill>
          </w14:textFill>
        </w:rPr>
      </w:pPr>
      <w:r>
        <w:rPr>
          <w:rFonts w:hint="eastAsia" w:ascii="宋体" w:hAnsi="宋体"/>
          <w:color w:val="000000" w:themeColor="text1"/>
          <w:sz w:val="30"/>
          <w:szCs w:val="30"/>
          <w14:textFill>
            <w14:solidFill>
              <w14:schemeClr w14:val="tx1"/>
            </w14:solidFill>
          </w14:textFill>
        </w:rPr>
        <w:t>5</w:t>
      </w:r>
      <w:r>
        <w:rPr>
          <w:rFonts w:ascii="宋体" w:hAnsi="宋体"/>
          <w:color w:val="000000" w:themeColor="text1"/>
          <w:sz w:val="30"/>
          <w:szCs w:val="30"/>
          <w14:textFill>
            <w14:solidFill>
              <w14:schemeClr w14:val="tx1"/>
            </w14:solidFill>
          </w14:textFill>
        </w:rPr>
        <w:t>-3</w:t>
      </w:r>
      <w:r>
        <w:rPr>
          <w:rFonts w:hint="eastAsia" w:ascii="宋体" w:hAnsi="宋体"/>
          <w:color w:val="000000" w:themeColor="text1"/>
          <w:sz w:val="30"/>
          <w:szCs w:val="30"/>
          <w14:textFill>
            <w14:solidFill>
              <w14:schemeClr w14:val="tx1"/>
            </w14:solidFill>
          </w14:textFill>
        </w:rPr>
        <w:t>：专业工程暂估价表</w:t>
      </w:r>
    </w:p>
    <w:tbl>
      <w:tblPr>
        <w:tblStyle w:val="29"/>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927"/>
        <w:gridCol w:w="1984"/>
        <w:gridCol w:w="4678"/>
        <w:gridCol w:w="1441"/>
      </w:tblGrid>
      <w:tr w14:paraId="0692EE7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27" w:type="dxa"/>
            <w:tcBorders>
              <w:top w:val="single" w:color="auto" w:sz="12" w:space="0"/>
              <w:bottom w:val="double" w:color="auto" w:sz="6" w:space="0"/>
            </w:tcBorders>
            <w:noWrap w:val="0"/>
            <w:vAlign w:val="top"/>
          </w:tcPr>
          <w:p w14:paraId="56DBAAA7">
            <w:pPr>
              <w:keepNext/>
              <w:spacing w:line="440" w:lineRule="exact"/>
              <w:ind w:left="63" w:leftChars="30" w:right="63" w:rightChars="30"/>
              <w:jc w:val="center"/>
              <w:rPr>
                <w:rFonts w:ascii="宋体" w:hAnsi="宋体"/>
                <w:color w:val="000000" w:themeColor="text1"/>
                <w:szCs w:val="30"/>
                <w14:textFill>
                  <w14:solidFill>
                    <w14:schemeClr w14:val="tx1"/>
                  </w14:solidFill>
                </w14:textFill>
              </w:rPr>
            </w:pPr>
            <w:r>
              <w:rPr>
                <w:rFonts w:hint="eastAsia" w:ascii="宋体" w:hAnsi="宋体"/>
                <w:color w:val="000000" w:themeColor="text1"/>
                <w:szCs w:val="30"/>
                <w14:textFill>
                  <w14:solidFill>
                    <w14:schemeClr w14:val="tx1"/>
                  </w14:solidFill>
                </w14:textFill>
              </w:rPr>
              <w:t>序号</w:t>
            </w:r>
          </w:p>
        </w:tc>
        <w:tc>
          <w:tcPr>
            <w:tcW w:w="1984" w:type="dxa"/>
            <w:tcBorders>
              <w:top w:val="single" w:color="auto" w:sz="12" w:space="0"/>
              <w:bottom w:val="double" w:color="auto" w:sz="6" w:space="0"/>
            </w:tcBorders>
            <w:noWrap w:val="0"/>
            <w:vAlign w:val="top"/>
          </w:tcPr>
          <w:p w14:paraId="02FF1209">
            <w:pPr>
              <w:keepNext/>
              <w:spacing w:line="440" w:lineRule="exact"/>
              <w:ind w:left="63" w:leftChars="30" w:right="63" w:rightChars="30"/>
              <w:jc w:val="center"/>
              <w:rPr>
                <w:rFonts w:ascii="宋体" w:hAnsi="宋体"/>
                <w:color w:val="000000" w:themeColor="text1"/>
                <w:szCs w:val="30"/>
                <w14:textFill>
                  <w14:solidFill>
                    <w14:schemeClr w14:val="tx1"/>
                  </w14:solidFill>
                </w14:textFill>
              </w:rPr>
            </w:pPr>
            <w:r>
              <w:rPr>
                <w:rFonts w:hint="eastAsia" w:ascii="宋体" w:hAnsi="宋体"/>
                <w:color w:val="000000" w:themeColor="text1"/>
                <w:szCs w:val="30"/>
                <w14:textFill>
                  <w14:solidFill>
                    <w14:schemeClr w14:val="tx1"/>
                  </w14:solidFill>
                </w14:textFill>
              </w:rPr>
              <w:t>专业工程名称</w:t>
            </w:r>
          </w:p>
        </w:tc>
        <w:tc>
          <w:tcPr>
            <w:tcW w:w="4678" w:type="dxa"/>
            <w:tcBorders>
              <w:top w:val="single" w:color="auto" w:sz="12" w:space="0"/>
              <w:bottom w:val="double" w:color="auto" w:sz="6" w:space="0"/>
            </w:tcBorders>
            <w:noWrap w:val="0"/>
            <w:vAlign w:val="top"/>
          </w:tcPr>
          <w:p w14:paraId="2A9BA6FD">
            <w:pPr>
              <w:keepNext/>
              <w:spacing w:line="440" w:lineRule="exact"/>
              <w:ind w:left="63" w:leftChars="30" w:right="63" w:rightChars="30"/>
              <w:jc w:val="center"/>
              <w:rPr>
                <w:rFonts w:ascii="宋体" w:hAnsi="宋体"/>
                <w:color w:val="000000" w:themeColor="text1"/>
                <w:szCs w:val="30"/>
                <w14:textFill>
                  <w14:solidFill>
                    <w14:schemeClr w14:val="tx1"/>
                  </w14:solidFill>
                </w14:textFill>
              </w:rPr>
            </w:pPr>
            <w:r>
              <w:rPr>
                <w:rFonts w:hint="eastAsia" w:ascii="宋体" w:hAnsi="宋体"/>
                <w:color w:val="000000" w:themeColor="text1"/>
                <w:szCs w:val="30"/>
                <w14:textFill>
                  <w14:solidFill>
                    <w14:schemeClr w14:val="tx1"/>
                  </w14:solidFill>
                </w14:textFill>
              </w:rPr>
              <w:t>工程内容</w:t>
            </w:r>
          </w:p>
        </w:tc>
        <w:tc>
          <w:tcPr>
            <w:tcW w:w="1441" w:type="dxa"/>
            <w:tcBorders>
              <w:top w:val="single" w:color="auto" w:sz="12" w:space="0"/>
              <w:bottom w:val="double" w:color="auto" w:sz="6" w:space="0"/>
            </w:tcBorders>
            <w:noWrap w:val="0"/>
            <w:vAlign w:val="top"/>
          </w:tcPr>
          <w:p w14:paraId="78DAA3E9">
            <w:pPr>
              <w:keepNext/>
              <w:spacing w:line="440" w:lineRule="exact"/>
              <w:ind w:left="63" w:leftChars="30" w:right="63" w:rightChars="30"/>
              <w:jc w:val="center"/>
              <w:rPr>
                <w:rFonts w:ascii="宋体" w:hAnsi="宋体"/>
                <w:color w:val="000000" w:themeColor="text1"/>
                <w:szCs w:val="30"/>
                <w14:textFill>
                  <w14:solidFill>
                    <w14:schemeClr w14:val="tx1"/>
                  </w14:solidFill>
                </w14:textFill>
              </w:rPr>
            </w:pPr>
            <w:r>
              <w:rPr>
                <w:rFonts w:hint="eastAsia" w:ascii="宋体" w:hAnsi="宋体"/>
                <w:color w:val="000000" w:themeColor="text1"/>
                <w:szCs w:val="30"/>
                <w14:textFill>
                  <w14:solidFill>
                    <w14:schemeClr w14:val="tx1"/>
                  </w14:solidFill>
                </w14:textFill>
              </w:rPr>
              <w:t>金额</w:t>
            </w:r>
          </w:p>
        </w:tc>
      </w:tr>
      <w:tr w14:paraId="4A1F017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27" w:type="dxa"/>
            <w:tcBorders>
              <w:top w:val="double" w:color="auto" w:sz="6" w:space="0"/>
            </w:tcBorders>
            <w:noWrap w:val="0"/>
            <w:vAlign w:val="top"/>
          </w:tcPr>
          <w:p w14:paraId="3A5C9681">
            <w:pPr>
              <w:keepNext/>
              <w:spacing w:line="440" w:lineRule="exact"/>
              <w:ind w:left="63" w:leftChars="30" w:right="63" w:rightChars="30"/>
              <w:jc w:val="center"/>
              <w:rPr>
                <w:rFonts w:ascii="宋体" w:hAnsi="宋体"/>
                <w:color w:val="000000" w:themeColor="text1"/>
                <w14:textFill>
                  <w14:solidFill>
                    <w14:schemeClr w14:val="tx1"/>
                  </w14:solidFill>
                </w14:textFill>
              </w:rPr>
            </w:pPr>
          </w:p>
        </w:tc>
        <w:tc>
          <w:tcPr>
            <w:tcW w:w="1984" w:type="dxa"/>
            <w:tcBorders>
              <w:top w:val="double" w:color="auto" w:sz="6" w:space="0"/>
            </w:tcBorders>
            <w:noWrap w:val="0"/>
            <w:vAlign w:val="top"/>
          </w:tcPr>
          <w:p w14:paraId="03429C82">
            <w:pPr>
              <w:keepNext/>
              <w:spacing w:line="440" w:lineRule="exact"/>
              <w:ind w:left="63" w:leftChars="30" w:right="63" w:rightChars="30"/>
              <w:jc w:val="center"/>
              <w:rPr>
                <w:rFonts w:ascii="宋体" w:hAnsi="宋体"/>
                <w:color w:val="000000" w:themeColor="text1"/>
                <w14:textFill>
                  <w14:solidFill>
                    <w14:schemeClr w14:val="tx1"/>
                  </w14:solidFill>
                </w14:textFill>
              </w:rPr>
            </w:pPr>
          </w:p>
        </w:tc>
        <w:tc>
          <w:tcPr>
            <w:tcW w:w="4678" w:type="dxa"/>
            <w:tcBorders>
              <w:top w:val="double" w:color="auto" w:sz="6" w:space="0"/>
            </w:tcBorders>
            <w:noWrap w:val="0"/>
            <w:vAlign w:val="top"/>
          </w:tcPr>
          <w:p w14:paraId="56DF2B58">
            <w:pPr>
              <w:keepNext/>
              <w:spacing w:line="440" w:lineRule="exact"/>
              <w:ind w:left="63" w:leftChars="30" w:right="63" w:rightChars="30"/>
              <w:jc w:val="center"/>
              <w:rPr>
                <w:rFonts w:ascii="宋体" w:hAnsi="宋体"/>
                <w:color w:val="000000" w:themeColor="text1"/>
                <w14:textFill>
                  <w14:solidFill>
                    <w14:schemeClr w14:val="tx1"/>
                  </w14:solidFill>
                </w14:textFill>
              </w:rPr>
            </w:pPr>
          </w:p>
        </w:tc>
        <w:tc>
          <w:tcPr>
            <w:tcW w:w="1441" w:type="dxa"/>
            <w:tcBorders>
              <w:top w:val="double" w:color="auto" w:sz="6" w:space="0"/>
            </w:tcBorders>
            <w:noWrap w:val="0"/>
            <w:vAlign w:val="top"/>
          </w:tcPr>
          <w:p w14:paraId="29EEEF75">
            <w:pPr>
              <w:keepNext/>
              <w:spacing w:line="440" w:lineRule="exact"/>
              <w:ind w:left="63" w:leftChars="30" w:right="63" w:rightChars="30"/>
              <w:jc w:val="center"/>
              <w:rPr>
                <w:rFonts w:ascii="宋体" w:hAnsi="宋体"/>
                <w:color w:val="000000" w:themeColor="text1"/>
                <w14:textFill>
                  <w14:solidFill>
                    <w14:schemeClr w14:val="tx1"/>
                  </w14:solidFill>
                </w14:textFill>
              </w:rPr>
            </w:pPr>
          </w:p>
        </w:tc>
      </w:tr>
      <w:tr w14:paraId="3962AA8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27" w:type="dxa"/>
            <w:tcBorders>
              <w:top w:val="double" w:color="auto" w:sz="6" w:space="0"/>
            </w:tcBorders>
            <w:noWrap w:val="0"/>
            <w:vAlign w:val="top"/>
          </w:tcPr>
          <w:p w14:paraId="4BF1807F">
            <w:pPr>
              <w:keepNext/>
              <w:spacing w:line="440" w:lineRule="exact"/>
              <w:ind w:left="63" w:leftChars="30" w:right="63" w:rightChars="30"/>
              <w:jc w:val="center"/>
              <w:rPr>
                <w:rFonts w:ascii="宋体" w:hAnsi="宋体"/>
                <w:color w:val="000000" w:themeColor="text1"/>
                <w14:textFill>
                  <w14:solidFill>
                    <w14:schemeClr w14:val="tx1"/>
                  </w14:solidFill>
                </w14:textFill>
              </w:rPr>
            </w:pPr>
          </w:p>
        </w:tc>
        <w:tc>
          <w:tcPr>
            <w:tcW w:w="1984" w:type="dxa"/>
            <w:tcBorders>
              <w:top w:val="double" w:color="auto" w:sz="6" w:space="0"/>
            </w:tcBorders>
            <w:noWrap w:val="0"/>
            <w:vAlign w:val="top"/>
          </w:tcPr>
          <w:p w14:paraId="7617BE00">
            <w:pPr>
              <w:keepNext/>
              <w:spacing w:line="440" w:lineRule="exact"/>
              <w:ind w:left="63" w:leftChars="30" w:right="63" w:rightChars="30"/>
              <w:jc w:val="center"/>
              <w:rPr>
                <w:rFonts w:ascii="宋体" w:hAnsi="宋体"/>
                <w:color w:val="000000" w:themeColor="text1"/>
                <w14:textFill>
                  <w14:solidFill>
                    <w14:schemeClr w14:val="tx1"/>
                  </w14:solidFill>
                </w14:textFill>
              </w:rPr>
            </w:pPr>
          </w:p>
        </w:tc>
        <w:tc>
          <w:tcPr>
            <w:tcW w:w="4678" w:type="dxa"/>
            <w:tcBorders>
              <w:top w:val="double" w:color="auto" w:sz="6" w:space="0"/>
            </w:tcBorders>
            <w:noWrap w:val="0"/>
            <w:vAlign w:val="top"/>
          </w:tcPr>
          <w:p w14:paraId="56C6B5AE">
            <w:pPr>
              <w:keepNext/>
              <w:spacing w:line="440" w:lineRule="exact"/>
              <w:ind w:left="63" w:leftChars="30" w:right="63" w:rightChars="30"/>
              <w:jc w:val="center"/>
              <w:rPr>
                <w:rFonts w:ascii="宋体" w:hAnsi="宋体"/>
                <w:color w:val="000000" w:themeColor="text1"/>
                <w14:textFill>
                  <w14:solidFill>
                    <w14:schemeClr w14:val="tx1"/>
                  </w14:solidFill>
                </w14:textFill>
              </w:rPr>
            </w:pPr>
          </w:p>
        </w:tc>
        <w:tc>
          <w:tcPr>
            <w:tcW w:w="1441" w:type="dxa"/>
            <w:tcBorders>
              <w:top w:val="double" w:color="auto" w:sz="6" w:space="0"/>
            </w:tcBorders>
            <w:noWrap w:val="0"/>
            <w:vAlign w:val="top"/>
          </w:tcPr>
          <w:p w14:paraId="5DBBDA6A">
            <w:pPr>
              <w:keepNext/>
              <w:spacing w:line="440" w:lineRule="exact"/>
              <w:ind w:left="63" w:leftChars="30" w:right="63" w:rightChars="30"/>
              <w:jc w:val="center"/>
              <w:rPr>
                <w:rFonts w:ascii="宋体" w:hAnsi="宋体"/>
                <w:color w:val="000000" w:themeColor="text1"/>
                <w14:textFill>
                  <w14:solidFill>
                    <w14:schemeClr w14:val="tx1"/>
                  </w14:solidFill>
                </w14:textFill>
              </w:rPr>
            </w:pPr>
          </w:p>
        </w:tc>
      </w:tr>
      <w:tr w14:paraId="01EBAF2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27" w:type="dxa"/>
            <w:tcBorders>
              <w:top w:val="nil"/>
            </w:tcBorders>
            <w:noWrap w:val="0"/>
            <w:vAlign w:val="top"/>
          </w:tcPr>
          <w:p w14:paraId="3FF9FD0F">
            <w:pPr>
              <w:keepNext/>
              <w:spacing w:line="440" w:lineRule="exact"/>
              <w:ind w:left="63" w:leftChars="30" w:right="63" w:rightChars="30"/>
              <w:jc w:val="center"/>
              <w:rPr>
                <w:rFonts w:ascii="宋体" w:hAnsi="宋体"/>
                <w:color w:val="000000" w:themeColor="text1"/>
                <w14:textFill>
                  <w14:solidFill>
                    <w14:schemeClr w14:val="tx1"/>
                  </w14:solidFill>
                </w14:textFill>
              </w:rPr>
            </w:pPr>
          </w:p>
        </w:tc>
        <w:tc>
          <w:tcPr>
            <w:tcW w:w="1984" w:type="dxa"/>
            <w:tcBorders>
              <w:top w:val="nil"/>
            </w:tcBorders>
            <w:noWrap w:val="0"/>
            <w:vAlign w:val="top"/>
          </w:tcPr>
          <w:p w14:paraId="01E2FD79">
            <w:pPr>
              <w:keepNext/>
              <w:spacing w:line="440" w:lineRule="exact"/>
              <w:ind w:left="63" w:leftChars="30" w:right="63" w:rightChars="30"/>
              <w:jc w:val="center"/>
              <w:rPr>
                <w:rFonts w:ascii="宋体" w:hAnsi="宋体"/>
                <w:color w:val="000000" w:themeColor="text1"/>
                <w14:textFill>
                  <w14:solidFill>
                    <w14:schemeClr w14:val="tx1"/>
                  </w14:solidFill>
                </w14:textFill>
              </w:rPr>
            </w:pPr>
          </w:p>
        </w:tc>
        <w:tc>
          <w:tcPr>
            <w:tcW w:w="4678" w:type="dxa"/>
            <w:tcBorders>
              <w:top w:val="nil"/>
            </w:tcBorders>
            <w:noWrap w:val="0"/>
            <w:vAlign w:val="top"/>
          </w:tcPr>
          <w:p w14:paraId="6DA41D65">
            <w:pPr>
              <w:keepNext/>
              <w:spacing w:line="440" w:lineRule="exact"/>
              <w:ind w:left="63" w:leftChars="30" w:right="63" w:rightChars="30"/>
              <w:jc w:val="center"/>
              <w:rPr>
                <w:rFonts w:ascii="宋体" w:hAnsi="宋体"/>
                <w:color w:val="000000" w:themeColor="text1"/>
                <w14:textFill>
                  <w14:solidFill>
                    <w14:schemeClr w14:val="tx1"/>
                  </w14:solidFill>
                </w14:textFill>
              </w:rPr>
            </w:pPr>
          </w:p>
        </w:tc>
        <w:tc>
          <w:tcPr>
            <w:tcW w:w="1441" w:type="dxa"/>
            <w:tcBorders>
              <w:top w:val="nil"/>
            </w:tcBorders>
            <w:noWrap w:val="0"/>
            <w:vAlign w:val="top"/>
          </w:tcPr>
          <w:p w14:paraId="1F448538">
            <w:pPr>
              <w:keepNext/>
              <w:spacing w:line="440" w:lineRule="exact"/>
              <w:ind w:left="63" w:leftChars="30" w:right="63" w:rightChars="30"/>
              <w:jc w:val="center"/>
              <w:rPr>
                <w:rFonts w:ascii="宋体" w:hAnsi="宋体"/>
                <w:color w:val="000000" w:themeColor="text1"/>
                <w14:textFill>
                  <w14:solidFill>
                    <w14:schemeClr w14:val="tx1"/>
                  </w14:solidFill>
                </w14:textFill>
              </w:rPr>
            </w:pPr>
          </w:p>
        </w:tc>
      </w:tr>
      <w:tr w14:paraId="73CF4BF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27" w:type="dxa"/>
            <w:tcBorders>
              <w:top w:val="nil"/>
            </w:tcBorders>
            <w:noWrap w:val="0"/>
            <w:vAlign w:val="top"/>
          </w:tcPr>
          <w:p w14:paraId="0C74A9BA">
            <w:pPr>
              <w:keepNext/>
              <w:spacing w:line="440" w:lineRule="exact"/>
              <w:ind w:left="63" w:leftChars="30" w:right="63" w:rightChars="30"/>
              <w:jc w:val="center"/>
              <w:rPr>
                <w:rFonts w:ascii="宋体" w:hAnsi="宋体"/>
                <w:color w:val="000000" w:themeColor="text1"/>
                <w14:textFill>
                  <w14:solidFill>
                    <w14:schemeClr w14:val="tx1"/>
                  </w14:solidFill>
                </w14:textFill>
              </w:rPr>
            </w:pPr>
          </w:p>
        </w:tc>
        <w:tc>
          <w:tcPr>
            <w:tcW w:w="1984" w:type="dxa"/>
            <w:tcBorders>
              <w:top w:val="nil"/>
            </w:tcBorders>
            <w:noWrap w:val="0"/>
            <w:vAlign w:val="top"/>
          </w:tcPr>
          <w:p w14:paraId="22E57496">
            <w:pPr>
              <w:keepNext/>
              <w:spacing w:line="440" w:lineRule="exact"/>
              <w:ind w:left="63" w:leftChars="30" w:right="63" w:rightChars="30"/>
              <w:jc w:val="center"/>
              <w:rPr>
                <w:rFonts w:ascii="宋体" w:hAnsi="宋体"/>
                <w:color w:val="000000" w:themeColor="text1"/>
                <w14:textFill>
                  <w14:solidFill>
                    <w14:schemeClr w14:val="tx1"/>
                  </w14:solidFill>
                </w14:textFill>
              </w:rPr>
            </w:pPr>
          </w:p>
        </w:tc>
        <w:tc>
          <w:tcPr>
            <w:tcW w:w="4678" w:type="dxa"/>
            <w:tcBorders>
              <w:top w:val="nil"/>
            </w:tcBorders>
            <w:noWrap w:val="0"/>
            <w:vAlign w:val="top"/>
          </w:tcPr>
          <w:p w14:paraId="2E7C9C4D">
            <w:pPr>
              <w:keepNext/>
              <w:spacing w:line="440" w:lineRule="exact"/>
              <w:ind w:left="63" w:leftChars="30" w:right="63" w:rightChars="30"/>
              <w:jc w:val="center"/>
              <w:rPr>
                <w:rFonts w:ascii="宋体" w:hAnsi="宋体"/>
                <w:color w:val="000000" w:themeColor="text1"/>
                <w14:textFill>
                  <w14:solidFill>
                    <w14:schemeClr w14:val="tx1"/>
                  </w14:solidFill>
                </w14:textFill>
              </w:rPr>
            </w:pPr>
          </w:p>
        </w:tc>
        <w:tc>
          <w:tcPr>
            <w:tcW w:w="1441" w:type="dxa"/>
            <w:tcBorders>
              <w:top w:val="nil"/>
            </w:tcBorders>
            <w:noWrap w:val="0"/>
            <w:vAlign w:val="top"/>
          </w:tcPr>
          <w:p w14:paraId="4810AC53">
            <w:pPr>
              <w:keepNext/>
              <w:spacing w:line="440" w:lineRule="exact"/>
              <w:ind w:left="63" w:leftChars="30" w:right="63" w:rightChars="30"/>
              <w:jc w:val="center"/>
              <w:rPr>
                <w:rFonts w:ascii="宋体" w:hAnsi="宋体"/>
                <w:color w:val="000000" w:themeColor="text1"/>
                <w14:textFill>
                  <w14:solidFill>
                    <w14:schemeClr w14:val="tx1"/>
                  </w14:solidFill>
                </w14:textFill>
              </w:rPr>
            </w:pPr>
          </w:p>
        </w:tc>
      </w:tr>
      <w:tr w14:paraId="2203717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27" w:type="dxa"/>
            <w:noWrap w:val="0"/>
            <w:vAlign w:val="top"/>
          </w:tcPr>
          <w:p w14:paraId="078D458A">
            <w:pPr>
              <w:keepNext/>
              <w:spacing w:line="440" w:lineRule="exact"/>
              <w:ind w:left="63" w:leftChars="30" w:right="63" w:rightChars="30"/>
              <w:jc w:val="center"/>
              <w:rPr>
                <w:rFonts w:ascii="宋体" w:hAnsi="宋体"/>
                <w:color w:val="000000" w:themeColor="text1"/>
                <w14:textFill>
                  <w14:solidFill>
                    <w14:schemeClr w14:val="tx1"/>
                  </w14:solidFill>
                </w14:textFill>
              </w:rPr>
            </w:pPr>
          </w:p>
        </w:tc>
        <w:tc>
          <w:tcPr>
            <w:tcW w:w="1984" w:type="dxa"/>
            <w:noWrap w:val="0"/>
            <w:vAlign w:val="top"/>
          </w:tcPr>
          <w:p w14:paraId="2B194CFE">
            <w:pPr>
              <w:keepNext/>
              <w:spacing w:line="440" w:lineRule="exact"/>
              <w:ind w:left="63" w:leftChars="30" w:right="63" w:rightChars="30"/>
              <w:jc w:val="center"/>
              <w:rPr>
                <w:rFonts w:ascii="宋体" w:hAnsi="宋体"/>
                <w:color w:val="000000" w:themeColor="text1"/>
                <w14:textFill>
                  <w14:solidFill>
                    <w14:schemeClr w14:val="tx1"/>
                  </w14:solidFill>
                </w14:textFill>
              </w:rPr>
            </w:pPr>
          </w:p>
        </w:tc>
        <w:tc>
          <w:tcPr>
            <w:tcW w:w="4678" w:type="dxa"/>
            <w:noWrap w:val="0"/>
            <w:vAlign w:val="top"/>
          </w:tcPr>
          <w:p w14:paraId="51D82B17">
            <w:pPr>
              <w:keepNext/>
              <w:spacing w:line="440" w:lineRule="exact"/>
              <w:ind w:left="63" w:leftChars="30" w:right="63" w:rightChars="30"/>
              <w:jc w:val="center"/>
              <w:rPr>
                <w:rFonts w:ascii="宋体" w:hAnsi="宋体"/>
                <w:color w:val="000000" w:themeColor="text1"/>
                <w14:textFill>
                  <w14:solidFill>
                    <w14:schemeClr w14:val="tx1"/>
                  </w14:solidFill>
                </w14:textFill>
              </w:rPr>
            </w:pPr>
          </w:p>
        </w:tc>
        <w:tc>
          <w:tcPr>
            <w:tcW w:w="1441" w:type="dxa"/>
            <w:noWrap w:val="0"/>
            <w:vAlign w:val="top"/>
          </w:tcPr>
          <w:p w14:paraId="6F3663DB">
            <w:pPr>
              <w:keepNext/>
              <w:spacing w:line="440" w:lineRule="exact"/>
              <w:ind w:left="63" w:leftChars="30" w:right="63" w:rightChars="30"/>
              <w:jc w:val="center"/>
              <w:rPr>
                <w:rFonts w:ascii="宋体" w:hAnsi="宋体"/>
                <w:color w:val="000000" w:themeColor="text1"/>
                <w14:textFill>
                  <w14:solidFill>
                    <w14:schemeClr w14:val="tx1"/>
                  </w14:solidFill>
                </w14:textFill>
              </w:rPr>
            </w:pPr>
          </w:p>
        </w:tc>
      </w:tr>
      <w:tr w14:paraId="1A6CCC7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030" w:type="dxa"/>
            <w:gridSpan w:val="4"/>
            <w:tcBorders>
              <w:bottom w:val="single" w:color="auto" w:sz="12" w:space="0"/>
            </w:tcBorders>
            <w:noWrap w:val="0"/>
            <w:vAlign w:val="top"/>
          </w:tcPr>
          <w:p w14:paraId="0E4709E8">
            <w:pPr>
              <w:keepNext/>
              <w:spacing w:line="440" w:lineRule="exact"/>
              <w:ind w:left="63" w:leftChars="30" w:right="63" w:rightChars="30"/>
              <w:jc w:val="center"/>
              <w:rPr>
                <w:rFonts w:ascii="宋体" w:hAnsi="宋体"/>
                <w:color w:val="000000" w:themeColor="text1"/>
                <w14:textFill>
                  <w14:solidFill>
                    <w14:schemeClr w14:val="tx1"/>
                  </w14:solidFill>
                </w14:textFill>
              </w:rPr>
            </w:pPr>
            <w:r>
              <w:rPr>
                <w:rFonts w:hint="eastAsia" w:ascii="宋体" w:hAnsi="宋体"/>
                <w:color w:val="000000" w:themeColor="text1"/>
                <w:szCs w:val="30"/>
                <w14:textFill>
                  <w14:solidFill>
                    <w14:schemeClr w14:val="tx1"/>
                  </w14:solidFill>
                </w14:textFill>
              </w:rPr>
              <w:t>小计：</w:t>
            </w:r>
          </w:p>
        </w:tc>
      </w:tr>
    </w:tbl>
    <w:p w14:paraId="292137EE">
      <w:pPr>
        <w:spacing w:before="240" w:beforeLines="100" w:after="240" w:afterLines="100" w:line="500" w:lineRule="exact"/>
        <w:jc w:val="center"/>
        <w:outlineLvl w:val="0"/>
        <w:rPr>
          <w:rFonts w:hint="eastAsia"/>
          <w:b/>
          <w:color w:val="000000" w:themeColor="text1"/>
          <w:sz w:val="32"/>
          <w:szCs w:val="32"/>
          <w14:textFill>
            <w14:solidFill>
              <w14:schemeClr w14:val="tx1"/>
            </w14:solidFill>
          </w14:textFill>
        </w:rPr>
      </w:pPr>
    </w:p>
    <w:p w14:paraId="14B4FAB5">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华文中宋" w:hAnsi="华文中宋" w:eastAsia="华文中宋" w:cs="华文中宋"/>
          <w:color w:val="000000" w:themeColor="text1"/>
          <w:sz w:val="32"/>
          <w:szCs w:val="32"/>
          <w14:textFill>
            <w14:solidFill>
              <w14:schemeClr w14:val="tx1"/>
            </w14:solidFill>
          </w14:textFill>
        </w:rPr>
      </w:pPr>
      <w:r>
        <w:rPr>
          <w:rFonts w:hint="eastAsia" w:cs="仿宋_GB2312"/>
          <w:b w:val="0"/>
          <w:bCs w:val="0"/>
          <w:color w:val="000000" w:themeColor="text1"/>
          <w:highlight w:val="none"/>
          <w14:textFill>
            <w14:solidFill>
              <w14:schemeClr w14:val="tx1"/>
            </w14:solidFill>
          </w14:textFill>
        </w:rPr>
        <w:br w:type="page"/>
      </w:r>
      <w:bookmarkStart w:id="1382" w:name="_Toc15814"/>
      <w:bookmarkStart w:id="1383" w:name="_Toc12699"/>
      <w:bookmarkStart w:id="1384" w:name="_Toc11031"/>
      <w:bookmarkStart w:id="1385" w:name="_Toc21822"/>
      <w:r>
        <w:rPr>
          <w:rFonts w:hint="eastAsia" w:ascii="华文中宋" w:hAnsi="华文中宋" w:eastAsia="华文中宋" w:cs="华文中宋"/>
          <w:color w:val="000000" w:themeColor="text1"/>
          <w:sz w:val="32"/>
          <w:szCs w:val="32"/>
          <w14:textFill>
            <w14:solidFill>
              <w14:schemeClr w14:val="tx1"/>
            </w14:solidFill>
          </w14:textFill>
        </w:rPr>
        <w:t>第</w:t>
      </w:r>
      <w:r>
        <w:rPr>
          <w:rFonts w:hint="eastAsia" w:ascii="华文中宋" w:hAnsi="华文中宋" w:eastAsia="华文中宋" w:cs="华文中宋"/>
          <w:color w:val="000000" w:themeColor="text1"/>
          <w:sz w:val="32"/>
          <w:szCs w:val="32"/>
          <w:lang w:eastAsia="zh-CN"/>
          <w14:textFill>
            <w14:solidFill>
              <w14:schemeClr w14:val="tx1"/>
            </w14:solidFill>
          </w14:textFill>
        </w:rPr>
        <w:t>七</w:t>
      </w:r>
      <w:r>
        <w:rPr>
          <w:rFonts w:hint="eastAsia" w:ascii="华文中宋" w:hAnsi="华文中宋" w:eastAsia="华文中宋" w:cs="华文中宋"/>
          <w:color w:val="000000" w:themeColor="text1"/>
          <w:sz w:val="32"/>
          <w:szCs w:val="32"/>
          <w14:textFill>
            <w14:solidFill>
              <w14:schemeClr w14:val="tx1"/>
            </w14:solidFill>
          </w14:textFill>
        </w:rPr>
        <w:t xml:space="preserve">章 </w:t>
      </w:r>
      <w:r>
        <w:rPr>
          <w:rFonts w:hint="eastAsia" w:ascii="华文中宋" w:hAnsi="华文中宋" w:eastAsia="华文中宋" w:cs="华文中宋"/>
          <w:color w:val="000000" w:themeColor="text1"/>
          <w:sz w:val="32"/>
          <w:szCs w:val="32"/>
          <w:lang w:val="en-US" w:eastAsia="zh-CN"/>
          <w14:textFill>
            <w14:solidFill>
              <w14:schemeClr w14:val="tx1"/>
            </w14:solidFill>
          </w14:textFill>
        </w:rPr>
        <w:t xml:space="preserve"> </w:t>
      </w:r>
      <w:r>
        <w:rPr>
          <w:rFonts w:hint="eastAsia" w:ascii="华文中宋" w:hAnsi="华文中宋" w:eastAsia="华文中宋" w:cs="华文中宋"/>
          <w:color w:val="000000" w:themeColor="text1"/>
          <w:sz w:val="32"/>
          <w:szCs w:val="32"/>
          <w14:textFill>
            <w14:solidFill>
              <w14:schemeClr w14:val="tx1"/>
            </w14:solidFill>
          </w14:textFill>
        </w:rPr>
        <w:t>工程量清单</w:t>
      </w:r>
      <w:bookmarkEnd w:id="252"/>
      <w:bookmarkEnd w:id="253"/>
      <w:r>
        <w:rPr>
          <w:rFonts w:hint="eastAsia" w:ascii="华文中宋" w:hAnsi="华文中宋" w:eastAsia="华文中宋" w:cs="华文中宋"/>
          <w:color w:val="000000" w:themeColor="text1"/>
          <w:sz w:val="32"/>
          <w:szCs w:val="32"/>
          <w:lang w:eastAsia="zh-CN"/>
          <w14:textFill>
            <w14:solidFill>
              <w14:schemeClr w14:val="tx1"/>
            </w14:solidFill>
          </w14:textFill>
        </w:rPr>
        <w:t>、图纸</w:t>
      </w:r>
      <w:bookmarkEnd w:id="254"/>
      <w:bookmarkEnd w:id="1382"/>
      <w:bookmarkEnd w:id="1383"/>
      <w:bookmarkEnd w:id="1384"/>
      <w:bookmarkEnd w:id="1385"/>
    </w:p>
    <w:p w14:paraId="11A5BE25">
      <w:pPr>
        <w:pStyle w:val="4"/>
        <w:pageBreakBefore w:val="0"/>
        <w:widowControl w:val="0"/>
        <w:kinsoku/>
        <w:wordWrap/>
        <w:overflowPunct/>
        <w:topLinePunct w:val="0"/>
        <w:autoSpaceDE/>
        <w:autoSpaceDN/>
        <w:bidi w:val="0"/>
        <w:adjustRightInd/>
        <w:snapToGrid/>
        <w:spacing w:line="360" w:lineRule="auto"/>
        <w:textAlignment w:val="auto"/>
        <w:rPr>
          <w:color w:val="000000" w:themeColor="text1"/>
          <w:kern w:val="44"/>
          <w:sz w:val="21"/>
          <w:szCs w:val="21"/>
          <w:highlight w:val="none"/>
          <w14:textFill>
            <w14:solidFill>
              <w14:schemeClr w14:val="tx1"/>
            </w14:solidFill>
          </w14:textFill>
        </w:rPr>
      </w:pPr>
      <w:bookmarkStart w:id="1386" w:name="_Toc407135284"/>
      <w:bookmarkStart w:id="1387" w:name="_Toc29229"/>
      <w:bookmarkStart w:id="1388" w:name="_Toc27256"/>
      <w:r>
        <w:rPr>
          <w:color w:val="000000" w:themeColor="text1"/>
          <w:sz w:val="21"/>
          <w:szCs w:val="21"/>
          <w:highlight w:val="none"/>
          <w14:textFill>
            <w14:solidFill>
              <w14:schemeClr w14:val="tx1"/>
            </w14:solidFill>
          </w14:textFill>
        </w:rPr>
        <w:t xml:space="preserve">1 </w:t>
      </w:r>
      <w:r>
        <w:rPr>
          <w:rFonts w:hint="eastAsia" w:cs="黑体"/>
          <w:color w:val="000000" w:themeColor="text1"/>
          <w:sz w:val="21"/>
          <w:szCs w:val="21"/>
          <w:highlight w:val="none"/>
          <w14:textFill>
            <w14:solidFill>
              <w14:schemeClr w14:val="tx1"/>
            </w14:solidFill>
          </w14:textFill>
        </w:rPr>
        <w:t>工程量清单编制说明</w:t>
      </w:r>
      <w:bookmarkEnd w:id="1386"/>
      <w:bookmarkEnd w:id="1387"/>
      <w:bookmarkEnd w:id="1388"/>
    </w:p>
    <w:p w14:paraId="2083D973">
      <w:pPr>
        <w:spacing w:line="360" w:lineRule="auto"/>
        <w:ind w:firstLine="420" w:firstLineChars="200"/>
        <w:rPr>
          <w:color w:val="000000" w:themeColor="text1"/>
          <w14:textFill>
            <w14:solidFill>
              <w14:schemeClr w14:val="tx1"/>
            </w14:solidFill>
          </w14:textFill>
        </w:rPr>
      </w:pPr>
      <w:r>
        <w:rPr>
          <w:color w:val="000000" w:themeColor="text1"/>
          <w:highlight w:val="white"/>
          <w14:textFill>
            <w14:solidFill>
              <w14:schemeClr w14:val="tx1"/>
            </w14:solidFill>
          </w14:textFill>
        </w:rPr>
        <w:t>1.1</w:t>
      </w:r>
      <w:r>
        <w:rPr>
          <w:rFonts w:hint="eastAsia" w:hAnsi="宋体" w:cs="宋体"/>
          <w:color w:val="000000" w:themeColor="text1"/>
          <w:highlight w:val="white"/>
          <w14:textFill>
            <w14:solidFill>
              <w14:schemeClr w14:val="tx1"/>
            </w14:solidFill>
          </w14:textFill>
        </w:rPr>
        <w:t>本工程量清单依据《建设工程工程量清单计价规范</w:t>
      </w:r>
      <w:r>
        <w:rPr>
          <w:rFonts w:hint="eastAsia" w:cs="宋体"/>
          <w:color w:val="000000" w:themeColor="text1"/>
          <w:highlight w:val="white"/>
          <w14:textFill>
            <w14:solidFill>
              <w14:schemeClr w14:val="tx1"/>
            </w14:solidFill>
          </w14:textFill>
        </w:rPr>
        <w:t>（</w:t>
      </w:r>
      <w:r>
        <w:rPr>
          <w:color w:val="000000" w:themeColor="text1"/>
          <w:highlight w:val="white"/>
          <w14:textFill>
            <w14:solidFill>
              <w14:schemeClr w14:val="tx1"/>
            </w14:solidFill>
          </w14:textFill>
        </w:rPr>
        <w:t>GB50500-2013</w:t>
      </w:r>
      <w:r>
        <w:rPr>
          <w:rFonts w:hint="eastAsia" w:cs="宋体"/>
          <w:color w:val="000000" w:themeColor="text1"/>
          <w:highlight w:val="white"/>
          <w14:textFill>
            <w14:solidFill>
              <w14:schemeClr w14:val="tx1"/>
            </w14:solidFill>
          </w14:textFill>
        </w:rPr>
        <w:t>）</w:t>
      </w:r>
      <w:r>
        <w:rPr>
          <w:rFonts w:hint="eastAsia" w:hAnsi="宋体" w:cs="宋体"/>
          <w:color w:val="000000" w:themeColor="text1"/>
          <w:highlight w:val="white"/>
          <w14:textFill>
            <w14:solidFill>
              <w14:schemeClr w14:val="tx1"/>
            </w14:solidFill>
          </w14:textFill>
        </w:rPr>
        <w:t>广西实施细则》（以下简称</w:t>
      </w:r>
      <w:r>
        <w:rPr>
          <w:color w:val="000000" w:themeColor="text1"/>
          <w:highlight w:val="white"/>
          <w14:textFill>
            <w14:solidFill>
              <w14:schemeClr w14:val="tx1"/>
            </w14:solidFill>
          </w14:textFill>
        </w:rPr>
        <w:t>“</w:t>
      </w:r>
      <w:r>
        <w:rPr>
          <w:rFonts w:hint="eastAsia" w:hAnsi="宋体" w:cs="宋体"/>
          <w:color w:val="000000" w:themeColor="text1"/>
          <w:highlight w:val="white"/>
          <w14:textFill>
            <w14:solidFill>
              <w14:schemeClr w14:val="tx1"/>
            </w14:solidFill>
          </w14:textFill>
        </w:rPr>
        <w:t>《计价规范》</w:t>
      </w:r>
      <w:r>
        <w:rPr>
          <w:color w:val="000000" w:themeColor="text1"/>
          <w:highlight w:val="white"/>
          <w14:textFill>
            <w14:solidFill>
              <w14:schemeClr w14:val="tx1"/>
            </w14:solidFill>
          </w14:textFill>
        </w:rPr>
        <w:t>”</w:t>
      </w:r>
      <w:r>
        <w:rPr>
          <w:rFonts w:hint="eastAsia" w:cs="宋体"/>
          <w:color w:val="000000" w:themeColor="text1"/>
          <w:highlight w:val="white"/>
          <w14:textFill>
            <w14:solidFill>
              <w14:schemeClr w14:val="tx1"/>
            </w14:solidFill>
          </w14:textFill>
        </w:rPr>
        <w:t>）</w:t>
      </w:r>
      <w:r>
        <w:rPr>
          <w:rFonts w:hint="eastAsia" w:hAnsi="宋体" w:cs="宋体"/>
          <w:color w:val="000000" w:themeColor="text1"/>
          <w:highlight w:val="white"/>
          <w14:textFill>
            <w14:solidFill>
              <w14:schemeClr w14:val="tx1"/>
            </w14:solidFill>
          </w14:textFill>
        </w:rPr>
        <w:t>、《工程量清单计算规范（</w:t>
      </w:r>
      <w:r>
        <w:rPr>
          <w:color w:val="000000" w:themeColor="text1"/>
          <w:highlight w:val="white"/>
          <w14:textFill>
            <w14:solidFill>
              <w14:schemeClr w14:val="tx1"/>
            </w14:solidFill>
          </w14:textFill>
        </w:rPr>
        <w:t>GB50854~50862-2013</w:t>
      </w:r>
      <w:r>
        <w:rPr>
          <w:rFonts w:hint="eastAsia" w:hAnsi="宋体" w:cs="宋体"/>
          <w:color w:val="000000" w:themeColor="text1"/>
          <w:highlight w:val="white"/>
          <w14:textFill>
            <w14:solidFill>
              <w14:schemeClr w14:val="tx1"/>
            </w14:solidFill>
          </w14:textFill>
        </w:rPr>
        <w:t>）》及广西实施细则（修订本）（以下简称</w:t>
      </w:r>
      <w:r>
        <w:rPr>
          <w:color w:val="000000" w:themeColor="text1"/>
          <w:highlight w:val="white"/>
          <w14:textFill>
            <w14:solidFill>
              <w14:schemeClr w14:val="tx1"/>
            </w14:solidFill>
          </w14:textFill>
        </w:rPr>
        <w:t>“</w:t>
      </w:r>
      <w:r>
        <w:rPr>
          <w:rFonts w:hint="eastAsia" w:hAnsi="宋体" w:cs="宋体"/>
          <w:color w:val="000000" w:themeColor="text1"/>
          <w:highlight w:val="white"/>
          <w14:textFill>
            <w14:solidFill>
              <w14:schemeClr w14:val="tx1"/>
            </w14:solidFill>
          </w14:textFill>
        </w:rPr>
        <w:t>《计算规范》</w:t>
      </w:r>
      <w:r>
        <w:rPr>
          <w:color w:val="000000" w:themeColor="text1"/>
          <w:highlight w:val="white"/>
          <w14:textFill>
            <w14:solidFill>
              <w14:schemeClr w14:val="tx1"/>
            </w14:solidFill>
          </w14:textFill>
        </w:rPr>
        <w:t>”</w:t>
      </w:r>
      <w:r>
        <w:rPr>
          <w:rFonts w:hint="eastAsia" w:hAnsi="宋体" w:cs="宋体"/>
          <w:color w:val="000000" w:themeColor="text1"/>
          <w:highlight w:val="white"/>
          <w14:textFill>
            <w14:solidFill>
              <w14:schemeClr w14:val="tx1"/>
            </w14:solidFill>
          </w14:textFill>
        </w:rPr>
        <w:t>）、《广西壮族自治区住房和城乡建设厅关于调整建设工程计价增值税税率的通知》（桂建标[2019]12 号）</w:t>
      </w:r>
      <w:r>
        <w:rPr>
          <w:rFonts w:hint="eastAsia" w:hAnsi="宋体" w:cs="宋体"/>
          <w:color w:val="000000" w:themeColor="text1"/>
          <w:kern w:val="0"/>
          <w:highlight w:val="white"/>
          <w14:textFill>
            <w14:solidFill>
              <w14:schemeClr w14:val="tx1"/>
            </w14:solidFill>
          </w14:textFill>
        </w:rPr>
        <w:t>、</w:t>
      </w:r>
      <w:r>
        <w:rPr>
          <w:rFonts w:hint="eastAsia" w:hAnsi="宋体" w:cs="宋体"/>
          <w:color w:val="000000" w:themeColor="text1"/>
          <w:szCs w:val="21"/>
          <w:highlight w:val="none"/>
          <w14:textFill>
            <w14:solidFill>
              <w14:schemeClr w14:val="tx1"/>
            </w14:solidFill>
          </w14:textFill>
        </w:rPr>
        <w:t>竞争性磋商</w:t>
      </w:r>
      <w:r>
        <w:rPr>
          <w:rFonts w:hint="eastAsia" w:cs="宋体"/>
          <w:color w:val="000000" w:themeColor="text1"/>
          <w:highlight w:val="none"/>
          <w14:textFill>
            <w14:solidFill>
              <w14:schemeClr w14:val="tx1"/>
            </w14:solidFill>
          </w14:textFill>
        </w:rPr>
        <w:t>文件</w:t>
      </w:r>
      <w:r>
        <w:rPr>
          <w:rFonts w:hint="eastAsia" w:hAnsi="宋体" w:cs="宋体"/>
          <w:color w:val="000000" w:themeColor="text1"/>
          <w:highlight w:val="white"/>
          <w14:textFill>
            <w14:solidFill>
              <w14:schemeClr w14:val="tx1"/>
            </w14:solidFill>
          </w14:textFill>
        </w:rPr>
        <w:t>、施工图等编制。</w:t>
      </w:r>
    </w:p>
    <w:p w14:paraId="1C91F02E">
      <w:pPr>
        <w:spacing w:line="360" w:lineRule="auto"/>
        <w:ind w:firstLine="420" w:firstLineChars="200"/>
        <w:rPr>
          <w:color w:val="000000" w:themeColor="text1"/>
          <w14:textFill>
            <w14:solidFill>
              <w14:schemeClr w14:val="tx1"/>
            </w14:solidFill>
          </w14:textFill>
        </w:rPr>
      </w:pPr>
      <w:r>
        <w:rPr>
          <w:color w:val="000000" w:themeColor="text1"/>
          <w:highlight w:val="white"/>
          <w14:textFill>
            <w14:solidFill>
              <w14:schemeClr w14:val="tx1"/>
            </w14:solidFill>
          </w14:textFill>
        </w:rPr>
        <w:t xml:space="preserve">1.2 </w:t>
      </w:r>
      <w:r>
        <w:rPr>
          <w:rFonts w:hint="eastAsia"/>
          <w:color w:val="000000" w:themeColor="text1"/>
          <w:highlight w:val="white"/>
          <w14:textFill>
            <w14:solidFill>
              <w14:schemeClr w14:val="tx1"/>
            </w14:solidFill>
          </w14:textFill>
        </w:rPr>
        <w:t>工程量清单应与投标须知、合同协议条款、合同的通用条款、合同专用条款、技术规范及图纸等文件一起结合使用。</w:t>
      </w:r>
    </w:p>
    <w:p w14:paraId="17863095">
      <w:pPr>
        <w:spacing w:line="360" w:lineRule="auto"/>
        <w:ind w:firstLine="420" w:firstLineChars="200"/>
        <w:rPr>
          <w:color w:val="000000" w:themeColor="text1"/>
          <w14:textFill>
            <w14:solidFill>
              <w14:schemeClr w14:val="tx1"/>
            </w14:solidFill>
          </w14:textFill>
        </w:rPr>
      </w:pPr>
      <w:r>
        <w:rPr>
          <w:color w:val="000000" w:themeColor="text1"/>
          <w:highlight w:val="white"/>
          <w14:textFill>
            <w14:solidFill>
              <w14:schemeClr w14:val="tx1"/>
            </w14:solidFill>
          </w14:textFill>
        </w:rPr>
        <w:t xml:space="preserve">1.3 </w:t>
      </w:r>
      <w:r>
        <w:rPr>
          <w:rFonts w:hint="eastAsia" w:cs="宋体"/>
          <w:color w:val="000000" w:themeColor="text1"/>
          <w:highlight w:val="white"/>
          <w14:textFill>
            <w14:solidFill>
              <w14:schemeClr w14:val="tx1"/>
            </w14:solidFill>
          </w14:textFill>
        </w:rPr>
        <w:t>工程量清单是</w:t>
      </w:r>
      <w:r>
        <w:rPr>
          <w:rFonts w:hint="eastAsia" w:cs="宋体"/>
          <w:color w:val="000000" w:themeColor="text1"/>
          <w:highlight w:val="white"/>
          <w:lang w:eastAsia="zh-CN"/>
          <w14:textFill>
            <w14:solidFill>
              <w14:schemeClr w14:val="tx1"/>
            </w14:solidFill>
          </w14:textFill>
        </w:rPr>
        <w:t>磋商</w:t>
      </w:r>
      <w:r>
        <w:rPr>
          <w:rFonts w:hint="eastAsia" w:cs="宋体"/>
          <w:color w:val="000000" w:themeColor="text1"/>
          <w:highlight w:val="white"/>
          <w14:textFill>
            <w14:solidFill>
              <w14:schemeClr w14:val="tx1"/>
            </w14:solidFill>
          </w14:textFill>
        </w:rPr>
        <w:t>文件的组成部分，是工程量清单计价的基础，作为编制招标控制价、</w:t>
      </w:r>
      <w:r>
        <w:rPr>
          <w:rFonts w:hint="eastAsia" w:cs="宋体"/>
          <w:color w:val="000000" w:themeColor="text1"/>
          <w:highlight w:val="white"/>
          <w:lang w:eastAsia="zh-CN"/>
          <w14:textFill>
            <w14:solidFill>
              <w14:schemeClr w14:val="tx1"/>
            </w14:solidFill>
          </w14:textFill>
        </w:rPr>
        <w:t>磋商</w:t>
      </w:r>
      <w:r>
        <w:rPr>
          <w:rFonts w:hint="eastAsia" w:cs="宋体"/>
          <w:color w:val="000000" w:themeColor="text1"/>
          <w:highlight w:val="white"/>
          <w14:textFill>
            <w14:solidFill>
              <w14:schemeClr w14:val="tx1"/>
            </w14:solidFill>
          </w14:textFill>
        </w:rPr>
        <w:t>报价、计算或调整工程量、索赔等的依据之一。</w:t>
      </w:r>
    </w:p>
    <w:p w14:paraId="7A10E960">
      <w:pPr>
        <w:spacing w:line="360" w:lineRule="auto"/>
        <w:ind w:firstLine="420" w:firstLineChars="200"/>
        <w:rPr>
          <w:rFonts w:hint="default" w:eastAsia="宋体"/>
          <w:color w:val="000000" w:themeColor="text1"/>
          <w:u w:val="single"/>
          <w:lang w:val="en-US" w:eastAsia="zh-CN"/>
          <w14:textFill>
            <w14:solidFill>
              <w14:schemeClr w14:val="tx1"/>
            </w14:solidFill>
          </w14:textFill>
        </w:rPr>
      </w:pPr>
      <w:r>
        <w:rPr>
          <w:color w:val="000000" w:themeColor="text1"/>
          <w:highlight w:val="white"/>
          <w14:textFill>
            <w14:solidFill>
              <w14:schemeClr w14:val="tx1"/>
            </w14:solidFill>
          </w14:textFill>
        </w:rPr>
        <w:t xml:space="preserve">1.4 </w:t>
      </w:r>
      <w:r>
        <w:rPr>
          <w:rFonts w:hint="eastAsia" w:cs="宋体"/>
          <w:color w:val="000000" w:themeColor="text1"/>
          <w:highlight w:val="white"/>
          <w14:textFill>
            <w14:solidFill>
              <w14:schemeClr w14:val="tx1"/>
            </w14:solidFill>
          </w14:textFill>
        </w:rPr>
        <w:t>补充</w:t>
      </w:r>
      <w:r>
        <w:rPr>
          <w:rFonts w:hint="eastAsia" w:eastAsia="宋体" w:cs="Times New Roman"/>
          <w:color w:val="000000" w:themeColor="text1"/>
          <w:highlight w:val="white"/>
          <w14:textFill>
            <w14:solidFill>
              <w14:schemeClr w14:val="tx1"/>
            </w14:solidFill>
          </w14:textFill>
        </w:rPr>
        <w:t>清单</w:t>
      </w:r>
      <w:r>
        <w:rPr>
          <w:rFonts w:hint="eastAsia" w:cs="宋体"/>
          <w:color w:val="000000" w:themeColor="text1"/>
          <w:highlight w:val="white"/>
          <w14:textFill>
            <w14:solidFill>
              <w14:schemeClr w14:val="tx1"/>
            </w14:solidFill>
          </w14:textFill>
        </w:rPr>
        <w:t>项目的特征、计量单位、工程量计算规则及工作内容说明如下：</w:t>
      </w:r>
      <w:r>
        <w:rPr>
          <w:rFonts w:hint="eastAsia" w:cs="宋体"/>
          <w:color w:val="000000" w:themeColor="text1"/>
          <w:highlight w:val="white"/>
          <w:u w:val="single"/>
          <w:lang w:val="en-US" w:eastAsia="zh-CN"/>
          <w14:textFill>
            <w14:solidFill>
              <w14:schemeClr w14:val="tx1"/>
            </w14:solidFill>
          </w14:textFill>
        </w:rPr>
        <w:t xml:space="preserve">  </w:t>
      </w:r>
      <w:r>
        <w:rPr>
          <w:rFonts w:hint="eastAsia" w:cs="宋体"/>
          <w:color w:val="000000" w:themeColor="text1"/>
          <w:highlight w:val="white"/>
          <w:u w:val="single"/>
          <w14:textFill>
            <w14:solidFill>
              <w14:schemeClr w14:val="tx1"/>
            </w14:solidFill>
          </w14:textFill>
        </w:rPr>
        <w:t>/</w:t>
      </w:r>
      <w:r>
        <w:rPr>
          <w:rFonts w:hint="eastAsia" w:cs="宋体"/>
          <w:color w:val="000000" w:themeColor="text1"/>
          <w:highlight w:val="white"/>
          <w:u w:val="single"/>
          <w:lang w:val="en-US" w:eastAsia="zh-CN"/>
          <w14:textFill>
            <w14:solidFill>
              <w14:schemeClr w14:val="tx1"/>
            </w14:solidFill>
          </w14:textFill>
        </w:rPr>
        <w:t xml:space="preserve">    。</w:t>
      </w:r>
    </w:p>
    <w:p w14:paraId="327E99A0">
      <w:pPr>
        <w:pStyle w:val="19"/>
        <w:spacing w:line="360" w:lineRule="auto"/>
        <w:ind w:firstLine="420" w:firstLineChars="200"/>
        <w:rPr>
          <w:rFonts w:ascii="Times New Roman" w:hAnsi="Times New Roman"/>
          <w:color w:val="000000" w:themeColor="text1"/>
          <w:sz w:val="21"/>
          <w:szCs w:val="21"/>
          <w14:textFill>
            <w14:solidFill>
              <w14:schemeClr w14:val="tx1"/>
            </w14:solidFill>
          </w14:textFill>
        </w:rPr>
      </w:pPr>
      <w:r>
        <w:rPr>
          <w:rFonts w:hint="eastAsia" w:ascii="Calibri" w:hAnsi="Calibri" w:eastAsia="宋体" w:cs="宋体"/>
          <w:color w:val="000000" w:themeColor="text1"/>
          <w:kern w:val="2"/>
          <w:sz w:val="21"/>
          <w:szCs w:val="22"/>
          <w:highlight w:val="white"/>
          <w:lang w:val="en-US" w:eastAsia="zh-CN" w:bidi="ar-SA"/>
          <w14:textFill>
            <w14:solidFill>
              <w14:schemeClr w14:val="tx1"/>
            </w14:solidFill>
          </w14:textFill>
        </w:rPr>
        <w:t>1.5 《本工程材料和工程设备一览表》（表-22，表格编号为计价规范相应表格</w:t>
      </w:r>
      <w:r>
        <w:rPr>
          <w:rFonts w:hint="eastAsia" w:ascii="Times New Roman" w:hAnsi="Times New Roman"/>
          <w:color w:val="000000" w:themeColor="text1"/>
          <w:sz w:val="21"/>
          <w:szCs w:val="21"/>
          <w:highlight w:val="white"/>
          <w14:textFill>
            <w14:solidFill>
              <w14:schemeClr w14:val="tx1"/>
            </w14:solidFill>
          </w14:textFill>
        </w:rPr>
        <w:t>编号，下同）作为项目实施过程中材料和设备价格风险调整依据。</w:t>
      </w:r>
    </w:p>
    <w:p w14:paraId="1BEDBE95">
      <w:pPr>
        <w:pStyle w:val="19"/>
        <w:spacing w:line="360" w:lineRule="auto"/>
        <w:ind w:firstLine="420" w:firstLineChars="200"/>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highlight w:val="white"/>
          <w14:textFill>
            <w14:solidFill>
              <w14:schemeClr w14:val="tx1"/>
            </w14:solidFill>
          </w14:textFill>
        </w:rPr>
        <w:t xml:space="preserve">1.6 </w:t>
      </w:r>
      <w:r>
        <w:rPr>
          <w:rFonts w:hint="eastAsia" w:ascii="Times New Roman" w:hAnsi="Times New Roman"/>
          <w:color w:val="000000" w:themeColor="text1"/>
          <w:sz w:val="21"/>
          <w:szCs w:val="21"/>
          <w:highlight w:val="white"/>
          <w14:textFill>
            <w14:solidFill>
              <w14:schemeClr w14:val="tx1"/>
            </w14:solidFill>
          </w14:textFill>
        </w:rPr>
        <w:t>本工程暂列金额（约按合同造价</w:t>
      </w:r>
      <w:bookmarkStart w:id="1389" w:name="EB5e31469b1177475ab1fa5dbc1254ea04"/>
      <w:bookmarkEnd w:id="1389"/>
      <w:r>
        <w:rPr>
          <w:rFonts w:hint="eastAsia" w:ascii="Times New Roman" w:hAnsi="Times New Roman"/>
          <w:color w:val="000000" w:themeColor="text1"/>
          <w:sz w:val="21"/>
          <w:szCs w:val="21"/>
          <w:highlight w:val="white"/>
          <w:u w:val="single"/>
          <w:lang w:val="en-US" w:eastAsia="zh-CN"/>
          <w14:textFill>
            <w14:solidFill>
              <w14:schemeClr w14:val="tx1"/>
            </w14:solidFill>
          </w14:textFill>
        </w:rPr>
        <w:t xml:space="preserve">  /  </w:t>
      </w:r>
      <w:r>
        <w:rPr>
          <w:rFonts w:ascii="Times New Roman" w:hAnsi="Times New Roman"/>
          <w:color w:val="000000" w:themeColor="text1"/>
          <w:sz w:val="21"/>
          <w:szCs w:val="21"/>
          <w:highlight w:val="white"/>
          <w14:textFill>
            <w14:solidFill>
              <w14:schemeClr w14:val="tx1"/>
            </w14:solidFill>
          </w14:textFill>
        </w:rPr>
        <w:t>%</w:t>
      </w:r>
      <w:r>
        <w:rPr>
          <w:rFonts w:hint="eastAsia" w:ascii="Times New Roman" w:hAnsi="Times New Roman"/>
          <w:color w:val="000000" w:themeColor="text1"/>
          <w:sz w:val="21"/>
          <w:szCs w:val="21"/>
          <w:highlight w:val="white"/>
          <w14:textFill>
            <w14:solidFill>
              <w14:schemeClr w14:val="tx1"/>
            </w14:solidFill>
          </w14:textFill>
        </w:rPr>
        <w:t>计算），共</w:t>
      </w:r>
      <w:bookmarkStart w:id="1390" w:name="EBa952e412ae9047c3945d65ddad27d8ee"/>
      <w:bookmarkEnd w:id="1390"/>
      <w:r>
        <w:rPr>
          <w:rFonts w:hint="eastAsia" w:ascii="Times New Roman" w:hAnsi="Times New Roman"/>
          <w:color w:val="000000" w:themeColor="text1"/>
          <w:sz w:val="21"/>
          <w:szCs w:val="21"/>
          <w:highlight w:val="white"/>
          <w:u w:val="single"/>
          <w:lang w:val="en-US" w:eastAsia="zh-CN"/>
          <w14:textFill>
            <w14:solidFill>
              <w14:schemeClr w14:val="tx1"/>
            </w14:solidFill>
          </w14:textFill>
        </w:rPr>
        <w:t xml:space="preserve">  /  </w:t>
      </w:r>
      <w:r>
        <w:rPr>
          <w:rFonts w:hint="eastAsia" w:ascii="Times New Roman" w:hAnsi="Times New Roman"/>
          <w:color w:val="000000" w:themeColor="text1"/>
          <w:sz w:val="21"/>
          <w:szCs w:val="21"/>
          <w:highlight w:val="white"/>
          <w14:textFill>
            <w14:solidFill>
              <w14:schemeClr w14:val="tx1"/>
            </w14:solidFill>
          </w14:textFill>
        </w:rPr>
        <w:t>元，作为合同签订时尚未确定或者不可预见但施工中可能发生的费用。</w:t>
      </w:r>
    </w:p>
    <w:p w14:paraId="114CE33C">
      <w:pPr>
        <w:pStyle w:val="19"/>
        <w:spacing w:line="360" w:lineRule="auto"/>
        <w:ind w:firstLine="420" w:firstLineChars="200"/>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highlight w:val="white"/>
          <w14:textFill>
            <w14:solidFill>
              <w14:schemeClr w14:val="tx1"/>
            </w14:solidFill>
          </w14:textFill>
        </w:rPr>
        <w:t xml:space="preserve">1.7 </w:t>
      </w:r>
      <w:r>
        <w:rPr>
          <w:rFonts w:hint="eastAsia" w:ascii="Times New Roman" w:hAnsi="Times New Roman"/>
          <w:color w:val="000000" w:themeColor="text1"/>
          <w:sz w:val="21"/>
          <w:szCs w:val="21"/>
          <w:highlight w:val="white"/>
          <w14:textFill>
            <w14:solidFill>
              <w14:schemeClr w14:val="tx1"/>
            </w14:solidFill>
          </w14:textFill>
        </w:rPr>
        <w:t>本工程发包人提供的材料和设备详见《发包人提供的主要材料和工程设备一览表》（表</w:t>
      </w:r>
      <w:r>
        <w:rPr>
          <w:rFonts w:ascii="Times New Roman" w:hAnsi="Times New Roman"/>
          <w:color w:val="000000" w:themeColor="text1"/>
          <w:sz w:val="21"/>
          <w:szCs w:val="21"/>
          <w:highlight w:val="white"/>
          <w14:textFill>
            <w14:solidFill>
              <w14:schemeClr w14:val="tx1"/>
            </w14:solidFill>
          </w14:textFill>
        </w:rPr>
        <w:t>-21</w:t>
      </w:r>
      <w:r>
        <w:rPr>
          <w:rFonts w:hint="eastAsia" w:ascii="Times New Roman" w:hAnsi="Times New Roman"/>
          <w:color w:val="000000" w:themeColor="text1"/>
          <w:sz w:val="21"/>
          <w:szCs w:val="21"/>
          <w:highlight w:val="white"/>
          <w14:textFill>
            <w14:solidFill>
              <w14:schemeClr w14:val="tx1"/>
            </w14:solidFill>
          </w14:textFill>
        </w:rPr>
        <w:t>）。</w:t>
      </w:r>
    </w:p>
    <w:p w14:paraId="52653FF4">
      <w:pPr>
        <w:spacing w:line="360" w:lineRule="auto"/>
        <w:ind w:firstLine="420" w:firstLineChars="200"/>
        <w:rPr>
          <w:color w:val="000000" w:themeColor="text1"/>
          <w14:textFill>
            <w14:solidFill>
              <w14:schemeClr w14:val="tx1"/>
            </w14:solidFill>
          </w14:textFill>
        </w:rPr>
      </w:pPr>
      <w:r>
        <w:rPr>
          <w:color w:val="000000" w:themeColor="text1"/>
          <w:highlight w:val="white"/>
          <w14:textFill>
            <w14:solidFill>
              <w14:schemeClr w14:val="tx1"/>
            </w14:solidFill>
          </w14:textFill>
        </w:rPr>
        <w:t xml:space="preserve">1.8 </w:t>
      </w:r>
      <w:r>
        <w:rPr>
          <w:rFonts w:hint="eastAsia" w:cs="宋体"/>
          <w:color w:val="000000" w:themeColor="text1"/>
          <w:highlight w:val="white"/>
          <w14:textFill>
            <w14:solidFill>
              <w14:schemeClr w14:val="tx1"/>
            </w14:solidFill>
          </w14:textFill>
        </w:rPr>
        <w:t>本工程部分材料和设备在</w:t>
      </w:r>
      <w:r>
        <w:rPr>
          <w:rFonts w:hint="eastAsia" w:cs="宋体"/>
          <w:color w:val="000000" w:themeColor="text1"/>
          <w:highlight w:val="white"/>
          <w:lang w:eastAsia="zh-CN"/>
          <w14:textFill>
            <w14:solidFill>
              <w14:schemeClr w14:val="tx1"/>
            </w14:solidFill>
          </w14:textFill>
        </w:rPr>
        <w:t>采购</w:t>
      </w:r>
      <w:r>
        <w:rPr>
          <w:rFonts w:hint="eastAsia" w:cs="宋体"/>
          <w:color w:val="000000" w:themeColor="text1"/>
          <w:highlight w:val="white"/>
          <w14:textFill>
            <w14:solidFill>
              <w14:schemeClr w14:val="tx1"/>
            </w14:solidFill>
          </w14:textFill>
        </w:rPr>
        <w:t>时作为暂估价计列，结算按实调整，具体内容详见《材料（工程设备）暂估单价及调整表》（表</w:t>
      </w:r>
      <w:r>
        <w:rPr>
          <w:color w:val="000000" w:themeColor="text1"/>
          <w:highlight w:val="white"/>
          <w14:textFill>
            <w14:solidFill>
              <w14:schemeClr w14:val="tx1"/>
            </w14:solidFill>
          </w14:textFill>
        </w:rPr>
        <w:t>1</w:t>
      </w:r>
      <w:r>
        <w:rPr>
          <w:rFonts w:hint="eastAsia"/>
          <w:color w:val="000000" w:themeColor="text1"/>
          <w:highlight w:val="white"/>
          <w:lang w:val="en-US" w:eastAsia="zh-CN"/>
          <w14:textFill>
            <w14:solidFill>
              <w14:schemeClr w14:val="tx1"/>
            </w14:solidFill>
          </w14:textFill>
        </w:rPr>
        <w:t>1</w:t>
      </w:r>
      <w:r>
        <w:rPr>
          <w:color w:val="000000" w:themeColor="text1"/>
          <w:highlight w:val="white"/>
          <w14:textFill>
            <w14:solidFill>
              <w14:schemeClr w14:val="tx1"/>
            </w14:solidFill>
          </w14:textFill>
        </w:rPr>
        <w:t>-2</w:t>
      </w:r>
      <w:r>
        <w:rPr>
          <w:rFonts w:hint="eastAsia" w:cs="宋体"/>
          <w:color w:val="000000" w:themeColor="text1"/>
          <w:highlight w:val="white"/>
          <w14:textFill>
            <w14:solidFill>
              <w14:schemeClr w14:val="tx1"/>
            </w14:solidFill>
          </w14:textFill>
        </w:rPr>
        <w:t>）。</w:t>
      </w:r>
    </w:p>
    <w:p w14:paraId="1316F03D">
      <w:pPr>
        <w:spacing w:line="360" w:lineRule="auto"/>
        <w:ind w:firstLine="420" w:firstLineChars="200"/>
        <w:rPr>
          <w:color w:val="000000" w:themeColor="text1"/>
          <w14:textFill>
            <w14:solidFill>
              <w14:schemeClr w14:val="tx1"/>
            </w14:solidFill>
          </w14:textFill>
        </w:rPr>
      </w:pPr>
      <w:r>
        <w:rPr>
          <w:color w:val="000000" w:themeColor="text1"/>
          <w:highlight w:val="white"/>
          <w14:textFill>
            <w14:solidFill>
              <w14:schemeClr w14:val="tx1"/>
            </w14:solidFill>
          </w14:textFill>
        </w:rPr>
        <w:t xml:space="preserve">1.9 </w:t>
      </w:r>
      <w:r>
        <w:rPr>
          <w:rFonts w:hint="eastAsia"/>
          <w:color w:val="000000" w:themeColor="text1"/>
          <w:highlight w:val="white"/>
          <w:lang w:eastAsia="zh-CN"/>
          <w14:textFill>
            <w14:solidFill>
              <w14:schemeClr w14:val="tx1"/>
            </w14:solidFill>
          </w14:textFill>
        </w:rPr>
        <w:t>采购</w:t>
      </w:r>
      <w:r>
        <w:rPr>
          <w:rFonts w:hint="eastAsia" w:cs="宋体"/>
          <w:color w:val="000000" w:themeColor="text1"/>
          <w:highlight w:val="white"/>
          <w14:textFill>
            <w14:solidFill>
              <w14:schemeClr w14:val="tx1"/>
            </w14:solidFill>
          </w14:textFill>
        </w:rPr>
        <w:t>时暂估专业工程的价款属于暂估价，结算按实调整，具体内容详见《专业工程暂估价及结算价表》（表</w:t>
      </w:r>
      <w:r>
        <w:rPr>
          <w:color w:val="000000" w:themeColor="text1"/>
          <w:highlight w:val="white"/>
          <w14:textFill>
            <w14:solidFill>
              <w14:schemeClr w14:val="tx1"/>
            </w14:solidFill>
          </w14:textFill>
        </w:rPr>
        <w:t>1</w:t>
      </w:r>
      <w:r>
        <w:rPr>
          <w:rFonts w:hint="eastAsia"/>
          <w:color w:val="000000" w:themeColor="text1"/>
          <w:highlight w:val="white"/>
          <w:lang w:val="en-US" w:eastAsia="zh-CN"/>
          <w14:textFill>
            <w14:solidFill>
              <w14:schemeClr w14:val="tx1"/>
            </w14:solidFill>
          </w14:textFill>
        </w:rPr>
        <w:t>1</w:t>
      </w:r>
      <w:r>
        <w:rPr>
          <w:color w:val="000000" w:themeColor="text1"/>
          <w:highlight w:val="white"/>
          <w14:textFill>
            <w14:solidFill>
              <w14:schemeClr w14:val="tx1"/>
            </w14:solidFill>
          </w14:textFill>
        </w:rPr>
        <w:t>-3</w:t>
      </w:r>
      <w:r>
        <w:rPr>
          <w:rFonts w:hint="eastAsia" w:cs="宋体"/>
          <w:color w:val="000000" w:themeColor="text1"/>
          <w:highlight w:val="white"/>
          <w14:textFill>
            <w14:solidFill>
              <w14:schemeClr w14:val="tx1"/>
            </w14:solidFill>
          </w14:textFill>
        </w:rPr>
        <w:t>）。</w:t>
      </w:r>
    </w:p>
    <w:p w14:paraId="2B8314C6">
      <w:pPr>
        <w:spacing w:line="360" w:lineRule="auto"/>
        <w:ind w:firstLine="420" w:firstLineChars="200"/>
        <w:rPr>
          <w:rFonts w:hint="default" w:eastAsia="宋体"/>
          <w:color w:val="000000" w:themeColor="text1"/>
          <w:lang w:val="en-US" w:eastAsia="zh-CN"/>
          <w14:textFill>
            <w14:solidFill>
              <w14:schemeClr w14:val="tx1"/>
            </w14:solidFill>
          </w14:textFill>
        </w:rPr>
      </w:pPr>
      <w:r>
        <w:rPr>
          <w:color w:val="000000" w:themeColor="text1"/>
          <w:highlight w:val="white"/>
          <w14:textFill>
            <w14:solidFill>
              <w14:schemeClr w14:val="tx1"/>
            </w14:solidFill>
          </w14:textFill>
        </w:rPr>
        <w:t>1.1</w:t>
      </w:r>
      <w:r>
        <w:rPr>
          <w:rFonts w:hint="eastAsia"/>
          <w:color w:val="000000" w:themeColor="text1"/>
          <w:highlight w:val="white"/>
          <w:lang w:val="en-US" w:eastAsia="zh-CN"/>
          <w14:textFill>
            <w14:solidFill>
              <w14:schemeClr w14:val="tx1"/>
            </w14:solidFill>
          </w14:textFill>
        </w:rPr>
        <w:t>0</w:t>
      </w:r>
      <w:r>
        <w:rPr>
          <w:color w:val="000000" w:themeColor="text1"/>
          <w:highlight w:val="white"/>
          <w14:textFill>
            <w14:solidFill>
              <w14:schemeClr w14:val="tx1"/>
            </w14:solidFill>
          </w14:textFill>
        </w:rPr>
        <w:t xml:space="preserve"> </w:t>
      </w:r>
      <w:r>
        <w:rPr>
          <w:rFonts w:hint="eastAsia" w:cs="宋体"/>
          <w:color w:val="000000" w:themeColor="text1"/>
          <w:highlight w:val="white"/>
          <w14:textFill>
            <w14:solidFill>
              <w14:schemeClr w14:val="tx1"/>
            </w14:solidFill>
          </w14:textFill>
        </w:rPr>
        <w:t>其它需要说明的问题：</w:t>
      </w:r>
      <w:r>
        <w:rPr>
          <w:rFonts w:hint="eastAsia" w:cs="宋体"/>
          <w:color w:val="000000" w:themeColor="text1"/>
          <w:highlight w:val="white"/>
          <w:u w:val="single"/>
          <w:lang w:val="en-US" w:eastAsia="zh-CN"/>
          <w14:textFill>
            <w14:solidFill>
              <w14:schemeClr w14:val="tx1"/>
            </w14:solidFill>
          </w14:textFill>
        </w:rPr>
        <w:t xml:space="preserve">  </w:t>
      </w:r>
      <w:r>
        <w:rPr>
          <w:rFonts w:hint="eastAsia" w:cs="宋体"/>
          <w:color w:val="000000" w:themeColor="text1"/>
          <w:highlight w:val="white"/>
          <w:u w:val="single"/>
          <w14:textFill>
            <w14:solidFill>
              <w14:schemeClr w14:val="tx1"/>
            </w14:solidFill>
          </w14:textFill>
        </w:rPr>
        <w:t>/</w:t>
      </w:r>
      <w:r>
        <w:rPr>
          <w:rFonts w:hint="eastAsia" w:cs="宋体"/>
          <w:color w:val="000000" w:themeColor="text1"/>
          <w:highlight w:val="white"/>
          <w:u w:val="single"/>
          <w:lang w:val="en-US" w:eastAsia="zh-CN"/>
          <w14:textFill>
            <w14:solidFill>
              <w14:schemeClr w14:val="tx1"/>
            </w14:solidFill>
          </w14:textFill>
        </w:rPr>
        <w:t xml:space="preserve">  </w:t>
      </w:r>
      <w:r>
        <w:rPr>
          <w:rFonts w:hint="eastAsia" w:cs="宋体"/>
          <w:color w:val="000000" w:themeColor="text1"/>
          <w:highlight w:val="white"/>
          <w:u w:val="none"/>
          <w:lang w:val="en-US" w:eastAsia="zh-CN"/>
          <w14:textFill>
            <w14:solidFill>
              <w14:schemeClr w14:val="tx1"/>
            </w14:solidFill>
          </w14:textFill>
        </w:rPr>
        <w:t>。</w:t>
      </w:r>
    </w:p>
    <w:p w14:paraId="20C01555">
      <w:pPr>
        <w:pageBreakBefore w:val="0"/>
        <w:widowControl w:val="0"/>
        <w:kinsoku/>
        <w:wordWrap/>
        <w:overflowPunct/>
        <w:topLinePunct w:val="0"/>
        <w:autoSpaceDE/>
        <w:autoSpaceDN/>
        <w:bidi w:val="0"/>
        <w:adjustRightInd/>
        <w:snapToGrid/>
        <w:spacing w:line="360" w:lineRule="auto"/>
        <w:ind w:firstLine="422" w:firstLineChars="200"/>
        <w:textAlignment w:val="auto"/>
        <w:rPr>
          <w:rFonts w:hint="eastAsia"/>
          <w:color w:val="000000" w:themeColor="text1"/>
          <w:highlight w:val="none"/>
          <w14:textFill>
            <w14:solidFill>
              <w14:schemeClr w14:val="tx1"/>
            </w14:solidFill>
          </w14:textFill>
        </w:rPr>
      </w:pPr>
      <w:bookmarkStart w:id="1391" w:name="EB019ea8e633a041c1ae831af2ffe31e82"/>
      <w:bookmarkEnd w:id="1391"/>
      <w:r>
        <w:rPr>
          <w:rFonts w:hint="eastAsia" w:ascii="宋体" w:hAnsi="宋体" w:eastAsia="宋体" w:cs="宋体"/>
          <w:b/>
          <w:bCs/>
          <w:i w:val="0"/>
          <w:iCs w:val="0"/>
          <w:color w:val="000000" w:themeColor="text1"/>
          <w:kern w:val="0"/>
          <w:sz w:val="21"/>
          <w:szCs w:val="21"/>
          <w:u w:val="none"/>
          <w:lang w:val="en-US" w:eastAsia="zh-CN" w:bidi="ar"/>
          <w14:textFill>
            <w14:solidFill>
              <w14:schemeClr w14:val="tx1"/>
            </w14:solidFill>
          </w14:textFill>
        </w:rPr>
        <w:t>注：以上所列表格以采购人发布工程量清单的表格为准。</w:t>
      </w:r>
    </w:p>
    <w:p w14:paraId="3453F522">
      <w:pPr>
        <w:pStyle w:val="4"/>
        <w:pageBreakBefore w:val="0"/>
        <w:widowControl w:val="0"/>
        <w:kinsoku/>
        <w:wordWrap/>
        <w:overflowPunct/>
        <w:topLinePunct w:val="0"/>
        <w:autoSpaceDE/>
        <w:autoSpaceDN/>
        <w:bidi w:val="0"/>
        <w:adjustRightInd/>
        <w:snapToGrid/>
        <w:spacing w:line="360" w:lineRule="auto"/>
        <w:textAlignment w:val="auto"/>
        <w:rPr>
          <w:color w:val="000000" w:themeColor="text1"/>
          <w:sz w:val="21"/>
          <w:szCs w:val="21"/>
          <w:highlight w:val="none"/>
          <w14:textFill>
            <w14:solidFill>
              <w14:schemeClr w14:val="tx1"/>
            </w14:solidFill>
          </w14:textFill>
        </w:rPr>
      </w:pPr>
      <w:bookmarkStart w:id="1392" w:name="_Toc11060"/>
      <w:bookmarkStart w:id="1393" w:name="_Toc13127"/>
      <w:bookmarkStart w:id="1394" w:name="_Toc407135285"/>
      <w:r>
        <w:rPr>
          <w:color w:val="000000" w:themeColor="text1"/>
          <w:sz w:val="21"/>
          <w:szCs w:val="21"/>
          <w:highlight w:val="none"/>
          <w14:textFill>
            <w14:solidFill>
              <w14:schemeClr w14:val="tx1"/>
            </w14:solidFill>
          </w14:textFill>
        </w:rPr>
        <w:t xml:space="preserve">2 </w:t>
      </w:r>
      <w:r>
        <w:rPr>
          <w:rFonts w:hint="eastAsia" w:cs="黑体"/>
          <w:color w:val="000000" w:themeColor="text1"/>
          <w:sz w:val="21"/>
          <w:szCs w:val="21"/>
          <w:highlight w:val="none"/>
          <w14:textFill>
            <w14:solidFill>
              <w14:schemeClr w14:val="tx1"/>
            </w14:solidFill>
          </w14:textFill>
        </w:rPr>
        <w:t>招标控制价编制说明</w:t>
      </w:r>
      <w:bookmarkEnd w:id="1392"/>
      <w:bookmarkEnd w:id="1393"/>
      <w:bookmarkEnd w:id="1394"/>
    </w:p>
    <w:p w14:paraId="31E3DC90">
      <w:pPr>
        <w:pageBreakBefore w:val="0"/>
        <w:widowControl w:val="0"/>
        <w:kinsoku/>
        <w:wordWrap/>
        <w:overflowPunct/>
        <w:topLinePunct w:val="0"/>
        <w:autoSpaceDE/>
        <w:autoSpaceDN/>
        <w:bidi w:val="0"/>
        <w:adjustRightInd/>
        <w:snapToGrid/>
        <w:spacing w:line="360" w:lineRule="auto"/>
        <w:ind w:firstLine="420" w:firstLineChars="200"/>
        <w:textAlignment w:val="auto"/>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 xml:space="preserve">2.1 </w:t>
      </w:r>
      <w:r>
        <w:rPr>
          <w:rFonts w:hint="eastAsia" w:hAnsi="宋体" w:cs="宋体"/>
          <w:color w:val="000000" w:themeColor="text1"/>
          <w:highlight w:val="none"/>
          <w14:textFill>
            <w14:solidFill>
              <w14:schemeClr w14:val="tx1"/>
            </w14:solidFill>
          </w14:textFill>
        </w:rPr>
        <w:t>招标控制价编制依据：</w:t>
      </w:r>
    </w:p>
    <w:p w14:paraId="414A6605">
      <w:pPr>
        <w:pageBreakBefore w:val="0"/>
        <w:widowControl w:val="0"/>
        <w:kinsoku/>
        <w:wordWrap/>
        <w:overflowPunct/>
        <w:topLinePunct w:val="0"/>
        <w:autoSpaceDE/>
        <w:autoSpaceDN/>
        <w:bidi w:val="0"/>
        <w:adjustRightInd/>
        <w:snapToGrid/>
        <w:spacing w:line="360" w:lineRule="auto"/>
        <w:ind w:firstLine="420" w:firstLineChars="200"/>
        <w:textAlignment w:val="auto"/>
        <w:rPr>
          <w:rFonts w:hAnsi="宋体"/>
          <w:color w:val="000000" w:themeColor="text1"/>
          <w:highlight w:val="none"/>
          <w14:textFill>
            <w14:solidFill>
              <w14:schemeClr w14:val="tx1"/>
            </w14:solidFill>
          </w14:textFill>
        </w:rPr>
      </w:pPr>
      <w:r>
        <w:rPr>
          <w:rFonts w:hint="eastAsia" w:cs="宋体"/>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1</w:t>
      </w:r>
      <w:r>
        <w:rPr>
          <w:rFonts w:hint="eastAsia" w:cs="宋体"/>
          <w:color w:val="000000" w:themeColor="text1"/>
          <w:highlight w:val="none"/>
          <w14:textFill>
            <w14:solidFill>
              <w14:schemeClr w14:val="tx1"/>
            </w14:solidFill>
          </w14:textFill>
        </w:rPr>
        <w:t>）</w:t>
      </w:r>
      <w:r>
        <w:rPr>
          <w:rFonts w:hint="eastAsia" w:hAnsi="宋体" w:cs="宋体"/>
          <w:color w:val="000000" w:themeColor="text1"/>
          <w:highlight w:val="none"/>
          <w14:textFill>
            <w14:solidFill>
              <w14:schemeClr w14:val="tx1"/>
            </w14:solidFill>
          </w14:textFill>
        </w:rPr>
        <w:t>《计价规范》及《计算规范》、</w:t>
      </w:r>
      <w:r>
        <w:rPr>
          <w:rFonts w:hint="eastAsia" w:hAnsi="宋体" w:cs="宋体"/>
          <w:color w:val="000000" w:themeColor="text1"/>
          <w:highlight w:val="white"/>
          <w14:textFill>
            <w14:solidFill>
              <w14:schemeClr w14:val="tx1"/>
            </w14:solidFill>
          </w14:textFill>
        </w:rPr>
        <w:t>《广西壮族自治区住房和城乡建设厅关于调整建设工程计价增值税税率的通知》（桂建标[2019]12 号）</w:t>
      </w:r>
      <w:r>
        <w:rPr>
          <w:rFonts w:hint="eastAsia" w:hAnsi="宋体" w:cs="宋体"/>
          <w:color w:val="000000" w:themeColor="text1"/>
          <w:kern w:val="0"/>
          <w:highlight w:val="none"/>
          <w14:textFill>
            <w14:solidFill>
              <w14:schemeClr w14:val="tx1"/>
            </w14:solidFill>
          </w14:textFill>
        </w:rPr>
        <w:t>等</w:t>
      </w:r>
      <w:r>
        <w:rPr>
          <w:rFonts w:hint="eastAsia" w:hAnsi="宋体" w:cs="宋体"/>
          <w:color w:val="000000" w:themeColor="text1"/>
          <w:highlight w:val="none"/>
          <w14:textFill>
            <w14:solidFill>
              <w14:schemeClr w14:val="tx1"/>
            </w14:solidFill>
          </w14:textFill>
        </w:rPr>
        <w:t>；</w:t>
      </w:r>
    </w:p>
    <w:p w14:paraId="07B76407">
      <w:pPr>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cs="宋体"/>
          <w:color w:val="000000" w:themeColor="text1"/>
          <w:highlight w:val="none"/>
          <w14:textFill>
            <w14:solidFill>
              <w14:schemeClr w14:val="tx1"/>
            </w14:solidFill>
          </w14:textFill>
        </w:rPr>
      </w:pPr>
      <w:r>
        <w:rPr>
          <w:rFonts w:hint="eastAsia" w:cs="宋体"/>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2</w:t>
      </w:r>
      <w:r>
        <w:rPr>
          <w:rFonts w:hint="eastAsia" w:cs="宋体"/>
          <w:color w:val="000000" w:themeColor="text1"/>
          <w:highlight w:val="none"/>
          <w14:textFill>
            <w14:solidFill>
              <w14:schemeClr w14:val="tx1"/>
            </w14:solidFill>
          </w14:textFill>
        </w:rPr>
        <w:t>）自治区住房城乡建设行政主管部门颁发的计价定额及有关规定：</w:t>
      </w:r>
    </w:p>
    <w:p w14:paraId="68318F4A">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1）</w:t>
      </w:r>
      <w:r>
        <w:rPr>
          <w:rFonts w:hint="eastAsia" w:ascii="宋体" w:hAnsi="宋体" w:cs="宋体"/>
          <w:i w:val="0"/>
          <w:iCs w:val="0"/>
          <w:color w:val="000000" w:themeColor="text1"/>
          <w:kern w:val="0"/>
          <w:sz w:val="21"/>
          <w:szCs w:val="21"/>
          <w:u w:val="none"/>
          <w:lang w:val="en-US" w:eastAsia="zh-CN" w:bidi="ar"/>
          <w14:textFill>
            <w14:solidFill>
              <w14:schemeClr w14:val="tx1"/>
            </w14:solidFill>
          </w14:textFill>
        </w:rPr>
        <w:t>桂林市中西医结合医院消化内镜中心装修改造工程</w:t>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 xml:space="preserve">施工图。 </w:t>
      </w:r>
    </w:p>
    <w:p w14:paraId="7B38B3D4">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cs="宋体"/>
          <w:i w:val="0"/>
          <w:iCs w:val="0"/>
          <w:color w:val="000000" w:themeColor="text1"/>
          <w:kern w:val="0"/>
          <w:sz w:val="21"/>
          <w:szCs w:val="21"/>
          <w:u w:val="none"/>
          <w:lang w:val="en-US" w:eastAsia="zh-CN" w:bidi="ar"/>
          <w14:textFill>
            <w14:solidFill>
              <w14:schemeClr w14:val="tx1"/>
            </w14:solidFill>
          </w14:textFill>
        </w:rPr>
        <w:t>2</w:t>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）2013 年《广西壮族自治区建筑装饰装修工程消耗量定额》；</w:t>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ab/>
      </w:r>
    </w:p>
    <w:p w14:paraId="00C30510">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cs="宋体"/>
          <w:i w:val="0"/>
          <w:iCs w:val="0"/>
          <w:color w:val="000000" w:themeColor="text1"/>
          <w:kern w:val="0"/>
          <w:sz w:val="21"/>
          <w:szCs w:val="21"/>
          <w:u w:val="none"/>
          <w:lang w:val="en-US" w:eastAsia="zh-CN" w:bidi="ar"/>
          <w14:textFill>
            <w14:solidFill>
              <w14:schemeClr w14:val="tx1"/>
            </w14:solidFill>
          </w14:textFill>
        </w:rPr>
        <w:t>3</w:t>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）2015 年《广西壮族自治区安装工程消耗量定额》；</w:t>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ab/>
      </w:r>
    </w:p>
    <w:p w14:paraId="6066A843">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cs="宋体"/>
          <w:i w:val="0"/>
          <w:iCs w:val="0"/>
          <w:color w:val="000000" w:themeColor="text1"/>
          <w:kern w:val="0"/>
          <w:sz w:val="21"/>
          <w:szCs w:val="21"/>
          <w:u w:val="none"/>
          <w:lang w:val="en-US" w:eastAsia="zh-CN" w:bidi="ar"/>
          <w14:textFill>
            <w14:solidFill>
              <w14:schemeClr w14:val="tx1"/>
            </w14:solidFill>
          </w14:textFill>
        </w:rPr>
        <w:t>4</w:t>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）2013 年《广西壮族自治区安装拆除工程消耗量定额》；</w:t>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ab/>
      </w:r>
    </w:p>
    <w:p w14:paraId="099B931A">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cs="宋体"/>
          <w:i w:val="0"/>
          <w:iCs w:val="0"/>
          <w:color w:val="000000" w:themeColor="text1"/>
          <w:kern w:val="0"/>
          <w:sz w:val="21"/>
          <w:szCs w:val="21"/>
          <w:u w:val="none"/>
          <w:lang w:val="en-US" w:eastAsia="zh-CN" w:bidi="ar"/>
          <w14:textFill>
            <w14:solidFill>
              <w14:schemeClr w14:val="tx1"/>
            </w14:solidFill>
          </w14:textFill>
        </w:rPr>
        <w:t>5</w:t>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)2011年《广西壮族自治区建筑工程拆除消耗量定额》；</w:t>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ab/>
      </w:r>
    </w:p>
    <w:p w14:paraId="2EDC09AE">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cs="宋体"/>
          <w:i w:val="0"/>
          <w:iCs w:val="0"/>
          <w:color w:val="000000" w:themeColor="text1"/>
          <w:kern w:val="0"/>
          <w:sz w:val="21"/>
          <w:szCs w:val="21"/>
          <w:u w:val="none"/>
          <w:lang w:val="en-US" w:eastAsia="zh-CN" w:bidi="ar"/>
          <w14:textFill>
            <w14:solidFill>
              <w14:schemeClr w14:val="tx1"/>
            </w14:solidFill>
          </w14:textFill>
        </w:rPr>
        <w:t>6</w:t>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）《广西壮族自治区住房和城乡建设厅关于调整建设工程计价增值税税率的通知》（桂建标[2019]12 号）；</w:t>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ab/>
      </w:r>
    </w:p>
    <w:p w14:paraId="5894ABE1">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cs="宋体"/>
          <w:i w:val="0"/>
          <w:iCs w:val="0"/>
          <w:color w:val="000000" w:themeColor="text1"/>
          <w:kern w:val="0"/>
          <w:sz w:val="21"/>
          <w:szCs w:val="21"/>
          <w:u w:val="none"/>
          <w:lang w:val="en-US" w:eastAsia="zh-CN" w:bidi="ar"/>
          <w14:textFill>
            <w14:solidFill>
              <w14:schemeClr w14:val="tx1"/>
            </w14:solidFill>
          </w14:textFill>
        </w:rPr>
        <w:t>7</w:t>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）建设工程造价管理机构发布的工程造价信息《桂林建设工程造价信息》2025年第10期，按除税价计取，工程造价信息中没有的，参照市场价。</w:t>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ab/>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w:t>
      </w:r>
    </w:p>
    <w:p w14:paraId="376C3A71">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cs="宋体"/>
          <w:i w:val="0"/>
          <w:iCs w:val="0"/>
          <w:color w:val="000000" w:themeColor="text1"/>
          <w:kern w:val="0"/>
          <w:sz w:val="21"/>
          <w:szCs w:val="21"/>
          <w:u w:val="none"/>
          <w:lang w:val="en-US" w:eastAsia="zh-CN" w:bidi="ar"/>
          <w14:textFill>
            <w14:solidFill>
              <w14:schemeClr w14:val="tx1"/>
            </w14:solidFill>
          </w14:textFill>
        </w:rPr>
        <w:t>8</w:t>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）桂林市及广西区造价站发布的其他相关计价文件规定。</w:t>
      </w:r>
    </w:p>
    <w:p w14:paraId="74E8599C">
      <w:pPr>
        <w:pageBreakBefore w:val="0"/>
        <w:widowControl w:val="0"/>
        <w:kinsoku/>
        <w:wordWrap/>
        <w:overflowPunct/>
        <w:topLinePunct w:val="0"/>
        <w:autoSpaceDE/>
        <w:autoSpaceDN/>
        <w:bidi w:val="0"/>
        <w:adjustRightInd/>
        <w:snapToGrid/>
        <w:spacing w:line="360" w:lineRule="auto"/>
        <w:ind w:firstLine="420" w:firstLineChars="200"/>
        <w:textAlignment w:val="auto"/>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 xml:space="preserve">2.2 </w:t>
      </w:r>
      <w:r>
        <w:rPr>
          <w:rFonts w:hint="eastAsia" w:hAnsi="宋体" w:cs="宋体"/>
          <w:color w:val="000000" w:themeColor="text1"/>
          <w:highlight w:val="none"/>
          <w14:textFill>
            <w14:solidFill>
              <w14:schemeClr w14:val="tx1"/>
            </w14:solidFill>
          </w14:textFill>
        </w:rPr>
        <w:t>分部分项及单价措施项目综合单价应包括竞争性磋商文件中采购人要求供应商所承担的风险内容及其范围（幅度）产生的风险费用。</w:t>
      </w:r>
    </w:p>
    <w:p w14:paraId="2DBE0679">
      <w:pPr>
        <w:pageBreakBefore w:val="0"/>
        <w:widowControl w:val="0"/>
        <w:kinsoku/>
        <w:wordWrap/>
        <w:overflowPunct/>
        <w:topLinePunct w:val="0"/>
        <w:autoSpaceDE/>
        <w:autoSpaceDN/>
        <w:bidi w:val="0"/>
        <w:adjustRightInd/>
        <w:snapToGrid/>
        <w:spacing w:line="360" w:lineRule="auto"/>
        <w:ind w:firstLine="420"/>
        <w:textAlignment w:val="auto"/>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 xml:space="preserve">2.3 </w:t>
      </w:r>
      <w:r>
        <w:rPr>
          <w:rFonts w:hint="eastAsia" w:hAnsi="宋体" w:cs="宋体"/>
          <w:color w:val="000000" w:themeColor="text1"/>
          <w:highlight w:val="none"/>
          <w14:textFill>
            <w14:solidFill>
              <w14:schemeClr w14:val="tx1"/>
            </w14:solidFill>
          </w14:textFill>
        </w:rPr>
        <w:t>总价措施项目应根据拟定的竞争性磋商文件和常规施工方案按《计价规范》和《计算规范》规定编制。</w:t>
      </w:r>
    </w:p>
    <w:p w14:paraId="5BCBE2D8">
      <w:pPr>
        <w:pageBreakBefore w:val="0"/>
        <w:widowControl w:val="0"/>
        <w:kinsoku/>
        <w:wordWrap/>
        <w:overflowPunct/>
        <w:topLinePunct w:val="0"/>
        <w:autoSpaceDE/>
        <w:autoSpaceDN/>
        <w:bidi w:val="0"/>
        <w:adjustRightInd/>
        <w:snapToGrid/>
        <w:spacing w:line="360" w:lineRule="auto"/>
        <w:ind w:firstLine="420" w:firstLineChars="200"/>
        <w:textAlignment w:val="auto"/>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 xml:space="preserve">2.4 </w:t>
      </w:r>
      <w:r>
        <w:rPr>
          <w:rFonts w:hint="eastAsia" w:cs="宋体"/>
          <w:color w:val="000000" w:themeColor="text1"/>
          <w:highlight w:val="none"/>
          <w14:textFill>
            <w14:solidFill>
              <w14:schemeClr w14:val="tx1"/>
            </w14:solidFill>
          </w14:textFill>
        </w:rPr>
        <w:t>其他项目费应按下列规定报价：</w:t>
      </w:r>
    </w:p>
    <w:p w14:paraId="3212AB1A">
      <w:pPr>
        <w:pageBreakBefore w:val="0"/>
        <w:widowControl w:val="0"/>
        <w:kinsoku/>
        <w:wordWrap/>
        <w:overflowPunct/>
        <w:topLinePunct w:val="0"/>
        <w:autoSpaceDE/>
        <w:autoSpaceDN/>
        <w:bidi w:val="0"/>
        <w:adjustRightInd/>
        <w:snapToGrid/>
        <w:spacing w:line="360" w:lineRule="auto"/>
        <w:ind w:firstLine="420" w:firstLineChars="200"/>
        <w:textAlignment w:val="auto"/>
        <w:rPr>
          <w:color w:val="000000" w:themeColor="text1"/>
          <w:highlight w:val="none"/>
          <w14:textFill>
            <w14:solidFill>
              <w14:schemeClr w14:val="tx1"/>
            </w14:solidFill>
          </w14:textFill>
        </w:rPr>
      </w:pPr>
      <w:r>
        <w:rPr>
          <w:rFonts w:hint="eastAsia" w:cs="宋体"/>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1</w:t>
      </w:r>
      <w:r>
        <w:rPr>
          <w:rFonts w:hint="eastAsia" w:cs="宋体"/>
          <w:color w:val="000000" w:themeColor="text1"/>
          <w:highlight w:val="none"/>
          <w14:textFill>
            <w14:solidFill>
              <w14:schemeClr w14:val="tx1"/>
            </w14:solidFill>
          </w14:textFill>
        </w:rPr>
        <w:t>）暂列金额应按工程量清单中列出的金额填写；</w:t>
      </w:r>
    </w:p>
    <w:p w14:paraId="3FDB9AD0">
      <w:pPr>
        <w:pStyle w:val="88"/>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imes New Roman" w:hAnsi="Times New Roman" w:eastAsia="宋体" w:cs="宋体"/>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宋体"/>
          <w:color w:val="000000" w:themeColor="text1"/>
          <w:kern w:val="2"/>
          <w:sz w:val="21"/>
          <w:szCs w:val="21"/>
          <w:highlight w:val="none"/>
          <w:lang w:val="en-US" w:eastAsia="zh-CN" w:bidi="ar-SA"/>
          <w14:textFill>
            <w14:solidFill>
              <w14:schemeClr w14:val="tx1"/>
            </w14:solidFill>
          </w14:textFill>
        </w:rPr>
        <w:t>（2）材料、工程设备暂估价应按工程量清单中列出的单价计入综合单价；</w:t>
      </w:r>
    </w:p>
    <w:p w14:paraId="5D4B287E">
      <w:pPr>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imes New Roman" w:hAnsi="Times New Roman" w:eastAsia="宋体" w:cs="宋体"/>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宋体"/>
          <w:color w:val="000000" w:themeColor="text1"/>
          <w:kern w:val="2"/>
          <w:sz w:val="21"/>
          <w:szCs w:val="21"/>
          <w:highlight w:val="none"/>
          <w:lang w:val="en-US" w:eastAsia="zh-CN" w:bidi="ar-SA"/>
          <w14:textFill>
            <w14:solidFill>
              <w14:schemeClr w14:val="tx1"/>
            </w14:solidFill>
          </w14:textFill>
        </w:rPr>
        <w:t>（3）专业工程暂估价应按工程量清单中列出的金额填写，安全生产责任保险费暂估价应按工程量清单中列出的金额填写；</w:t>
      </w:r>
    </w:p>
    <w:p w14:paraId="3327F7A5">
      <w:pPr>
        <w:pageBreakBefore w:val="0"/>
        <w:widowControl w:val="0"/>
        <w:kinsoku/>
        <w:wordWrap/>
        <w:overflowPunct/>
        <w:topLinePunct w:val="0"/>
        <w:autoSpaceDE/>
        <w:autoSpaceDN/>
        <w:bidi w:val="0"/>
        <w:adjustRightInd/>
        <w:snapToGrid/>
        <w:spacing w:line="360" w:lineRule="auto"/>
        <w:ind w:firstLine="420" w:firstLineChars="200"/>
        <w:textAlignment w:val="auto"/>
        <w:rPr>
          <w:color w:val="000000" w:themeColor="text1"/>
          <w:highlight w:val="none"/>
          <w14:textFill>
            <w14:solidFill>
              <w14:schemeClr w14:val="tx1"/>
            </w14:solidFill>
          </w14:textFill>
        </w:rPr>
      </w:pPr>
      <w:r>
        <w:rPr>
          <w:rFonts w:hint="eastAsia" w:cs="宋体"/>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4</w:t>
      </w:r>
      <w:r>
        <w:rPr>
          <w:rFonts w:hint="eastAsia" w:cs="宋体"/>
          <w:color w:val="000000" w:themeColor="text1"/>
          <w:highlight w:val="none"/>
          <w14:textFill>
            <w14:solidFill>
              <w14:schemeClr w14:val="tx1"/>
            </w14:solidFill>
          </w14:textFill>
        </w:rPr>
        <w:t>）计日工应按工程量清单中列出的项目和数量，根据工程特点和有关计价依据确定的综合单价计算；</w:t>
      </w:r>
    </w:p>
    <w:p w14:paraId="57502D64">
      <w:pPr>
        <w:pageBreakBefore w:val="0"/>
        <w:widowControl w:val="0"/>
        <w:kinsoku/>
        <w:wordWrap/>
        <w:overflowPunct/>
        <w:topLinePunct w:val="0"/>
        <w:autoSpaceDE/>
        <w:autoSpaceDN/>
        <w:bidi w:val="0"/>
        <w:adjustRightInd/>
        <w:snapToGrid/>
        <w:spacing w:line="360" w:lineRule="auto"/>
        <w:ind w:firstLine="420" w:firstLineChars="200"/>
        <w:textAlignment w:val="auto"/>
        <w:rPr>
          <w:color w:val="000000" w:themeColor="text1"/>
          <w:highlight w:val="none"/>
          <w14:textFill>
            <w14:solidFill>
              <w14:schemeClr w14:val="tx1"/>
            </w14:solidFill>
          </w14:textFill>
        </w:rPr>
      </w:pPr>
      <w:r>
        <w:rPr>
          <w:rFonts w:hint="eastAsia" w:cs="宋体"/>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5</w:t>
      </w:r>
      <w:r>
        <w:rPr>
          <w:rFonts w:hint="eastAsia" w:cs="宋体"/>
          <w:color w:val="000000" w:themeColor="text1"/>
          <w:highlight w:val="none"/>
          <w14:textFill>
            <w14:solidFill>
              <w14:schemeClr w14:val="tx1"/>
            </w14:solidFill>
          </w14:textFill>
        </w:rPr>
        <w:t>）总承包服务费应根据工程量清单列出的内容</w:t>
      </w:r>
      <w:r>
        <w:rPr>
          <w:rFonts w:hint="eastAsia" w:hAnsi="宋体" w:cs="宋体"/>
          <w:color w:val="000000" w:themeColor="text1"/>
          <w:highlight w:val="none"/>
          <w14:textFill>
            <w14:solidFill>
              <w14:schemeClr w14:val="tx1"/>
            </w14:solidFill>
          </w14:textFill>
        </w:rPr>
        <w:t>和要求，按自治区住房城乡建设行政主管部门颁发的计价定额及有关规定计算</w:t>
      </w:r>
      <w:r>
        <w:rPr>
          <w:rFonts w:hint="eastAsia" w:cs="宋体"/>
          <w:color w:val="000000" w:themeColor="text1"/>
          <w:highlight w:val="none"/>
          <w14:textFill>
            <w14:solidFill>
              <w14:schemeClr w14:val="tx1"/>
            </w14:solidFill>
          </w14:textFill>
        </w:rPr>
        <w:t>。</w:t>
      </w:r>
    </w:p>
    <w:p w14:paraId="62875C7C">
      <w:pPr>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cs="宋体"/>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 xml:space="preserve">2.5 </w:t>
      </w:r>
      <w:r>
        <w:rPr>
          <w:rFonts w:hint="eastAsia" w:cs="宋体"/>
          <w:color w:val="000000" w:themeColor="text1"/>
          <w:highlight w:val="none"/>
          <w14:textFill>
            <w14:solidFill>
              <w14:schemeClr w14:val="tx1"/>
            </w14:solidFill>
          </w14:textFill>
        </w:rPr>
        <w:t>增值税应按规定确定。</w:t>
      </w:r>
    </w:p>
    <w:p w14:paraId="135E4CEE">
      <w:pPr>
        <w:pageBreakBefore w:val="0"/>
        <w:widowControl w:val="0"/>
        <w:kinsoku/>
        <w:wordWrap/>
        <w:overflowPunct/>
        <w:topLinePunct w:val="0"/>
        <w:autoSpaceDE/>
        <w:autoSpaceDN/>
        <w:bidi w:val="0"/>
        <w:adjustRightInd/>
        <w:snapToGrid/>
        <w:spacing w:line="360" w:lineRule="auto"/>
        <w:ind w:firstLine="420" w:firstLineChars="200"/>
        <w:textAlignment w:val="auto"/>
        <w:rPr>
          <w:rFonts w:hAnsi="宋体"/>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 xml:space="preserve">2.6 </w:t>
      </w:r>
      <w:r>
        <w:rPr>
          <w:rFonts w:hint="eastAsia" w:hAnsi="宋体" w:cs="宋体"/>
          <w:color w:val="000000" w:themeColor="text1"/>
          <w:highlight w:val="none"/>
          <w14:textFill>
            <w14:solidFill>
              <w14:schemeClr w14:val="tx1"/>
            </w14:solidFill>
          </w14:textFill>
        </w:rPr>
        <w:t>其它需要说明的问题：</w:t>
      </w:r>
      <w:r>
        <w:rPr>
          <w:rFonts w:hint="eastAsia"/>
          <w:color w:val="000000" w:themeColor="text1"/>
          <w:highlight w:val="none"/>
          <w:u w:val="single"/>
          <w:lang w:val="en-US" w:eastAsia="zh-CN"/>
          <w14:textFill>
            <w14:solidFill>
              <w14:schemeClr w14:val="tx1"/>
            </w14:solidFill>
          </w14:textFill>
        </w:rPr>
        <w:t xml:space="preserve">        /        </w:t>
      </w:r>
      <w:r>
        <w:rPr>
          <w:rFonts w:hint="eastAsia" w:hAnsi="宋体" w:cs="宋体"/>
          <w:color w:val="000000" w:themeColor="text1"/>
          <w:highlight w:val="none"/>
          <w14:textFill>
            <w14:solidFill>
              <w14:schemeClr w14:val="tx1"/>
            </w14:solidFill>
          </w14:textFill>
        </w:rPr>
        <w:t>。</w:t>
      </w:r>
    </w:p>
    <w:p w14:paraId="74781BC1">
      <w:pPr>
        <w:pStyle w:val="4"/>
        <w:pageBreakBefore w:val="0"/>
        <w:widowControl w:val="0"/>
        <w:kinsoku/>
        <w:wordWrap/>
        <w:overflowPunct/>
        <w:topLinePunct w:val="0"/>
        <w:autoSpaceDE/>
        <w:autoSpaceDN/>
        <w:bidi w:val="0"/>
        <w:adjustRightInd/>
        <w:snapToGrid/>
        <w:spacing w:line="360" w:lineRule="auto"/>
        <w:textAlignment w:val="auto"/>
        <w:rPr>
          <w:rFonts w:ascii="Times New Roman" w:hAnsi="Times New Roman"/>
          <w:color w:val="000000" w:themeColor="text1"/>
          <w:sz w:val="21"/>
          <w:szCs w:val="21"/>
          <w:highlight w:val="none"/>
          <w14:textFill>
            <w14:solidFill>
              <w14:schemeClr w14:val="tx1"/>
            </w14:solidFill>
          </w14:textFill>
        </w:rPr>
      </w:pPr>
      <w:bookmarkStart w:id="1395" w:name="_Toc23388"/>
      <w:bookmarkStart w:id="1396" w:name="_Toc27130"/>
      <w:bookmarkStart w:id="1397" w:name="_Toc407135286"/>
      <w:r>
        <w:rPr>
          <w:rFonts w:ascii="Times New Roman" w:hAnsi="Times New Roman"/>
          <w:color w:val="000000" w:themeColor="text1"/>
          <w:sz w:val="21"/>
          <w:szCs w:val="21"/>
          <w:highlight w:val="none"/>
          <w14:textFill>
            <w14:solidFill>
              <w14:schemeClr w14:val="tx1"/>
            </w14:solidFill>
          </w14:textFill>
        </w:rPr>
        <w:t xml:space="preserve">3 </w:t>
      </w:r>
      <w:r>
        <w:rPr>
          <w:rFonts w:hint="eastAsia" w:ascii="Times New Roman" w:hAnsi="Times New Roman"/>
          <w:color w:val="000000" w:themeColor="text1"/>
          <w:sz w:val="21"/>
          <w:szCs w:val="21"/>
          <w:highlight w:val="none"/>
          <w:lang w:eastAsia="zh-CN"/>
          <w14:textFill>
            <w14:solidFill>
              <w14:schemeClr w14:val="tx1"/>
            </w14:solidFill>
          </w14:textFill>
        </w:rPr>
        <w:t>响应</w:t>
      </w:r>
      <w:r>
        <w:rPr>
          <w:rFonts w:ascii="Times New Roman" w:hAnsi="Times New Roman"/>
          <w:color w:val="000000" w:themeColor="text1"/>
          <w:sz w:val="21"/>
          <w:szCs w:val="21"/>
          <w:highlight w:val="none"/>
          <w14:textFill>
            <w14:solidFill>
              <w14:schemeClr w14:val="tx1"/>
            </w14:solidFill>
          </w14:textFill>
        </w:rPr>
        <w:t>报价（已标价工程量清单）编制说明</w:t>
      </w:r>
      <w:bookmarkEnd w:id="1395"/>
      <w:bookmarkEnd w:id="1396"/>
      <w:bookmarkEnd w:id="1397"/>
    </w:p>
    <w:p w14:paraId="0163C84B">
      <w:pPr>
        <w:pageBreakBefore w:val="0"/>
        <w:widowControl w:val="0"/>
        <w:kinsoku/>
        <w:wordWrap/>
        <w:overflowPunct/>
        <w:topLinePunct w:val="0"/>
        <w:autoSpaceDE/>
        <w:autoSpaceDN/>
        <w:bidi w:val="0"/>
        <w:adjustRightInd/>
        <w:snapToGrid/>
        <w:spacing w:line="360" w:lineRule="auto"/>
        <w:ind w:firstLine="420" w:firstLineChars="200"/>
        <w:textAlignment w:val="auto"/>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 xml:space="preserve">3.1 </w:t>
      </w:r>
      <w:r>
        <w:rPr>
          <w:rFonts w:hint="eastAsia" w:cs="宋体"/>
          <w:color w:val="000000" w:themeColor="text1"/>
          <w:highlight w:val="none"/>
          <w14:textFill>
            <w14:solidFill>
              <w14:schemeClr w14:val="tx1"/>
            </w14:solidFill>
          </w14:textFill>
        </w:rPr>
        <w:t>供应商应依据</w:t>
      </w:r>
      <w:r>
        <w:rPr>
          <w:rFonts w:hint="eastAsia" w:hAnsi="宋体" w:cs="宋体"/>
          <w:color w:val="000000" w:themeColor="text1"/>
          <w:szCs w:val="21"/>
          <w:highlight w:val="none"/>
          <w14:textFill>
            <w14:solidFill>
              <w14:schemeClr w14:val="tx1"/>
            </w14:solidFill>
          </w14:textFill>
        </w:rPr>
        <w:t>竞争性磋商采购</w:t>
      </w:r>
      <w:r>
        <w:rPr>
          <w:rFonts w:hint="eastAsia" w:cs="宋体"/>
          <w:color w:val="000000" w:themeColor="text1"/>
          <w:highlight w:val="none"/>
          <w14:textFill>
            <w14:solidFill>
              <w14:schemeClr w14:val="tx1"/>
            </w14:solidFill>
          </w14:textFill>
        </w:rPr>
        <w:t>文件、采购人提供的工程量清单（以下简称“工程量清单”）以及《计价规范》、《计算规范》自主报价，自主报价</w:t>
      </w:r>
      <w:r>
        <w:rPr>
          <w:rFonts w:hint="eastAsia" w:hAnsi="宋体" w:cs="宋体"/>
          <w:color w:val="000000" w:themeColor="text1"/>
          <w:highlight w:val="none"/>
          <w14:textFill>
            <w14:solidFill>
              <w14:schemeClr w14:val="tx1"/>
            </w14:solidFill>
          </w14:textFill>
        </w:rPr>
        <w:t>不得违反计价规范强制性条文规定。</w:t>
      </w:r>
      <w:r>
        <w:rPr>
          <w:rFonts w:hint="eastAsia" w:cs="宋体"/>
          <w:color w:val="000000" w:themeColor="text1"/>
          <w:highlight w:val="none"/>
          <w14:textFill>
            <w14:solidFill>
              <w14:schemeClr w14:val="tx1"/>
            </w14:solidFill>
          </w14:textFill>
        </w:rPr>
        <w:t>供应商不得采用总价让利或以百分比让利等形式进行报价，任何优惠（或降价、让利）均应反映在相应清单项目的综合单价中。同时，不得出现任意一项单价重大让利，</w:t>
      </w:r>
      <w:r>
        <w:rPr>
          <w:rFonts w:hint="eastAsia" w:hAnsi="宋体" w:cs="宋体"/>
          <w:color w:val="000000" w:themeColor="text1"/>
          <w:highlight w:val="none"/>
          <w14:textFill>
            <w14:solidFill>
              <w14:schemeClr w14:val="tx1"/>
            </w14:solidFill>
          </w14:textFill>
        </w:rPr>
        <w:t>不得以自有机械闲置、自有材料等不计成本为由</w:t>
      </w:r>
      <w:r>
        <w:rPr>
          <w:rFonts w:hint="eastAsia" w:cs="宋体"/>
          <w:color w:val="000000" w:themeColor="text1"/>
          <w:highlight w:val="none"/>
          <w14:textFill>
            <w14:solidFill>
              <w14:schemeClr w14:val="tx1"/>
            </w14:solidFill>
          </w14:textFill>
        </w:rPr>
        <w:t>低于工程成本报价。</w:t>
      </w:r>
    </w:p>
    <w:p w14:paraId="72819F5A">
      <w:pPr>
        <w:pageBreakBefore w:val="0"/>
        <w:widowControl w:val="0"/>
        <w:kinsoku/>
        <w:wordWrap/>
        <w:overflowPunct/>
        <w:topLinePunct w:val="0"/>
        <w:autoSpaceDE/>
        <w:autoSpaceDN/>
        <w:bidi w:val="0"/>
        <w:adjustRightInd/>
        <w:snapToGrid/>
        <w:spacing w:line="360" w:lineRule="auto"/>
        <w:ind w:firstLine="420" w:firstLineChars="200"/>
        <w:textAlignment w:val="auto"/>
        <w:rPr>
          <w:rFonts w:hAnsi="宋体"/>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 xml:space="preserve">3.2 </w:t>
      </w:r>
      <w:r>
        <w:rPr>
          <w:rFonts w:hint="eastAsia" w:cs="宋体"/>
          <w:color w:val="000000" w:themeColor="text1"/>
          <w:highlight w:val="none"/>
          <w14:textFill>
            <w14:solidFill>
              <w14:schemeClr w14:val="tx1"/>
            </w14:solidFill>
          </w14:textFill>
        </w:rPr>
        <w:t>供应商应按工程量清单填报价格。项目编码、项目名称、项目特征、计量单位、工程量必须与工程量清单一致，</w:t>
      </w:r>
      <w:r>
        <w:rPr>
          <w:rFonts w:hint="eastAsia" w:hAnsi="宋体" w:cs="宋体"/>
          <w:color w:val="000000" w:themeColor="text1"/>
          <w:highlight w:val="none"/>
          <w14:textFill>
            <w14:solidFill>
              <w14:schemeClr w14:val="tx1"/>
            </w14:solidFill>
          </w14:textFill>
        </w:rPr>
        <w:t>供应商不得对工程量清单项目进行增减调整。</w:t>
      </w:r>
    </w:p>
    <w:p w14:paraId="03268691">
      <w:pPr>
        <w:pageBreakBefore w:val="0"/>
        <w:widowControl w:val="0"/>
        <w:kinsoku/>
        <w:wordWrap/>
        <w:overflowPunct/>
        <w:topLinePunct w:val="0"/>
        <w:autoSpaceDE/>
        <w:autoSpaceDN/>
        <w:bidi w:val="0"/>
        <w:adjustRightInd/>
        <w:snapToGrid/>
        <w:spacing w:line="360" w:lineRule="auto"/>
        <w:ind w:firstLine="420" w:firstLineChars="200"/>
        <w:textAlignment w:val="auto"/>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 xml:space="preserve">3.3 </w:t>
      </w:r>
      <w:r>
        <w:rPr>
          <w:rFonts w:hint="eastAsia" w:cs="宋体"/>
          <w:color w:val="000000" w:themeColor="text1"/>
          <w:highlight w:val="none"/>
          <w14:textFill>
            <w14:solidFill>
              <w14:schemeClr w14:val="tx1"/>
            </w14:solidFill>
          </w14:textFill>
        </w:rPr>
        <w:t>综合单价中应包含</w:t>
      </w:r>
      <w:r>
        <w:rPr>
          <w:rFonts w:hint="eastAsia" w:hAnsi="宋体" w:cs="宋体"/>
          <w:color w:val="000000" w:themeColor="text1"/>
          <w:szCs w:val="21"/>
          <w:highlight w:val="none"/>
          <w14:textFill>
            <w14:solidFill>
              <w14:schemeClr w14:val="tx1"/>
            </w14:solidFill>
          </w14:textFill>
        </w:rPr>
        <w:t>竞争性磋商采购</w:t>
      </w:r>
      <w:r>
        <w:rPr>
          <w:rFonts w:hint="eastAsia" w:cs="宋体"/>
          <w:color w:val="000000" w:themeColor="text1"/>
          <w:highlight w:val="none"/>
          <w14:textFill>
            <w14:solidFill>
              <w14:schemeClr w14:val="tx1"/>
            </w14:solidFill>
          </w14:textFill>
        </w:rPr>
        <w:t>文件中划分的应由供应商承担的风险范围及其费用。</w:t>
      </w:r>
    </w:p>
    <w:p w14:paraId="0E348AEA">
      <w:pPr>
        <w:pageBreakBefore w:val="0"/>
        <w:widowControl w:val="0"/>
        <w:kinsoku/>
        <w:wordWrap/>
        <w:overflowPunct/>
        <w:topLinePunct w:val="0"/>
        <w:autoSpaceDE/>
        <w:autoSpaceDN/>
        <w:bidi w:val="0"/>
        <w:adjustRightInd/>
        <w:snapToGrid/>
        <w:spacing w:line="360" w:lineRule="auto"/>
        <w:ind w:firstLine="420" w:firstLineChars="200"/>
        <w:textAlignment w:val="auto"/>
        <w:rPr>
          <w:rFonts w:hAnsi="宋体"/>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 xml:space="preserve">3.4 </w:t>
      </w:r>
      <w:r>
        <w:rPr>
          <w:rFonts w:hint="eastAsia" w:hAnsi="宋体" w:cs="宋体"/>
          <w:color w:val="000000" w:themeColor="text1"/>
          <w:highlight w:val="none"/>
          <w14:textFill>
            <w14:solidFill>
              <w14:schemeClr w14:val="tx1"/>
            </w14:solidFill>
          </w14:textFill>
        </w:rPr>
        <w:t>分部分项工程项目和单价措施项目，应根据</w:t>
      </w:r>
      <w:r>
        <w:rPr>
          <w:rFonts w:hint="eastAsia" w:hAnsi="宋体" w:cs="宋体"/>
          <w:color w:val="000000" w:themeColor="text1"/>
          <w:szCs w:val="21"/>
          <w:highlight w:val="none"/>
          <w14:textFill>
            <w14:solidFill>
              <w14:schemeClr w14:val="tx1"/>
            </w14:solidFill>
          </w14:textFill>
        </w:rPr>
        <w:t>竞争性磋商采购</w:t>
      </w:r>
      <w:r>
        <w:rPr>
          <w:rFonts w:hint="eastAsia" w:hAnsi="宋体" w:cs="宋体"/>
          <w:color w:val="000000" w:themeColor="text1"/>
          <w:highlight w:val="none"/>
          <w14:textFill>
            <w14:solidFill>
              <w14:schemeClr w14:val="tx1"/>
            </w14:solidFill>
          </w14:textFill>
        </w:rPr>
        <w:t>文件和工程量清单项目中的特征描述确定综合单价计算。如出现工程量清单特征描述与设计图纸不符时，供应商应以工程量清单的项目特征描述为准，确定</w:t>
      </w:r>
      <w:r>
        <w:rPr>
          <w:rFonts w:hint="eastAsia" w:hAnsi="宋体" w:cs="宋体"/>
          <w:color w:val="000000" w:themeColor="text1"/>
          <w:kern w:val="0"/>
          <w:szCs w:val="21"/>
          <w:highlight w:val="none"/>
          <w:lang w:eastAsia="zh-CN"/>
          <w14:textFill>
            <w14:solidFill>
              <w14:schemeClr w14:val="tx1"/>
            </w14:solidFill>
          </w14:textFill>
        </w:rPr>
        <w:t>响应</w:t>
      </w:r>
      <w:r>
        <w:rPr>
          <w:rFonts w:hint="eastAsia" w:hAnsi="宋体" w:cs="宋体"/>
          <w:color w:val="000000" w:themeColor="text1"/>
          <w:highlight w:val="none"/>
          <w14:textFill>
            <w14:solidFill>
              <w14:schemeClr w14:val="tx1"/>
            </w14:solidFill>
          </w14:textFill>
        </w:rPr>
        <w:t>报价的综合单价。</w:t>
      </w:r>
    </w:p>
    <w:p w14:paraId="3B65EEAB">
      <w:pPr>
        <w:pageBreakBefore w:val="0"/>
        <w:widowControl w:val="0"/>
        <w:kinsoku/>
        <w:wordWrap/>
        <w:overflowPunct/>
        <w:topLinePunct w:val="0"/>
        <w:autoSpaceDE/>
        <w:autoSpaceDN/>
        <w:bidi w:val="0"/>
        <w:adjustRightInd/>
        <w:snapToGrid/>
        <w:spacing w:line="360" w:lineRule="auto"/>
        <w:ind w:firstLine="420" w:firstLineChars="200"/>
        <w:textAlignment w:val="auto"/>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 xml:space="preserve">3.5 </w:t>
      </w:r>
      <w:r>
        <w:rPr>
          <w:rFonts w:hint="eastAsia" w:hAnsi="宋体" w:cs="宋体"/>
          <w:color w:val="000000" w:themeColor="text1"/>
          <w:highlight w:val="none"/>
          <w14:textFill>
            <w14:solidFill>
              <w14:schemeClr w14:val="tx1"/>
            </w14:solidFill>
          </w14:textFill>
        </w:rPr>
        <w:t>总价措施项目的金额应根据</w:t>
      </w:r>
      <w:r>
        <w:rPr>
          <w:rFonts w:hint="eastAsia" w:hAnsi="宋体" w:cs="宋体"/>
          <w:color w:val="000000" w:themeColor="text1"/>
          <w:szCs w:val="21"/>
          <w:highlight w:val="none"/>
          <w14:textFill>
            <w14:solidFill>
              <w14:schemeClr w14:val="tx1"/>
            </w14:solidFill>
          </w14:textFill>
        </w:rPr>
        <w:t>竞争性磋商采购</w:t>
      </w:r>
      <w:r>
        <w:rPr>
          <w:rFonts w:hint="eastAsia" w:hAnsi="宋体" w:cs="宋体"/>
          <w:color w:val="000000" w:themeColor="text1"/>
          <w:highlight w:val="none"/>
          <w14:textFill>
            <w14:solidFill>
              <w14:schemeClr w14:val="tx1"/>
            </w14:solidFill>
          </w14:textFill>
        </w:rPr>
        <w:t>文件及</w:t>
      </w:r>
      <w:r>
        <w:rPr>
          <w:rFonts w:hint="eastAsia" w:hAnsi="宋体" w:cs="宋体"/>
          <w:color w:val="000000" w:themeColor="text1"/>
          <w:kern w:val="0"/>
          <w:szCs w:val="21"/>
          <w:highlight w:val="none"/>
          <w:lang w:eastAsia="zh-CN"/>
          <w14:textFill>
            <w14:solidFill>
              <w14:schemeClr w14:val="tx1"/>
            </w14:solidFill>
          </w14:textFill>
        </w:rPr>
        <w:t>响应</w:t>
      </w:r>
      <w:r>
        <w:rPr>
          <w:rFonts w:hint="eastAsia" w:hAnsi="宋体" w:cs="宋体"/>
          <w:color w:val="000000" w:themeColor="text1"/>
          <w:highlight w:val="none"/>
          <w14:textFill>
            <w14:solidFill>
              <w14:schemeClr w14:val="tx1"/>
            </w14:solidFill>
          </w14:textFill>
        </w:rPr>
        <w:t>时拟定的施工组织设计或施工方案，按计价规范的规定自主确定。但</w:t>
      </w:r>
      <w:r>
        <w:rPr>
          <w:rFonts w:hint="eastAsia" w:cs="宋体"/>
          <w:color w:val="000000" w:themeColor="text1"/>
          <w:highlight w:val="none"/>
          <w14:textFill>
            <w14:solidFill>
              <w14:schemeClr w14:val="tx1"/>
            </w14:solidFill>
          </w14:textFill>
        </w:rPr>
        <w:t>安全文明施工费按国家、省级或行业建设主管部门的有关规定执行。</w:t>
      </w:r>
    </w:p>
    <w:p w14:paraId="6FDD6FC9">
      <w:pPr>
        <w:pageBreakBefore w:val="0"/>
        <w:widowControl w:val="0"/>
        <w:kinsoku/>
        <w:wordWrap/>
        <w:overflowPunct/>
        <w:topLinePunct w:val="0"/>
        <w:autoSpaceDE/>
        <w:autoSpaceDN/>
        <w:bidi w:val="0"/>
        <w:adjustRightInd/>
        <w:snapToGrid/>
        <w:spacing w:line="360" w:lineRule="auto"/>
        <w:ind w:firstLine="420" w:firstLineChars="200"/>
        <w:textAlignment w:val="auto"/>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 xml:space="preserve">3.6 </w:t>
      </w:r>
      <w:r>
        <w:rPr>
          <w:rFonts w:hint="eastAsia" w:cs="宋体"/>
          <w:color w:val="000000" w:themeColor="text1"/>
          <w:highlight w:val="none"/>
          <w14:textFill>
            <w14:solidFill>
              <w14:schemeClr w14:val="tx1"/>
            </w14:solidFill>
          </w14:textFill>
        </w:rPr>
        <w:t>其他项目费应按下列规定报价：</w:t>
      </w:r>
    </w:p>
    <w:p w14:paraId="15BDE789">
      <w:pPr>
        <w:pageBreakBefore w:val="0"/>
        <w:widowControl w:val="0"/>
        <w:kinsoku/>
        <w:wordWrap/>
        <w:overflowPunct/>
        <w:topLinePunct w:val="0"/>
        <w:autoSpaceDE/>
        <w:autoSpaceDN/>
        <w:bidi w:val="0"/>
        <w:adjustRightInd/>
        <w:snapToGrid/>
        <w:spacing w:line="360" w:lineRule="auto"/>
        <w:ind w:firstLine="420" w:firstLineChars="200"/>
        <w:textAlignment w:val="auto"/>
        <w:rPr>
          <w:b w:val="0"/>
          <w:bCs w:val="0"/>
          <w:color w:val="000000" w:themeColor="text1"/>
          <w:highlight w:val="none"/>
          <w14:textFill>
            <w14:solidFill>
              <w14:schemeClr w14:val="tx1"/>
            </w14:solidFill>
          </w14:textFill>
        </w:rPr>
      </w:pPr>
      <w:r>
        <w:rPr>
          <w:rFonts w:hint="eastAsia" w:cs="宋体"/>
          <w:b w:val="0"/>
          <w:bCs w:val="0"/>
          <w:color w:val="000000" w:themeColor="text1"/>
          <w:highlight w:val="none"/>
          <w14:textFill>
            <w14:solidFill>
              <w14:schemeClr w14:val="tx1"/>
            </w14:solidFill>
          </w14:textFill>
        </w:rPr>
        <w:t>（</w:t>
      </w:r>
      <w:r>
        <w:rPr>
          <w:b w:val="0"/>
          <w:bCs w:val="0"/>
          <w:color w:val="000000" w:themeColor="text1"/>
          <w:highlight w:val="none"/>
          <w14:textFill>
            <w14:solidFill>
              <w14:schemeClr w14:val="tx1"/>
            </w14:solidFill>
          </w14:textFill>
        </w:rPr>
        <w:t>1</w:t>
      </w:r>
      <w:r>
        <w:rPr>
          <w:rFonts w:hint="eastAsia" w:cs="宋体"/>
          <w:b w:val="0"/>
          <w:bCs w:val="0"/>
          <w:color w:val="000000" w:themeColor="text1"/>
          <w:highlight w:val="none"/>
          <w14:textFill>
            <w14:solidFill>
              <w14:schemeClr w14:val="tx1"/>
            </w14:solidFill>
          </w14:textFill>
        </w:rPr>
        <w:t>）暂列金额应按工程量清单中列出的金额填写；</w:t>
      </w:r>
    </w:p>
    <w:p w14:paraId="50D1606C">
      <w:pPr>
        <w:pStyle w:val="88"/>
        <w:pageBreakBefore w:val="0"/>
        <w:widowControl w:val="0"/>
        <w:kinsoku/>
        <w:wordWrap/>
        <w:overflowPunct/>
        <w:topLinePunct w:val="0"/>
        <w:autoSpaceDE/>
        <w:autoSpaceDN/>
        <w:bidi w:val="0"/>
        <w:adjustRightInd/>
        <w:snapToGrid/>
        <w:spacing w:line="360" w:lineRule="auto"/>
        <w:ind w:firstLine="420" w:firstLineChars="200"/>
        <w:textAlignment w:val="auto"/>
        <w:rPr>
          <w:b w:val="0"/>
          <w:bCs w:val="0"/>
          <w:color w:val="000000" w:themeColor="text1"/>
          <w:highlight w:val="none"/>
          <w14:textFill>
            <w14:solidFill>
              <w14:schemeClr w14:val="tx1"/>
            </w14:solidFill>
          </w14:textFill>
        </w:rPr>
      </w:pPr>
      <w:r>
        <w:rPr>
          <w:rFonts w:hint="eastAsia" w:cs="宋体"/>
          <w:b w:val="0"/>
          <w:bCs w:val="0"/>
          <w:color w:val="000000" w:themeColor="text1"/>
          <w:highlight w:val="none"/>
          <w14:textFill>
            <w14:solidFill>
              <w14:schemeClr w14:val="tx1"/>
            </w14:solidFill>
          </w14:textFill>
        </w:rPr>
        <w:t>（</w:t>
      </w:r>
      <w:r>
        <w:rPr>
          <w:b w:val="0"/>
          <w:bCs w:val="0"/>
          <w:color w:val="000000" w:themeColor="text1"/>
          <w:highlight w:val="none"/>
          <w14:textFill>
            <w14:solidFill>
              <w14:schemeClr w14:val="tx1"/>
            </w14:solidFill>
          </w14:textFill>
        </w:rPr>
        <w:t>2</w:t>
      </w:r>
      <w:r>
        <w:rPr>
          <w:rFonts w:hint="eastAsia" w:cs="宋体"/>
          <w:b w:val="0"/>
          <w:bCs w:val="0"/>
          <w:color w:val="000000" w:themeColor="text1"/>
          <w:highlight w:val="none"/>
          <w14:textFill>
            <w14:solidFill>
              <w14:schemeClr w14:val="tx1"/>
            </w14:solidFill>
          </w14:textFill>
        </w:rPr>
        <w:t>）材料、工程设备暂估价应按工程量清单中列出的单价计入综合单价；</w:t>
      </w:r>
    </w:p>
    <w:p w14:paraId="49AF2463">
      <w:pPr>
        <w:pageBreakBefore w:val="0"/>
        <w:widowControl w:val="0"/>
        <w:kinsoku/>
        <w:wordWrap/>
        <w:overflowPunct/>
        <w:topLinePunct w:val="0"/>
        <w:autoSpaceDE/>
        <w:autoSpaceDN/>
        <w:bidi w:val="0"/>
        <w:adjustRightInd/>
        <w:snapToGrid/>
        <w:spacing w:line="360" w:lineRule="auto"/>
        <w:ind w:firstLine="420" w:firstLineChars="200"/>
        <w:textAlignment w:val="auto"/>
        <w:rPr>
          <w:b w:val="0"/>
          <w:bCs w:val="0"/>
          <w:color w:val="000000" w:themeColor="text1"/>
          <w:highlight w:val="none"/>
          <w14:textFill>
            <w14:solidFill>
              <w14:schemeClr w14:val="tx1"/>
            </w14:solidFill>
          </w14:textFill>
        </w:rPr>
      </w:pPr>
      <w:r>
        <w:rPr>
          <w:rFonts w:hint="eastAsia" w:cs="宋体"/>
          <w:b w:val="0"/>
          <w:bCs w:val="0"/>
          <w:color w:val="000000" w:themeColor="text1"/>
          <w:highlight w:val="none"/>
          <w14:textFill>
            <w14:solidFill>
              <w14:schemeClr w14:val="tx1"/>
            </w14:solidFill>
          </w14:textFill>
        </w:rPr>
        <w:t>（</w:t>
      </w:r>
      <w:r>
        <w:rPr>
          <w:b w:val="0"/>
          <w:bCs w:val="0"/>
          <w:color w:val="000000" w:themeColor="text1"/>
          <w:highlight w:val="none"/>
          <w14:textFill>
            <w14:solidFill>
              <w14:schemeClr w14:val="tx1"/>
            </w14:solidFill>
          </w14:textFill>
        </w:rPr>
        <w:t>3</w:t>
      </w:r>
      <w:r>
        <w:rPr>
          <w:rFonts w:hint="eastAsia" w:cs="宋体"/>
          <w:b w:val="0"/>
          <w:bCs w:val="0"/>
          <w:color w:val="000000" w:themeColor="text1"/>
          <w:highlight w:val="none"/>
          <w14:textFill>
            <w14:solidFill>
              <w14:schemeClr w14:val="tx1"/>
            </w14:solidFill>
          </w14:textFill>
        </w:rPr>
        <w:t>）专业工程暂估价应按工程量清单中列出的金额填写</w:t>
      </w:r>
      <w:r>
        <w:rPr>
          <w:rFonts w:hint="eastAsia" w:cs="宋体"/>
          <w:b w:val="0"/>
          <w:bCs w:val="0"/>
          <w:color w:val="000000" w:themeColor="text1"/>
          <w:highlight w:val="none"/>
          <w:lang w:eastAsia="zh-CN"/>
          <w14:textFill>
            <w14:solidFill>
              <w14:schemeClr w14:val="tx1"/>
            </w14:solidFill>
          </w14:textFill>
        </w:rPr>
        <w:t>，安全生产责任保险费暂估价</w:t>
      </w:r>
      <w:r>
        <w:rPr>
          <w:rFonts w:hint="eastAsia" w:cs="宋体"/>
          <w:b w:val="0"/>
          <w:bCs w:val="0"/>
          <w:color w:val="000000" w:themeColor="text1"/>
          <w:highlight w:val="none"/>
          <w14:textFill>
            <w14:solidFill>
              <w14:schemeClr w14:val="tx1"/>
            </w14:solidFill>
          </w14:textFill>
        </w:rPr>
        <w:t>应按工程量清单中列出的金额填写；</w:t>
      </w:r>
    </w:p>
    <w:p w14:paraId="29B1E5C8">
      <w:pPr>
        <w:pageBreakBefore w:val="0"/>
        <w:widowControl w:val="0"/>
        <w:kinsoku/>
        <w:wordWrap/>
        <w:overflowPunct/>
        <w:topLinePunct w:val="0"/>
        <w:autoSpaceDE/>
        <w:autoSpaceDN/>
        <w:bidi w:val="0"/>
        <w:adjustRightInd/>
        <w:snapToGrid/>
        <w:spacing w:line="360" w:lineRule="auto"/>
        <w:ind w:firstLine="420" w:firstLineChars="200"/>
        <w:textAlignment w:val="auto"/>
        <w:rPr>
          <w:color w:val="000000" w:themeColor="text1"/>
          <w:highlight w:val="none"/>
          <w14:textFill>
            <w14:solidFill>
              <w14:schemeClr w14:val="tx1"/>
            </w14:solidFill>
          </w14:textFill>
        </w:rPr>
      </w:pPr>
      <w:r>
        <w:rPr>
          <w:rFonts w:hint="eastAsia" w:cs="宋体"/>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4</w:t>
      </w:r>
      <w:r>
        <w:rPr>
          <w:rFonts w:hint="eastAsia" w:cs="宋体"/>
          <w:color w:val="000000" w:themeColor="text1"/>
          <w:highlight w:val="none"/>
          <w14:textFill>
            <w14:solidFill>
              <w14:schemeClr w14:val="tx1"/>
            </w14:solidFill>
          </w14:textFill>
        </w:rPr>
        <w:t>）计日工应按工程量清单中列出的项目和估算数量，自主确定综合单价并计算计日工总额；</w:t>
      </w:r>
    </w:p>
    <w:p w14:paraId="169B168F">
      <w:pPr>
        <w:pageBreakBefore w:val="0"/>
        <w:widowControl w:val="0"/>
        <w:kinsoku/>
        <w:wordWrap/>
        <w:overflowPunct/>
        <w:topLinePunct w:val="0"/>
        <w:autoSpaceDE/>
        <w:autoSpaceDN/>
        <w:bidi w:val="0"/>
        <w:adjustRightInd/>
        <w:snapToGrid/>
        <w:spacing w:line="360" w:lineRule="auto"/>
        <w:ind w:firstLine="420" w:firstLineChars="200"/>
        <w:textAlignment w:val="auto"/>
        <w:rPr>
          <w:color w:val="000000" w:themeColor="text1"/>
          <w:highlight w:val="none"/>
          <w14:textFill>
            <w14:solidFill>
              <w14:schemeClr w14:val="tx1"/>
            </w14:solidFill>
          </w14:textFill>
        </w:rPr>
      </w:pPr>
      <w:r>
        <w:rPr>
          <w:rFonts w:hint="eastAsia" w:cs="宋体"/>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5</w:t>
      </w:r>
      <w:r>
        <w:rPr>
          <w:rFonts w:hint="eastAsia" w:cs="宋体"/>
          <w:color w:val="000000" w:themeColor="text1"/>
          <w:highlight w:val="none"/>
          <w14:textFill>
            <w14:solidFill>
              <w14:schemeClr w14:val="tx1"/>
            </w14:solidFill>
          </w14:textFill>
        </w:rPr>
        <w:t>）总承包服务费应根据工程量清单中列出的内容</w:t>
      </w:r>
      <w:r>
        <w:rPr>
          <w:rFonts w:hint="eastAsia" w:hAnsi="宋体" w:cs="宋体"/>
          <w:color w:val="000000" w:themeColor="text1"/>
          <w:highlight w:val="none"/>
          <w14:textFill>
            <w14:solidFill>
              <w14:schemeClr w14:val="tx1"/>
            </w14:solidFill>
          </w14:textFill>
        </w:rPr>
        <w:t>和供应材料、设备情况，按照采购人提出的协调、配合与服务要求和施工现场管理需要</w:t>
      </w:r>
      <w:r>
        <w:rPr>
          <w:rFonts w:hint="eastAsia" w:cs="宋体"/>
          <w:color w:val="000000" w:themeColor="text1"/>
          <w:highlight w:val="none"/>
          <w14:textFill>
            <w14:solidFill>
              <w14:schemeClr w14:val="tx1"/>
            </w14:solidFill>
          </w14:textFill>
        </w:rPr>
        <w:t>自主确定。</w:t>
      </w:r>
    </w:p>
    <w:p w14:paraId="7128A4EB">
      <w:pPr>
        <w:pageBreakBefore w:val="0"/>
        <w:widowControl w:val="0"/>
        <w:kinsoku/>
        <w:wordWrap/>
        <w:overflowPunct/>
        <w:topLinePunct w:val="0"/>
        <w:autoSpaceDE/>
        <w:autoSpaceDN/>
        <w:bidi w:val="0"/>
        <w:adjustRightInd/>
        <w:snapToGrid/>
        <w:spacing w:line="360" w:lineRule="auto"/>
        <w:ind w:firstLine="420" w:firstLineChars="200"/>
        <w:textAlignment w:val="auto"/>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 xml:space="preserve">3.7 </w:t>
      </w:r>
      <w:r>
        <w:rPr>
          <w:rFonts w:hint="eastAsia" w:cs="宋体"/>
          <w:color w:val="000000" w:themeColor="text1"/>
          <w:highlight w:val="none"/>
          <w14:textFill>
            <w14:solidFill>
              <w14:schemeClr w14:val="tx1"/>
            </w14:solidFill>
          </w14:textFill>
        </w:rPr>
        <w:t>增值税应按规定确定。</w:t>
      </w:r>
    </w:p>
    <w:p w14:paraId="7BB64F9C">
      <w:pPr>
        <w:pageBreakBefore w:val="0"/>
        <w:widowControl w:val="0"/>
        <w:kinsoku/>
        <w:wordWrap/>
        <w:overflowPunct/>
        <w:topLinePunct w:val="0"/>
        <w:autoSpaceDE/>
        <w:autoSpaceDN/>
        <w:bidi w:val="0"/>
        <w:adjustRightInd/>
        <w:snapToGrid/>
        <w:spacing w:line="360" w:lineRule="auto"/>
        <w:ind w:firstLine="420" w:firstLineChars="200"/>
        <w:textAlignment w:val="auto"/>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 xml:space="preserve">3.8 </w:t>
      </w:r>
      <w:r>
        <w:rPr>
          <w:rFonts w:hint="eastAsia" w:cs="宋体"/>
          <w:color w:val="000000" w:themeColor="text1"/>
          <w:highlight w:val="none"/>
          <w14:textFill>
            <w14:solidFill>
              <w14:schemeClr w14:val="tx1"/>
            </w14:solidFill>
          </w14:textFill>
        </w:rPr>
        <w:t>工程量清单与计价表中列明的所有需要填写的单价和合价的项目，供应商均应填写且只允许有一个报价。未填写单价和合价的项目，视为此项费用已包含在已标价工程量清单中其他项目的单价和合价之中。竣工结算时，此项目不得重新组价予以调整。</w:t>
      </w:r>
    </w:p>
    <w:p w14:paraId="6EA401B7">
      <w:pPr>
        <w:pageBreakBefore w:val="0"/>
        <w:widowControl w:val="0"/>
        <w:kinsoku/>
        <w:wordWrap/>
        <w:overflowPunct/>
        <w:topLinePunct w:val="0"/>
        <w:autoSpaceDE/>
        <w:autoSpaceDN/>
        <w:bidi w:val="0"/>
        <w:adjustRightInd/>
        <w:snapToGrid/>
        <w:spacing w:line="360" w:lineRule="auto"/>
        <w:ind w:firstLine="420" w:firstLineChars="200"/>
        <w:textAlignment w:val="auto"/>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 xml:space="preserve">3.9 </w:t>
      </w:r>
      <w:r>
        <w:rPr>
          <w:rFonts w:hint="eastAsia" w:hAnsi="宋体" w:cs="宋体"/>
          <w:color w:val="000000" w:themeColor="text1"/>
          <w:kern w:val="0"/>
          <w:szCs w:val="21"/>
          <w:highlight w:val="none"/>
          <w:lang w:eastAsia="zh-CN"/>
          <w14:textFill>
            <w14:solidFill>
              <w14:schemeClr w14:val="tx1"/>
            </w14:solidFill>
          </w14:textFill>
        </w:rPr>
        <w:t>响应</w:t>
      </w:r>
      <w:r>
        <w:rPr>
          <w:rFonts w:hint="eastAsia" w:cs="宋体"/>
          <w:color w:val="000000" w:themeColor="text1"/>
          <w:highlight w:val="none"/>
          <w14:textFill>
            <w14:solidFill>
              <w14:schemeClr w14:val="tx1"/>
            </w14:solidFill>
          </w14:textFill>
        </w:rPr>
        <w:t>总价应当</w:t>
      </w:r>
      <w:r>
        <w:rPr>
          <w:rFonts w:hint="eastAsia" w:cs="宋体"/>
          <w:color w:val="000000" w:themeColor="text1"/>
          <w:highlight w:val="white"/>
          <w14:textFill>
            <w14:solidFill>
              <w14:schemeClr w14:val="tx1"/>
            </w14:solidFill>
          </w14:textFill>
        </w:rPr>
        <w:t>与分部分项工程和单价措施项目费用</w:t>
      </w:r>
      <w:r>
        <w:rPr>
          <w:rFonts w:hint="eastAsia" w:cs="宋体"/>
          <w:color w:val="000000" w:themeColor="text1"/>
          <w:highlight w:val="white"/>
          <w:lang w:eastAsia="zh-CN"/>
          <w14:textFill>
            <w14:solidFill>
              <w14:schemeClr w14:val="tx1"/>
            </w14:solidFill>
          </w14:textFill>
        </w:rPr>
        <w:t>、总价措施项目费、其他项目费</w:t>
      </w:r>
      <w:r>
        <w:rPr>
          <w:rFonts w:hint="eastAsia" w:cs="宋体"/>
          <w:color w:val="000000" w:themeColor="text1"/>
          <w:highlight w:val="white"/>
          <w14:textFill>
            <w14:solidFill>
              <w14:schemeClr w14:val="tx1"/>
            </w14:solidFill>
          </w14:textFill>
        </w:rPr>
        <w:t>的合计金额一致</w:t>
      </w:r>
      <w:r>
        <w:rPr>
          <w:rFonts w:hint="eastAsia" w:cs="宋体"/>
          <w:color w:val="000000" w:themeColor="text1"/>
          <w:highlight w:val="none"/>
          <w14:textFill>
            <w14:solidFill>
              <w14:schemeClr w14:val="tx1"/>
            </w14:solidFill>
          </w14:textFill>
        </w:rPr>
        <w:t>。</w:t>
      </w:r>
    </w:p>
    <w:p w14:paraId="33857150">
      <w:pPr>
        <w:pageBreakBefore w:val="0"/>
        <w:widowControl w:val="0"/>
        <w:kinsoku/>
        <w:wordWrap/>
        <w:overflowPunct/>
        <w:topLinePunct w:val="0"/>
        <w:autoSpaceDE/>
        <w:autoSpaceDN/>
        <w:bidi w:val="0"/>
        <w:adjustRightInd/>
        <w:snapToGrid/>
        <w:spacing w:line="360" w:lineRule="auto"/>
        <w:ind w:firstLine="420" w:firstLineChars="200"/>
        <w:textAlignment w:val="auto"/>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3.1</w:t>
      </w:r>
      <w:r>
        <w:rPr>
          <w:rFonts w:hint="eastAsia"/>
          <w:color w:val="000000" w:themeColor="text1"/>
          <w:highlight w:val="none"/>
          <w14:textFill>
            <w14:solidFill>
              <w14:schemeClr w14:val="tx1"/>
            </w14:solidFill>
          </w14:textFill>
        </w:rPr>
        <w:t>0</w:t>
      </w:r>
      <w:r>
        <w:rPr>
          <w:color w:val="000000" w:themeColor="text1"/>
          <w:highlight w:val="none"/>
          <w14:textFill>
            <w14:solidFill>
              <w14:schemeClr w14:val="tx1"/>
            </w14:solidFill>
          </w14:textFill>
        </w:rPr>
        <w:t xml:space="preserve"> </w:t>
      </w:r>
      <w:r>
        <w:rPr>
          <w:rFonts w:hint="eastAsia" w:cs="宋体"/>
          <w:color w:val="000000" w:themeColor="text1"/>
          <w:highlight w:val="none"/>
          <w14:textFill>
            <w14:solidFill>
              <w14:schemeClr w14:val="tx1"/>
            </w14:solidFill>
          </w14:textFill>
        </w:rPr>
        <w:t>供应商应按《承包人提供的主要材料和设备一览表》的内容填报，不得擅自调整材料和设备名称型号规格。</w:t>
      </w:r>
    </w:p>
    <w:p w14:paraId="44C165E7">
      <w:pPr>
        <w:pageBreakBefore w:val="0"/>
        <w:widowControl w:val="0"/>
        <w:kinsoku/>
        <w:wordWrap/>
        <w:overflowPunct/>
        <w:topLinePunct w:val="0"/>
        <w:autoSpaceDE/>
        <w:autoSpaceDN/>
        <w:bidi w:val="0"/>
        <w:adjustRightInd/>
        <w:snapToGrid/>
        <w:spacing w:line="360" w:lineRule="auto"/>
        <w:ind w:firstLine="420" w:firstLineChars="200"/>
        <w:textAlignment w:val="auto"/>
        <w:rPr>
          <w:rFonts w:hAnsi="宋体"/>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3.1</w:t>
      </w:r>
      <w:r>
        <w:rPr>
          <w:rFonts w:hint="eastAsia"/>
          <w:color w:val="000000" w:themeColor="text1"/>
          <w:highlight w:val="none"/>
          <w14:textFill>
            <w14:solidFill>
              <w14:schemeClr w14:val="tx1"/>
            </w14:solidFill>
          </w14:textFill>
        </w:rPr>
        <w:t>1</w:t>
      </w:r>
      <w:r>
        <w:rPr>
          <w:rFonts w:hint="eastAsia" w:hAnsi="宋体" w:cs="宋体"/>
          <w:color w:val="000000" w:themeColor="text1"/>
          <w:kern w:val="0"/>
          <w:szCs w:val="21"/>
          <w:highlight w:val="none"/>
          <w:lang w:eastAsia="zh-CN"/>
          <w14:textFill>
            <w14:solidFill>
              <w14:schemeClr w14:val="tx1"/>
            </w14:solidFill>
          </w14:textFill>
        </w:rPr>
        <w:t>响应</w:t>
      </w:r>
      <w:r>
        <w:rPr>
          <w:rFonts w:hint="eastAsia" w:hAnsi="宋体" w:cs="宋体"/>
          <w:color w:val="000000" w:themeColor="text1"/>
          <w:highlight w:val="none"/>
          <w14:textFill>
            <w14:solidFill>
              <w14:schemeClr w14:val="tx1"/>
            </w14:solidFill>
          </w14:textFill>
        </w:rPr>
        <w:t>报价</w:t>
      </w:r>
      <w:r>
        <w:rPr>
          <w:rFonts w:hint="eastAsia" w:cs="宋体"/>
          <w:color w:val="000000" w:themeColor="text1"/>
          <w:highlight w:val="none"/>
          <w14:textFill>
            <w14:solidFill>
              <w14:schemeClr w14:val="tx1"/>
            </w14:solidFill>
          </w14:textFill>
        </w:rPr>
        <w:t>表格按本工程工程量清单表格要求填写，并</w:t>
      </w:r>
      <w:r>
        <w:rPr>
          <w:rFonts w:hint="eastAsia" w:hAnsi="宋体" w:cs="宋体"/>
          <w:color w:val="000000" w:themeColor="text1"/>
          <w:highlight w:val="none"/>
          <w14:textFill>
            <w14:solidFill>
              <w14:schemeClr w14:val="tx1"/>
            </w14:solidFill>
          </w14:textFill>
        </w:rPr>
        <w:t>应按</w:t>
      </w:r>
      <w:r>
        <w:rPr>
          <w:rFonts w:hint="eastAsia" w:hAnsi="宋体" w:cs="宋体"/>
          <w:color w:val="000000" w:themeColor="text1"/>
          <w:szCs w:val="21"/>
          <w:highlight w:val="none"/>
          <w14:textFill>
            <w14:solidFill>
              <w14:schemeClr w14:val="tx1"/>
            </w14:solidFill>
          </w14:textFill>
        </w:rPr>
        <w:t>竞争性磋商采购</w:t>
      </w:r>
      <w:r>
        <w:rPr>
          <w:rFonts w:hint="eastAsia" w:hAnsi="宋体" w:cs="宋体"/>
          <w:color w:val="000000" w:themeColor="text1"/>
          <w:highlight w:val="none"/>
          <w14:textFill>
            <w14:solidFill>
              <w14:schemeClr w14:val="tx1"/>
            </w14:solidFill>
          </w14:textFill>
        </w:rPr>
        <w:t>文件的要求，附上《工程量清单综合单价分析表》（表</w:t>
      </w:r>
      <w:r>
        <w:rPr>
          <w:color w:val="000000" w:themeColor="text1"/>
          <w:highlight w:val="none"/>
          <w14:textFill>
            <w14:solidFill>
              <w14:schemeClr w14:val="tx1"/>
            </w14:solidFill>
          </w14:textFill>
        </w:rPr>
        <w:t>-09</w:t>
      </w:r>
      <w:r>
        <w:rPr>
          <w:rFonts w:hint="eastAsia" w:hAnsi="宋体" w:cs="宋体"/>
          <w:color w:val="000000" w:themeColor="text1"/>
          <w:highlight w:val="none"/>
          <w14:textFill>
            <w14:solidFill>
              <w14:schemeClr w14:val="tx1"/>
            </w14:solidFill>
          </w14:textFill>
        </w:rPr>
        <w:t>）。</w:t>
      </w:r>
    </w:p>
    <w:p w14:paraId="022020B2">
      <w:pPr>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b/>
          <w:bCs/>
          <w:color w:val="000000" w:themeColor="text1"/>
          <w:szCs w:val="21"/>
          <w:highlight w:val="none"/>
          <w14:textFill>
            <w14:solidFill>
              <w14:schemeClr w14:val="tx1"/>
            </w14:solidFill>
          </w14:textFill>
        </w:rPr>
      </w:pPr>
      <w:r>
        <w:rPr>
          <w:rFonts w:hint="eastAsia" w:cs="宋体"/>
          <w:color w:val="000000" w:themeColor="text1"/>
          <w:highlight w:val="none"/>
          <w14:textFill>
            <w14:solidFill>
              <w14:schemeClr w14:val="tx1"/>
            </w14:solidFill>
          </w14:textFill>
        </w:rPr>
        <w:t>未尽事宜详见本项目工程量清单、招标控制价编制说明以及现行《计价规范》等有关规定执行。</w:t>
      </w:r>
    </w:p>
    <w:p w14:paraId="354ADECA">
      <w:pPr>
        <w:pStyle w:val="4"/>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color w:val="000000" w:themeColor="text1"/>
          <w:sz w:val="21"/>
          <w:szCs w:val="21"/>
          <w:highlight w:val="none"/>
          <w:lang w:val="en-US" w:eastAsia="zh-CN"/>
          <w14:textFill>
            <w14:solidFill>
              <w14:schemeClr w14:val="tx1"/>
            </w14:solidFill>
          </w14:textFill>
        </w:rPr>
      </w:pPr>
      <w:bookmarkStart w:id="1398" w:name="_Toc5855"/>
      <w:r>
        <w:rPr>
          <w:rFonts w:hint="eastAsia" w:ascii="Times New Roman" w:hAnsi="Times New Roman"/>
          <w:color w:val="000000" w:themeColor="text1"/>
          <w:sz w:val="21"/>
          <w:szCs w:val="21"/>
          <w:highlight w:val="none"/>
          <w:lang w:val="en-US" w:eastAsia="zh-CN"/>
          <w14:textFill>
            <w14:solidFill>
              <w14:schemeClr w14:val="tx1"/>
            </w14:solidFill>
          </w14:textFill>
        </w:rPr>
        <w:t>4工程量清单、图纸获取</w:t>
      </w:r>
      <w:bookmarkEnd w:id="1398"/>
    </w:p>
    <w:p w14:paraId="1AC6648E">
      <w:pPr>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cs="宋体"/>
          <w:color w:val="000000" w:themeColor="text1"/>
          <w:highlight w:val="none"/>
          <w14:textFill>
            <w14:solidFill>
              <w14:schemeClr w14:val="tx1"/>
            </w14:solidFill>
          </w14:textFill>
        </w:rPr>
      </w:pPr>
      <w:r>
        <w:rPr>
          <w:rFonts w:hint="eastAsia" w:cs="宋体"/>
          <w:color w:val="000000" w:themeColor="text1"/>
          <w:highlight w:val="none"/>
          <w14:textFill>
            <w14:solidFill>
              <w14:schemeClr w14:val="tx1"/>
            </w14:solidFill>
          </w14:textFill>
        </w:rPr>
        <w:t>4.1获取方式：</w:t>
      </w:r>
      <w:r>
        <w:rPr>
          <w:rFonts w:cs="宋体"/>
          <w:color w:val="000000" w:themeColor="text1"/>
          <w:highlight w:val="none"/>
          <w14:textFill>
            <w14:solidFill>
              <w14:schemeClr w14:val="tx1"/>
            </w14:solidFill>
          </w14:textFill>
        </w:rPr>
        <w:t>网上下载。本项目不发放</w:t>
      </w:r>
      <w:r>
        <w:rPr>
          <w:rFonts w:hint="eastAsia" w:cs="宋体"/>
          <w:color w:val="000000" w:themeColor="text1"/>
          <w:highlight w:val="none"/>
          <w:lang w:eastAsia="zh-CN"/>
          <w14:textFill>
            <w14:solidFill>
              <w14:schemeClr w14:val="tx1"/>
            </w14:solidFill>
          </w14:textFill>
        </w:rPr>
        <w:t>纸质</w:t>
      </w:r>
      <w:r>
        <w:rPr>
          <w:rFonts w:hint="eastAsia" w:cs="宋体"/>
          <w:color w:val="000000" w:themeColor="text1"/>
          <w:highlight w:val="none"/>
          <w14:textFill>
            <w14:solidFill>
              <w14:schemeClr w14:val="tx1"/>
            </w14:solidFill>
          </w14:textFill>
        </w:rPr>
        <w:t>工程量清单及图纸</w:t>
      </w:r>
      <w:r>
        <w:rPr>
          <w:rFonts w:cs="宋体"/>
          <w:color w:val="000000" w:themeColor="text1"/>
          <w:highlight w:val="none"/>
          <w14:textFill>
            <w14:solidFill>
              <w14:schemeClr w14:val="tx1"/>
            </w14:solidFill>
          </w14:textFill>
        </w:rPr>
        <w:t>，</w:t>
      </w:r>
      <w:r>
        <w:rPr>
          <w:rFonts w:hint="eastAsia" w:cs="宋体"/>
          <w:color w:val="000000" w:themeColor="text1"/>
          <w:highlight w:val="none"/>
          <w14:textFill>
            <w14:solidFill>
              <w14:schemeClr w14:val="tx1"/>
            </w14:solidFill>
          </w14:textFill>
        </w:rPr>
        <w:t>由</w:t>
      </w:r>
      <w:r>
        <w:rPr>
          <w:rFonts w:cs="宋体"/>
          <w:color w:val="000000" w:themeColor="text1"/>
          <w:highlight w:val="none"/>
          <w14:textFill>
            <w14:solidFill>
              <w14:schemeClr w14:val="tx1"/>
            </w14:solidFill>
          </w14:textFill>
        </w:rPr>
        <w:t>潜在供应商自行在</w:t>
      </w:r>
      <w:r>
        <w:rPr>
          <w:rFonts w:hint="eastAsia" w:ascii="宋体" w:hAnsi="宋体" w:cs="宋体"/>
          <w:b w:val="0"/>
          <w:bCs w:val="0"/>
          <w:color w:val="000000" w:themeColor="text1"/>
          <w:sz w:val="21"/>
          <w:szCs w:val="21"/>
          <w:highlight w:val="none"/>
          <w:lang w:val="en-US" w:eastAsia="zh-CN"/>
          <w14:textFill>
            <w14:solidFill>
              <w14:schemeClr w14:val="tx1"/>
            </w14:solidFill>
          </w14:textFill>
        </w:rPr>
        <w:t>广西政府采购云平台（https://www.gcy.zfcg.gxzf.gov.cn/）</w:t>
      </w:r>
      <w:r>
        <w:rPr>
          <w:rFonts w:hint="eastAsia" w:cs="宋体"/>
          <w:color w:val="000000" w:themeColor="text1"/>
          <w:highlight w:val="none"/>
          <w14:textFill>
            <w14:solidFill>
              <w14:schemeClr w14:val="tx1"/>
            </w14:solidFill>
          </w14:textFill>
        </w:rPr>
        <w:t>下载</w:t>
      </w:r>
      <w:r>
        <w:rPr>
          <w:rFonts w:hint="eastAsia" w:cs="宋体"/>
          <w:color w:val="000000" w:themeColor="text1"/>
          <w:highlight w:val="none"/>
          <w:lang w:eastAsia="zh-CN"/>
          <w14:textFill>
            <w14:solidFill>
              <w14:schemeClr w14:val="tx1"/>
            </w14:solidFill>
          </w14:textFill>
        </w:rPr>
        <w:t>电子版</w:t>
      </w:r>
      <w:r>
        <w:rPr>
          <w:rFonts w:hint="eastAsia" w:cs="宋体"/>
          <w:color w:val="000000" w:themeColor="text1"/>
          <w:highlight w:val="none"/>
          <w14:textFill>
            <w14:solidFill>
              <w14:schemeClr w14:val="tx1"/>
            </w14:solidFill>
          </w14:textFill>
        </w:rPr>
        <w:t>。</w:t>
      </w:r>
    </w:p>
    <w:p w14:paraId="236AD5A7">
      <w:pPr>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cs="宋体"/>
          <w:color w:val="000000" w:themeColor="text1"/>
          <w:highlight w:val="none"/>
          <w14:textFill>
            <w14:solidFill>
              <w14:schemeClr w14:val="tx1"/>
            </w14:solidFill>
          </w14:textFill>
        </w:rPr>
      </w:pPr>
    </w:p>
    <w:p w14:paraId="57EC2333">
      <w:pPr>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cs="宋体"/>
          <w:color w:val="000000" w:themeColor="text1"/>
          <w:highlight w:val="none"/>
          <w14:textFill>
            <w14:solidFill>
              <w14:schemeClr w14:val="tx1"/>
            </w14:solidFill>
          </w14:textFill>
        </w:rPr>
      </w:pPr>
    </w:p>
    <w:p w14:paraId="037A31E8">
      <w:pPr>
        <w:rPr>
          <w:rFonts w:hint="eastAsia" w:ascii="华文中宋" w:hAnsi="华文中宋" w:eastAsia="华文中宋" w:cs="华文中宋"/>
          <w:color w:val="000000" w:themeColor="text1"/>
          <w:sz w:val="32"/>
          <w:szCs w:val="32"/>
          <w14:textFill>
            <w14:solidFill>
              <w14:schemeClr w14:val="tx1"/>
            </w14:solidFill>
          </w14:textFill>
        </w:rPr>
      </w:pPr>
      <w:bookmarkStart w:id="1399" w:name="_Toc28283"/>
      <w:bookmarkStart w:id="1400" w:name="_Toc8963"/>
      <w:bookmarkStart w:id="1401" w:name="_Toc20915"/>
      <w:bookmarkStart w:id="1402" w:name="_Toc29624"/>
      <w:bookmarkStart w:id="1403" w:name="_Toc178"/>
      <w:bookmarkStart w:id="1404" w:name="_Toc18783"/>
      <w:bookmarkStart w:id="1405" w:name="_Toc15423"/>
      <w:bookmarkStart w:id="1406" w:name="_Toc80886951"/>
      <w:r>
        <w:rPr>
          <w:rFonts w:hint="eastAsia" w:ascii="华文中宋" w:hAnsi="华文中宋" w:eastAsia="华文中宋" w:cs="华文中宋"/>
          <w:color w:val="000000" w:themeColor="text1"/>
          <w:sz w:val="32"/>
          <w:szCs w:val="32"/>
          <w:lang w:val="en-US" w:eastAsia="zh-CN"/>
          <w14:textFill>
            <w14:solidFill>
              <w14:schemeClr w14:val="tx1"/>
            </w14:solidFill>
          </w14:textFill>
        </w:rPr>
        <w:br w:type="page"/>
      </w:r>
    </w:p>
    <w:p w14:paraId="27DC0DE2">
      <w:pPr>
        <w:keepNext w:val="0"/>
        <w:keepLines w:val="0"/>
        <w:pageBreakBefore w:val="0"/>
        <w:widowControl w:val="0"/>
        <w:numPr>
          <w:ilvl w:val="0"/>
          <w:numId w:val="5"/>
        </w:numPr>
        <w:kinsoku/>
        <w:wordWrap/>
        <w:overflowPunct/>
        <w:topLinePunct w:val="0"/>
        <w:autoSpaceDE/>
        <w:autoSpaceDN/>
        <w:bidi w:val="0"/>
        <w:adjustRightInd/>
        <w:snapToGrid/>
        <w:spacing w:line="360" w:lineRule="auto"/>
        <w:jc w:val="center"/>
        <w:textAlignment w:val="auto"/>
        <w:outlineLvl w:val="0"/>
        <w:rPr>
          <w:rFonts w:hint="eastAsia" w:ascii="华文中宋" w:hAnsi="华文中宋" w:eastAsia="华文中宋" w:cs="华文中宋"/>
          <w:color w:val="000000" w:themeColor="text1"/>
          <w:sz w:val="32"/>
          <w:szCs w:val="32"/>
          <w14:textFill>
            <w14:solidFill>
              <w14:schemeClr w14:val="tx1"/>
            </w14:solidFill>
          </w14:textFill>
        </w:rPr>
      </w:pPr>
      <w:r>
        <w:rPr>
          <w:rFonts w:hint="eastAsia" w:ascii="华文中宋" w:hAnsi="华文中宋" w:eastAsia="华文中宋" w:cs="华文中宋"/>
          <w:color w:val="000000" w:themeColor="text1"/>
          <w:sz w:val="32"/>
          <w:szCs w:val="32"/>
          <w:lang w:val="en-US" w:eastAsia="zh-CN"/>
          <w14:textFill>
            <w14:solidFill>
              <w14:schemeClr w14:val="tx1"/>
            </w14:solidFill>
          </w14:textFill>
        </w:rPr>
        <w:t xml:space="preserve"> </w:t>
      </w:r>
      <w:bookmarkStart w:id="1407" w:name="_Toc10062"/>
      <w:bookmarkStart w:id="1408" w:name="_Toc30460"/>
      <w:r>
        <w:rPr>
          <w:rFonts w:hint="eastAsia" w:ascii="华文中宋" w:hAnsi="华文中宋" w:eastAsia="华文中宋" w:cs="华文中宋"/>
          <w:color w:val="000000" w:themeColor="text1"/>
          <w:sz w:val="32"/>
          <w:szCs w:val="32"/>
          <w14:textFill>
            <w14:solidFill>
              <w14:schemeClr w14:val="tx1"/>
            </w14:solidFill>
          </w14:textFill>
        </w:rPr>
        <w:t>质疑、投诉材料格式</w:t>
      </w:r>
      <w:bookmarkEnd w:id="1399"/>
      <w:bookmarkEnd w:id="1400"/>
      <w:bookmarkEnd w:id="1401"/>
      <w:bookmarkEnd w:id="1402"/>
      <w:bookmarkEnd w:id="1403"/>
      <w:bookmarkEnd w:id="1404"/>
      <w:bookmarkEnd w:id="1405"/>
      <w:bookmarkEnd w:id="1406"/>
      <w:bookmarkEnd w:id="1407"/>
      <w:bookmarkEnd w:id="1408"/>
    </w:p>
    <w:p w14:paraId="378A52D7">
      <w:pPr>
        <w:spacing w:line="360" w:lineRule="auto"/>
        <w:jc w:val="center"/>
        <w:rPr>
          <w:rFonts w:hint="eastAsia"/>
          <w:b/>
          <w:bCs/>
          <w:color w:val="000000" w:themeColor="text1"/>
          <w:sz w:val="32"/>
          <w:szCs w:val="32"/>
          <w:highlight w:val="none"/>
          <w14:textFill>
            <w14:solidFill>
              <w14:schemeClr w14:val="tx1"/>
            </w14:solidFill>
          </w14:textFill>
        </w:rPr>
      </w:pPr>
      <w:r>
        <w:rPr>
          <w:rFonts w:hint="eastAsia"/>
          <w:b/>
          <w:bCs/>
          <w:color w:val="000000" w:themeColor="text1"/>
          <w:sz w:val="32"/>
          <w:szCs w:val="32"/>
          <w:highlight w:val="none"/>
          <w14:textFill>
            <w14:solidFill>
              <w14:schemeClr w14:val="tx1"/>
            </w14:solidFill>
          </w14:textFill>
        </w:rPr>
        <w:t>质疑函（格式）</w:t>
      </w:r>
    </w:p>
    <w:p w14:paraId="7B056035">
      <w:pPr>
        <w:spacing w:line="360" w:lineRule="auto"/>
        <w:ind w:firstLine="482" w:firstLineChars="200"/>
        <w:contextualSpacing/>
        <w:rPr>
          <w:rFonts w:hint="eastAsia" w:ascii="宋体" w:hAnsi="宋体" w:cs="宋体"/>
          <w:b/>
          <w:bCs/>
          <w:color w:val="000000" w:themeColor="text1"/>
          <w:kern w:val="0"/>
          <w:szCs w:val="21"/>
          <w:highlight w:val="none"/>
          <w14:textFill>
            <w14:solidFill>
              <w14:schemeClr w14:val="tx1"/>
            </w14:solidFill>
          </w14:textFill>
        </w:rPr>
      </w:pPr>
      <w:r>
        <w:rPr>
          <w:rFonts w:hint="eastAsia" w:ascii="宋体" w:hAnsi="宋体" w:cs="宋体"/>
          <w:b/>
          <w:bCs/>
          <w:color w:val="000000" w:themeColor="text1"/>
          <w:kern w:val="0"/>
          <w:sz w:val="24"/>
          <w:highlight w:val="none"/>
          <w14:textFill>
            <w14:solidFill>
              <w14:schemeClr w14:val="tx1"/>
            </w14:solidFill>
          </w14:textFill>
        </w:rPr>
        <w:t>一</w:t>
      </w:r>
      <w:r>
        <w:rPr>
          <w:rFonts w:hint="eastAsia" w:ascii="宋体" w:hAnsi="宋体" w:cs="宋体"/>
          <w:b/>
          <w:bCs/>
          <w:color w:val="000000" w:themeColor="text1"/>
          <w:kern w:val="0"/>
          <w:szCs w:val="21"/>
          <w:highlight w:val="none"/>
          <w14:textFill>
            <w14:solidFill>
              <w14:schemeClr w14:val="tx1"/>
            </w14:solidFill>
          </w14:textFill>
        </w:rPr>
        <w:t>、质疑供应商基本信息：</w:t>
      </w:r>
    </w:p>
    <w:p w14:paraId="1272CAF4">
      <w:pPr>
        <w:spacing w:line="360" w:lineRule="auto"/>
        <w:ind w:firstLine="420" w:firstLineChars="200"/>
        <w:contextualSpacing/>
        <w:rPr>
          <w:rFonts w:hint="eastAsia" w:ascii="宋体" w:hAnsi="宋体" w:cs="宋体"/>
          <w:bCs/>
          <w:color w:val="000000" w:themeColor="text1"/>
          <w:kern w:val="0"/>
          <w:szCs w:val="21"/>
          <w:highlight w:val="none"/>
          <w:u w:val="single"/>
          <w14:textFill>
            <w14:solidFill>
              <w14:schemeClr w14:val="tx1"/>
            </w14:solidFill>
          </w14:textFill>
        </w:rPr>
      </w:pPr>
      <w:r>
        <w:rPr>
          <w:rFonts w:hint="eastAsia" w:ascii="宋体" w:hAnsi="宋体" w:cs="宋体"/>
          <w:bCs/>
          <w:color w:val="000000" w:themeColor="text1"/>
          <w:kern w:val="0"/>
          <w:szCs w:val="21"/>
          <w:highlight w:val="none"/>
          <w14:textFill>
            <w14:solidFill>
              <w14:schemeClr w14:val="tx1"/>
            </w14:solidFill>
          </w14:textFill>
        </w:rPr>
        <w:t>质疑供应商：</w:t>
      </w:r>
      <w:r>
        <w:rPr>
          <w:rFonts w:hint="eastAsia" w:ascii="宋体" w:hAnsi="宋体" w:cs="宋体"/>
          <w:bCs/>
          <w:color w:val="000000" w:themeColor="text1"/>
          <w:kern w:val="0"/>
          <w:szCs w:val="21"/>
          <w:highlight w:val="none"/>
          <w:u w:val="single"/>
          <w14:textFill>
            <w14:solidFill>
              <w14:schemeClr w14:val="tx1"/>
            </w14:solidFill>
          </w14:textFill>
        </w:rPr>
        <w:t xml:space="preserve">                                                  </w:t>
      </w:r>
      <w:r>
        <w:rPr>
          <w:rFonts w:hint="eastAsia" w:ascii="宋体" w:hAnsi="宋体" w:cs="宋体"/>
          <w:bCs/>
          <w:color w:val="000000" w:themeColor="text1"/>
          <w:kern w:val="0"/>
          <w:szCs w:val="21"/>
          <w:highlight w:val="none"/>
          <w:u w:val="single"/>
          <w:lang w:val="en-US" w:eastAsia="zh-CN"/>
          <w14:textFill>
            <w14:solidFill>
              <w14:schemeClr w14:val="tx1"/>
            </w14:solidFill>
          </w14:textFill>
        </w:rPr>
        <w:t xml:space="preserve">    </w:t>
      </w:r>
      <w:r>
        <w:rPr>
          <w:rFonts w:hint="eastAsia" w:ascii="宋体" w:hAnsi="宋体" w:cs="宋体"/>
          <w:bCs/>
          <w:color w:val="000000" w:themeColor="text1"/>
          <w:kern w:val="0"/>
          <w:szCs w:val="21"/>
          <w:highlight w:val="none"/>
          <w:u w:val="single"/>
          <w14:textFill>
            <w14:solidFill>
              <w14:schemeClr w14:val="tx1"/>
            </w14:solidFill>
          </w14:textFill>
        </w:rPr>
        <w:t xml:space="preserve">      </w:t>
      </w:r>
    </w:p>
    <w:p w14:paraId="7E4F9EFA">
      <w:pPr>
        <w:spacing w:line="360" w:lineRule="auto"/>
        <w:ind w:firstLine="420" w:firstLineChars="200"/>
        <w:contextualSpacing/>
        <w:rPr>
          <w:rFonts w:hint="eastAsia" w:ascii="宋体" w:hAnsi="宋体" w:cs="宋体"/>
          <w:bCs/>
          <w:color w:val="000000" w:themeColor="text1"/>
          <w:kern w:val="0"/>
          <w:szCs w:val="21"/>
          <w:highlight w:val="none"/>
          <w14:textFill>
            <w14:solidFill>
              <w14:schemeClr w14:val="tx1"/>
            </w14:solidFill>
          </w14:textFill>
        </w:rPr>
      </w:pPr>
      <w:r>
        <w:rPr>
          <w:rFonts w:hint="eastAsia" w:ascii="宋体" w:hAnsi="宋体" w:cs="宋体"/>
          <w:bCs/>
          <w:color w:val="000000" w:themeColor="text1"/>
          <w:kern w:val="0"/>
          <w:szCs w:val="21"/>
          <w:highlight w:val="none"/>
          <w14:textFill>
            <w14:solidFill>
              <w14:schemeClr w14:val="tx1"/>
            </w14:solidFill>
          </w14:textFill>
        </w:rPr>
        <w:t>地址：</w:t>
      </w:r>
      <w:r>
        <w:rPr>
          <w:rFonts w:hint="eastAsia" w:ascii="宋体" w:hAnsi="宋体" w:cs="宋体"/>
          <w:bCs/>
          <w:color w:val="000000" w:themeColor="text1"/>
          <w:kern w:val="0"/>
          <w:szCs w:val="21"/>
          <w:highlight w:val="none"/>
          <w:u w:val="single"/>
          <w14:textFill>
            <w14:solidFill>
              <w14:schemeClr w14:val="tx1"/>
            </w14:solidFill>
          </w14:textFill>
        </w:rPr>
        <w:t xml:space="preserve">                                          </w:t>
      </w:r>
      <w:r>
        <w:rPr>
          <w:rFonts w:hint="eastAsia" w:ascii="宋体" w:hAnsi="宋体" w:cs="宋体"/>
          <w:bCs/>
          <w:color w:val="000000" w:themeColor="text1"/>
          <w:kern w:val="0"/>
          <w:szCs w:val="21"/>
          <w:highlight w:val="none"/>
          <w14:textFill>
            <w14:solidFill>
              <w14:schemeClr w14:val="tx1"/>
            </w14:solidFill>
          </w14:textFill>
        </w:rPr>
        <w:t>邮编：</w:t>
      </w:r>
      <w:r>
        <w:rPr>
          <w:rFonts w:hint="eastAsia" w:ascii="宋体" w:hAnsi="宋体" w:cs="宋体"/>
          <w:bCs/>
          <w:color w:val="000000" w:themeColor="text1"/>
          <w:kern w:val="0"/>
          <w:szCs w:val="21"/>
          <w:highlight w:val="none"/>
          <w:u w:val="single"/>
          <w14:textFill>
            <w14:solidFill>
              <w14:schemeClr w14:val="tx1"/>
            </w14:solidFill>
          </w14:textFill>
        </w:rPr>
        <w:t xml:space="preserve">                  </w:t>
      </w:r>
    </w:p>
    <w:p w14:paraId="3962E9C5">
      <w:pPr>
        <w:spacing w:line="360" w:lineRule="auto"/>
        <w:ind w:firstLine="420" w:firstLineChars="200"/>
        <w:contextualSpacing/>
        <w:rPr>
          <w:rFonts w:hint="eastAsia" w:ascii="宋体" w:hAnsi="宋体" w:cs="宋体"/>
          <w:bCs/>
          <w:color w:val="000000" w:themeColor="text1"/>
          <w:kern w:val="0"/>
          <w:szCs w:val="21"/>
          <w:highlight w:val="none"/>
          <w14:textFill>
            <w14:solidFill>
              <w14:schemeClr w14:val="tx1"/>
            </w14:solidFill>
          </w14:textFill>
        </w:rPr>
      </w:pPr>
      <w:r>
        <w:rPr>
          <w:rFonts w:hint="eastAsia" w:ascii="宋体" w:hAnsi="宋体" w:cs="宋体"/>
          <w:bCs/>
          <w:color w:val="000000" w:themeColor="text1"/>
          <w:kern w:val="0"/>
          <w:szCs w:val="21"/>
          <w:highlight w:val="none"/>
          <w14:textFill>
            <w14:solidFill>
              <w14:schemeClr w14:val="tx1"/>
            </w14:solidFill>
          </w14:textFill>
        </w:rPr>
        <w:t>联系人：</w:t>
      </w:r>
      <w:r>
        <w:rPr>
          <w:rFonts w:hint="eastAsia" w:ascii="宋体" w:hAnsi="宋体" w:cs="宋体"/>
          <w:bCs/>
          <w:color w:val="000000" w:themeColor="text1"/>
          <w:kern w:val="0"/>
          <w:szCs w:val="21"/>
          <w:highlight w:val="none"/>
          <w:u w:val="single"/>
          <w14:textFill>
            <w14:solidFill>
              <w14:schemeClr w14:val="tx1"/>
            </w14:solidFill>
          </w14:textFill>
        </w:rPr>
        <w:t xml:space="preserve">                     </w:t>
      </w:r>
      <w:r>
        <w:rPr>
          <w:rFonts w:hint="eastAsia" w:ascii="宋体" w:hAnsi="宋体" w:cs="宋体"/>
          <w:bCs/>
          <w:color w:val="000000" w:themeColor="text1"/>
          <w:kern w:val="0"/>
          <w:szCs w:val="21"/>
          <w:highlight w:val="none"/>
          <w14:textFill>
            <w14:solidFill>
              <w14:schemeClr w14:val="tx1"/>
            </w14:solidFill>
          </w14:textFill>
        </w:rPr>
        <w:t>联系电话：</w:t>
      </w:r>
      <w:r>
        <w:rPr>
          <w:rFonts w:hint="eastAsia" w:ascii="宋体" w:hAnsi="宋体" w:cs="宋体"/>
          <w:bCs/>
          <w:color w:val="000000" w:themeColor="text1"/>
          <w:kern w:val="0"/>
          <w:szCs w:val="21"/>
          <w:highlight w:val="none"/>
          <w:u w:val="single"/>
          <w14:textFill>
            <w14:solidFill>
              <w14:schemeClr w14:val="tx1"/>
            </w14:solidFill>
          </w14:textFill>
        </w:rPr>
        <w:t xml:space="preserve">                 </w:t>
      </w:r>
    </w:p>
    <w:p w14:paraId="3A7C22FA">
      <w:pPr>
        <w:spacing w:line="360" w:lineRule="auto"/>
        <w:ind w:firstLine="420" w:firstLineChars="200"/>
        <w:contextualSpacing/>
        <w:rPr>
          <w:rFonts w:hint="eastAsia" w:ascii="宋体" w:hAnsi="宋体" w:cs="宋体"/>
          <w:bCs/>
          <w:color w:val="000000" w:themeColor="text1"/>
          <w:kern w:val="0"/>
          <w:szCs w:val="21"/>
          <w:highlight w:val="none"/>
          <w14:textFill>
            <w14:solidFill>
              <w14:schemeClr w14:val="tx1"/>
            </w14:solidFill>
          </w14:textFill>
        </w:rPr>
      </w:pPr>
      <w:r>
        <w:rPr>
          <w:rFonts w:hint="eastAsia" w:ascii="宋体" w:hAnsi="宋体" w:cs="宋体"/>
          <w:bCs/>
          <w:color w:val="000000" w:themeColor="text1"/>
          <w:kern w:val="0"/>
          <w:szCs w:val="21"/>
          <w:highlight w:val="none"/>
          <w14:textFill>
            <w14:solidFill>
              <w14:schemeClr w14:val="tx1"/>
            </w14:solidFill>
          </w14:textFill>
        </w:rPr>
        <w:t>授权代表：</w:t>
      </w:r>
      <w:r>
        <w:rPr>
          <w:rFonts w:hint="eastAsia" w:ascii="宋体" w:hAnsi="宋体" w:cs="宋体"/>
          <w:bCs/>
          <w:color w:val="000000" w:themeColor="text1"/>
          <w:kern w:val="0"/>
          <w:szCs w:val="21"/>
          <w:highlight w:val="none"/>
          <w:u w:val="single"/>
          <w14:textFill>
            <w14:solidFill>
              <w14:schemeClr w14:val="tx1"/>
            </w14:solidFill>
          </w14:textFill>
        </w:rPr>
        <w:t xml:space="preserve">                      </w:t>
      </w:r>
    </w:p>
    <w:p w14:paraId="2C8065BB">
      <w:pPr>
        <w:spacing w:line="360" w:lineRule="auto"/>
        <w:ind w:firstLine="420" w:firstLineChars="200"/>
        <w:contextualSpacing/>
        <w:rPr>
          <w:rFonts w:hint="eastAsia" w:ascii="宋体" w:hAnsi="宋体" w:cs="宋体"/>
          <w:bCs/>
          <w:color w:val="000000" w:themeColor="text1"/>
          <w:kern w:val="0"/>
          <w:szCs w:val="21"/>
          <w:highlight w:val="none"/>
          <w:u w:val="single"/>
          <w14:textFill>
            <w14:solidFill>
              <w14:schemeClr w14:val="tx1"/>
            </w14:solidFill>
          </w14:textFill>
        </w:rPr>
      </w:pPr>
      <w:r>
        <w:rPr>
          <w:rFonts w:hint="eastAsia" w:ascii="宋体" w:hAnsi="宋体" w:cs="宋体"/>
          <w:bCs/>
          <w:color w:val="000000" w:themeColor="text1"/>
          <w:kern w:val="0"/>
          <w:szCs w:val="21"/>
          <w:highlight w:val="none"/>
          <w14:textFill>
            <w14:solidFill>
              <w14:schemeClr w14:val="tx1"/>
            </w14:solidFill>
          </w14:textFill>
        </w:rPr>
        <w:t>联系电话：</w:t>
      </w:r>
      <w:r>
        <w:rPr>
          <w:rFonts w:hint="eastAsia" w:ascii="宋体" w:hAnsi="宋体" w:cs="宋体"/>
          <w:bCs/>
          <w:color w:val="000000" w:themeColor="text1"/>
          <w:kern w:val="0"/>
          <w:szCs w:val="21"/>
          <w:highlight w:val="none"/>
          <w:u w:val="single"/>
          <w14:textFill>
            <w14:solidFill>
              <w14:schemeClr w14:val="tx1"/>
            </w14:solidFill>
          </w14:textFill>
        </w:rPr>
        <w:t xml:space="preserve">                      </w:t>
      </w:r>
    </w:p>
    <w:p w14:paraId="74C3F30F">
      <w:pPr>
        <w:spacing w:line="360" w:lineRule="auto"/>
        <w:ind w:firstLine="420" w:firstLineChars="200"/>
        <w:contextualSpacing/>
        <w:rPr>
          <w:rFonts w:hint="eastAsia" w:ascii="宋体" w:hAnsi="宋体" w:cs="宋体"/>
          <w:bCs/>
          <w:color w:val="000000" w:themeColor="text1"/>
          <w:kern w:val="0"/>
          <w:szCs w:val="21"/>
          <w:highlight w:val="none"/>
          <w14:textFill>
            <w14:solidFill>
              <w14:schemeClr w14:val="tx1"/>
            </w14:solidFill>
          </w14:textFill>
        </w:rPr>
      </w:pPr>
      <w:r>
        <w:rPr>
          <w:rFonts w:hint="eastAsia" w:ascii="宋体" w:hAnsi="宋体" w:cs="宋体"/>
          <w:bCs/>
          <w:color w:val="000000" w:themeColor="text1"/>
          <w:kern w:val="0"/>
          <w:szCs w:val="21"/>
          <w:highlight w:val="none"/>
          <w14:textFill>
            <w14:solidFill>
              <w14:schemeClr w14:val="tx1"/>
            </w14:solidFill>
          </w14:textFill>
        </w:rPr>
        <w:t>地址：</w:t>
      </w:r>
      <w:r>
        <w:rPr>
          <w:rFonts w:hint="eastAsia" w:ascii="宋体" w:hAnsi="宋体" w:cs="宋体"/>
          <w:bCs/>
          <w:color w:val="000000" w:themeColor="text1"/>
          <w:kern w:val="0"/>
          <w:szCs w:val="21"/>
          <w:highlight w:val="none"/>
          <w:u w:val="single"/>
          <w14:textFill>
            <w14:solidFill>
              <w14:schemeClr w14:val="tx1"/>
            </w14:solidFill>
          </w14:textFill>
        </w:rPr>
        <w:t xml:space="preserve">                 </w:t>
      </w:r>
      <w:r>
        <w:rPr>
          <w:rFonts w:hint="eastAsia" w:ascii="宋体" w:hAnsi="宋体" w:cs="宋体"/>
          <w:bCs/>
          <w:color w:val="000000" w:themeColor="text1"/>
          <w:kern w:val="0"/>
          <w:szCs w:val="21"/>
          <w:highlight w:val="none"/>
          <w14:textFill>
            <w14:solidFill>
              <w14:schemeClr w14:val="tx1"/>
            </w14:solidFill>
          </w14:textFill>
        </w:rPr>
        <w:t>邮编：</w:t>
      </w:r>
      <w:r>
        <w:rPr>
          <w:rFonts w:hint="eastAsia" w:ascii="宋体" w:hAnsi="宋体" w:cs="宋体"/>
          <w:bCs/>
          <w:color w:val="000000" w:themeColor="text1"/>
          <w:kern w:val="0"/>
          <w:szCs w:val="21"/>
          <w:highlight w:val="none"/>
          <w:u w:val="single"/>
          <w14:textFill>
            <w14:solidFill>
              <w14:schemeClr w14:val="tx1"/>
            </w14:solidFill>
          </w14:textFill>
        </w:rPr>
        <w:t xml:space="preserve">                  </w:t>
      </w:r>
      <w:r>
        <w:rPr>
          <w:rFonts w:hint="eastAsia" w:ascii="宋体" w:hAnsi="宋体" w:cs="宋体"/>
          <w:bCs/>
          <w:color w:val="000000" w:themeColor="text1"/>
          <w:kern w:val="0"/>
          <w:szCs w:val="21"/>
          <w:highlight w:val="none"/>
          <w14:textFill>
            <w14:solidFill>
              <w14:schemeClr w14:val="tx1"/>
            </w14:solidFill>
          </w14:textFill>
        </w:rPr>
        <w:t xml:space="preserve">     </w:t>
      </w:r>
    </w:p>
    <w:p w14:paraId="24C48A2C">
      <w:pPr>
        <w:spacing w:line="360" w:lineRule="auto"/>
        <w:ind w:firstLine="422" w:firstLineChars="200"/>
        <w:contextualSpacing/>
        <w:rPr>
          <w:rFonts w:hint="eastAsia" w:ascii="宋体" w:hAnsi="宋体" w:cs="宋体"/>
          <w:b/>
          <w:bCs/>
          <w:color w:val="000000" w:themeColor="text1"/>
          <w:kern w:val="0"/>
          <w:szCs w:val="21"/>
          <w:highlight w:val="none"/>
          <w14:textFill>
            <w14:solidFill>
              <w14:schemeClr w14:val="tx1"/>
            </w14:solidFill>
          </w14:textFill>
        </w:rPr>
      </w:pPr>
      <w:r>
        <w:rPr>
          <w:rFonts w:hint="eastAsia" w:ascii="宋体" w:hAnsi="宋体" w:cs="宋体"/>
          <w:b/>
          <w:bCs/>
          <w:color w:val="000000" w:themeColor="text1"/>
          <w:kern w:val="0"/>
          <w:szCs w:val="21"/>
          <w:highlight w:val="none"/>
          <w14:textFill>
            <w14:solidFill>
              <w14:schemeClr w14:val="tx1"/>
            </w14:solidFill>
          </w14:textFill>
        </w:rPr>
        <w:t>二、质疑项目基本情况：</w:t>
      </w:r>
    </w:p>
    <w:p w14:paraId="77D03097">
      <w:pPr>
        <w:spacing w:line="360" w:lineRule="auto"/>
        <w:ind w:left="25" w:leftChars="12" w:firstLine="413" w:firstLineChars="197"/>
        <w:contextualSpacing/>
        <w:rPr>
          <w:rFonts w:hint="eastAsia" w:ascii="宋体" w:hAnsi="宋体" w:cs="宋体"/>
          <w:color w:val="000000" w:themeColor="text1"/>
          <w:kern w:val="0"/>
          <w:szCs w:val="21"/>
          <w:highlight w:val="none"/>
          <w14:textFill>
            <w14:solidFill>
              <w14:schemeClr w14:val="tx1"/>
            </w14:solidFill>
          </w14:textFill>
        </w:rPr>
      </w:pPr>
      <w:r>
        <w:rPr>
          <w:rFonts w:hint="eastAsia" w:ascii="宋体" w:hAnsi="宋体" w:cs="宋体"/>
          <w:bCs/>
          <w:color w:val="000000" w:themeColor="text1"/>
          <w:kern w:val="0"/>
          <w:szCs w:val="21"/>
          <w:highlight w:val="none"/>
          <w14:textFill>
            <w14:solidFill>
              <w14:schemeClr w14:val="tx1"/>
            </w14:solidFill>
          </w14:textFill>
        </w:rPr>
        <w:t>质疑</w:t>
      </w:r>
      <w:r>
        <w:rPr>
          <w:rFonts w:hint="eastAsia" w:ascii="宋体" w:hAnsi="宋体" w:cs="宋体"/>
          <w:color w:val="000000" w:themeColor="text1"/>
          <w:kern w:val="0"/>
          <w:szCs w:val="21"/>
          <w:highlight w:val="none"/>
          <w14:textFill>
            <w14:solidFill>
              <w14:schemeClr w14:val="tx1"/>
            </w14:solidFill>
          </w14:textFill>
        </w:rPr>
        <w:t>项目的名称：</w:t>
      </w:r>
      <w:r>
        <w:rPr>
          <w:rFonts w:hint="eastAsia" w:ascii="宋体" w:hAnsi="宋体" w:cs="宋体"/>
          <w:bCs/>
          <w:color w:val="000000" w:themeColor="text1"/>
          <w:kern w:val="0"/>
          <w:szCs w:val="21"/>
          <w:highlight w:val="none"/>
          <w:u w:val="single"/>
          <w14:textFill>
            <w14:solidFill>
              <w14:schemeClr w14:val="tx1"/>
            </w14:solidFill>
          </w14:textFill>
        </w:rPr>
        <w:t xml:space="preserve">                                     </w:t>
      </w:r>
    </w:p>
    <w:p w14:paraId="48066DFA">
      <w:pPr>
        <w:spacing w:line="360" w:lineRule="auto"/>
        <w:ind w:left="25" w:leftChars="12" w:firstLine="413" w:firstLineChars="197"/>
        <w:contextualSpacing/>
        <w:rPr>
          <w:rFonts w:hint="eastAsia" w:ascii="宋体" w:hAnsi="宋体" w:cs="宋体"/>
          <w:color w:val="000000" w:themeColor="text1"/>
          <w:kern w:val="0"/>
          <w:szCs w:val="21"/>
          <w:highlight w:val="none"/>
          <w14:textFill>
            <w14:solidFill>
              <w14:schemeClr w14:val="tx1"/>
            </w14:solidFill>
          </w14:textFill>
        </w:rPr>
      </w:pPr>
      <w:r>
        <w:rPr>
          <w:rFonts w:hint="eastAsia" w:ascii="宋体" w:hAnsi="宋体" w:cs="宋体"/>
          <w:bCs/>
          <w:color w:val="000000" w:themeColor="text1"/>
          <w:kern w:val="0"/>
          <w:szCs w:val="21"/>
          <w:highlight w:val="none"/>
          <w14:textFill>
            <w14:solidFill>
              <w14:schemeClr w14:val="tx1"/>
            </w14:solidFill>
          </w14:textFill>
        </w:rPr>
        <w:t>质疑</w:t>
      </w:r>
      <w:r>
        <w:rPr>
          <w:rFonts w:hint="eastAsia" w:ascii="宋体" w:hAnsi="宋体" w:cs="宋体"/>
          <w:color w:val="000000" w:themeColor="text1"/>
          <w:kern w:val="0"/>
          <w:szCs w:val="21"/>
          <w:highlight w:val="none"/>
          <w14:textFill>
            <w14:solidFill>
              <w14:schemeClr w14:val="tx1"/>
            </w14:solidFill>
          </w14:textFill>
        </w:rPr>
        <w:t>项目的编号：</w:t>
      </w:r>
      <w:r>
        <w:rPr>
          <w:rFonts w:hint="eastAsia" w:ascii="宋体" w:hAnsi="宋体" w:cs="宋体"/>
          <w:bCs/>
          <w:color w:val="000000" w:themeColor="text1"/>
          <w:kern w:val="0"/>
          <w:szCs w:val="21"/>
          <w:highlight w:val="none"/>
          <w:u w:val="single"/>
          <w14:textFill>
            <w14:solidFill>
              <w14:schemeClr w14:val="tx1"/>
            </w14:solidFill>
          </w14:textFill>
        </w:rPr>
        <w:t xml:space="preserve">                                     </w:t>
      </w:r>
    </w:p>
    <w:p w14:paraId="4A8426FC">
      <w:pPr>
        <w:spacing w:line="360" w:lineRule="auto"/>
        <w:ind w:left="25" w:leftChars="12" w:firstLine="413" w:firstLineChars="197"/>
        <w:contextualSpacing/>
        <w:rPr>
          <w:rFonts w:hint="eastAsia"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采购人名称：</w:t>
      </w:r>
      <w:r>
        <w:rPr>
          <w:rFonts w:hint="eastAsia" w:ascii="宋体" w:hAnsi="宋体" w:cs="宋体"/>
          <w:bCs/>
          <w:color w:val="000000" w:themeColor="text1"/>
          <w:kern w:val="0"/>
          <w:szCs w:val="21"/>
          <w:highlight w:val="none"/>
          <w:u w:val="single"/>
          <w14:textFill>
            <w14:solidFill>
              <w14:schemeClr w14:val="tx1"/>
            </w14:solidFill>
          </w14:textFill>
        </w:rPr>
        <w:t xml:space="preserve">                                         </w:t>
      </w:r>
    </w:p>
    <w:p w14:paraId="0C29DA84">
      <w:pPr>
        <w:spacing w:line="360" w:lineRule="auto"/>
        <w:ind w:left="25" w:leftChars="12" w:firstLine="413" w:firstLineChars="197"/>
        <w:contextualSpacing/>
        <w:rPr>
          <w:rFonts w:hint="eastAsia"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质疑事项：</w:t>
      </w:r>
    </w:p>
    <w:p w14:paraId="5AEB1D9B">
      <w:pPr>
        <w:spacing w:line="360" w:lineRule="auto"/>
        <w:ind w:left="25" w:leftChars="12" w:firstLine="308" w:firstLineChars="147"/>
        <w:contextualSpacing/>
        <w:rPr>
          <w:rFonts w:hint="eastAsia"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□采购文件   采购文件获取日期：</w:t>
      </w:r>
      <w:r>
        <w:rPr>
          <w:rFonts w:hint="eastAsia" w:ascii="宋体" w:hAnsi="宋体" w:cs="宋体"/>
          <w:bCs/>
          <w:color w:val="000000" w:themeColor="text1"/>
          <w:kern w:val="0"/>
          <w:szCs w:val="21"/>
          <w:highlight w:val="none"/>
          <w:u w:val="single"/>
          <w14:textFill>
            <w14:solidFill>
              <w14:schemeClr w14:val="tx1"/>
            </w14:solidFill>
          </w14:textFill>
        </w:rPr>
        <w:t xml:space="preserve">                                   </w:t>
      </w:r>
    </w:p>
    <w:p w14:paraId="0E8703C4">
      <w:pPr>
        <w:spacing w:line="360" w:lineRule="auto"/>
        <w:ind w:left="25" w:leftChars="12" w:firstLine="308" w:firstLineChars="147"/>
        <w:contextualSpacing/>
        <w:rPr>
          <w:rFonts w:hint="eastAsia"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 xml:space="preserve">□采购过程   </w:t>
      </w:r>
    </w:p>
    <w:p w14:paraId="5C21FC2D">
      <w:pPr>
        <w:spacing w:line="360" w:lineRule="auto"/>
        <w:ind w:left="25" w:leftChars="12" w:firstLine="308" w:firstLineChars="147"/>
        <w:contextualSpacing/>
        <w:rPr>
          <w:rFonts w:hint="eastAsia" w:ascii="宋体" w:hAnsi="宋体" w:cs="宋体"/>
          <w:bCs/>
          <w:color w:val="000000" w:themeColor="text1"/>
          <w:kern w:val="0"/>
          <w:szCs w:val="21"/>
          <w:highlight w:val="none"/>
          <w:u w:val="singl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 xml:space="preserve">□成交结果   </w:t>
      </w:r>
    </w:p>
    <w:p w14:paraId="36C63234">
      <w:pPr>
        <w:spacing w:line="360" w:lineRule="auto"/>
        <w:ind w:left="25" w:leftChars="12" w:firstLine="413" w:firstLineChars="196"/>
        <w:contextualSpacing/>
        <w:rPr>
          <w:b/>
          <w:color w:val="000000" w:themeColor="text1"/>
          <w:kern w:val="0"/>
          <w:szCs w:val="21"/>
          <w:highlight w:val="none"/>
          <w14:textFill>
            <w14:solidFill>
              <w14:schemeClr w14:val="tx1"/>
            </w14:solidFill>
          </w14:textFill>
        </w:rPr>
      </w:pPr>
      <w:r>
        <w:rPr>
          <w:b/>
          <w:color w:val="000000" w:themeColor="text1"/>
          <w:kern w:val="0"/>
          <w:szCs w:val="21"/>
          <w:highlight w:val="none"/>
          <w14:textFill>
            <w14:solidFill>
              <w14:schemeClr w14:val="tx1"/>
            </w14:solidFill>
          </w14:textFill>
        </w:rPr>
        <w:t>三、质疑事项具体内容</w:t>
      </w:r>
    </w:p>
    <w:p w14:paraId="6AC0804F">
      <w:pPr>
        <w:spacing w:line="360" w:lineRule="auto"/>
        <w:ind w:left="25" w:leftChars="12" w:firstLine="413" w:firstLineChars="197"/>
        <w:contextualSpacing/>
        <w:rPr>
          <w:color w:val="000000" w:themeColor="text1"/>
          <w:kern w:val="0"/>
          <w:szCs w:val="21"/>
          <w:highlight w:val="none"/>
          <w14:textFill>
            <w14:solidFill>
              <w14:schemeClr w14:val="tx1"/>
            </w14:solidFill>
          </w14:textFill>
        </w:rPr>
      </w:pPr>
      <w:r>
        <w:rPr>
          <w:color w:val="000000" w:themeColor="text1"/>
          <w:kern w:val="0"/>
          <w:szCs w:val="21"/>
          <w:highlight w:val="none"/>
          <w14:textFill>
            <w14:solidFill>
              <w14:schemeClr w14:val="tx1"/>
            </w14:solidFill>
          </w14:textFill>
        </w:rPr>
        <w:t>质疑事项1：</w:t>
      </w:r>
      <w:r>
        <w:rPr>
          <w:bCs/>
          <w:color w:val="000000" w:themeColor="text1"/>
          <w:kern w:val="0"/>
          <w:szCs w:val="21"/>
          <w:highlight w:val="none"/>
          <w:u w:val="single"/>
          <w14:textFill>
            <w14:solidFill>
              <w14:schemeClr w14:val="tx1"/>
            </w14:solidFill>
          </w14:textFill>
        </w:rPr>
        <w:t xml:space="preserve">                                                                    </w:t>
      </w:r>
    </w:p>
    <w:p w14:paraId="20921D36">
      <w:pPr>
        <w:spacing w:line="360" w:lineRule="auto"/>
        <w:ind w:left="25" w:leftChars="12" w:firstLine="413" w:firstLineChars="197"/>
        <w:contextualSpacing/>
        <w:rPr>
          <w:color w:val="000000" w:themeColor="text1"/>
          <w:kern w:val="0"/>
          <w:szCs w:val="21"/>
          <w:highlight w:val="none"/>
          <w14:textFill>
            <w14:solidFill>
              <w14:schemeClr w14:val="tx1"/>
            </w14:solidFill>
          </w14:textFill>
        </w:rPr>
      </w:pPr>
      <w:r>
        <w:rPr>
          <w:color w:val="000000" w:themeColor="text1"/>
          <w:kern w:val="0"/>
          <w:szCs w:val="21"/>
          <w:highlight w:val="none"/>
          <w14:textFill>
            <w14:solidFill>
              <w14:schemeClr w14:val="tx1"/>
            </w14:solidFill>
          </w14:textFill>
        </w:rPr>
        <w:t>事实依据：</w:t>
      </w:r>
      <w:r>
        <w:rPr>
          <w:bCs/>
          <w:color w:val="000000" w:themeColor="text1"/>
          <w:kern w:val="0"/>
          <w:szCs w:val="21"/>
          <w:highlight w:val="none"/>
          <w:u w:val="single"/>
          <w14:textFill>
            <w14:solidFill>
              <w14:schemeClr w14:val="tx1"/>
            </w14:solidFill>
          </w14:textFill>
        </w:rPr>
        <w:t xml:space="preserve">                                                                      </w:t>
      </w:r>
    </w:p>
    <w:p w14:paraId="3291E539">
      <w:pPr>
        <w:spacing w:line="360" w:lineRule="auto"/>
        <w:ind w:left="25" w:leftChars="12" w:firstLine="413" w:firstLineChars="197"/>
        <w:contextualSpacing/>
        <w:rPr>
          <w:color w:val="000000" w:themeColor="text1"/>
          <w:kern w:val="0"/>
          <w:szCs w:val="21"/>
          <w:highlight w:val="none"/>
          <w14:textFill>
            <w14:solidFill>
              <w14:schemeClr w14:val="tx1"/>
            </w14:solidFill>
          </w14:textFill>
        </w:rPr>
      </w:pPr>
      <w:r>
        <w:rPr>
          <w:color w:val="000000" w:themeColor="text1"/>
          <w:kern w:val="0"/>
          <w:szCs w:val="21"/>
          <w:highlight w:val="none"/>
          <w14:textFill>
            <w14:solidFill>
              <w14:schemeClr w14:val="tx1"/>
            </w14:solidFill>
          </w14:textFill>
        </w:rPr>
        <w:t>法律依据：</w:t>
      </w:r>
      <w:r>
        <w:rPr>
          <w:color w:val="000000" w:themeColor="text1"/>
          <w:kern w:val="0"/>
          <w:szCs w:val="21"/>
          <w:highlight w:val="none"/>
          <w:u w:val="single"/>
          <w14:textFill>
            <w14:solidFill>
              <w14:schemeClr w14:val="tx1"/>
            </w14:solidFill>
          </w14:textFill>
        </w:rPr>
        <w:t xml:space="preserve">                                                        </w:t>
      </w:r>
      <w:r>
        <w:rPr>
          <w:bCs/>
          <w:color w:val="000000" w:themeColor="text1"/>
          <w:kern w:val="0"/>
          <w:szCs w:val="21"/>
          <w:highlight w:val="none"/>
          <w:u w:val="single"/>
          <w14:textFill>
            <w14:solidFill>
              <w14:schemeClr w14:val="tx1"/>
            </w14:solidFill>
          </w14:textFill>
        </w:rPr>
        <w:t xml:space="preserve">               </w:t>
      </w:r>
    </w:p>
    <w:p w14:paraId="6975C3A8">
      <w:pPr>
        <w:spacing w:line="360" w:lineRule="auto"/>
        <w:ind w:left="25" w:leftChars="12" w:firstLine="413" w:firstLineChars="197"/>
        <w:contextualSpacing/>
        <w:rPr>
          <w:color w:val="000000" w:themeColor="text1"/>
          <w:kern w:val="0"/>
          <w:szCs w:val="21"/>
          <w:highlight w:val="none"/>
          <w14:textFill>
            <w14:solidFill>
              <w14:schemeClr w14:val="tx1"/>
            </w14:solidFill>
          </w14:textFill>
        </w:rPr>
      </w:pPr>
      <w:r>
        <w:rPr>
          <w:color w:val="000000" w:themeColor="text1"/>
          <w:kern w:val="0"/>
          <w:szCs w:val="21"/>
          <w:highlight w:val="none"/>
          <w14:textFill>
            <w14:solidFill>
              <w14:schemeClr w14:val="tx1"/>
            </w14:solidFill>
          </w14:textFill>
        </w:rPr>
        <w:t>质疑事项2</w:t>
      </w:r>
    </w:p>
    <w:p w14:paraId="0219B855">
      <w:pPr>
        <w:spacing w:line="360" w:lineRule="auto"/>
        <w:ind w:left="25" w:leftChars="12" w:firstLine="413" w:firstLineChars="197"/>
        <w:contextualSpacing/>
        <w:rPr>
          <w:color w:val="000000" w:themeColor="text1"/>
          <w:kern w:val="0"/>
          <w:szCs w:val="21"/>
          <w:highlight w:val="none"/>
          <w14:textFill>
            <w14:solidFill>
              <w14:schemeClr w14:val="tx1"/>
            </w14:solidFill>
          </w14:textFill>
        </w:rPr>
      </w:pPr>
      <w:r>
        <w:rPr>
          <w:color w:val="000000" w:themeColor="text1"/>
          <w:kern w:val="0"/>
          <w:szCs w:val="21"/>
          <w:highlight w:val="none"/>
          <w14:textFill>
            <w14:solidFill>
              <w14:schemeClr w14:val="tx1"/>
            </w14:solidFill>
          </w14:textFill>
        </w:rPr>
        <w:t>……</w:t>
      </w:r>
    </w:p>
    <w:p w14:paraId="50615672">
      <w:pPr>
        <w:spacing w:line="360" w:lineRule="auto"/>
        <w:ind w:left="25" w:leftChars="12" w:firstLine="413" w:firstLineChars="197"/>
        <w:contextualSpacing/>
        <w:rPr>
          <w:color w:val="000000" w:themeColor="text1"/>
          <w:kern w:val="0"/>
          <w:szCs w:val="21"/>
          <w:highlight w:val="none"/>
          <w14:textFill>
            <w14:solidFill>
              <w14:schemeClr w14:val="tx1"/>
            </w14:solidFill>
          </w14:textFill>
        </w:rPr>
      </w:pPr>
      <w:r>
        <w:rPr>
          <w:color w:val="000000" w:themeColor="text1"/>
          <w:kern w:val="0"/>
          <w:szCs w:val="21"/>
          <w:highlight w:val="none"/>
          <w14:textFill>
            <w14:solidFill>
              <w14:schemeClr w14:val="tx1"/>
            </w14:solidFill>
          </w14:textFill>
        </w:rPr>
        <w:t>四、与质疑事项相关的质疑请求：</w:t>
      </w:r>
    </w:p>
    <w:p w14:paraId="78DC4F7C">
      <w:pPr>
        <w:spacing w:line="360" w:lineRule="auto"/>
        <w:ind w:left="25" w:leftChars="12" w:firstLine="413" w:firstLineChars="197"/>
        <w:contextualSpacing/>
        <w:rPr>
          <w:color w:val="000000" w:themeColor="text1"/>
          <w:kern w:val="0"/>
          <w:szCs w:val="21"/>
          <w:highlight w:val="none"/>
          <w14:textFill>
            <w14:solidFill>
              <w14:schemeClr w14:val="tx1"/>
            </w14:solidFill>
          </w14:textFill>
        </w:rPr>
      </w:pPr>
      <w:r>
        <w:rPr>
          <w:color w:val="000000" w:themeColor="text1"/>
          <w:kern w:val="0"/>
          <w:szCs w:val="21"/>
          <w:highlight w:val="none"/>
          <w14:textFill>
            <w14:solidFill>
              <w14:schemeClr w14:val="tx1"/>
            </w14:solidFill>
          </w14:textFill>
        </w:rPr>
        <w:t>请求：</w:t>
      </w:r>
      <w:r>
        <w:rPr>
          <w:bCs/>
          <w:color w:val="000000" w:themeColor="text1"/>
          <w:kern w:val="0"/>
          <w:szCs w:val="21"/>
          <w:highlight w:val="none"/>
          <w:u w:val="single"/>
          <w14:textFill>
            <w14:solidFill>
              <w14:schemeClr w14:val="tx1"/>
            </w14:solidFill>
          </w14:textFill>
        </w:rPr>
        <w:t xml:space="preserve">                                                                </w:t>
      </w:r>
    </w:p>
    <w:p w14:paraId="4E2AA9CD">
      <w:pPr>
        <w:spacing w:line="360" w:lineRule="auto"/>
        <w:ind w:left="25" w:leftChars="12" w:firstLine="308" w:firstLineChars="147"/>
        <w:contextualSpacing/>
        <w:rPr>
          <w:color w:val="000000" w:themeColor="text1"/>
          <w:kern w:val="0"/>
          <w:szCs w:val="21"/>
          <w:highlight w:val="none"/>
          <w14:textFill>
            <w14:solidFill>
              <w14:schemeClr w14:val="tx1"/>
            </w14:solidFill>
          </w14:textFill>
        </w:rPr>
      </w:pPr>
    </w:p>
    <w:p w14:paraId="00089805">
      <w:pPr>
        <w:spacing w:line="360" w:lineRule="auto"/>
        <w:ind w:left="25" w:leftChars="12" w:firstLine="413" w:firstLineChars="197"/>
        <w:contextualSpacing/>
        <w:rPr>
          <w:color w:val="000000" w:themeColor="text1"/>
          <w:kern w:val="0"/>
          <w:szCs w:val="21"/>
          <w:highlight w:val="none"/>
          <w14:textFill>
            <w14:solidFill>
              <w14:schemeClr w14:val="tx1"/>
            </w14:solidFill>
          </w14:textFill>
        </w:rPr>
      </w:pPr>
      <w:r>
        <w:rPr>
          <w:color w:val="000000" w:themeColor="text1"/>
          <w:kern w:val="0"/>
          <w:szCs w:val="21"/>
          <w:highlight w:val="none"/>
          <w14:textFill>
            <w14:solidFill>
              <w14:schemeClr w14:val="tx1"/>
            </w14:solidFill>
          </w14:textFill>
        </w:rPr>
        <w:t>签字（签章）：                                       公章：</w:t>
      </w:r>
    </w:p>
    <w:p w14:paraId="08909635">
      <w:pPr>
        <w:spacing w:line="360" w:lineRule="auto"/>
        <w:ind w:left="25" w:leftChars="12" w:firstLine="308" w:firstLineChars="147"/>
        <w:contextualSpacing/>
        <w:rPr>
          <w:color w:val="000000" w:themeColor="text1"/>
          <w:kern w:val="0"/>
          <w:szCs w:val="21"/>
          <w:highlight w:val="none"/>
          <w14:textFill>
            <w14:solidFill>
              <w14:schemeClr w14:val="tx1"/>
            </w14:solidFill>
          </w14:textFill>
        </w:rPr>
      </w:pPr>
    </w:p>
    <w:p w14:paraId="2D24D19B">
      <w:pPr>
        <w:spacing w:line="360" w:lineRule="auto"/>
        <w:ind w:left="25" w:leftChars="12" w:firstLine="413" w:firstLineChars="197"/>
        <w:contextualSpacing/>
        <w:rPr>
          <w:color w:val="000000" w:themeColor="text1"/>
          <w:kern w:val="0"/>
          <w:szCs w:val="21"/>
          <w:highlight w:val="none"/>
          <w14:textFill>
            <w14:solidFill>
              <w14:schemeClr w14:val="tx1"/>
            </w14:solidFill>
          </w14:textFill>
        </w:rPr>
      </w:pPr>
      <w:r>
        <w:rPr>
          <w:color w:val="000000" w:themeColor="text1"/>
          <w:kern w:val="0"/>
          <w:szCs w:val="21"/>
          <w:highlight w:val="none"/>
          <w14:textFill>
            <w14:solidFill>
              <w14:schemeClr w14:val="tx1"/>
            </w14:solidFill>
          </w14:textFill>
        </w:rPr>
        <w:t>日期：</w:t>
      </w:r>
    </w:p>
    <w:p w14:paraId="32607CF2">
      <w:pPr>
        <w:spacing w:line="360" w:lineRule="auto"/>
        <w:contextualSpacing/>
        <w:rPr>
          <w:b/>
          <w:color w:val="000000" w:themeColor="text1"/>
          <w:kern w:val="0"/>
          <w:szCs w:val="21"/>
          <w:highlight w:val="none"/>
          <w14:textFill>
            <w14:solidFill>
              <w14:schemeClr w14:val="tx1"/>
            </w14:solidFill>
          </w14:textFill>
        </w:rPr>
      </w:pPr>
    </w:p>
    <w:p w14:paraId="420FDC0D">
      <w:pPr>
        <w:spacing w:line="360" w:lineRule="auto"/>
        <w:contextualSpacing/>
        <w:rPr>
          <w:b/>
          <w:color w:val="000000" w:themeColor="text1"/>
          <w:kern w:val="0"/>
          <w:szCs w:val="21"/>
          <w:highlight w:val="none"/>
          <w14:textFill>
            <w14:solidFill>
              <w14:schemeClr w14:val="tx1"/>
            </w14:solidFill>
          </w14:textFill>
        </w:rPr>
      </w:pPr>
    </w:p>
    <w:p w14:paraId="42879A51">
      <w:pPr>
        <w:spacing w:line="360" w:lineRule="auto"/>
        <w:contextualSpacing/>
        <w:rPr>
          <w:b/>
          <w:color w:val="000000" w:themeColor="text1"/>
          <w:kern w:val="0"/>
          <w:szCs w:val="21"/>
          <w:highlight w:val="none"/>
          <w14:textFill>
            <w14:solidFill>
              <w14:schemeClr w14:val="tx1"/>
            </w14:solidFill>
          </w14:textFill>
        </w:rPr>
      </w:pPr>
      <w:r>
        <w:rPr>
          <w:b/>
          <w:color w:val="000000" w:themeColor="text1"/>
          <w:kern w:val="0"/>
          <w:szCs w:val="21"/>
          <w:highlight w:val="none"/>
          <w14:textFill>
            <w14:solidFill>
              <w14:schemeClr w14:val="tx1"/>
            </w14:solidFill>
          </w14:textFill>
        </w:rPr>
        <w:t>说明：</w:t>
      </w:r>
    </w:p>
    <w:p w14:paraId="71737341">
      <w:pPr>
        <w:spacing w:line="360" w:lineRule="auto"/>
        <w:ind w:left="25" w:leftChars="12" w:firstLine="310" w:firstLineChars="147"/>
        <w:contextualSpacing/>
        <w:rPr>
          <w:b/>
          <w:bCs/>
          <w:color w:val="000000" w:themeColor="text1"/>
          <w:kern w:val="0"/>
          <w:szCs w:val="21"/>
          <w:highlight w:val="none"/>
          <w14:textFill>
            <w14:solidFill>
              <w14:schemeClr w14:val="tx1"/>
            </w14:solidFill>
          </w14:textFill>
        </w:rPr>
      </w:pPr>
      <w:r>
        <w:rPr>
          <w:b/>
          <w:color w:val="000000" w:themeColor="text1"/>
          <w:kern w:val="0"/>
          <w:szCs w:val="21"/>
          <w:highlight w:val="none"/>
          <w14:textFill>
            <w14:solidFill>
              <w14:schemeClr w14:val="tx1"/>
            </w14:solidFill>
          </w14:textFill>
        </w:rPr>
        <w:t>1.供应商提出质疑时，应提交质疑函和必要的证明材料</w:t>
      </w:r>
      <w:r>
        <w:rPr>
          <w:b/>
          <w:bCs/>
          <w:color w:val="000000" w:themeColor="text1"/>
          <w:kern w:val="0"/>
          <w:szCs w:val="21"/>
          <w:highlight w:val="none"/>
          <w14:textFill>
            <w14:solidFill>
              <w14:schemeClr w14:val="tx1"/>
            </w14:solidFill>
          </w14:textFill>
        </w:rPr>
        <w:t>。</w:t>
      </w:r>
    </w:p>
    <w:p w14:paraId="330F92D9">
      <w:pPr>
        <w:spacing w:line="360" w:lineRule="auto"/>
        <w:ind w:left="25" w:leftChars="12" w:firstLine="310" w:firstLineChars="147"/>
        <w:contextualSpacing/>
        <w:rPr>
          <w:b/>
          <w:color w:val="000000" w:themeColor="text1"/>
          <w:kern w:val="0"/>
          <w:szCs w:val="21"/>
          <w:highlight w:val="none"/>
          <w14:textFill>
            <w14:solidFill>
              <w14:schemeClr w14:val="tx1"/>
            </w14:solidFill>
          </w14:textFill>
        </w:rPr>
      </w:pPr>
      <w:r>
        <w:rPr>
          <w:b/>
          <w:color w:val="000000" w:themeColor="text1"/>
          <w:kern w:val="0"/>
          <w:szCs w:val="21"/>
          <w:highlight w:val="none"/>
          <w14:textFill>
            <w14:solidFill>
              <w14:schemeClr w14:val="tx1"/>
            </w14:solidFill>
          </w14:textFill>
        </w:rPr>
        <w:t>2.质疑供应商若委托代理人进行质疑的，质疑函应按要求列明</w:t>
      </w:r>
      <w:r>
        <w:rPr>
          <w:rFonts w:hint="eastAsia"/>
          <w:b/>
          <w:color w:val="000000" w:themeColor="text1"/>
          <w:kern w:val="0"/>
          <w:szCs w:val="21"/>
          <w:highlight w:val="none"/>
          <w:lang w:eastAsia="zh-CN"/>
          <w14:textFill>
            <w14:solidFill>
              <w14:schemeClr w14:val="tx1"/>
            </w14:solidFill>
          </w14:textFill>
        </w:rPr>
        <w:t>“</w:t>
      </w:r>
      <w:r>
        <w:rPr>
          <w:b/>
          <w:color w:val="000000" w:themeColor="text1"/>
          <w:kern w:val="0"/>
          <w:szCs w:val="21"/>
          <w:highlight w:val="none"/>
          <w14:textFill>
            <w14:solidFill>
              <w14:schemeClr w14:val="tx1"/>
            </w14:solidFill>
          </w14:textFill>
        </w:rPr>
        <w:t>授权代表</w:t>
      </w:r>
      <w:r>
        <w:rPr>
          <w:rFonts w:hint="eastAsia"/>
          <w:b/>
          <w:color w:val="000000" w:themeColor="text1"/>
          <w:kern w:val="0"/>
          <w:szCs w:val="21"/>
          <w:highlight w:val="none"/>
          <w:lang w:eastAsia="zh-CN"/>
          <w14:textFill>
            <w14:solidFill>
              <w14:schemeClr w14:val="tx1"/>
            </w14:solidFill>
          </w14:textFill>
        </w:rPr>
        <w:t>”</w:t>
      </w:r>
      <w:r>
        <w:rPr>
          <w:b/>
          <w:color w:val="000000" w:themeColor="text1"/>
          <w:kern w:val="0"/>
          <w:szCs w:val="21"/>
          <w:highlight w:val="none"/>
          <w14:textFill>
            <w14:solidFill>
              <w14:schemeClr w14:val="tx1"/>
            </w14:solidFill>
          </w14:textFill>
        </w:rPr>
        <w:t>的有关内容，并在附件中提交由质疑供应商签署的授权委托书。授权委托书应载明代理人的姓名或者名称、代理事项、具体权限、期限和相关事项。</w:t>
      </w:r>
    </w:p>
    <w:p w14:paraId="1F6D3370">
      <w:pPr>
        <w:spacing w:line="360" w:lineRule="auto"/>
        <w:ind w:left="25" w:leftChars="12" w:firstLine="310" w:firstLineChars="147"/>
        <w:contextualSpacing/>
        <w:rPr>
          <w:b/>
          <w:color w:val="000000" w:themeColor="text1"/>
          <w:kern w:val="0"/>
          <w:szCs w:val="21"/>
          <w:highlight w:val="none"/>
          <w14:textFill>
            <w14:solidFill>
              <w14:schemeClr w14:val="tx1"/>
            </w14:solidFill>
          </w14:textFill>
        </w:rPr>
      </w:pPr>
      <w:r>
        <w:rPr>
          <w:b/>
          <w:color w:val="000000" w:themeColor="text1"/>
          <w:kern w:val="0"/>
          <w:szCs w:val="21"/>
          <w:highlight w:val="none"/>
          <w14:textFill>
            <w14:solidFill>
              <w14:schemeClr w14:val="tx1"/>
            </w14:solidFill>
          </w14:textFill>
        </w:rPr>
        <w:t>3.质疑函的质疑事项应具体、明确，并有必要的事实依据和法律依据。</w:t>
      </w:r>
    </w:p>
    <w:p w14:paraId="6621F0A5">
      <w:pPr>
        <w:spacing w:line="360" w:lineRule="auto"/>
        <w:ind w:left="25" w:leftChars="12" w:firstLine="310" w:firstLineChars="147"/>
        <w:contextualSpacing/>
        <w:rPr>
          <w:b/>
          <w:color w:val="000000" w:themeColor="text1"/>
          <w:kern w:val="0"/>
          <w:szCs w:val="21"/>
          <w:highlight w:val="none"/>
          <w14:textFill>
            <w14:solidFill>
              <w14:schemeClr w14:val="tx1"/>
            </w14:solidFill>
          </w14:textFill>
        </w:rPr>
      </w:pPr>
      <w:r>
        <w:rPr>
          <w:b/>
          <w:color w:val="000000" w:themeColor="text1"/>
          <w:kern w:val="0"/>
          <w:szCs w:val="21"/>
          <w:highlight w:val="none"/>
          <w14:textFill>
            <w14:solidFill>
              <w14:schemeClr w14:val="tx1"/>
            </w14:solidFill>
          </w14:textFill>
        </w:rPr>
        <w:t>4.质疑函的质疑请求应与质疑事项相关。</w:t>
      </w:r>
    </w:p>
    <w:p w14:paraId="0C5690A8">
      <w:pPr>
        <w:spacing w:line="360" w:lineRule="auto"/>
        <w:ind w:left="25" w:leftChars="12" w:firstLine="310" w:firstLineChars="147"/>
        <w:contextualSpacing/>
        <w:rPr>
          <w:b/>
          <w:color w:val="000000" w:themeColor="text1"/>
          <w:kern w:val="0"/>
          <w:szCs w:val="21"/>
          <w:highlight w:val="none"/>
          <w14:textFill>
            <w14:solidFill>
              <w14:schemeClr w14:val="tx1"/>
            </w14:solidFill>
          </w14:textFill>
        </w:rPr>
      </w:pPr>
      <w:r>
        <w:rPr>
          <w:b/>
          <w:color w:val="000000" w:themeColor="text1"/>
          <w:kern w:val="0"/>
          <w:szCs w:val="21"/>
          <w:highlight w:val="none"/>
          <w14:textFill>
            <w14:solidFill>
              <w14:schemeClr w14:val="tx1"/>
            </w14:solidFill>
          </w14:textFill>
        </w:rPr>
        <w:t>5.质疑供应商为法人或者其他组织的，质疑函应由法定代表人、主要负责人，或者其授权代表签字或者盖章，并加盖公章。</w:t>
      </w:r>
    </w:p>
    <w:p w14:paraId="3B8BD396">
      <w:pPr>
        <w:snapToGrid w:val="0"/>
        <w:rPr>
          <w:b/>
          <w:color w:val="000000" w:themeColor="text1"/>
          <w:kern w:val="0"/>
          <w:sz w:val="24"/>
          <w:highlight w:val="none"/>
          <w14:textFill>
            <w14:solidFill>
              <w14:schemeClr w14:val="tx1"/>
            </w14:solidFill>
          </w14:textFill>
        </w:rPr>
      </w:pPr>
    </w:p>
    <w:p w14:paraId="6C2DCD6E">
      <w:pPr>
        <w:spacing w:line="460" w:lineRule="exact"/>
        <w:jc w:val="center"/>
        <w:rPr>
          <w:rFonts w:hint="eastAsia" w:ascii="Calibri" w:hAnsi="Calibri" w:eastAsia="隶书"/>
          <w:color w:val="000000" w:themeColor="text1"/>
          <w:sz w:val="44"/>
          <w:highlight w:val="none"/>
          <w14:textFill>
            <w14:solidFill>
              <w14:schemeClr w14:val="tx1"/>
            </w14:solidFill>
          </w14:textFill>
        </w:rPr>
      </w:pPr>
      <w:r>
        <w:rPr>
          <w:rFonts w:ascii="Calibri" w:hAnsi="Calibri" w:eastAsia="隶书"/>
          <w:color w:val="000000" w:themeColor="text1"/>
          <w:sz w:val="44"/>
          <w:highlight w:val="none"/>
          <w14:textFill>
            <w14:solidFill>
              <w14:schemeClr w14:val="tx1"/>
            </w14:solidFill>
          </w14:textFill>
        </w:rPr>
        <w:br w:type="page"/>
      </w:r>
    </w:p>
    <w:p w14:paraId="0C159EEF">
      <w:pPr>
        <w:spacing w:line="360" w:lineRule="auto"/>
        <w:jc w:val="center"/>
        <w:rPr>
          <w:rFonts w:hint="eastAsia"/>
          <w:b/>
          <w:bCs/>
          <w:color w:val="000000" w:themeColor="text1"/>
          <w:sz w:val="32"/>
          <w:szCs w:val="32"/>
          <w:highlight w:val="none"/>
          <w14:textFill>
            <w14:solidFill>
              <w14:schemeClr w14:val="tx1"/>
            </w14:solidFill>
          </w14:textFill>
        </w:rPr>
      </w:pPr>
      <w:r>
        <w:rPr>
          <w:rFonts w:hint="eastAsia"/>
          <w:b/>
          <w:bCs/>
          <w:color w:val="000000" w:themeColor="text1"/>
          <w:sz w:val="32"/>
          <w:szCs w:val="32"/>
          <w:highlight w:val="none"/>
          <w14:textFill>
            <w14:solidFill>
              <w14:schemeClr w14:val="tx1"/>
            </w14:solidFill>
          </w14:textFill>
        </w:rPr>
        <w:t>投诉书（格式）</w:t>
      </w:r>
    </w:p>
    <w:p w14:paraId="625E36DC">
      <w:pPr>
        <w:snapToGrid w:val="0"/>
        <w:spacing w:line="360" w:lineRule="auto"/>
        <w:ind w:firstLine="422" w:firstLineChars="200"/>
        <w:rPr>
          <w:b/>
          <w:bCs/>
          <w:color w:val="000000" w:themeColor="text1"/>
          <w:kern w:val="0"/>
          <w:szCs w:val="21"/>
          <w:highlight w:val="none"/>
          <w14:textFill>
            <w14:solidFill>
              <w14:schemeClr w14:val="tx1"/>
            </w14:solidFill>
          </w14:textFill>
        </w:rPr>
      </w:pPr>
      <w:r>
        <w:rPr>
          <w:b/>
          <w:bCs/>
          <w:color w:val="000000" w:themeColor="text1"/>
          <w:kern w:val="0"/>
          <w:szCs w:val="21"/>
          <w:highlight w:val="none"/>
          <w14:textFill>
            <w14:solidFill>
              <w14:schemeClr w14:val="tx1"/>
            </w14:solidFill>
          </w14:textFill>
        </w:rPr>
        <w:t>一、投诉相关主体基本情况：</w:t>
      </w:r>
    </w:p>
    <w:p w14:paraId="3E07257C">
      <w:pPr>
        <w:snapToGrid w:val="0"/>
        <w:spacing w:line="360" w:lineRule="auto"/>
        <w:ind w:firstLine="420" w:firstLineChars="200"/>
        <w:rPr>
          <w:bCs/>
          <w:color w:val="000000" w:themeColor="text1"/>
          <w:kern w:val="0"/>
          <w:szCs w:val="21"/>
          <w:highlight w:val="none"/>
          <w:u w:val="single"/>
          <w14:textFill>
            <w14:solidFill>
              <w14:schemeClr w14:val="tx1"/>
            </w14:solidFill>
          </w14:textFill>
        </w:rPr>
      </w:pPr>
      <w:r>
        <w:rPr>
          <w:bCs/>
          <w:color w:val="000000" w:themeColor="text1"/>
          <w:kern w:val="0"/>
          <w:szCs w:val="21"/>
          <w:highlight w:val="none"/>
          <w14:textFill>
            <w14:solidFill>
              <w14:schemeClr w14:val="tx1"/>
            </w14:solidFill>
          </w14:textFill>
        </w:rPr>
        <w:t>供应商：</w:t>
      </w:r>
      <w:r>
        <w:rPr>
          <w:bCs/>
          <w:color w:val="000000" w:themeColor="text1"/>
          <w:kern w:val="0"/>
          <w:szCs w:val="21"/>
          <w:highlight w:val="none"/>
          <w:u w:val="single"/>
          <w14:textFill>
            <w14:solidFill>
              <w14:schemeClr w14:val="tx1"/>
            </w14:solidFill>
          </w14:textFill>
        </w:rPr>
        <w:t xml:space="preserve">                                                                        </w:t>
      </w:r>
    </w:p>
    <w:p w14:paraId="2900B92D">
      <w:pPr>
        <w:snapToGrid w:val="0"/>
        <w:spacing w:line="360" w:lineRule="auto"/>
        <w:ind w:firstLine="420" w:firstLineChars="200"/>
        <w:rPr>
          <w:bCs/>
          <w:color w:val="000000" w:themeColor="text1"/>
          <w:kern w:val="0"/>
          <w:szCs w:val="21"/>
          <w:highlight w:val="none"/>
          <w14:textFill>
            <w14:solidFill>
              <w14:schemeClr w14:val="tx1"/>
            </w14:solidFill>
          </w14:textFill>
        </w:rPr>
      </w:pPr>
      <w:r>
        <w:rPr>
          <w:bCs/>
          <w:color w:val="000000" w:themeColor="text1"/>
          <w:kern w:val="0"/>
          <w:szCs w:val="21"/>
          <w:highlight w:val="none"/>
          <w14:textFill>
            <w14:solidFill>
              <w14:schemeClr w14:val="tx1"/>
            </w14:solidFill>
          </w14:textFill>
        </w:rPr>
        <w:t>地址：</w:t>
      </w:r>
      <w:r>
        <w:rPr>
          <w:bCs/>
          <w:color w:val="000000" w:themeColor="text1"/>
          <w:kern w:val="0"/>
          <w:szCs w:val="21"/>
          <w:highlight w:val="none"/>
          <w:u w:val="single"/>
          <w14:textFill>
            <w14:solidFill>
              <w14:schemeClr w14:val="tx1"/>
            </w14:solidFill>
          </w14:textFill>
        </w:rPr>
        <w:t xml:space="preserve">                                         </w:t>
      </w:r>
      <w:r>
        <w:rPr>
          <w:bCs/>
          <w:color w:val="000000" w:themeColor="text1"/>
          <w:kern w:val="0"/>
          <w:szCs w:val="21"/>
          <w:highlight w:val="none"/>
          <w14:textFill>
            <w14:solidFill>
              <w14:schemeClr w14:val="tx1"/>
            </w14:solidFill>
          </w14:textFill>
        </w:rPr>
        <w:t>邮编：</w:t>
      </w:r>
      <w:r>
        <w:rPr>
          <w:bCs/>
          <w:color w:val="000000" w:themeColor="text1"/>
          <w:kern w:val="0"/>
          <w:szCs w:val="21"/>
          <w:highlight w:val="none"/>
          <w:u w:val="single"/>
          <w14:textFill>
            <w14:solidFill>
              <w14:schemeClr w14:val="tx1"/>
            </w14:solidFill>
          </w14:textFill>
        </w:rPr>
        <w:t xml:space="preserve">                          </w:t>
      </w:r>
      <w:r>
        <w:rPr>
          <w:bCs/>
          <w:color w:val="000000" w:themeColor="text1"/>
          <w:kern w:val="0"/>
          <w:szCs w:val="21"/>
          <w:highlight w:val="none"/>
          <w14:textFill>
            <w14:solidFill>
              <w14:schemeClr w14:val="tx1"/>
            </w14:solidFill>
          </w14:textFill>
        </w:rPr>
        <w:t xml:space="preserve"> </w:t>
      </w:r>
    </w:p>
    <w:p w14:paraId="5C895956">
      <w:pPr>
        <w:snapToGrid w:val="0"/>
        <w:spacing w:line="360" w:lineRule="auto"/>
        <w:ind w:firstLine="420" w:firstLineChars="200"/>
        <w:rPr>
          <w:bCs/>
          <w:color w:val="000000" w:themeColor="text1"/>
          <w:kern w:val="0"/>
          <w:szCs w:val="21"/>
          <w:highlight w:val="none"/>
          <w:u w:val="single"/>
          <w14:textFill>
            <w14:solidFill>
              <w14:schemeClr w14:val="tx1"/>
            </w14:solidFill>
          </w14:textFill>
        </w:rPr>
      </w:pPr>
      <w:r>
        <w:rPr>
          <w:bCs/>
          <w:color w:val="000000" w:themeColor="text1"/>
          <w:kern w:val="0"/>
          <w:szCs w:val="21"/>
          <w:highlight w:val="none"/>
          <w14:textFill>
            <w14:solidFill>
              <w14:schemeClr w14:val="tx1"/>
            </w14:solidFill>
          </w14:textFill>
        </w:rPr>
        <w:t>法定代表人/主要负责人：</w:t>
      </w:r>
      <w:r>
        <w:rPr>
          <w:bCs/>
          <w:color w:val="000000" w:themeColor="text1"/>
          <w:kern w:val="0"/>
          <w:szCs w:val="21"/>
          <w:highlight w:val="none"/>
          <w:u w:val="single"/>
          <w14:textFill>
            <w14:solidFill>
              <w14:schemeClr w14:val="tx1"/>
            </w14:solidFill>
          </w14:textFill>
        </w:rPr>
        <w:t xml:space="preserve">                                                         </w:t>
      </w:r>
    </w:p>
    <w:p w14:paraId="771D0B9D">
      <w:pPr>
        <w:snapToGrid w:val="0"/>
        <w:spacing w:line="360" w:lineRule="auto"/>
        <w:ind w:firstLine="420" w:firstLineChars="200"/>
        <w:rPr>
          <w:bCs/>
          <w:color w:val="000000" w:themeColor="text1"/>
          <w:kern w:val="0"/>
          <w:szCs w:val="21"/>
          <w:highlight w:val="none"/>
          <w14:textFill>
            <w14:solidFill>
              <w14:schemeClr w14:val="tx1"/>
            </w14:solidFill>
          </w14:textFill>
        </w:rPr>
      </w:pPr>
      <w:r>
        <w:rPr>
          <w:bCs/>
          <w:color w:val="000000" w:themeColor="text1"/>
          <w:kern w:val="0"/>
          <w:szCs w:val="21"/>
          <w:highlight w:val="none"/>
          <w14:textFill>
            <w14:solidFill>
              <w14:schemeClr w14:val="tx1"/>
            </w14:solidFill>
          </w14:textFill>
        </w:rPr>
        <w:t>联系电话：</w:t>
      </w:r>
      <w:r>
        <w:rPr>
          <w:bCs/>
          <w:color w:val="000000" w:themeColor="text1"/>
          <w:kern w:val="0"/>
          <w:szCs w:val="21"/>
          <w:highlight w:val="none"/>
          <w:u w:val="single"/>
          <w14:textFill>
            <w14:solidFill>
              <w14:schemeClr w14:val="tx1"/>
            </w14:solidFill>
          </w14:textFill>
        </w:rPr>
        <w:t xml:space="preserve">                                         </w:t>
      </w:r>
    </w:p>
    <w:p w14:paraId="4D61F51D">
      <w:pPr>
        <w:snapToGrid w:val="0"/>
        <w:spacing w:line="360" w:lineRule="auto"/>
        <w:ind w:firstLine="420" w:firstLineChars="200"/>
        <w:rPr>
          <w:bCs/>
          <w:color w:val="000000" w:themeColor="text1"/>
          <w:kern w:val="0"/>
          <w:szCs w:val="21"/>
          <w:highlight w:val="none"/>
          <w:u w:val="single"/>
          <w14:textFill>
            <w14:solidFill>
              <w14:schemeClr w14:val="tx1"/>
            </w14:solidFill>
          </w14:textFill>
        </w:rPr>
      </w:pPr>
      <w:r>
        <w:rPr>
          <w:bCs/>
          <w:color w:val="000000" w:themeColor="text1"/>
          <w:kern w:val="0"/>
          <w:szCs w:val="21"/>
          <w:highlight w:val="none"/>
          <w14:textFill>
            <w14:solidFill>
              <w14:schemeClr w14:val="tx1"/>
            </w14:solidFill>
          </w14:textFill>
        </w:rPr>
        <w:t>授权代表：</w:t>
      </w:r>
      <w:r>
        <w:rPr>
          <w:bCs/>
          <w:color w:val="000000" w:themeColor="text1"/>
          <w:kern w:val="0"/>
          <w:szCs w:val="21"/>
          <w:highlight w:val="none"/>
          <w:u w:val="single"/>
          <w14:textFill>
            <w14:solidFill>
              <w14:schemeClr w14:val="tx1"/>
            </w14:solidFill>
          </w14:textFill>
        </w:rPr>
        <w:t xml:space="preserve">                                     </w:t>
      </w:r>
      <w:r>
        <w:rPr>
          <w:bCs/>
          <w:color w:val="000000" w:themeColor="text1"/>
          <w:kern w:val="0"/>
          <w:szCs w:val="21"/>
          <w:highlight w:val="none"/>
          <w14:textFill>
            <w14:solidFill>
              <w14:schemeClr w14:val="tx1"/>
            </w14:solidFill>
          </w14:textFill>
        </w:rPr>
        <w:t>联系电话：</w:t>
      </w:r>
      <w:r>
        <w:rPr>
          <w:bCs/>
          <w:color w:val="000000" w:themeColor="text1"/>
          <w:kern w:val="0"/>
          <w:szCs w:val="21"/>
          <w:highlight w:val="none"/>
          <w:u w:val="single"/>
          <w14:textFill>
            <w14:solidFill>
              <w14:schemeClr w14:val="tx1"/>
            </w14:solidFill>
          </w14:textFill>
        </w:rPr>
        <w:t xml:space="preserve">                   </w:t>
      </w:r>
    </w:p>
    <w:p w14:paraId="3D91051E">
      <w:pPr>
        <w:snapToGrid w:val="0"/>
        <w:spacing w:line="360" w:lineRule="auto"/>
        <w:ind w:firstLine="420" w:firstLineChars="200"/>
        <w:rPr>
          <w:bCs/>
          <w:color w:val="000000" w:themeColor="text1"/>
          <w:kern w:val="0"/>
          <w:szCs w:val="21"/>
          <w:highlight w:val="none"/>
          <w:u w:val="single"/>
          <w14:textFill>
            <w14:solidFill>
              <w14:schemeClr w14:val="tx1"/>
            </w14:solidFill>
          </w14:textFill>
        </w:rPr>
      </w:pPr>
      <w:r>
        <w:rPr>
          <w:bCs/>
          <w:color w:val="000000" w:themeColor="text1"/>
          <w:kern w:val="0"/>
          <w:szCs w:val="21"/>
          <w:highlight w:val="none"/>
          <w14:textFill>
            <w14:solidFill>
              <w14:schemeClr w14:val="tx1"/>
            </w14:solidFill>
          </w14:textFill>
        </w:rPr>
        <w:t>地址：</w:t>
      </w:r>
      <w:r>
        <w:rPr>
          <w:bCs/>
          <w:color w:val="000000" w:themeColor="text1"/>
          <w:kern w:val="0"/>
          <w:szCs w:val="21"/>
          <w:highlight w:val="none"/>
          <w:u w:val="single"/>
          <w14:textFill>
            <w14:solidFill>
              <w14:schemeClr w14:val="tx1"/>
            </w14:solidFill>
          </w14:textFill>
        </w:rPr>
        <w:t xml:space="preserve">                                                            </w:t>
      </w:r>
    </w:p>
    <w:p w14:paraId="61F5EC14">
      <w:pPr>
        <w:snapToGrid w:val="0"/>
        <w:spacing w:line="360" w:lineRule="auto"/>
        <w:ind w:firstLine="420" w:firstLineChars="200"/>
        <w:rPr>
          <w:bCs/>
          <w:color w:val="000000" w:themeColor="text1"/>
          <w:kern w:val="0"/>
          <w:szCs w:val="21"/>
          <w:highlight w:val="none"/>
          <w14:textFill>
            <w14:solidFill>
              <w14:schemeClr w14:val="tx1"/>
            </w14:solidFill>
          </w14:textFill>
        </w:rPr>
      </w:pPr>
      <w:r>
        <w:rPr>
          <w:bCs/>
          <w:color w:val="000000" w:themeColor="text1"/>
          <w:kern w:val="0"/>
          <w:szCs w:val="21"/>
          <w:highlight w:val="none"/>
          <w14:textFill>
            <w14:solidFill>
              <w14:schemeClr w14:val="tx1"/>
            </w14:solidFill>
          </w14:textFill>
        </w:rPr>
        <w:t>邮编：</w:t>
      </w:r>
      <w:r>
        <w:rPr>
          <w:bCs/>
          <w:color w:val="000000" w:themeColor="text1"/>
          <w:kern w:val="0"/>
          <w:szCs w:val="21"/>
          <w:highlight w:val="none"/>
          <w:u w:val="single"/>
          <w14:textFill>
            <w14:solidFill>
              <w14:schemeClr w14:val="tx1"/>
            </w14:solidFill>
          </w14:textFill>
        </w:rPr>
        <w:t xml:space="preserve">         </w:t>
      </w:r>
      <w:r>
        <w:rPr>
          <w:bCs/>
          <w:color w:val="000000" w:themeColor="text1"/>
          <w:kern w:val="0"/>
          <w:szCs w:val="21"/>
          <w:highlight w:val="none"/>
          <w14:textFill>
            <w14:solidFill>
              <w14:schemeClr w14:val="tx1"/>
            </w14:solidFill>
          </w14:textFill>
        </w:rPr>
        <w:t xml:space="preserve">   </w:t>
      </w:r>
    </w:p>
    <w:p w14:paraId="502A13F8">
      <w:pPr>
        <w:snapToGrid w:val="0"/>
        <w:spacing w:line="360" w:lineRule="auto"/>
        <w:ind w:firstLine="420" w:firstLineChars="200"/>
        <w:rPr>
          <w:bCs/>
          <w:color w:val="000000" w:themeColor="text1"/>
          <w:kern w:val="0"/>
          <w:szCs w:val="21"/>
          <w:highlight w:val="none"/>
          <w14:textFill>
            <w14:solidFill>
              <w14:schemeClr w14:val="tx1"/>
            </w14:solidFill>
          </w14:textFill>
        </w:rPr>
      </w:pPr>
      <w:r>
        <w:rPr>
          <w:bCs/>
          <w:color w:val="000000" w:themeColor="text1"/>
          <w:kern w:val="0"/>
          <w:szCs w:val="21"/>
          <w:highlight w:val="none"/>
          <w14:textFill>
            <w14:solidFill>
              <w14:schemeClr w14:val="tx1"/>
            </w14:solidFill>
          </w14:textFill>
        </w:rPr>
        <w:t>被投诉人1：</w:t>
      </w:r>
    </w:p>
    <w:p w14:paraId="614E7E3F">
      <w:pPr>
        <w:snapToGrid w:val="0"/>
        <w:spacing w:line="360" w:lineRule="auto"/>
        <w:ind w:firstLine="420" w:firstLineChars="200"/>
        <w:rPr>
          <w:bCs/>
          <w:color w:val="000000" w:themeColor="text1"/>
          <w:kern w:val="0"/>
          <w:szCs w:val="21"/>
          <w:highlight w:val="none"/>
          <w:u w:val="single"/>
          <w14:textFill>
            <w14:solidFill>
              <w14:schemeClr w14:val="tx1"/>
            </w14:solidFill>
          </w14:textFill>
        </w:rPr>
      </w:pPr>
      <w:r>
        <w:rPr>
          <w:bCs/>
          <w:color w:val="000000" w:themeColor="text1"/>
          <w:kern w:val="0"/>
          <w:szCs w:val="21"/>
          <w:highlight w:val="none"/>
          <w14:textFill>
            <w14:solidFill>
              <w14:schemeClr w14:val="tx1"/>
            </w14:solidFill>
          </w14:textFill>
        </w:rPr>
        <w:t>地址：</w:t>
      </w:r>
      <w:r>
        <w:rPr>
          <w:bCs/>
          <w:color w:val="000000" w:themeColor="text1"/>
          <w:kern w:val="0"/>
          <w:szCs w:val="21"/>
          <w:highlight w:val="none"/>
          <w:u w:val="single"/>
          <w14:textFill>
            <w14:solidFill>
              <w14:schemeClr w14:val="tx1"/>
            </w14:solidFill>
          </w14:textFill>
        </w:rPr>
        <w:t xml:space="preserve">                                                            </w:t>
      </w:r>
    </w:p>
    <w:p w14:paraId="4CD7E508">
      <w:pPr>
        <w:snapToGrid w:val="0"/>
        <w:spacing w:line="360" w:lineRule="auto"/>
        <w:ind w:firstLine="420" w:firstLineChars="200"/>
        <w:rPr>
          <w:bCs/>
          <w:color w:val="000000" w:themeColor="text1"/>
          <w:kern w:val="0"/>
          <w:szCs w:val="21"/>
          <w:highlight w:val="none"/>
          <w14:textFill>
            <w14:solidFill>
              <w14:schemeClr w14:val="tx1"/>
            </w14:solidFill>
          </w14:textFill>
        </w:rPr>
      </w:pPr>
      <w:r>
        <w:rPr>
          <w:bCs/>
          <w:color w:val="000000" w:themeColor="text1"/>
          <w:kern w:val="0"/>
          <w:szCs w:val="21"/>
          <w:highlight w:val="none"/>
          <w14:textFill>
            <w14:solidFill>
              <w14:schemeClr w14:val="tx1"/>
            </w14:solidFill>
          </w14:textFill>
        </w:rPr>
        <w:t>邮编：</w:t>
      </w:r>
      <w:r>
        <w:rPr>
          <w:bCs/>
          <w:color w:val="000000" w:themeColor="text1"/>
          <w:kern w:val="0"/>
          <w:szCs w:val="21"/>
          <w:highlight w:val="none"/>
          <w:u w:val="single"/>
          <w14:textFill>
            <w14:solidFill>
              <w14:schemeClr w14:val="tx1"/>
            </w14:solidFill>
          </w14:textFill>
        </w:rPr>
        <w:t xml:space="preserve">         </w:t>
      </w:r>
      <w:r>
        <w:rPr>
          <w:bCs/>
          <w:color w:val="000000" w:themeColor="text1"/>
          <w:kern w:val="0"/>
          <w:szCs w:val="21"/>
          <w:highlight w:val="none"/>
          <w14:textFill>
            <w14:solidFill>
              <w14:schemeClr w14:val="tx1"/>
            </w14:solidFill>
          </w14:textFill>
        </w:rPr>
        <w:t xml:space="preserve">  </w:t>
      </w:r>
    </w:p>
    <w:p w14:paraId="05CEECE6">
      <w:pPr>
        <w:snapToGrid w:val="0"/>
        <w:spacing w:line="360" w:lineRule="auto"/>
        <w:ind w:firstLine="420" w:firstLineChars="200"/>
        <w:rPr>
          <w:bCs/>
          <w:color w:val="000000" w:themeColor="text1"/>
          <w:kern w:val="0"/>
          <w:szCs w:val="21"/>
          <w:highlight w:val="none"/>
          <w:u w:val="single"/>
          <w14:textFill>
            <w14:solidFill>
              <w14:schemeClr w14:val="tx1"/>
            </w14:solidFill>
          </w14:textFill>
        </w:rPr>
      </w:pPr>
      <w:r>
        <w:rPr>
          <w:bCs/>
          <w:color w:val="000000" w:themeColor="text1"/>
          <w:kern w:val="0"/>
          <w:szCs w:val="21"/>
          <w:highlight w:val="none"/>
          <w14:textFill>
            <w14:solidFill>
              <w14:schemeClr w14:val="tx1"/>
            </w14:solidFill>
          </w14:textFill>
        </w:rPr>
        <w:t>联系人：</w:t>
      </w:r>
      <w:r>
        <w:rPr>
          <w:bCs/>
          <w:color w:val="000000" w:themeColor="text1"/>
          <w:kern w:val="0"/>
          <w:szCs w:val="21"/>
          <w:highlight w:val="none"/>
          <w:u w:val="single"/>
          <w14:textFill>
            <w14:solidFill>
              <w14:schemeClr w14:val="tx1"/>
            </w14:solidFill>
          </w14:textFill>
        </w:rPr>
        <w:t xml:space="preserve">                                        </w:t>
      </w:r>
      <w:r>
        <w:rPr>
          <w:bCs/>
          <w:color w:val="000000" w:themeColor="text1"/>
          <w:kern w:val="0"/>
          <w:szCs w:val="21"/>
          <w:highlight w:val="none"/>
          <w14:textFill>
            <w14:solidFill>
              <w14:schemeClr w14:val="tx1"/>
            </w14:solidFill>
          </w14:textFill>
        </w:rPr>
        <w:t>联系电话：</w:t>
      </w:r>
      <w:r>
        <w:rPr>
          <w:bCs/>
          <w:color w:val="000000" w:themeColor="text1"/>
          <w:kern w:val="0"/>
          <w:szCs w:val="21"/>
          <w:highlight w:val="none"/>
          <w:u w:val="single"/>
          <w14:textFill>
            <w14:solidFill>
              <w14:schemeClr w14:val="tx1"/>
            </w14:solidFill>
          </w14:textFill>
        </w:rPr>
        <w:t xml:space="preserve">                </w:t>
      </w:r>
    </w:p>
    <w:p w14:paraId="61D1CBD1">
      <w:pPr>
        <w:snapToGrid w:val="0"/>
        <w:spacing w:line="360" w:lineRule="auto"/>
        <w:ind w:firstLine="420" w:firstLineChars="200"/>
        <w:rPr>
          <w:bCs/>
          <w:color w:val="000000" w:themeColor="text1"/>
          <w:kern w:val="0"/>
          <w:szCs w:val="21"/>
          <w:highlight w:val="none"/>
          <w14:textFill>
            <w14:solidFill>
              <w14:schemeClr w14:val="tx1"/>
            </w14:solidFill>
          </w14:textFill>
        </w:rPr>
      </w:pPr>
      <w:r>
        <w:rPr>
          <w:bCs/>
          <w:color w:val="000000" w:themeColor="text1"/>
          <w:kern w:val="0"/>
          <w:szCs w:val="21"/>
          <w:highlight w:val="none"/>
          <w14:textFill>
            <w14:solidFill>
              <w14:schemeClr w14:val="tx1"/>
            </w14:solidFill>
          </w14:textFill>
        </w:rPr>
        <w:t>被投诉人2：</w:t>
      </w:r>
    </w:p>
    <w:p w14:paraId="6A8D6A13">
      <w:pPr>
        <w:snapToGrid w:val="0"/>
        <w:spacing w:line="360" w:lineRule="auto"/>
        <w:ind w:firstLine="420" w:firstLineChars="200"/>
        <w:rPr>
          <w:bCs/>
          <w:color w:val="000000" w:themeColor="text1"/>
          <w:kern w:val="0"/>
          <w:szCs w:val="21"/>
          <w:highlight w:val="none"/>
          <w14:textFill>
            <w14:solidFill>
              <w14:schemeClr w14:val="tx1"/>
            </w14:solidFill>
          </w14:textFill>
        </w:rPr>
      </w:pPr>
      <w:r>
        <w:rPr>
          <w:bCs/>
          <w:color w:val="000000" w:themeColor="text1"/>
          <w:kern w:val="0"/>
          <w:szCs w:val="21"/>
          <w:highlight w:val="none"/>
          <w14:textFill>
            <w14:solidFill>
              <w14:schemeClr w14:val="tx1"/>
            </w14:solidFill>
          </w14:textFill>
        </w:rPr>
        <w:t>……</w:t>
      </w:r>
    </w:p>
    <w:p w14:paraId="36B40DD6">
      <w:pPr>
        <w:snapToGrid w:val="0"/>
        <w:spacing w:line="360" w:lineRule="auto"/>
        <w:ind w:firstLine="420" w:firstLineChars="200"/>
        <w:rPr>
          <w:bCs/>
          <w:color w:val="000000" w:themeColor="text1"/>
          <w:kern w:val="0"/>
          <w:szCs w:val="21"/>
          <w:highlight w:val="none"/>
          <w:u w:val="single"/>
          <w14:textFill>
            <w14:solidFill>
              <w14:schemeClr w14:val="tx1"/>
            </w14:solidFill>
          </w14:textFill>
        </w:rPr>
      </w:pPr>
      <w:r>
        <w:rPr>
          <w:bCs/>
          <w:color w:val="000000" w:themeColor="text1"/>
          <w:kern w:val="0"/>
          <w:szCs w:val="21"/>
          <w:highlight w:val="none"/>
          <w14:textFill>
            <w14:solidFill>
              <w14:schemeClr w14:val="tx1"/>
            </w14:solidFill>
          </w14:textFill>
        </w:rPr>
        <w:t>相关供应商：</w:t>
      </w:r>
      <w:r>
        <w:rPr>
          <w:bCs/>
          <w:color w:val="000000" w:themeColor="text1"/>
          <w:kern w:val="0"/>
          <w:szCs w:val="21"/>
          <w:highlight w:val="none"/>
          <w:u w:val="single"/>
          <w14:textFill>
            <w14:solidFill>
              <w14:schemeClr w14:val="tx1"/>
            </w14:solidFill>
          </w14:textFill>
        </w:rPr>
        <w:t xml:space="preserve">                                                                       </w:t>
      </w:r>
    </w:p>
    <w:p w14:paraId="06DB3A2E">
      <w:pPr>
        <w:snapToGrid w:val="0"/>
        <w:spacing w:line="360" w:lineRule="auto"/>
        <w:ind w:firstLine="420" w:firstLineChars="200"/>
        <w:rPr>
          <w:bCs/>
          <w:color w:val="000000" w:themeColor="text1"/>
          <w:kern w:val="0"/>
          <w:szCs w:val="21"/>
          <w:highlight w:val="none"/>
          <w:u w:val="single"/>
          <w14:textFill>
            <w14:solidFill>
              <w14:schemeClr w14:val="tx1"/>
            </w14:solidFill>
          </w14:textFill>
        </w:rPr>
      </w:pPr>
      <w:r>
        <w:rPr>
          <w:bCs/>
          <w:color w:val="000000" w:themeColor="text1"/>
          <w:kern w:val="0"/>
          <w:szCs w:val="21"/>
          <w:highlight w:val="none"/>
          <w14:textFill>
            <w14:solidFill>
              <w14:schemeClr w14:val="tx1"/>
            </w14:solidFill>
          </w14:textFill>
        </w:rPr>
        <w:t>地址：</w:t>
      </w:r>
      <w:r>
        <w:rPr>
          <w:bCs/>
          <w:color w:val="000000" w:themeColor="text1"/>
          <w:kern w:val="0"/>
          <w:szCs w:val="21"/>
          <w:highlight w:val="none"/>
          <w:u w:val="single"/>
          <w14:textFill>
            <w14:solidFill>
              <w14:schemeClr w14:val="tx1"/>
            </w14:solidFill>
          </w14:textFill>
        </w:rPr>
        <w:t xml:space="preserve">                                          </w:t>
      </w:r>
      <w:r>
        <w:rPr>
          <w:bCs/>
          <w:color w:val="000000" w:themeColor="text1"/>
          <w:kern w:val="0"/>
          <w:szCs w:val="21"/>
          <w:highlight w:val="none"/>
          <w14:textFill>
            <w14:solidFill>
              <w14:schemeClr w14:val="tx1"/>
            </w14:solidFill>
          </w14:textFill>
        </w:rPr>
        <w:t>邮编：</w:t>
      </w:r>
      <w:r>
        <w:rPr>
          <w:bCs/>
          <w:color w:val="000000" w:themeColor="text1"/>
          <w:kern w:val="0"/>
          <w:szCs w:val="21"/>
          <w:highlight w:val="none"/>
          <w:u w:val="single"/>
          <w14:textFill>
            <w14:solidFill>
              <w14:schemeClr w14:val="tx1"/>
            </w14:solidFill>
          </w14:textFill>
        </w:rPr>
        <w:t xml:space="preserve">                         </w:t>
      </w:r>
    </w:p>
    <w:p w14:paraId="6AE49525">
      <w:pPr>
        <w:snapToGrid w:val="0"/>
        <w:spacing w:line="360" w:lineRule="auto"/>
        <w:ind w:firstLine="420" w:firstLineChars="200"/>
        <w:rPr>
          <w:bCs/>
          <w:color w:val="000000" w:themeColor="text1"/>
          <w:kern w:val="0"/>
          <w:szCs w:val="21"/>
          <w:highlight w:val="none"/>
          <w14:textFill>
            <w14:solidFill>
              <w14:schemeClr w14:val="tx1"/>
            </w14:solidFill>
          </w14:textFill>
        </w:rPr>
      </w:pPr>
      <w:r>
        <w:rPr>
          <w:bCs/>
          <w:color w:val="000000" w:themeColor="text1"/>
          <w:kern w:val="0"/>
          <w:szCs w:val="21"/>
          <w:highlight w:val="none"/>
          <w14:textFill>
            <w14:solidFill>
              <w14:schemeClr w14:val="tx1"/>
            </w14:solidFill>
          </w14:textFill>
        </w:rPr>
        <w:t>联系人：</w:t>
      </w:r>
      <w:r>
        <w:rPr>
          <w:bCs/>
          <w:color w:val="000000" w:themeColor="text1"/>
          <w:kern w:val="0"/>
          <w:szCs w:val="21"/>
          <w:highlight w:val="none"/>
          <w:u w:val="single"/>
          <w14:textFill>
            <w14:solidFill>
              <w14:schemeClr w14:val="tx1"/>
            </w14:solidFill>
          </w14:textFill>
        </w:rPr>
        <w:t xml:space="preserve">                                        </w:t>
      </w:r>
      <w:r>
        <w:rPr>
          <w:bCs/>
          <w:color w:val="000000" w:themeColor="text1"/>
          <w:kern w:val="0"/>
          <w:szCs w:val="21"/>
          <w:highlight w:val="none"/>
          <w14:textFill>
            <w14:solidFill>
              <w14:schemeClr w14:val="tx1"/>
            </w14:solidFill>
          </w14:textFill>
        </w:rPr>
        <w:t>联系电话：</w:t>
      </w:r>
      <w:r>
        <w:rPr>
          <w:bCs/>
          <w:color w:val="000000" w:themeColor="text1"/>
          <w:kern w:val="0"/>
          <w:szCs w:val="21"/>
          <w:highlight w:val="none"/>
          <w:u w:val="single"/>
          <w14:textFill>
            <w14:solidFill>
              <w14:schemeClr w14:val="tx1"/>
            </w14:solidFill>
          </w14:textFill>
        </w:rPr>
        <w:t xml:space="preserve">                     </w:t>
      </w:r>
      <w:r>
        <w:rPr>
          <w:bCs/>
          <w:color w:val="000000" w:themeColor="text1"/>
          <w:kern w:val="0"/>
          <w:szCs w:val="21"/>
          <w:highlight w:val="none"/>
          <w14:textFill>
            <w14:solidFill>
              <w14:schemeClr w14:val="tx1"/>
            </w14:solidFill>
          </w14:textFill>
        </w:rPr>
        <w:t xml:space="preserve">                </w:t>
      </w:r>
    </w:p>
    <w:p w14:paraId="6C49F785">
      <w:pPr>
        <w:snapToGrid w:val="0"/>
        <w:spacing w:line="360" w:lineRule="auto"/>
        <w:ind w:firstLine="422" w:firstLineChars="200"/>
        <w:rPr>
          <w:b/>
          <w:bCs/>
          <w:color w:val="000000" w:themeColor="text1"/>
          <w:kern w:val="0"/>
          <w:szCs w:val="21"/>
          <w:highlight w:val="none"/>
          <w14:textFill>
            <w14:solidFill>
              <w14:schemeClr w14:val="tx1"/>
            </w14:solidFill>
          </w14:textFill>
        </w:rPr>
      </w:pPr>
      <w:r>
        <w:rPr>
          <w:b/>
          <w:bCs/>
          <w:color w:val="000000" w:themeColor="text1"/>
          <w:kern w:val="0"/>
          <w:szCs w:val="21"/>
          <w:highlight w:val="none"/>
          <w14:textFill>
            <w14:solidFill>
              <w14:schemeClr w14:val="tx1"/>
            </w14:solidFill>
          </w14:textFill>
        </w:rPr>
        <w:t>二、投诉项目基本情况：</w:t>
      </w:r>
    </w:p>
    <w:p w14:paraId="2C9222E4">
      <w:pPr>
        <w:spacing w:line="360" w:lineRule="auto"/>
        <w:ind w:left="25" w:leftChars="12" w:firstLine="413" w:firstLineChars="197"/>
        <w:rPr>
          <w:color w:val="000000" w:themeColor="text1"/>
          <w:kern w:val="0"/>
          <w:szCs w:val="21"/>
          <w:highlight w:val="none"/>
          <w14:textFill>
            <w14:solidFill>
              <w14:schemeClr w14:val="tx1"/>
            </w14:solidFill>
          </w14:textFill>
        </w:rPr>
      </w:pPr>
      <w:r>
        <w:rPr>
          <w:bCs/>
          <w:color w:val="000000" w:themeColor="text1"/>
          <w:kern w:val="0"/>
          <w:szCs w:val="21"/>
          <w:highlight w:val="none"/>
          <w14:textFill>
            <w14:solidFill>
              <w14:schemeClr w14:val="tx1"/>
            </w14:solidFill>
          </w14:textFill>
        </w:rPr>
        <w:t>采购</w:t>
      </w:r>
      <w:r>
        <w:rPr>
          <w:color w:val="000000" w:themeColor="text1"/>
          <w:kern w:val="0"/>
          <w:szCs w:val="21"/>
          <w:highlight w:val="none"/>
          <w14:textFill>
            <w14:solidFill>
              <w14:schemeClr w14:val="tx1"/>
            </w14:solidFill>
          </w14:textFill>
        </w:rPr>
        <w:t>项目的名称：</w:t>
      </w:r>
      <w:r>
        <w:rPr>
          <w:bCs/>
          <w:color w:val="000000" w:themeColor="text1"/>
          <w:kern w:val="0"/>
          <w:szCs w:val="21"/>
          <w:highlight w:val="none"/>
          <w:u w:val="single"/>
          <w14:textFill>
            <w14:solidFill>
              <w14:schemeClr w14:val="tx1"/>
            </w14:solidFill>
          </w14:textFill>
        </w:rPr>
        <w:t xml:space="preserve">                                                                   </w:t>
      </w:r>
    </w:p>
    <w:p w14:paraId="0CA29551">
      <w:pPr>
        <w:spacing w:line="360" w:lineRule="auto"/>
        <w:ind w:left="25" w:leftChars="12" w:firstLine="413" w:firstLineChars="197"/>
        <w:rPr>
          <w:color w:val="000000" w:themeColor="text1"/>
          <w:kern w:val="0"/>
          <w:szCs w:val="21"/>
          <w:highlight w:val="none"/>
          <w14:textFill>
            <w14:solidFill>
              <w14:schemeClr w14:val="tx1"/>
            </w14:solidFill>
          </w14:textFill>
        </w:rPr>
      </w:pPr>
      <w:r>
        <w:rPr>
          <w:bCs/>
          <w:color w:val="000000" w:themeColor="text1"/>
          <w:kern w:val="0"/>
          <w:szCs w:val="21"/>
          <w:highlight w:val="none"/>
          <w14:textFill>
            <w14:solidFill>
              <w14:schemeClr w14:val="tx1"/>
            </w14:solidFill>
          </w14:textFill>
        </w:rPr>
        <w:t>采购</w:t>
      </w:r>
      <w:r>
        <w:rPr>
          <w:color w:val="000000" w:themeColor="text1"/>
          <w:kern w:val="0"/>
          <w:szCs w:val="21"/>
          <w:highlight w:val="none"/>
          <w14:textFill>
            <w14:solidFill>
              <w14:schemeClr w14:val="tx1"/>
            </w14:solidFill>
          </w14:textFill>
        </w:rPr>
        <w:t>项目的编号：</w:t>
      </w:r>
      <w:r>
        <w:rPr>
          <w:bCs/>
          <w:color w:val="000000" w:themeColor="text1"/>
          <w:kern w:val="0"/>
          <w:szCs w:val="21"/>
          <w:highlight w:val="none"/>
          <w:u w:val="single"/>
          <w14:textFill>
            <w14:solidFill>
              <w14:schemeClr w14:val="tx1"/>
            </w14:solidFill>
          </w14:textFill>
        </w:rPr>
        <w:t xml:space="preserve">                                          </w:t>
      </w:r>
    </w:p>
    <w:p w14:paraId="5C5AA042">
      <w:pPr>
        <w:spacing w:line="360" w:lineRule="auto"/>
        <w:ind w:left="25" w:leftChars="12" w:firstLine="413" w:firstLineChars="197"/>
        <w:rPr>
          <w:bCs/>
          <w:color w:val="000000" w:themeColor="text1"/>
          <w:kern w:val="0"/>
          <w:szCs w:val="21"/>
          <w:highlight w:val="none"/>
          <w:u w:val="single"/>
          <w14:textFill>
            <w14:solidFill>
              <w14:schemeClr w14:val="tx1"/>
            </w14:solidFill>
          </w14:textFill>
        </w:rPr>
      </w:pPr>
      <w:r>
        <w:rPr>
          <w:color w:val="000000" w:themeColor="text1"/>
          <w:kern w:val="0"/>
          <w:szCs w:val="21"/>
          <w:highlight w:val="none"/>
          <w14:textFill>
            <w14:solidFill>
              <w14:schemeClr w14:val="tx1"/>
            </w14:solidFill>
          </w14:textFill>
        </w:rPr>
        <w:t>采购人名称：</w:t>
      </w:r>
      <w:r>
        <w:rPr>
          <w:bCs/>
          <w:color w:val="000000" w:themeColor="text1"/>
          <w:kern w:val="0"/>
          <w:szCs w:val="21"/>
          <w:highlight w:val="none"/>
          <w:u w:val="single"/>
          <w14:textFill>
            <w14:solidFill>
              <w14:schemeClr w14:val="tx1"/>
            </w14:solidFill>
          </w14:textFill>
        </w:rPr>
        <w:t xml:space="preserve">                                                                        </w:t>
      </w:r>
    </w:p>
    <w:p w14:paraId="5F2A956B">
      <w:pPr>
        <w:spacing w:line="360" w:lineRule="auto"/>
        <w:ind w:left="25" w:leftChars="12" w:firstLine="413" w:firstLineChars="197"/>
        <w:rPr>
          <w:bCs/>
          <w:color w:val="000000" w:themeColor="text1"/>
          <w:kern w:val="0"/>
          <w:szCs w:val="21"/>
          <w:highlight w:val="none"/>
          <w:u w:val="single"/>
          <w14:textFill>
            <w14:solidFill>
              <w14:schemeClr w14:val="tx1"/>
            </w14:solidFill>
          </w14:textFill>
        </w:rPr>
      </w:pPr>
      <w:r>
        <w:rPr>
          <w:color w:val="000000" w:themeColor="text1"/>
          <w:kern w:val="0"/>
          <w:szCs w:val="21"/>
          <w:highlight w:val="none"/>
          <w14:textFill>
            <w14:solidFill>
              <w14:schemeClr w14:val="tx1"/>
            </w14:solidFill>
          </w14:textFill>
        </w:rPr>
        <w:t>代理机构名称：</w:t>
      </w:r>
      <w:r>
        <w:rPr>
          <w:bCs/>
          <w:color w:val="000000" w:themeColor="text1"/>
          <w:kern w:val="0"/>
          <w:szCs w:val="21"/>
          <w:highlight w:val="none"/>
          <w:u w:val="single"/>
          <w14:textFill>
            <w14:solidFill>
              <w14:schemeClr w14:val="tx1"/>
            </w14:solidFill>
          </w14:textFill>
        </w:rPr>
        <w:t xml:space="preserve">                                                                      </w:t>
      </w:r>
    </w:p>
    <w:p w14:paraId="1BE3CBF3">
      <w:pPr>
        <w:spacing w:line="360" w:lineRule="auto"/>
        <w:ind w:left="25" w:leftChars="12" w:firstLine="413" w:firstLineChars="197"/>
        <w:rPr>
          <w:bCs/>
          <w:color w:val="000000" w:themeColor="text1"/>
          <w:kern w:val="0"/>
          <w:szCs w:val="21"/>
          <w:highlight w:val="none"/>
          <w:u w:val="single"/>
          <w14:textFill>
            <w14:solidFill>
              <w14:schemeClr w14:val="tx1"/>
            </w14:solidFill>
          </w14:textFill>
        </w:rPr>
      </w:pPr>
      <w:r>
        <w:rPr>
          <w:bCs/>
          <w:color w:val="000000" w:themeColor="text1"/>
          <w:kern w:val="0"/>
          <w:szCs w:val="21"/>
          <w:highlight w:val="none"/>
          <w14:textFill>
            <w14:solidFill>
              <w14:schemeClr w14:val="tx1"/>
            </w14:solidFill>
          </w14:textFill>
        </w:rPr>
        <w:t>采购文件公告：</w:t>
      </w:r>
      <w:r>
        <w:rPr>
          <w:bCs/>
          <w:color w:val="000000" w:themeColor="text1"/>
          <w:kern w:val="0"/>
          <w:szCs w:val="21"/>
          <w:highlight w:val="none"/>
          <w:u w:val="single"/>
          <w14:textFill>
            <w14:solidFill>
              <w14:schemeClr w14:val="tx1"/>
            </w14:solidFill>
          </w14:textFill>
        </w:rPr>
        <w:t>是/否</w:t>
      </w:r>
      <w:r>
        <w:rPr>
          <w:bCs/>
          <w:color w:val="000000" w:themeColor="text1"/>
          <w:kern w:val="0"/>
          <w:szCs w:val="21"/>
          <w:highlight w:val="none"/>
          <w14:textFill>
            <w14:solidFill>
              <w14:schemeClr w14:val="tx1"/>
            </w14:solidFill>
          </w14:textFill>
        </w:rPr>
        <w:t>公告期限：</w:t>
      </w:r>
      <w:r>
        <w:rPr>
          <w:bCs/>
          <w:color w:val="000000" w:themeColor="text1"/>
          <w:kern w:val="0"/>
          <w:szCs w:val="21"/>
          <w:highlight w:val="none"/>
          <w:u w:val="single"/>
          <w14:textFill>
            <w14:solidFill>
              <w14:schemeClr w14:val="tx1"/>
            </w14:solidFill>
          </w14:textFill>
        </w:rPr>
        <w:t xml:space="preserve">                                                       </w:t>
      </w:r>
    </w:p>
    <w:p w14:paraId="0F507A11">
      <w:pPr>
        <w:spacing w:line="360" w:lineRule="auto"/>
        <w:ind w:left="25" w:leftChars="12" w:firstLine="413" w:firstLineChars="197"/>
        <w:rPr>
          <w:b/>
          <w:color w:val="000000" w:themeColor="text1"/>
          <w:kern w:val="0"/>
          <w:szCs w:val="21"/>
          <w:highlight w:val="none"/>
          <w14:textFill>
            <w14:solidFill>
              <w14:schemeClr w14:val="tx1"/>
            </w14:solidFill>
          </w14:textFill>
        </w:rPr>
      </w:pPr>
      <w:r>
        <w:rPr>
          <w:bCs/>
          <w:color w:val="000000" w:themeColor="text1"/>
          <w:kern w:val="0"/>
          <w:szCs w:val="21"/>
          <w:highlight w:val="none"/>
          <w14:textFill>
            <w14:solidFill>
              <w14:schemeClr w14:val="tx1"/>
            </w14:solidFill>
          </w14:textFill>
        </w:rPr>
        <w:t>采购结果公告：</w:t>
      </w:r>
      <w:r>
        <w:rPr>
          <w:bCs/>
          <w:color w:val="000000" w:themeColor="text1"/>
          <w:kern w:val="0"/>
          <w:szCs w:val="21"/>
          <w:highlight w:val="none"/>
          <w:u w:val="single"/>
          <w14:textFill>
            <w14:solidFill>
              <w14:schemeClr w14:val="tx1"/>
            </w14:solidFill>
          </w14:textFill>
        </w:rPr>
        <w:t>是/否</w:t>
      </w:r>
      <w:r>
        <w:rPr>
          <w:bCs/>
          <w:color w:val="000000" w:themeColor="text1"/>
          <w:kern w:val="0"/>
          <w:szCs w:val="21"/>
          <w:highlight w:val="none"/>
          <w14:textFill>
            <w14:solidFill>
              <w14:schemeClr w14:val="tx1"/>
            </w14:solidFill>
          </w14:textFill>
        </w:rPr>
        <w:t>公告期限：</w:t>
      </w:r>
      <w:r>
        <w:rPr>
          <w:bCs/>
          <w:color w:val="000000" w:themeColor="text1"/>
          <w:kern w:val="0"/>
          <w:szCs w:val="21"/>
          <w:highlight w:val="none"/>
          <w:u w:val="single"/>
          <w14:textFill>
            <w14:solidFill>
              <w14:schemeClr w14:val="tx1"/>
            </w14:solidFill>
          </w14:textFill>
        </w:rPr>
        <w:t xml:space="preserve">                                                       </w:t>
      </w:r>
    </w:p>
    <w:p w14:paraId="3D93ECC7">
      <w:pPr>
        <w:spacing w:line="360" w:lineRule="auto"/>
        <w:ind w:left="25" w:leftChars="12" w:firstLine="413" w:firstLineChars="196"/>
        <w:rPr>
          <w:b/>
          <w:color w:val="000000" w:themeColor="text1"/>
          <w:kern w:val="0"/>
          <w:szCs w:val="21"/>
          <w:highlight w:val="none"/>
          <w14:textFill>
            <w14:solidFill>
              <w14:schemeClr w14:val="tx1"/>
            </w14:solidFill>
          </w14:textFill>
        </w:rPr>
      </w:pPr>
      <w:r>
        <w:rPr>
          <w:b/>
          <w:color w:val="000000" w:themeColor="text1"/>
          <w:kern w:val="0"/>
          <w:szCs w:val="21"/>
          <w:highlight w:val="none"/>
          <w14:textFill>
            <w14:solidFill>
              <w14:schemeClr w14:val="tx1"/>
            </w14:solidFill>
          </w14:textFill>
        </w:rPr>
        <w:t>三、质疑基本情况</w:t>
      </w:r>
    </w:p>
    <w:p w14:paraId="18A28962">
      <w:pPr>
        <w:spacing w:line="360" w:lineRule="auto"/>
        <w:ind w:firstLine="420" w:firstLineChars="200"/>
        <w:rPr>
          <w:color w:val="000000" w:themeColor="text1"/>
          <w:kern w:val="0"/>
          <w:szCs w:val="21"/>
          <w:highlight w:val="none"/>
          <w14:textFill>
            <w14:solidFill>
              <w14:schemeClr w14:val="tx1"/>
            </w14:solidFill>
          </w14:textFill>
        </w:rPr>
      </w:pPr>
      <w:r>
        <w:rPr>
          <w:color w:val="000000" w:themeColor="text1"/>
          <w:kern w:val="0"/>
          <w:szCs w:val="21"/>
          <w:highlight w:val="none"/>
          <w14:textFill>
            <w14:solidFill>
              <w14:schemeClr w14:val="tx1"/>
            </w14:solidFill>
          </w14:textFill>
        </w:rPr>
        <w:t>投诉人于</w:t>
      </w:r>
      <w:r>
        <w:rPr>
          <w:color w:val="000000" w:themeColor="text1"/>
          <w:kern w:val="0"/>
          <w:szCs w:val="21"/>
          <w:highlight w:val="none"/>
          <w:u w:val="single"/>
          <w14:textFill>
            <w14:solidFill>
              <w14:schemeClr w14:val="tx1"/>
            </w14:solidFill>
          </w14:textFill>
        </w:rPr>
        <w:t xml:space="preserve">      </w:t>
      </w:r>
      <w:r>
        <w:rPr>
          <w:color w:val="000000" w:themeColor="text1"/>
          <w:kern w:val="0"/>
          <w:szCs w:val="21"/>
          <w:highlight w:val="none"/>
          <w14:textFill>
            <w14:solidFill>
              <w14:schemeClr w14:val="tx1"/>
            </w14:solidFill>
          </w14:textFill>
        </w:rPr>
        <w:t>年</w:t>
      </w:r>
      <w:r>
        <w:rPr>
          <w:color w:val="000000" w:themeColor="text1"/>
          <w:kern w:val="0"/>
          <w:szCs w:val="21"/>
          <w:highlight w:val="none"/>
          <w:u w:val="single"/>
          <w14:textFill>
            <w14:solidFill>
              <w14:schemeClr w14:val="tx1"/>
            </w14:solidFill>
          </w14:textFill>
        </w:rPr>
        <w:t xml:space="preserve">   </w:t>
      </w:r>
      <w:r>
        <w:rPr>
          <w:color w:val="000000" w:themeColor="text1"/>
          <w:kern w:val="0"/>
          <w:szCs w:val="21"/>
          <w:highlight w:val="none"/>
          <w14:textFill>
            <w14:solidFill>
              <w14:schemeClr w14:val="tx1"/>
            </w14:solidFill>
          </w14:textFill>
        </w:rPr>
        <w:t>月</w:t>
      </w:r>
      <w:r>
        <w:rPr>
          <w:color w:val="000000" w:themeColor="text1"/>
          <w:kern w:val="0"/>
          <w:szCs w:val="21"/>
          <w:highlight w:val="none"/>
          <w:u w:val="single"/>
          <w14:textFill>
            <w14:solidFill>
              <w14:schemeClr w14:val="tx1"/>
            </w14:solidFill>
          </w14:textFill>
        </w:rPr>
        <w:t xml:space="preserve">   </w:t>
      </w:r>
      <w:r>
        <w:rPr>
          <w:color w:val="000000" w:themeColor="text1"/>
          <w:kern w:val="0"/>
          <w:szCs w:val="21"/>
          <w:highlight w:val="none"/>
          <w14:textFill>
            <w14:solidFill>
              <w14:schemeClr w14:val="tx1"/>
            </w14:solidFill>
          </w14:textFill>
        </w:rPr>
        <w:t>日，向</w:t>
      </w:r>
      <w:r>
        <w:rPr>
          <w:color w:val="000000" w:themeColor="text1"/>
          <w:kern w:val="0"/>
          <w:szCs w:val="21"/>
          <w:highlight w:val="none"/>
          <w:u w:val="single"/>
          <w14:textFill>
            <w14:solidFill>
              <w14:schemeClr w14:val="tx1"/>
            </w14:solidFill>
          </w14:textFill>
        </w:rPr>
        <w:t xml:space="preserve">                                </w:t>
      </w:r>
      <w:r>
        <w:rPr>
          <w:color w:val="000000" w:themeColor="text1"/>
          <w:kern w:val="0"/>
          <w:szCs w:val="21"/>
          <w:highlight w:val="none"/>
          <w14:textFill>
            <w14:solidFill>
              <w14:schemeClr w14:val="tx1"/>
            </w14:solidFill>
          </w14:textFill>
        </w:rPr>
        <w:t>提出质疑，质疑事项为：</w:t>
      </w:r>
    </w:p>
    <w:p w14:paraId="789CB7F9">
      <w:pPr>
        <w:spacing w:line="360" w:lineRule="auto"/>
        <w:ind w:firstLine="241"/>
        <w:rPr>
          <w:bCs/>
          <w:color w:val="000000" w:themeColor="text1"/>
          <w:kern w:val="0"/>
          <w:szCs w:val="21"/>
          <w:highlight w:val="none"/>
          <w:u w:val="single"/>
          <w14:textFill>
            <w14:solidFill>
              <w14:schemeClr w14:val="tx1"/>
            </w14:solidFill>
          </w14:textFill>
        </w:rPr>
      </w:pPr>
      <w:r>
        <w:rPr>
          <w:color w:val="000000" w:themeColor="text1"/>
          <w:kern w:val="0"/>
          <w:szCs w:val="21"/>
          <w:highlight w:val="none"/>
          <w14:textFill>
            <w14:solidFill>
              <w14:schemeClr w14:val="tx1"/>
            </w14:solidFill>
          </w14:textFill>
        </w:rPr>
        <w:t xml:space="preserve">    </w:t>
      </w:r>
      <w:r>
        <w:rPr>
          <w:bCs/>
          <w:color w:val="000000" w:themeColor="text1"/>
          <w:kern w:val="0"/>
          <w:szCs w:val="21"/>
          <w:highlight w:val="none"/>
          <w:u w:val="single"/>
          <w14:textFill>
            <w14:solidFill>
              <w14:schemeClr w14:val="tx1"/>
            </w14:solidFill>
          </w14:textFill>
        </w:rPr>
        <w:t xml:space="preserve">                                                                                      </w:t>
      </w:r>
    </w:p>
    <w:p w14:paraId="5972044A">
      <w:pPr>
        <w:spacing w:line="360" w:lineRule="auto"/>
        <w:ind w:firstLine="241"/>
        <w:rPr>
          <w:bCs/>
          <w:color w:val="000000" w:themeColor="text1"/>
          <w:kern w:val="0"/>
          <w:szCs w:val="21"/>
          <w:highlight w:val="none"/>
          <w:u w:val="single"/>
          <w14:textFill>
            <w14:solidFill>
              <w14:schemeClr w14:val="tx1"/>
            </w14:solidFill>
          </w14:textFill>
        </w:rPr>
      </w:pPr>
      <w:r>
        <w:rPr>
          <w:bCs/>
          <w:color w:val="000000" w:themeColor="text1"/>
          <w:kern w:val="0"/>
          <w:szCs w:val="21"/>
          <w:highlight w:val="none"/>
          <w14:textFill>
            <w14:solidFill>
              <w14:schemeClr w14:val="tx1"/>
            </w14:solidFill>
          </w14:textFill>
        </w:rPr>
        <w:t xml:space="preserve">    </w:t>
      </w:r>
      <w:r>
        <w:rPr>
          <w:bCs/>
          <w:color w:val="000000" w:themeColor="text1"/>
          <w:kern w:val="0"/>
          <w:szCs w:val="21"/>
          <w:highlight w:val="none"/>
          <w:u w:val="single"/>
          <w14:textFill>
            <w14:solidFill>
              <w14:schemeClr w14:val="tx1"/>
            </w14:solidFill>
          </w14:textFill>
        </w:rPr>
        <w:t xml:space="preserve">                                                                                      </w:t>
      </w:r>
    </w:p>
    <w:p w14:paraId="0E68E79C">
      <w:pPr>
        <w:spacing w:line="360" w:lineRule="auto"/>
        <w:ind w:firstLine="420" w:firstLineChars="200"/>
        <w:rPr>
          <w:bCs/>
          <w:color w:val="000000" w:themeColor="text1"/>
          <w:kern w:val="0"/>
          <w:szCs w:val="21"/>
          <w:highlight w:val="none"/>
          <w14:textFill>
            <w14:solidFill>
              <w14:schemeClr w14:val="tx1"/>
            </w14:solidFill>
          </w14:textFill>
        </w:rPr>
      </w:pPr>
      <w:r>
        <w:rPr>
          <w:bCs/>
          <w:color w:val="000000" w:themeColor="text1"/>
          <w:kern w:val="0"/>
          <w:szCs w:val="21"/>
          <w:highlight w:val="none"/>
          <w:u w:val="single"/>
          <w14:textFill>
            <w14:solidFill>
              <w14:schemeClr w14:val="tx1"/>
            </w14:solidFill>
          </w14:textFill>
        </w:rPr>
        <w:t>采购人/采购代理机构</w:t>
      </w:r>
      <w:r>
        <w:rPr>
          <w:bCs/>
          <w:color w:val="000000" w:themeColor="text1"/>
          <w:kern w:val="0"/>
          <w:szCs w:val="21"/>
          <w:highlight w:val="none"/>
          <w14:textFill>
            <w14:solidFill>
              <w14:schemeClr w14:val="tx1"/>
            </w14:solidFill>
          </w14:textFill>
        </w:rPr>
        <w:t>于</w:t>
      </w:r>
      <w:r>
        <w:rPr>
          <w:color w:val="000000" w:themeColor="text1"/>
          <w:kern w:val="0"/>
          <w:szCs w:val="21"/>
          <w:highlight w:val="none"/>
          <w:u w:val="single"/>
          <w14:textFill>
            <w14:solidFill>
              <w14:schemeClr w14:val="tx1"/>
            </w14:solidFill>
          </w14:textFill>
        </w:rPr>
        <w:t xml:space="preserve">      </w:t>
      </w:r>
      <w:r>
        <w:rPr>
          <w:color w:val="000000" w:themeColor="text1"/>
          <w:kern w:val="0"/>
          <w:szCs w:val="21"/>
          <w:highlight w:val="none"/>
          <w14:textFill>
            <w14:solidFill>
              <w14:schemeClr w14:val="tx1"/>
            </w14:solidFill>
          </w14:textFill>
        </w:rPr>
        <w:t>年</w:t>
      </w:r>
      <w:r>
        <w:rPr>
          <w:color w:val="000000" w:themeColor="text1"/>
          <w:kern w:val="0"/>
          <w:szCs w:val="21"/>
          <w:highlight w:val="none"/>
          <w:u w:val="single"/>
          <w14:textFill>
            <w14:solidFill>
              <w14:schemeClr w14:val="tx1"/>
            </w14:solidFill>
          </w14:textFill>
        </w:rPr>
        <w:t xml:space="preserve">   </w:t>
      </w:r>
      <w:r>
        <w:rPr>
          <w:color w:val="000000" w:themeColor="text1"/>
          <w:kern w:val="0"/>
          <w:szCs w:val="21"/>
          <w:highlight w:val="none"/>
          <w14:textFill>
            <w14:solidFill>
              <w14:schemeClr w14:val="tx1"/>
            </w14:solidFill>
          </w14:textFill>
        </w:rPr>
        <w:t>月</w:t>
      </w:r>
      <w:r>
        <w:rPr>
          <w:color w:val="000000" w:themeColor="text1"/>
          <w:kern w:val="0"/>
          <w:szCs w:val="21"/>
          <w:highlight w:val="none"/>
          <w:u w:val="single"/>
          <w14:textFill>
            <w14:solidFill>
              <w14:schemeClr w14:val="tx1"/>
            </w14:solidFill>
          </w14:textFill>
        </w:rPr>
        <w:t xml:space="preserve">   </w:t>
      </w:r>
      <w:r>
        <w:rPr>
          <w:color w:val="000000" w:themeColor="text1"/>
          <w:kern w:val="0"/>
          <w:szCs w:val="21"/>
          <w:highlight w:val="none"/>
          <w14:textFill>
            <w14:solidFill>
              <w14:schemeClr w14:val="tx1"/>
            </w14:solidFill>
          </w14:textFill>
        </w:rPr>
        <w:t>日，</w:t>
      </w:r>
      <w:r>
        <w:rPr>
          <w:bCs/>
          <w:color w:val="000000" w:themeColor="text1"/>
          <w:kern w:val="0"/>
          <w:szCs w:val="21"/>
          <w:highlight w:val="none"/>
          <w14:textFill>
            <w14:solidFill>
              <w14:schemeClr w14:val="tx1"/>
            </w14:solidFill>
          </w14:textFill>
        </w:rPr>
        <w:t xml:space="preserve">就质疑事项作出了答复/没有在法定期限内作出答复。 </w:t>
      </w:r>
    </w:p>
    <w:p w14:paraId="510A1A41">
      <w:pPr>
        <w:spacing w:line="360" w:lineRule="auto"/>
        <w:ind w:left="25" w:leftChars="12" w:firstLine="413" w:firstLineChars="196"/>
        <w:rPr>
          <w:b/>
          <w:color w:val="000000" w:themeColor="text1"/>
          <w:kern w:val="0"/>
          <w:szCs w:val="21"/>
          <w:highlight w:val="none"/>
          <w14:textFill>
            <w14:solidFill>
              <w14:schemeClr w14:val="tx1"/>
            </w14:solidFill>
          </w14:textFill>
        </w:rPr>
      </w:pPr>
      <w:r>
        <w:rPr>
          <w:b/>
          <w:color w:val="000000" w:themeColor="text1"/>
          <w:kern w:val="0"/>
          <w:szCs w:val="21"/>
          <w:highlight w:val="none"/>
          <w14:textFill>
            <w14:solidFill>
              <w14:schemeClr w14:val="tx1"/>
            </w14:solidFill>
          </w14:textFill>
        </w:rPr>
        <w:t>四、投诉事项具体内容</w:t>
      </w:r>
    </w:p>
    <w:p w14:paraId="7778374D">
      <w:pPr>
        <w:spacing w:line="360" w:lineRule="auto"/>
        <w:ind w:left="25" w:leftChars="12" w:firstLine="413" w:firstLineChars="197"/>
        <w:rPr>
          <w:bCs/>
          <w:color w:val="000000" w:themeColor="text1"/>
          <w:kern w:val="0"/>
          <w:szCs w:val="21"/>
          <w:highlight w:val="none"/>
          <w:u w:val="single"/>
          <w14:textFill>
            <w14:solidFill>
              <w14:schemeClr w14:val="tx1"/>
            </w14:solidFill>
          </w14:textFill>
        </w:rPr>
      </w:pPr>
      <w:r>
        <w:rPr>
          <w:color w:val="000000" w:themeColor="text1"/>
          <w:kern w:val="0"/>
          <w:szCs w:val="21"/>
          <w:highlight w:val="none"/>
          <w14:textFill>
            <w14:solidFill>
              <w14:schemeClr w14:val="tx1"/>
            </w14:solidFill>
          </w14:textFill>
        </w:rPr>
        <w:t>投诉事项1：</w:t>
      </w:r>
      <w:r>
        <w:rPr>
          <w:bCs/>
          <w:color w:val="000000" w:themeColor="text1"/>
          <w:kern w:val="0"/>
          <w:szCs w:val="21"/>
          <w:highlight w:val="none"/>
          <w:u w:val="single"/>
          <w14:textFill>
            <w14:solidFill>
              <w14:schemeClr w14:val="tx1"/>
            </w14:solidFill>
          </w14:textFill>
        </w:rPr>
        <w:t xml:space="preserve">                                                                           </w:t>
      </w:r>
    </w:p>
    <w:p w14:paraId="5B2A35F6">
      <w:pPr>
        <w:spacing w:line="360" w:lineRule="auto"/>
        <w:ind w:firstLine="420" w:firstLineChars="200"/>
        <w:rPr>
          <w:bCs/>
          <w:color w:val="000000" w:themeColor="text1"/>
          <w:kern w:val="0"/>
          <w:szCs w:val="21"/>
          <w:highlight w:val="none"/>
          <w:u w:val="single"/>
          <w14:textFill>
            <w14:solidFill>
              <w14:schemeClr w14:val="tx1"/>
            </w14:solidFill>
          </w14:textFill>
        </w:rPr>
      </w:pPr>
      <w:r>
        <w:rPr>
          <w:bCs/>
          <w:color w:val="000000" w:themeColor="text1"/>
          <w:kern w:val="0"/>
          <w:szCs w:val="21"/>
          <w:highlight w:val="none"/>
          <w14:textFill>
            <w14:solidFill>
              <w14:schemeClr w14:val="tx1"/>
            </w14:solidFill>
          </w14:textFill>
        </w:rPr>
        <w:t>事实依据：</w:t>
      </w:r>
      <w:r>
        <w:rPr>
          <w:color w:val="000000" w:themeColor="text1"/>
          <w:kern w:val="0"/>
          <w:szCs w:val="21"/>
          <w:highlight w:val="none"/>
          <w14:textFill>
            <w14:solidFill>
              <w14:schemeClr w14:val="tx1"/>
            </w14:solidFill>
          </w14:textFill>
        </w:rPr>
        <w:t xml:space="preserve"> </w:t>
      </w:r>
      <w:r>
        <w:rPr>
          <w:bCs/>
          <w:color w:val="000000" w:themeColor="text1"/>
          <w:kern w:val="0"/>
          <w:szCs w:val="21"/>
          <w:highlight w:val="none"/>
          <w:u w:val="single"/>
          <w14:textFill>
            <w14:solidFill>
              <w14:schemeClr w14:val="tx1"/>
            </w14:solidFill>
          </w14:textFill>
        </w:rPr>
        <w:t xml:space="preserve">                                                                                      </w:t>
      </w:r>
    </w:p>
    <w:p w14:paraId="4C7681D9">
      <w:pPr>
        <w:spacing w:line="360" w:lineRule="auto"/>
        <w:ind w:left="25" w:leftChars="12" w:firstLine="413" w:firstLineChars="197"/>
        <w:rPr>
          <w:color w:val="000000" w:themeColor="text1"/>
          <w:kern w:val="0"/>
          <w:szCs w:val="21"/>
          <w:highlight w:val="none"/>
          <w14:textFill>
            <w14:solidFill>
              <w14:schemeClr w14:val="tx1"/>
            </w14:solidFill>
          </w14:textFill>
        </w:rPr>
      </w:pPr>
      <w:r>
        <w:rPr>
          <w:bCs/>
          <w:color w:val="000000" w:themeColor="text1"/>
          <w:kern w:val="0"/>
          <w:szCs w:val="21"/>
          <w:highlight w:val="none"/>
          <w:u w:val="single"/>
          <w14:textFill>
            <w14:solidFill>
              <w14:schemeClr w14:val="tx1"/>
            </w14:solidFill>
          </w14:textFill>
        </w:rPr>
        <w:t xml:space="preserve">                                                                                        </w:t>
      </w:r>
    </w:p>
    <w:p w14:paraId="19B10E12">
      <w:pPr>
        <w:spacing w:line="360" w:lineRule="auto"/>
        <w:ind w:firstLine="420" w:firstLineChars="200"/>
        <w:rPr>
          <w:bCs/>
          <w:color w:val="000000" w:themeColor="text1"/>
          <w:kern w:val="0"/>
          <w:szCs w:val="21"/>
          <w:highlight w:val="none"/>
          <w:u w:val="single"/>
          <w14:textFill>
            <w14:solidFill>
              <w14:schemeClr w14:val="tx1"/>
            </w14:solidFill>
          </w14:textFill>
        </w:rPr>
      </w:pPr>
      <w:r>
        <w:rPr>
          <w:bCs/>
          <w:color w:val="000000" w:themeColor="text1"/>
          <w:kern w:val="0"/>
          <w:szCs w:val="21"/>
          <w:highlight w:val="none"/>
          <w14:textFill>
            <w14:solidFill>
              <w14:schemeClr w14:val="tx1"/>
            </w14:solidFill>
          </w14:textFill>
        </w:rPr>
        <w:t>法律依据：</w:t>
      </w:r>
      <w:r>
        <w:rPr>
          <w:color w:val="000000" w:themeColor="text1"/>
          <w:kern w:val="0"/>
          <w:szCs w:val="21"/>
          <w:highlight w:val="none"/>
          <w14:textFill>
            <w14:solidFill>
              <w14:schemeClr w14:val="tx1"/>
            </w14:solidFill>
          </w14:textFill>
        </w:rPr>
        <w:t xml:space="preserve"> </w:t>
      </w:r>
      <w:r>
        <w:rPr>
          <w:bCs/>
          <w:color w:val="000000" w:themeColor="text1"/>
          <w:kern w:val="0"/>
          <w:szCs w:val="21"/>
          <w:highlight w:val="none"/>
          <w:u w:val="single"/>
          <w14:textFill>
            <w14:solidFill>
              <w14:schemeClr w14:val="tx1"/>
            </w14:solidFill>
          </w14:textFill>
        </w:rPr>
        <w:t xml:space="preserve">                                                                                      </w:t>
      </w:r>
    </w:p>
    <w:p w14:paraId="588D5B80">
      <w:pPr>
        <w:spacing w:line="360" w:lineRule="auto"/>
        <w:ind w:left="25" w:leftChars="12" w:firstLine="308" w:firstLineChars="147"/>
        <w:rPr>
          <w:bCs/>
          <w:color w:val="000000" w:themeColor="text1"/>
          <w:kern w:val="0"/>
          <w:szCs w:val="21"/>
          <w:highlight w:val="none"/>
          <w:u w:val="single"/>
          <w14:textFill>
            <w14:solidFill>
              <w14:schemeClr w14:val="tx1"/>
            </w14:solidFill>
          </w14:textFill>
        </w:rPr>
      </w:pPr>
      <w:r>
        <w:rPr>
          <w:bCs/>
          <w:color w:val="000000" w:themeColor="text1"/>
          <w:kern w:val="0"/>
          <w:szCs w:val="21"/>
          <w:highlight w:val="none"/>
          <w14:textFill>
            <w14:solidFill>
              <w14:schemeClr w14:val="tx1"/>
            </w14:solidFill>
          </w14:textFill>
        </w:rPr>
        <w:t xml:space="preserve"> </w:t>
      </w:r>
      <w:r>
        <w:rPr>
          <w:bCs/>
          <w:color w:val="000000" w:themeColor="text1"/>
          <w:kern w:val="0"/>
          <w:szCs w:val="21"/>
          <w:highlight w:val="none"/>
          <w:u w:val="single"/>
          <w14:textFill>
            <w14:solidFill>
              <w14:schemeClr w14:val="tx1"/>
            </w14:solidFill>
          </w14:textFill>
        </w:rPr>
        <w:t xml:space="preserve">                                                                                        </w:t>
      </w:r>
    </w:p>
    <w:p w14:paraId="3C326F7F">
      <w:pPr>
        <w:spacing w:line="360" w:lineRule="auto"/>
        <w:ind w:left="25" w:leftChars="12" w:firstLine="413" w:firstLineChars="197"/>
        <w:rPr>
          <w:bCs/>
          <w:color w:val="000000" w:themeColor="text1"/>
          <w:kern w:val="0"/>
          <w:szCs w:val="21"/>
          <w:highlight w:val="none"/>
          <w14:textFill>
            <w14:solidFill>
              <w14:schemeClr w14:val="tx1"/>
            </w14:solidFill>
          </w14:textFill>
        </w:rPr>
      </w:pPr>
      <w:r>
        <w:rPr>
          <w:color w:val="000000" w:themeColor="text1"/>
          <w:kern w:val="0"/>
          <w:szCs w:val="21"/>
          <w:highlight w:val="none"/>
          <w14:textFill>
            <w14:solidFill>
              <w14:schemeClr w14:val="tx1"/>
            </w14:solidFill>
          </w14:textFill>
        </w:rPr>
        <w:t xml:space="preserve">投诉事项2  </w:t>
      </w:r>
      <w:r>
        <w:rPr>
          <w:bCs/>
          <w:color w:val="000000" w:themeColor="text1"/>
          <w:kern w:val="0"/>
          <w:szCs w:val="21"/>
          <w:highlight w:val="none"/>
          <w14:textFill>
            <w14:solidFill>
              <w14:schemeClr w14:val="tx1"/>
            </w14:solidFill>
          </w14:textFill>
        </w:rPr>
        <w:t xml:space="preserve">   </w:t>
      </w:r>
    </w:p>
    <w:p w14:paraId="1B536CC1">
      <w:pPr>
        <w:spacing w:line="360" w:lineRule="auto"/>
        <w:ind w:left="25" w:leftChars="12" w:firstLine="413" w:firstLineChars="197"/>
        <w:rPr>
          <w:bCs/>
          <w:color w:val="000000" w:themeColor="text1"/>
          <w:kern w:val="0"/>
          <w:szCs w:val="21"/>
          <w:highlight w:val="none"/>
          <w14:textFill>
            <w14:solidFill>
              <w14:schemeClr w14:val="tx1"/>
            </w14:solidFill>
          </w14:textFill>
        </w:rPr>
      </w:pPr>
      <w:r>
        <w:rPr>
          <w:bCs/>
          <w:color w:val="000000" w:themeColor="text1"/>
          <w:kern w:val="0"/>
          <w:szCs w:val="21"/>
          <w:highlight w:val="none"/>
          <w14:textFill>
            <w14:solidFill>
              <w14:schemeClr w14:val="tx1"/>
            </w14:solidFill>
          </w14:textFill>
        </w:rPr>
        <w:t>……</w:t>
      </w:r>
    </w:p>
    <w:p w14:paraId="28FC9C99">
      <w:pPr>
        <w:spacing w:line="360" w:lineRule="auto"/>
        <w:ind w:left="25" w:leftChars="12" w:firstLine="413" w:firstLineChars="196"/>
        <w:rPr>
          <w:b/>
          <w:color w:val="000000" w:themeColor="text1"/>
          <w:kern w:val="0"/>
          <w:szCs w:val="21"/>
          <w:highlight w:val="none"/>
          <w14:textFill>
            <w14:solidFill>
              <w14:schemeClr w14:val="tx1"/>
            </w14:solidFill>
          </w14:textFill>
        </w:rPr>
      </w:pPr>
      <w:r>
        <w:rPr>
          <w:b/>
          <w:color w:val="000000" w:themeColor="text1"/>
          <w:kern w:val="0"/>
          <w:szCs w:val="21"/>
          <w:highlight w:val="none"/>
          <w14:textFill>
            <w14:solidFill>
              <w14:schemeClr w14:val="tx1"/>
            </w14:solidFill>
          </w14:textFill>
        </w:rPr>
        <w:t>五、与投诉事项相关的投诉请求：</w:t>
      </w:r>
    </w:p>
    <w:p w14:paraId="6E75B5B8">
      <w:pPr>
        <w:spacing w:line="360" w:lineRule="auto"/>
        <w:ind w:left="25" w:leftChars="12" w:firstLine="413" w:firstLineChars="197"/>
        <w:rPr>
          <w:color w:val="000000" w:themeColor="text1"/>
          <w:kern w:val="0"/>
          <w:szCs w:val="21"/>
          <w:highlight w:val="none"/>
          <w14:textFill>
            <w14:solidFill>
              <w14:schemeClr w14:val="tx1"/>
            </w14:solidFill>
          </w14:textFill>
        </w:rPr>
      </w:pPr>
      <w:r>
        <w:rPr>
          <w:color w:val="000000" w:themeColor="text1"/>
          <w:kern w:val="0"/>
          <w:szCs w:val="21"/>
          <w:highlight w:val="none"/>
          <w14:textFill>
            <w14:solidFill>
              <w14:schemeClr w14:val="tx1"/>
            </w14:solidFill>
          </w14:textFill>
        </w:rPr>
        <w:t>请求：</w:t>
      </w:r>
      <w:r>
        <w:rPr>
          <w:bCs/>
          <w:color w:val="000000" w:themeColor="text1"/>
          <w:kern w:val="0"/>
          <w:szCs w:val="21"/>
          <w:highlight w:val="none"/>
          <w:u w:val="single"/>
          <w14:textFill>
            <w14:solidFill>
              <w14:schemeClr w14:val="tx1"/>
            </w14:solidFill>
          </w14:textFill>
        </w:rPr>
        <w:t xml:space="preserve">                                                                                 </w:t>
      </w:r>
    </w:p>
    <w:p w14:paraId="48383063">
      <w:pPr>
        <w:spacing w:line="360" w:lineRule="auto"/>
        <w:ind w:left="25" w:leftChars="12" w:firstLine="308" w:firstLineChars="147"/>
        <w:rPr>
          <w:color w:val="000000" w:themeColor="text1"/>
          <w:kern w:val="0"/>
          <w:szCs w:val="21"/>
          <w:highlight w:val="none"/>
          <w14:textFill>
            <w14:solidFill>
              <w14:schemeClr w14:val="tx1"/>
            </w14:solidFill>
          </w14:textFill>
        </w:rPr>
      </w:pPr>
    </w:p>
    <w:p w14:paraId="18E5A40B">
      <w:pPr>
        <w:spacing w:line="360" w:lineRule="auto"/>
        <w:ind w:left="25" w:leftChars="12" w:firstLine="413" w:firstLineChars="197"/>
        <w:rPr>
          <w:color w:val="000000" w:themeColor="text1"/>
          <w:kern w:val="0"/>
          <w:szCs w:val="21"/>
          <w:highlight w:val="none"/>
          <w14:textFill>
            <w14:solidFill>
              <w14:schemeClr w14:val="tx1"/>
            </w14:solidFill>
          </w14:textFill>
        </w:rPr>
      </w:pPr>
      <w:r>
        <w:rPr>
          <w:color w:val="000000" w:themeColor="text1"/>
          <w:kern w:val="0"/>
          <w:szCs w:val="21"/>
          <w:highlight w:val="none"/>
          <w14:textFill>
            <w14:solidFill>
              <w14:schemeClr w14:val="tx1"/>
            </w14:solidFill>
          </w14:textFill>
        </w:rPr>
        <w:t>签字（签章）：                                       公章：</w:t>
      </w:r>
    </w:p>
    <w:p w14:paraId="4A248450">
      <w:pPr>
        <w:spacing w:line="360" w:lineRule="auto"/>
        <w:ind w:left="25" w:leftChars="12" w:firstLine="308" w:firstLineChars="147"/>
        <w:rPr>
          <w:color w:val="000000" w:themeColor="text1"/>
          <w:kern w:val="0"/>
          <w:szCs w:val="21"/>
          <w:highlight w:val="none"/>
          <w14:textFill>
            <w14:solidFill>
              <w14:schemeClr w14:val="tx1"/>
            </w14:solidFill>
          </w14:textFill>
        </w:rPr>
      </w:pPr>
    </w:p>
    <w:p w14:paraId="65CDA5B0">
      <w:pPr>
        <w:spacing w:line="360" w:lineRule="auto"/>
        <w:ind w:left="25" w:leftChars="12" w:firstLine="413" w:firstLineChars="197"/>
        <w:rPr>
          <w:color w:val="000000" w:themeColor="text1"/>
          <w:kern w:val="0"/>
          <w:szCs w:val="21"/>
          <w:highlight w:val="none"/>
          <w14:textFill>
            <w14:solidFill>
              <w14:schemeClr w14:val="tx1"/>
            </w14:solidFill>
          </w14:textFill>
        </w:rPr>
      </w:pPr>
      <w:r>
        <w:rPr>
          <w:color w:val="000000" w:themeColor="text1"/>
          <w:kern w:val="0"/>
          <w:szCs w:val="21"/>
          <w:highlight w:val="none"/>
          <w14:textFill>
            <w14:solidFill>
              <w14:schemeClr w14:val="tx1"/>
            </w14:solidFill>
          </w14:textFill>
        </w:rPr>
        <w:t>日期：</w:t>
      </w:r>
    </w:p>
    <w:p w14:paraId="669D72BD">
      <w:pPr>
        <w:spacing w:line="360" w:lineRule="auto"/>
        <w:ind w:left="25" w:leftChars="12" w:firstLine="413" w:firstLineChars="197"/>
        <w:rPr>
          <w:color w:val="000000" w:themeColor="text1"/>
          <w:kern w:val="0"/>
          <w:szCs w:val="21"/>
          <w:highlight w:val="none"/>
          <w14:textFill>
            <w14:solidFill>
              <w14:schemeClr w14:val="tx1"/>
            </w14:solidFill>
          </w14:textFill>
        </w:rPr>
      </w:pPr>
      <w:r>
        <w:rPr>
          <w:bCs/>
          <w:color w:val="000000" w:themeColor="text1"/>
          <w:kern w:val="0"/>
          <w:szCs w:val="21"/>
          <w:highlight w:val="none"/>
          <w14:textFill>
            <w14:solidFill>
              <w14:schemeClr w14:val="tx1"/>
            </w14:solidFill>
          </w14:textFill>
        </w:rPr>
        <w:t xml:space="preserve">                                                                                 </w:t>
      </w:r>
    </w:p>
    <w:p w14:paraId="4599917C">
      <w:pPr>
        <w:snapToGrid w:val="0"/>
        <w:spacing w:line="360" w:lineRule="auto"/>
        <w:rPr>
          <w:b/>
          <w:color w:val="000000" w:themeColor="text1"/>
          <w:kern w:val="0"/>
          <w:szCs w:val="21"/>
          <w:highlight w:val="none"/>
          <w14:textFill>
            <w14:solidFill>
              <w14:schemeClr w14:val="tx1"/>
            </w14:solidFill>
          </w14:textFill>
        </w:rPr>
      </w:pPr>
    </w:p>
    <w:p w14:paraId="608BA8C8">
      <w:pPr>
        <w:snapToGrid w:val="0"/>
        <w:spacing w:line="360" w:lineRule="auto"/>
        <w:rPr>
          <w:b/>
          <w:color w:val="000000" w:themeColor="text1"/>
          <w:kern w:val="0"/>
          <w:szCs w:val="21"/>
          <w:highlight w:val="none"/>
          <w14:textFill>
            <w14:solidFill>
              <w14:schemeClr w14:val="tx1"/>
            </w14:solidFill>
          </w14:textFill>
        </w:rPr>
      </w:pPr>
      <w:r>
        <w:rPr>
          <w:b/>
          <w:color w:val="000000" w:themeColor="text1"/>
          <w:kern w:val="0"/>
          <w:szCs w:val="21"/>
          <w:highlight w:val="none"/>
          <w14:textFill>
            <w14:solidFill>
              <w14:schemeClr w14:val="tx1"/>
            </w14:solidFill>
          </w14:textFill>
        </w:rPr>
        <w:t>说明：</w:t>
      </w:r>
    </w:p>
    <w:p w14:paraId="5D95422A">
      <w:pPr>
        <w:spacing w:line="360" w:lineRule="auto"/>
        <w:ind w:left="25" w:leftChars="12" w:firstLine="310" w:firstLineChars="147"/>
        <w:rPr>
          <w:b/>
          <w:bCs/>
          <w:color w:val="000000" w:themeColor="text1"/>
          <w:kern w:val="0"/>
          <w:szCs w:val="21"/>
          <w:highlight w:val="none"/>
          <w14:textFill>
            <w14:solidFill>
              <w14:schemeClr w14:val="tx1"/>
            </w14:solidFill>
          </w14:textFill>
        </w:rPr>
      </w:pPr>
      <w:r>
        <w:rPr>
          <w:b/>
          <w:color w:val="000000" w:themeColor="text1"/>
          <w:kern w:val="0"/>
          <w:szCs w:val="21"/>
          <w:highlight w:val="none"/>
          <w14:textFill>
            <w14:solidFill>
              <w14:schemeClr w14:val="tx1"/>
            </w14:solidFill>
          </w14:textFill>
        </w:rPr>
        <w:t>1.投诉人提起投诉时，应当提交投诉书和必要的证明材料，并按照被投诉人和与投诉事项有关的供应商数量提供投诉书副本</w:t>
      </w:r>
      <w:r>
        <w:rPr>
          <w:b/>
          <w:bCs/>
          <w:color w:val="000000" w:themeColor="text1"/>
          <w:kern w:val="0"/>
          <w:szCs w:val="21"/>
          <w:highlight w:val="none"/>
          <w14:textFill>
            <w14:solidFill>
              <w14:schemeClr w14:val="tx1"/>
            </w14:solidFill>
          </w14:textFill>
        </w:rPr>
        <w:t>。</w:t>
      </w:r>
    </w:p>
    <w:p w14:paraId="34DA8BB8">
      <w:pPr>
        <w:spacing w:line="360" w:lineRule="auto"/>
        <w:ind w:left="25" w:leftChars="12" w:firstLine="310" w:firstLineChars="147"/>
        <w:rPr>
          <w:b/>
          <w:color w:val="000000" w:themeColor="text1"/>
          <w:kern w:val="0"/>
          <w:szCs w:val="21"/>
          <w:highlight w:val="none"/>
          <w14:textFill>
            <w14:solidFill>
              <w14:schemeClr w14:val="tx1"/>
            </w14:solidFill>
          </w14:textFill>
        </w:rPr>
      </w:pPr>
      <w:r>
        <w:rPr>
          <w:b/>
          <w:color w:val="000000" w:themeColor="text1"/>
          <w:kern w:val="0"/>
          <w:szCs w:val="21"/>
          <w:highlight w:val="none"/>
          <w14:textFill>
            <w14:solidFill>
              <w14:schemeClr w14:val="tx1"/>
            </w14:solidFill>
          </w14:textFill>
        </w:rPr>
        <w:t>2.投诉人若委托代理人进行投诉的，投诉书应按要求列明</w:t>
      </w:r>
      <w:r>
        <w:rPr>
          <w:rFonts w:hint="eastAsia"/>
          <w:b/>
          <w:color w:val="000000" w:themeColor="text1"/>
          <w:kern w:val="0"/>
          <w:szCs w:val="21"/>
          <w:highlight w:val="none"/>
          <w:lang w:eastAsia="zh-CN"/>
          <w14:textFill>
            <w14:solidFill>
              <w14:schemeClr w14:val="tx1"/>
            </w14:solidFill>
          </w14:textFill>
        </w:rPr>
        <w:t>“</w:t>
      </w:r>
      <w:r>
        <w:rPr>
          <w:b/>
          <w:color w:val="000000" w:themeColor="text1"/>
          <w:kern w:val="0"/>
          <w:szCs w:val="21"/>
          <w:highlight w:val="none"/>
          <w14:textFill>
            <w14:solidFill>
              <w14:schemeClr w14:val="tx1"/>
            </w14:solidFill>
          </w14:textFill>
        </w:rPr>
        <w:t>授权代表</w:t>
      </w:r>
      <w:r>
        <w:rPr>
          <w:rFonts w:hint="eastAsia"/>
          <w:b/>
          <w:color w:val="000000" w:themeColor="text1"/>
          <w:kern w:val="0"/>
          <w:szCs w:val="21"/>
          <w:highlight w:val="none"/>
          <w:lang w:eastAsia="zh-CN"/>
          <w14:textFill>
            <w14:solidFill>
              <w14:schemeClr w14:val="tx1"/>
            </w14:solidFill>
          </w14:textFill>
        </w:rPr>
        <w:t>”</w:t>
      </w:r>
      <w:r>
        <w:rPr>
          <w:b/>
          <w:color w:val="000000" w:themeColor="text1"/>
          <w:kern w:val="0"/>
          <w:szCs w:val="21"/>
          <w:highlight w:val="none"/>
          <w14:textFill>
            <w14:solidFill>
              <w14:schemeClr w14:val="tx1"/>
            </w14:solidFill>
          </w14:textFill>
        </w:rPr>
        <w:t>的有关内容，并在附件中提交由投诉人签署的授权委托书。授权委托书应当载明代理人的姓名或者名称、代理事项、具体权限、期限和相关事项。</w:t>
      </w:r>
    </w:p>
    <w:p w14:paraId="5D4667EC">
      <w:pPr>
        <w:spacing w:line="360" w:lineRule="auto"/>
        <w:ind w:left="25" w:leftChars="12" w:firstLine="310" w:firstLineChars="147"/>
        <w:rPr>
          <w:b/>
          <w:color w:val="000000" w:themeColor="text1"/>
          <w:kern w:val="0"/>
          <w:szCs w:val="21"/>
          <w:highlight w:val="none"/>
          <w14:textFill>
            <w14:solidFill>
              <w14:schemeClr w14:val="tx1"/>
            </w14:solidFill>
          </w14:textFill>
        </w:rPr>
      </w:pPr>
      <w:r>
        <w:rPr>
          <w:b/>
          <w:color w:val="000000" w:themeColor="text1"/>
          <w:kern w:val="0"/>
          <w:szCs w:val="21"/>
          <w:highlight w:val="none"/>
          <w14:textFill>
            <w14:solidFill>
              <w14:schemeClr w14:val="tx1"/>
            </w14:solidFill>
          </w14:textFill>
        </w:rPr>
        <w:t>3.投诉书应简要列明质疑事项，质疑函、质疑答复等作为附件材料提供。</w:t>
      </w:r>
    </w:p>
    <w:p w14:paraId="3A66B5EE">
      <w:pPr>
        <w:spacing w:line="360" w:lineRule="auto"/>
        <w:ind w:left="25" w:leftChars="12" w:firstLine="310" w:firstLineChars="147"/>
        <w:rPr>
          <w:b/>
          <w:color w:val="000000" w:themeColor="text1"/>
          <w:kern w:val="0"/>
          <w:szCs w:val="21"/>
          <w:highlight w:val="none"/>
          <w14:textFill>
            <w14:solidFill>
              <w14:schemeClr w14:val="tx1"/>
            </w14:solidFill>
          </w14:textFill>
        </w:rPr>
      </w:pPr>
      <w:r>
        <w:rPr>
          <w:b/>
          <w:color w:val="000000" w:themeColor="text1"/>
          <w:kern w:val="0"/>
          <w:szCs w:val="21"/>
          <w:highlight w:val="none"/>
          <w14:textFill>
            <w14:solidFill>
              <w14:schemeClr w14:val="tx1"/>
            </w14:solidFill>
          </w14:textFill>
        </w:rPr>
        <w:t>4.投诉书的投诉事项应具体、明确，并有必要的事实依据和法律依据。</w:t>
      </w:r>
    </w:p>
    <w:p w14:paraId="4CAED731">
      <w:pPr>
        <w:spacing w:line="360" w:lineRule="auto"/>
        <w:ind w:left="25" w:leftChars="12" w:firstLine="310" w:firstLineChars="147"/>
        <w:rPr>
          <w:b/>
          <w:color w:val="000000" w:themeColor="text1"/>
          <w:kern w:val="0"/>
          <w:szCs w:val="21"/>
          <w:highlight w:val="none"/>
          <w14:textFill>
            <w14:solidFill>
              <w14:schemeClr w14:val="tx1"/>
            </w14:solidFill>
          </w14:textFill>
        </w:rPr>
      </w:pPr>
      <w:r>
        <w:rPr>
          <w:b/>
          <w:color w:val="000000" w:themeColor="text1"/>
          <w:kern w:val="0"/>
          <w:szCs w:val="21"/>
          <w:highlight w:val="none"/>
          <w14:textFill>
            <w14:solidFill>
              <w14:schemeClr w14:val="tx1"/>
            </w14:solidFill>
          </w14:textFill>
        </w:rPr>
        <w:t>5.投诉书的投诉请求应与投诉事项相关。</w:t>
      </w:r>
    </w:p>
    <w:p w14:paraId="0D801C50">
      <w:pPr>
        <w:spacing w:line="360" w:lineRule="auto"/>
        <w:ind w:left="25" w:leftChars="12" w:firstLine="310" w:firstLineChars="147"/>
        <w:rPr>
          <w:color w:val="000000" w:themeColor="text1"/>
          <w:szCs w:val="21"/>
          <w:highlight w:val="none"/>
          <w14:textFill>
            <w14:solidFill>
              <w14:schemeClr w14:val="tx1"/>
            </w14:solidFill>
          </w14:textFill>
        </w:rPr>
      </w:pPr>
      <w:r>
        <w:rPr>
          <w:b/>
          <w:color w:val="000000" w:themeColor="text1"/>
          <w:kern w:val="0"/>
          <w:szCs w:val="21"/>
          <w:highlight w:val="none"/>
          <w14:textFill>
            <w14:solidFill>
              <w14:schemeClr w14:val="tx1"/>
            </w14:solidFill>
          </w14:textFill>
        </w:rPr>
        <w:t>6.投诉人为法人或者其他组织的，投诉书应由法定代表人、主要负责人，或者其授权代表签字或者盖章，并加盖公章。</w:t>
      </w:r>
    </w:p>
    <w:p w14:paraId="65C38B08">
      <w:pPr>
        <w:rPr>
          <w:rFonts w:hint="eastAsia"/>
          <w:color w:val="000000" w:themeColor="text1"/>
          <w:highlight w:val="none"/>
          <w14:textFill>
            <w14:solidFill>
              <w14:schemeClr w14:val="tx1"/>
            </w14:solidFill>
          </w14:textFill>
        </w:rPr>
      </w:pPr>
    </w:p>
    <w:bookmarkEnd w:id="1409"/>
    <w:sectPr>
      <w:headerReference r:id="rId16" w:type="default"/>
      <w:footerReference r:id="rId17" w:type="default"/>
      <w:pgSz w:w="11910" w:h="16840"/>
      <w:pgMar w:top="1440" w:right="1080" w:bottom="1440" w:left="1080" w:header="720" w:footer="720"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modern"/>
    <w:pitch w:val="default"/>
    <w:sig w:usb0="E0002EFF" w:usb1="C000785B" w:usb2="00000009" w:usb3="00000000" w:csb0="400001FF" w:csb1="FFFF0000"/>
  </w:font>
  <w:font w:name="宋体">
    <w:panose1 w:val="02010600030101010101"/>
    <w:charset w:val="81"/>
    <w:family w:val="roma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22FAC38E-3255-4A14-8969-AAE34AB7DB67}"/>
  </w:font>
  <w:font w:name="黑体">
    <w:panose1 w:val="02010609060101010101"/>
    <w:charset w:val="86"/>
    <w:family w:val="auto"/>
    <w:pitch w:val="default"/>
    <w:sig w:usb0="800002BF" w:usb1="38CF7CFA" w:usb2="00000016" w:usb3="00000000" w:csb0="00040001" w:csb1="00000000"/>
    <w:embedRegular r:id="rId2" w:fontKey="{0023C785-2945-4B4B-BEBF-D9933C3FF603}"/>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3" w:fontKey="{2AD9DAD8-0818-4F3C-8332-15EEBA175D2D}"/>
  </w:font>
  <w:font w:name="Cambria">
    <w:panose1 w:val="02040503050406030204"/>
    <w:charset w:val="00"/>
    <w:family w:val="roman"/>
    <w:pitch w:val="default"/>
    <w:sig w:usb0="E00006FF" w:usb1="420024FF" w:usb2="02000000" w:usb3="00000000" w:csb0="2000019F" w:csb1="00000000"/>
    <w:embedRegular r:id="rId4" w:fontKey="{B8397AFD-FA85-4244-B047-F84A03C2B33E}"/>
  </w:font>
  <w:font w:name="等线 Light">
    <w:panose1 w:val="02010600030101010101"/>
    <w:charset w:val="86"/>
    <w:family w:val="auto"/>
    <w:pitch w:val="default"/>
    <w:sig w:usb0="A00002BF" w:usb1="38CF7CFA" w:usb2="00000016" w:usb3="00000000" w:csb0="0004000F" w:csb1="00000000"/>
  </w:font>
  <w:font w:name="仿宋_GB2312">
    <w:panose1 w:val="02010609030101010101"/>
    <w:charset w:val="86"/>
    <w:family w:val="modern"/>
    <w:pitch w:val="default"/>
    <w:sig w:usb0="00000001" w:usb1="080E0000" w:usb2="00000000" w:usb3="00000000" w:csb0="00040000" w:csb1="00000000"/>
    <w:embedRegular r:id="rId5" w:fontKey="{78785AEF-D6F2-48C9-A6B7-423858D60935}"/>
  </w:font>
  <w:font w:name="微软雅黑 Light">
    <w:panose1 w:val="020B0502040204020203"/>
    <w:charset w:val="86"/>
    <w:family w:val="swiss"/>
    <w:pitch w:val="default"/>
    <w:sig w:usb0="80000287" w:usb1="2ACF0010" w:usb2="00000016" w:usb3="00000000" w:csb0="0004001F" w:csb1="00000000"/>
  </w:font>
  <w:font w:name="仿宋">
    <w:panose1 w:val="02010609060101010101"/>
    <w:charset w:val="86"/>
    <w:family w:val="modern"/>
    <w:pitch w:val="default"/>
    <w:sig w:usb0="800002BF" w:usb1="38CF7CFA" w:usb2="00000016" w:usb3="00000000" w:csb0="00040001" w:csb1="00000000"/>
    <w:embedRegular r:id="rId6" w:fontKey="{6ADEF3A3-A078-4F08-8271-20C0E83714C7}"/>
  </w:font>
  <w:font w:name="Tahoma">
    <w:panose1 w:val="020B0604030504040204"/>
    <w:charset w:val="00"/>
    <w:family w:val="swiss"/>
    <w:pitch w:val="default"/>
    <w:sig w:usb0="E1002EFF" w:usb1="C000605B" w:usb2="00000029" w:usb3="00000000" w:csb0="200101FF" w:csb1="20280000"/>
  </w:font>
  <w:font w:name="华文中宋">
    <w:panose1 w:val="02010600040101010101"/>
    <w:charset w:val="86"/>
    <w:family w:val="auto"/>
    <w:pitch w:val="default"/>
    <w:sig w:usb0="00000287" w:usb1="080F0000" w:usb2="00000000" w:usb3="00000000" w:csb0="0004009F" w:csb1="DFD70000"/>
    <w:embedRegular r:id="rId7" w:fontKey="{64F3492A-CBC0-4284-B6E4-BDAEA6C414B4}"/>
  </w:font>
  <w:font w:name="新宋体">
    <w:panose1 w:val="02010609030101010101"/>
    <w:charset w:val="86"/>
    <w:family w:val="auto"/>
    <w:pitch w:val="default"/>
    <w:sig w:usb0="00000283" w:usb1="288F0000" w:usb2="00000006" w:usb3="00000000" w:csb0="00040001" w:csb1="00000000"/>
    <w:embedRegular r:id="rId8" w:fontKey="{C4D5616F-E340-4FDD-BAA1-33504DC8668E}"/>
  </w:font>
  <w:font w:name="Arial Unicode MS">
    <w:panose1 w:val="020B0604020202020204"/>
    <w:charset w:val="86"/>
    <w:family w:val="swiss"/>
    <w:pitch w:val="default"/>
    <w:sig w:usb0="FFFFFFFF" w:usb1="E9FFFFFF" w:usb2="0000003F" w:usb3="00000000" w:csb0="603F01FF" w:csb1="FFFF0000"/>
    <w:embedRegular r:id="rId9" w:fontKey="{2B007708-6DD7-48BC-96AE-08848C7AB838}"/>
  </w:font>
  <w:font w:name="方正小标宋简体">
    <w:panose1 w:val="02010601030101010101"/>
    <w:charset w:val="86"/>
    <w:family w:val="script"/>
    <w:pitch w:val="default"/>
    <w:sig w:usb0="00000001" w:usb1="080E0000" w:usb2="00000000" w:usb3="00000000" w:csb0="00040000" w:csb1="00000000"/>
  </w:font>
  <w:font w:name="楷体">
    <w:panose1 w:val="02010609060101010101"/>
    <w:charset w:val="86"/>
    <w:family w:val="modern"/>
    <w:pitch w:val="default"/>
    <w:sig w:usb0="800002BF" w:usb1="38CF7CFA" w:usb2="00000016" w:usb3="00000000" w:csb0="00040001" w:csb1="00000000"/>
    <w:embedRegular r:id="rId10" w:fontKey="{BDB4A11E-05AE-42AB-8998-CF70A1B01A4C}"/>
  </w:font>
  <w:font w:name="楷体_GB2312">
    <w:panose1 w:val="02010609030101010101"/>
    <w:charset w:val="86"/>
    <w:family w:val="modern"/>
    <w:pitch w:val="default"/>
    <w:sig w:usb0="00000001" w:usb1="080E0000" w:usb2="00000000" w:usb3="00000000" w:csb0="00040000" w:csb1="00000000"/>
    <w:embedRegular r:id="rId11" w:fontKey="{B12D54F0-B10B-4C95-9410-455DE9E84C27}"/>
  </w:font>
  <w:font w:name="Batang">
    <w:panose1 w:val="02030600000101010101"/>
    <w:charset w:val="81"/>
    <w:family w:val="auto"/>
    <w:pitch w:val="default"/>
    <w:sig w:usb0="B00002AF" w:usb1="69D77CFB" w:usb2="00000030" w:usb3="00000000" w:csb0="4008009F" w:csb1="DFD70000"/>
    <w:embedRegular r:id="rId12" w:fontKey="{526C7C5C-E460-468F-9134-F80EE4634789}"/>
  </w:font>
  <w:font w:name="隶书">
    <w:panose1 w:val="02010509060101010101"/>
    <w:charset w:val="86"/>
    <w:family w:val="modern"/>
    <w:pitch w:val="default"/>
    <w:sig w:usb0="00000001" w:usb1="080E0000" w:usb2="00000000" w:usb3="00000000" w:csb0="00040000" w:csb1="00000000"/>
    <w:embedRegular r:id="rId13" w:fontKey="{F5E51040-04D7-42E8-A54D-20A1B15008D3}"/>
  </w:font>
  <w:font w:name="WPSEMBED2">
    <w:panose1 w:val="02010600040101010101"/>
    <w:charset w:val="86"/>
    <w:family w:val="auto"/>
    <w:pitch w:val="default"/>
    <w:sig w:usb0="00000287" w:usb1="080F0000" w:usb2="00000000" w:usb3="00000000" w:csb0="0004009F" w:csb1="DFD70000"/>
  </w:font>
  <w:font w:name="WPSEMBED1">
    <w:panose1 w:val="02010609030101010101"/>
    <w:charset w:val="86"/>
    <w:family w:val="auto"/>
    <w:pitch w:val="default"/>
    <w:sig w:usb0="00000001" w:usb1="080E0000" w:usb2="00000000" w:usb3="00000000" w:csb0="00040000" w:csb1="00000000"/>
  </w:font>
  <w:font w:name="WPSEMBED3">
    <w:panose1 w:val="020B0604020202020204"/>
    <w:charset w:val="86"/>
    <w:family w:val="auto"/>
    <w:pitch w:val="default"/>
    <w:sig w:usb0="FFFFFFFF" w:usb1="E9FFFFFF" w:usb2="0000003F" w:usb3="00000000" w:csb0="603F01FF" w:csb1="FFFF0000"/>
  </w:font>
  <w:font w:name="WPSEMBED4">
    <w:panose1 w:val="02010609030101010101"/>
    <w:charset w:val="86"/>
    <w:family w:val="auto"/>
    <w:pitch w:val="default"/>
    <w:sig w:usb0="00000001" w:usb1="080E0000" w:usb2="00000000" w:usb3="00000000" w:csb0="00040000" w:csb1="00000000"/>
  </w:font>
  <w:font w:name="WPSEMBED5">
    <w:panose1 w:val="02030600000101010101"/>
    <w:charset w:val="81"/>
    <w:family w:val="auto"/>
    <w:pitch w:val="default"/>
    <w:sig w:usb0="B00002AF" w:usb1="69D77CFB" w:usb2="00000030" w:usb3="00000000" w:csb0="4008009F" w:csb1="DFD70000"/>
  </w:font>
  <w:font w:name="WPSEMBED6">
    <w:panose1 w:val="0201050906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C2247D">
    <w:pPr>
      <w:pStyle w:val="22"/>
      <w:jc w:val="center"/>
      <w:rPr>
        <w:rFonts w:hint="eastAsia" w:ascii="Calibri" w:hAnsi="Calibri"/>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948A72">
    <w:pPr>
      <w:pStyle w:val="22"/>
      <w:framePr w:wrap="around" w:vAnchor="text" w:hAnchor="margin" w:xAlign="center" w:y="1"/>
      <w:rPr>
        <w:rStyle w:val="34"/>
        <w:rFonts w:ascii="Calibri" w:hAnsi="Calibri"/>
        <w:sz w:val="21"/>
      </w:rPr>
    </w:pPr>
    <w:r>
      <w:rPr>
        <w:rFonts w:ascii="Calibri" w:hAnsi="Calibri"/>
        <w:sz w:val="21"/>
      </w:rPr>
      <w:fldChar w:fldCharType="begin"/>
    </w:r>
    <w:r>
      <w:rPr>
        <w:rStyle w:val="34"/>
        <w:rFonts w:ascii="Calibri" w:hAnsi="Calibri"/>
        <w:sz w:val="21"/>
      </w:rPr>
      <w:instrText xml:space="preserve">PAGE  </w:instrText>
    </w:r>
    <w:r>
      <w:rPr>
        <w:rFonts w:ascii="Calibri" w:hAnsi="Calibri"/>
        <w:sz w:val="21"/>
      </w:rPr>
      <w:fldChar w:fldCharType="separate"/>
    </w:r>
    <w:r>
      <w:rPr>
        <w:rStyle w:val="34"/>
        <w:rFonts w:ascii="Calibri" w:hAnsi="Calibri"/>
        <w:sz w:val="21"/>
      </w:rPr>
      <w:t>0</w:t>
    </w:r>
    <w:r>
      <w:rPr>
        <w:rFonts w:ascii="Calibri" w:hAnsi="Calibri"/>
        <w:sz w:val="21"/>
      </w:rPr>
      <w:fldChar w:fldCharType="end"/>
    </w:r>
  </w:p>
  <w:p w14:paraId="011705B4">
    <w:pPr>
      <w:pStyle w:val="22"/>
      <w:rPr>
        <w:rFonts w:ascii="Calibri" w:hAnsi="Calibri"/>
        <w:sz w:val="21"/>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5BB403">
    <w:pPr>
      <w:pStyle w:val="22"/>
      <w:tabs>
        <w:tab w:val="center" w:pos="4439"/>
        <w:tab w:val="clear" w:pos="4153"/>
      </w:tabs>
      <w:jc w:val="both"/>
      <w:rPr>
        <w:rFonts w:ascii="Calibri" w:hAnsi="Calibri"/>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513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E50C0A7">
                          <w:pPr>
                            <w:pStyle w:val="22"/>
                            <w:rPr>
                              <w:rFonts w:hint="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t>1</w:t>
                          </w:r>
                          <w:r>
                            <w:rPr>
                              <w:rFonts w:hint="eastAsia"/>
                              <w:lang w:eastAsia="zh-CN"/>
                            </w:rPr>
                            <w:fldChar w:fldCharType="end"/>
                          </w:r>
                        </w:p>
                      </w:txbxContent>
                    </wps:txbx>
                    <wps:bodyPr wrap="none" lIns="0" tIns="0" rIns="0" bIns="0" upright="0">
                      <a:spAutoFit/>
                    </wps:bodyPr>
                  </wps:wsp>
                </a:graphicData>
              </a:graphic>
            </wp:anchor>
          </w:drawing>
        </mc:Choice>
        <mc:Fallback>
          <w:pict>
            <v:shape id="文本框 513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M6pebnPAAAABQEAAA8AAAAAAAAAAQAgAAAAIgAAAGRycy9kb3ducmV2&#10;LnhtbFBLAQIUABQAAAAIAIdO4kB6h9bgzAEAAJwDAAAOAAAAAAAAAAEAIAAAAB4BAABkcnMvZTJv&#10;RG9jLnhtbFBLBQYAAAAABgAGAFkBAABcBQAAAAA=&#10;">
              <v:fill on="f" focussize="0,0"/>
              <v:stroke on="f"/>
              <v:imagedata o:title=""/>
              <o:lock v:ext="edit" aspectratio="f"/>
              <v:textbox inset="0mm,0mm,0mm,0mm" style="mso-fit-shape-to-text:t;">
                <w:txbxContent>
                  <w:p w14:paraId="3E50C0A7">
                    <w:pPr>
                      <w:pStyle w:val="22"/>
                      <w:rPr>
                        <w:rFonts w:hint="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t>1</w:t>
                    </w:r>
                    <w:r>
                      <w:rPr>
                        <w:rFonts w:hint="eastAsia"/>
                        <w:lang w:eastAsia="zh-CN"/>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D4DBF2">
    <w:pPr>
      <w:pStyle w:val="22"/>
      <w:tabs>
        <w:tab w:val="center" w:pos="4439"/>
        <w:tab w:val="clear" w:pos="4153"/>
      </w:tabs>
      <w:rPr>
        <w:rFonts w:ascii="Calibri" w:hAnsi="Calibri"/>
      </w:rPr>
    </w:pPr>
    <w:r>
      <w:rPr>
        <w:rFonts w:ascii="Calibri" w:hAnsi="Calibri"/>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51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0B54FF6">
                          <w:pPr>
                            <w:rPr>
                              <w:rFonts w:ascii="Calibri" w:hAnsi="Calibri"/>
                            </w:rPr>
                          </w:pPr>
                        </w:p>
                      </w:txbxContent>
                    </wps:txbx>
                    <wps:bodyPr wrap="none" lIns="0" tIns="0" rIns="0" bIns="0" upright="0">
                      <a:spAutoFit/>
                    </wps:bodyPr>
                  </wps:wsp>
                </a:graphicData>
              </a:graphic>
            </wp:anchor>
          </w:drawing>
        </mc:Choice>
        <mc:Fallback>
          <w:pict>
            <v:shape id="文本框 51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zql5uc8AAAAFAQAADwAAAAAAAAABACAAAAAiAAAAZHJzL2Rvd25yZXYu&#10;eG1sUEsBAhQAFAAAAAgAh07iQFoSUWDLAQAAnAMAAA4AAAAAAAAAAQAgAAAAHgEAAGRycy9lMm9E&#10;b2MueG1sUEsFBgAAAAAGAAYAWQEAAFsFAAAAAA==&#10;">
              <v:fill on="f" focussize="0,0"/>
              <v:stroke on="f"/>
              <v:imagedata o:title=""/>
              <o:lock v:ext="edit" aspectratio="f"/>
              <v:textbox inset="0mm,0mm,0mm,0mm" style="mso-fit-shape-to-text:t;">
                <w:txbxContent>
                  <w:p w14:paraId="40B54FF6">
                    <w:pPr>
                      <w:rPr>
                        <w:rFonts w:ascii="Calibri" w:hAnsi="Calibri"/>
                      </w:rPr>
                    </w:pP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699F59">
    <w:pPr>
      <w:pStyle w:val="22"/>
      <w:jc w:val="center"/>
      <w:rPr>
        <w:rFonts w:ascii="Calibri" w:hAnsi="Calibri"/>
      </w:rP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13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68E20E1">
                          <w:pPr>
                            <w:pStyle w:val="22"/>
                            <w:rPr>
                              <w:rFonts w:hint="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t>2</w:t>
                          </w:r>
                          <w:r>
                            <w:rPr>
                              <w:rFonts w:hint="eastAsia"/>
                              <w:lang w:eastAsia="zh-CN"/>
                            </w:rPr>
                            <w:fldChar w:fldCharType="end"/>
                          </w:r>
                        </w:p>
                      </w:txbxContent>
                    </wps:txbx>
                    <wps:bodyPr wrap="none" lIns="0" tIns="0" rIns="0" bIns="0" upright="0">
                      <a:spAutoFit/>
                    </wps:bodyPr>
                  </wps:wsp>
                </a:graphicData>
              </a:graphic>
            </wp:anchor>
          </w:drawing>
        </mc:Choice>
        <mc:Fallback>
          <w:pict>
            <v:shape id="文本框 5137"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M6pebnPAAAABQEAAA8AAAAAAAAAAQAgAAAAIgAAAGRycy9kb3ducmV2&#10;LnhtbFBLAQIUABQAAAAIAIdO4kCwik1WzAEAAJwDAAAOAAAAAAAAAAEAIAAAAB4BAABkcnMvZTJv&#10;RG9jLnhtbFBLBQYAAAAABgAGAFkBAABcBQAAAAA=&#10;">
              <v:fill on="f" focussize="0,0"/>
              <v:stroke on="f"/>
              <v:imagedata o:title=""/>
              <o:lock v:ext="edit" aspectratio="f"/>
              <v:textbox inset="0mm,0mm,0mm,0mm" style="mso-fit-shape-to-text:t;">
                <w:txbxContent>
                  <w:p w14:paraId="268E20E1">
                    <w:pPr>
                      <w:pStyle w:val="22"/>
                      <w:rPr>
                        <w:rFonts w:hint="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t>2</w:t>
                    </w:r>
                    <w:r>
                      <w:rPr>
                        <w:rFonts w:hint="eastAsia"/>
                        <w:lang w:eastAsia="zh-CN"/>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F623E6">
    <w:pPr>
      <w:pStyle w:val="22"/>
      <w:framePr w:wrap="around" w:vAnchor="text" w:hAnchor="margin" w:xAlign="center" w:y="1"/>
      <w:rPr>
        <w:rStyle w:val="34"/>
        <w:rFonts w:ascii="仿宋_GB2312" w:eastAsia="仿宋_GB2312"/>
        <w:sz w:val="21"/>
      </w:rPr>
    </w:pPr>
    <w:r>
      <w:rPr>
        <w:rFonts w:ascii="仿宋_GB2312" w:eastAsia="仿宋_GB2312"/>
        <w:sz w:val="21"/>
      </w:rPr>
      <w:fldChar w:fldCharType="begin"/>
    </w:r>
    <w:r>
      <w:rPr>
        <w:rStyle w:val="34"/>
        <w:rFonts w:ascii="仿宋_GB2312" w:eastAsia="仿宋_GB2312"/>
        <w:sz w:val="21"/>
      </w:rPr>
      <w:instrText xml:space="preserve">PAGE  </w:instrText>
    </w:r>
    <w:r>
      <w:rPr>
        <w:rFonts w:ascii="仿宋_GB2312" w:eastAsia="仿宋_GB2312"/>
        <w:sz w:val="21"/>
      </w:rPr>
      <w:fldChar w:fldCharType="separate"/>
    </w:r>
    <w:r>
      <w:rPr>
        <w:rStyle w:val="34"/>
        <w:rFonts w:ascii="仿宋_GB2312" w:eastAsia="仿宋_GB2312"/>
        <w:sz w:val="21"/>
      </w:rPr>
      <w:t>19</w:t>
    </w:r>
    <w:r>
      <w:rPr>
        <w:rFonts w:ascii="仿宋_GB2312" w:eastAsia="仿宋_GB2312"/>
        <w:sz w:val="21"/>
      </w:rPr>
      <w:fldChar w:fldCharType="end"/>
    </w:r>
  </w:p>
  <w:p w14:paraId="188D2105">
    <w:pPr>
      <w:pStyle w:val="22"/>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620A44">
    <w:pPr>
      <w:pStyle w:val="22"/>
      <w:framePr w:wrap="around" w:vAnchor="text" w:hAnchor="margin" w:xAlign="center" w:y="1"/>
      <w:rPr>
        <w:rStyle w:val="34"/>
      </w:rPr>
    </w:pPr>
    <w:r>
      <w:fldChar w:fldCharType="begin"/>
    </w:r>
    <w:r>
      <w:rPr>
        <w:rStyle w:val="34"/>
      </w:rPr>
      <w:instrText xml:space="preserve">PAGE  </w:instrText>
    </w:r>
    <w:r>
      <w:fldChar w:fldCharType="end"/>
    </w:r>
  </w:p>
  <w:p w14:paraId="4C2AC564">
    <w:pPr>
      <w:pStyle w:val="22"/>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01C00A">
    <w:pPr>
      <w:pStyle w:val="22"/>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51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45DC95F">
                          <w:pPr>
                            <w:pStyle w:val="22"/>
                            <w:jc w:val="center"/>
                            <w:rPr>
                              <w:rFonts w:hint="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t>114</w:t>
                          </w:r>
                          <w:r>
                            <w:rPr>
                              <w:rFonts w:hint="eastAsia"/>
                              <w:lang w:eastAsia="zh-CN"/>
                            </w:rPr>
                            <w:fldChar w:fldCharType="end"/>
                          </w:r>
                        </w:p>
                      </w:txbxContent>
                    </wps:txbx>
                    <wps:bodyPr wrap="none" lIns="0" tIns="0" rIns="0" bIns="0" upright="0">
                      <a:spAutoFit/>
                    </wps:bodyPr>
                  </wps:wsp>
                </a:graphicData>
              </a:graphic>
            </wp:anchor>
          </w:drawing>
        </mc:Choice>
        <mc:Fallback>
          <w:pict>
            <v:shape id="文本框 5121"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zql5uc8AAAAFAQAADwAAAAAAAAABACAAAAAiAAAAZHJzL2Rvd25yZXYu&#10;eG1sUEsBAhQAFAAAAAgAh07iQJaBIY3LAQAAnAMAAA4AAAAAAAAAAQAgAAAAHgEAAGRycy9lMm9E&#10;b2MueG1sUEsFBgAAAAAGAAYAWQEAAFsFAAAAAA==&#10;">
              <v:fill on="f" focussize="0,0"/>
              <v:stroke on="f"/>
              <v:imagedata o:title=""/>
              <o:lock v:ext="edit" aspectratio="f"/>
              <v:textbox inset="0mm,0mm,0mm,0mm" style="mso-fit-shape-to-text:t;">
                <w:txbxContent>
                  <w:p w14:paraId="145DC95F">
                    <w:pPr>
                      <w:pStyle w:val="22"/>
                      <w:jc w:val="center"/>
                      <w:rPr>
                        <w:rFonts w:hint="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t>114</w:t>
                    </w:r>
                    <w:r>
                      <w:rPr>
                        <w:rFonts w:hint="eastAsia"/>
                        <w:lang w:eastAsia="zh-CN"/>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B48D23">
    <w:pPr>
      <w:pStyle w:val="2"/>
      <w:tabs>
        <w:tab w:val="center" w:pos="0"/>
        <w:tab w:val="clear" w:pos="4153"/>
      </w:tabs>
      <w:rPr>
        <w:rFonts w:ascii="Calibri" w:hAnsi="Calibri"/>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16F68B">
    <w:pPr>
      <w:pStyle w:val="2"/>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E839E7">
    <w:pPr>
      <w:pStyle w:val="2"/>
      <w:pBdr>
        <w:bottom w:val="none" w:color="auto" w:sz="0" w:space="1"/>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99CAAC">
    <w:pPr>
      <w:rPr>
        <w:rFonts w:hint="eastAsia"/>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92F733">
    <w:pPr>
      <w:pStyle w:val="2"/>
      <w:tabs>
        <w:tab w:val="center" w:pos="0"/>
        <w:tab w:val="clear" w:pos="4153"/>
      </w:tabs>
      <w:rPr>
        <w:rFonts w:ascii="Calibri" w:hAnsi="Calibri"/>
      </w:rPr>
    </w:pPr>
    <w:r>
      <w:rPr>
        <w:rFonts w:hint="eastAsia" w:ascii="Calibri" w:hAnsi="Calibri"/>
      </w:rPr>
      <w:t>南宁市政府采购竞争性磋商采购文件（项目编号：NNZC2021-C3--KLZB）</w:t>
    </w:r>
  </w:p>
  <w:p w14:paraId="1086F9A4">
    <w:pPr>
      <w:pStyle w:val="2"/>
      <w:pBdr>
        <w:bottom w:val="none" w:color="auto" w:sz="0" w:space="1"/>
      </w:pBdr>
      <w:rPr>
        <w:rFonts w:ascii="Calibri" w:hAnsi="Calibri"/>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81C936">
    <w:pPr>
      <w:pStyle w:val="2"/>
      <w:pBdr>
        <w:bottom w:val="none" w:color="auto" w:sz="0" w:space="0"/>
      </w:pBd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ED7D5A">
    <w:pPr>
      <w:pStyle w:val="2"/>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8BCC701"/>
    <w:multiLevelType w:val="singleLevel"/>
    <w:tmpl w:val="F8BCC701"/>
    <w:lvl w:ilvl="0" w:tentative="0">
      <w:start w:val="5"/>
      <w:numFmt w:val="chineseCounting"/>
      <w:suff w:val="space"/>
      <w:lvlText w:val="第%1章"/>
      <w:lvlJc w:val="left"/>
      <w:rPr>
        <w:rFonts w:hint="eastAsia"/>
      </w:rPr>
    </w:lvl>
  </w:abstractNum>
  <w:abstractNum w:abstractNumId="1">
    <w:nsid w:val="0000000B"/>
    <w:multiLevelType w:val="multilevel"/>
    <w:tmpl w:val="0000000B"/>
    <w:lvl w:ilvl="0" w:tentative="0">
      <w:start w:val="1"/>
      <w:numFmt w:val="decimal"/>
      <w:lvlText w:val="（%1）"/>
      <w:lvlJc w:val="left"/>
      <w:pPr>
        <w:tabs>
          <w:tab w:val="left" w:pos="1140"/>
        </w:tabs>
        <w:ind w:left="1140" w:hanging="720"/>
      </w:pPr>
      <w:rPr>
        <w:rFonts w:ascii="宋体" w:hAnsi="宋体" w:eastAsia="宋体" w:cs="Times New Roman"/>
      </w:rPr>
    </w:lvl>
    <w:lvl w:ilvl="1" w:tentative="0">
      <w:start w:val="1"/>
      <w:numFmt w:val="lowerLetter"/>
      <w:lvlText w:val="%2)"/>
      <w:lvlJc w:val="left"/>
      <w:pPr>
        <w:tabs>
          <w:tab w:val="left" w:pos="1260"/>
        </w:tabs>
        <w:ind w:left="1260" w:hanging="420"/>
      </w:pPr>
    </w:lvl>
    <w:lvl w:ilvl="2" w:tentative="0">
      <w:start w:val="1"/>
      <w:numFmt w:val="lowerRoman"/>
      <w:lvlText w:val="%3."/>
      <w:lvlJc w:val="right"/>
      <w:pPr>
        <w:tabs>
          <w:tab w:val="left" w:pos="1680"/>
        </w:tabs>
        <w:ind w:left="1680" w:hanging="420"/>
      </w:pPr>
    </w:lvl>
    <w:lvl w:ilvl="3" w:tentative="0">
      <w:start w:val="1"/>
      <w:numFmt w:val="decimal"/>
      <w:lvlText w:val="%4."/>
      <w:lvlJc w:val="left"/>
      <w:pPr>
        <w:tabs>
          <w:tab w:val="left" w:pos="2100"/>
        </w:tabs>
        <w:ind w:left="2100" w:hanging="420"/>
      </w:pPr>
    </w:lvl>
    <w:lvl w:ilvl="4" w:tentative="0">
      <w:start w:val="1"/>
      <w:numFmt w:val="lowerLetter"/>
      <w:lvlText w:val="%5)"/>
      <w:lvlJc w:val="left"/>
      <w:pPr>
        <w:tabs>
          <w:tab w:val="left" w:pos="2520"/>
        </w:tabs>
        <w:ind w:left="2520" w:hanging="420"/>
      </w:pPr>
    </w:lvl>
    <w:lvl w:ilvl="5" w:tentative="0">
      <w:start w:val="1"/>
      <w:numFmt w:val="lowerRoman"/>
      <w:lvlText w:val="%6."/>
      <w:lvlJc w:val="right"/>
      <w:pPr>
        <w:tabs>
          <w:tab w:val="left" w:pos="2940"/>
        </w:tabs>
        <w:ind w:left="2940" w:hanging="420"/>
      </w:pPr>
    </w:lvl>
    <w:lvl w:ilvl="6" w:tentative="0">
      <w:start w:val="1"/>
      <w:numFmt w:val="decimal"/>
      <w:lvlText w:val="%7."/>
      <w:lvlJc w:val="left"/>
      <w:pPr>
        <w:tabs>
          <w:tab w:val="left" w:pos="3360"/>
        </w:tabs>
        <w:ind w:left="3360" w:hanging="420"/>
      </w:pPr>
    </w:lvl>
    <w:lvl w:ilvl="7" w:tentative="0">
      <w:start w:val="1"/>
      <w:numFmt w:val="lowerLetter"/>
      <w:lvlText w:val="%8)"/>
      <w:lvlJc w:val="left"/>
      <w:pPr>
        <w:tabs>
          <w:tab w:val="left" w:pos="3780"/>
        </w:tabs>
        <w:ind w:left="3780" w:hanging="420"/>
      </w:pPr>
    </w:lvl>
    <w:lvl w:ilvl="8" w:tentative="0">
      <w:start w:val="1"/>
      <w:numFmt w:val="lowerRoman"/>
      <w:lvlText w:val="%9."/>
      <w:lvlJc w:val="right"/>
      <w:pPr>
        <w:tabs>
          <w:tab w:val="left" w:pos="4200"/>
        </w:tabs>
        <w:ind w:left="4200" w:hanging="420"/>
      </w:pPr>
    </w:lvl>
  </w:abstractNum>
  <w:abstractNum w:abstractNumId="2">
    <w:nsid w:val="151F89CA"/>
    <w:multiLevelType w:val="singleLevel"/>
    <w:tmpl w:val="151F89CA"/>
    <w:lvl w:ilvl="0" w:tentative="0">
      <w:start w:val="1"/>
      <w:numFmt w:val="decimal"/>
      <w:suff w:val="nothing"/>
      <w:lvlText w:val="（%1）"/>
      <w:lvlJc w:val="left"/>
    </w:lvl>
  </w:abstractNum>
  <w:abstractNum w:abstractNumId="3">
    <w:nsid w:val="169D486C"/>
    <w:multiLevelType w:val="multilevel"/>
    <w:tmpl w:val="169D486C"/>
    <w:lvl w:ilvl="0" w:tentative="0">
      <w:start w:val="2"/>
      <w:numFmt w:val="decimal"/>
      <w:lvlText w:val="%1"/>
      <w:lvlJc w:val="left"/>
      <w:pPr>
        <w:ind w:left="525" w:hanging="525"/>
      </w:pPr>
      <w:rPr>
        <w:rFonts w:hint="default"/>
      </w:rPr>
    </w:lvl>
    <w:lvl w:ilvl="1" w:tentative="0">
      <w:start w:val="4"/>
      <w:numFmt w:val="decimal"/>
      <w:lvlText w:val="%1.%2"/>
      <w:lvlJc w:val="left"/>
      <w:pPr>
        <w:ind w:left="735" w:hanging="525"/>
      </w:pPr>
      <w:rPr>
        <w:rFonts w:hint="default"/>
      </w:rPr>
    </w:lvl>
    <w:lvl w:ilvl="2" w:tentative="0">
      <w:start w:val="2"/>
      <w:numFmt w:val="decimal"/>
      <w:lvlText w:val="%1.%2.%3"/>
      <w:lvlJc w:val="left"/>
      <w:pPr>
        <w:ind w:left="1140" w:hanging="720"/>
      </w:pPr>
      <w:rPr>
        <w:rFonts w:hint="default"/>
      </w:rPr>
    </w:lvl>
    <w:lvl w:ilvl="3" w:tentative="0">
      <w:start w:val="1"/>
      <w:numFmt w:val="decimal"/>
      <w:lvlText w:val="%1.%2.%3.%4"/>
      <w:lvlJc w:val="left"/>
      <w:pPr>
        <w:ind w:left="1710" w:hanging="1080"/>
      </w:pPr>
      <w:rPr>
        <w:rFonts w:hint="default"/>
      </w:rPr>
    </w:lvl>
    <w:lvl w:ilvl="4" w:tentative="0">
      <w:start w:val="1"/>
      <w:numFmt w:val="decimal"/>
      <w:lvlText w:val="%1.%2.%3.%4.%5"/>
      <w:lvlJc w:val="left"/>
      <w:pPr>
        <w:ind w:left="1920" w:hanging="1080"/>
      </w:pPr>
      <w:rPr>
        <w:rFonts w:hint="default"/>
      </w:rPr>
    </w:lvl>
    <w:lvl w:ilvl="5" w:tentative="0">
      <w:start w:val="1"/>
      <w:numFmt w:val="decimal"/>
      <w:lvlText w:val="%1.%2.%3.%4.%5.%6"/>
      <w:lvlJc w:val="left"/>
      <w:pPr>
        <w:ind w:left="2490" w:hanging="1440"/>
      </w:pPr>
      <w:rPr>
        <w:rFonts w:hint="default"/>
      </w:rPr>
    </w:lvl>
    <w:lvl w:ilvl="6" w:tentative="0">
      <w:start w:val="1"/>
      <w:numFmt w:val="decimal"/>
      <w:lvlText w:val="%1.%2.%3.%4.%5.%6.%7"/>
      <w:lvlJc w:val="left"/>
      <w:pPr>
        <w:ind w:left="2700" w:hanging="1440"/>
      </w:pPr>
      <w:rPr>
        <w:rFonts w:hint="default"/>
      </w:rPr>
    </w:lvl>
    <w:lvl w:ilvl="7" w:tentative="0">
      <w:start w:val="1"/>
      <w:numFmt w:val="decimal"/>
      <w:lvlText w:val="%1.%2.%3.%4.%5.%6.%7.%8"/>
      <w:lvlJc w:val="left"/>
      <w:pPr>
        <w:ind w:left="3270" w:hanging="1800"/>
      </w:pPr>
      <w:rPr>
        <w:rFonts w:hint="default"/>
      </w:rPr>
    </w:lvl>
    <w:lvl w:ilvl="8" w:tentative="0">
      <w:start w:val="1"/>
      <w:numFmt w:val="decimal"/>
      <w:lvlText w:val="%1.%2.%3.%4.%5.%6.%7.%8.%9"/>
      <w:lvlJc w:val="left"/>
      <w:pPr>
        <w:ind w:left="3480" w:hanging="1800"/>
      </w:pPr>
      <w:rPr>
        <w:rFonts w:hint="default"/>
      </w:rPr>
    </w:lvl>
  </w:abstractNum>
  <w:abstractNum w:abstractNumId="4">
    <w:nsid w:val="23FEEAAF"/>
    <w:multiLevelType w:val="singleLevel"/>
    <w:tmpl w:val="23FEEAAF"/>
    <w:lvl w:ilvl="0" w:tentative="0">
      <w:start w:val="8"/>
      <w:numFmt w:val="chineseCounting"/>
      <w:suff w:val="space"/>
      <w:lvlText w:val="第%1章"/>
      <w:lvlJc w:val="left"/>
      <w:rPr>
        <w:rFonts w:hint="eastAsia"/>
      </w:rPr>
    </w:lvl>
  </w:abstractNum>
  <w:num w:numId="1">
    <w:abstractNumId w:val="2"/>
  </w:num>
  <w:num w:numId="2">
    <w:abstractNumId w:val="0"/>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9"/>
  <w:embedTrueTypeFonts/>
  <w:saveSubset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HorizontalSpacing w:val="105"/>
  <w:drawingGridVerticalSpacing w:val="156"/>
  <w:displayHorizontalDrawingGridEvery w:val="1"/>
  <w:displayVerticalDrawingGridEvery w:val="1"/>
  <w:noPunctuationKerning w:val="1"/>
  <w:characterSpacingControl w:val="compressPunctuation"/>
  <w:hdrShapeDefaults>
    <o:shapelayout v:ext="edit">
      <o:idmap v:ext="edit" data="1,3,4,5,6,7"/>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mI5ZGY0NGQ5OGEyODUzY2E3MWM2YjNkMTgwZWQ4MjkifQ=="/>
    <w:docVar w:name="KSO_WPS_MARK_KEY" w:val="8fdcefb1-3ccf-4cff-90cf-c3838f39e0d5"/>
  </w:docVars>
  <w:rsids>
    <w:rsidRoot w:val="00F34B14"/>
    <w:rsid w:val="00000672"/>
    <w:rsid w:val="00001013"/>
    <w:rsid w:val="00001799"/>
    <w:rsid w:val="00001AF2"/>
    <w:rsid w:val="00001ECA"/>
    <w:rsid w:val="00002D29"/>
    <w:rsid w:val="00003B93"/>
    <w:rsid w:val="0000474D"/>
    <w:rsid w:val="00005FDF"/>
    <w:rsid w:val="000070B3"/>
    <w:rsid w:val="000076B8"/>
    <w:rsid w:val="0001047A"/>
    <w:rsid w:val="000109DC"/>
    <w:rsid w:val="00010D39"/>
    <w:rsid w:val="0001172C"/>
    <w:rsid w:val="00011A4D"/>
    <w:rsid w:val="00011BC9"/>
    <w:rsid w:val="00012854"/>
    <w:rsid w:val="00012EA6"/>
    <w:rsid w:val="00013359"/>
    <w:rsid w:val="000139CF"/>
    <w:rsid w:val="00013AA4"/>
    <w:rsid w:val="00013DFE"/>
    <w:rsid w:val="000141EA"/>
    <w:rsid w:val="00015094"/>
    <w:rsid w:val="00016ABC"/>
    <w:rsid w:val="000177DB"/>
    <w:rsid w:val="000179C9"/>
    <w:rsid w:val="00017CCC"/>
    <w:rsid w:val="00020227"/>
    <w:rsid w:val="00020263"/>
    <w:rsid w:val="00020455"/>
    <w:rsid w:val="00020527"/>
    <w:rsid w:val="00020813"/>
    <w:rsid w:val="000220B2"/>
    <w:rsid w:val="0002264C"/>
    <w:rsid w:val="00022731"/>
    <w:rsid w:val="00022792"/>
    <w:rsid w:val="00024463"/>
    <w:rsid w:val="00025461"/>
    <w:rsid w:val="00025636"/>
    <w:rsid w:val="00025E36"/>
    <w:rsid w:val="00026855"/>
    <w:rsid w:val="00026886"/>
    <w:rsid w:val="0002785D"/>
    <w:rsid w:val="000329E0"/>
    <w:rsid w:val="000352E9"/>
    <w:rsid w:val="00035494"/>
    <w:rsid w:val="00036125"/>
    <w:rsid w:val="00036A07"/>
    <w:rsid w:val="0003780B"/>
    <w:rsid w:val="00040571"/>
    <w:rsid w:val="00040973"/>
    <w:rsid w:val="0004156E"/>
    <w:rsid w:val="00041713"/>
    <w:rsid w:val="0004440C"/>
    <w:rsid w:val="00046B5E"/>
    <w:rsid w:val="000470CB"/>
    <w:rsid w:val="000509D9"/>
    <w:rsid w:val="00051ACB"/>
    <w:rsid w:val="000533E7"/>
    <w:rsid w:val="00055D41"/>
    <w:rsid w:val="00057CD6"/>
    <w:rsid w:val="00060DCE"/>
    <w:rsid w:val="000610E3"/>
    <w:rsid w:val="000614F3"/>
    <w:rsid w:val="000623B4"/>
    <w:rsid w:val="00062405"/>
    <w:rsid w:val="000634A7"/>
    <w:rsid w:val="00063B0B"/>
    <w:rsid w:val="00063F81"/>
    <w:rsid w:val="00064847"/>
    <w:rsid w:val="00065E08"/>
    <w:rsid w:val="000673E2"/>
    <w:rsid w:val="0007063F"/>
    <w:rsid w:val="000707FD"/>
    <w:rsid w:val="00070949"/>
    <w:rsid w:val="000711E4"/>
    <w:rsid w:val="000724D9"/>
    <w:rsid w:val="00072AED"/>
    <w:rsid w:val="00073F47"/>
    <w:rsid w:val="0007492F"/>
    <w:rsid w:val="00074ED8"/>
    <w:rsid w:val="00075B7E"/>
    <w:rsid w:val="00077ACA"/>
    <w:rsid w:val="00077C70"/>
    <w:rsid w:val="000813B5"/>
    <w:rsid w:val="00081BA3"/>
    <w:rsid w:val="00081D2E"/>
    <w:rsid w:val="00081F89"/>
    <w:rsid w:val="00082619"/>
    <w:rsid w:val="00082D02"/>
    <w:rsid w:val="00083871"/>
    <w:rsid w:val="00083B91"/>
    <w:rsid w:val="0008473C"/>
    <w:rsid w:val="0008520B"/>
    <w:rsid w:val="000860BD"/>
    <w:rsid w:val="000871B8"/>
    <w:rsid w:val="000916DA"/>
    <w:rsid w:val="00092442"/>
    <w:rsid w:val="000929EF"/>
    <w:rsid w:val="000933BE"/>
    <w:rsid w:val="00093CD4"/>
    <w:rsid w:val="0009560F"/>
    <w:rsid w:val="0009588E"/>
    <w:rsid w:val="000959EE"/>
    <w:rsid w:val="00097183"/>
    <w:rsid w:val="000972CB"/>
    <w:rsid w:val="00097608"/>
    <w:rsid w:val="000A13F3"/>
    <w:rsid w:val="000A23B1"/>
    <w:rsid w:val="000A2B0E"/>
    <w:rsid w:val="000A398F"/>
    <w:rsid w:val="000A3BB7"/>
    <w:rsid w:val="000A448C"/>
    <w:rsid w:val="000A509C"/>
    <w:rsid w:val="000A54A7"/>
    <w:rsid w:val="000A6007"/>
    <w:rsid w:val="000A65A6"/>
    <w:rsid w:val="000A70E3"/>
    <w:rsid w:val="000A7275"/>
    <w:rsid w:val="000A7A12"/>
    <w:rsid w:val="000A7A72"/>
    <w:rsid w:val="000B1202"/>
    <w:rsid w:val="000B1801"/>
    <w:rsid w:val="000B1D0C"/>
    <w:rsid w:val="000B2273"/>
    <w:rsid w:val="000B2585"/>
    <w:rsid w:val="000B2BC6"/>
    <w:rsid w:val="000B2D03"/>
    <w:rsid w:val="000B3815"/>
    <w:rsid w:val="000B3C7B"/>
    <w:rsid w:val="000B4321"/>
    <w:rsid w:val="000B552E"/>
    <w:rsid w:val="000B6A6B"/>
    <w:rsid w:val="000B6C95"/>
    <w:rsid w:val="000B79FC"/>
    <w:rsid w:val="000B7BD1"/>
    <w:rsid w:val="000C02B1"/>
    <w:rsid w:val="000C1679"/>
    <w:rsid w:val="000C1EE3"/>
    <w:rsid w:val="000C3AE7"/>
    <w:rsid w:val="000C3CC9"/>
    <w:rsid w:val="000C6DE4"/>
    <w:rsid w:val="000C7202"/>
    <w:rsid w:val="000D0A89"/>
    <w:rsid w:val="000D1389"/>
    <w:rsid w:val="000D1798"/>
    <w:rsid w:val="000D2626"/>
    <w:rsid w:val="000D291C"/>
    <w:rsid w:val="000D3FB6"/>
    <w:rsid w:val="000D411D"/>
    <w:rsid w:val="000D4589"/>
    <w:rsid w:val="000D4809"/>
    <w:rsid w:val="000D73DD"/>
    <w:rsid w:val="000E1C51"/>
    <w:rsid w:val="000E28AB"/>
    <w:rsid w:val="000E2E3E"/>
    <w:rsid w:val="000E3583"/>
    <w:rsid w:val="000E3AF0"/>
    <w:rsid w:val="000E4E04"/>
    <w:rsid w:val="000E693B"/>
    <w:rsid w:val="000E6EC9"/>
    <w:rsid w:val="000E70B4"/>
    <w:rsid w:val="000E7B62"/>
    <w:rsid w:val="000F0E1E"/>
    <w:rsid w:val="000F17E5"/>
    <w:rsid w:val="000F1A1B"/>
    <w:rsid w:val="000F2A95"/>
    <w:rsid w:val="000F3281"/>
    <w:rsid w:val="000F32FD"/>
    <w:rsid w:val="000F3733"/>
    <w:rsid w:val="000F5F8B"/>
    <w:rsid w:val="000F6153"/>
    <w:rsid w:val="000F63C8"/>
    <w:rsid w:val="000F64AA"/>
    <w:rsid w:val="000F7AF4"/>
    <w:rsid w:val="000F7C33"/>
    <w:rsid w:val="000F7F0C"/>
    <w:rsid w:val="001004D6"/>
    <w:rsid w:val="00102676"/>
    <w:rsid w:val="00103646"/>
    <w:rsid w:val="00103918"/>
    <w:rsid w:val="00104897"/>
    <w:rsid w:val="00104EDE"/>
    <w:rsid w:val="00105CDA"/>
    <w:rsid w:val="00106BEE"/>
    <w:rsid w:val="00107C74"/>
    <w:rsid w:val="0011091C"/>
    <w:rsid w:val="00111266"/>
    <w:rsid w:val="001112EB"/>
    <w:rsid w:val="00112768"/>
    <w:rsid w:val="00113678"/>
    <w:rsid w:val="00113C3E"/>
    <w:rsid w:val="00115E11"/>
    <w:rsid w:val="00115EEE"/>
    <w:rsid w:val="00115F56"/>
    <w:rsid w:val="00116CA9"/>
    <w:rsid w:val="00116F38"/>
    <w:rsid w:val="001170A4"/>
    <w:rsid w:val="00117AE7"/>
    <w:rsid w:val="00117CBD"/>
    <w:rsid w:val="0012006A"/>
    <w:rsid w:val="00121979"/>
    <w:rsid w:val="00122064"/>
    <w:rsid w:val="00124341"/>
    <w:rsid w:val="00124492"/>
    <w:rsid w:val="00124B12"/>
    <w:rsid w:val="001250A0"/>
    <w:rsid w:val="001263B8"/>
    <w:rsid w:val="0012763E"/>
    <w:rsid w:val="00130217"/>
    <w:rsid w:val="00130783"/>
    <w:rsid w:val="00130A47"/>
    <w:rsid w:val="00130D7C"/>
    <w:rsid w:val="00132B47"/>
    <w:rsid w:val="001337F8"/>
    <w:rsid w:val="001348B4"/>
    <w:rsid w:val="001351CB"/>
    <w:rsid w:val="00135530"/>
    <w:rsid w:val="00135947"/>
    <w:rsid w:val="001359A2"/>
    <w:rsid w:val="00135F92"/>
    <w:rsid w:val="00136020"/>
    <w:rsid w:val="00136445"/>
    <w:rsid w:val="00140132"/>
    <w:rsid w:val="00141C9C"/>
    <w:rsid w:val="0014277F"/>
    <w:rsid w:val="001434BE"/>
    <w:rsid w:val="00144050"/>
    <w:rsid w:val="0014479F"/>
    <w:rsid w:val="001452B4"/>
    <w:rsid w:val="00145320"/>
    <w:rsid w:val="001476D3"/>
    <w:rsid w:val="001509CF"/>
    <w:rsid w:val="00150D1D"/>
    <w:rsid w:val="001525AA"/>
    <w:rsid w:val="00152A87"/>
    <w:rsid w:val="00153BB5"/>
    <w:rsid w:val="00154518"/>
    <w:rsid w:val="00156359"/>
    <w:rsid w:val="001568F3"/>
    <w:rsid w:val="00156DD6"/>
    <w:rsid w:val="0016086E"/>
    <w:rsid w:val="00160D0C"/>
    <w:rsid w:val="00161172"/>
    <w:rsid w:val="00161998"/>
    <w:rsid w:val="00161E65"/>
    <w:rsid w:val="00162597"/>
    <w:rsid w:val="001629AF"/>
    <w:rsid w:val="001629FD"/>
    <w:rsid w:val="0016428A"/>
    <w:rsid w:val="001647C9"/>
    <w:rsid w:val="001655B2"/>
    <w:rsid w:val="00165627"/>
    <w:rsid w:val="00165929"/>
    <w:rsid w:val="001661A3"/>
    <w:rsid w:val="00167226"/>
    <w:rsid w:val="0016782B"/>
    <w:rsid w:val="0016784D"/>
    <w:rsid w:val="00172CA8"/>
    <w:rsid w:val="00173256"/>
    <w:rsid w:val="00173B0E"/>
    <w:rsid w:val="00173E03"/>
    <w:rsid w:val="00174182"/>
    <w:rsid w:val="0017512C"/>
    <w:rsid w:val="0017586A"/>
    <w:rsid w:val="00175BA6"/>
    <w:rsid w:val="00176CA7"/>
    <w:rsid w:val="00176F8E"/>
    <w:rsid w:val="001778C5"/>
    <w:rsid w:val="00177E56"/>
    <w:rsid w:val="00177F0A"/>
    <w:rsid w:val="00180DA0"/>
    <w:rsid w:val="00181EAD"/>
    <w:rsid w:val="00181F43"/>
    <w:rsid w:val="00182862"/>
    <w:rsid w:val="00184F57"/>
    <w:rsid w:val="00185544"/>
    <w:rsid w:val="00185617"/>
    <w:rsid w:val="00186823"/>
    <w:rsid w:val="00186FE1"/>
    <w:rsid w:val="00187A14"/>
    <w:rsid w:val="0019171E"/>
    <w:rsid w:val="00192368"/>
    <w:rsid w:val="001923A0"/>
    <w:rsid w:val="001928B1"/>
    <w:rsid w:val="00193537"/>
    <w:rsid w:val="00193846"/>
    <w:rsid w:val="00194EC8"/>
    <w:rsid w:val="00195424"/>
    <w:rsid w:val="001955FF"/>
    <w:rsid w:val="00196D6E"/>
    <w:rsid w:val="00197EDD"/>
    <w:rsid w:val="001A02B3"/>
    <w:rsid w:val="001A04BB"/>
    <w:rsid w:val="001A08D0"/>
    <w:rsid w:val="001A1B39"/>
    <w:rsid w:val="001A2120"/>
    <w:rsid w:val="001A28C6"/>
    <w:rsid w:val="001A2E69"/>
    <w:rsid w:val="001A3C34"/>
    <w:rsid w:val="001A3EDE"/>
    <w:rsid w:val="001A4222"/>
    <w:rsid w:val="001A50EA"/>
    <w:rsid w:val="001A5BA2"/>
    <w:rsid w:val="001A5E24"/>
    <w:rsid w:val="001A6B27"/>
    <w:rsid w:val="001A6D8B"/>
    <w:rsid w:val="001A6DAA"/>
    <w:rsid w:val="001A7717"/>
    <w:rsid w:val="001A793A"/>
    <w:rsid w:val="001B125A"/>
    <w:rsid w:val="001B1EBA"/>
    <w:rsid w:val="001B2142"/>
    <w:rsid w:val="001B2F2B"/>
    <w:rsid w:val="001B327A"/>
    <w:rsid w:val="001B35DE"/>
    <w:rsid w:val="001B3A13"/>
    <w:rsid w:val="001B3F5C"/>
    <w:rsid w:val="001B59FF"/>
    <w:rsid w:val="001B6512"/>
    <w:rsid w:val="001B65D7"/>
    <w:rsid w:val="001B6752"/>
    <w:rsid w:val="001B6768"/>
    <w:rsid w:val="001B6F1F"/>
    <w:rsid w:val="001B7CD7"/>
    <w:rsid w:val="001B7ECC"/>
    <w:rsid w:val="001C025B"/>
    <w:rsid w:val="001C115F"/>
    <w:rsid w:val="001C1EAB"/>
    <w:rsid w:val="001C25A7"/>
    <w:rsid w:val="001C318C"/>
    <w:rsid w:val="001C35C4"/>
    <w:rsid w:val="001C4287"/>
    <w:rsid w:val="001C4479"/>
    <w:rsid w:val="001C5190"/>
    <w:rsid w:val="001C6081"/>
    <w:rsid w:val="001C7B48"/>
    <w:rsid w:val="001D0CFB"/>
    <w:rsid w:val="001D1A0D"/>
    <w:rsid w:val="001D343C"/>
    <w:rsid w:val="001D34F5"/>
    <w:rsid w:val="001D56FC"/>
    <w:rsid w:val="001D58A1"/>
    <w:rsid w:val="001D58C2"/>
    <w:rsid w:val="001D5A8A"/>
    <w:rsid w:val="001D61CA"/>
    <w:rsid w:val="001D6E87"/>
    <w:rsid w:val="001D735E"/>
    <w:rsid w:val="001D73C8"/>
    <w:rsid w:val="001D7BC6"/>
    <w:rsid w:val="001E129E"/>
    <w:rsid w:val="001E175C"/>
    <w:rsid w:val="001E1B0E"/>
    <w:rsid w:val="001E3B63"/>
    <w:rsid w:val="001E522E"/>
    <w:rsid w:val="001E5A94"/>
    <w:rsid w:val="001E5F6F"/>
    <w:rsid w:val="001F0373"/>
    <w:rsid w:val="001F2A2E"/>
    <w:rsid w:val="001F3356"/>
    <w:rsid w:val="001F3C63"/>
    <w:rsid w:val="001F4460"/>
    <w:rsid w:val="001F4F4F"/>
    <w:rsid w:val="001F711A"/>
    <w:rsid w:val="001F75B0"/>
    <w:rsid w:val="00200CE5"/>
    <w:rsid w:val="00200F7C"/>
    <w:rsid w:val="002014DB"/>
    <w:rsid w:val="0020150B"/>
    <w:rsid w:val="00201E12"/>
    <w:rsid w:val="002033B5"/>
    <w:rsid w:val="0020382C"/>
    <w:rsid w:val="0020437A"/>
    <w:rsid w:val="0020454C"/>
    <w:rsid w:val="00204740"/>
    <w:rsid w:val="00205129"/>
    <w:rsid w:val="0020521F"/>
    <w:rsid w:val="0020532C"/>
    <w:rsid w:val="002114C7"/>
    <w:rsid w:val="00211579"/>
    <w:rsid w:val="0021302C"/>
    <w:rsid w:val="00213B1C"/>
    <w:rsid w:val="00214202"/>
    <w:rsid w:val="002148E3"/>
    <w:rsid w:val="0021552D"/>
    <w:rsid w:val="002156AE"/>
    <w:rsid w:val="00215E99"/>
    <w:rsid w:val="0022054D"/>
    <w:rsid w:val="00223DDB"/>
    <w:rsid w:val="00223FA4"/>
    <w:rsid w:val="00223FB0"/>
    <w:rsid w:val="00224067"/>
    <w:rsid w:val="0022421C"/>
    <w:rsid w:val="00224E83"/>
    <w:rsid w:val="00225664"/>
    <w:rsid w:val="0022663D"/>
    <w:rsid w:val="00227F2D"/>
    <w:rsid w:val="00230179"/>
    <w:rsid w:val="00231851"/>
    <w:rsid w:val="002319FB"/>
    <w:rsid w:val="00231B89"/>
    <w:rsid w:val="00231F11"/>
    <w:rsid w:val="00231F5E"/>
    <w:rsid w:val="002346B4"/>
    <w:rsid w:val="00234F6E"/>
    <w:rsid w:val="002355BE"/>
    <w:rsid w:val="002358EA"/>
    <w:rsid w:val="00236578"/>
    <w:rsid w:val="00236DE9"/>
    <w:rsid w:val="00237342"/>
    <w:rsid w:val="00237D5A"/>
    <w:rsid w:val="002415AE"/>
    <w:rsid w:val="00241D3C"/>
    <w:rsid w:val="00242109"/>
    <w:rsid w:val="00243189"/>
    <w:rsid w:val="002439AB"/>
    <w:rsid w:val="00243C19"/>
    <w:rsid w:val="00244AE8"/>
    <w:rsid w:val="00244DC9"/>
    <w:rsid w:val="00245587"/>
    <w:rsid w:val="00245F2B"/>
    <w:rsid w:val="00247F3A"/>
    <w:rsid w:val="00250122"/>
    <w:rsid w:val="00250755"/>
    <w:rsid w:val="00250A51"/>
    <w:rsid w:val="00251043"/>
    <w:rsid w:val="00251C4A"/>
    <w:rsid w:val="0025271C"/>
    <w:rsid w:val="002529E4"/>
    <w:rsid w:val="002533CD"/>
    <w:rsid w:val="002535EA"/>
    <w:rsid w:val="00254EAB"/>
    <w:rsid w:val="002557AF"/>
    <w:rsid w:val="0025589C"/>
    <w:rsid w:val="00255B62"/>
    <w:rsid w:val="002566B1"/>
    <w:rsid w:val="002575E3"/>
    <w:rsid w:val="00257A74"/>
    <w:rsid w:val="002603C1"/>
    <w:rsid w:val="002609A1"/>
    <w:rsid w:val="002612B1"/>
    <w:rsid w:val="00266165"/>
    <w:rsid w:val="002662FE"/>
    <w:rsid w:val="00266F2C"/>
    <w:rsid w:val="0027125E"/>
    <w:rsid w:val="00271767"/>
    <w:rsid w:val="00272293"/>
    <w:rsid w:val="002723C8"/>
    <w:rsid w:val="00273C2A"/>
    <w:rsid w:val="00273CBE"/>
    <w:rsid w:val="002746B1"/>
    <w:rsid w:val="00274BAD"/>
    <w:rsid w:val="002754D6"/>
    <w:rsid w:val="00282D56"/>
    <w:rsid w:val="002835B0"/>
    <w:rsid w:val="00283C74"/>
    <w:rsid w:val="0028407E"/>
    <w:rsid w:val="0028410F"/>
    <w:rsid w:val="00284572"/>
    <w:rsid w:val="00285221"/>
    <w:rsid w:val="00286FB5"/>
    <w:rsid w:val="00287763"/>
    <w:rsid w:val="00287FCB"/>
    <w:rsid w:val="00290606"/>
    <w:rsid w:val="002909B2"/>
    <w:rsid w:val="00291D6D"/>
    <w:rsid w:val="00291FF1"/>
    <w:rsid w:val="00292AA2"/>
    <w:rsid w:val="00293361"/>
    <w:rsid w:val="002952B1"/>
    <w:rsid w:val="00295D11"/>
    <w:rsid w:val="00296FB6"/>
    <w:rsid w:val="002A0001"/>
    <w:rsid w:val="002A0BD9"/>
    <w:rsid w:val="002A0C3A"/>
    <w:rsid w:val="002A1130"/>
    <w:rsid w:val="002A1880"/>
    <w:rsid w:val="002A23B7"/>
    <w:rsid w:val="002A3A57"/>
    <w:rsid w:val="002A4B4F"/>
    <w:rsid w:val="002A57A8"/>
    <w:rsid w:val="002A6DEF"/>
    <w:rsid w:val="002A6E42"/>
    <w:rsid w:val="002A770B"/>
    <w:rsid w:val="002B013E"/>
    <w:rsid w:val="002B058D"/>
    <w:rsid w:val="002B0C16"/>
    <w:rsid w:val="002B2AC5"/>
    <w:rsid w:val="002B3528"/>
    <w:rsid w:val="002B3539"/>
    <w:rsid w:val="002B4532"/>
    <w:rsid w:val="002B4625"/>
    <w:rsid w:val="002B5042"/>
    <w:rsid w:val="002B69CC"/>
    <w:rsid w:val="002B6D71"/>
    <w:rsid w:val="002C0C1C"/>
    <w:rsid w:val="002C54C2"/>
    <w:rsid w:val="002C5D34"/>
    <w:rsid w:val="002C5D7F"/>
    <w:rsid w:val="002C60BB"/>
    <w:rsid w:val="002C661A"/>
    <w:rsid w:val="002D0D6F"/>
    <w:rsid w:val="002D25FC"/>
    <w:rsid w:val="002D4AC6"/>
    <w:rsid w:val="002D5BF5"/>
    <w:rsid w:val="002D5E95"/>
    <w:rsid w:val="002D5EE8"/>
    <w:rsid w:val="002D7360"/>
    <w:rsid w:val="002D7648"/>
    <w:rsid w:val="002D780A"/>
    <w:rsid w:val="002E109C"/>
    <w:rsid w:val="002E193E"/>
    <w:rsid w:val="002E1A94"/>
    <w:rsid w:val="002E1D55"/>
    <w:rsid w:val="002E26C4"/>
    <w:rsid w:val="002E30A5"/>
    <w:rsid w:val="002E47E4"/>
    <w:rsid w:val="002E4BF9"/>
    <w:rsid w:val="002E4D61"/>
    <w:rsid w:val="002E5FED"/>
    <w:rsid w:val="002E68A7"/>
    <w:rsid w:val="002E6E6C"/>
    <w:rsid w:val="002F0522"/>
    <w:rsid w:val="002F0B85"/>
    <w:rsid w:val="002F16DD"/>
    <w:rsid w:val="002F199D"/>
    <w:rsid w:val="002F213C"/>
    <w:rsid w:val="002F2453"/>
    <w:rsid w:val="002F352D"/>
    <w:rsid w:val="002F381E"/>
    <w:rsid w:val="002F4084"/>
    <w:rsid w:val="002F4A08"/>
    <w:rsid w:val="002F4ADB"/>
    <w:rsid w:val="002F531E"/>
    <w:rsid w:val="002F548D"/>
    <w:rsid w:val="002F5ACC"/>
    <w:rsid w:val="002F704B"/>
    <w:rsid w:val="002F72C3"/>
    <w:rsid w:val="002F768C"/>
    <w:rsid w:val="002F7D1E"/>
    <w:rsid w:val="00300201"/>
    <w:rsid w:val="0030025A"/>
    <w:rsid w:val="00301ADC"/>
    <w:rsid w:val="00302EFC"/>
    <w:rsid w:val="00303243"/>
    <w:rsid w:val="00303BCC"/>
    <w:rsid w:val="00303F2B"/>
    <w:rsid w:val="00303F8D"/>
    <w:rsid w:val="0030572D"/>
    <w:rsid w:val="0030586A"/>
    <w:rsid w:val="0030622D"/>
    <w:rsid w:val="00306811"/>
    <w:rsid w:val="00306F32"/>
    <w:rsid w:val="003074C5"/>
    <w:rsid w:val="00307A3C"/>
    <w:rsid w:val="00307FA4"/>
    <w:rsid w:val="00310290"/>
    <w:rsid w:val="0031083D"/>
    <w:rsid w:val="00310CC1"/>
    <w:rsid w:val="00311B60"/>
    <w:rsid w:val="00312504"/>
    <w:rsid w:val="00313026"/>
    <w:rsid w:val="00313913"/>
    <w:rsid w:val="0031421F"/>
    <w:rsid w:val="00314B31"/>
    <w:rsid w:val="00315A65"/>
    <w:rsid w:val="003165D7"/>
    <w:rsid w:val="00317BA7"/>
    <w:rsid w:val="00320BE2"/>
    <w:rsid w:val="00321886"/>
    <w:rsid w:val="00323694"/>
    <w:rsid w:val="00323BE7"/>
    <w:rsid w:val="00324C3A"/>
    <w:rsid w:val="00324D63"/>
    <w:rsid w:val="003255AF"/>
    <w:rsid w:val="003256EB"/>
    <w:rsid w:val="003259DB"/>
    <w:rsid w:val="003314D9"/>
    <w:rsid w:val="00331653"/>
    <w:rsid w:val="00331A48"/>
    <w:rsid w:val="00331BCC"/>
    <w:rsid w:val="003330C9"/>
    <w:rsid w:val="0033364C"/>
    <w:rsid w:val="00334415"/>
    <w:rsid w:val="00335EA1"/>
    <w:rsid w:val="0033691E"/>
    <w:rsid w:val="00336A6A"/>
    <w:rsid w:val="00336CCB"/>
    <w:rsid w:val="003411D1"/>
    <w:rsid w:val="003416BA"/>
    <w:rsid w:val="00342148"/>
    <w:rsid w:val="00342F99"/>
    <w:rsid w:val="0034575A"/>
    <w:rsid w:val="00345F57"/>
    <w:rsid w:val="00350458"/>
    <w:rsid w:val="00350E6C"/>
    <w:rsid w:val="003518A6"/>
    <w:rsid w:val="00351E7F"/>
    <w:rsid w:val="00352953"/>
    <w:rsid w:val="00354062"/>
    <w:rsid w:val="0035459E"/>
    <w:rsid w:val="00355C0D"/>
    <w:rsid w:val="003566A9"/>
    <w:rsid w:val="00356988"/>
    <w:rsid w:val="003569D3"/>
    <w:rsid w:val="00356CE9"/>
    <w:rsid w:val="003570BB"/>
    <w:rsid w:val="00357128"/>
    <w:rsid w:val="0035755E"/>
    <w:rsid w:val="00357A80"/>
    <w:rsid w:val="00361441"/>
    <w:rsid w:val="00361B8B"/>
    <w:rsid w:val="00363F39"/>
    <w:rsid w:val="0036445C"/>
    <w:rsid w:val="00364627"/>
    <w:rsid w:val="00364AB0"/>
    <w:rsid w:val="00364D71"/>
    <w:rsid w:val="003667B0"/>
    <w:rsid w:val="003667DD"/>
    <w:rsid w:val="00366B48"/>
    <w:rsid w:val="00367764"/>
    <w:rsid w:val="003701F7"/>
    <w:rsid w:val="00370316"/>
    <w:rsid w:val="00370DC7"/>
    <w:rsid w:val="00371CBD"/>
    <w:rsid w:val="00371F20"/>
    <w:rsid w:val="003721E3"/>
    <w:rsid w:val="00372B98"/>
    <w:rsid w:val="003737B7"/>
    <w:rsid w:val="003740CC"/>
    <w:rsid w:val="003745F4"/>
    <w:rsid w:val="00374E79"/>
    <w:rsid w:val="0037529A"/>
    <w:rsid w:val="00375388"/>
    <w:rsid w:val="00375FB9"/>
    <w:rsid w:val="00376170"/>
    <w:rsid w:val="00376851"/>
    <w:rsid w:val="00376FA2"/>
    <w:rsid w:val="00377A3B"/>
    <w:rsid w:val="00377E3C"/>
    <w:rsid w:val="00380BBE"/>
    <w:rsid w:val="00381D70"/>
    <w:rsid w:val="0038235E"/>
    <w:rsid w:val="003829D0"/>
    <w:rsid w:val="0038326A"/>
    <w:rsid w:val="0038444F"/>
    <w:rsid w:val="003861F0"/>
    <w:rsid w:val="00387051"/>
    <w:rsid w:val="00387ECF"/>
    <w:rsid w:val="0039021B"/>
    <w:rsid w:val="00390429"/>
    <w:rsid w:val="003906A0"/>
    <w:rsid w:val="0039366C"/>
    <w:rsid w:val="00393EC8"/>
    <w:rsid w:val="003950F5"/>
    <w:rsid w:val="0039538F"/>
    <w:rsid w:val="00395E42"/>
    <w:rsid w:val="00396409"/>
    <w:rsid w:val="00396A2D"/>
    <w:rsid w:val="00396FC3"/>
    <w:rsid w:val="003A1A94"/>
    <w:rsid w:val="003A204E"/>
    <w:rsid w:val="003A2D25"/>
    <w:rsid w:val="003A5728"/>
    <w:rsid w:val="003A60E7"/>
    <w:rsid w:val="003A7092"/>
    <w:rsid w:val="003A72A1"/>
    <w:rsid w:val="003A7611"/>
    <w:rsid w:val="003A7D1F"/>
    <w:rsid w:val="003B0B6A"/>
    <w:rsid w:val="003B22F7"/>
    <w:rsid w:val="003B29CF"/>
    <w:rsid w:val="003B3A90"/>
    <w:rsid w:val="003B534F"/>
    <w:rsid w:val="003B5E4F"/>
    <w:rsid w:val="003B7A79"/>
    <w:rsid w:val="003C0FE1"/>
    <w:rsid w:val="003C151A"/>
    <w:rsid w:val="003C350C"/>
    <w:rsid w:val="003C3903"/>
    <w:rsid w:val="003C3BA0"/>
    <w:rsid w:val="003C4580"/>
    <w:rsid w:val="003C5C5E"/>
    <w:rsid w:val="003C6746"/>
    <w:rsid w:val="003C7555"/>
    <w:rsid w:val="003C7898"/>
    <w:rsid w:val="003D0FF5"/>
    <w:rsid w:val="003D11A3"/>
    <w:rsid w:val="003D1537"/>
    <w:rsid w:val="003D183C"/>
    <w:rsid w:val="003D2D1B"/>
    <w:rsid w:val="003D48C7"/>
    <w:rsid w:val="003D4C27"/>
    <w:rsid w:val="003D7109"/>
    <w:rsid w:val="003D7CE8"/>
    <w:rsid w:val="003E0514"/>
    <w:rsid w:val="003E1032"/>
    <w:rsid w:val="003E1904"/>
    <w:rsid w:val="003E285E"/>
    <w:rsid w:val="003E3124"/>
    <w:rsid w:val="003E3300"/>
    <w:rsid w:val="003E43D3"/>
    <w:rsid w:val="003E48E1"/>
    <w:rsid w:val="003E59BB"/>
    <w:rsid w:val="003E6225"/>
    <w:rsid w:val="003E65AC"/>
    <w:rsid w:val="003E66AE"/>
    <w:rsid w:val="003E72B9"/>
    <w:rsid w:val="003E7ED4"/>
    <w:rsid w:val="003F0E52"/>
    <w:rsid w:val="003F0F6B"/>
    <w:rsid w:val="003F1FC6"/>
    <w:rsid w:val="003F1FE3"/>
    <w:rsid w:val="003F2359"/>
    <w:rsid w:val="003F3865"/>
    <w:rsid w:val="003F3D55"/>
    <w:rsid w:val="003F44E2"/>
    <w:rsid w:val="003F4632"/>
    <w:rsid w:val="003F47BA"/>
    <w:rsid w:val="003F4FE6"/>
    <w:rsid w:val="003F5638"/>
    <w:rsid w:val="003F6617"/>
    <w:rsid w:val="00402332"/>
    <w:rsid w:val="004025C2"/>
    <w:rsid w:val="00403195"/>
    <w:rsid w:val="004033A9"/>
    <w:rsid w:val="00403E55"/>
    <w:rsid w:val="0040407C"/>
    <w:rsid w:val="0040416C"/>
    <w:rsid w:val="00404681"/>
    <w:rsid w:val="00405AC1"/>
    <w:rsid w:val="00406923"/>
    <w:rsid w:val="0040763D"/>
    <w:rsid w:val="00410D17"/>
    <w:rsid w:val="00413442"/>
    <w:rsid w:val="00413821"/>
    <w:rsid w:val="00413BA5"/>
    <w:rsid w:val="004141A3"/>
    <w:rsid w:val="00414909"/>
    <w:rsid w:val="0041582F"/>
    <w:rsid w:val="00416112"/>
    <w:rsid w:val="00416AC8"/>
    <w:rsid w:val="00417AE0"/>
    <w:rsid w:val="00417BAA"/>
    <w:rsid w:val="0042042B"/>
    <w:rsid w:val="00420B45"/>
    <w:rsid w:val="00420D7A"/>
    <w:rsid w:val="00421257"/>
    <w:rsid w:val="00422193"/>
    <w:rsid w:val="004223DE"/>
    <w:rsid w:val="00422A10"/>
    <w:rsid w:val="00424D17"/>
    <w:rsid w:val="00425DFD"/>
    <w:rsid w:val="004263A3"/>
    <w:rsid w:val="00427713"/>
    <w:rsid w:val="00427CCC"/>
    <w:rsid w:val="0043013A"/>
    <w:rsid w:val="00430421"/>
    <w:rsid w:val="00430A36"/>
    <w:rsid w:val="00430B4F"/>
    <w:rsid w:val="00431084"/>
    <w:rsid w:val="004310D7"/>
    <w:rsid w:val="004322D6"/>
    <w:rsid w:val="00432589"/>
    <w:rsid w:val="00432A94"/>
    <w:rsid w:val="00432C95"/>
    <w:rsid w:val="00433827"/>
    <w:rsid w:val="00433A40"/>
    <w:rsid w:val="00434B70"/>
    <w:rsid w:val="004360C8"/>
    <w:rsid w:val="004371D5"/>
    <w:rsid w:val="0044006B"/>
    <w:rsid w:val="0044033F"/>
    <w:rsid w:val="00440630"/>
    <w:rsid w:val="00441F0F"/>
    <w:rsid w:val="00442965"/>
    <w:rsid w:val="00444157"/>
    <w:rsid w:val="0044417C"/>
    <w:rsid w:val="00444DB3"/>
    <w:rsid w:val="00445617"/>
    <w:rsid w:val="00445A2F"/>
    <w:rsid w:val="0044684E"/>
    <w:rsid w:val="00446F22"/>
    <w:rsid w:val="0045019F"/>
    <w:rsid w:val="004503A4"/>
    <w:rsid w:val="00450555"/>
    <w:rsid w:val="004506FA"/>
    <w:rsid w:val="00450DC6"/>
    <w:rsid w:val="004516A5"/>
    <w:rsid w:val="00451E9C"/>
    <w:rsid w:val="0045280F"/>
    <w:rsid w:val="004535AE"/>
    <w:rsid w:val="0045444D"/>
    <w:rsid w:val="0045463A"/>
    <w:rsid w:val="00454AC9"/>
    <w:rsid w:val="00455050"/>
    <w:rsid w:val="004554A3"/>
    <w:rsid w:val="00455A6E"/>
    <w:rsid w:val="00455EAD"/>
    <w:rsid w:val="00456783"/>
    <w:rsid w:val="004578EB"/>
    <w:rsid w:val="004604D5"/>
    <w:rsid w:val="00460697"/>
    <w:rsid w:val="0046117B"/>
    <w:rsid w:val="00464AB7"/>
    <w:rsid w:val="00465DE5"/>
    <w:rsid w:val="00467EF8"/>
    <w:rsid w:val="00472429"/>
    <w:rsid w:val="004725E5"/>
    <w:rsid w:val="00472751"/>
    <w:rsid w:val="00473128"/>
    <w:rsid w:val="00473263"/>
    <w:rsid w:val="00475078"/>
    <w:rsid w:val="00475767"/>
    <w:rsid w:val="004779A0"/>
    <w:rsid w:val="004808E3"/>
    <w:rsid w:val="00481016"/>
    <w:rsid w:val="0048204C"/>
    <w:rsid w:val="004821BB"/>
    <w:rsid w:val="004826FE"/>
    <w:rsid w:val="004827D5"/>
    <w:rsid w:val="00482AF2"/>
    <w:rsid w:val="004830C9"/>
    <w:rsid w:val="00483347"/>
    <w:rsid w:val="00483E2E"/>
    <w:rsid w:val="00484B69"/>
    <w:rsid w:val="00485406"/>
    <w:rsid w:val="0048590F"/>
    <w:rsid w:val="00486D60"/>
    <w:rsid w:val="00491FA1"/>
    <w:rsid w:val="00492A25"/>
    <w:rsid w:val="004938A3"/>
    <w:rsid w:val="0049558B"/>
    <w:rsid w:val="00496350"/>
    <w:rsid w:val="0049797C"/>
    <w:rsid w:val="004A00E1"/>
    <w:rsid w:val="004A0943"/>
    <w:rsid w:val="004A1405"/>
    <w:rsid w:val="004A1FC6"/>
    <w:rsid w:val="004A2E5F"/>
    <w:rsid w:val="004A38C2"/>
    <w:rsid w:val="004A3C03"/>
    <w:rsid w:val="004A3DB7"/>
    <w:rsid w:val="004A5088"/>
    <w:rsid w:val="004A5255"/>
    <w:rsid w:val="004A6CB0"/>
    <w:rsid w:val="004A70FF"/>
    <w:rsid w:val="004A7EDE"/>
    <w:rsid w:val="004B0D93"/>
    <w:rsid w:val="004B1FA4"/>
    <w:rsid w:val="004B29AC"/>
    <w:rsid w:val="004B35DF"/>
    <w:rsid w:val="004B3627"/>
    <w:rsid w:val="004B4922"/>
    <w:rsid w:val="004B57DF"/>
    <w:rsid w:val="004B5976"/>
    <w:rsid w:val="004B7137"/>
    <w:rsid w:val="004B722E"/>
    <w:rsid w:val="004B72E8"/>
    <w:rsid w:val="004C01A5"/>
    <w:rsid w:val="004C0412"/>
    <w:rsid w:val="004C1142"/>
    <w:rsid w:val="004C2138"/>
    <w:rsid w:val="004C3940"/>
    <w:rsid w:val="004C51FD"/>
    <w:rsid w:val="004C65A8"/>
    <w:rsid w:val="004C6689"/>
    <w:rsid w:val="004D139A"/>
    <w:rsid w:val="004D14DC"/>
    <w:rsid w:val="004D17C6"/>
    <w:rsid w:val="004D2858"/>
    <w:rsid w:val="004D2E49"/>
    <w:rsid w:val="004D35BA"/>
    <w:rsid w:val="004D38E5"/>
    <w:rsid w:val="004D3C5A"/>
    <w:rsid w:val="004D449A"/>
    <w:rsid w:val="004D4701"/>
    <w:rsid w:val="004D47C7"/>
    <w:rsid w:val="004D4F35"/>
    <w:rsid w:val="004D5D45"/>
    <w:rsid w:val="004D618D"/>
    <w:rsid w:val="004D62A9"/>
    <w:rsid w:val="004D6FC3"/>
    <w:rsid w:val="004D7476"/>
    <w:rsid w:val="004D7716"/>
    <w:rsid w:val="004E0306"/>
    <w:rsid w:val="004E0572"/>
    <w:rsid w:val="004E06D5"/>
    <w:rsid w:val="004E1641"/>
    <w:rsid w:val="004E1818"/>
    <w:rsid w:val="004E1990"/>
    <w:rsid w:val="004E25A8"/>
    <w:rsid w:val="004E3930"/>
    <w:rsid w:val="004E3ED9"/>
    <w:rsid w:val="004E5866"/>
    <w:rsid w:val="004E6097"/>
    <w:rsid w:val="004E61EF"/>
    <w:rsid w:val="004E63C6"/>
    <w:rsid w:val="004E76A7"/>
    <w:rsid w:val="004E7B03"/>
    <w:rsid w:val="004F0064"/>
    <w:rsid w:val="004F06AC"/>
    <w:rsid w:val="004F1D2A"/>
    <w:rsid w:val="004F243F"/>
    <w:rsid w:val="004F252C"/>
    <w:rsid w:val="004F36A3"/>
    <w:rsid w:val="004F3E0C"/>
    <w:rsid w:val="004F4308"/>
    <w:rsid w:val="004F7160"/>
    <w:rsid w:val="00500258"/>
    <w:rsid w:val="00500B2D"/>
    <w:rsid w:val="00501A99"/>
    <w:rsid w:val="00503180"/>
    <w:rsid w:val="005038A4"/>
    <w:rsid w:val="00505450"/>
    <w:rsid w:val="005100B7"/>
    <w:rsid w:val="005113C9"/>
    <w:rsid w:val="00512050"/>
    <w:rsid w:val="00512055"/>
    <w:rsid w:val="0051280C"/>
    <w:rsid w:val="00512842"/>
    <w:rsid w:val="005128BE"/>
    <w:rsid w:val="0051356F"/>
    <w:rsid w:val="00513E7C"/>
    <w:rsid w:val="005140BB"/>
    <w:rsid w:val="00514FBE"/>
    <w:rsid w:val="00514FD9"/>
    <w:rsid w:val="0051550A"/>
    <w:rsid w:val="0051608F"/>
    <w:rsid w:val="00520EF8"/>
    <w:rsid w:val="005210F7"/>
    <w:rsid w:val="00521753"/>
    <w:rsid w:val="0052239D"/>
    <w:rsid w:val="005224EE"/>
    <w:rsid w:val="005225F6"/>
    <w:rsid w:val="00522879"/>
    <w:rsid w:val="00523BB1"/>
    <w:rsid w:val="0052570E"/>
    <w:rsid w:val="005260CD"/>
    <w:rsid w:val="00526265"/>
    <w:rsid w:val="0052655D"/>
    <w:rsid w:val="005265E0"/>
    <w:rsid w:val="00526BC3"/>
    <w:rsid w:val="00531761"/>
    <w:rsid w:val="0053248F"/>
    <w:rsid w:val="0053332A"/>
    <w:rsid w:val="0053358A"/>
    <w:rsid w:val="00534668"/>
    <w:rsid w:val="00534DDD"/>
    <w:rsid w:val="00535291"/>
    <w:rsid w:val="00535A94"/>
    <w:rsid w:val="00537874"/>
    <w:rsid w:val="0053795F"/>
    <w:rsid w:val="00537D3D"/>
    <w:rsid w:val="00540511"/>
    <w:rsid w:val="00540578"/>
    <w:rsid w:val="00540808"/>
    <w:rsid w:val="0054080E"/>
    <w:rsid w:val="00540EA1"/>
    <w:rsid w:val="0054358E"/>
    <w:rsid w:val="00543AF4"/>
    <w:rsid w:val="00544191"/>
    <w:rsid w:val="0054440C"/>
    <w:rsid w:val="005448EC"/>
    <w:rsid w:val="00544C0A"/>
    <w:rsid w:val="00544F39"/>
    <w:rsid w:val="00546F90"/>
    <w:rsid w:val="00547EFB"/>
    <w:rsid w:val="005522F2"/>
    <w:rsid w:val="005531DF"/>
    <w:rsid w:val="00553874"/>
    <w:rsid w:val="00554577"/>
    <w:rsid w:val="00554AD8"/>
    <w:rsid w:val="00554F78"/>
    <w:rsid w:val="00555DA1"/>
    <w:rsid w:val="00556BF7"/>
    <w:rsid w:val="00557F60"/>
    <w:rsid w:val="00561730"/>
    <w:rsid w:val="00561B97"/>
    <w:rsid w:val="00562149"/>
    <w:rsid w:val="00567B5D"/>
    <w:rsid w:val="005706D5"/>
    <w:rsid w:val="00570757"/>
    <w:rsid w:val="00573733"/>
    <w:rsid w:val="00573F8B"/>
    <w:rsid w:val="00574554"/>
    <w:rsid w:val="00574E06"/>
    <w:rsid w:val="005751BB"/>
    <w:rsid w:val="00576089"/>
    <w:rsid w:val="005764B1"/>
    <w:rsid w:val="00576852"/>
    <w:rsid w:val="00576D06"/>
    <w:rsid w:val="00577287"/>
    <w:rsid w:val="005779E4"/>
    <w:rsid w:val="00577F9F"/>
    <w:rsid w:val="00580EC7"/>
    <w:rsid w:val="00581132"/>
    <w:rsid w:val="0058289C"/>
    <w:rsid w:val="005836C7"/>
    <w:rsid w:val="0058408E"/>
    <w:rsid w:val="00585374"/>
    <w:rsid w:val="005854CA"/>
    <w:rsid w:val="00585FAB"/>
    <w:rsid w:val="00590B77"/>
    <w:rsid w:val="00590D9A"/>
    <w:rsid w:val="005913A3"/>
    <w:rsid w:val="005940D4"/>
    <w:rsid w:val="00594A7B"/>
    <w:rsid w:val="0059580E"/>
    <w:rsid w:val="00595D90"/>
    <w:rsid w:val="00596A6F"/>
    <w:rsid w:val="00596FCE"/>
    <w:rsid w:val="005A11BC"/>
    <w:rsid w:val="005A1525"/>
    <w:rsid w:val="005A1E17"/>
    <w:rsid w:val="005A232F"/>
    <w:rsid w:val="005A252B"/>
    <w:rsid w:val="005A2A8F"/>
    <w:rsid w:val="005A3204"/>
    <w:rsid w:val="005A3341"/>
    <w:rsid w:val="005A3C3D"/>
    <w:rsid w:val="005A46EC"/>
    <w:rsid w:val="005A5EAE"/>
    <w:rsid w:val="005A6407"/>
    <w:rsid w:val="005A726C"/>
    <w:rsid w:val="005B07EC"/>
    <w:rsid w:val="005B2B11"/>
    <w:rsid w:val="005B32A4"/>
    <w:rsid w:val="005B3371"/>
    <w:rsid w:val="005B338D"/>
    <w:rsid w:val="005B36D7"/>
    <w:rsid w:val="005B3BAF"/>
    <w:rsid w:val="005B4DA3"/>
    <w:rsid w:val="005B5BEE"/>
    <w:rsid w:val="005B77D2"/>
    <w:rsid w:val="005C019B"/>
    <w:rsid w:val="005C08D0"/>
    <w:rsid w:val="005C1AED"/>
    <w:rsid w:val="005C30F5"/>
    <w:rsid w:val="005C51A5"/>
    <w:rsid w:val="005C557A"/>
    <w:rsid w:val="005C566F"/>
    <w:rsid w:val="005C5C47"/>
    <w:rsid w:val="005C61DD"/>
    <w:rsid w:val="005C6438"/>
    <w:rsid w:val="005C6B8B"/>
    <w:rsid w:val="005C727F"/>
    <w:rsid w:val="005D02E3"/>
    <w:rsid w:val="005D1F34"/>
    <w:rsid w:val="005D2C1F"/>
    <w:rsid w:val="005D2DE8"/>
    <w:rsid w:val="005D34B2"/>
    <w:rsid w:val="005D3B54"/>
    <w:rsid w:val="005D40CD"/>
    <w:rsid w:val="005D6B59"/>
    <w:rsid w:val="005D784B"/>
    <w:rsid w:val="005E03E4"/>
    <w:rsid w:val="005E0454"/>
    <w:rsid w:val="005E05F6"/>
    <w:rsid w:val="005E2442"/>
    <w:rsid w:val="005E3111"/>
    <w:rsid w:val="005E3F85"/>
    <w:rsid w:val="005E4A5F"/>
    <w:rsid w:val="005E57B0"/>
    <w:rsid w:val="005E5B01"/>
    <w:rsid w:val="005E6D3B"/>
    <w:rsid w:val="005F009E"/>
    <w:rsid w:val="005F0DF1"/>
    <w:rsid w:val="005F1516"/>
    <w:rsid w:val="005F229E"/>
    <w:rsid w:val="005F2564"/>
    <w:rsid w:val="005F2D0F"/>
    <w:rsid w:val="005F3822"/>
    <w:rsid w:val="005F4635"/>
    <w:rsid w:val="005F4900"/>
    <w:rsid w:val="005F4E52"/>
    <w:rsid w:val="005F6D58"/>
    <w:rsid w:val="005F7383"/>
    <w:rsid w:val="0060058E"/>
    <w:rsid w:val="00601F77"/>
    <w:rsid w:val="00602A3C"/>
    <w:rsid w:val="00603E47"/>
    <w:rsid w:val="00603EFD"/>
    <w:rsid w:val="0060475B"/>
    <w:rsid w:val="00604BED"/>
    <w:rsid w:val="00604FB6"/>
    <w:rsid w:val="00605387"/>
    <w:rsid w:val="00606302"/>
    <w:rsid w:val="006076FD"/>
    <w:rsid w:val="0061143F"/>
    <w:rsid w:val="006114D8"/>
    <w:rsid w:val="00613553"/>
    <w:rsid w:val="00613601"/>
    <w:rsid w:val="00613791"/>
    <w:rsid w:val="006150D6"/>
    <w:rsid w:val="00615245"/>
    <w:rsid w:val="0061590D"/>
    <w:rsid w:val="0061641E"/>
    <w:rsid w:val="00617EEE"/>
    <w:rsid w:val="00620A1F"/>
    <w:rsid w:val="006214DE"/>
    <w:rsid w:val="0062169D"/>
    <w:rsid w:val="0062181E"/>
    <w:rsid w:val="0062211B"/>
    <w:rsid w:val="00622BB7"/>
    <w:rsid w:val="00622C1E"/>
    <w:rsid w:val="00623389"/>
    <w:rsid w:val="00623DAA"/>
    <w:rsid w:val="00623FAF"/>
    <w:rsid w:val="006265C4"/>
    <w:rsid w:val="0062678A"/>
    <w:rsid w:val="006270AF"/>
    <w:rsid w:val="00634367"/>
    <w:rsid w:val="00640082"/>
    <w:rsid w:val="00640291"/>
    <w:rsid w:val="00640EFE"/>
    <w:rsid w:val="00641D6D"/>
    <w:rsid w:val="00641FAC"/>
    <w:rsid w:val="00643664"/>
    <w:rsid w:val="00643CAA"/>
    <w:rsid w:val="00644F16"/>
    <w:rsid w:val="006455EB"/>
    <w:rsid w:val="006456C2"/>
    <w:rsid w:val="00645A65"/>
    <w:rsid w:val="006477F0"/>
    <w:rsid w:val="006478E4"/>
    <w:rsid w:val="0065171A"/>
    <w:rsid w:val="00652680"/>
    <w:rsid w:val="00653CDE"/>
    <w:rsid w:val="00654585"/>
    <w:rsid w:val="00655AB6"/>
    <w:rsid w:val="00656281"/>
    <w:rsid w:val="0065636A"/>
    <w:rsid w:val="00657003"/>
    <w:rsid w:val="00660238"/>
    <w:rsid w:val="006602EF"/>
    <w:rsid w:val="00661277"/>
    <w:rsid w:val="006619E0"/>
    <w:rsid w:val="00663FEA"/>
    <w:rsid w:val="00664803"/>
    <w:rsid w:val="006657C5"/>
    <w:rsid w:val="006661A4"/>
    <w:rsid w:val="00666AC0"/>
    <w:rsid w:val="006670E0"/>
    <w:rsid w:val="006671B8"/>
    <w:rsid w:val="00667275"/>
    <w:rsid w:val="00667532"/>
    <w:rsid w:val="0066783E"/>
    <w:rsid w:val="00667E53"/>
    <w:rsid w:val="006711C4"/>
    <w:rsid w:val="006713AB"/>
    <w:rsid w:val="00672CA5"/>
    <w:rsid w:val="00673711"/>
    <w:rsid w:val="00673F82"/>
    <w:rsid w:val="00674F74"/>
    <w:rsid w:val="0067508F"/>
    <w:rsid w:val="00677576"/>
    <w:rsid w:val="0068051E"/>
    <w:rsid w:val="00680B9D"/>
    <w:rsid w:val="00681F13"/>
    <w:rsid w:val="0068231C"/>
    <w:rsid w:val="00682344"/>
    <w:rsid w:val="00682F28"/>
    <w:rsid w:val="00683515"/>
    <w:rsid w:val="00684842"/>
    <w:rsid w:val="006859AA"/>
    <w:rsid w:val="00685BD6"/>
    <w:rsid w:val="00687116"/>
    <w:rsid w:val="006878A6"/>
    <w:rsid w:val="00687D5F"/>
    <w:rsid w:val="00690437"/>
    <w:rsid w:val="00690DC3"/>
    <w:rsid w:val="00690E65"/>
    <w:rsid w:val="006911B7"/>
    <w:rsid w:val="00691387"/>
    <w:rsid w:val="0069188E"/>
    <w:rsid w:val="00691974"/>
    <w:rsid w:val="00692BF6"/>
    <w:rsid w:val="00692CE6"/>
    <w:rsid w:val="00693186"/>
    <w:rsid w:val="00693381"/>
    <w:rsid w:val="00693B6C"/>
    <w:rsid w:val="006942AE"/>
    <w:rsid w:val="00695421"/>
    <w:rsid w:val="00697BD3"/>
    <w:rsid w:val="00697DFA"/>
    <w:rsid w:val="006A16D5"/>
    <w:rsid w:val="006A1740"/>
    <w:rsid w:val="006A1772"/>
    <w:rsid w:val="006A1780"/>
    <w:rsid w:val="006A21DD"/>
    <w:rsid w:val="006A26C6"/>
    <w:rsid w:val="006A3302"/>
    <w:rsid w:val="006A3B28"/>
    <w:rsid w:val="006A4FEE"/>
    <w:rsid w:val="006A703E"/>
    <w:rsid w:val="006A7BE3"/>
    <w:rsid w:val="006A7D32"/>
    <w:rsid w:val="006B01D1"/>
    <w:rsid w:val="006B0DF4"/>
    <w:rsid w:val="006B0E2B"/>
    <w:rsid w:val="006B16EA"/>
    <w:rsid w:val="006B1780"/>
    <w:rsid w:val="006B224E"/>
    <w:rsid w:val="006B376E"/>
    <w:rsid w:val="006B4589"/>
    <w:rsid w:val="006B610E"/>
    <w:rsid w:val="006B643B"/>
    <w:rsid w:val="006B6805"/>
    <w:rsid w:val="006B6DE0"/>
    <w:rsid w:val="006C16C3"/>
    <w:rsid w:val="006C2187"/>
    <w:rsid w:val="006C32F4"/>
    <w:rsid w:val="006C3C54"/>
    <w:rsid w:val="006C4B6B"/>
    <w:rsid w:val="006C4F9F"/>
    <w:rsid w:val="006C71A2"/>
    <w:rsid w:val="006C73EC"/>
    <w:rsid w:val="006D0C1D"/>
    <w:rsid w:val="006D2E9D"/>
    <w:rsid w:val="006D4A4E"/>
    <w:rsid w:val="006D4C42"/>
    <w:rsid w:val="006D5389"/>
    <w:rsid w:val="006D5809"/>
    <w:rsid w:val="006D607E"/>
    <w:rsid w:val="006D6781"/>
    <w:rsid w:val="006D6E12"/>
    <w:rsid w:val="006D70CB"/>
    <w:rsid w:val="006D715C"/>
    <w:rsid w:val="006D7363"/>
    <w:rsid w:val="006D774E"/>
    <w:rsid w:val="006D7EA2"/>
    <w:rsid w:val="006E0754"/>
    <w:rsid w:val="006E10BB"/>
    <w:rsid w:val="006E2668"/>
    <w:rsid w:val="006E2D39"/>
    <w:rsid w:val="006E32B0"/>
    <w:rsid w:val="006E348E"/>
    <w:rsid w:val="006E396A"/>
    <w:rsid w:val="006E3D63"/>
    <w:rsid w:val="006E58BF"/>
    <w:rsid w:val="006E5DD8"/>
    <w:rsid w:val="006E5EA1"/>
    <w:rsid w:val="006E6DEE"/>
    <w:rsid w:val="006E7D4B"/>
    <w:rsid w:val="006F0760"/>
    <w:rsid w:val="006F11E2"/>
    <w:rsid w:val="006F2574"/>
    <w:rsid w:val="006F3221"/>
    <w:rsid w:val="006F3231"/>
    <w:rsid w:val="006F3DE3"/>
    <w:rsid w:val="006F4787"/>
    <w:rsid w:val="006F5C43"/>
    <w:rsid w:val="006F61D8"/>
    <w:rsid w:val="006F62B7"/>
    <w:rsid w:val="006F70BC"/>
    <w:rsid w:val="006F734B"/>
    <w:rsid w:val="006F7E7C"/>
    <w:rsid w:val="0070174E"/>
    <w:rsid w:val="007018DB"/>
    <w:rsid w:val="00701DE6"/>
    <w:rsid w:val="00702740"/>
    <w:rsid w:val="0070381B"/>
    <w:rsid w:val="007076DD"/>
    <w:rsid w:val="0070796C"/>
    <w:rsid w:val="007109BB"/>
    <w:rsid w:val="00710EBF"/>
    <w:rsid w:val="007110B8"/>
    <w:rsid w:val="0071209F"/>
    <w:rsid w:val="007125A2"/>
    <w:rsid w:val="00713DD9"/>
    <w:rsid w:val="00713F79"/>
    <w:rsid w:val="007148A8"/>
    <w:rsid w:val="00716AC8"/>
    <w:rsid w:val="00716E54"/>
    <w:rsid w:val="00717421"/>
    <w:rsid w:val="0072033C"/>
    <w:rsid w:val="00720B1B"/>
    <w:rsid w:val="00721062"/>
    <w:rsid w:val="00721E5D"/>
    <w:rsid w:val="007229D4"/>
    <w:rsid w:val="007230F8"/>
    <w:rsid w:val="007233F4"/>
    <w:rsid w:val="00724044"/>
    <w:rsid w:val="007248D3"/>
    <w:rsid w:val="00724DF8"/>
    <w:rsid w:val="00725137"/>
    <w:rsid w:val="00725378"/>
    <w:rsid w:val="00727A43"/>
    <w:rsid w:val="00727FF2"/>
    <w:rsid w:val="00730550"/>
    <w:rsid w:val="00730C2A"/>
    <w:rsid w:val="00731434"/>
    <w:rsid w:val="00731E59"/>
    <w:rsid w:val="007323E0"/>
    <w:rsid w:val="00732911"/>
    <w:rsid w:val="00733721"/>
    <w:rsid w:val="00733DE2"/>
    <w:rsid w:val="007352EA"/>
    <w:rsid w:val="0073625F"/>
    <w:rsid w:val="0073792F"/>
    <w:rsid w:val="00740C81"/>
    <w:rsid w:val="00740DA6"/>
    <w:rsid w:val="00741B4B"/>
    <w:rsid w:val="00741D1E"/>
    <w:rsid w:val="00741DD6"/>
    <w:rsid w:val="00741EE2"/>
    <w:rsid w:val="0074207F"/>
    <w:rsid w:val="00742367"/>
    <w:rsid w:val="00742EAA"/>
    <w:rsid w:val="00743360"/>
    <w:rsid w:val="00743818"/>
    <w:rsid w:val="00743857"/>
    <w:rsid w:val="007441FB"/>
    <w:rsid w:val="00744517"/>
    <w:rsid w:val="0074522A"/>
    <w:rsid w:val="00747295"/>
    <w:rsid w:val="00747829"/>
    <w:rsid w:val="00747DE2"/>
    <w:rsid w:val="007504BF"/>
    <w:rsid w:val="007506CD"/>
    <w:rsid w:val="0075267F"/>
    <w:rsid w:val="007526EC"/>
    <w:rsid w:val="007527F7"/>
    <w:rsid w:val="00753C48"/>
    <w:rsid w:val="00753ED8"/>
    <w:rsid w:val="00754250"/>
    <w:rsid w:val="00754FE4"/>
    <w:rsid w:val="00755216"/>
    <w:rsid w:val="00756236"/>
    <w:rsid w:val="00756271"/>
    <w:rsid w:val="00756348"/>
    <w:rsid w:val="00756521"/>
    <w:rsid w:val="00756AB7"/>
    <w:rsid w:val="0076106D"/>
    <w:rsid w:val="007623FB"/>
    <w:rsid w:val="00762517"/>
    <w:rsid w:val="00763240"/>
    <w:rsid w:val="0076376A"/>
    <w:rsid w:val="007648AD"/>
    <w:rsid w:val="0076504E"/>
    <w:rsid w:val="00767BFD"/>
    <w:rsid w:val="00767EA0"/>
    <w:rsid w:val="0077068F"/>
    <w:rsid w:val="00771EDF"/>
    <w:rsid w:val="00772A90"/>
    <w:rsid w:val="00772F8D"/>
    <w:rsid w:val="0077408D"/>
    <w:rsid w:val="00774270"/>
    <w:rsid w:val="007743F6"/>
    <w:rsid w:val="00775679"/>
    <w:rsid w:val="0077574F"/>
    <w:rsid w:val="00775823"/>
    <w:rsid w:val="00775EEA"/>
    <w:rsid w:val="007777CC"/>
    <w:rsid w:val="00777B32"/>
    <w:rsid w:val="0078051E"/>
    <w:rsid w:val="00780B59"/>
    <w:rsid w:val="00781089"/>
    <w:rsid w:val="007838F3"/>
    <w:rsid w:val="007856FE"/>
    <w:rsid w:val="00785F46"/>
    <w:rsid w:val="007865F4"/>
    <w:rsid w:val="00786D5C"/>
    <w:rsid w:val="00786E96"/>
    <w:rsid w:val="00787DFF"/>
    <w:rsid w:val="00787F93"/>
    <w:rsid w:val="00791E6D"/>
    <w:rsid w:val="00791EB5"/>
    <w:rsid w:val="00791FF2"/>
    <w:rsid w:val="00793696"/>
    <w:rsid w:val="007955DA"/>
    <w:rsid w:val="00796F65"/>
    <w:rsid w:val="007A11C2"/>
    <w:rsid w:val="007A18BB"/>
    <w:rsid w:val="007A27DD"/>
    <w:rsid w:val="007A41BF"/>
    <w:rsid w:val="007A490A"/>
    <w:rsid w:val="007A7B95"/>
    <w:rsid w:val="007B0297"/>
    <w:rsid w:val="007B02FA"/>
    <w:rsid w:val="007B0F53"/>
    <w:rsid w:val="007B21AE"/>
    <w:rsid w:val="007B2570"/>
    <w:rsid w:val="007B3113"/>
    <w:rsid w:val="007B3304"/>
    <w:rsid w:val="007B7490"/>
    <w:rsid w:val="007C0525"/>
    <w:rsid w:val="007C13F7"/>
    <w:rsid w:val="007C218D"/>
    <w:rsid w:val="007C2D28"/>
    <w:rsid w:val="007C3E22"/>
    <w:rsid w:val="007C5B90"/>
    <w:rsid w:val="007C6218"/>
    <w:rsid w:val="007C6484"/>
    <w:rsid w:val="007C67C6"/>
    <w:rsid w:val="007C78BE"/>
    <w:rsid w:val="007C7E59"/>
    <w:rsid w:val="007D0476"/>
    <w:rsid w:val="007D0B91"/>
    <w:rsid w:val="007D1386"/>
    <w:rsid w:val="007D1452"/>
    <w:rsid w:val="007D3DCB"/>
    <w:rsid w:val="007D460C"/>
    <w:rsid w:val="007D4996"/>
    <w:rsid w:val="007D4AD3"/>
    <w:rsid w:val="007D5D19"/>
    <w:rsid w:val="007D5FDC"/>
    <w:rsid w:val="007D6176"/>
    <w:rsid w:val="007D6D68"/>
    <w:rsid w:val="007E32DA"/>
    <w:rsid w:val="007E4998"/>
    <w:rsid w:val="007E4A9C"/>
    <w:rsid w:val="007E6914"/>
    <w:rsid w:val="007E7884"/>
    <w:rsid w:val="007E7F78"/>
    <w:rsid w:val="007F0179"/>
    <w:rsid w:val="007F2C13"/>
    <w:rsid w:val="007F2CEC"/>
    <w:rsid w:val="007F3435"/>
    <w:rsid w:val="007F4BBE"/>
    <w:rsid w:val="007F4D1C"/>
    <w:rsid w:val="007F55DE"/>
    <w:rsid w:val="007F762D"/>
    <w:rsid w:val="007F78F0"/>
    <w:rsid w:val="007F78FF"/>
    <w:rsid w:val="008001C5"/>
    <w:rsid w:val="00800F6C"/>
    <w:rsid w:val="00801065"/>
    <w:rsid w:val="00802C0B"/>
    <w:rsid w:val="008051FC"/>
    <w:rsid w:val="008055A9"/>
    <w:rsid w:val="008056C4"/>
    <w:rsid w:val="008057FD"/>
    <w:rsid w:val="00805D8B"/>
    <w:rsid w:val="00810BB6"/>
    <w:rsid w:val="00810E8E"/>
    <w:rsid w:val="00812C44"/>
    <w:rsid w:val="008135E1"/>
    <w:rsid w:val="00813779"/>
    <w:rsid w:val="00813E26"/>
    <w:rsid w:val="0081481D"/>
    <w:rsid w:val="00814BE8"/>
    <w:rsid w:val="00814F6E"/>
    <w:rsid w:val="00815363"/>
    <w:rsid w:val="00815B84"/>
    <w:rsid w:val="00816BE9"/>
    <w:rsid w:val="0082027C"/>
    <w:rsid w:val="00822518"/>
    <w:rsid w:val="008226F5"/>
    <w:rsid w:val="00823FC6"/>
    <w:rsid w:val="00824306"/>
    <w:rsid w:val="00825C74"/>
    <w:rsid w:val="00825CFA"/>
    <w:rsid w:val="00826AB9"/>
    <w:rsid w:val="00826E0E"/>
    <w:rsid w:val="00827D11"/>
    <w:rsid w:val="00827E0F"/>
    <w:rsid w:val="00827F6E"/>
    <w:rsid w:val="00831758"/>
    <w:rsid w:val="008317D9"/>
    <w:rsid w:val="0083279F"/>
    <w:rsid w:val="008334DB"/>
    <w:rsid w:val="00833B7F"/>
    <w:rsid w:val="00833E8E"/>
    <w:rsid w:val="00834906"/>
    <w:rsid w:val="00836075"/>
    <w:rsid w:val="00836417"/>
    <w:rsid w:val="00836A3E"/>
    <w:rsid w:val="00837526"/>
    <w:rsid w:val="008407A7"/>
    <w:rsid w:val="0084322B"/>
    <w:rsid w:val="00843F81"/>
    <w:rsid w:val="00844087"/>
    <w:rsid w:val="00844526"/>
    <w:rsid w:val="008448F1"/>
    <w:rsid w:val="0084519E"/>
    <w:rsid w:val="00845CAE"/>
    <w:rsid w:val="00846370"/>
    <w:rsid w:val="008477E7"/>
    <w:rsid w:val="00847C2B"/>
    <w:rsid w:val="00850272"/>
    <w:rsid w:val="008506B9"/>
    <w:rsid w:val="00851822"/>
    <w:rsid w:val="008532BF"/>
    <w:rsid w:val="008539B2"/>
    <w:rsid w:val="00853BF4"/>
    <w:rsid w:val="00854294"/>
    <w:rsid w:val="0085572E"/>
    <w:rsid w:val="0085788B"/>
    <w:rsid w:val="00857A9E"/>
    <w:rsid w:val="00857DE2"/>
    <w:rsid w:val="00863A8E"/>
    <w:rsid w:val="0086407F"/>
    <w:rsid w:val="008645E3"/>
    <w:rsid w:val="00864E79"/>
    <w:rsid w:val="008655D2"/>
    <w:rsid w:val="0086661F"/>
    <w:rsid w:val="00866A0D"/>
    <w:rsid w:val="00866DB5"/>
    <w:rsid w:val="0086701D"/>
    <w:rsid w:val="0086702B"/>
    <w:rsid w:val="008672E2"/>
    <w:rsid w:val="0086784E"/>
    <w:rsid w:val="0087121C"/>
    <w:rsid w:val="00871FD2"/>
    <w:rsid w:val="00872084"/>
    <w:rsid w:val="00872827"/>
    <w:rsid w:val="00872A32"/>
    <w:rsid w:val="00874911"/>
    <w:rsid w:val="008754E4"/>
    <w:rsid w:val="00876EAE"/>
    <w:rsid w:val="00880106"/>
    <w:rsid w:val="00880F95"/>
    <w:rsid w:val="00882B44"/>
    <w:rsid w:val="008838AD"/>
    <w:rsid w:val="008864B3"/>
    <w:rsid w:val="008865E5"/>
    <w:rsid w:val="008871B0"/>
    <w:rsid w:val="00890B57"/>
    <w:rsid w:val="008916BA"/>
    <w:rsid w:val="0089217C"/>
    <w:rsid w:val="00892790"/>
    <w:rsid w:val="008931DA"/>
    <w:rsid w:val="00893671"/>
    <w:rsid w:val="008946DC"/>
    <w:rsid w:val="00895838"/>
    <w:rsid w:val="00895A1E"/>
    <w:rsid w:val="00895A72"/>
    <w:rsid w:val="00895CDF"/>
    <w:rsid w:val="00896679"/>
    <w:rsid w:val="00896D8C"/>
    <w:rsid w:val="008A05A7"/>
    <w:rsid w:val="008A0FC9"/>
    <w:rsid w:val="008A1956"/>
    <w:rsid w:val="008A1A7C"/>
    <w:rsid w:val="008A2CE2"/>
    <w:rsid w:val="008A40D3"/>
    <w:rsid w:val="008A469C"/>
    <w:rsid w:val="008A51D1"/>
    <w:rsid w:val="008A5DCE"/>
    <w:rsid w:val="008A75D3"/>
    <w:rsid w:val="008B00D4"/>
    <w:rsid w:val="008B05DD"/>
    <w:rsid w:val="008B07B8"/>
    <w:rsid w:val="008B17E8"/>
    <w:rsid w:val="008B2E7C"/>
    <w:rsid w:val="008B321A"/>
    <w:rsid w:val="008B399A"/>
    <w:rsid w:val="008B45F0"/>
    <w:rsid w:val="008B4A70"/>
    <w:rsid w:val="008B502F"/>
    <w:rsid w:val="008B6DFC"/>
    <w:rsid w:val="008B7227"/>
    <w:rsid w:val="008C02FB"/>
    <w:rsid w:val="008C04E0"/>
    <w:rsid w:val="008C191C"/>
    <w:rsid w:val="008C1DA4"/>
    <w:rsid w:val="008C29B0"/>
    <w:rsid w:val="008C2CD5"/>
    <w:rsid w:val="008C3618"/>
    <w:rsid w:val="008C39E7"/>
    <w:rsid w:val="008C43AD"/>
    <w:rsid w:val="008C6118"/>
    <w:rsid w:val="008C6341"/>
    <w:rsid w:val="008C731F"/>
    <w:rsid w:val="008C74D9"/>
    <w:rsid w:val="008D03C2"/>
    <w:rsid w:val="008D12FB"/>
    <w:rsid w:val="008D3B2D"/>
    <w:rsid w:val="008D58D9"/>
    <w:rsid w:val="008D5AD4"/>
    <w:rsid w:val="008D695E"/>
    <w:rsid w:val="008D6DD5"/>
    <w:rsid w:val="008D6E59"/>
    <w:rsid w:val="008D7155"/>
    <w:rsid w:val="008D76E0"/>
    <w:rsid w:val="008E09F2"/>
    <w:rsid w:val="008E0B29"/>
    <w:rsid w:val="008E141A"/>
    <w:rsid w:val="008E1A44"/>
    <w:rsid w:val="008E1E55"/>
    <w:rsid w:val="008E28E6"/>
    <w:rsid w:val="008E3232"/>
    <w:rsid w:val="008E3674"/>
    <w:rsid w:val="008E3B6C"/>
    <w:rsid w:val="008E3DE7"/>
    <w:rsid w:val="008E562C"/>
    <w:rsid w:val="008E6540"/>
    <w:rsid w:val="008E6D26"/>
    <w:rsid w:val="008E77D4"/>
    <w:rsid w:val="008E7ADD"/>
    <w:rsid w:val="008F091F"/>
    <w:rsid w:val="008F17B2"/>
    <w:rsid w:val="008F22B3"/>
    <w:rsid w:val="008F357B"/>
    <w:rsid w:val="008F44CA"/>
    <w:rsid w:val="008F49D3"/>
    <w:rsid w:val="008F62C1"/>
    <w:rsid w:val="008F6519"/>
    <w:rsid w:val="008F7012"/>
    <w:rsid w:val="008F7ADA"/>
    <w:rsid w:val="008F7B17"/>
    <w:rsid w:val="00900042"/>
    <w:rsid w:val="0090034B"/>
    <w:rsid w:val="00901121"/>
    <w:rsid w:val="00902623"/>
    <w:rsid w:val="00902A67"/>
    <w:rsid w:val="00902C5E"/>
    <w:rsid w:val="00904BE4"/>
    <w:rsid w:val="0090504A"/>
    <w:rsid w:val="009051F5"/>
    <w:rsid w:val="00905221"/>
    <w:rsid w:val="00905A7C"/>
    <w:rsid w:val="00905D7E"/>
    <w:rsid w:val="00907037"/>
    <w:rsid w:val="0091112C"/>
    <w:rsid w:val="0091160A"/>
    <w:rsid w:val="00912E04"/>
    <w:rsid w:val="00913258"/>
    <w:rsid w:val="00913851"/>
    <w:rsid w:val="00913BB0"/>
    <w:rsid w:val="0091456C"/>
    <w:rsid w:val="00914C58"/>
    <w:rsid w:val="0091564D"/>
    <w:rsid w:val="009156DA"/>
    <w:rsid w:val="00915774"/>
    <w:rsid w:val="00916BC5"/>
    <w:rsid w:val="0091726A"/>
    <w:rsid w:val="00917C01"/>
    <w:rsid w:val="00920184"/>
    <w:rsid w:val="00920EA4"/>
    <w:rsid w:val="00921792"/>
    <w:rsid w:val="00921BEA"/>
    <w:rsid w:val="009227BE"/>
    <w:rsid w:val="009238FD"/>
    <w:rsid w:val="00923998"/>
    <w:rsid w:val="00923DB4"/>
    <w:rsid w:val="0092420B"/>
    <w:rsid w:val="0092430E"/>
    <w:rsid w:val="00924570"/>
    <w:rsid w:val="00926112"/>
    <w:rsid w:val="0092625F"/>
    <w:rsid w:val="00926B28"/>
    <w:rsid w:val="00926D9C"/>
    <w:rsid w:val="00927028"/>
    <w:rsid w:val="00927763"/>
    <w:rsid w:val="00927A2D"/>
    <w:rsid w:val="00927B37"/>
    <w:rsid w:val="00931917"/>
    <w:rsid w:val="009321B1"/>
    <w:rsid w:val="00932ED7"/>
    <w:rsid w:val="009333CF"/>
    <w:rsid w:val="0093422D"/>
    <w:rsid w:val="0093483B"/>
    <w:rsid w:val="00934CF9"/>
    <w:rsid w:val="00934DD7"/>
    <w:rsid w:val="009369A9"/>
    <w:rsid w:val="00936CF7"/>
    <w:rsid w:val="00937783"/>
    <w:rsid w:val="00937EAD"/>
    <w:rsid w:val="00937F28"/>
    <w:rsid w:val="00940FE1"/>
    <w:rsid w:val="00942306"/>
    <w:rsid w:val="00942384"/>
    <w:rsid w:val="009424B8"/>
    <w:rsid w:val="00944668"/>
    <w:rsid w:val="00944DC6"/>
    <w:rsid w:val="009458B0"/>
    <w:rsid w:val="00945B52"/>
    <w:rsid w:val="00945B7A"/>
    <w:rsid w:val="00945F05"/>
    <w:rsid w:val="00946348"/>
    <w:rsid w:val="00947797"/>
    <w:rsid w:val="009478A2"/>
    <w:rsid w:val="00953808"/>
    <w:rsid w:val="009539A6"/>
    <w:rsid w:val="00954032"/>
    <w:rsid w:val="00954537"/>
    <w:rsid w:val="0095472D"/>
    <w:rsid w:val="00955FBB"/>
    <w:rsid w:val="0095694B"/>
    <w:rsid w:val="00956BD5"/>
    <w:rsid w:val="00956D84"/>
    <w:rsid w:val="009577B5"/>
    <w:rsid w:val="00960110"/>
    <w:rsid w:val="009608E6"/>
    <w:rsid w:val="00960F57"/>
    <w:rsid w:val="00961C90"/>
    <w:rsid w:val="00965443"/>
    <w:rsid w:val="00965954"/>
    <w:rsid w:val="00965A21"/>
    <w:rsid w:val="00965E55"/>
    <w:rsid w:val="0096608E"/>
    <w:rsid w:val="00966522"/>
    <w:rsid w:val="00966C33"/>
    <w:rsid w:val="00966FCB"/>
    <w:rsid w:val="00967285"/>
    <w:rsid w:val="00970F18"/>
    <w:rsid w:val="00971CF1"/>
    <w:rsid w:val="00971F5D"/>
    <w:rsid w:val="009721E9"/>
    <w:rsid w:val="00973772"/>
    <w:rsid w:val="0097471B"/>
    <w:rsid w:val="0097560A"/>
    <w:rsid w:val="00975E1E"/>
    <w:rsid w:val="00975E70"/>
    <w:rsid w:val="009761DE"/>
    <w:rsid w:val="009766FA"/>
    <w:rsid w:val="00977CD6"/>
    <w:rsid w:val="0098048B"/>
    <w:rsid w:val="00980DF9"/>
    <w:rsid w:val="00981150"/>
    <w:rsid w:val="0098243D"/>
    <w:rsid w:val="00982D26"/>
    <w:rsid w:val="00983B6E"/>
    <w:rsid w:val="00983FE5"/>
    <w:rsid w:val="009849E9"/>
    <w:rsid w:val="009859E4"/>
    <w:rsid w:val="00987812"/>
    <w:rsid w:val="00990225"/>
    <w:rsid w:val="00992A13"/>
    <w:rsid w:val="00994AAD"/>
    <w:rsid w:val="00994DE1"/>
    <w:rsid w:val="00995150"/>
    <w:rsid w:val="00995D67"/>
    <w:rsid w:val="009A013B"/>
    <w:rsid w:val="009A02F4"/>
    <w:rsid w:val="009A06BF"/>
    <w:rsid w:val="009A0D17"/>
    <w:rsid w:val="009A2494"/>
    <w:rsid w:val="009A32B1"/>
    <w:rsid w:val="009A33A3"/>
    <w:rsid w:val="009A36F2"/>
    <w:rsid w:val="009A40C3"/>
    <w:rsid w:val="009A40D5"/>
    <w:rsid w:val="009A57D0"/>
    <w:rsid w:val="009A6559"/>
    <w:rsid w:val="009A68FC"/>
    <w:rsid w:val="009A6CE4"/>
    <w:rsid w:val="009A7514"/>
    <w:rsid w:val="009A7E7A"/>
    <w:rsid w:val="009B1584"/>
    <w:rsid w:val="009B18F0"/>
    <w:rsid w:val="009B1F4C"/>
    <w:rsid w:val="009B2471"/>
    <w:rsid w:val="009B314F"/>
    <w:rsid w:val="009B439C"/>
    <w:rsid w:val="009B46BC"/>
    <w:rsid w:val="009B49A1"/>
    <w:rsid w:val="009B4A6C"/>
    <w:rsid w:val="009B4DA8"/>
    <w:rsid w:val="009B519A"/>
    <w:rsid w:val="009B620C"/>
    <w:rsid w:val="009B6753"/>
    <w:rsid w:val="009B676C"/>
    <w:rsid w:val="009B6A26"/>
    <w:rsid w:val="009C079D"/>
    <w:rsid w:val="009C0D70"/>
    <w:rsid w:val="009C13D1"/>
    <w:rsid w:val="009C2913"/>
    <w:rsid w:val="009C2BD4"/>
    <w:rsid w:val="009C5AFE"/>
    <w:rsid w:val="009C6606"/>
    <w:rsid w:val="009C6CE5"/>
    <w:rsid w:val="009C6D50"/>
    <w:rsid w:val="009C7547"/>
    <w:rsid w:val="009D05EC"/>
    <w:rsid w:val="009D18D4"/>
    <w:rsid w:val="009D2F60"/>
    <w:rsid w:val="009D3A2E"/>
    <w:rsid w:val="009D5ADE"/>
    <w:rsid w:val="009D5BAC"/>
    <w:rsid w:val="009D5C56"/>
    <w:rsid w:val="009D6265"/>
    <w:rsid w:val="009D64BD"/>
    <w:rsid w:val="009D6CB1"/>
    <w:rsid w:val="009E0286"/>
    <w:rsid w:val="009E153F"/>
    <w:rsid w:val="009E322A"/>
    <w:rsid w:val="009E393E"/>
    <w:rsid w:val="009E444E"/>
    <w:rsid w:val="009E4968"/>
    <w:rsid w:val="009E663C"/>
    <w:rsid w:val="009E684A"/>
    <w:rsid w:val="009E6BB1"/>
    <w:rsid w:val="009E6E14"/>
    <w:rsid w:val="009E794A"/>
    <w:rsid w:val="009E7C14"/>
    <w:rsid w:val="009F0494"/>
    <w:rsid w:val="009F0CD9"/>
    <w:rsid w:val="009F1A79"/>
    <w:rsid w:val="009F1F57"/>
    <w:rsid w:val="009F2DDD"/>
    <w:rsid w:val="009F3447"/>
    <w:rsid w:val="009F65F4"/>
    <w:rsid w:val="009F676B"/>
    <w:rsid w:val="009F6D2D"/>
    <w:rsid w:val="009F6D54"/>
    <w:rsid w:val="00A0010C"/>
    <w:rsid w:val="00A004DF"/>
    <w:rsid w:val="00A00FD5"/>
    <w:rsid w:val="00A012C0"/>
    <w:rsid w:val="00A019A8"/>
    <w:rsid w:val="00A01B03"/>
    <w:rsid w:val="00A01B89"/>
    <w:rsid w:val="00A02C66"/>
    <w:rsid w:val="00A02C84"/>
    <w:rsid w:val="00A03DFA"/>
    <w:rsid w:val="00A0464C"/>
    <w:rsid w:val="00A050BB"/>
    <w:rsid w:val="00A054E0"/>
    <w:rsid w:val="00A05D91"/>
    <w:rsid w:val="00A0740B"/>
    <w:rsid w:val="00A07ED3"/>
    <w:rsid w:val="00A10CA8"/>
    <w:rsid w:val="00A11042"/>
    <w:rsid w:val="00A12579"/>
    <w:rsid w:val="00A133D8"/>
    <w:rsid w:val="00A15655"/>
    <w:rsid w:val="00A160B0"/>
    <w:rsid w:val="00A1740C"/>
    <w:rsid w:val="00A20069"/>
    <w:rsid w:val="00A2244D"/>
    <w:rsid w:val="00A2253D"/>
    <w:rsid w:val="00A2267F"/>
    <w:rsid w:val="00A22CDB"/>
    <w:rsid w:val="00A247B8"/>
    <w:rsid w:val="00A2495A"/>
    <w:rsid w:val="00A24C7A"/>
    <w:rsid w:val="00A24D8F"/>
    <w:rsid w:val="00A25B8B"/>
    <w:rsid w:val="00A25C5D"/>
    <w:rsid w:val="00A2689F"/>
    <w:rsid w:val="00A26ECA"/>
    <w:rsid w:val="00A27461"/>
    <w:rsid w:val="00A27D67"/>
    <w:rsid w:val="00A30ABC"/>
    <w:rsid w:val="00A33B74"/>
    <w:rsid w:val="00A3467F"/>
    <w:rsid w:val="00A34B4C"/>
    <w:rsid w:val="00A35030"/>
    <w:rsid w:val="00A3551A"/>
    <w:rsid w:val="00A366A0"/>
    <w:rsid w:val="00A37209"/>
    <w:rsid w:val="00A37584"/>
    <w:rsid w:val="00A376E8"/>
    <w:rsid w:val="00A37F8E"/>
    <w:rsid w:val="00A41537"/>
    <w:rsid w:val="00A41737"/>
    <w:rsid w:val="00A42B8F"/>
    <w:rsid w:val="00A42D8E"/>
    <w:rsid w:val="00A43254"/>
    <w:rsid w:val="00A43896"/>
    <w:rsid w:val="00A43A26"/>
    <w:rsid w:val="00A447A0"/>
    <w:rsid w:val="00A459F5"/>
    <w:rsid w:val="00A45FC0"/>
    <w:rsid w:val="00A46B74"/>
    <w:rsid w:val="00A47ECC"/>
    <w:rsid w:val="00A50171"/>
    <w:rsid w:val="00A504FA"/>
    <w:rsid w:val="00A5102E"/>
    <w:rsid w:val="00A5132E"/>
    <w:rsid w:val="00A51375"/>
    <w:rsid w:val="00A51533"/>
    <w:rsid w:val="00A531D4"/>
    <w:rsid w:val="00A54572"/>
    <w:rsid w:val="00A575B8"/>
    <w:rsid w:val="00A60155"/>
    <w:rsid w:val="00A61C60"/>
    <w:rsid w:val="00A61ECB"/>
    <w:rsid w:val="00A6410C"/>
    <w:rsid w:val="00A647B1"/>
    <w:rsid w:val="00A64DEF"/>
    <w:rsid w:val="00A654D2"/>
    <w:rsid w:val="00A665DF"/>
    <w:rsid w:val="00A67928"/>
    <w:rsid w:val="00A67FCC"/>
    <w:rsid w:val="00A70AA5"/>
    <w:rsid w:val="00A70C03"/>
    <w:rsid w:val="00A71256"/>
    <w:rsid w:val="00A7217B"/>
    <w:rsid w:val="00A73861"/>
    <w:rsid w:val="00A739A6"/>
    <w:rsid w:val="00A740ED"/>
    <w:rsid w:val="00A74C29"/>
    <w:rsid w:val="00A74C62"/>
    <w:rsid w:val="00A75DF5"/>
    <w:rsid w:val="00A75EF9"/>
    <w:rsid w:val="00A8311C"/>
    <w:rsid w:val="00A835D0"/>
    <w:rsid w:val="00A84C5F"/>
    <w:rsid w:val="00A85930"/>
    <w:rsid w:val="00A863F7"/>
    <w:rsid w:val="00A86604"/>
    <w:rsid w:val="00A87519"/>
    <w:rsid w:val="00A9246D"/>
    <w:rsid w:val="00A92CCA"/>
    <w:rsid w:val="00A93BD0"/>
    <w:rsid w:val="00A93CC2"/>
    <w:rsid w:val="00A974CC"/>
    <w:rsid w:val="00AA1067"/>
    <w:rsid w:val="00AA2001"/>
    <w:rsid w:val="00AA2B5C"/>
    <w:rsid w:val="00AA32D2"/>
    <w:rsid w:val="00AA4016"/>
    <w:rsid w:val="00AA4C1F"/>
    <w:rsid w:val="00AA5328"/>
    <w:rsid w:val="00AA5393"/>
    <w:rsid w:val="00AA63D4"/>
    <w:rsid w:val="00AA7672"/>
    <w:rsid w:val="00AB03FD"/>
    <w:rsid w:val="00AB2000"/>
    <w:rsid w:val="00AB2E94"/>
    <w:rsid w:val="00AB38CB"/>
    <w:rsid w:val="00AB3BEC"/>
    <w:rsid w:val="00AB44E4"/>
    <w:rsid w:val="00AB4AEB"/>
    <w:rsid w:val="00AB4E5F"/>
    <w:rsid w:val="00AB5256"/>
    <w:rsid w:val="00AB5352"/>
    <w:rsid w:val="00AB56AE"/>
    <w:rsid w:val="00AB62D5"/>
    <w:rsid w:val="00AB65B5"/>
    <w:rsid w:val="00AB6DCD"/>
    <w:rsid w:val="00AB6EE0"/>
    <w:rsid w:val="00AB7A64"/>
    <w:rsid w:val="00AC17A2"/>
    <w:rsid w:val="00AC3581"/>
    <w:rsid w:val="00AC40B7"/>
    <w:rsid w:val="00AC531F"/>
    <w:rsid w:val="00AC5B36"/>
    <w:rsid w:val="00AC6377"/>
    <w:rsid w:val="00AC66A4"/>
    <w:rsid w:val="00AC6CB1"/>
    <w:rsid w:val="00AC7D6D"/>
    <w:rsid w:val="00AD0091"/>
    <w:rsid w:val="00AD23EF"/>
    <w:rsid w:val="00AD2662"/>
    <w:rsid w:val="00AD307B"/>
    <w:rsid w:val="00AD4014"/>
    <w:rsid w:val="00AD41B3"/>
    <w:rsid w:val="00AD42F3"/>
    <w:rsid w:val="00AD5721"/>
    <w:rsid w:val="00AD5C4D"/>
    <w:rsid w:val="00AD69F0"/>
    <w:rsid w:val="00AD7127"/>
    <w:rsid w:val="00AD730C"/>
    <w:rsid w:val="00AD7795"/>
    <w:rsid w:val="00AE123A"/>
    <w:rsid w:val="00AE1539"/>
    <w:rsid w:val="00AE28A7"/>
    <w:rsid w:val="00AE2A98"/>
    <w:rsid w:val="00AE2CF2"/>
    <w:rsid w:val="00AE3012"/>
    <w:rsid w:val="00AE33A6"/>
    <w:rsid w:val="00AE3729"/>
    <w:rsid w:val="00AE4138"/>
    <w:rsid w:val="00AE4CCE"/>
    <w:rsid w:val="00AE5C6A"/>
    <w:rsid w:val="00AE6317"/>
    <w:rsid w:val="00AE6B62"/>
    <w:rsid w:val="00AE7280"/>
    <w:rsid w:val="00AF033A"/>
    <w:rsid w:val="00AF1699"/>
    <w:rsid w:val="00AF1FD3"/>
    <w:rsid w:val="00AF2910"/>
    <w:rsid w:val="00AF34B8"/>
    <w:rsid w:val="00AF3896"/>
    <w:rsid w:val="00AF3FC2"/>
    <w:rsid w:val="00B0098A"/>
    <w:rsid w:val="00B00A5F"/>
    <w:rsid w:val="00B00F89"/>
    <w:rsid w:val="00B029B8"/>
    <w:rsid w:val="00B02F60"/>
    <w:rsid w:val="00B032B8"/>
    <w:rsid w:val="00B04721"/>
    <w:rsid w:val="00B04B15"/>
    <w:rsid w:val="00B04B46"/>
    <w:rsid w:val="00B0534D"/>
    <w:rsid w:val="00B05685"/>
    <w:rsid w:val="00B05F9F"/>
    <w:rsid w:val="00B06368"/>
    <w:rsid w:val="00B068DA"/>
    <w:rsid w:val="00B06A00"/>
    <w:rsid w:val="00B06FC6"/>
    <w:rsid w:val="00B074C9"/>
    <w:rsid w:val="00B07D9D"/>
    <w:rsid w:val="00B11AE5"/>
    <w:rsid w:val="00B12FE6"/>
    <w:rsid w:val="00B1303F"/>
    <w:rsid w:val="00B1364A"/>
    <w:rsid w:val="00B13859"/>
    <w:rsid w:val="00B13EC9"/>
    <w:rsid w:val="00B14319"/>
    <w:rsid w:val="00B14A06"/>
    <w:rsid w:val="00B158E1"/>
    <w:rsid w:val="00B16715"/>
    <w:rsid w:val="00B1768E"/>
    <w:rsid w:val="00B17910"/>
    <w:rsid w:val="00B20F18"/>
    <w:rsid w:val="00B21516"/>
    <w:rsid w:val="00B21A37"/>
    <w:rsid w:val="00B21D23"/>
    <w:rsid w:val="00B21F62"/>
    <w:rsid w:val="00B22CE0"/>
    <w:rsid w:val="00B23738"/>
    <w:rsid w:val="00B23BEF"/>
    <w:rsid w:val="00B247BB"/>
    <w:rsid w:val="00B2504A"/>
    <w:rsid w:val="00B25EE6"/>
    <w:rsid w:val="00B3115A"/>
    <w:rsid w:val="00B31825"/>
    <w:rsid w:val="00B31A5C"/>
    <w:rsid w:val="00B33B06"/>
    <w:rsid w:val="00B33C19"/>
    <w:rsid w:val="00B35A15"/>
    <w:rsid w:val="00B35B45"/>
    <w:rsid w:val="00B36A99"/>
    <w:rsid w:val="00B42264"/>
    <w:rsid w:val="00B434B2"/>
    <w:rsid w:val="00B43D45"/>
    <w:rsid w:val="00B468F2"/>
    <w:rsid w:val="00B469DE"/>
    <w:rsid w:val="00B47286"/>
    <w:rsid w:val="00B50234"/>
    <w:rsid w:val="00B51BF4"/>
    <w:rsid w:val="00B52C68"/>
    <w:rsid w:val="00B5372B"/>
    <w:rsid w:val="00B542FE"/>
    <w:rsid w:val="00B55A1B"/>
    <w:rsid w:val="00B561DB"/>
    <w:rsid w:val="00B56DF9"/>
    <w:rsid w:val="00B600BD"/>
    <w:rsid w:val="00B61274"/>
    <w:rsid w:val="00B61DCE"/>
    <w:rsid w:val="00B62188"/>
    <w:rsid w:val="00B62F79"/>
    <w:rsid w:val="00B62F82"/>
    <w:rsid w:val="00B6306A"/>
    <w:rsid w:val="00B635E3"/>
    <w:rsid w:val="00B653D7"/>
    <w:rsid w:val="00B662FF"/>
    <w:rsid w:val="00B66679"/>
    <w:rsid w:val="00B70145"/>
    <w:rsid w:val="00B71A92"/>
    <w:rsid w:val="00B721D8"/>
    <w:rsid w:val="00B730CA"/>
    <w:rsid w:val="00B747C5"/>
    <w:rsid w:val="00B74F2F"/>
    <w:rsid w:val="00B753ED"/>
    <w:rsid w:val="00B769BC"/>
    <w:rsid w:val="00B77349"/>
    <w:rsid w:val="00B7761E"/>
    <w:rsid w:val="00B80A3D"/>
    <w:rsid w:val="00B80B04"/>
    <w:rsid w:val="00B8127B"/>
    <w:rsid w:val="00B819E5"/>
    <w:rsid w:val="00B821E4"/>
    <w:rsid w:val="00B823E0"/>
    <w:rsid w:val="00B8260D"/>
    <w:rsid w:val="00B82B78"/>
    <w:rsid w:val="00B845B4"/>
    <w:rsid w:val="00B84662"/>
    <w:rsid w:val="00B84C74"/>
    <w:rsid w:val="00B85191"/>
    <w:rsid w:val="00B858A1"/>
    <w:rsid w:val="00B85FEC"/>
    <w:rsid w:val="00B864A3"/>
    <w:rsid w:val="00B86C2A"/>
    <w:rsid w:val="00B878BE"/>
    <w:rsid w:val="00B902A5"/>
    <w:rsid w:val="00B90420"/>
    <w:rsid w:val="00B90848"/>
    <w:rsid w:val="00B91146"/>
    <w:rsid w:val="00B913E4"/>
    <w:rsid w:val="00B91DB9"/>
    <w:rsid w:val="00B91FF3"/>
    <w:rsid w:val="00B93EFE"/>
    <w:rsid w:val="00B944B9"/>
    <w:rsid w:val="00B94956"/>
    <w:rsid w:val="00B94C7F"/>
    <w:rsid w:val="00B94E93"/>
    <w:rsid w:val="00B956B5"/>
    <w:rsid w:val="00B96DF2"/>
    <w:rsid w:val="00B96E18"/>
    <w:rsid w:val="00B96F5A"/>
    <w:rsid w:val="00BA0B39"/>
    <w:rsid w:val="00BA0CB2"/>
    <w:rsid w:val="00BA0E26"/>
    <w:rsid w:val="00BA1310"/>
    <w:rsid w:val="00BA138B"/>
    <w:rsid w:val="00BA305B"/>
    <w:rsid w:val="00BA31BF"/>
    <w:rsid w:val="00BA3FC7"/>
    <w:rsid w:val="00BA478B"/>
    <w:rsid w:val="00BA5224"/>
    <w:rsid w:val="00BA575E"/>
    <w:rsid w:val="00BA76B7"/>
    <w:rsid w:val="00BA7E3B"/>
    <w:rsid w:val="00BB078D"/>
    <w:rsid w:val="00BB079C"/>
    <w:rsid w:val="00BB0D7A"/>
    <w:rsid w:val="00BB10E1"/>
    <w:rsid w:val="00BB2471"/>
    <w:rsid w:val="00BB25B8"/>
    <w:rsid w:val="00BB3035"/>
    <w:rsid w:val="00BB39C1"/>
    <w:rsid w:val="00BB3DF5"/>
    <w:rsid w:val="00BB5D16"/>
    <w:rsid w:val="00BB6180"/>
    <w:rsid w:val="00BB69E6"/>
    <w:rsid w:val="00BB7BE5"/>
    <w:rsid w:val="00BC08BD"/>
    <w:rsid w:val="00BC11E8"/>
    <w:rsid w:val="00BC1B7A"/>
    <w:rsid w:val="00BC2C17"/>
    <w:rsid w:val="00BC3ACD"/>
    <w:rsid w:val="00BC3B20"/>
    <w:rsid w:val="00BC3EE4"/>
    <w:rsid w:val="00BC588C"/>
    <w:rsid w:val="00BC62F4"/>
    <w:rsid w:val="00BC6E73"/>
    <w:rsid w:val="00BC74D3"/>
    <w:rsid w:val="00BD0014"/>
    <w:rsid w:val="00BD01D8"/>
    <w:rsid w:val="00BD255F"/>
    <w:rsid w:val="00BD2895"/>
    <w:rsid w:val="00BD4236"/>
    <w:rsid w:val="00BD483B"/>
    <w:rsid w:val="00BD5CD4"/>
    <w:rsid w:val="00BD65D9"/>
    <w:rsid w:val="00BD6DF3"/>
    <w:rsid w:val="00BD6E09"/>
    <w:rsid w:val="00BD6EF9"/>
    <w:rsid w:val="00BE0ACB"/>
    <w:rsid w:val="00BE2260"/>
    <w:rsid w:val="00BE3917"/>
    <w:rsid w:val="00BE50FD"/>
    <w:rsid w:val="00BE51CA"/>
    <w:rsid w:val="00BE537F"/>
    <w:rsid w:val="00BE5D77"/>
    <w:rsid w:val="00BE6D47"/>
    <w:rsid w:val="00BE7032"/>
    <w:rsid w:val="00BE7330"/>
    <w:rsid w:val="00BF01C5"/>
    <w:rsid w:val="00BF061A"/>
    <w:rsid w:val="00BF066A"/>
    <w:rsid w:val="00BF14CC"/>
    <w:rsid w:val="00BF1821"/>
    <w:rsid w:val="00BF2759"/>
    <w:rsid w:val="00BF4342"/>
    <w:rsid w:val="00BF4704"/>
    <w:rsid w:val="00BF4FFC"/>
    <w:rsid w:val="00BF5050"/>
    <w:rsid w:val="00BF50D1"/>
    <w:rsid w:val="00BF5422"/>
    <w:rsid w:val="00BF59B1"/>
    <w:rsid w:val="00BF6A78"/>
    <w:rsid w:val="00BF7695"/>
    <w:rsid w:val="00BF79B4"/>
    <w:rsid w:val="00BF7C61"/>
    <w:rsid w:val="00C00037"/>
    <w:rsid w:val="00C01427"/>
    <w:rsid w:val="00C014C7"/>
    <w:rsid w:val="00C047AB"/>
    <w:rsid w:val="00C058AF"/>
    <w:rsid w:val="00C075B6"/>
    <w:rsid w:val="00C124C1"/>
    <w:rsid w:val="00C128AE"/>
    <w:rsid w:val="00C12BA8"/>
    <w:rsid w:val="00C136D6"/>
    <w:rsid w:val="00C13902"/>
    <w:rsid w:val="00C13D5B"/>
    <w:rsid w:val="00C141D7"/>
    <w:rsid w:val="00C16F84"/>
    <w:rsid w:val="00C1711B"/>
    <w:rsid w:val="00C17AE2"/>
    <w:rsid w:val="00C17E00"/>
    <w:rsid w:val="00C20140"/>
    <w:rsid w:val="00C20F27"/>
    <w:rsid w:val="00C215CF"/>
    <w:rsid w:val="00C21861"/>
    <w:rsid w:val="00C2244B"/>
    <w:rsid w:val="00C22711"/>
    <w:rsid w:val="00C2280A"/>
    <w:rsid w:val="00C22B0D"/>
    <w:rsid w:val="00C22BFF"/>
    <w:rsid w:val="00C23522"/>
    <w:rsid w:val="00C240C1"/>
    <w:rsid w:val="00C24AED"/>
    <w:rsid w:val="00C250D0"/>
    <w:rsid w:val="00C252AC"/>
    <w:rsid w:val="00C25C0F"/>
    <w:rsid w:val="00C26567"/>
    <w:rsid w:val="00C26923"/>
    <w:rsid w:val="00C27214"/>
    <w:rsid w:val="00C27597"/>
    <w:rsid w:val="00C27E5E"/>
    <w:rsid w:val="00C30382"/>
    <w:rsid w:val="00C30772"/>
    <w:rsid w:val="00C30D6F"/>
    <w:rsid w:val="00C31063"/>
    <w:rsid w:val="00C31B7E"/>
    <w:rsid w:val="00C322D1"/>
    <w:rsid w:val="00C3242A"/>
    <w:rsid w:val="00C33201"/>
    <w:rsid w:val="00C33A39"/>
    <w:rsid w:val="00C33B57"/>
    <w:rsid w:val="00C34619"/>
    <w:rsid w:val="00C35D01"/>
    <w:rsid w:val="00C360B3"/>
    <w:rsid w:val="00C37027"/>
    <w:rsid w:val="00C37B19"/>
    <w:rsid w:val="00C413CB"/>
    <w:rsid w:val="00C42752"/>
    <w:rsid w:val="00C42973"/>
    <w:rsid w:val="00C44C69"/>
    <w:rsid w:val="00C4712A"/>
    <w:rsid w:val="00C5034F"/>
    <w:rsid w:val="00C50830"/>
    <w:rsid w:val="00C52479"/>
    <w:rsid w:val="00C5266E"/>
    <w:rsid w:val="00C5280F"/>
    <w:rsid w:val="00C52C59"/>
    <w:rsid w:val="00C5349E"/>
    <w:rsid w:val="00C539FF"/>
    <w:rsid w:val="00C544BD"/>
    <w:rsid w:val="00C54D3D"/>
    <w:rsid w:val="00C55A30"/>
    <w:rsid w:val="00C56384"/>
    <w:rsid w:val="00C60F8C"/>
    <w:rsid w:val="00C61794"/>
    <w:rsid w:val="00C62A48"/>
    <w:rsid w:val="00C62AC4"/>
    <w:rsid w:val="00C62B59"/>
    <w:rsid w:val="00C62F96"/>
    <w:rsid w:val="00C631E1"/>
    <w:rsid w:val="00C638D8"/>
    <w:rsid w:val="00C63AE7"/>
    <w:rsid w:val="00C63D26"/>
    <w:rsid w:val="00C6540A"/>
    <w:rsid w:val="00C6664C"/>
    <w:rsid w:val="00C668A1"/>
    <w:rsid w:val="00C67223"/>
    <w:rsid w:val="00C707B8"/>
    <w:rsid w:val="00C712AC"/>
    <w:rsid w:val="00C71C15"/>
    <w:rsid w:val="00C71F3D"/>
    <w:rsid w:val="00C72F53"/>
    <w:rsid w:val="00C74035"/>
    <w:rsid w:val="00C748EA"/>
    <w:rsid w:val="00C77818"/>
    <w:rsid w:val="00C8063F"/>
    <w:rsid w:val="00C806ED"/>
    <w:rsid w:val="00C81282"/>
    <w:rsid w:val="00C827B4"/>
    <w:rsid w:val="00C83214"/>
    <w:rsid w:val="00C8329F"/>
    <w:rsid w:val="00C84F8A"/>
    <w:rsid w:val="00C85BA4"/>
    <w:rsid w:val="00C8618F"/>
    <w:rsid w:val="00C8625D"/>
    <w:rsid w:val="00C90372"/>
    <w:rsid w:val="00C9041F"/>
    <w:rsid w:val="00C90F54"/>
    <w:rsid w:val="00C9166B"/>
    <w:rsid w:val="00C91A45"/>
    <w:rsid w:val="00C91FB4"/>
    <w:rsid w:val="00C92150"/>
    <w:rsid w:val="00C92328"/>
    <w:rsid w:val="00C92D42"/>
    <w:rsid w:val="00C938C2"/>
    <w:rsid w:val="00C93F8A"/>
    <w:rsid w:val="00C94EA1"/>
    <w:rsid w:val="00C9511B"/>
    <w:rsid w:val="00C95745"/>
    <w:rsid w:val="00C95902"/>
    <w:rsid w:val="00C962E3"/>
    <w:rsid w:val="00C97246"/>
    <w:rsid w:val="00C978E2"/>
    <w:rsid w:val="00C97997"/>
    <w:rsid w:val="00CA10A2"/>
    <w:rsid w:val="00CA1D83"/>
    <w:rsid w:val="00CA25C0"/>
    <w:rsid w:val="00CA3451"/>
    <w:rsid w:val="00CA35C6"/>
    <w:rsid w:val="00CA4948"/>
    <w:rsid w:val="00CA52F9"/>
    <w:rsid w:val="00CA5368"/>
    <w:rsid w:val="00CA568B"/>
    <w:rsid w:val="00CA573A"/>
    <w:rsid w:val="00CA5C58"/>
    <w:rsid w:val="00CA7D80"/>
    <w:rsid w:val="00CB19D7"/>
    <w:rsid w:val="00CB19FE"/>
    <w:rsid w:val="00CB1C3F"/>
    <w:rsid w:val="00CB2364"/>
    <w:rsid w:val="00CB304C"/>
    <w:rsid w:val="00CB3933"/>
    <w:rsid w:val="00CB53E8"/>
    <w:rsid w:val="00CB594A"/>
    <w:rsid w:val="00CB5CB2"/>
    <w:rsid w:val="00CB6979"/>
    <w:rsid w:val="00CB7DDE"/>
    <w:rsid w:val="00CC0A3D"/>
    <w:rsid w:val="00CC1585"/>
    <w:rsid w:val="00CC3C53"/>
    <w:rsid w:val="00CC3D24"/>
    <w:rsid w:val="00CC3F91"/>
    <w:rsid w:val="00CC472A"/>
    <w:rsid w:val="00CC4ACD"/>
    <w:rsid w:val="00CC4B0A"/>
    <w:rsid w:val="00CC544A"/>
    <w:rsid w:val="00CC57EA"/>
    <w:rsid w:val="00CC5954"/>
    <w:rsid w:val="00CC629B"/>
    <w:rsid w:val="00CC6C4E"/>
    <w:rsid w:val="00CD009D"/>
    <w:rsid w:val="00CD05A2"/>
    <w:rsid w:val="00CD29D4"/>
    <w:rsid w:val="00CD2B5C"/>
    <w:rsid w:val="00CD2FF3"/>
    <w:rsid w:val="00CD3323"/>
    <w:rsid w:val="00CD38F5"/>
    <w:rsid w:val="00CD437E"/>
    <w:rsid w:val="00CD5DAD"/>
    <w:rsid w:val="00CD72C5"/>
    <w:rsid w:val="00CD79A7"/>
    <w:rsid w:val="00CE0789"/>
    <w:rsid w:val="00CE0E8D"/>
    <w:rsid w:val="00CE1A03"/>
    <w:rsid w:val="00CE2346"/>
    <w:rsid w:val="00CE25B2"/>
    <w:rsid w:val="00CE2687"/>
    <w:rsid w:val="00CE27B7"/>
    <w:rsid w:val="00CE3529"/>
    <w:rsid w:val="00CE35C8"/>
    <w:rsid w:val="00CE3962"/>
    <w:rsid w:val="00CE4D1A"/>
    <w:rsid w:val="00CE4E8A"/>
    <w:rsid w:val="00CE5105"/>
    <w:rsid w:val="00CE56BD"/>
    <w:rsid w:val="00CE5EC0"/>
    <w:rsid w:val="00CE6A0B"/>
    <w:rsid w:val="00CE6F9F"/>
    <w:rsid w:val="00CE781A"/>
    <w:rsid w:val="00CE7B08"/>
    <w:rsid w:val="00CE7D52"/>
    <w:rsid w:val="00CF1D74"/>
    <w:rsid w:val="00CF2BE2"/>
    <w:rsid w:val="00CF3DEB"/>
    <w:rsid w:val="00CF55F9"/>
    <w:rsid w:val="00CF7074"/>
    <w:rsid w:val="00CF7390"/>
    <w:rsid w:val="00CF7495"/>
    <w:rsid w:val="00D01CF9"/>
    <w:rsid w:val="00D0334D"/>
    <w:rsid w:val="00D0374D"/>
    <w:rsid w:val="00D06D7B"/>
    <w:rsid w:val="00D06DA5"/>
    <w:rsid w:val="00D07191"/>
    <w:rsid w:val="00D07F1D"/>
    <w:rsid w:val="00D10558"/>
    <w:rsid w:val="00D11D4D"/>
    <w:rsid w:val="00D126DC"/>
    <w:rsid w:val="00D12B03"/>
    <w:rsid w:val="00D13E70"/>
    <w:rsid w:val="00D15FCD"/>
    <w:rsid w:val="00D16C58"/>
    <w:rsid w:val="00D17019"/>
    <w:rsid w:val="00D17FC8"/>
    <w:rsid w:val="00D20B44"/>
    <w:rsid w:val="00D21168"/>
    <w:rsid w:val="00D2438C"/>
    <w:rsid w:val="00D2585A"/>
    <w:rsid w:val="00D259B0"/>
    <w:rsid w:val="00D26C3F"/>
    <w:rsid w:val="00D27026"/>
    <w:rsid w:val="00D27185"/>
    <w:rsid w:val="00D30EF8"/>
    <w:rsid w:val="00D32518"/>
    <w:rsid w:val="00D33488"/>
    <w:rsid w:val="00D33AB3"/>
    <w:rsid w:val="00D33F24"/>
    <w:rsid w:val="00D34160"/>
    <w:rsid w:val="00D346B8"/>
    <w:rsid w:val="00D34DCA"/>
    <w:rsid w:val="00D35AC8"/>
    <w:rsid w:val="00D36F87"/>
    <w:rsid w:val="00D37E4E"/>
    <w:rsid w:val="00D400A4"/>
    <w:rsid w:val="00D40DEF"/>
    <w:rsid w:val="00D417D8"/>
    <w:rsid w:val="00D41F78"/>
    <w:rsid w:val="00D42E6C"/>
    <w:rsid w:val="00D4351C"/>
    <w:rsid w:val="00D43B80"/>
    <w:rsid w:val="00D44988"/>
    <w:rsid w:val="00D45B4C"/>
    <w:rsid w:val="00D45BA4"/>
    <w:rsid w:val="00D471AF"/>
    <w:rsid w:val="00D4724F"/>
    <w:rsid w:val="00D50519"/>
    <w:rsid w:val="00D512C8"/>
    <w:rsid w:val="00D51601"/>
    <w:rsid w:val="00D51ECB"/>
    <w:rsid w:val="00D5264C"/>
    <w:rsid w:val="00D52BBC"/>
    <w:rsid w:val="00D537FE"/>
    <w:rsid w:val="00D53CC9"/>
    <w:rsid w:val="00D54A6A"/>
    <w:rsid w:val="00D54B8F"/>
    <w:rsid w:val="00D55951"/>
    <w:rsid w:val="00D559F0"/>
    <w:rsid w:val="00D57EB6"/>
    <w:rsid w:val="00D608C0"/>
    <w:rsid w:val="00D60D6D"/>
    <w:rsid w:val="00D6128C"/>
    <w:rsid w:val="00D66D8B"/>
    <w:rsid w:val="00D70849"/>
    <w:rsid w:val="00D72297"/>
    <w:rsid w:val="00D72A1C"/>
    <w:rsid w:val="00D7308F"/>
    <w:rsid w:val="00D7313E"/>
    <w:rsid w:val="00D73580"/>
    <w:rsid w:val="00D73802"/>
    <w:rsid w:val="00D73C2C"/>
    <w:rsid w:val="00D73D52"/>
    <w:rsid w:val="00D745E7"/>
    <w:rsid w:val="00D774ED"/>
    <w:rsid w:val="00D777C3"/>
    <w:rsid w:val="00D7797C"/>
    <w:rsid w:val="00D77C44"/>
    <w:rsid w:val="00D77F88"/>
    <w:rsid w:val="00D81AFA"/>
    <w:rsid w:val="00D81EAA"/>
    <w:rsid w:val="00D81FE2"/>
    <w:rsid w:val="00D8259F"/>
    <w:rsid w:val="00D825F2"/>
    <w:rsid w:val="00D8285C"/>
    <w:rsid w:val="00D828B1"/>
    <w:rsid w:val="00D82A55"/>
    <w:rsid w:val="00D83D49"/>
    <w:rsid w:val="00D84181"/>
    <w:rsid w:val="00D846AD"/>
    <w:rsid w:val="00D84754"/>
    <w:rsid w:val="00D84F27"/>
    <w:rsid w:val="00D853F0"/>
    <w:rsid w:val="00D85862"/>
    <w:rsid w:val="00D86D47"/>
    <w:rsid w:val="00D8710C"/>
    <w:rsid w:val="00D873C6"/>
    <w:rsid w:val="00D9074A"/>
    <w:rsid w:val="00D9099E"/>
    <w:rsid w:val="00D9193A"/>
    <w:rsid w:val="00D923B2"/>
    <w:rsid w:val="00D92463"/>
    <w:rsid w:val="00D93E64"/>
    <w:rsid w:val="00D93F64"/>
    <w:rsid w:val="00D94CA4"/>
    <w:rsid w:val="00D95E99"/>
    <w:rsid w:val="00D965D5"/>
    <w:rsid w:val="00D97DA2"/>
    <w:rsid w:val="00DA1A3A"/>
    <w:rsid w:val="00DA2351"/>
    <w:rsid w:val="00DA249E"/>
    <w:rsid w:val="00DA2D3D"/>
    <w:rsid w:val="00DA4C30"/>
    <w:rsid w:val="00DA7722"/>
    <w:rsid w:val="00DB145E"/>
    <w:rsid w:val="00DB1A94"/>
    <w:rsid w:val="00DB1D52"/>
    <w:rsid w:val="00DB1E2B"/>
    <w:rsid w:val="00DB1F62"/>
    <w:rsid w:val="00DB21E7"/>
    <w:rsid w:val="00DB2E03"/>
    <w:rsid w:val="00DB3742"/>
    <w:rsid w:val="00DB3E9B"/>
    <w:rsid w:val="00DB3F4B"/>
    <w:rsid w:val="00DB5375"/>
    <w:rsid w:val="00DB67C1"/>
    <w:rsid w:val="00DB6C0B"/>
    <w:rsid w:val="00DB70F4"/>
    <w:rsid w:val="00DB748A"/>
    <w:rsid w:val="00DC1056"/>
    <w:rsid w:val="00DC1442"/>
    <w:rsid w:val="00DC21D8"/>
    <w:rsid w:val="00DC282A"/>
    <w:rsid w:val="00DC34DC"/>
    <w:rsid w:val="00DC3780"/>
    <w:rsid w:val="00DC3ADA"/>
    <w:rsid w:val="00DC3CC6"/>
    <w:rsid w:val="00DC3F55"/>
    <w:rsid w:val="00DC4782"/>
    <w:rsid w:val="00DC514A"/>
    <w:rsid w:val="00DC67B1"/>
    <w:rsid w:val="00DC7FBC"/>
    <w:rsid w:val="00DD0019"/>
    <w:rsid w:val="00DD132B"/>
    <w:rsid w:val="00DD1725"/>
    <w:rsid w:val="00DD2159"/>
    <w:rsid w:val="00DD218B"/>
    <w:rsid w:val="00DD2A18"/>
    <w:rsid w:val="00DD3044"/>
    <w:rsid w:val="00DD3985"/>
    <w:rsid w:val="00DD61E8"/>
    <w:rsid w:val="00DD62C0"/>
    <w:rsid w:val="00DD64DE"/>
    <w:rsid w:val="00DD7859"/>
    <w:rsid w:val="00DD7B41"/>
    <w:rsid w:val="00DE0784"/>
    <w:rsid w:val="00DE0A1D"/>
    <w:rsid w:val="00DE15B2"/>
    <w:rsid w:val="00DE1A9A"/>
    <w:rsid w:val="00DE3D2C"/>
    <w:rsid w:val="00DE5E82"/>
    <w:rsid w:val="00DE5FA6"/>
    <w:rsid w:val="00DE6792"/>
    <w:rsid w:val="00DE6AA1"/>
    <w:rsid w:val="00DE795F"/>
    <w:rsid w:val="00DE7AAB"/>
    <w:rsid w:val="00DE7EF7"/>
    <w:rsid w:val="00DF015B"/>
    <w:rsid w:val="00DF02EC"/>
    <w:rsid w:val="00DF10FC"/>
    <w:rsid w:val="00DF1185"/>
    <w:rsid w:val="00DF1299"/>
    <w:rsid w:val="00DF1A70"/>
    <w:rsid w:val="00DF1E5F"/>
    <w:rsid w:val="00DF23A8"/>
    <w:rsid w:val="00DF2F27"/>
    <w:rsid w:val="00DF36B6"/>
    <w:rsid w:val="00DF4296"/>
    <w:rsid w:val="00DF53F0"/>
    <w:rsid w:val="00DF5F38"/>
    <w:rsid w:val="00DF6608"/>
    <w:rsid w:val="00DF6CCC"/>
    <w:rsid w:val="00DF6D0C"/>
    <w:rsid w:val="00DF6F64"/>
    <w:rsid w:val="00DF721E"/>
    <w:rsid w:val="00DF7B8A"/>
    <w:rsid w:val="00DF7C87"/>
    <w:rsid w:val="00E009B0"/>
    <w:rsid w:val="00E00A12"/>
    <w:rsid w:val="00E00C49"/>
    <w:rsid w:val="00E01C9C"/>
    <w:rsid w:val="00E0219D"/>
    <w:rsid w:val="00E04C0F"/>
    <w:rsid w:val="00E0570B"/>
    <w:rsid w:val="00E10343"/>
    <w:rsid w:val="00E10913"/>
    <w:rsid w:val="00E10B87"/>
    <w:rsid w:val="00E121CE"/>
    <w:rsid w:val="00E1478B"/>
    <w:rsid w:val="00E14FAC"/>
    <w:rsid w:val="00E15007"/>
    <w:rsid w:val="00E16277"/>
    <w:rsid w:val="00E16EC7"/>
    <w:rsid w:val="00E219CE"/>
    <w:rsid w:val="00E24071"/>
    <w:rsid w:val="00E24EBC"/>
    <w:rsid w:val="00E2522C"/>
    <w:rsid w:val="00E2552F"/>
    <w:rsid w:val="00E2599B"/>
    <w:rsid w:val="00E2710C"/>
    <w:rsid w:val="00E27428"/>
    <w:rsid w:val="00E305B4"/>
    <w:rsid w:val="00E31182"/>
    <w:rsid w:val="00E3197A"/>
    <w:rsid w:val="00E31AFA"/>
    <w:rsid w:val="00E31CB7"/>
    <w:rsid w:val="00E324EE"/>
    <w:rsid w:val="00E32990"/>
    <w:rsid w:val="00E34DB1"/>
    <w:rsid w:val="00E35931"/>
    <w:rsid w:val="00E359FF"/>
    <w:rsid w:val="00E36BD1"/>
    <w:rsid w:val="00E402C5"/>
    <w:rsid w:val="00E402F4"/>
    <w:rsid w:val="00E4058B"/>
    <w:rsid w:val="00E405F1"/>
    <w:rsid w:val="00E4178B"/>
    <w:rsid w:val="00E417DB"/>
    <w:rsid w:val="00E43054"/>
    <w:rsid w:val="00E43655"/>
    <w:rsid w:val="00E44440"/>
    <w:rsid w:val="00E46013"/>
    <w:rsid w:val="00E47099"/>
    <w:rsid w:val="00E47284"/>
    <w:rsid w:val="00E4730A"/>
    <w:rsid w:val="00E477C3"/>
    <w:rsid w:val="00E47E23"/>
    <w:rsid w:val="00E517A5"/>
    <w:rsid w:val="00E51E16"/>
    <w:rsid w:val="00E53730"/>
    <w:rsid w:val="00E5438D"/>
    <w:rsid w:val="00E54511"/>
    <w:rsid w:val="00E54E50"/>
    <w:rsid w:val="00E55288"/>
    <w:rsid w:val="00E57577"/>
    <w:rsid w:val="00E62043"/>
    <w:rsid w:val="00E626B9"/>
    <w:rsid w:val="00E627C9"/>
    <w:rsid w:val="00E630F3"/>
    <w:rsid w:val="00E6332F"/>
    <w:rsid w:val="00E637C9"/>
    <w:rsid w:val="00E6402D"/>
    <w:rsid w:val="00E6680A"/>
    <w:rsid w:val="00E66F0D"/>
    <w:rsid w:val="00E70615"/>
    <w:rsid w:val="00E7161E"/>
    <w:rsid w:val="00E7207B"/>
    <w:rsid w:val="00E7347A"/>
    <w:rsid w:val="00E75A47"/>
    <w:rsid w:val="00E75BB6"/>
    <w:rsid w:val="00E75D8C"/>
    <w:rsid w:val="00E777F2"/>
    <w:rsid w:val="00E802C9"/>
    <w:rsid w:val="00E80BFB"/>
    <w:rsid w:val="00E80F0A"/>
    <w:rsid w:val="00E815D4"/>
    <w:rsid w:val="00E8291B"/>
    <w:rsid w:val="00E82E70"/>
    <w:rsid w:val="00E82F92"/>
    <w:rsid w:val="00E8395F"/>
    <w:rsid w:val="00E8410F"/>
    <w:rsid w:val="00E849D7"/>
    <w:rsid w:val="00E85E41"/>
    <w:rsid w:val="00E85EA1"/>
    <w:rsid w:val="00E86703"/>
    <w:rsid w:val="00E91044"/>
    <w:rsid w:val="00E910D3"/>
    <w:rsid w:val="00E91257"/>
    <w:rsid w:val="00E92154"/>
    <w:rsid w:val="00E923CF"/>
    <w:rsid w:val="00E93685"/>
    <w:rsid w:val="00E93B65"/>
    <w:rsid w:val="00E93C8C"/>
    <w:rsid w:val="00E95111"/>
    <w:rsid w:val="00E95FDF"/>
    <w:rsid w:val="00EA14C8"/>
    <w:rsid w:val="00EA2110"/>
    <w:rsid w:val="00EA283A"/>
    <w:rsid w:val="00EA2C90"/>
    <w:rsid w:val="00EA2E07"/>
    <w:rsid w:val="00EA383B"/>
    <w:rsid w:val="00EA41E6"/>
    <w:rsid w:val="00EA48F3"/>
    <w:rsid w:val="00EA60BF"/>
    <w:rsid w:val="00EA7365"/>
    <w:rsid w:val="00EA763F"/>
    <w:rsid w:val="00EA77E9"/>
    <w:rsid w:val="00EB05D0"/>
    <w:rsid w:val="00EB1151"/>
    <w:rsid w:val="00EB1D49"/>
    <w:rsid w:val="00EB23D9"/>
    <w:rsid w:val="00EB39A0"/>
    <w:rsid w:val="00EB559F"/>
    <w:rsid w:val="00EB566C"/>
    <w:rsid w:val="00EB5F3D"/>
    <w:rsid w:val="00EB77E5"/>
    <w:rsid w:val="00EC1CEB"/>
    <w:rsid w:val="00EC1DC0"/>
    <w:rsid w:val="00EC1DC2"/>
    <w:rsid w:val="00EC21EC"/>
    <w:rsid w:val="00EC24B8"/>
    <w:rsid w:val="00EC268C"/>
    <w:rsid w:val="00EC3753"/>
    <w:rsid w:val="00EC4E71"/>
    <w:rsid w:val="00EC5F1C"/>
    <w:rsid w:val="00ED0365"/>
    <w:rsid w:val="00ED0865"/>
    <w:rsid w:val="00ED1C60"/>
    <w:rsid w:val="00ED2EB9"/>
    <w:rsid w:val="00ED32D5"/>
    <w:rsid w:val="00ED3722"/>
    <w:rsid w:val="00ED3A31"/>
    <w:rsid w:val="00ED4469"/>
    <w:rsid w:val="00ED5424"/>
    <w:rsid w:val="00ED5F23"/>
    <w:rsid w:val="00ED6DC0"/>
    <w:rsid w:val="00ED7A7A"/>
    <w:rsid w:val="00EE0327"/>
    <w:rsid w:val="00EE038C"/>
    <w:rsid w:val="00EE28C5"/>
    <w:rsid w:val="00EE2F09"/>
    <w:rsid w:val="00EE47C5"/>
    <w:rsid w:val="00EE4885"/>
    <w:rsid w:val="00EE490C"/>
    <w:rsid w:val="00EE4E57"/>
    <w:rsid w:val="00EE5738"/>
    <w:rsid w:val="00EE58BD"/>
    <w:rsid w:val="00EE5E59"/>
    <w:rsid w:val="00EE6549"/>
    <w:rsid w:val="00EE73D0"/>
    <w:rsid w:val="00EE7CB0"/>
    <w:rsid w:val="00EF08A8"/>
    <w:rsid w:val="00EF167B"/>
    <w:rsid w:val="00EF41A8"/>
    <w:rsid w:val="00EF44FB"/>
    <w:rsid w:val="00EF5122"/>
    <w:rsid w:val="00EF5554"/>
    <w:rsid w:val="00EF5AD8"/>
    <w:rsid w:val="00EF6B90"/>
    <w:rsid w:val="00EF7807"/>
    <w:rsid w:val="00EF79F7"/>
    <w:rsid w:val="00F006C0"/>
    <w:rsid w:val="00F0125F"/>
    <w:rsid w:val="00F019AA"/>
    <w:rsid w:val="00F0267E"/>
    <w:rsid w:val="00F02686"/>
    <w:rsid w:val="00F030C0"/>
    <w:rsid w:val="00F03291"/>
    <w:rsid w:val="00F0459B"/>
    <w:rsid w:val="00F04E15"/>
    <w:rsid w:val="00F05DF3"/>
    <w:rsid w:val="00F0692C"/>
    <w:rsid w:val="00F069EA"/>
    <w:rsid w:val="00F070E5"/>
    <w:rsid w:val="00F07DDE"/>
    <w:rsid w:val="00F11675"/>
    <w:rsid w:val="00F12557"/>
    <w:rsid w:val="00F13599"/>
    <w:rsid w:val="00F13B28"/>
    <w:rsid w:val="00F14E01"/>
    <w:rsid w:val="00F156A0"/>
    <w:rsid w:val="00F15730"/>
    <w:rsid w:val="00F176A6"/>
    <w:rsid w:val="00F202C2"/>
    <w:rsid w:val="00F212F6"/>
    <w:rsid w:val="00F22756"/>
    <w:rsid w:val="00F23248"/>
    <w:rsid w:val="00F23890"/>
    <w:rsid w:val="00F2504D"/>
    <w:rsid w:val="00F2637F"/>
    <w:rsid w:val="00F268F7"/>
    <w:rsid w:val="00F30B83"/>
    <w:rsid w:val="00F30BDB"/>
    <w:rsid w:val="00F30CF8"/>
    <w:rsid w:val="00F31EDF"/>
    <w:rsid w:val="00F32CDE"/>
    <w:rsid w:val="00F32D4C"/>
    <w:rsid w:val="00F3327E"/>
    <w:rsid w:val="00F338C3"/>
    <w:rsid w:val="00F34B14"/>
    <w:rsid w:val="00F34F58"/>
    <w:rsid w:val="00F35DA7"/>
    <w:rsid w:val="00F36A6A"/>
    <w:rsid w:val="00F40101"/>
    <w:rsid w:val="00F404F7"/>
    <w:rsid w:val="00F40CCA"/>
    <w:rsid w:val="00F42D97"/>
    <w:rsid w:val="00F436B2"/>
    <w:rsid w:val="00F43813"/>
    <w:rsid w:val="00F43FEE"/>
    <w:rsid w:val="00F45A72"/>
    <w:rsid w:val="00F46723"/>
    <w:rsid w:val="00F4706D"/>
    <w:rsid w:val="00F476E1"/>
    <w:rsid w:val="00F47D1D"/>
    <w:rsid w:val="00F47F29"/>
    <w:rsid w:val="00F50016"/>
    <w:rsid w:val="00F50058"/>
    <w:rsid w:val="00F5088F"/>
    <w:rsid w:val="00F5118A"/>
    <w:rsid w:val="00F51A21"/>
    <w:rsid w:val="00F52614"/>
    <w:rsid w:val="00F5276E"/>
    <w:rsid w:val="00F52E9F"/>
    <w:rsid w:val="00F53304"/>
    <w:rsid w:val="00F53B81"/>
    <w:rsid w:val="00F540FE"/>
    <w:rsid w:val="00F556FF"/>
    <w:rsid w:val="00F55D12"/>
    <w:rsid w:val="00F5687F"/>
    <w:rsid w:val="00F56D3F"/>
    <w:rsid w:val="00F575C7"/>
    <w:rsid w:val="00F57FD0"/>
    <w:rsid w:val="00F60305"/>
    <w:rsid w:val="00F61B12"/>
    <w:rsid w:val="00F63264"/>
    <w:rsid w:val="00F634E4"/>
    <w:rsid w:val="00F6379E"/>
    <w:rsid w:val="00F64047"/>
    <w:rsid w:val="00F65171"/>
    <w:rsid w:val="00F6560D"/>
    <w:rsid w:val="00F65C23"/>
    <w:rsid w:val="00F67844"/>
    <w:rsid w:val="00F70799"/>
    <w:rsid w:val="00F70A8B"/>
    <w:rsid w:val="00F70B8D"/>
    <w:rsid w:val="00F71936"/>
    <w:rsid w:val="00F724FB"/>
    <w:rsid w:val="00F726B8"/>
    <w:rsid w:val="00F72A26"/>
    <w:rsid w:val="00F733C3"/>
    <w:rsid w:val="00F746A1"/>
    <w:rsid w:val="00F74820"/>
    <w:rsid w:val="00F756DD"/>
    <w:rsid w:val="00F77F4E"/>
    <w:rsid w:val="00F80047"/>
    <w:rsid w:val="00F800C7"/>
    <w:rsid w:val="00F8104D"/>
    <w:rsid w:val="00F81587"/>
    <w:rsid w:val="00F8288F"/>
    <w:rsid w:val="00F84033"/>
    <w:rsid w:val="00F84802"/>
    <w:rsid w:val="00F85B72"/>
    <w:rsid w:val="00F86540"/>
    <w:rsid w:val="00F865CE"/>
    <w:rsid w:val="00F8766F"/>
    <w:rsid w:val="00F91082"/>
    <w:rsid w:val="00F9116D"/>
    <w:rsid w:val="00F91A9A"/>
    <w:rsid w:val="00F9203B"/>
    <w:rsid w:val="00F93ABB"/>
    <w:rsid w:val="00F94D79"/>
    <w:rsid w:val="00F963A2"/>
    <w:rsid w:val="00F9658C"/>
    <w:rsid w:val="00F97A7F"/>
    <w:rsid w:val="00FA0889"/>
    <w:rsid w:val="00FA16E7"/>
    <w:rsid w:val="00FA31C7"/>
    <w:rsid w:val="00FA472D"/>
    <w:rsid w:val="00FB0CBF"/>
    <w:rsid w:val="00FB18F6"/>
    <w:rsid w:val="00FB2A52"/>
    <w:rsid w:val="00FB3F92"/>
    <w:rsid w:val="00FB52C7"/>
    <w:rsid w:val="00FB57DC"/>
    <w:rsid w:val="00FB6E19"/>
    <w:rsid w:val="00FB71F6"/>
    <w:rsid w:val="00FC0AF8"/>
    <w:rsid w:val="00FC1483"/>
    <w:rsid w:val="00FC1C47"/>
    <w:rsid w:val="00FC3102"/>
    <w:rsid w:val="00FC3493"/>
    <w:rsid w:val="00FC39ED"/>
    <w:rsid w:val="00FC4419"/>
    <w:rsid w:val="00FC47E2"/>
    <w:rsid w:val="00FC4AA5"/>
    <w:rsid w:val="00FC4B88"/>
    <w:rsid w:val="00FC4BB8"/>
    <w:rsid w:val="00FC5148"/>
    <w:rsid w:val="00FC623A"/>
    <w:rsid w:val="00FC6524"/>
    <w:rsid w:val="00FC75AC"/>
    <w:rsid w:val="00FD01BF"/>
    <w:rsid w:val="00FD0525"/>
    <w:rsid w:val="00FD0AB7"/>
    <w:rsid w:val="00FD297D"/>
    <w:rsid w:val="00FD2D13"/>
    <w:rsid w:val="00FD374D"/>
    <w:rsid w:val="00FD6071"/>
    <w:rsid w:val="00FD633B"/>
    <w:rsid w:val="00FE0794"/>
    <w:rsid w:val="00FE1041"/>
    <w:rsid w:val="00FE24CB"/>
    <w:rsid w:val="00FE323F"/>
    <w:rsid w:val="00FE3473"/>
    <w:rsid w:val="00FE4049"/>
    <w:rsid w:val="00FE4794"/>
    <w:rsid w:val="00FE480F"/>
    <w:rsid w:val="00FE4998"/>
    <w:rsid w:val="00FE57DE"/>
    <w:rsid w:val="00FE7A68"/>
    <w:rsid w:val="00FF0231"/>
    <w:rsid w:val="00FF1C9B"/>
    <w:rsid w:val="00FF1D49"/>
    <w:rsid w:val="00FF203B"/>
    <w:rsid w:val="00FF2562"/>
    <w:rsid w:val="00FF3A41"/>
    <w:rsid w:val="00FF3E5B"/>
    <w:rsid w:val="00FF57E4"/>
    <w:rsid w:val="00FF78E5"/>
    <w:rsid w:val="0103398B"/>
    <w:rsid w:val="01237662"/>
    <w:rsid w:val="014C1D05"/>
    <w:rsid w:val="015C4CBF"/>
    <w:rsid w:val="015C7AD5"/>
    <w:rsid w:val="016C2D4F"/>
    <w:rsid w:val="01907316"/>
    <w:rsid w:val="019904DB"/>
    <w:rsid w:val="01A433EB"/>
    <w:rsid w:val="01AF3D99"/>
    <w:rsid w:val="01B90B97"/>
    <w:rsid w:val="01C400FA"/>
    <w:rsid w:val="01DB7ED5"/>
    <w:rsid w:val="01E0307A"/>
    <w:rsid w:val="01E3453D"/>
    <w:rsid w:val="01FF4BEC"/>
    <w:rsid w:val="021741B2"/>
    <w:rsid w:val="02204683"/>
    <w:rsid w:val="023E0CE4"/>
    <w:rsid w:val="02511F9D"/>
    <w:rsid w:val="025263E9"/>
    <w:rsid w:val="025F06CD"/>
    <w:rsid w:val="026F7A2F"/>
    <w:rsid w:val="02827C52"/>
    <w:rsid w:val="02C76111"/>
    <w:rsid w:val="02D526C0"/>
    <w:rsid w:val="02D6235F"/>
    <w:rsid w:val="02E80AFB"/>
    <w:rsid w:val="030532A9"/>
    <w:rsid w:val="03286A1E"/>
    <w:rsid w:val="032B79A4"/>
    <w:rsid w:val="03305A68"/>
    <w:rsid w:val="033F12EC"/>
    <w:rsid w:val="03407951"/>
    <w:rsid w:val="03535D6B"/>
    <w:rsid w:val="03701670"/>
    <w:rsid w:val="039A08B0"/>
    <w:rsid w:val="03A314B8"/>
    <w:rsid w:val="03AD6CA1"/>
    <w:rsid w:val="03B22EB7"/>
    <w:rsid w:val="03B67959"/>
    <w:rsid w:val="03D82B98"/>
    <w:rsid w:val="03D964F4"/>
    <w:rsid w:val="03F83E8B"/>
    <w:rsid w:val="04075C0E"/>
    <w:rsid w:val="049570A7"/>
    <w:rsid w:val="04993972"/>
    <w:rsid w:val="04BA414C"/>
    <w:rsid w:val="04CD2CEE"/>
    <w:rsid w:val="04FA0003"/>
    <w:rsid w:val="04FA60EF"/>
    <w:rsid w:val="04FC24D4"/>
    <w:rsid w:val="05023BEB"/>
    <w:rsid w:val="05064643"/>
    <w:rsid w:val="050E5E84"/>
    <w:rsid w:val="05102192"/>
    <w:rsid w:val="054A0ABE"/>
    <w:rsid w:val="05557587"/>
    <w:rsid w:val="05645B44"/>
    <w:rsid w:val="057F4E2B"/>
    <w:rsid w:val="058549D8"/>
    <w:rsid w:val="058F6224"/>
    <w:rsid w:val="059303F8"/>
    <w:rsid w:val="05C05314"/>
    <w:rsid w:val="05C56868"/>
    <w:rsid w:val="06037902"/>
    <w:rsid w:val="06040198"/>
    <w:rsid w:val="06083B9D"/>
    <w:rsid w:val="06211C5A"/>
    <w:rsid w:val="063A030C"/>
    <w:rsid w:val="06444866"/>
    <w:rsid w:val="06516B57"/>
    <w:rsid w:val="066A40D2"/>
    <w:rsid w:val="06823015"/>
    <w:rsid w:val="0687062B"/>
    <w:rsid w:val="06B25549"/>
    <w:rsid w:val="06B96E5F"/>
    <w:rsid w:val="06C242E4"/>
    <w:rsid w:val="06C91C0B"/>
    <w:rsid w:val="06D86BC4"/>
    <w:rsid w:val="06F95FEB"/>
    <w:rsid w:val="06FE1B5D"/>
    <w:rsid w:val="072940AD"/>
    <w:rsid w:val="072E4C95"/>
    <w:rsid w:val="07633118"/>
    <w:rsid w:val="07640908"/>
    <w:rsid w:val="076C63C4"/>
    <w:rsid w:val="078627A3"/>
    <w:rsid w:val="07A5201F"/>
    <w:rsid w:val="07B72767"/>
    <w:rsid w:val="07C23DE6"/>
    <w:rsid w:val="07FC1ACA"/>
    <w:rsid w:val="08013FF2"/>
    <w:rsid w:val="08077E72"/>
    <w:rsid w:val="08203C28"/>
    <w:rsid w:val="08314631"/>
    <w:rsid w:val="083B16CD"/>
    <w:rsid w:val="083F4472"/>
    <w:rsid w:val="084C5E23"/>
    <w:rsid w:val="084F5179"/>
    <w:rsid w:val="08824CDD"/>
    <w:rsid w:val="0886663C"/>
    <w:rsid w:val="08882DD0"/>
    <w:rsid w:val="088B34A7"/>
    <w:rsid w:val="089F7EAE"/>
    <w:rsid w:val="08BE34E2"/>
    <w:rsid w:val="08C63638"/>
    <w:rsid w:val="08EC11F7"/>
    <w:rsid w:val="08F821C8"/>
    <w:rsid w:val="09110F69"/>
    <w:rsid w:val="09561829"/>
    <w:rsid w:val="096C5F37"/>
    <w:rsid w:val="09783845"/>
    <w:rsid w:val="09860032"/>
    <w:rsid w:val="09921955"/>
    <w:rsid w:val="09A46335"/>
    <w:rsid w:val="09CC2AAC"/>
    <w:rsid w:val="09CC7F0C"/>
    <w:rsid w:val="09D26E76"/>
    <w:rsid w:val="09DD7DDF"/>
    <w:rsid w:val="09DE2A8F"/>
    <w:rsid w:val="09F43D3A"/>
    <w:rsid w:val="09F7289C"/>
    <w:rsid w:val="0A00497C"/>
    <w:rsid w:val="0A020732"/>
    <w:rsid w:val="0A02529C"/>
    <w:rsid w:val="0A090982"/>
    <w:rsid w:val="0A171D19"/>
    <w:rsid w:val="0A2564A7"/>
    <w:rsid w:val="0A331AD7"/>
    <w:rsid w:val="0A493872"/>
    <w:rsid w:val="0A5B1BB3"/>
    <w:rsid w:val="0A5C3ECC"/>
    <w:rsid w:val="0A5C76C2"/>
    <w:rsid w:val="0A652D3E"/>
    <w:rsid w:val="0A6A1AA6"/>
    <w:rsid w:val="0A767E3E"/>
    <w:rsid w:val="0A9D4A5C"/>
    <w:rsid w:val="0AA9774E"/>
    <w:rsid w:val="0AAB5F5D"/>
    <w:rsid w:val="0AB6063D"/>
    <w:rsid w:val="0ADA366D"/>
    <w:rsid w:val="0AFA5A05"/>
    <w:rsid w:val="0B193B77"/>
    <w:rsid w:val="0B253B57"/>
    <w:rsid w:val="0B325243"/>
    <w:rsid w:val="0B326F2A"/>
    <w:rsid w:val="0B3D510B"/>
    <w:rsid w:val="0B623221"/>
    <w:rsid w:val="0B6969D8"/>
    <w:rsid w:val="0BD8078C"/>
    <w:rsid w:val="0BE1433A"/>
    <w:rsid w:val="0BE93715"/>
    <w:rsid w:val="0BEA3C78"/>
    <w:rsid w:val="0BEA3FD0"/>
    <w:rsid w:val="0BF43FB9"/>
    <w:rsid w:val="0BF44BE5"/>
    <w:rsid w:val="0C041ADD"/>
    <w:rsid w:val="0C11238F"/>
    <w:rsid w:val="0C1E2888"/>
    <w:rsid w:val="0C2E225D"/>
    <w:rsid w:val="0C4502C0"/>
    <w:rsid w:val="0C530F2E"/>
    <w:rsid w:val="0C6F29D6"/>
    <w:rsid w:val="0C87560F"/>
    <w:rsid w:val="0C880586"/>
    <w:rsid w:val="0C92213C"/>
    <w:rsid w:val="0C9F5D63"/>
    <w:rsid w:val="0CA20746"/>
    <w:rsid w:val="0CAB5D64"/>
    <w:rsid w:val="0CD304AC"/>
    <w:rsid w:val="0D0114AE"/>
    <w:rsid w:val="0D29001E"/>
    <w:rsid w:val="0D2C3F28"/>
    <w:rsid w:val="0D325EDF"/>
    <w:rsid w:val="0D445D4C"/>
    <w:rsid w:val="0D5860A0"/>
    <w:rsid w:val="0D6D5644"/>
    <w:rsid w:val="0D7A2203"/>
    <w:rsid w:val="0D7D5B62"/>
    <w:rsid w:val="0D84032B"/>
    <w:rsid w:val="0D953396"/>
    <w:rsid w:val="0D994191"/>
    <w:rsid w:val="0DA2594C"/>
    <w:rsid w:val="0DC06676"/>
    <w:rsid w:val="0DE53B38"/>
    <w:rsid w:val="0DF715F7"/>
    <w:rsid w:val="0E26697C"/>
    <w:rsid w:val="0E2B3D03"/>
    <w:rsid w:val="0E2C6916"/>
    <w:rsid w:val="0E5F47DD"/>
    <w:rsid w:val="0E6B66E8"/>
    <w:rsid w:val="0E79225F"/>
    <w:rsid w:val="0E8F2DCE"/>
    <w:rsid w:val="0EA56944"/>
    <w:rsid w:val="0EAC0C2F"/>
    <w:rsid w:val="0EB36C82"/>
    <w:rsid w:val="0EBA6255"/>
    <w:rsid w:val="0ED24096"/>
    <w:rsid w:val="0EE04BDF"/>
    <w:rsid w:val="0EE44AEB"/>
    <w:rsid w:val="0F150F54"/>
    <w:rsid w:val="0F2A74C4"/>
    <w:rsid w:val="0F3330FE"/>
    <w:rsid w:val="0F4E618A"/>
    <w:rsid w:val="0F553015"/>
    <w:rsid w:val="0F814841"/>
    <w:rsid w:val="0FA44A8E"/>
    <w:rsid w:val="0FC4692B"/>
    <w:rsid w:val="0FE030CE"/>
    <w:rsid w:val="10202CC1"/>
    <w:rsid w:val="10352DA4"/>
    <w:rsid w:val="103F2A0A"/>
    <w:rsid w:val="10A27F31"/>
    <w:rsid w:val="10A753AB"/>
    <w:rsid w:val="10AA5CB1"/>
    <w:rsid w:val="10AB01BE"/>
    <w:rsid w:val="10BD332C"/>
    <w:rsid w:val="10BF682C"/>
    <w:rsid w:val="10CB29C5"/>
    <w:rsid w:val="10CC3A02"/>
    <w:rsid w:val="10CC6281"/>
    <w:rsid w:val="10D87300"/>
    <w:rsid w:val="10E03636"/>
    <w:rsid w:val="10E33AF2"/>
    <w:rsid w:val="110B438A"/>
    <w:rsid w:val="11301FEB"/>
    <w:rsid w:val="113E66C0"/>
    <w:rsid w:val="114B493D"/>
    <w:rsid w:val="1167339E"/>
    <w:rsid w:val="1167648F"/>
    <w:rsid w:val="11822E5D"/>
    <w:rsid w:val="11873841"/>
    <w:rsid w:val="11927058"/>
    <w:rsid w:val="1193257A"/>
    <w:rsid w:val="119A0FD6"/>
    <w:rsid w:val="11A02DC7"/>
    <w:rsid w:val="11AB0C22"/>
    <w:rsid w:val="11EE4343"/>
    <w:rsid w:val="11F60067"/>
    <w:rsid w:val="120F3D85"/>
    <w:rsid w:val="12171B57"/>
    <w:rsid w:val="1235718D"/>
    <w:rsid w:val="123C2D26"/>
    <w:rsid w:val="123E24E6"/>
    <w:rsid w:val="12573688"/>
    <w:rsid w:val="126A32DB"/>
    <w:rsid w:val="129B61A1"/>
    <w:rsid w:val="12AA40AD"/>
    <w:rsid w:val="12DA4310"/>
    <w:rsid w:val="12EF08E6"/>
    <w:rsid w:val="12F15453"/>
    <w:rsid w:val="133E327C"/>
    <w:rsid w:val="138A0076"/>
    <w:rsid w:val="138C43DE"/>
    <w:rsid w:val="139665A6"/>
    <w:rsid w:val="139C5DE4"/>
    <w:rsid w:val="139D71F2"/>
    <w:rsid w:val="13AC3968"/>
    <w:rsid w:val="13AF4F03"/>
    <w:rsid w:val="13D749F4"/>
    <w:rsid w:val="13EA2B11"/>
    <w:rsid w:val="140A4F68"/>
    <w:rsid w:val="14112D31"/>
    <w:rsid w:val="14187A16"/>
    <w:rsid w:val="14352795"/>
    <w:rsid w:val="1444633F"/>
    <w:rsid w:val="14670F31"/>
    <w:rsid w:val="14736E66"/>
    <w:rsid w:val="147F458F"/>
    <w:rsid w:val="148954D3"/>
    <w:rsid w:val="148C42E3"/>
    <w:rsid w:val="14911257"/>
    <w:rsid w:val="14976435"/>
    <w:rsid w:val="14B93551"/>
    <w:rsid w:val="14BB2734"/>
    <w:rsid w:val="14D958EC"/>
    <w:rsid w:val="14F20D93"/>
    <w:rsid w:val="14F267F7"/>
    <w:rsid w:val="14FA3E00"/>
    <w:rsid w:val="150B62EB"/>
    <w:rsid w:val="1531036E"/>
    <w:rsid w:val="1534169A"/>
    <w:rsid w:val="1549175F"/>
    <w:rsid w:val="156D25A1"/>
    <w:rsid w:val="157C0122"/>
    <w:rsid w:val="15812F88"/>
    <w:rsid w:val="15911585"/>
    <w:rsid w:val="159513FB"/>
    <w:rsid w:val="159C0EE7"/>
    <w:rsid w:val="15A27358"/>
    <w:rsid w:val="15B14FA7"/>
    <w:rsid w:val="15B93302"/>
    <w:rsid w:val="15C03E03"/>
    <w:rsid w:val="15E67E14"/>
    <w:rsid w:val="15EE508B"/>
    <w:rsid w:val="160F4148"/>
    <w:rsid w:val="162A25EB"/>
    <w:rsid w:val="16553CA3"/>
    <w:rsid w:val="165F50CD"/>
    <w:rsid w:val="169923E1"/>
    <w:rsid w:val="169F56FE"/>
    <w:rsid w:val="16BD6398"/>
    <w:rsid w:val="16D31DF9"/>
    <w:rsid w:val="16DF26FF"/>
    <w:rsid w:val="16FD2A55"/>
    <w:rsid w:val="17047252"/>
    <w:rsid w:val="17067C1A"/>
    <w:rsid w:val="170A4150"/>
    <w:rsid w:val="172036D3"/>
    <w:rsid w:val="172045B4"/>
    <w:rsid w:val="172F08F7"/>
    <w:rsid w:val="17366761"/>
    <w:rsid w:val="17393F58"/>
    <w:rsid w:val="173A76F6"/>
    <w:rsid w:val="173B2377"/>
    <w:rsid w:val="177C01F0"/>
    <w:rsid w:val="178D65A6"/>
    <w:rsid w:val="17973BCE"/>
    <w:rsid w:val="17AB183B"/>
    <w:rsid w:val="17C40F08"/>
    <w:rsid w:val="17CE60BA"/>
    <w:rsid w:val="17CE6630"/>
    <w:rsid w:val="17D32A08"/>
    <w:rsid w:val="17EB3722"/>
    <w:rsid w:val="17EF65A5"/>
    <w:rsid w:val="180E6351"/>
    <w:rsid w:val="18162CAE"/>
    <w:rsid w:val="18283784"/>
    <w:rsid w:val="18353413"/>
    <w:rsid w:val="185D25ED"/>
    <w:rsid w:val="18750DB1"/>
    <w:rsid w:val="187B48A5"/>
    <w:rsid w:val="18A419CD"/>
    <w:rsid w:val="18B15806"/>
    <w:rsid w:val="18BC23B6"/>
    <w:rsid w:val="18EE2472"/>
    <w:rsid w:val="18F3727C"/>
    <w:rsid w:val="190979FD"/>
    <w:rsid w:val="190A1B65"/>
    <w:rsid w:val="19124B13"/>
    <w:rsid w:val="193F68F3"/>
    <w:rsid w:val="19434380"/>
    <w:rsid w:val="19434886"/>
    <w:rsid w:val="19472899"/>
    <w:rsid w:val="19491239"/>
    <w:rsid w:val="194C3D23"/>
    <w:rsid w:val="19541F63"/>
    <w:rsid w:val="19621891"/>
    <w:rsid w:val="197A7D49"/>
    <w:rsid w:val="199B55FC"/>
    <w:rsid w:val="19AD5CB2"/>
    <w:rsid w:val="19C607E7"/>
    <w:rsid w:val="19EF71FF"/>
    <w:rsid w:val="19F444FF"/>
    <w:rsid w:val="19F6165F"/>
    <w:rsid w:val="1A0B68A8"/>
    <w:rsid w:val="1A1B0F5C"/>
    <w:rsid w:val="1A232551"/>
    <w:rsid w:val="1A48011A"/>
    <w:rsid w:val="1A5C2B7F"/>
    <w:rsid w:val="1A614813"/>
    <w:rsid w:val="1A74392A"/>
    <w:rsid w:val="1A782658"/>
    <w:rsid w:val="1A797E1E"/>
    <w:rsid w:val="1A7E108F"/>
    <w:rsid w:val="1A8573D4"/>
    <w:rsid w:val="1A9548EB"/>
    <w:rsid w:val="1A9B64D2"/>
    <w:rsid w:val="1ACC27B4"/>
    <w:rsid w:val="1AF57BE1"/>
    <w:rsid w:val="1AF65A4C"/>
    <w:rsid w:val="1AFF0AFE"/>
    <w:rsid w:val="1B34103B"/>
    <w:rsid w:val="1B39650C"/>
    <w:rsid w:val="1B4F19F8"/>
    <w:rsid w:val="1B5B76F4"/>
    <w:rsid w:val="1B5C2F75"/>
    <w:rsid w:val="1B6B7470"/>
    <w:rsid w:val="1B8D2CBF"/>
    <w:rsid w:val="1BA33A2D"/>
    <w:rsid w:val="1BAD706E"/>
    <w:rsid w:val="1BAE3D4C"/>
    <w:rsid w:val="1BB36E00"/>
    <w:rsid w:val="1BD10936"/>
    <w:rsid w:val="1BEE7729"/>
    <w:rsid w:val="1BF4700E"/>
    <w:rsid w:val="1C041C70"/>
    <w:rsid w:val="1C1A42E7"/>
    <w:rsid w:val="1C226F03"/>
    <w:rsid w:val="1C3F670D"/>
    <w:rsid w:val="1C9A50D4"/>
    <w:rsid w:val="1CA823CD"/>
    <w:rsid w:val="1CA970EB"/>
    <w:rsid w:val="1CDE1F2F"/>
    <w:rsid w:val="1CE61E5F"/>
    <w:rsid w:val="1CF93E51"/>
    <w:rsid w:val="1D0F556C"/>
    <w:rsid w:val="1D1C46B8"/>
    <w:rsid w:val="1D3943AC"/>
    <w:rsid w:val="1D3A7D4E"/>
    <w:rsid w:val="1D805CF0"/>
    <w:rsid w:val="1D8F637F"/>
    <w:rsid w:val="1D9335FC"/>
    <w:rsid w:val="1D996796"/>
    <w:rsid w:val="1DA07F2F"/>
    <w:rsid w:val="1DD106A3"/>
    <w:rsid w:val="1E0450B5"/>
    <w:rsid w:val="1E286EEF"/>
    <w:rsid w:val="1E2B1AE2"/>
    <w:rsid w:val="1E375346"/>
    <w:rsid w:val="1E5E181A"/>
    <w:rsid w:val="1E657FE9"/>
    <w:rsid w:val="1E662BFA"/>
    <w:rsid w:val="1E72152A"/>
    <w:rsid w:val="1E751FB1"/>
    <w:rsid w:val="1E842C7C"/>
    <w:rsid w:val="1E8C24F9"/>
    <w:rsid w:val="1ECC44FA"/>
    <w:rsid w:val="1ECE7147"/>
    <w:rsid w:val="1EDF6DFF"/>
    <w:rsid w:val="1F063325"/>
    <w:rsid w:val="1F206483"/>
    <w:rsid w:val="1F4D240C"/>
    <w:rsid w:val="1F50678E"/>
    <w:rsid w:val="1F6A3BA7"/>
    <w:rsid w:val="1F80168B"/>
    <w:rsid w:val="1F843156"/>
    <w:rsid w:val="1F91158B"/>
    <w:rsid w:val="1FA05F68"/>
    <w:rsid w:val="1FAF0501"/>
    <w:rsid w:val="1FBC5DF5"/>
    <w:rsid w:val="1FC16863"/>
    <w:rsid w:val="1FE13B31"/>
    <w:rsid w:val="1FEA075F"/>
    <w:rsid w:val="1FF90588"/>
    <w:rsid w:val="201167D2"/>
    <w:rsid w:val="201E1010"/>
    <w:rsid w:val="20213923"/>
    <w:rsid w:val="20245062"/>
    <w:rsid w:val="202D32CC"/>
    <w:rsid w:val="203F6A91"/>
    <w:rsid w:val="204D2ACD"/>
    <w:rsid w:val="20562624"/>
    <w:rsid w:val="20BB6724"/>
    <w:rsid w:val="20C3623F"/>
    <w:rsid w:val="20D3029D"/>
    <w:rsid w:val="20D84C09"/>
    <w:rsid w:val="20E533F4"/>
    <w:rsid w:val="20ED7F55"/>
    <w:rsid w:val="211041C1"/>
    <w:rsid w:val="21194989"/>
    <w:rsid w:val="212635D9"/>
    <w:rsid w:val="21781212"/>
    <w:rsid w:val="219C2D85"/>
    <w:rsid w:val="21B83F86"/>
    <w:rsid w:val="21C90855"/>
    <w:rsid w:val="21E069CE"/>
    <w:rsid w:val="21E75551"/>
    <w:rsid w:val="21F901D7"/>
    <w:rsid w:val="22106464"/>
    <w:rsid w:val="22106A4D"/>
    <w:rsid w:val="221178A8"/>
    <w:rsid w:val="221213CF"/>
    <w:rsid w:val="22327A92"/>
    <w:rsid w:val="22465B1F"/>
    <w:rsid w:val="225C0635"/>
    <w:rsid w:val="22711995"/>
    <w:rsid w:val="22BB3EC7"/>
    <w:rsid w:val="22CE3412"/>
    <w:rsid w:val="22DB129D"/>
    <w:rsid w:val="22FA4C94"/>
    <w:rsid w:val="22FC4FC4"/>
    <w:rsid w:val="230436F8"/>
    <w:rsid w:val="230D61C2"/>
    <w:rsid w:val="231C0980"/>
    <w:rsid w:val="231D53A2"/>
    <w:rsid w:val="232C1B4B"/>
    <w:rsid w:val="233B7225"/>
    <w:rsid w:val="23435214"/>
    <w:rsid w:val="235477BA"/>
    <w:rsid w:val="235A3C30"/>
    <w:rsid w:val="236D5383"/>
    <w:rsid w:val="23A41B75"/>
    <w:rsid w:val="23B7504C"/>
    <w:rsid w:val="23BA654A"/>
    <w:rsid w:val="24205BC8"/>
    <w:rsid w:val="24345FDB"/>
    <w:rsid w:val="24354590"/>
    <w:rsid w:val="24571307"/>
    <w:rsid w:val="247C7D19"/>
    <w:rsid w:val="2488397F"/>
    <w:rsid w:val="24B13D98"/>
    <w:rsid w:val="24B34021"/>
    <w:rsid w:val="24CB4B0D"/>
    <w:rsid w:val="24E05505"/>
    <w:rsid w:val="24EF0AA4"/>
    <w:rsid w:val="24FE5668"/>
    <w:rsid w:val="25110A2A"/>
    <w:rsid w:val="251513DA"/>
    <w:rsid w:val="252B4B4C"/>
    <w:rsid w:val="252F3220"/>
    <w:rsid w:val="25357FCD"/>
    <w:rsid w:val="25647DF0"/>
    <w:rsid w:val="256C0944"/>
    <w:rsid w:val="25773D5F"/>
    <w:rsid w:val="257E73F2"/>
    <w:rsid w:val="25895F27"/>
    <w:rsid w:val="25984DAE"/>
    <w:rsid w:val="25AD6F5A"/>
    <w:rsid w:val="25AE451C"/>
    <w:rsid w:val="25BE7679"/>
    <w:rsid w:val="25C00F8A"/>
    <w:rsid w:val="25D4529B"/>
    <w:rsid w:val="25D53DA4"/>
    <w:rsid w:val="25EC2CF7"/>
    <w:rsid w:val="261F4447"/>
    <w:rsid w:val="263129AE"/>
    <w:rsid w:val="26446DE3"/>
    <w:rsid w:val="264A7253"/>
    <w:rsid w:val="269669E7"/>
    <w:rsid w:val="26A744DB"/>
    <w:rsid w:val="26D4005A"/>
    <w:rsid w:val="26D46B1D"/>
    <w:rsid w:val="26D7699F"/>
    <w:rsid w:val="26E26183"/>
    <w:rsid w:val="26E36ACC"/>
    <w:rsid w:val="26F30F15"/>
    <w:rsid w:val="26F35AF2"/>
    <w:rsid w:val="26F73A2A"/>
    <w:rsid w:val="26F947D6"/>
    <w:rsid w:val="27102C21"/>
    <w:rsid w:val="27227C57"/>
    <w:rsid w:val="2750171F"/>
    <w:rsid w:val="2769156F"/>
    <w:rsid w:val="27793F5D"/>
    <w:rsid w:val="277A7636"/>
    <w:rsid w:val="27A2622E"/>
    <w:rsid w:val="27A60F83"/>
    <w:rsid w:val="27D24FCB"/>
    <w:rsid w:val="280621A9"/>
    <w:rsid w:val="280F682E"/>
    <w:rsid w:val="28115370"/>
    <w:rsid w:val="28124EAE"/>
    <w:rsid w:val="287815CC"/>
    <w:rsid w:val="28785F5E"/>
    <w:rsid w:val="28BE38E2"/>
    <w:rsid w:val="28E167AB"/>
    <w:rsid w:val="28F14595"/>
    <w:rsid w:val="29063629"/>
    <w:rsid w:val="291137B2"/>
    <w:rsid w:val="29156CFF"/>
    <w:rsid w:val="291A302B"/>
    <w:rsid w:val="29344AD4"/>
    <w:rsid w:val="293D6B2E"/>
    <w:rsid w:val="29581C87"/>
    <w:rsid w:val="295E2317"/>
    <w:rsid w:val="295F2107"/>
    <w:rsid w:val="296B020D"/>
    <w:rsid w:val="2973495F"/>
    <w:rsid w:val="297D3FFE"/>
    <w:rsid w:val="298B57C8"/>
    <w:rsid w:val="299912AB"/>
    <w:rsid w:val="299D4AAF"/>
    <w:rsid w:val="29AD0C8B"/>
    <w:rsid w:val="29BB39AC"/>
    <w:rsid w:val="29C5574F"/>
    <w:rsid w:val="29C67FA0"/>
    <w:rsid w:val="29D2163F"/>
    <w:rsid w:val="29E509C9"/>
    <w:rsid w:val="29F3375E"/>
    <w:rsid w:val="2A21557C"/>
    <w:rsid w:val="2A4D3396"/>
    <w:rsid w:val="2A4D6EDB"/>
    <w:rsid w:val="2A541720"/>
    <w:rsid w:val="2A6821B4"/>
    <w:rsid w:val="2AAC54E3"/>
    <w:rsid w:val="2AB22903"/>
    <w:rsid w:val="2ACD4A32"/>
    <w:rsid w:val="2AD830F7"/>
    <w:rsid w:val="2AE241C5"/>
    <w:rsid w:val="2AE80DE9"/>
    <w:rsid w:val="2AF310EC"/>
    <w:rsid w:val="2B0068E8"/>
    <w:rsid w:val="2B5862D1"/>
    <w:rsid w:val="2B642A3F"/>
    <w:rsid w:val="2B6A0459"/>
    <w:rsid w:val="2B6E42DA"/>
    <w:rsid w:val="2B774624"/>
    <w:rsid w:val="2B8A5BDD"/>
    <w:rsid w:val="2B8A7A19"/>
    <w:rsid w:val="2B8C3FB1"/>
    <w:rsid w:val="2BAE120E"/>
    <w:rsid w:val="2BC83AB9"/>
    <w:rsid w:val="2BF5056F"/>
    <w:rsid w:val="2C0F0D7F"/>
    <w:rsid w:val="2C1B56AB"/>
    <w:rsid w:val="2C266CCE"/>
    <w:rsid w:val="2C34179B"/>
    <w:rsid w:val="2C4A0FE2"/>
    <w:rsid w:val="2C5C3CEE"/>
    <w:rsid w:val="2C7A72BE"/>
    <w:rsid w:val="2C8A7A52"/>
    <w:rsid w:val="2C98410A"/>
    <w:rsid w:val="2C9A7D75"/>
    <w:rsid w:val="2CBC587B"/>
    <w:rsid w:val="2CC17412"/>
    <w:rsid w:val="2CC36AF2"/>
    <w:rsid w:val="2CCB6C14"/>
    <w:rsid w:val="2CD40732"/>
    <w:rsid w:val="2CF350E3"/>
    <w:rsid w:val="2CFD7BC7"/>
    <w:rsid w:val="2CFF7BB9"/>
    <w:rsid w:val="2D04594C"/>
    <w:rsid w:val="2D0A3CA7"/>
    <w:rsid w:val="2D0C5851"/>
    <w:rsid w:val="2D1C1975"/>
    <w:rsid w:val="2D2A7829"/>
    <w:rsid w:val="2D446A9B"/>
    <w:rsid w:val="2D687FE2"/>
    <w:rsid w:val="2D6B7F39"/>
    <w:rsid w:val="2D75404D"/>
    <w:rsid w:val="2DA120C4"/>
    <w:rsid w:val="2DAC6336"/>
    <w:rsid w:val="2DD85E2E"/>
    <w:rsid w:val="2DE53D06"/>
    <w:rsid w:val="2DFE0923"/>
    <w:rsid w:val="2E0A72C8"/>
    <w:rsid w:val="2E1077F1"/>
    <w:rsid w:val="2E3D1FF3"/>
    <w:rsid w:val="2E3F6BB4"/>
    <w:rsid w:val="2E41718B"/>
    <w:rsid w:val="2E5F03A4"/>
    <w:rsid w:val="2E717F8B"/>
    <w:rsid w:val="2E7B6010"/>
    <w:rsid w:val="2E8E1E30"/>
    <w:rsid w:val="2E941A5C"/>
    <w:rsid w:val="2E9976CE"/>
    <w:rsid w:val="2EC66A77"/>
    <w:rsid w:val="2EE424EE"/>
    <w:rsid w:val="2EE5697A"/>
    <w:rsid w:val="2EF52678"/>
    <w:rsid w:val="2F134027"/>
    <w:rsid w:val="2F1342AA"/>
    <w:rsid w:val="2F401D3C"/>
    <w:rsid w:val="2F462266"/>
    <w:rsid w:val="2F5B24E1"/>
    <w:rsid w:val="2F5F0A8E"/>
    <w:rsid w:val="2F704EEA"/>
    <w:rsid w:val="2F8026D7"/>
    <w:rsid w:val="2F885E0A"/>
    <w:rsid w:val="2F8F65C7"/>
    <w:rsid w:val="2F977B28"/>
    <w:rsid w:val="2FA572A9"/>
    <w:rsid w:val="2FA95C88"/>
    <w:rsid w:val="2FC634A2"/>
    <w:rsid w:val="2FC97926"/>
    <w:rsid w:val="2FCB79D4"/>
    <w:rsid w:val="2FD471C0"/>
    <w:rsid w:val="2FDD6FD5"/>
    <w:rsid w:val="2FF9770A"/>
    <w:rsid w:val="30242658"/>
    <w:rsid w:val="302F34A0"/>
    <w:rsid w:val="302F4907"/>
    <w:rsid w:val="303B3107"/>
    <w:rsid w:val="3041370F"/>
    <w:rsid w:val="30506D05"/>
    <w:rsid w:val="30665265"/>
    <w:rsid w:val="306D5836"/>
    <w:rsid w:val="30922B28"/>
    <w:rsid w:val="3097349C"/>
    <w:rsid w:val="3097429D"/>
    <w:rsid w:val="30A3019D"/>
    <w:rsid w:val="30D32298"/>
    <w:rsid w:val="30EC5E2A"/>
    <w:rsid w:val="30ED1946"/>
    <w:rsid w:val="30FE6C63"/>
    <w:rsid w:val="310D525E"/>
    <w:rsid w:val="3113466B"/>
    <w:rsid w:val="311B0A1E"/>
    <w:rsid w:val="31216B3F"/>
    <w:rsid w:val="312B50A3"/>
    <w:rsid w:val="317172BB"/>
    <w:rsid w:val="318E6873"/>
    <w:rsid w:val="319C52FC"/>
    <w:rsid w:val="31B46ACE"/>
    <w:rsid w:val="31D9410F"/>
    <w:rsid w:val="31F32870"/>
    <w:rsid w:val="31F51115"/>
    <w:rsid w:val="32003808"/>
    <w:rsid w:val="320B582E"/>
    <w:rsid w:val="32103FEE"/>
    <w:rsid w:val="32120DF0"/>
    <w:rsid w:val="321A6930"/>
    <w:rsid w:val="322F3820"/>
    <w:rsid w:val="32453A27"/>
    <w:rsid w:val="3263064A"/>
    <w:rsid w:val="3265766A"/>
    <w:rsid w:val="32A43132"/>
    <w:rsid w:val="32AC0C06"/>
    <w:rsid w:val="32AD0CCA"/>
    <w:rsid w:val="32C33CD3"/>
    <w:rsid w:val="33027836"/>
    <w:rsid w:val="33344EF5"/>
    <w:rsid w:val="333659B6"/>
    <w:rsid w:val="335B5D0D"/>
    <w:rsid w:val="335F2223"/>
    <w:rsid w:val="33631548"/>
    <w:rsid w:val="3378161D"/>
    <w:rsid w:val="33802506"/>
    <w:rsid w:val="33A36C73"/>
    <w:rsid w:val="33B22505"/>
    <w:rsid w:val="33E85CE2"/>
    <w:rsid w:val="341D0201"/>
    <w:rsid w:val="34273F04"/>
    <w:rsid w:val="342B0F4F"/>
    <w:rsid w:val="345A2720"/>
    <w:rsid w:val="347B2D6D"/>
    <w:rsid w:val="347F56D3"/>
    <w:rsid w:val="348222AE"/>
    <w:rsid w:val="34A4664B"/>
    <w:rsid w:val="34B52163"/>
    <w:rsid w:val="34BE337F"/>
    <w:rsid w:val="34BF0E0C"/>
    <w:rsid w:val="34C35A6B"/>
    <w:rsid w:val="34D72013"/>
    <w:rsid w:val="34E02B31"/>
    <w:rsid w:val="34EB7D5F"/>
    <w:rsid w:val="34EE1C44"/>
    <w:rsid w:val="34F2382C"/>
    <w:rsid w:val="34FF745B"/>
    <w:rsid w:val="35122B62"/>
    <w:rsid w:val="352C24DC"/>
    <w:rsid w:val="3537750C"/>
    <w:rsid w:val="3537798C"/>
    <w:rsid w:val="357005A7"/>
    <w:rsid w:val="357A579A"/>
    <w:rsid w:val="358E312C"/>
    <w:rsid w:val="35C13FC9"/>
    <w:rsid w:val="35E5632B"/>
    <w:rsid w:val="35E91989"/>
    <w:rsid w:val="35EF4FE4"/>
    <w:rsid w:val="36085EA6"/>
    <w:rsid w:val="36266D8A"/>
    <w:rsid w:val="36293A22"/>
    <w:rsid w:val="364257B6"/>
    <w:rsid w:val="36543163"/>
    <w:rsid w:val="368456EC"/>
    <w:rsid w:val="36912212"/>
    <w:rsid w:val="369E4AB8"/>
    <w:rsid w:val="36AC43D6"/>
    <w:rsid w:val="36EE4695"/>
    <w:rsid w:val="3705788F"/>
    <w:rsid w:val="3722747D"/>
    <w:rsid w:val="3724059E"/>
    <w:rsid w:val="374714A4"/>
    <w:rsid w:val="374E4FB2"/>
    <w:rsid w:val="37725F65"/>
    <w:rsid w:val="377261A3"/>
    <w:rsid w:val="37734E19"/>
    <w:rsid w:val="379C5D4E"/>
    <w:rsid w:val="37AE3719"/>
    <w:rsid w:val="37D25817"/>
    <w:rsid w:val="37DE378C"/>
    <w:rsid w:val="37EA5922"/>
    <w:rsid w:val="37F87887"/>
    <w:rsid w:val="380C2E7F"/>
    <w:rsid w:val="38134D6C"/>
    <w:rsid w:val="38276B93"/>
    <w:rsid w:val="384D3BF2"/>
    <w:rsid w:val="386012D7"/>
    <w:rsid w:val="386A2AA2"/>
    <w:rsid w:val="386E11A3"/>
    <w:rsid w:val="38736485"/>
    <w:rsid w:val="389430F0"/>
    <w:rsid w:val="389B749B"/>
    <w:rsid w:val="38AC3431"/>
    <w:rsid w:val="38B20617"/>
    <w:rsid w:val="38C26745"/>
    <w:rsid w:val="38CD0AA7"/>
    <w:rsid w:val="38E67108"/>
    <w:rsid w:val="38F06097"/>
    <w:rsid w:val="38FE35D2"/>
    <w:rsid w:val="391A244B"/>
    <w:rsid w:val="39226DE8"/>
    <w:rsid w:val="392B5731"/>
    <w:rsid w:val="392F2E16"/>
    <w:rsid w:val="39406F09"/>
    <w:rsid w:val="39791C92"/>
    <w:rsid w:val="398D343A"/>
    <w:rsid w:val="399C796E"/>
    <w:rsid w:val="399F26CE"/>
    <w:rsid w:val="39AC2870"/>
    <w:rsid w:val="39B40ED3"/>
    <w:rsid w:val="39B503F5"/>
    <w:rsid w:val="39B614C9"/>
    <w:rsid w:val="39D94185"/>
    <w:rsid w:val="39E00529"/>
    <w:rsid w:val="39E359C2"/>
    <w:rsid w:val="39E9733C"/>
    <w:rsid w:val="3A0B6254"/>
    <w:rsid w:val="3A0B64A7"/>
    <w:rsid w:val="3A106F28"/>
    <w:rsid w:val="3A205374"/>
    <w:rsid w:val="3A2F182B"/>
    <w:rsid w:val="3A36312B"/>
    <w:rsid w:val="3A3B5CDC"/>
    <w:rsid w:val="3A520B7E"/>
    <w:rsid w:val="3A574DDA"/>
    <w:rsid w:val="3A824DB6"/>
    <w:rsid w:val="3A8A1360"/>
    <w:rsid w:val="3AAD0FC0"/>
    <w:rsid w:val="3AAE0666"/>
    <w:rsid w:val="3ABA15C8"/>
    <w:rsid w:val="3AD3075A"/>
    <w:rsid w:val="3AD5142D"/>
    <w:rsid w:val="3AD71232"/>
    <w:rsid w:val="3AF74C02"/>
    <w:rsid w:val="3B0B739D"/>
    <w:rsid w:val="3B631610"/>
    <w:rsid w:val="3B6620EF"/>
    <w:rsid w:val="3B70641D"/>
    <w:rsid w:val="3B8D51E8"/>
    <w:rsid w:val="3B954BE0"/>
    <w:rsid w:val="3B9F1620"/>
    <w:rsid w:val="3BB84161"/>
    <w:rsid w:val="3C0059A5"/>
    <w:rsid w:val="3C134E78"/>
    <w:rsid w:val="3C1478ED"/>
    <w:rsid w:val="3C15518D"/>
    <w:rsid w:val="3C33057E"/>
    <w:rsid w:val="3C334EAF"/>
    <w:rsid w:val="3C3D49BD"/>
    <w:rsid w:val="3C6D16C6"/>
    <w:rsid w:val="3C921FB2"/>
    <w:rsid w:val="3C9E1EBC"/>
    <w:rsid w:val="3CF52957"/>
    <w:rsid w:val="3CFB4EF6"/>
    <w:rsid w:val="3D041A5E"/>
    <w:rsid w:val="3D112570"/>
    <w:rsid w:val="3D147205"/>
    <w:rsid w:val="3D245BF8"/>
    <w:rsid w:val="3D2E6923"/>
    <w:rsid w:val="3D331671"/>
    <w:rsid w:val="3D506996"/>
    <w:rsid w:val="3D5750A4"/>
    <w:rsid w:val="3D67163F"/>
    <w:rsid w:val="3D6871A7"/>
    <w:rsid w:val="3D817764"/>
    <w:rsid w:val="3D873FCE"/>
    <w:rsid w:val="3D983056"/>
    <w:rsid w:val="3DAA2E5B"/>
    <w:rsid w:val="3DCF09F5"/>
    <w:rsid w:val="3DD02227"/>
    <w:rsid w:val="3DEC7285"/>
    <w:rsid w:val="3DEE1C47"/>
    <w:rsid w:val="3DF6345D"/>
    <w:rsid w:val="3E154007"/>
    <w:rsid w:val="3E1B3CD2"/>
    <w:rsid w:val="3E2B5515"/>
    <w:rsid w:val="3E3E5EF1"/>
    <w:rsid w:val="3E4D4F28"/>
    <w:rsid w:val="3E807162"/>
    <w:rsid w:val="3E9E2AE3"/>
    <w:rsid w:val="3EB11AC7"/>
    <w:rsid w:val="3EC9706E"/>
    <w:rsid w:val="3ED818CD"/>
    <w:rsid w:val="3EE13701"/>
    <w:rsid w:val="3EE25742"/>
    <w:rsid w:val="3EE43BF5"/>
    <w:rsid w:val="3EF45B57"/>
    <w:rsid w:val="3F143EEF"/>
    <w:rsid w:val="3F144FB4"/>
    <w:rsid w:val="3F1A4BB3"/>
    <w:rsid w:val="3F445833"/>
    <w:rsid w:val="3F4A64D9"/>
    <w:rsid w:val="3F60225A"/>
    <w:rsid w:val="3F696AC6"/>
    <w:rsid w:val="3F6C7FEC"/>
    <w:rsid w:val="3F6E1561"/>
    <w:rsid w:val="3F714C59"/>
    <w:rsid w:val="3F934E86"/>
    <w:rsid w:val="3FAB4D77"/>
    <w:rsid w:val="3FC719DE"/>
    <w:rsid w:val="3FD8512D"/>
    <w:rsid w:val="3FE32ECE"/>
    <w:rsid w:val="3FE47979"/>
    <w:rsid w:val="3FF317AE"/>
    <w:rsid w:val="3FFA2455"/>
    <w:rsid w:val="3FFA32B3"/>
    <w:rsid w:val="400032BE"/>
    <w:rsid w:val="4003034F"/>
    <w:rsid w:val="40192BA6"/>
    <w:rsid w:val="401F2287"/>
    <w:rsid w:val="402C58F5"/>
    <w:rsid w:val="40484D68"/>
    <w:rsid w:val="404E1296"/>
    <w:rsid w:val="40565775"/>
    <w:rsid w:val="40741400"/>
    <w:rsid w:val="40760923"/>
    <w:rsid w:val="40761BDC"/>
    <w:rsid w:val="40963BF6"/>
    <w:rsid w:val="40991CAB"/>
    <w:rsid w:val="40B15F11"/>
    <w:rsid w:val="40BE68D5"/>
    <w:rsid w:val="40D43427"/>
    <w:rsid w:val="41071387"/>
    <w:rsid w:val="41076015"/>
    <w:rsid w:val="410A1661"/>
    <w:rsid w:val="41184017"/>
    <w:rsid w:val="412546F1"/>
    <w:rsid w:val="41301D39"/>
    <w:rsid w:val="4134271F"/>
    <w:rsid w:val="413D6CFA"/>
    <w:rsid w:val="4151394D"/>
    <w:rsid w:val="415560AD"/>
    <w:rsid w:val="41766EA9"/>
    <w:rsid w:val="41775EB3"/>
    <w:rsid w:val="41D447E8"/>
    <w:rsid w:val="41D723FB"/>
    <w:rsid w:val="42145CCA"/>
    <w:rsid w:val="423035D9"/>
    <w:rsid w:val="42384DC8"/>
    <w:rsid w:val="42550A18"/>
    <w:rsid w:val="427B1BBB"/>
    <w:rsid w:val="42834F1E"/>
    <w:rsid w:val="428B06E2"/>
    <w:rsid w:val="428E0F52"/>
    <w:rsid w:val="429D496A"/>
    <w:rsid w:val="42A242E1"/>
    <w:rsid w:val="42CC751E"/>
    <w:rsid w:val="42E0276A"/>
    <w:rsid w:val="42EB6093"/>
    <w:rsid w:val="42F4215A"/>
    <w:rsid w:val="42F473A1"/>
    <w:rsid w:val="42F80FA5"/>
    <w:rsid w:val="42FD62EC"/>
    <w:rsid w:val="4303524A"/>
    <w:rsid w:val="4305361D"/>
    <w:rsid w:val="430C6978"/>
    <w:rsid w:val="431816E6"/>
    <w:rsid w:val="431C26D3"/>
    <w:rsid w:val="431F637C"/>
    <w:rsid w:val="4340622C"/>
    <w:rsid w:val="4344562F"/>
    <w:rsid w:val="434E3AB8"/>
    <w:rsid w:val="43537F8A"/>
    <w:rsid w:val="43DA64B8"/>
    <w:rsid w:val="44104A41"/>
    <w:rsid w:val="44107EE3"/>
    <w:rsid w:val="441129BA"/>
    <w:rsid w:val="441E62C0"/>
    <w:rsid w:val="44406167"/>
    <w:rsid w:val="445615DF"/>
    <w:rsid w:val="448D4A83"/>
    <w:rsid w:val="44967985"/>
    <w:rsid w:val="44974521"/>
    <w:rsid w:val="44AE4395"/>
    <w:rsid w:val="44AF3BAD"/>
    <w:rsid w:val="44C03DC7"/>
    <w:rsid w:val="44EB1ADD"/>
    <w:rsid w:val="44F066C6"/>
    <w:rsid w:val="44FB65C3"/>
    <w:rsid w:val="45192471"/>
    <w:rsid w:val="451F3174"/>
    <w:rsid w:val="451F438B"/>
    <w:rsid w:val="452F1A92"/>
    <w:rsid w:val="45303661"/>
    <w:rsid w:val="45325D14"/>
    <w:rsid w:val="454F4D0B"/>
    <w:rsid w:val="455449DD"/>
    <w:rsid w:val="456A5852"/>
    <w:rsid w:val="45732385"/>
    <w:rsid w:val="45811C7C"/>
    <w:rsid w:val="45906116"/>
    <w:rsid w:val="45A0305D"/>
    <w:rsid w:val="45A03571"/>
    <w:rsid w:val="45A22835"/>
    <w:rsid w:val="45A3752C"/>
    <w:rsid w:val="45F51AEF"/>
    <w:rsid w:val="45FB36B1"/>
    <w:rsid w:val="460B016C"/>
    <w:rsid w:val="46345C9D"/>
    <w:rsid w:val="465A46A3"/>
    <w:rsid w:val="46830E83"/>
    <w:rsid w:val="468B220E"/>
    <w:rsid w:val="468B3EFB"/>
    <w:rsid w:val="46C54123"/>
    <w:rsid w:val="46D22C21"/>
    <w:rsid w:val="46D5130D"/>
    <w:rsid w:val="46E15B1B"/>
    <w:rsid w:val="47061EB6"/>
    <w:rsid w:val="470A6193"/>
    <w:rsid w:val="471909B6"/>
    <w:rsid w:val="471B4E2C"/>
    <w:rsid w:val="47385210"/>
    <w:rsid w:val="474D5830"/>
    <w:rsid w:val="475C3001"/>
    <w:rsid w:val="47690E29"/>
    <w:rsid w:val="477626C0"/>
    <w:rsid w:val="479A5F27"/>
    <w:rsid w:val="47A837E0"/>
    <w:rsid w:val="47C337F0"/>
    <w:rsid w:val="47CA6E64"/>
    <w:rsid w:val="47D31E5D"/>
    <w:rsid w:val="47DC4F5C"/>
    <w:rsid w:val="47DD36B3"/>
    <w:rsid w:val="48192084"/>
    <w:rsid w:val="481C7304"/>
    <w:rsid w:val="482C0320"/>
    <w:rsid w:val="482C6A5C"/>
    <w:rsid w:val="484C5484"/>
    <w:rsid w:val="485B79F5"/>
    <w:rsid w:val="48976008"/>
    <w:rsid w:val="48A40158"/>
    <w:rsid w:val="48B40671"/>
    <w:rsid w:val="48F73DFC"/>
    <w:rsid w:val="48F8514C"/>
    <w:rsid w:val="490D112E"/>
    <w:rsid w:val="490E4D0A"/>
    <w:rsid w:val="49385E92"/>
    <w:rsid w:val="493C2711"/>
    <w:rsid w:val="495664BB"/>
    <w:rsid w:val="499B5738"/>
    <w:rsid w:val="499F244D"/>
    <w:rsid w:val="49A73ABE"/>
    <w:rsid w:val="49CC7372"/>
    <w:rsid w:val="49D92C0D"/>
    <w:rsid w:val="4A01178D"/>
    <w:rsid w:val="4A0B3470"/>
    <w:rsid w:val="4A0C2D29"/>
    <w:rsid w:val="4A105051"/>
    <w:rsid w:val="4A251DC3"/>
    <w:rsid w:val="4A254E81"/>
    <w:rsid w:val="4A2D0198"/>
    <w:rsid w:val="4A420EE7"/>
    <w:rsid w:val="4A7705FE"/>
    <w:rsid w:val="4A814A28"/>
    <w:rsid w:val="4A973F3F"/>
    <w:rsid w:val="4A9F387C"/>
    <w:rsid w:val="4AA20B5D"/>
    <w:rsid w:val="4AE6282E"/>
    <w:rsid w:val="4AF4108E"/>
    <w:rsid w:val="4AF50338"/>
    <w:rsid w:val="4AF57CD3"/>
    <w:rsid w:val="4AF96BC7"/>
    <w:rsid w:val="4B074F1C"/>
    <w:rsid w:val="4B196F78"/>
    <w:rsid w:val="4B203103"/>
    <w:rsid w:val="4B32607A"/>
    <w:rsid w:val="4B453FC7"/>
    <w:rsid w:val="4B464533"/>
    <w:rsid w:val="4B496045"/>
    <w:rsid w:val="4B545C08"/>
    <w:rsid w:val="4B5A416B"/>
    <w:rsid w:val="4B667F55"/>
    <w:rsid w:val="4B726781"/>
    <w:rsid w:val="4B7A557E"/>
    <w:rsid w:val="4B7C6990"/>
    <w:rsid w:val="4B862A85"/>
    <w:rsid w:val="4B8B200B"/>
    <w:rsid w:val="4B8B3459"/>
    <w:rsid w:val="4B98008D"/>
    <w:rsid w:val="4B9C6BB6"/>
    <w:rsid w:val="4BAC4867"/>
    <w:rsid w:val="4BAC6A7C"/>
    <w:rsid w:val="4BCB6612"/>
    <w:rsid w:val="4BD755BD"/>
    <w:rsid w:val="4BF417D4"/>
    <w:rsid w:val="4BF92147"/>
    <w:rsid w:val="4BFE1C3A"/>
    <w:rsid w:val="4BFF2F9E"/>
    <w:rsid w:val="4C0253BF"/>
    <w:rsid w:val="4C166B58"/>
    <w:rsid w:val="4C211F55"/>
    <w:rsid w:val="4C3A28DD"/>
    <w:rsid w:val="4C4130B0"/>
    <w:rsid w:val="4C5032F1"/>
    <w:rsid w:val="4C8018E7"/>
    <w:rsid w:val="4C8624FC"/>
    <w:rsid w:val="4C8A38D4"/>
    <w:rsid w:val="4C8F6EBF"/>
    <w:rsid w:val="4C96021E"/>
    <w:rsid w:val="4C9C27CC"/>
    <w:rsid w:val="4CA20A24"/>
    <w:rsid w:val="4CB755B1"/>
    <w:rsid w:val="4CDF4B22"/>
    <w:rsid w:val="4CE74F4D"/>
    <w:rsid w:val="4CEF36E2"/>
    <w:rsid w:val="4CEF4DC5"/>
    <w:rsid w:val="4CF25996"/>
    <w:rsid w:val="4D171C3B"/>
    <w:rsid w:val="4D196F3B"/>
    <w:rsid w:val="4D482BAA"/>
    <w:rsid w:val="4D4873F2"/>
    <w:rsid w:val="4D54264D"/>
    <w:rsid w:val="4D564B5A"/>
    <w:rsid w:val="4D6A5813"/>
    <w:rsid w:val="4D8307EA"/>
    <w:rsid w:val="4D922FBD"/>
    <w:rsid w:val="4D9A766C"/>
    <w:rsid w:val="4DA62246"/>
    <w:rsid w:val="4DC17B81"/>
    <w:rsid w:val="4DC26B79"/>
    <w:rsid w:val="4DD71014"/>
    <w:rsid w:val="4DEE41E3"/>
    <w:rsid w:val="4DF2192A"/>
    <w:rsid w:val="4DF71805"/>
    <w:rsid w:val="4E083C5D"/>
    <w:rsid w:val="4E17231F"/>
    <w:rsid w:val="4E257655"/>
    <w:rsid w:val="4E505C66"/>
    <w:rsid w:val="4E651B46"/>
    <w:rsid w:val="4E785AA0"/>
    <w:rsid w:val="4E8812BF"/>
    <w:rsid w:val="4E8B4332"/>
    <w:rsid w:val="4E8E7871"/>
    <w:rsid w:val="4EB3133C"/>
    <w:rsid w:val="4EB435F1"/>
    <w:rsid w:val="4EBE75B1"/>
    <w:rsid w:val="4EC4406A"/>
    <w:rsid w:val="4EDE684E"/>
    <w:rsid w:val="4EF86E3C"/>
    <w:rsid w:val="4F06089E"/>
    <w:rsid w:val="4F06496B"/>
    <w:rsid w:val="4F091C95"/>
    <w:rsid w:val="4F0C1AC6"/>
    <w:rsid w:val="4F0F551A"/>
    <w:rsid w:val="4F127C58"/>
    <w:rsid w:val="4F372380"/>
    <w:rsid w:val="4F372FFB"/>
    <w:rsid w:val="4F71142E"/>
    <w:rsid w:val="4F7A6CA5"/>
    <w:rsid w:val="4FA7341A"/>
    <w:rsid w:val="4FC04D37"/>
    <w:rsid w:val="4FE34F88"/>
    <w:rsid w:val="4FEF4AC6"/>
    <w:rsid w:val="50054B0D"/>
    <w:rsid w:val="5025116D"/>
    <w:rsid w:val="503A3A57"/>
    <w:rsid w:val="503D7DBA"/>
    <w:rsid w:val="504B134F"/>
    <w:rsid w:val="505B6CA9"/>
    <w:rsid w:val="506F403E"/>
    <w:rsid w:val="507765E7"/>
    <w:rsid w:val="508F56DF"/>
    <w:rsid w:val="50BF67C9"/>
    <w:rsid w:val="50C56222"/>
    <w:rsid w:val="50ED7CC8"/>
    <w:rsid w:val="50F06158"/>
    <w:rsid w:val="50FB62A0"/>
    <w:rsid w:val="51140890"/>
    <w:rsid w:val="511E0283"/>
    <w:rsid w:val="512B716F"/>
    <w:rsid w:val="513E6AA2"/>
    <w:rsid w:val="516623C4"/>
    <w:rsid w:val="5196363A"/>
    <w:rsid w:val="51984A67"/>
    <w:rsid w:val="51A2270F"/>
    <w:rsid w:val="51B05107"/>
    <w:rsid w:val="51D32DF1"/>
    <w:rsid w:val="51DA39DC"/>
    <w:rsid w:val="51E0241A"/>
    <w:rsid w:val="51F1394A"/>
    <w:rsid w:val="522024E6"/>
    <w:rsid w:val="52314419"/>
    <w:rsid w:val="52395ECD"/>
    <w:rsid w:val="52567130"/>
    <w:rsid w:val="52682095"/>
    <w:rsid w:val="526D4E29"/>
    <w:rsid w:val="52735E8B"/>
    <w:rsid w:val="527F1783"/>
    <w:rsid w:val="52820969"/>
    <w:rsid w:val="52B44696"/>
    <w:rsid w:val="52BD3C89"/>
    <w:rsid w:val="52C10D75"/>
    <w:rsid w:val="52CA1D4B"/>
    <w:rsid w:val="52D55821"/>
    <w:rsid w:val="52E42D94"/>
    <w:rsid w:val="52EB2FB5"/>
    <w:rsid w:val="52F01FD5"/>
    <w:rsid w:val="53285A20"/>
    <w:rsid w:val="532E4021"/>
    <w:rsid w:val="53655BA8"/>
    <w:rsid w:val="536A5F90"/>
    <w:rsid w:val="53A65519"/>
    <w:rsid w:val="53C27FF8"/>
    <w:rsid w:val="53C979DA"/>
    <w:rsid w:val="53EC03B2"/>
    <w:rsid w:val="54162C20"/>
    <w:rsid w:val="54185E47"/>
    <w:rsid w:val="541D7C39"/>
    <w:rsid w:val="544E00F4"/>
    <w:rsid w:val="546348CC"/>
    <w:rsid w:val="546D0EBC"/>
    <w:rsid w:val="5475679C"/>
    <w:rsid w:val="548E485C"/>
    <w:rsid w:val="549E1A80"/>
    <w:rsid w:val="54AB108A"/>
    <w:rsid w:val="54B51E36"/>
    <w:rsid w:val="54C658F4"/>
    <w:rsid w:val="54C87878"/>
    <w:rsid w:val="54CB45B1"/>
    <w:rsid w:val="54E0494C"/>
    <w:rsid w:val="54E171CD"/>
    <w:rsid w:val="54EB51B1"/>
    <w:rsid w:val="54ED7789"/>
    <w:rsid w:val="550C4BD7"/>
    <w:rsid w:val="552E2F95"/>
    <w:rsid w:val="55322669"/>
    <w:rsid w:val="5539470A"/>
    <w:rsid w:val="554C1D56"/>
    <w:rsid w:val="55572986"/>
    <w:rsid w:val="555761AA"/>
    <w:rsid w:val="555E236D"/>
    <w:rsid w:val="559F3252"/>
    <w:rsid w:val="55A1129D"/>
    <w:rsid w:val="55A82C22"/>
    <w:rsid w:val="55B2588A"/>
    <w:rsid w:val="55C062DD"/>
    <w:rsid w:val="55E301A5"/>
    <w:rsid w:val="5607446A"/>
    <w:rsid w:val="56081243"/>
    <w:rsid w:val="561C2CD2"/>
    <w:rsid w:val="56222B52"/>
    <w:rsid w:val="56330E85"/>
    <w:rsid w:val="565340FA"/>
    <w:rsid w:val="565965B7"/>
    <w:rsid w:val="565A053D"/>
    <w:rsid w:val="565C3ECA"/>
    <w:rsid w:val="56636EEC"/>
    <w:rsid w:val="56790914"/>
    <w:rsid w:val="569A7860"/>
    <w:rsid w:val="56B25952"/>
    <w:rsid w:val="56B91708"/>
    <w:rsid w:val="56CE500E"/>
    <w:rsid w:val="56E11A6F"/>
    <w:rsid w:val="56EA79B4"/>
    <w:rsid w:val="56FC3910"/>
    <w:rsid w:val="56FC519F"/>
    <w:rsid w:val="57193F55"/>
    <w:rsid w:val="571B3688"/>
    <w:rsid w:val="571F4860"/>
    <w:rsid w:val="57224417"/>
    <w:rsid w:val="5723343E"/>
    <w:rsid w:val="57244C4C"/>
    <w:rsid w:val="572A4F61"/>
    <w:rsid w:val="572B6870"/>
    <w:rsid w:val="573D7EAB"/>
    <w:rsid w:val="57577C96"/>
    <w:rsid w:val="576E72F2"/>
    <w:rsid w:val="578057C8"/>
    <w:rsid w:val="578231ED"/>
    <w:rsid w:val="57856002"/>
    <w:rsid w:val="57A148B7"/>
    <w:rsid w:val="57AA18F7"/>
    <w:rsid w:val="57BD1D8F"/>
    <w:rsid w:val="57C26BEF"/>
    <w:rsid w:val="57D91936"/>
    <w:rsid w:val="57DD34B9"/>
    <w:rsid w:val="57E6392C"/>
    <w:rsid w:val="57F706C9"/>
    <w:rsid w:val="57FD3876"/>
    <w:rsid w:val="58017793"/>
    <w:rsid w:val="581E6DC2"/>
    <w:rsid w:val="58685C59"/>
    <w:rsid w:val="58697500"/>
    <w:rsid w:val="58803566"/>
    <w:rsid w:val="58843841"/>
    <w:rsid w:val="5891308F"/>
    <w:rsid w:val="589236B1"/>
    <w:rsid w:val="58C06A9A"/>
    <w:rsid w:val="58C86B99"/>
    <w:rsid w:val="58CE0DF1"/>
    <w:rsid w:val="5904102E"/>
    <w:rsid w:val="59062048"/>
    <w:rsid w:val="590A564B"/>
    <w:rsid w:val="59157DD8"/>
    <w:rsid w:val="593504AF"/>
    <w:rsid w:val="59415D84"/>
    <w:rsid w:val="594D2B53"/>
    <w:rsid w:val="595B377D"/>
    <w:rsid w:val="59607768"/>
    <w:rsid w:val="59655BB7"/>
    <w:rsid w:val="59682C0E"/>
    <w:rsid w:val="596C209A"/>
    <w:rsid w:val="598813E0"/>
    <w:rsid w:val="5999679A"/>
    <w:rsid w:val="599C38F2"/>
    <w:rsid w:val="59A03BB4"/>
    <w:rsid w:val="59AA0FB1"/>
    <w:rsid w:val="59B91F8C"/>
    <w:rsid w:val="59EF6A42"/>
    <w:rsid w:val="59F20EF7"/>
    <w:rsid w:val="5A2F2CC8"/>
    <w:rsid w:val="5A487F66"/>
    <w:rsid w:val="5A673F93"/>
    <w:rsid w:val="5A682917"/>
    <w:rsid w:val="5A723722"/>
    <w:rsid w:val="5AAA4EE2"/>
    <w:rsid w:val="5AC95C92"/>
    <w:rsid w:val="5AD00FA7"/>
    <w:rsid w:val="5B0867BA"/>
    <w:rsid w:val="5B12588A"/>
    <w:rsid w:val="5B2561DF"/>
    <w:rsid w:val="5B436D5A"/>
    <w:rsid w:val="5B487697"/>
    <w:rsid w:val="5B570637"/>
    <w:rsid w:val="5B79092D"/>
    <w:rsid w:val="5B7F28A2"/>
    <w:rsid w:val="5B8823CD"/>
    <w:rsid w:val="5B9C3F03"/>
    <w:rsid w:val="5BA26962"/>
    <w:rsid w:val="5BA85879"/>
    <w:rsid w:val="5BB7337B"/>
    <w:rsid w:val="5BC1259B"/>
    <w:rsid w:val="5BD06608"/>
    <w:rsid w:val="5BED2739"/>
    <w:rsid w:val="5BF53D56"/>
    <w:rsid w:val="5C10702D"/>
    <w:rsid w:val="5C14136F"/>
    <w:rsid w:val="5C152601"/>
    <w:rsid w:val="5C20614F"/>
    <w:rsid w:val="5C2A0EF0"/>
    <w:rsid w:val="5C31018E"/>
    <w:rsid w:val="5C33467C"/>
    <w:rsid w:val="5C447CC6"/>
    <w:rsid w:val="5C591F03"/>
    <w:rsid w:val="5C723E18"/>
    <w:rsid w:val="5C8A1B2F"/>
    <w:rsid w:val="5C96399E"/>
    <w:rsid w:val="5C9D73D6"/>
    <w:rsid w:val="5CAF3DCD"/>
    <w:rsid w:val="5CB551AD"/>
    <w:rsid w:val="5CE40F22"/>
    <w:rsid w:val="5CF61922"/>
    <w:rsid w:val="5D011B9D"/>
    <w:rsid w:val="5D0250CC"/>
    <w:rsid w:val="5D0442B4"/>
    <w:rsid w:val="5D134DB5"/>
    <w:rsid w:val="5D2C1215"/>
    <w:rsid w:val="5D3D63DE"/>
    <w:rsid w:val="5D857790"/>
    <w:rsid w:val="5D861815"/>
    <w:rsid w:val="5D8936D2"/>
    <w:rsid w:val="5D914004"/>
    <w:rsid w:val="5DA210CD"/>
    <w:rsid w:val="5DD655DD"/>
    <w:rsid w:val="5DD70790"/>
    <w:rsid w:val="5DD80331"/>
    <w:rsid w:val="5DD9032B"/>
    <w:rsid w:val="5DD95E29"/>
    <w:rsid w:val="5DDD16DD"/>
    <w:rsid w:val="5DEC585C"/>
    <w:rsid w:val="5DF41766"/>
    <w:rsid w:val="5E015F08"/>
    <w:rsid w:val="5E1A78F0"/>
    <w:rsid w:val="5E4151A2"/>
    <w:rsid w:val="5E436E75"/>
    <w:rsid w:val="5E61017B"/>
    <w:rsid w:val="5E615889"/>
    <w:rsid w:val="5E727AB0"/>
    <w:rsid w:val="5E847BF7"/>
    <w:rsid w:val="5EC8520A"/>
    <w:rsid w:val="5ECB3906"/>
    <w:rsid w:val="5ED5506D"/>
    <w:rsid w:val="5F0341A4"/>
    <w:rsid w:val="5F174D94"/>
    <w:rsid w:val="5F4F5E24"/>
    <w:rsid w:val="5F561B72"/>
    <w:rsid w:val="5F6B08B1"/>
    <w:rsid w:val="5F6F4489"/>
    <w:rsid w:val="5F724A0B"/>
    <w:rsid w:val="5F811AD3"/>
    <w:rsid w:val="5F8E3288"/>
    <w:rsid w:val="5F92448C"/>
    <w:rsid w:val="5FA13309"/>
    <w:rsid w:val="5FA71D36"/>
    <w:rsid w:val="5FB40CBE"/>
    <w:rsid w:val="5FD27396"/>
    <w:rsid w:val="5FE00927"/>
    <w:rsid w:val="5FE24EDD"/>
    <w:rsid w:val="5FE437FC"/>
    <w:rsid w:val="5FED0446"/>
    <w:rsid w:val="5FF26ACA"/>
    <w:rsid w:val="5FF4555F"/>
    <w:rsid w:val="5FF87C07"/>
    <w:rsid w:val="60014470"/>
    <w:rsid w:val="603E60FC"/>
    <w:rsid w:val="60504C82"/>
    <w:rsid w:val="606007BB"/>
    <w:rsid w:val="606163EC"/>
    <w:rsid w:val="606F2C4E"/>
    <w:rsid w:val="60782176"/>
    <w:rsid w:val="608E10F9"/>
    <w:rsid w:val="609A3350"/>
    <w:rsid w:val="60AC7F66"/>
    <w:rsid w:val="60C13070"/>
    <w:rsid w:val="60C5514D"/>
    <w:rsid w:val="610D1F57"/>
    <w:rsid w:val="611E12A8"/>
    <w:rsid w:val="61226064"/>
    <w:rsid w:val="6138643E"/>
    <w:rsid w:val="6142054C"/>
    <w:rsid w:val="61497909"/>
    <w:rsid w:val="614F0CAD"/>
    <w:rsid w:val="616B3412"/>
    <w:rsid w:val="61824E34"/>
    <w:rsid w:val="6189448A"/>
    <w:rsid w:val="61A60708"/>
    <w:rsid w:val="61A66546"/>
    <w:rsid w:val="61AF107F"/>
    <w:rsid w:val="61BD42A4"/>
    <w:rsid w:val="61BF10D9"/>
    <w:rsid w:val="61DA3D4C"/>
    <w:rsid w:val="61E04A03"/>
    <w:rsid w:val="61F215C9"/>
    <w:rsid w:val="62513057"/>
    <w:rsid w:val="625A457B"/>
    <w:rsid w:val="625C7C47"/>
    <w:rsid w:val="6265481D"/>
    <w:rsid w:val="626A5412"/>
    <w:rsid w:val="62AC22DC"/>
    <w:rsid w:val="62BF2D76"/>
    <w:rsid w:val="62D51E7D"/>
    <w:rsid w:val="62F964B2"/>
    <w:rsid w:val="62FA4283"/>
    <w:rsid w:val="630871F9"/>
    <w:rsid w:val="630A6917"/>
    <w:rsid w:val="63177FBC"/>
    <w:rsid w:val="63312626"/>
    <w:rsid w:val="633E67A6"/>
    <w:rsid w:val="635251C8"/>
    <w:rsid w:val="635A3E88"/>
    <w:rsid w:val="635C1FFD"/>
    <w:rsid w:val="63606311"/>
    <w:rsid w:val="63607FA4"/>
    <w:rsid w:val="63724593"/>
    <w:rsid w:val="63754B89"/>
    <w:rsid w:val="637833E8"/>
    <w:rsid w:val="63790487"/>
    <w:rsid w:val="63CA76FC"/>
    <w:rsid w:val="63DE0947"/>
    <w:rsid w:val="63F14628"/>
    <w:rsid w:val="63F30799"/>
    <w:rsid w:val="63FB0133"/>
    <w:rsid w:val="64461A82"/>
    <w:rsid w:val="64481274"/>
    <w:rsid w:val="648743E5"/>
    <w:rsid w:val="64B10E28"/>
    <w:rsid w:val="64BB10E5"/>
    <w:rsid w:val="64C210FC"/>
    <w:rsid w:val="64CE15B4"/>
    <w:rsid w:val="64D8014C"/>
    <w:rsid w:val="64E45EF7"/>
    <w:rsid w:val="64EC4ACA"/>
    <w:rsid w:val="650B71C5"/>
    <w:rsid w:val="651240A3"/>
    <w:rsid w:val="6528541A"/>
    <w:rsid w:val="6529779B"/>
    <w:rsid w:val="65403AFE"/>
    <w:rsid w:val="6544472C"/>
    <w:rsid w:val="65465871"/>
    <w:rsid w:val="654866C3"/>
    <w:rsid w:val="654E2D83"/>
    <w:rsid w:val="65525C85"/>
    <w:rsid w:val="6555098E"/>
    <w:rsid w:val="655F5BC5"/>
    <w:rsid w:val="657D276F"/>
    <w:rsid w:val="65BE6EA4"/>
    <w:rsid w:val="65D90229"/>
    <w:rsid w:val="65EF440F"/>
    <w:rsid w:val="66027F94"/>
    <w:rsid w:val="66061B48"/>
    <w:rsid w:val="661F70AE"/>
    <w:rsid w:val="6630196A"/>
    <w:rsid w:val="66486604"/>
    <w:rsid w:val="665253D0"/>
    <w:rsid w:val="66873275"/>
    <w:rsid w:val="6691014E"/>
    <w:rsid w:val="66B41BEA"/>
    <w:rsid w:val="66C87CCE"/>
    <w:rsid w:val="66E73D86"/>
    <w:rsid w:val="66FB490A"/>
    <w:rsid w:val="673D69D3"/>
    <w:rsid w:val="67592253"/>
    <w:rsid w:val="6771342A"/>
    <w:rsid w:val="677435B2"/>
    <w:rsid w:val="6779688C"/>
    <w:rsid w:val="677D408C"/>
    <w:rsid w:val="67814D8C"/>
    <w:rsid w:val="678801E7"/>
    <w:rsid w:val="678D2EAE"/>
    <w:rsid w:val="679C4B21"/>
    <w:rsid w:val="67DF4560"/>
    <w:rsid w:val="67E35B9E"/>
    <w:rsid w:val="67EF75F1"/>
    <w:rsid w:val="67F323FA"/>
    <w:rsid w:val="67FC35EF"/>
    <w:rsid w:val="682062DD"/>
    <w:rsid w:val="68327BBE"/>
    <w:rsid w:val="683F1534"/>
    <w:rsid w:val="68447FFB"/>
    <w:rsid w:val="687D273A"/>
    <w:rsid w:val="689736F8"/>
    <w:rsid w:val="68B35F15"/>
    <w:rsid w:val="68DB3760"/>
    <w:rsid w:val="69124F16"/>
    <w:rsid w:val="69280117"/>
    <w:rsid w:val="693022D8"/>
    <w:rsid w:val="694A5205"/>
    <w:rsid w:val="69511EBD"/>
    <w:rsid w:val="697274F4"/>
    <w:rsid w:val="697F24B1"/>
    <w:rsid w:val="698435AB"/>
    <w:rsid w:val="699616A8"/>
    <w:rsid w:val="69AD518D"/>
    <w:rsid w:val="69CD5C14"/>
    <w:rsid w:val="69CF0D33"/>
    <w:rsid w:val="69D8686C"/>
    <w:rsid w:val="69D96AC3"/>
    <w:rsid w:val="69F567A0"/>
    <w:rsid w:val="6A0717FD"/>
    <w:rsid w:val="6A1A7186"/>
    <w:rsid w:val="6A36068B"/>
    <w:rsid w:val="6A425452"/>
    <w:rsid w:val="6A434A35"/>
    <w:rsid w:val="6A4B2209"/>
    <w:rsid w:val="6A4B7770"/>
    <w:rsid w:val="6A5066CB"/>
    <w:rsid w:val="6A512713"/>
    <w:rsid w:val="6A542D51"/>
    <w:rsid w:val="6A6030C4"/>
    <w:rsid w:val="6A7F05D0"/>
    <w:rsid w:val="6AA979A5"/>
    <w:rsid w:val="6AAD2EDA"/>
    <w:rsid w:val="6AB235AF"/>
    <w:rsid w:val="6AB37D1A"/>
    <w:rsid w:val="6ABD719F"/>
    <w:rsid w:val="6AE376F8"/>
    <w:rsid w:val="6AE644C3"/>
    <w:rsid w:val="6AFD4928"/>
    <w:rsid w:val="6B125A78"/>
    <w:rsid w:val="6B175FBC"/>
    <w:rsid w:val="6B1C49D9"/>
    <w:rsid w:val="6B20072C"/>
    <w:rsid w:val="6B297797"/>
    <w:rsid w:val="6B2F4D3E"/>
    <w:rsid w:val="6B303F71"/>
    <w:rsid w:val="6B374E7A"/>
    <w:rsid w:val="6B4317B4"/>
    <w:rsid w:val="6B4A10E4"/>
    <w:rsid w:val="6B5C4B71"/>
    <w:rsid w:val="6B6540CB"/>
    <w:rsid w:val="6B801A0F"/>
    <w:rsid w:val="6B9946B3"/>
    <w:rsid w:val="6BC27003"/>
    <w:rsid w:val="6BF5106A"/>
    <w:rsid w:val="6BF5595A"/>
    <w:rsid w:val="6BF7378F"/>
    <w:rsid w:val="6BFD6920"/>
    <w:rsid w:val="6C06033D"/>
    <w:rsid w:val="6C1331CB"/>
    <w:rsid w:val="6C2159A8"/>
    <w:rsid w:val="6C241930"/>
    <w:rsid w:val="6C2D0A9C"/>
    <w:rsid w:val="6C377F31"/>
    <w:rsid w:val="6C3B0A4D"/>
    <w:rsid w:val="6C4052D5"/>
    <w:rsid w:val="6C411352"/>
    <w:rsid w:val="6C431EF3"/>
    <w:rsid w:val="6C4E6902"/>
    <w:rsid w:val="6C662189"/>
    <w:rsid w:val="6C6B22D7"/>
    <w:rsid w:val="6C6C2F38"/>
    <w:rsid w:val="6C7007C7"/>
    <w:rsid w:val="6C821F0F"/>
    <w:rsid w:val="6C873454"/>
    <w:rsid w:val="6C8C2B67"/>
    <w:rsid w:val="6C8D38AF"/>
    <w:rsid w:val="6C8D7684"/>
    <w:rsid w:val="6CB04275"/>
    <w:rsid w:val="6CD622D5"/>
    <w:rsid w:val="6CDB741A"/>
    <w:rsid w:val="6CDC07DA"/>
    <w:rsid w:val="6CE10D46"/>
    <w:rsid w:val="6CF92C55"/>
    <w:rsid w:val="6D013069"/>
    <w:rsid w:val="6D4C7D54"/>
    <w:rsid w:val="6D5C154B"/>
    <w:rsid w:val="6D5C2995"/>
    <w:rsid w:val="6D60703C"/>
    <w:rsid w:val="6D68310A"/>
    <w:rsid w:val="6D6D0174"/>
    <w:rsid w:val="6D915D95"/>
    <w:rsid w:val="6D94625C"/>
    <w:rsid w:val="6D9B53CB"/>
    <w:rsid w:val="6DB63374"/>
    <w:rsid w:val="6DE76850"/>
    <w:rsid w:val="6DEE183F"/>
    <w:rsid w:val="6DF8337B"/>
    <w:rsid w:val="6E054261"/>
    <w:rsid w:val="6E1833D1"/>
    <w:rsid w:val="6E1A3980"/>
    <w:rsid w:val="6E2B50E3"/>
    <w:rsid w:val="6E417708"/>
    <w:rsid w:val="6E506EFF"/>
    <w:rsid w:val="6E8059E4"/>
    <w:rsid w:val="6E9E45BF"/>
    <w:rsid w:val="6EA34CC4"/>
    <w:rsid w:val="6EA72905"/>
    <w:rsid w:val="6EC00BE3"/>
    <w:rsid w:val="6EE54F57"/>
    <w:rsid w:val="6F055DD7"/>
    <w:rsid w:val="6F0B4673"/>
    <w:rsid w:val="6F1731F5"/>
    <w:rsid w:val="6F2561E5"/>
    <w:rsid w:val="6F270EB1"/>
    <w:rsid w:val="6F34372B"/>
    <w:rsid w:val="6F665BF4"/>
    <w:rsid w:val="6F6B76CB"/>
    <w:rsid w:val="6F6D70DC"/>
    <w:rsid w:val="6F6E0ACF"/>
    <w:rsid w:val="6F753C1F"/>
    <w:rsid w:val="6F876527"/>
    <w:rsid w:val="6FA163D2"/>
    <w:rsid w:val="6FB20BD4"/>
    <w:rsid w:val="6FB650F7"/>
    <w:rsid w:val="6FB75277"/>
    <w:rsid w:val="6FBA59BE"/>
    <w:rsid w:val="6FDD641D"/>
    <w:rsid w:val="6FEA677A"/>
    <w:rsid w:val="6FF16C9A"/>
    <w:rsid w:val="6FF2418B"/>
    <w:rsid w:val="70001CFE"/>
    <w:rsid w:val="701E2184"/>
    <w:rsid w:val="702726F0"/>
    <w:rsid w:val="70296B3E"/>
    <w:rsid w:val="70332D18"/>
    <w:rsid w:val="70332F95"/>
    <w:rsid w:val="704255C1"/>
    <w:rsid w:val="704442BC"/>
    <w:rsid w:val="704542AE"/>
    <w:rsid w:val="704751B9"/>
    <w:rsid w:val="70497291"/>
    <w:rsid w:val="705B357E"/>
    <w:rsid w:val="70611204"/>
    <w:rsid w:val="7072622A"/>
    <w:rsid w:val="70BF0EE0"/>
    <w:rsid w:val="70C20C9C"/>
    <w:rsid w:val="70CB3E02"/>
    <w:rsid w:val="70D01410"/>
    <w:rsid w:val="70D32204"/>
    <w:rsid w:val="70F15847"/>
    <w:rsid w:val="7114413E"/>
    <w:rsid w:val="713116FD"/>
    <w:rsid w:val="71364BFB"/>
    <w:rsid w:val="71370AC8"/>
    <w:rsid w:val="71434E47"/>
    <w:rsid w:val="71486F7F"/>
    <w:rsid w:val="71662A10"/>
    <w:rsid w:val="716D5171"/>
    <w:rsid w:val="717B788E"/>
    <w:rsid w:val="71963F08"/>
    <w:rsid w:val="71982A8B"/>
    <w:rsid w:val="72181A20"/>
    <w:rsid w:val="721A49AD"/>
    <w:rsid w:val="721B6FB3"/>
    <w:rsid w:val="72204649"/>
    <w:rsid w:val="722B6938"/>
    <w:rsid w:val="722C5869"/>
    <w:rsid w:val="727315B1"/>
    <w:rsid w:val="727D6954"/>
    <w:rsid w:val="72844D41"/>
    <w:rsid w:val="72862C7E"/>
    <w:rsid w:val="728976DF"/>
    <w:rsid w:val="72AC41BC"/>
    <w:rsid w:val="72CF4F19"/>
    <w:rsid w:val="72DA633C"/>
    <w:rsid w:val="72EC79FB"/>
    <w:rsid w:val="730F4A67"/>
    <w:rsid w:val="733D16A9"/>
    <w:rsid w:val="73425548"/>
    <w:rsid w:val="73445350"/>
    <w:rsid w:val="73514DB1"/>
    <w:rsid w:val="736A73D7"/>
    <w:rsid w:val="7378402A"/>
    <w:rsid w:val="737C5261"/>
    <w:rsid w:val="738210B6"/>
    <w:rsid w:val="738467A2"/>
    <w:rsid w:val="738A77D2"/>
    <w:rsid w:val="73AB43CE"/>
    <w:rsid w:val="73AC15DC"/>
    <w:rsid w:val="73D72AE8"/>
    <w:rsid w:val="73F27930"/>
    <w:rsid w:val="73F40CCA"/>
    <w:rsid w:val="740E5704"/>
    <w:rsid w:val="74121260"/>
    <w:rsid w:val="7431504E"/>
    <w:rsid w:val="743462D3"/>
    <w:rsid w:val="743E7D5E"/>
    <w:rsid w:val="7441374C"/>
    <w:rsid w:val="744149C3"/>
    <w:rsid w:val="74514D98"/>
    <w:rsid w:val="74600FBD"/>
    <w:rsid w:val="749B549C"/>
    <w:rsid w:val="74A470FC"/>
    <w:rsid w:val="74A93E5A"/>
    <w:rsid w:val="74C21C86"/>
    <w:rsid w:val="74C633BB"/>
    <w:rsid w:val="74F00593"/>
    <w:rsid w:val="74FA2C30"/>
    <w:rsid w:val="750140D3"/>
    <w:rsid w:val="751D1A0B"/>
    <w:rsid w:val="754D5C4B"/>
    <w:rsid w:val="756C78B0"/>
    <w:rsid w:val="756D3991"/>
    <w:rsid w:val="757E50F6"/>
    <w:rsid w:val="7581462B"/>
    <w:rsid w:val="75855224"/>
    <w:rsid w:val="75892266"/>
    <w:rsid w:val="75894543"/>
    <w:rsid w:val="75A05064"/>
    <w:rsid w:val="75CB60C0"/>
    <w:rsid w:val="75D833A4"/>
    <w:rsid w:val="75E76F6F"/>
    <w:rsid w:val="75E81BCB"/>
    <w:rsid w:val="75E92A97"/>
    <w:rsid w:val="75EC127C"/>
    <w:rsid w:val="75F0011F"/>
    <w:rsid w:val="75F142DB"/>
    <w:rsid w:val="760B3F34"/>
    <w:rsid w:val="76334397"/>
    <w:rsid w:val="763B0200"/>
    <w:rsid w:val="765B1A3C"/>
    <w:rsid w:val="765B4F30"/>
    <w:rsid w:val="766C4E79"/>
    <w:rsid w:val="767420B5"/>
    <w:rsid w:val="767C1353"/>
    <w:rsid w:val="767D07C6"/>
    <w:rsid w:val="768E73B4"/>
    <w:rsid w:val="76A143E8"/>
    <w:rsid w:val="76AD2366"/>
    <w:rsid w:val="76B41DED"/>
    <w:rsid w:val="76C240A7"/>
    <w:rsid w:val="76C8773D"/>
    <w:rsid w:val="770961C3"/>
    <w:rsid w:val="770D0BE0"/>
    <w:rsid w:val="770F3331"/>
    <w:rsid w:val="772B5A09"/>
    <w:rsid w:val="77315AC4"/>
    <w:rsid w:val="77453EF4"/>
    <w:rsid w:val="775246B7"/>
    <w:rsid w:val="77527698"/>
    <w:rsid w:val="77583C37"/>
    <w:rsid w:val="775974AF"/>
    <w:rsid w:val="77723E12"/>
    <w:rsid w:val="777D70BB"/>
    <w:rsid w:val="77977DAD"/>
    <w:rsid w:val="779A7C02"/>
    <w:rsid w:val="77CA234A"/>
    <w:rsid w:val="77E02B9B"/>
    <w:rsid w:val="77F040E4"/>
    <w:rsid w:val="78014865"/>
    <w:rsid w:val="781E69D1"/>
    <w:rsid w:val="782A2DF7"/>
    <w:rsid w:val="783B4D78"/>
    <w:rsid w:val="783E4EFC"/>
    <w:rsid w:val="789A4D68"/>
    <w:rsid w:val="789C1370"/>
    <w:rsid w:val="78DE4305"/>
    <w:rsid w:val="79175787"/>
    <w:rsid w:val="79402087"/>
    <w:rsid w:val="796A1267"/>
    <w:rsid w:val="797C3622"/>
    <w:rsid w:val="797F0359"/>
    <w:rsid w:val="79863274"/>
    <w:rsid w:val="79962040"/>
    <w:rsid w:val="7997516A"/>
    <w:rsid w:val="799A2861"/>
    <w:rsid w:val="79BC014A"/>
    <w:rsid w:val="79BC34FC"/>
    <w:rsid w:val="79C20811"/>
    <w:rsid w:val="79C95D86"/>
    <w:rsid w:val="79D042C8"/>
    <w:rsid w:val="79FF7DF6"/>
    <w:rsid w:val="7A263B6B"/>
    <w:rsid w:val="7A2C7CE6"/>
    <w:rsid w:val="7A2D01BD"/>
    <w:rsid w:val="7A573C85"/>
    <w:rsid w:val="7A5F16D0"/>
    <w:rsid w:val="7A7106D0"/>
    <w:rsid w:val="7A8E7E6B"/>
    <w:rsid w:val="7A9F3904"/>
    <w:rsid w:val="7ABF6947"/>
    <w:rsid w:val="7ACA49A1"/>
    <w:rsid w:val="7AEB754E"/>
    <w:rsid w:val="7AEE572F"/>
    <w:rsid w:val="7AF46346"/>
    <w:rsid w:val="7AF60D80"/>
    <w:rsid w:val="7AF753E6"/>
    <w:rsid w:val="7AF84436"/>
    <w:rsid w:val="7B0F5EBF"/>
    <w:rsid w:val="7B130FB9"/>
    <w:rsid w:val="7B14483E"/>
    <w:rsid w:val="7B1C0A25"/>
    <w:rsid w:val="7B2611AB"/>
    <w:rsid w:val="7B283AD0"/>
    <w:rsid w:val="7B4C355F"/>
    <w:rsid w:val="7B4E6A0D"/>
    <w:rsid w:val="7B641BCE"/>
    <w:rsid w:val="7B770612"/>
    <w:rsid w:val="7B771268"/>
    <w:rsid w:val="7B875F34"/>
    <w:rsid w:val="7BC2337B"/>
    <w:rsid w:val="7BC655EF"/>
    <w:rsid w:val="7BDD6F19"/>
    <w:rsid w:val="7BF64EDE"/>
    <w:rsid w:val="7C202809"/>
    <w:rsid w:val="7C221C6B"/>
    <w:rsid w:val="7C400C1E"/>
    <w:rsid w:val="7C99714C"/>
    <w:rsid w:val="7CA07DE8"/>
    <w:rsid w:val="7CA53FD5"/>
    <w:rsid w:val="7CB50883"/>
    <w:rsid w:val="7CB93960"/>
    <w:rsid w:val="7CBE6D5D"/>
    <w:rsid w:val="7CDD1808"/>
    <w:rsid w:val="7CF57CC1"/>
    <w:rsid w:val="7D0B5456"/>
    <w:rsid w:val="7D2E2162"/>
    <w:rsid w:val="7D352792"/>
    <w:rsid w:val="7D442B1E"/>
    <w:rsid w:val="7D563551"/>
    <w:rsid w:val="7D6F6791"/>
    <w:rsid w:val="7D7243AD"/>
    <w:rsid w:val="7D830B9D"/>
    <w:rsid w:val="7DA37E53"/>
    <w:rsid w:val="7DB23C3E"/>
    <w:rsid w:val="7DD11708"/>
    <w:rsid w:val="7DF813B2"/>
    <w:rsid w:val="7E0763E6"/>
    <w:rsid w:val="7E1202A7"/>
    <w:rsid w:val="7E2D7872"/>
    <w:rsid w:val="7E3306C9"/>
    <w:rsid w:val="7E522C19"/>
    <w:rsid w:val="7E5C0F61"/>
    <w:rsid w:val="7E8E6EBF"/>
    <w:rsid w:val="7EA07FAE"/>
    <w:rsid w:val="7EA70133"/>
    <w:rsid w:val="7EBD34F5"/>
    <w:rsid w:val="7EBD579E"/>
    <w:rsid w:val="7EC167BD"/>
    <w:rsid w:val="7ED33DE1"/>
    <w:rsid w:val="7ED56D33"/>
    <w:rsid w:val="7EF2733C"/>
    <w:rsid w:val="7EFC345C"/>
    <w:rsid w:val="7EFD64E7"/>
    <w:rsid w:val="7F0B6AB8"/>
    <w:rsid w:val="7F1A6960"/>
    <w:rsid w:val="7F272D9E"/>
    <w:rsid w:val="7F324DF6"/>
    <w:rsid w:val="7F412250"/>
    <w:rsid w:val="7F507488"/>
    <w:rsid w:val="7F687D9B"/>
    <w:rsid w:val="7F7848F6"/>
    <w:rsid w:val="7FB858F7"/>
    <w:rsid w:val="7FDA60C7"/>
    <w:rsid w:val="7FDC6A4C"/>
    <w:rsid w:val="7FE83E4A"/>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nhideWhenUsed="0" w:uiPriority="0" w:semiHidden="0" w:name="heading 4"/>
    <w:lsdException w:qFormat="1" w:unhideWhenUsed="0" w:uiPriority="9" w:semiHidden="0" w:name="heading 5"/>
    <w:lsdException w:qFormat="1" w:uiPriority="9" w:name="heading 6"/>
    <w:lsdException w:qFormat="1" w:uiPriority="9" w:name="heading 7"/>
    <w:lsdException w:qFormat="1" w:unhideWhenUsed="0" w:uiPriority="9" w:semiHidden="0"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qFormat="1" w:unhideWhenUsed="0" w:uiPriority="0" w:semiHidden="0"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nhideWhenUsed="0" w:uiPriority="0"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qFormat="1" w:unhideWhenUsed="0" w:uiPriority="0" w:semiHidden="0" w:name="page number"/>
    <w:lsdException w:qFormat="1" w:uiPriority="99" w:semiHidden="0" w:name="endnote reference"/>
    <w:lsdException w:uiPriority="99" w:name="endnote text"/>
    <w:lsdException w:uiPriority="99" w:name="table of authorities"/>
    <w:lsdException w:uiPriority="99" w:name="macro"/>
    <w:lsdException w:uiPriority="99" w:name="toa heading"/>
    <w:lsdException w:qFormat="1" w:uiPriority="99" w:semiHidden="0" w:name="List"/>
    <w:lsdException w:uiPriority="99" w:name="List Bullet"/>
    <w:lsdException w:qFormat="1" w:unhideWhenUsed="0" w:uiPriority="0" w:semiHidden="0" w:name="List Number"/>
    <w:lsdException w:qFormat="1" w:uiPriority="99" w:semiHidden="0"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semiHidden="0" w:name="Default Paragraph Font"/>
    <w:lsdException w:qFormat="1"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semiHidden="0" w:name="Date"/>
    <w:lsdException w:uiPriority="99" w:name="Body Text First Indent"/>
    <w:lsdException w:qFormat="1" w:unhideWhenUsed="0" w:uiPriority="0" w:semiHidden="0" w:name="Body Text First Indent 2"/>
    <w:lsdException w:uiPriority="99" w:name="Note Heading"/>
    <w:lsdException w:uiPriority="99" w:name="Body Text 2"/>
    <w:lsdException w:qFormat="1" w:uiPriority="99" w:semiHidden="0" w:name="Body Text 3"/>
    <w:lsdException w:uiPriority="99" w:name="Body Text Indent 2"/>
    <w:lsdException w:uiPriority="99" w:name="Body Text Indent 3"/>
    <w:lsdException w:uiPriority="99" w:name="Block Text"/>
    <w:lsdException w:qFormat="1" w:uiPriority="99" w:semiHidden="0" w:name="Hyperlink"/>
    <w:lsdException w:qFormat="1" w:uiPriority="99" w:semiHidden="0"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qFormat="1" w:unhideWhenUsed="0"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40"/>
    <w:autoRedefine/>
    <w:qFormat/>
    <w:uiPriority w:val="9"/>
    <w:pPr>
      <w:keepNext/>
      <w:keepLines/>
      <w:spacing w:before="340" w:after="330" w:line="578" w:lineRule="auto"/>
      <w:outlineLvl w:val="0"/>
    </w:pPr>
    <w:rPr>
      <w:b/>
      <w:bCs/>
      <w:kern w:val="44"/>
      <w:sz w:val="44"/>
      <w:szCs w:val="44"/>
    </w:rPr>
  </w:style>
  <w:style w:type="paragraph" w:styleId="4">
    <w:name w:val="heading 2"/>
    <w:basedOn w:val="1"/>
    <w:next w:val="1"/>
    <w:link w:val="41"/>
    <w:autoRedefine/>
    <w:qFormat/>
    <w:uiPriority w:val="9"/>
    <w:pPr>
      <w:keepNext/>
      <w:keepLines/>
      <w:spacing w:before="260" w:after="260" w:line="416" w:lineRule="auto"/>
      <w:outlineLvl w:val="1"/>
    </w:pPr>
    <w:rPr>
      <w:rFonts w:ascii="Cambria" w:hAnsi="Cambria"/>
      <w:b/>
      <w:bCs/>
      <w:sz w:val="32"/>
      <w:szCs w:val="32"/>
    </w:rPr>
  </w:style>
  <w:style w:type="paragraph" w:styleId="5">
    <w:name w:val="heading 3"/>
    <w:basedOn w:val="1"/>
    <w:next w:val="1"/>
    <w:link w:val="42"/>
    <w:autoRedefine/>
    <w:qFormat/>
    <w:uiPriority w:val="9"/>
    <w:pPr>
      <w:keepNext/>
      <w:keepLines/>
      <w:spacing w:before="260" w:after="260" w:line="416" w:lineRule="auto"/>
      <w:outlineLvl w:val="2"/>
    </w:pPr>
    <w:rPr>
      <w:b/>
      <w:bCs/>
      <w:sz w:val="32"/>
      <w:szCs w:val="32"/>
    </w:rPr>
  </w:style>
  <w:style w:type="paragraph" w:styleId="6">
    <w:name w:val="heading 4"/>
    <w:basedOn w:val="1"/>
    <w:next w:val="1"/>
    <w:autoRedefine/>
    <w:qFormat/>
    <w:uiPriority w:val="0"/>
    <w:pPr>
      <w:keepNext/>
      <w:keepLines/>
      <w:spacing w:before="280" w:after="290" w:line="376" w:lineRule="auto"/>
      <w:outlineLvl w:val="3"/>
    </w:pPr>
    <w:rPr>
      <w:rFonts w:ascii="Arial" w:hAnsi="Arial" w:eastAsia="黑体"/>
      <w:b/>
      <w:bCs/>
      <w:sz w:val="28"/>
      <w:szCs w:val="28"/>
    </w:rPr>
  </w:style>
  <w:style w:type="paragraph" w:styleId="7">
    <w:name w:val="heading 5"/>
    <w:basedOn w:val="1"/>
    <w:next w:val="1"/>
    <w:link w:val="43"/>
    <w:autoRedefine/>
    <w:qFormat/>
    <w:uiPriority w:val="9"/>
    <w:pPr>
      <w:keepNext/>
      <w:keepLines/>
      <w:spacing w:before="280" w:after="290" w:line="376" w:lineRule="auto"/>
      <w:outlineLvl w:val="4"/>
    </w:pPr>
    <w:rPr>
      <w:b/>
      <w:bCs/>
      <w:sz w:val="28"/>
      <w:szCs w:val="28"/>
    </w:rPr>
  </w:style>
  <w:style w:type="paragraph" w:styleId="8">
    <w:name w:val="heading 8"/>
    <w:basedOn w:val="1"/>
    <w:next w:val="1"/>
    <w:link w:val="44"/>
    <w:autoRedefine/>
    <w:qFormat/>
    <w:uiPriority w:val="9"/>
    <w:pPr>
      <w:keepNext/>
      <w:keepLines/>
      <w:spacing w:before="240" w:after="64" w:line="320" w:lineRule="auto"/>
      <w:outlineLvl w:val="7"/>
    </w:pPr>
    <w:rPr>
      <w:rFonts w:ascii="等线 Light" w:hAnsi="等线 Light" w:eastAsia="等线 Light"/>
      <w:sz w:val="24"/>
    </w:rPr>
  </w:style>
  <w:style w:type="character" w:default="1" w:styleId="31">
    <w:name w:val="Default Paragraph Font"/>
    <w:autoRedefine/>
    <w:unhideWhenUsed/>
    <w:qFormat/>
    <w:uiPriority w:val="1"/>
  </w:style>
  <w:style w:type="table" w:default="1" w:styleId="29">
    <w:name w:val="Normal Table"/>
    <w:autoRedefine/>
    <w:unhideWhenUsed/>
    <w:qFormat/>
    <w:uiPriority w:val="99"/>
    <w:tblPr>
      <w:tblCellMar>
        <w:top w:w="0" w:type="dxa"/>
        <w:left w:w="108" w:type="dxa"/>
        <w:bottom w:w="0" w:type="dxa"/>
        <w:right w:w="108" w:type="dxa"/>
      </w:tblCellMar>
    </w:tblPr>
  </w:style>
  <w:style w:type="paragraph" w:styleId="2">
    <w:name w:val="header"/>
    <w:basedOn w:val="1"/>
    <w:link w:val="52"/>
    <w:autoRedefine/>
    <w:unhideWhenUsed/>
    <w:qFormat/>
    <w:uiPriority w:val="99"/>
    <w:pPr>
      <w:pBdr>
        <w:bottom w:val="single" w:color="auto" w:sz="6" w:space="1"/>
      </w:pBdr>
      <w:tabs>
        <w:tab w:val="center" w:pos="4153"/>
        <w:tab w:val="right" w:pos="8306"/>
      </w:tabs>
      <w:snapToGrid w:val="0"/>
      <w:jc w:val="center"/>
    </w:pPr>
    <w:rPr>
      <w:kern w:val="0"/>
      <w:sz w:val="18"/>
      <w:szCs w:val="18"/>
    </w:rPr>
  </w:style>
  <w:style w:type="paragraph" w:styleId="9">
    <w:name w:val="index 8"/>
    <w:basedOn w:val="1"/>
    <w:next w:val="1"/>
    <w:autoRedefine/>
    <w:qFormat/>
    <w:uiPriority w:val="0"/>
    <w:pPr>
      <w:ind w:left="2940"/>
    </w:pPr>
  </w:style>
  <w:style w:type="paragraph" w:styleId="10">
    <w:name w:val="List Number"/>
    <w:basedOn w:val="1"/>
    <w:autoRedefine/>
    <w:qFormat/>
    <w:uiPriority w:val="0"/>
    <w:pPr>
      <w:widowControl/>
      <w:tabs>
        <w:tab w:val="left" w:pos="454"/>
        <w:tab w:val="left" w:pos="720"/>
        <w:tab w:val="left" w:pos="840"/>
      </w:tabs>
      <w:spacing w:after="50" w:afterLines="50"/>
      <w:ind w:left="454" w:hanging="284"/>
      <w:jc w:val="left"/>
    </w:pPr>
    <w:rPr>
      <w:kern w:val="0"/>
      <w:sz w:val="24"/>
      <w:szCs w:val="20"/>
    </w:rPr>
  </w:style>
  <w:style w:type="paragraph" w:styleId="11">
    <w:name w:val="Normal Indent"/>
    <w:basedOn w:val="1"/>
    <w:autoRedefine/>
    <w:qFormat/>
    <w:uiPriority w:val="0"/>
    <w:pPr>
      <w:ind w:firstLine="420"/>
    </w:pPr>
    <w:rPr>
      <w:szCs w:val="20"/>
    </w:rPr>
  </w:style>
  <w:style w:type="paragraph" w:styleId="12">
    <w:name w:val="annotation text"/>
    <w:basedOn w:val="1"/>
    <w:link w:val="45"/>
    <w:autoRedefine/>
    <w:qFormat/>
    <w:uiPriority w:val="0"/>
    <w:pPr>
      <w:jc w:val="left"/>
    </w:pPr>
  </w:style>
  <w:style w:type="paragraph" w:styleId="13">
    <w:name w:val="Body Text 3"/>
    <w:basedOn w:val="1"/>
    <w:link w:val="46"/>
    <w:autoRedefine/>
    <w:unhideWhenUsed/>
    <w:qFormat/>
    <w:uiPriority w:val="99"/>
    <w:pPr>
      <w:spacing w:after="120"/>
    </w:pPr>
    <w:rPr>
      <w:sz w:val="16"/>
      <w:szCs w:val="16"/>
    </w:rPr>
  </w:style>
  <w:style w:type="paragraph" w:styleId="14">
    <w:name w:val="Body Text"/>
    <w:basedOn w:val="1"/>
    <w:next w:val="1"/>
    <w:link w:val="47"/>
    <w:autoRedefine/>
    <w:unhideWhenUsed/>
    <w:qFormat/>
    <w:uiPriority w:val="0"/>
    <w:pPr>
      <w:spacing w:after="120"/>
    </w:pPr>
  </w:style>
  <w:style w:type="paragraph" w:styleId="15">
    <w:name w:val="Body Text Indent"/>
    <w:basedOn w:val="1"/>
    <w:next w:val="16"/>
    <w:link w:val="48"/>
    <w:autoRedefine/>
    <w:qFormat/>
    <w:uiPriority w:val="0"/>
    <w:pPr>
      <w:ind w:firstLine="830" w:firstLineChars="352"/>
    </w:pPr>
    <w:rPr>
      <w:rFonts w:ascii="仿宋_GB2312" w:eastAsia="仿宋_GB2312"/>
      <w:kern w:val="0"/>
      <w:sz w:val="32"/>
      <w:szCs w:val="20"/>
    </w:rPr>
  </w:style>
  <w:style w:type="paragraph" w:styleId="16">
    <w:name w:val="Body Text First Indent 2"/>
    <w:basedOn w:val="15"/>
    <w:autoRedefine/>
    <w:qFormat/>
    <w:uiPriority w:val="0"/>
    <w:pPr>
      <w:autoSpaceDE w:val="0"/>
      <w:autoSpaceDN w:val="0"/>
      <w:spacing w:after="120" w:afterLines="0" w:line="360" w:lineRule="auto"/>
      <w:ind w:left="420" w:leftChars="200" w:firstLine="420" w:firstLineChars="200"/>
    </w:pPr>
    <w:rPr>
      <w:sz w:val="21"/>
      <w:szCs w:val="24"/>
    </w:rPr>
  </w:style>
  <w:style w:type="paragraph" w:styleId="17">
    <w:name w:val="List 2"/>
    <w:basedOn w:val="1"/>
    <w:autoRedefine/>
    <w:unhideWhenUsed/>
    <w:qFormat/>
    <w:uiPriority w:val="99"/>
    <w:pPr>
      <w:ind w:left="100" w:leftChars="200" w:hanging="200" w:hangingChars="200"/>
      <w:contextualSpacing/>
    </w:pPr>
  </w:style>
  <w:style w:type="paragraph" w:styleId="18">
    <w:name w:val="toc 3"/>
    <w:basedOn w:val="1"/>
    <w:next w:val="1"/>
    <w:autoRedefine/>
    <w:unhideWhenUsed/>
    <w:qFormat/>
    <w:uiPriority w:val="39"/>
    <w:pPr>
      <w:ind w:left="840" w:leftChars="400"/>
    </w:pPr>
  </w:style>
  <w:style w:type="paragraph" w:styleId="19">
    <w:name w:val="Plain Text"/>
    <w:basedOn w:val="1"/>
    <w:link w:val="49"/>
    <w:autoRedefine/>
    <w:qFormat/>
    <w:uiPriority w:val="0"/>
    <w:rPr>
      <w:rFonts w:ascii="宋体" w:hAnsi="Courier New"/>
      <w:kern w:val="0"/>
      <w:sz w:val="20"/>
      <w:szCs w:val="21"/>
    </w:rPr>
  </w:style>
  <w:style w:type="paragraph" w:styleId="20">
    <w:name w:val="Date"/>
    <w:basedOn w:val="1"/>
    <w:next w:val="1"/>
    <w:link w:val="50"/>
    <w:autoRedefine/>
    <w:unhideWhenUsed/>
    <w:qFormat/>
    <w:uiPriority w:val="99"/>
    <w:pPr>
      <w:ind w:left="100" w:leftChars="2500"/>
    </w:pPr>
  </w:style>
  <w:style w:type="paragraph" w:styleId="21">
    <w:name w:val="Balloon Text"/>
    <w:basedOn w:val="1"/>
    <w:autoRedefine/>
    <w:semiHidden/>
    <w:qFormat/>
    <w:uiPriority w:val="0"/>
    <w:rPr>
      <w:sz w:val="18"/>
      <w:szCs w:val="18"/>
    </w:rPr>
  </w:style>
  <w:style w:type="paragraph" w:styleId="22">
    <w:name w:val="footer"/>
    <w:basedOn w:val="1"/>
    <w:link w:val="51"/>
    <w:autoRedefine/>
    <w:unhideWhenUsed/>
    <w:qFormat/>
    <w:uiPriority w:val="99"/>
    <w:pPr>
      <w:tabs>
        <w:tab w:val="center" w:pos="4153"/>
        <w:tab w:val="right" w:pos="8306"/>
      </w:tabs>
      <w:snapToGrid w:val="0"/>
      <w:jc w:val="left"/>
    </w:pPr>
    <w:rPr>
      <w:kern w:val="0"/>
      <w:sz w:val="18"/>
      <w:szCs w:val="18"/>
    </w:rPr>
  </w:style>
  <w:style w:type="paragraph" w:styleId="23">
    <w:name w:val="toc 1"/>
    <w:basedOn w:val="1"/>
    <w:next w:val="1"/>
    <w:autoRedefine/>
    <w:unhideWhenUsed/>
    <w:qFormat/>
    <w:uiPriority w:val="39"/>
  </w:style>
  <w:style w:type="paragraph" w:styleId="24">
    <w:name w:val="List"/>
    <w:basedOn w:val="1"/>
    <w:autoRedefine/>
    <w:unhideWhenUsed/>
    <w:qFormat/>
    <w:uiPriority w:val="99"/>
    <w:pPr>
      <w:ind w:left="200" w:hanging="200" w:hangingChars="200"/>
      <w:contextualSpacing/>
    </w:pPr>
  </w:style>
  <w:style w:type="paragraph" w:styleId="25">
    <w:name w:val="toc 2"/>
    <w:basedOn w:val="1"/>
    <w:next w:val="1"/>
    <w:autoRedefine/>
    <w:unhideWhenUsed/>
    <w:qFormat/>
    <w:uiPriority w:val="39"/>
    <w:pPr>
      <w:tabs>
        <w:tab w:val="right" w:leader="dot" w:pos="8296"/>
      </w:tabs>
      <w:ind w:left="420" w:leftChars="200"/>
    </w:pPr>
  </w:style>
  <w:style w:type="paragraph" w:styleId="26">
    <w:name w:val="Normal (Web)"/>
    <w:basedOn w:val="1"/>
    <w:autoRedefine/>
    <w:unhideWhenUsed/>
    <w:qFormat/>
    <w:uiPriority w:val="99"/>
    <w:pPr>
      <w:spacing w:before="0" w:beforeAutospacing="0" w:after="0" w:afterAutospacing="0"/>
      <w:ind w:left="0" w:right="0"/>
      <w:jc w:val="both"/>
    </w:pPr>
    <w:rPr>
      <w:rFonts w:hint="default" w:ascii="Calibri" w:hAnsi="Calibri" w:cs="Calibri"/>
      <w:kern w:val="0"/>
      <w:sz w:val="24"/>
      <w:szCs w:val="24"/>
      <w:lang w:val="en-US" w:eastAsia="zh-CN" w:bidi="ar"/>
    </w:rPr>
  </w:style>
  <w:style w:type="paragraph" w:styleId="27">
    <w:name w:val="Title"/>
    <w:basedOn w:val="1"/>
    <w:next w:val="1"/>
    <w:qFormat/>
    <w:uiPriority w:val="0"/>
    <w:pPr>
      <w:spacing w:before="240" w:after="60"/>
      <w:jc w:val="center"/>
      <w:outlineLvl w:val="0"/>
    </w:pPr>
    <w:rPr>
      <w:rFonts w:ascii="Cambria" w:hAnsi="Cambria"/>
      <w:b/>
      <w:bCs/>
      <w:sz w:val="32"/>
      <w:szCs w:val="32"/>
    </w:rPr>
  </w:style>
  <w:style w:type="paragraph" w:styleId="28">
    <w:name w:val="annotation subject"/>
    <w:basedOn w:val="12"/>
    <w:next w:val="12"/>
    <w:link w:val="53"/>
    <w:autoRedefine/>
    <w:qFormat/>
    <w:uiPriority w:val="99"/>
    <w:rPr>
      <w:b/>
      <w:bCs/>
    </w:rPr>
  </w:style>
  <w:style w:type="table" w:styleId="30">
    <w:name w:val="Table Grid"/>
    <w:basedOn w:val="29"/>
    <w:autoRedefine/>
    <w:qFormat/>
    <w:uiPriority w:val="5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32">
    <w:name w:val="Strong"/>
    <w:basedOn w:val="31"/>
    <w:autoRedefine/>
    <w:qFormat/>
    <w:uiPriority w:val="22"/>
    <w:rPr>
      <w:b/>
    </w:rPr>
  </w:style>
  <w:style w:type="character" w:styleId="33">
    <w:name w:val="endnote reference"/>
    <w:autoRedefine/>
    <w:unhideWhenUsed/>
    <w:qFormat/>
    <w:uiPriority w:val="99"/>
    <w:rPr>
      <w:vertAlign w:val="superscript"/>
    </w:rPr>
  </w:style>
  <w:style w:type="character" w:styleId="34">
    <w:name w:val="page number"/>
    <w:basedOn w:val="31"/>
    <w:autoRedefine/>
    <w:qFormat/>
    <w:uiPriority w:val="0"/>
  </w:style>
  <w:style w:type="character" w:styleId="35">
    <w:name w:val="FollowedHyperlink"/>
    <w:basedOn w:val="31"/>
    <w:autoRedefine/>
    <w:unhideWhenUsed/>
    <w:qFormat/>
    <w:uiPriority w:val="99"/>
    <w:rPr>
      <w:color w:val="800080"/>
      <w:u w:val="single"/>
    </w:rPr>
  </w:style>
  <w:style w:type="character" w:styleId="36">
    <w:name w:val="Hyperlink"/>
    <w:autoRedefine/>
    <w:unhideWhenUsed/>
    <w:qFormat/>
    <w:uiPriority w:val="99"/>
    <w:rPr>
      <w:color w:val="0000FF"/>
      <w:u w:val="single"/>
    </w:rPr>
  </w:style>
  <w:style w:type="character" w:styleId="37">
    <w:name w:val="annotation reference"/>
    <w:autoRedefine/>
    <w:qFormat/>
    <w:uiPriority w:val="99"/>
    <w:rPr>
      <w:sz w:val="21"/>
      <w:szCs w:val="21"/>
    </w:rPr>
  </w:style>
  <w:style w:type="paragraph" w:customStyle="1" w:styleId="38">
    <w:name w:val="Default"/>
    <w:basedOn w:val="27"/>
    <w:autoRedefine/>
    <w:qFormat/>
    <w:uiPriority w:val="0"/>
    <w:pPr>
      <w:widowControl w:val="0"/>
      <w:autoSpaceDE w:val="0"/>
      <w:autoSpaceDN w:val="0"/>
      <w:adjustRightInd w:val="0"/>
    </w:pPr>
    <w:rPr>
      <w:rFonts w:ascii="Arial" w:hAnsi="Arial" w:eastAsia="宋体" w:cs="Arial"/>
      <w:color w:val="000000"/>
      <w:sz w:val="24"/>
      <w:szCs w:val="24"/>
      <w:lang w:val="en-US" w:eastAsia="zh-CN" w:bidi="ar-SA"/>
    </w:rPr>
  </w:style>
  <w:style w:type="paragraph" w:customStyle="1" w:styleId="39">
    <w:name w:val="表格文字"/>
    <w:basedOn w:val="1"/>
    <w:autoRedefine/>
    <w:qFormat/>
    <w:uiPriority w:val="0"/>
    <w:pPr>
      <w:jc w:val="left"/>
    </w:pPr>
    <w:rPr>
      <w:rFonts w:ascii="Calibri" w:hAnsi="Calibri" w:eastAsia="宋体" w:cs="Times New Roman"/>
      <w:bCs/>
      <w:spacing w:val="10"/>
      <w:kern w:val="0"/>
      <w:sz w:val="24"/>
    </w:rPr>
  </w:style>
  <w:style w:type="character" w:customStyle="1" w:styleId="40">
    <w:name w:val="标题 1 Char"/>
    <w:link w:val="3"/>
    <w:autoRedefine/>
    <w:qFormat/>
    <w:uiPriority w:val="9"/>
    <w:rPr>
      <w:b/>
      <w:bCs/>
      <w:kern w:val="44"/>
      <w:sz w:val="44"/>
      <w:szCs w:val="44"/>
    </w:rPr>
  </w:style>
  <w:style w:type="character" w:customStyle="1" w:styleId="41">
    <w:name w:val="标题 2 Char1"/>
    <w:link w:val="4"/>
    <w:autoRedefine/>
    <w:qFormat/>
    <w:uiPriority w:val="9"/>
    <w:rPr>
      <w:rFonts w:ascii="Cambria" w:hAnsi="Cambria" w:eastAsia="宋体" w:cs="Times New Roman"/>
      <w:b/>
      <w:bCs/>
      <w:kern w:val="2"/>
      <w:sz w:val="32"/>
      <w:szCs w:val="32"/>
    </w:rPr>
  </w:style>
  <w:style w:type="character" w:customStyle="1" w:styleId="42">
    <w:name w:val="标题 3 Char"/>
    <w:link w:val="5"/>
    <w:autoRedefine/>
    <w:semiHidden/>
    <w:qFormat/>
    <w:uiPriority w:val="9"/>
    <w:rPr>
      <w:b/>
      <w:bCs/>
      <w:kern w:val="2"/>
      <w:sz w:val="32"/>
      <w:szCs w:val="32"/>
    </w:rPr>
  </w:style>
  <w:style w:type="character" w:customStyle="1" w:styleId="43">
    <w:name w:val="标题 5 Char"/>
    <w:link w:val="7"/>
    <w:autoRedefine/>
    <w:qFormat/>
    <w:uiPriority w:val="9"/>
    <w:rPr>
      <w:rFonts w:ascii="Times New Roman" w:hAnsi="Times New Roman"/>
      <w:b/>
      <w:bCs/>
      <w:kern w:val="2"/>
      <w:sz w:val="28"/>
      <w:szCs w:val="28"/>
    </w:rPr>
  </w:style>
  <w:style w:type="character" w:customStyle="1" w:styleId="44">
    <w:name w:val="标题 8 Char1"/>
    <w:link w:val="8"/>
    <w:autoRedefine/>
    <w:semiHidden/>
    <w:qFormat/>
    <w:uiPriority w:val="9"/>
    <w:rPr>
      <w:rFonts w:ascii="等线 Light" w:hAnsi="等线 Light" w:eastAsia="等线 Light" w:cs="Times New Roman"/>
      <w:kern w:val="2"/>
      <w:sz w:val="24"/>
      <w:szCs w:val="24"/>
    </w:rPr>
  </w:style>
  <w:style w:type="character" w:customStyle="1" w:styleId="45">
    <w:name w:val="批注文字 Char1"/>
    <w:link w:val="12"/>
    <w:autoRedefine/>
    <w:qFormat/>
    <w:uiPriority w:val="0"/>
    <w:rPr>
      <w:rFonts w:ascii="Times New Roman" w:hAnsi="Times New Roman"/>
      <w:kern w:val="2"/>
      <w:sz w:val="21"/>
      <w:szCs w:val="24"/>
    </w:rPr>
  </w:style>
  <w:style w:type="character" w:customStyle="1" w:styleId="46">
    <w:name w:val="正文文本 3 Char"/>
    <w:link w:val="13"/>
    <w:autoRedefine/>
    <w:semiHidden/>
    <w:qFormat/>
    <w:uiPriority w:val="99"/>
    <w:rPr>
      <w:kern w:val="2"/>
      <w:sz w:val="16"/>
      <w:szCs w:val="16"/>
    </w:rPr>
  </w:style>
  <w:style w:type="character" w:customStyle="1" w:styleId="47">
    <w:name w:val="正文文本 Char1"/>
    <w:link w:val="14"/>
    <w:autoRedefine/>
    <w:qFormat/>
    <w:uiPriority w:val="0"/>
    <w:rPr>
      <w:rFonts w:ascii="Times New Roman" w:hAnsi="Times New Roman"/>
      <w:kern w:val="2"/>
      <w:sz w:val="21"/>
      <w:szCs w:val="24"/>
    </w:rPr>
  </w:style>
  <w:style w:type="character" w:customStyle="1" w:styleId="48">
    <w:name w:val="正文文本缩进 Char"/>
    <w:link w:val="15"/>
    <w:autoRedefine/>
    <w:qFormat/>
    <w:uiPriority w:val="0"/>
    <w:rPr>
      <w:rFonts w:ascii="仿宋_GB2312" w:hAnsi="Times New Roman" w:eastAsia="仿宋_GB2312" w:cs="Times New Roman"/>
      <w:sz w:val="32"/>
      <w:szCs w:val="20"/>
    </w:rPr>
  </w:style>
  <w:style w:type="character" w:customStyle="1" w:styleId="49">
    <w:name w:val="纯文本 Char1"/>
    <w:link w:val="19"/>
    <w:autoRedefine/>
    <w:qFormat/>
    <w:uiPriority w:val="0"/>
    <w:rPr>
      <w:rFonts w:ascii="宋体" w:hAnsi="Courier New" w:eastAsia="宋体" w:cs="Courier New"/>
      <w:szCs w:val="21"/>
    </w:rPr>
  </w:style>
  <w:style w:type="character" w:customStyle="1" w:styleId="50">
    <w:name w:val="日期 Char"/>
    <w:link w:val="20"/>
    <w:autoRedefine/>
    <w:semiHidden/>
    <w:qFormat/>
    <w:uiPriority w:val="99"/>
    <w:rPr>
      <w:rFonts w:ascii="Times New Roman" w:hAnsi="Times New Roman"/>
      <w:kern w:val="2"/>
      <w:sz w:val="21"/>
      <w:szCs w:val="24"/>
    </w:rPr>
  </w:style>
  <w:style w:type="character" w:customStyle="1" w:styleId="51">
    <w:name w:val="页脚 Char"/>
    <w:link w:val="22"/>
    <w:autoRedefine/>
    <w:qFormat/>
    <w:uiPriority w:val="99"/>
    <w:rPr>
      <w:sz w:val="18"/>
      <w:szCs w:val="18"/>
    </w:rPr>
  </w:style>
  <w:style w:type="character" w:customStyle="1" w:styleId="52">
    <w:name w:val="页眉 Char"/>
    <w:link w:val="2"/>
    <w:autoRedefine/>
    <w:qFormat/>
    <w:uiPriority w:val="99"/>
    <w:rPr>
      <w:sz w:val="18"/>
      <w:szCs w:val="18"/>
    </w:rPr>
  </w:style>
  <w:style w:type="character" w:customStyle="1" w:styleId="53">
    <w:name w:val="批注主题 Char"/>
    <w:link w:val="28"/>
    <w:autoRedefine/>
    <w:qFormat/>
    <w:uiPriority w:val="99"/>
    <w:rPr>
      <w:rFonts w:ascii="Times New Roman" w:hAnsi="Times New Roman"/>
      <w:b/>
      <w:bCs/>
      <w:kern w:val="2"/>
      <w:sz w:val="21"/>
      <w:szCs w:val="24"/>
    </w:rPr>
  </w:style>
  <w:style w:type="character" w:customStyle="1" w:styleId="54">
    <w:name w:val="批注文字 字符"/>
    <w:autoRedefine/>
    <w:qFormat/>
    <w:uiPriority w:val="0"/>
    <w:rPr>
      <w:rFonts w:ascii="Times New Roman" w:hAnsi="Times New Roman"/>
      <w:kern w:val="2"/>
      <w:sz w:val="21"/>
      <w:szCs w:val="24"/>
    </w:rPr>
  </w:style>
  <w:style w:type="character" w:customStyle="1" w:styleId="55">
    <w:name w:val="10"/>
    <w:autoRedefine/>
    <w:qFormat/>
    <w:uiPriority w:val="0"/>
  </w:style>
  <w:style w:type="character" w:customStyle="1" w:styleId="56">
    <w:name w:val="正文文本 (26) + 间距 0 pt"/>
    <w:autoRedefine/>
    <w:qFormat/>
    <w:uiPriority w:val="0"/>
    <w:rPr>
      <w:rFonts w:ascii="宋体" w:hAnsi="宋体" w:eastAsia="宋体" w:cs="宋体"/>
      <w:color w:val="000000"/>
      <w:spacing w:val="0"/>
      <w:w w:val="100"/>
      <w:position w:val="0"/>
      <w:sz w:val="22"/>
      <w:szCs w:val="22"/>
      <w:u w:val="none"/>
      <w:lang w:val="zh-CN" w:eastAsia="zh-CN" w:bidi="zh-CN"/>
    </w:rPr>
  </w:style>
  <w:style w:type="character" w:customStyle="1" w:styleId="57">
    <w:name w:val="未处理的提及"/>
    <w:autoRedefine/>
    <w:unhideWhenUsed/>
    <w:qFormat/>
    <w:uiPriority w:val="99"/>
    <w:rPr>
      <w:color w:val="605E5C"/>
      <w:shd w:val="clear" w:color="auto" w:fill="E1DFDD"/>
    </w:rPr>
  </w:style>
  <w:style w:type="character" w:customStyle="1" w:styleId="58">
    <w:name w:val="批注文字 字符1"/>
    <w:autoRedefine/>
    <w:qFormat/>
    <w:uiPriority w:val="0"/>
    <w:rPr>
      <w:rFonts w:ascii="Times New Roman" w:hAnsi="Times New Roman"/>
      <w:kern w:val="2"/>
      <w:sz w:val="21"/>
      <w:szCs w:val="24"/>
    </w:rPr>
  </w:style>
  <w:style w:type="character" w:customStyle="1" w:styleId="59">
    <w:name w:val="正文文本 Char"/>
    <w:autoRedefine/>
    <w:qFormat/>
    <w:uiPriority w:val="0"/>
    <w:rPr>
      <w:rFonts w:ascii="Times New Roman" w:hAnsi="Times New Roman"/>
      <w:kern w:val="2"/>
      <w:sz w:val="21"/>
      <w:szCs w:val="24"/>
    </w:rPr>
  </w:style>
  <w:style w:type="character" w:customStyle="1" w:styleId="60">
    <w:name w:val="正文文本 (2) + 间距 0 pt"/>
    <w:autoRedefine/>
    <w:qFormat/>
    <w:uiPriority w:val="0"/>
    <w:rPr>
      <w:rFonts w:ascii="微软雅黑 Light" w:hAnsi="微软雅黑 Light" w:eastAsia="微软雅黑 Light" w:cs="微软雅黑 Light"/>
      <w:color w:val="000000"/>
      <w:spacing w:val="0"/>
      <w:w w:val="100"/>
      <w:position w:val="0"/>
      <w:sz w:val="22"/>
      <w:szCs w:val="22"/>
      <w:shd w:val="clear" w:color="auto" w:fill="FFFFFF"/>
      <w:lang w:val="zh-CN" w:eastAsia="zh-CN" w:bidi="zh-CN"/>
    </w:rPr>
  </w:style>
  <w:style w:type="character" w:customStyle="1" w:styleId="61">
    <w:name w:val="textcontents"/>
    <w:autoRedefine/>
    <w:qFormat/>
    <w:uiPriority w:val="0"/>
  </w:style>
  <w:style w:type="character" w:customStyle="1" w:styleId="62">
    <w:name w:val="纯文本 Char"/>
    <w:autoRedefine/>
    <w:qFormat/>
    <w:uiPriority w:val="0"/>
    <w:rPr>
      <w:rFonts w:ascii="宋体" w:hAnsi="Courier New" w:eastAsia="宋体" w:cs="Courier New"/>
      <w:szCs w:val="21"/>
    </w:rPr>
  </w:style>
  <w:style w:type="character" w:customStyle="1" w:styleId="63">
    <w:name w:val="标题 1 字符1"/>
    <w:autoRedefine/>
    <w:qFormat/>
    <w:uiPriority w:val="0"/>
    <w:rPr>
      <w:b/>
      <w:bCs/>
      <w:kern w:val="44"/>
      <w:sz w:val="44"/>
      <w:szCs w:val="44"/>
    </w:rPr>
  </w:style>
  <w:style w:type="character" w:customStyle="1" w:styleId="64">
    <w:name w:val="标题 2 Char"/>
    <w:autoRedefine/>
    <w:qFormat/>
    <w:uiPriority w:val="9"/>
    <w:rPr>
      <w:rFonts w:ascii="Cambria" w:hAnsi="Cambria" w:eastAsia="宋体" w:cs="Times New Roman"/>
      <w:b/>
      <w:bCs/>
      <w:kern w:val="2"/>
      <w:sz w:val="32"/>
      <w:szCs w:val="32"/>
    </w:rPr>
  </w:style>
  <w:style w:type="character" w:customStyle="1" w:styleId="65">
    <w:name w:val="纯文本 字符1"/>
    <w:autoRedefine/>
    <w:qFormat/>
    <w:uiPriority w:val="0"/>
    <w:rPr>
      <w:rFonts w:ascii="宋体" w:hAnsi="Courier New"/>
    </w:rPr>
  </w:style>
  <w:style w:type="character" w:customStyle="1" w:styleId="66">
    <w:name w:val="批注文字 Char"/>
    <w:autoRedefine/>
    <w:qFormat/>
    <w:uiPriority w:val="0"/>
    <w:rPr>
      <w:rFonts w:ascii="Times New Roman" w:hAnsi="Times New Roman"/>
      <w:kern w:val="2"/>
      <w:sz w:val="21"/>
      <w:szCs w:val="24"/>
    </w:rPr>
  </w:style>
  <w:style w:type="character" w:customStyle="1" w:styleId="67">
    <w:name w:val="标题 8 Char"/>
    <w:autoRedefine/>
    <w:qFormat/>
    <w:uiPriority w:val="0"/>
    <w:rPr>
      <w:rFonts w:ascii="Arial" w:hAnsi="Arial" w:eastAsia="黑体"/>
      <w:kern w:val="2"/>
      <w:sz w:val="24"/>
      <w:szCs w:val="24"/>
    </w:rPr>
  </w:style>
  <w:style w:type="character" w:customStyle="1" w:styleId="68">
    <w:name w:val="正文文本 字符"/>
    <w:autoRedefine/>
    <w:qFormat/>
    <w:uiPriority w:val="0"/>
    <w:rPr>
      <w:rFonts w:ascii="Times New Roman" w:hAnsi="Times New Roman"/>
      <w:kern w:val="2"/>
      <w:sz w:val="21"/>
      <w:szCs w:val="24"/>
    </w:rPr>
  </w:style>
  <w:style w:type="character" w:customStyle="1" w:styleId="69">
    <w:name w:val="纯文本 字符2"/>
    <w:autoRedefine/>
    <w:qFormat/>
    <w:uiPriority w:val="0"/>
    <w:rPr>
      <w:rFonts w:ascii="宋体" w:hAnsi="Courier New" w:eastAsia="宋体" w:cs="Courier New"/>
      <w:szCs w:val="21"/>
    </w:rPr>
  </w:style>
  <w:style w:type="character" w:customStyle="1" w:styleId="70">
    <w:name w:val="纯文本 字符"/>
    <w:autoRedefine/>
    <w:qFormat/>
    <w:uiPriority w:val="0"/>
    <w:rPr>
      <w:rFonts w:ascii="宋体" w:hAnsi="Courier New" w:eastAsia="宋体" w:cs="Courier New"/>
      <w:szCs w:val="21"/>
    </w:rPr>
  </w:style>
  <w:style w:type="character" w:customStyle="1" w:styleId="71">
    <w:name w:val="apple-style-span"/>
    <w:autoRedefine/>
    <w:qFormat/>
    <w:uiPriority w:val="0"/>
  </w:style>
  <w:style w:type="character" w:customStyle="1" w:styleId="72">
    <w:name w:val="正文2 Char Char"/>
    <w:link w:val="73"/>
    <w:autoRedefine/>
    <w:qFormat/>
    <w:uiPriority w:val="0"/>
    <w:rPr>
      <w:sz w:val="24"/>
    </w:rPr>
  </w:style>
  <w:style w:type="paragraph" w:customStyle="1" w:styleId="73">
    <w:name w:val="正文2"/>
    <w:basedOn w:val="1"/>
    <w:link w:val="72"/>
    <w:autoRedefine/>
    <w:qFormat/>
    <w:uiPriority w:val="0"/>
    <w:pPr>
      <w:adjustRightInd w:val="0"/>
      <w:spacing w:before="156" w:line="360" w:lineRule="auto"/>
      <w:ind w:firstLine="510" w:firstLineChars="200"/>
    </w:pPr>
    <w:rPr>
      <w:kern w:val="0"/>
      <w:sz w:val="24"/>
      <w:szCs w:val="20"/>
    </w:rPr>
  </w:style>
  <w:style w:type="paragraph" w:customStyle="1" w:styleId="74">
    <w:name w:val="_Style 70"/>
    <w:basedOn w:val="3"/>
    <w:next w:val="1"/>
    <w:autoRedefine/>
    <w:qFormat/>
    <w:uiPriority w:val="39"/>
    <w:pPr>
      <w:widowControl/>
      <w:spacing w:before="240" w:after="0" w:line="259" w:lineRule="auto"/>
      <w:jc w:val="left"/>
      <w:outlineLvl w:val="9"/>
    </w:pPr>
    <w:rPr>
      <w:rFonts w:ascii="等线 Light" w:hAnsi="等线 Light" w:eastAsia="等线 Light" w:cs="Times New Roman"/>
      <w:b w:val="0"/>
      <w:bCs w:val="0"/>
      <w:color w:val="2F5496"/>
      <w:kern w:val="0"/>
      <w:sz w:val="32"/>
      <w:szCs w:val="32"/>
      <w:lang w:val="en-US" w:eastAsia="zh-CN"/>
    </w:rPr>
  </w:style>
  <w:style w:type="paragraph" w:customStyle="1" w:styleId="75">
    <w:name w:val="Char Char Char Char"/>
    <w:basedOn w:val="1"/>
    <w:autoRedefine/>
    <w:qFormat/>
    <w:uiPriority w:val="0"/>
    <w:pPr>
      <w:widowControl/>
      <w:spacing w:after="160" w:line="240" w:lineRule="exact"/>
      <w:jc w:val="left"/>
    </w:pPr>
  </w:style>
  <w:style w:type="paragraph" w:customStyle="1" w:styleId="76">
    <w:name w:val="正文文本_0"/>
    <w:basedOn w:val="77"/>
    <w:autoRedefine/>
    <w:unhideWhenUsed/>
    <w:qFormat/>
    <w:uiPriority w:val="99"/>
    <w:pPr>
      <w:adjustRightInd w:val="0"/>
      <w:spacing w:after="60" w:line="360" w:lineRule="atLeast"/>
      <w:ind w:left="72" w:leftChars="30" w:right="30" w:rightChars="30"/>
      <w:jc w:val="center"/>
    </w:pPr>
    <w:rPr>
      <w:rFonts w:ascii="Calibri" w:hAnsi="Calibri"/>
      <w:kern w:val="0"/>
      <w:sz w:val="20"/>
      <w:szCs w:val="20"/>
      <w:lang w:val="zh-CN" w:eastAsia="zh-CN"/>
    </w:rPr>
  </w:style>
  <w:style w:type="paragraph" w:customStyle="1" w:styleId="77">
    <w:name w:val="正文_0"/>
    <w:next w:val="76"/>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78">
    <w:name w:val="正文缩进1"/>
    <w:basedOn w:val="1"/>
    <w:next w:val="15"/>
    <w:autoRedefine/>
    <w:qFormat/>
    <w:uiPriority w:val="0"/>
    <w:pPr>
      <w:autoSpaceDE w:val="0"/>
      <w:autoSpaceDN w:val="0"/>
      <w:adjustRightInd w:val="0"/>
      <w:snapToGrid w:val="0"/>
      <w:spacing w:after="120" w:line="360" w:lineRule="auto"/>
      <w:ind w:left="420" w:leftChars="200" w:firstLine="480" w:firstLineChars="200"/>
    </w:pPr>
    <w:rPr>
      <w:sz w:val="24"/>
      <w:szCs w:val="21"/>
    </w:rPr>
  </w:style>
  <w:style w:type="paragraph" w:customStyle="1" w:styleId="79">
    <w:name w:val="正文_3"/>
    <w:autoRedefine/>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80">
    <w:name w:val="列出段落2"/>
    <w:basedOn w:val="1"/>
    <w:autoRedefine/>
    <w:unhideWhenUsed/>
    <w:qFormat/>
    <w:uiPriority w:val="99"/>
    <w:pPr>
      <w:spacing w:line="360" w:lineRule="auto"/>
      <w:ind w:firstLine="420" w:firstLineChars="200"/>
    </w:pPr>
    <w:rPr>
      <w:rFonts w:ascii="Calibri" w:hAnsi="Calibri" w:eastAsia="仿宋" w:cs="Times New Roman"/>
      <w:sz w:val="28"/>
      <w:szCs w:val="22"/>
    </w:rPr>
  </w:style>
  <w:style w:type="paragraph" w:customStyle="1" w:styleId="81">
    <w:name w:val="样式5"/>
    <w:basedOn w:val="1"/>
    <w:autoRedefine/>
    <w:qFormat/>
    <w:uiPriority w:val="0"/>
    <w:pPr>
      <w:adjustRightInd w:val="0"/>
      <w:spacing w:line="440" w:lineRule="exact"/>
      <w:ind w:left="2" w:firstLine="480" w:firstLineChars="200"/>
    </w:pPr>
    <w:rPr>
      <w:rFonts w:ascii="仿宋_GB2312" w:hAnsi="仿宋" w:eastAsia="仿宋_GB2312"/>
      <w:sz w:val="24"/>
    </w:rPr>
  </w:style>
  <w:style w:type="paragraph" w:customStyle="1" w:styleId="82">
    <w:name w:val="正文-2字符首行缩进"/>
    <w:basedOn w:val="1"/>
    <w:autoRedefine/>
    <w:qFormat/>
    <w:uiPriority w:val="0"/>
    <w:pPr>
      <w:spacing w:line="360" w:lineRule="auto"/>
      <w:ind w:firstLine="200" w:firstLineChars="200"/>
    </w:pPr>
    <w:rPr>
      <w:rFonts w:ascii="仿宋_GB2312" w:hAnsi="宋体" w:eastAsia="仿宋_GB2312" w:cs="Times New Roman"/>
      <w:sz w:val="28"/>
      <w:szCs w:val="22"/>
    </w:rPr>
  </w:style>
  <w:style w:type="paragraph" w:styleId="83">
    <w:name w:val="List Paragraph"/>
    <w:basedOn w:val="1"/>
    <w:autoRedefine/>
    <w:qFormat/>
    <w:uiPriority w:val="34"/>
    <w:pPr>
      <w:ind w:firstLine="420" w:firstLineChars="200"/>
    </w:pPr>
  </w:style>
  <w:style w:type="paragraph" w:customStyle="1" w:styleId="84">
    <w:name w:val="Table Paragraph"/>
    <w:basedOn w:val="1"/>
    <w:autoRedefine/>
    <w:qFormat/>
    <w:uiPriority w:val="1"/>
    <w:pPr>
      <w:jc w:val="left"/>
    </w:pPr>
    <w:rPr>
      <w:rFonts w:ascii="Calibri" w:hAnsi="Calibri"/>
      <w:kern w:val="0"/>
      <w:sz w:val="22"/>
      <w:szCs w:val="22"/>
      <w:lang w:eastAsia="en-US"/>
    </w:rPr>
  </w:style>
  <w:style w:type="paragraph" w:customStyle="1" w:styleId="85">
    <w:name w:val="表内文字"/>
    <w:basedOn w:val="1"/>
    <w:autoRedefine/>
    <w:qFormat/>
    <w:uiPriority w:val="0"/>
    <w:pPr>
      <w:snapToGrid w:val="0"/>
      <w:spacing w:before="50" w:after="50"/>
      <w:jc w:val="center"/>
    </w:pPr>
    <w:rPr>
      <w:rFonts w:ascii="仿宋_GB2312" w:hAnsi="宋体" w:eastAsia="仿宋_GB2312"/>
      <w:b/>
      <w:color w:val="000000"/>
      <w:sz w:val="32"/>
      <w:szCs w:val="32"/>
    </w:rPr>
  </w:style>
  <w:style w:type="paragraph" w:customStyle="1" w:styleId="86">
    <w:name w:val="正文_2"/>
    <w:autoRedefine/>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87">
    <w:name w:val="默认段落字体 Para Char Char Char Char Char Char Char Char Char1 Char Char Char Char"/>
    <w:basedOn w:val="1"/>
    <w:autoRedefine/>
    <w:qFormat/>
    <w:uiPriority w:val="0"/>
    <w:rPr>
      <w:rFonts w:ascii="Tahoma" w:hAnsi="Tahoma"/>
      <w:sz w:val="24"/>
      <w:szCs w:val="20"/>
    </w:rPr>
  </w:style>
  <w:style w:type="paragraph" w:customStyle="1" w:styleId="88">
    <w:name w:val="无间隔1"/>
    <w:autoRedefine/>
    <w:qFormat/>
    <w:uiPriority w:val="99"/>
    <w:pPr>
      <w:widowControl w:val="0"/>
      <w:jc w:val="both"/>
    </w:pPr>
    <w:rPr>
      <w:rFonts w:ascii="Times New Roman" w:hAnsi="Times New Roman" w:eastAsia="宋体" w:cs="Times New Roman"/>
      <w:kern w:val="2"/>
      <w:sz w:val="21"/>
      <w:szCs w:val="21"/>
      <w:lang w:val="en-US" w:eastAsia="zh-CN" w:bidi="ar-SA"/>
    </w:rPr>
  </w:style>
  <w:style w:type="paragraph" w:customStyle="1" w:styleId="89">
    <w:name w:val="正文_4"/>
    <w:autoRedefine/>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90">
    <w:name w:val="正文_3_0"/>
    <w:autoRedefine/>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91">
    <w:name w:val="正文_4_0"/>
    <w:autoRedefine/>
    <w:qFormat/>
    <w:uiPriority w:val="0"/>
    <w:pPr>
      <w:widowControl w:val="0"/>
      <w:jc w:val="both"/>
    </w:pPr>
    <w:rPr>
      <w:rFonts w:ascii="Calibri" w:hAnsi="Calibri" w:eastAsia="宋体" w:cs="Times New Roman"/>
      <w:kern w:val="2"/>
      <w:sz w:val="21"/>
      <w:szCs w:val="22"/>
      <w:lang w:val="en-US" w:eastAsia="zh-CN" w:bidi="ar-SA"/>
    </w:rPr>
  </w:style>
  <w:style w:type="paragraph" w:customStyle="1" w:styleId="92">
    <w:name w:val="reader-word-layer_0"/>
    <w:basedOn w:val="89"/>
    <w:autoRedefine/>
    <w:qFormat/>
    <w:uiPriority w:val="0"/>
    <w:pPr>
      <w:widowControl/>
      <w:spacing w:before="100" w:beforeAutospacing="1" w:after="100" w:afterAutospacing="1"/>
      <w:jc w:val="left"/>
    </w:pPr>
    <w:rPr>
      <w:rFonts w:ascii="宋体" w:hAnsi="宋体" w:cs="宋体"/>
      <w:kern w:val="0"/>
      <w:sz w:val="24"/>
      <w:szCs w:val="24"/>
    </w:rPr>
  </w:style>
  <w:style w:type="paragraph" w:customStyle="1" w:styleId="93">
    <w:name w:val="标题 1_2"/>
    <w:basedOn w:val="89"/>
    <w:next w:val="89"/>
    <w:autoRedefine/>
    <w:qFormat/>
    <w:uiPriority w:val="0"/>
    <w:pPr>
      <w:keepNext/>
      <w:keepLines/>
      <w:spacing w:line="360" w:lineRule="auto"/>
      <w:outlineLvl w:val="0"/>
    </w:pPr>
    <w:rPr>
      <w:rFonts w:ascii="Times New Roman" w:hAnsi="Times New Roman"/>
      <w:b/>
      <w:bCs/>
      <w:kern w:val="44"/>
      <w:sz w:val="32"/>
      <w:szCs w:val="44"/>
    </w:rPr>
  </w:style>
  <w:style w:type="paragraph" w:customStyle="1" w:styleId="94">
    <w:name w:val="正文_2_0"/>
    <w:autoRedefine/>
    <w:qFormat/>
    <w:uiPriority w:val="0"/>
    <w:pPr>
      <w:widowControl w:val="0"/>
      <w:jc w:val="both"/>
    </w:pPr>
    <w:rPr>
      <w:rFonts w:ascii="Calibri" w:hAnsi="Calibri" w:eastAsia="宋体" w:cs="Times New Roman"/>
      <w:kern w:val="2"/>
      <w:sz w:val="21"/>
      <w:szCs w:val="22"/>
      <w:lang w:val="en-US" w:eastAsia="zh-CN" w:bidi="ar-SA"/>
    </w:rPr>
  </w:style>
  <w:style w:type="paragraph" w:customStyle="1" w:styleId="95">
    <w:name w:val="p15"/>
    <w:basedOn w:val="1"/>
    <w:autoRedefine/>
    <w:qFormat/>
    <w:uiPriority w:val="0"/>
    <w:pPr>
      <w:widowControl/>
    </w:pPr>
    <w:rPr>
      <w:rFonts w:ascii="宋体" w:hAnsi="宋体" w:cs="宋体"/>
      <w:kern w:val="0"/>
      <w:szCs w:val="21"/>
    </w:rPr>
  </w:style>
  <w:style w:type="paragraph" w:customStyle="1" w:styleId="96">
    <w:name w:val="正文小标题"/>
    <w:basedOn w:val="3"/>
    <w:link w:val="101"/>
    <w:autoRedefine/>
    <w:qFormat/>
    <w:uiPriority w:val="0"/>
    <w:pPr>
      <w:keepLines w:val="0"/>
      <w:spacing w:before="240" w:after="240" w:line="420" w:lineRule="exact"/>
    </w:pPr>
    <w:rPr>
      <w:rFonts w:hAnsi="宋体"/>
      <w:b w:val="0"/>
      <w:bCs w:val="0"/>
      <w:kern w:val="0"/>
      <w:sz w:val="21"/>
      <w:szCs w:val="21"/>
    </w:rPr>
  </w:style>
  <w:style w:type="paragraph" w:customStyle="1" w:styleId="97">
    <w:name w:val="WPSOffice手动目录 1"/>
    <w:autoRedefine/>
    <w:qFormat/>
    <w:uiPriority w:val="0"/>
    <w:pPr>
      <w:ind w:leftChars="0"/>
    </w:pPr>
    <w:rPr>
      <w:rFonts w:ascii="Times New Roman" w:hAnsi="Times New Roman" w:eastAsia="宋体" w:cs="Times New Roman"/>
      <w:sz w:val="20"/>
      <w:szCs w:val="20"/>
    </w:rPr>
  </w:style>
  <w:style w:type="paragraph" w:customStyle="1" w:styleId="98">
    <w:name w:val="WPSOffice手动目录 2"/>
    <w:autoRedefine/>
    <w:qFormat/>
    <w:uiPriority w:val="0"/>
    <w:pPr>
      <w:ind w:leftChars="200"/>
    </w:pPr>
    <w:rPr>
      <w:rFonts w:ascii="Times New Roman" w:hAnsi="Times New Roman" w:eastAsia="宋体" w:cs="Times New Roman"/>
      <w:sz w:val="20"/>
      <w:szCs w:val="20"/>
    </w:rPr>
  </w:style>
  <w:style w:type="paragraph" w:customStyle="1" w:styleId="99">
    <w:name w:val="WPSOffice手动目录 3"/>
    <w:autoRedefine/>
    <w:qFormat/>
    <w:uiPriority w:val="0"/>
    <w:pPr>
      <w:ind w:leftChars="400"/>
    </w:pPr>
    <w:rPr>
      <w:rFonts w:ascii="Times New Roman" w:hAnsi="Times New Roman" w:eastAsia="宋体" w:cs="Times New Roman"/>
      <w:sz w:val="20"/>
      <w:szCs w:val="20"/>
    </w:rPr>
  </w:style>
  <w:style w:type="paragraph" w:customStyle="1" w:styleId="100">
    <w:name w:val="Normal_0"/>
    <w:autoRedefine/>
    <w:qFormat/>
    <w:uiPriority w:val="0"/>
    <w:rPr>
      <w:rFonts w:ascii="Times New Roman" w:hAnsi="Times New Roman" w:eastAsia="Times New Roman" w:cs="Times New Roman"/>
      <w:sz w:val="24"/>
      <w:szCs w:val="24"/>
    </w:rPr>
  </w:style>
  <w:style w:type="character" w:customStyle="1" w:styleId="101">
    <w:name w:val="正文小标题 Char"/>
    <w:link w:val="96"/>
    <w:qFormat/>
    <w:uiPriority w:val="0"/>
    <w:rPr>
      <w:rFonts w:hAnsi="宋体"/>
      <w:kern w:val="0"/>
      <w:sz w:val="21"/>
      <w:szCs w:val="21"/>
    </w:rPr>
  </w:style>
  <w:style w:type="paragraph" w:customStyle="1" w:styleId="102">
    <w:name w:val="正文呀2"/>
    <w:basedOn w:val="103"/>
    <w:qFormat/>
    <w:uiPriority w:val="0"/>
    <w:rPr>
      <w:rFonts w:ascii="Times New Roman" w:hAnsi="Times New Roman"/>
    </w:rPr>
  </w:style>
  <w:style w:type="paragraph" w:customStyle="1" w:styleId="103">
    <w:name w:val="正文呀"/>
    <w:basedOn w:val="1"/>
    <w:qFormat/>
    <w:uiPriority w:val="0"/>
    <w:pPr>
      <w:spacing w:line="420" w:lineRule="exact"/>
      <w:ind w:firstLine="420" w:firstLineChars="200"/>
    </w:pPr>
    <w:rPr>
      <w:rFonts w:ascii="宋体" w:hAnsi="宋体"/>
    </w:rPr>
  </w:style>
  <w:style w:type="paragraph" w:customStyle="1" w:styleId="104">
    <w:name w:val="Blockquote"/>
    <w:basedOn w:val="1"/>
    <w:qFormat/>
    <w:uiPriority w:val="0"/>
    <w:pPr>
      <w:autoSpaceDE w:val="0"/>
      <w:autoSpaceDN w:val="0"/>
      <w:adjustRightInd w:val="0"/>
      <w:spacing w:before="100" w:after="100"/>
      <w:ind w:left="360" w:right="360"/>
    </w:pPr>
    <w:rPr>
      <w:rFonts w:ascii="Calibri" w:hAnsi="Calibri"/>
      <w:sz w:val="24"/>
      <w:szCs w:val="20"/>
    </w:rPr>
  </w:style>
</w:styles>
</file>

<file path=word/_rels/document.xml.rels><?xml version="1.0" encoding="UTF-8" standalone="yes"?>
<Relationships xmlns="http://schemas.openxmlformats.org/package/2006/relationships"><Relationship Id="rId9" Type="http://schemas.openxmlformats.org/officeDocument/2006/relationships/header" Target="header5.xml"/><Relationship Id="rId8" Type="http://schemas.openxmlformats.org/officeDocument/2006/relationships/header" Target="header4.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theme" Target="theme/theme1.xml"/><Relationship Id="rId17" Type="http://schemas.openxmlformats.org/officeDocument/2006/relationships/footer" Target="footer8.xml"/><Relationship Id="rId16" Type="http://schemas.openxmlformats.org/officeDocument/2006/relationships/header" Target="header7.xml"/><Relationship Id="rId15" Type="http://schemas.openxmlformats.org/officeDocument/2006/relationships/footer" Target="footer7.xml"/><Relationship Id="rId14" Type="http://schemas.openxmlformats.org/officeDocument/2006/relationships/footer" Target="footer6.xml"/><Relationship Id="rId13" Type="http://schemas.openxmlformats.org/officeDocument/2006/relationships/header" Target="header6.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广西云龙招标有限公司</Company>
  <Pages>107</Pages>
  <Words>1174</Words>
  <Characters>1409</Characters>
  <Lines>638</Lines>
  <Paragraphs>179</Paragraphs>
  <TotalTime>17</TotalTime>
  <ScaleCrop>false</ScaleCrop>
  <LinksUpToDate>false</LinksUpToDate>
  <CharactersWithSpaces>1459</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2021-08-17T04:20:00Z</dcterms:created>
  <dc:creator>唐冰</dc:creator>
  <cp:lastModifiedBy>Administrator</cp:lastModifiedBy>
  <cp:lastPrinted>2023-03-22T02:36:00Z</cp:lastPrinted>
  <dcterms:modified xsi:type="dcterms:W3CDTF">2026-01-12T03:21:08Z</dcterms:modified>
  <dc:title>竞争性谈判文件规范</dc:title>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745BD094B9B449FE9BDFF53F66B9CD01_13</vt:lpwstr>
  </property>
  <property fmtid="{D5CDD505-2E9C-101B-9397-08002B2CF9AE}" pid="4" name="KSOTemplateDocerSaveRecord">
    <vt:lpwstr>eyJoZGlkIjoiZWI2NWJhMGM0OTFmNTZhNDdiNjkxYjZjMzA3ZGYzNjEiLCJ1c2VySWQiOiI2Njk4Nzg0MjUifQ==</vt:lpwstr>
  </property>
</Properties>
</file>