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98783">
      <w:pPr>
        <w:shd w:val="clear"/>
        <w:jc w:val="center"/>
        <w:rPr>
          <w:rFonts w:hint="eastAsia" w:ascii="仿宋" w:hAnsi="仿宋" w:eastAsia="仿宋" w:cs="仿宋"/>
          <w:highlight w:val="none"/>
        </w:rPr>
      </w:pPr>
      <w:r>
        <w:rPr>
          <w:rFonts w:ascii="仿宋" w:hAnsi="仿宋" w:eastAsia="仿宋" w:cs="仿宋"/>
          <w:highlight w:val="none"/>
        </w:rPr>
        <w:drawing>
          <wp:inline distT="0" distB="0" distL="114300" distR="114300">
            <wp:extent cx="899160" cy="932815"/>
            <wp:effectExtent l="0" t="0" r="15240" b="635"/>
            <wp:docPr id="1" name="图片 2"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科文名片"/>
                    <pic:cNvPicPr>
                      <a:picLocks noChangeAspect="1"/>
                    </pic:cNvPicPr>
                  </pic:nvPicPr>
                  <pic:blipFill>
                    <a:blip r:embed="rId12"/>
                    <a:stretch>
                      <a:fillRect/>
                    </a:stretch>
                  </pic:blipFill>
                  <pic:spPr>
                    <a:xfrm>
                      <a:off x="0" y="0"/>
                      <a:ext cx="899160" cy="932815"/>
                    </a:xfrm>
                    <a:prstGeom prst="rect">
                      <a:avLst/>
                    </a:prstGeom>
                    <a:noFill/>
                    <a:ln>
                      <a:noFill/>
                    </a:ln>
                  </pic:spPr>
                </pic:pic>
              </a:graphicData>
            </a:graphic>
          </wp:inline>
        </w:drawing>
      </w:r>
    </w:p>
    <w:p w14:paraId="56EE60AC">
      <w:pPr>
        <w:shd w:val="clear"/>
        <w:jc w:val="center"/>
        <w:rPr>
          <w:rFonts w:hint="eastAsia" w:ascii="仿宋" w:hAnsi="仿宋" w:eastAsia="仿宋" w:cs="仿宋"/>
          <w:kern w:val="0"/>
          <w:sz w:val="52"/>
          <w:szCs w:val="21"/>
          <w:highlight w:val="none"/>
        </w:rPr>
      </w:pPr>
      <w:r>
        <w:rPr>
          <w:rFonts w:hint="eastAsia" w:ascii="仿宋" w:hAnsi="仿宋" w:eastAsia="仿宋" w:cs="仿宋"/>
          <w:kern w:val="0"/>
          <w:sz w:val="52"/>
          <w:szCs w:val="21"/>
          <w:highlight w:val="none"/>
        </w:rPr>
        <w:t>广 西 科 文 招 标 有 限 公 司</w:t>
      </w:r>
    </w:p>
    <w:p w14:paraId="353EAF54">
      <w:pPr>
        <w:shd w:val="clear"/>
        <w:jc w:val="center"/>
        <w:rPr>
          <w:rFonts w:hint="eastAsia" w:ascii="仿宋" w:hAnsi="仿宋" w:eastAsia="仿宋" w:cs="仿宋"/>
          <w:b/>
          <w:kern w:val="0"/>
          <w:sz w:val="44"/>
          <w:szCs w:val="44"/>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99060</wp:posOffset>
                </wp:positionV>
                <wp:extent cx="5486400" cy="0"/>
                <wp:effectExtent l="0" t="6350" r="0" b="6350"/>
                <wp:wrapNone/>
                <wp:docPr id="2" name="直接连接符 8"/>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8" o:spid="_x0000_s1026" o:spt="20" style="position:absolute;left:0pt;margin-left:9pt;margin-top:7.8pt;height:0pt;width:432pt;z-index:251661312;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awUM&#10;1AAAAAgBAAAPAAAAAAAAAAEAIAAAACIAAABkcnMvZG93bnJldi54bWxQSwECFAAUAAAACACHTuJA&#10;cbV4d+wBAADZAwAADgAAAAAAAAABACAAAAAjAQAAZHJzL2Uyb0RvYy54bWxQSwUGAAAAAAYABgBZ&#10;AQAAgQUAAAAA&#10;">
                <v:fill on="f" focussize="0,0"/>
                <v:stroke weight="1pt" color="#000000" joinstyle="round"/>
                <v:imagedata o:title=""/>
                <o:lock v:ext="edit" aspectratio="f"/>
              </v:line>
            </w:pict>
          </mc:Fallback>
        </mc:AlternateContent>
      </w:r>
    </w:p>
    <w:p w14:paraId="413E1C87">
      <w:pPr>
        <w:pStyle w:val="17"/>
        <w:shd w:val="clear"/>
        <w:tabs>
          <w:tab w:val="center" w:pos="4536"/>
          <w:tab w:val="right" w:pos="9072"/>
        </w:tabs>
        <w:jc w:val="left"/>
        <w:rPr>
          <w:rFonts w:hint="eastAsia" w:ascii="仿宋" w:hAnsi="仿宋" w:eastAsia="仿宋" w:cs="仿宋"/>
          <w:b/>
          <w:sz w:val="44"/>
          <w:szCs w:val="44"/>
          <w:highlight w:val="none"/>
        </w:rPr>
      </w:pPr>
    </w:p>
    <w:p w14:paraId="06D95172">
      <w:pPr>
        <w:shd w:val="clear"/>
        <w:snapToGrid w:val="0"/>
        <w:spacing w:before="156" w:beforeLines="50" w:line="360" w:lineRule="auto"/>
        <w:jc w:val="center"/>
        <w:rPr>
          <w:rFonts w:hint="eastAsia" w:ascii="仿宋" w:hAnsi="仿宋" w:eastAsia="仿宋" w:cs="仿宋"/>
          <w:sz w:val="120"/>
          <w:szCs w:val="120"/>
          <w:highlight w:val="none"/>
        </w:rPr>
      </w:pPr>
      <w:r>
        <w:rPr>
          <w:rFonts w:hint="eastAsia" w:ascii="仿宋" w:hAnsi="仿宋" w:eastAsia="仿宋" w:cs="仿宋"/>
          <w:sz w:val="96"/>
          <w:szCs w:val="96"/>
          <w:highlight w:val="none"/>
        </w:rPr>
        <w:t>竞争性磋商文件</w:t>
      </w:r>
    </w:p>
    <w:p w14:paraId="5A163331">
      <w:pPr>
        <w:shd w:val="clear"/>
        <w:snapToGrid w:val="0"/>
        <w:spacing w:before="156" w:beforeLines="50" w:line="360" w:lineRule="auto"/>
        <w:jc w:val="center"/>
        <w:rPr>
          <w:rFonts w:hint="eastAsia" w:ascii="仿宋" w:hAnsi="仿宋" w:eastAsia="仿宋" w:cs="仿宋"/>
          <w:b/>
          <w:sz w:val="48"/>
          <w:szCs w:val="48"/>
          <w:highlight w:val="none"/>
        </w:rPr>
      </w:pPr>
      <w:r>
        <w:rPr>
          <w:rFonts w:hint="eastAsia" w:ascii="仿宋" w:hAnsi="仿宋" w:eastAsia="仿宋" w:cs="仿宋"/>
          <w:sz w:val="20"/>
          <w:szCs w:val="20"/>
          <w:highlight w:val="none"/>
        </w:rPr>
        <w:t>（全流程电子化采购）</w:t>
      </w:r>
    </w:p>
    <w:p w14:paraId="20B6C228">
      <w:pPr>
        <w:pStyle w:val="17"/>
        <w:shd w:val="clear"/>
        <w:snapToGrid w:val="0"/>
        <w:spacing w:line="360" w:lineRule="auto"/>
        <w:jc w:val="center"/>
        <w:rPr>
          <w:rFonts w:hint="eastAsia" w:ascii="仿宋" w:hAnsi="仿宋" w:eastAsia="仿宋" w:cs="仿宋"/>
          <w:b/>
          <w:bCs/>
          <w:sz w:val="30"/>
          <w:szCs w:val="30"/>
          <w:highlight w:val="none"/>
        </w:rPr>
      </w:pPr>
    </w:p>
    <w:p w14:paraId="1E434CD4">
      <w:pPr>
        <w:pStyle w:val="17"/>
        <w:shd w:val="clear"/>
        <w:snapToGrid w:val="0"/>
        <w:spacing w:line="360" w:lineRule="auto"/>
        <w:jc w:val="center"/>
        <w:rPr>
          <w:rFonts w:hint="eastAsia" w:ascii="仿宋" w:hAnsi="仿宋" w:eastAsia="仿宋" w:cs="仿宋"/>
          <w:b/>
          <w:bCs/>
          <w:kern w:val="44"/>
          <w:sz w:val="32"/>
          <w:szCs w:val="32"/>
          <w:highlight w:val="none"/>
        </w:rPr>
      </w:pPr>
      <w:r>
        <w:rPr>
          <w:rFonts w:hint="eastAsia" w:ascii="仿宋" w:hAnsi="仿宋" w:eastAsia="仿宋" w:cs="仿宋"/>
          <w:b/>
          <w:bCs/>
          <w:kern w:val="44"/>
          <w:sz w:val="32"/>
          <w:szCs w:val="32"/>
          <w:highlight w:val="none"/>
        </w:rPr>
        <w:t>项目名称：广西大学机械教学实验中心大楼实验室工艺建设项目施工图设计服务（重）</w:t>
      </w:r>
    </w:p>
    <w:p w14:paraId="16E721C2">
      <w:pPr>
        <w:pStyle w:val="17"/>
        <w:shd w:val="clear"/>
        <w:snapToGrid w:val="0"/>
        <w:spacing w:line="360" w:lineRule="auto"/>
        <w:jc w:val="center"/>
        <w:rPr>
          <w:rFonts w:hint="eastAsia" w:ascii="仿宋" w:hAnsi="仿宋" w:eastAsia="仿宋" w:cs="仿宋"/>
          <w:b/>
          <w:bCs/>
          <w:kern w:val="44"/>
          <w:sz w:val="36"/>
          <w:szCs w:val="36"/>
          <w:highlight w:val="none"/>
        </w:rPr>
      </w:pPr>
      <w:r>
        <w:rPr>
          <w:rFonts w:hint="eastAsia" w:ascii="仿宋" w:hAnsi="仿宋" w:eastAsia="仿宋" w:cs="仿宋"/>
          <w:b/>
          <w:bCs/>
          <w:kern w:val="44"/>
          <w:sz w:val="32"/>
          <w:szCs w:val="32"/>
          <w:highlight w:val="none"/>
        </w:rPr>
        <w:t>项目编号：</w:t>
      </w:r>
      <w:r>
        <w:rPr>
          <w:rFonts w:hint="eastAsia" w:ascii="仿宋" w:hAnsi="仿宋" w:eastAsia="仿宋" w:cs="仿宋"/>
          <w:b/>
          <w:bCs/>
          <w:kern w:val="44"/>
          <w:sz w:val="36"/>
          <w:szCs w:val="36"/>
          <w:highlight w:val="none"/>
        </w:rPr>
        <w:t>GXZC2026-C3-000069-KWZB</w:t>
      </w:r>
    </w:p>
    <w:p w14:paraId="3C06C08E">
      <w:pPr>
        <w:pStyle w:val="17"/>
        <w:shd w:val="clear"/>
        <w:snapToGrid w:val="0"/>
        <w:spacing w:line="360" w:lineRule="auto"/>
        <w:ind w:firstLine="1205" w:firstLineChars="400"/>
        <w:rPr>
          <w:rFonts w:hint="eastAsia" w:ascii="仿宋" w:hAnsi="仿宋" w:eastAsia="仿宋" w:cs="仿宋"/>
          <w:b/>
          <w:bCs/>
          <w:sz w:val="30"/>
          <w:szCs w:val="30"/>
          <w:highlight w:val="none"/>
        </w:rPr>
      </w:pPr>
    </w:p>
    <w:p w14:paraId="6A15E073">
      <w:pPr>
        <w:shd w:val="clear"/>
        <w:snapToGrid w:val="0"/>
        <w:spacing w:line="360" w:lineRule="auto"/>
        <w:ind w:firstLine="1145" w:firstLineChars="400"/>
        <w:rPr>
          <w:rFonts w:hint="eastAsia" w:ascii="仿宋" w:hAnsi="仿宋" w:eastAsia="仿宋" w:cs="仿宋"/>
          <w:b/>
          <w:bCs/>
          <w:w w:val="95"/>
          <w:sz w:val="30"/>
          <w:szCs w:val="30"/>
          <w:highlight w:val="none"/>
        </w:rPr>
      </w:pPr>
    </w:p>
    <w:p w14:paraId="645085F3">
      <w:pPr>
        <w:shd w:val="clear"/>
        <w:snapToGrid w:val="0"/>
        <w:spacing w:line="360" w:lineRule="auto"/>
        <w:ind w:firstLine="1145" w:firstLineChars="400"/>
        <w:rPr>
          <w:rFonts w:hint="eastAsia" w:ascii="仿宋" w:hAnsi="仿宋" w:eastAsia="仿宋" w:cs="仿宋"/>
          <w:b/>
          <w:bCs/>
          <w:w w:val="95"/>
          <w:sz w:val="30"/>
          <w:szCs w:val="30"/>
          <w:highlight w:val="none"/>
        </w:rPr>
      </w:pPr>
    </w:p>
    <w:p w14:paraId="002FA3E2">
      <w:pPr>
        <w:shd w:val="clear"/>
        <w:snapToGrid w:val="0"/>
        <w:spacing w:line="360" w:lineRule="auto"/>
        <w:ind w:firstLine="1205" w:firstLineChars="400"/>
        <w:rPr>
          <w:rFonts w:hint="eastAsia" w:ascii="仿宋" w:hAnsi="仿宋" w:eastAsia="仿宋" w:cs="仿宋"/>
          <w:sz w:val="30"/>
          <w:szCs w:val="72"/>
          <w:highlight w:val="none"/>
        </w:rPr>
      </w:pPr>
      <w:r>
        <w:rPr>
          <w:rFonts w:hint="eastAsia" w:ascii="仿宋" w:hAnsi="仿宋" w:eastAsia="仿宋" w:cs="仿宋"/>
          <w:b/>
          <w:sz w:val="30"/>
          <w:szCs w:val="48"/>
          <w:highlight w:val="none"/>
        </w:rPr>
        <w:t xml:space="preserve"> </w:t>
      </w:r>
    </w:p>
    <w:p w14:paraId="3EAEB818">
      <w:pPr>
        <w:pStyle w:val="17"/>
        <w:shd w:val="clear"/>
        <w:snapToGrid w:val="0"/>
        <w:spacing w:line="360" w:lineRule="auto"/>
        <w:jc w:val="center"/>
        <w:rPr>
          <w:rFonts w:hint="eastAsia" w:ascii="仿宋" w:hAnsi="仿宋" w:eastAsia="仿宋" w:cs="仿宋"/>
          <w:b/>
          <w:bCs/>
          <w:w w:val="95"/>
          <w:sz w:val="30"/>
          <w:szCs w:val="30"/>
          <w:highlight w:val="none"/>
        </w:rPr>
      </w:pPr>
      <w:r>
        <w:rPr>
          <w:rFonts w:hint="eastAsia" w:ascii="仿宋" w:hAnsi="仿宋" w:eastAsia="仿宋" w:cs="仿宋"/>
          <w:b/>
          <w:bCs/>
          <w:w w:val="95"/>
          <w:sz w:val="30"/>
          <w:szCs w:val="30"/>
          <w:highlight w:val="none"/>
        </w:rPr>
        <w:t>采 购 人：</w:t>
      </w:r>
      <w:r>
        <w:rPr>
          <w:rFonts w:hint="eastAsia" w:ascii="仿宋" w:hAnsi="仿宋" w:eastAsia="仿宋" w:cs="仿宋"/>
          <w:b/>
          <w:sz w:val="32"/>
          <w:szCs w:val="32"/>
          <w:highlight w:val="none"/>
        </w:rPr>
        <w:t>广西大学</w:t>
      </w:r>
    </w:p>
    <w:p w14:paraId="4FD943E4">
      <w:pPr>
        <w:pStyle w:val="17"/>
        <w:shd w:val="clear"/>
        <w:snapToGrid w:val="0"/>
        <w:spacing w:line="360" w:lineRule="auto"/>
        <w:jc w:val="center"/>
        <w:rPr>
          <w:rFonts w:hint="eastAsia" w:ascii="仿宋" w:hAnsi="仿宋" w:eastAsia="仿宋" w:cs="仿宋"/>
          <w:b/>
          <w:bCs/>
          <w:w w:val="95"/>
          <w:sz w:val="30"/>
          <w:szCs w:val="30"/>
          <w:highlight w:val="none"/>
        </w:rPr>
      </w:pPr>
      <w:r>
        <w:rPr>
          <w:rFonts w:hint="eastAsia" w:ascii="仿宋" w:hAnsi="仿宋" w:eastAsia="仿宋" w:cs="仿宋"/>
          <w:b/>
          <w:bCs/>
          <w:w w:val="95"/>
          <w:sz w:val="30"/>
          <w:szCs w:val="30"/>
          <w:highlight w:val="none"/>
        </w:rPr>
        <w:t>采购代理机构：</w:t>
      </w:r>
      <w:r>
        <w:rPr>
          <w:rFonts w:hint="eastAsia" w:ascii="仿宋" w:hAnsi="仿宋" w:eastAsia="仿宋" w:cs="仿宋"/>
          <w:b/>
          <w:sz w:val="32"/>
          <w:szCs w:val="32"/>
          <w:highlight w:val="none"/>
        </w:rPr>
        <w:t>广西科文招标有限公司</w:t>
      </w:r>
    </w:p>
    <w:p w14:paraId="0AD9C10E">
      <w:pPr>
        <w:pStyle w:val="17"/>
        <w:shd w:val="clear"/>
        <w:snapToGrid w:val="0"/>
        <w:spacing w:line="360" w:lineRule="auto"/>
        <w:ind w:left="420"/>
        <w:jc w:val="center"/>
        <w:rPr>
          <w:rFonts w:hint="eastAsia" w:ascii="仿宋" w:hAnsi="仿宋" w:eastAsia="仿宋" w:cs="仿宋"/>
          <w:b/>
          <w:bCs/>
          <w:w w:val="95"/>
          <w:sz w:val="30"/>
          <w:szCs w:val="30"/>
          <w:highlight w:val="none"/>
        </w:rPr>
      </w:pPr>
      <w:r>
        <w:rPr>
          <w:rFonts w:hint="eastAsia" w:ascii="仿宋" w:hAnsi="仿宋" w:eastAsia="仿宋" w:cs="仿宋"/>
          <w:b/>
          <w:bCs/>
          <w:w w:val="95"/>
          <w:sz w:val="30"/>
          <w:szCs w:val="30"/>
          <w:highlight w:val="none"/>
        </w:rPr>
        <w:t>2026年</w:t>
      </w:r>
      <w:r>
        <w:rPr>
          <w:rFonts w:hint="eastAsia" w:ascii="仿宋" w:hAnsi="仿宋" w:eastAsia="仿宋" w:cs="仿宋"/>
          <w:b/>
          <w:bCs/>
          <w:w w:val="95"/>
          <w:sz w:val="30"/>
          <w:szCs w:val="30"/>
          <w:highlight w:val="none"/>
          <w:lang w:val="en-US" w:eastAsia="zh-CN"/>
        </w:rPr>
        <w:t>1</w:t>
      </w:r>
      <w:r>
        <w:rPr>
          <w:rFonts w:hint="eastAsia" w:ascii="仿宋" w:hAnsi="仿宋" w:eastAsia="仿宋" w:cs="仿宋"/>
          <w:b/>
          <w:bCs/>
          <w:w w:val="95"/>
          <w:sz w:val="30"/>
          <w:szCs w:val="30"/>
          <w:highlight w:val="none"/>
        </w:rPr>
        <w:t>月</w:t>
      </w:r>
      <w:r>
        <w:rPr>
          <w:rFonts w:hint="eastAsia" w:ascii="仿宋" w:hAnsi="仿宋" w:eastAsia="仿宋" w:cs="仿宋"/>
          <w:b/>
          <w:bCs/>
          <w:w w:val="95"/>
          <w:sz w:val="30"/>
          <w:szCs w:val="30"/>
          <w:highlight w:val="none"/>
          <w:lang w:val="en-US" w:eastAsia="zh-CN"/>
        </w:rPr>
        <w:t>21</w:t>
      </w:r>
      <w:r>
        <w:rPr>
          <w:rFonts w:hint="eastAsia" w:ascii="仿宋" w:hAnsi="仿宋" w:eastAsia="仿宋" w:cs="仿宋"/>
          <w:b/>
          <w:bCs/>
          <w:w w:val="95"/>
          <w:sz w:val="30"/>
          <w:szCs w:val="30"/>
          <w:highlight w:val="none"/>
        </w:rPr>
        <w:t>日</w:t>
      </w:r>
    </w:p>
    <w:p w14:paraId="5ECFF15A">
      <w:pPr>
        <w:shd w:val="clear"/>
        <w:spacing w:line="360" w:lineRule="auto"/>
        <w:jc w:val="center"/>
        <w:rPr>
          <w:rFonts w:hint="eastAsia" w:ascii="仿宋" w:hAnsi="仿宋" w:eastAsia="仿宋" w:cs="仿宋"/>
          <w:b/>
          <w:bCs/>
          <w:kern w:val="0"/>
          <w:sz w:val="32"/>
          <w:szCs w:val="32"/>
          <w:highlight w:val="none"/>
        </w:rPr>
      </w:pPr>
    </w:p>
    <w:p w14:paraId="258D4391">
      <w:pPr>
        <w:shd w:val="clear"/>
        <w:spacing w:line="360" w:lineRule="auto"/>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r>
        <w:rPr>
          <w:rFonts w:hint="eastAsia" w:ascii="仿宋" w:hAnsi="仿宋" w:eastAsia="仿宋" w:cs="仿宋"/>
          <w:b/>
          <w:sz w:val="44"/>
          <w:szCs w:val="44"/>
          <w:highlight w:val="none"/>
        </w:rPr>
        <w:t>目  录</w:t>
      </w:r>
    </w:p>
    <w:p w14:paraId="3765E080">
      <w:pPr>
        <w:shd w:val="clear"/>
        <w:spacing w:line="400" w:lineRule="exact"/>
        <w:jc w:val="center"/>
        <w:rPr>
          <w:rFonts w:hint="eastAsia" w:ascii="仿宋" w:hAnsi="仿宋" w:eastAsia="仿宋" w:cs="仿宋"/>
          <w:b/>
          <w:sz w:val="44"/>
          <w:szCs w:val="44"/>
          <w:highlight w:val="none"/>
        </w:rPr>
      </w:pPr>
    </w:p>
    <w:p w14:paraId="26081CE2">
      <w:pPr>
        <w:pStyle w:val="23"/>
        <w:shd w:val="clear"/>
        <w:tabs>
          <w:tab w:val="right" w:leader="dot" w:pos="9072"/>
        </w:tabs>
        <w:rPr>
          <w:rFonts w:hint="eastAsia" w:ascii="仿宋" w:hAnsi="仿宋" w:eastAsia="仿宋" w:cs="仿宋"/>
          <w:sz w:val="28"/>
          <w:szCs w:val="36"/>
          <w:highlight w:val="none"/>
        </w:rPr>
      </w:pPr>
      <w:r>
        <w:rPr>
          <w:rFonts w:hint="eastAsia" w:ascii="仿宋" w:hAnsi="仿宋" w:eastAsia="仿宋" w:cs="仿宋"/>
          <w:b/>
          <w:bCs/>
          <w:caps/>
          <w:sz w:val="24"/>
          <w:highlight w:val="none"/>
        </w:rPr>
        <w:fldChar w:fldCharType="begin"/>
      </w:r>
      <w:r>
        <w:rPr>
          <w:rFonts w:hint="eastAsia" w:ascii="仿宋" w:hAnsi="仿宋" w:eastAsia="仿宋" w:cs="仿宋"/>
          <w:b/>
          <w:bCs/>
          <w:caps/>
          <w:sz w:val="24"/>
          <w:highlight w:val="none"/>
        </w:rPr>
        <w:instrText xml:space="preserve"> TOC \o "1-3" \h \z \u </w:instrText>
      </w:r>
      <w:r>
        <w:rPr>
          <w:rFonts w:hint="eastAsia" w:ascii="仿宋" w:hAnsi="仿宋" w:eastAsia="仿宋" w:cs="仿宋"/>
          <w:b/>
          <w:bCs/>
          <w:caps/>
          <w:sz w:val="24"/>
          <w:highlight w:val="none"/>
        </w:rPr>
        <w:fldChar w:fldCharType="separate"/>
      </w:r>
      <w:r>
        <w:rPr>
          <w:highlight w:val="none"/>
        </w:rPr>
        <w:fldChar w:fldCharType="begin"/>
      </w:r>
      <w:r>
        <w:rPr>
          <w:highlight w:val="none"/>
        </w:rPr>
        <w:instrText xml:space="preserve"> HYPERLINK \l "_Toc29415" </w:instrText>
      </w:r>
      <w:r>
        <w:rPr>
          <w:highlight w:val="none"/>
        </w:rPr>
        <w:fldChar w:fldCharType="separate"/>
      </w:r>
      <w:r>
        <w:rPr>
          <w:rFonts w:hint="eastAsia" w:ascii="仿宋" w:hAnsi="仿宋" w:eastAsia="仿宋" w:cs="仿宋"/>
          <w:sz w:val="28"/>
          <w:szCs w:val="36"/>
          <w:highlight w:val="none"/>
        </w:rPr>
        <w:t>第一章 竞争性磋商公告</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_Toc29415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2</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6BBA3036">
      <w:pPr>
        <w:pStyle w:val="23"/>
        <w:shd w:val="clear"/>
        <w:tabs>
          <w:tab w:val="right" w:leader="dot" w:pos="9072"/>
        </w:tabs>
        <w:rPr>
          <w:rFonts w:hint="eastAsia" w:ascii="仿宋" w:hAnsi="仿宋" w:eastAsia="仿宋" w:cs="仿宋"/>
          <w:sz w:val="28"/>
          <w:szCs w:val="36"/>
          <w:highlight w:val="none"/>
        </w:rPr>
      </w:pPr>
      <w:r>
        <w:rPr>
          <w:highlight w:val="none"/>
        </w:rPr>
        <w:fldChar w:fldCharType="begin"/>
      </w:r>
      <w:r>
        <w:rPr>
          <w:highlight w:val="none"/>
        </w:rPr>
        <w:instrText xml:space="preserve"> HYPERLINK \l "_Toc30495" </w:instrText>
      </w:r>
      <w:r>
        <w:rPr>
          <w:highlight w:val="none"/>
        </w:rPr>
        <w:fldChar w:fldCharType="separate"/>
      </w:r>
      <w:r>
        <w:rPr>
          <w:rFonts w:hint="eastAsia" w:ascii="仿宋" w:hAnsi="仿宋" w:eastAsia="仿宋" w:cs="仿宋"/>
          <w:sz w:val="28"/>
          <w:szCs w:val="36"/>
          <w:highlight w:val="none"/>
        </w:rPr>
        <w:t>第二章 供应商须知</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_Toc30495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7</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05427051">
      <w:pPr>
        <w:pStyle w:val="23"/>
        <w:shd w:val="clear"/>
        <w:tabs>
          <w:tab w:val="right" w:leader="dot" w:pos="9072"/>
        </w:tabs>
        <w:rPr>
          <w:rFonts w:hint="eastAsia" w:ascii="仿宋" w:hAnsi="仿宋" w:eastAsia="仿宋" w:cs="仿宋"/>
          <w:sz w:val="28"/>
          <w:szCs w:val="36"/>
          <w:highlight w:val="none"/>
        </w:rPr>
      </w:pPr>
      <w:r>
        <w:rPr>
          <w:highlight w:val="none"/>
        </w:rPr>
        <w:fldChar w:fldCharType="begin"/>
      </w:r>
      <w:r>
        <w:rPr>
          <w:highlight w:val="none"/>
        </w:rPr>
        <w:instrText xml:space="preserve"> HYPERLINK \l "_Toc10635" </w:instrText>
      </w:r>
      <w:r>
        <w:rPr>
          <w:highlight w:val="none"/>
        </w:rPr>
        <w:fldChar w:fldCharType="separate"/>
      </w:r>
      <w:r>
        <w:rPr>
          <w:rFonts w:hint="eastAsia" w:ascii="仿宋" w:hAnsi="仿宋" w:eastAsia="仿宋" w:cs="仿宋"/>
          <w:bCs/>
          <w:sz w:val="28"/>
          <w:szCs w:val="56"/>
          <w:highlight w:val="none"/>
        </w:rPr>
        <w:t>第三章 采购需求</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_Toc10635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29</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4AC72C33">
      <w:pPr>
        <w:pStyle w:val="23"/>
        <w:shd w:val="clear"/>
        <w:tabs>
          <w:tab w:val="right" w:leader="dot" w:pos="9072"/>
        </w:tabs>
        <w:rPr>
          <w:rFonts w:hint="eastAsia" w:ascii="仿宋" w:hAnsi="仿宋" w:eastAsia="仿宋" w:cs="仿宋"/>
          <w:sz w:val="28"/>
          <w:szCs w:val="36"/>
          <w:highlight w:val="none"/>
        </w:rPr>
      </w:pPr>
      <w:r>
        <w:rPr>
          <w:highlight w:val="none"/>
        </w:rPr>
        <w:fldChar w:fldCharType="begin"/>
      </w:r>
      <w:r>
        <w:rPr>
          <w:highlight w:val="none"/>
        </w:rPr>
        <w:instrText xml:space="preserve"> HYPERLINK \l "_Toc16830" </w:instrText>
      </w:r>
      <w:r>
        <w:rPr>
          <w:highlight w:val="none"/>
        </w:rPr>
        <w:fldChar w:fldCharType="separate"/>
      </w:r>
      <w:r>
        <w:rPr>
          <w:rFonts w:hint="eastAsia" w:ascii="仿宋" w:hAnsi="仿宋" w:eastAsia="仿宋" w:cs="仿宋"/>
          <w:sz w:val="28"/>
          <w:szCs w:val="36"/>
          <w:highlight w:val="none"/>
        </w:rPr>
        <w:t>第四章 评审程序、评审方法和评审标准</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_Toc16830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51</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78E67F46">
      <w:pPr>
        <w:pStyle w:val="23"/>
        <w:shd w:val="clear"/>
        <w:tabs>
          <w:tab w:val="right" w:leader="dot" w:pos="9072"/>
        </w:tabs>
        <w:rPr>
          <w:rFonts w:hint="eastAsia" w:ascii="仿宋" w:hAnsi="仿宋" w:eastAsia="仿宋" w:cs="仿宋"/>
          <w:sz w:val="28"/>
          <w:szCs w:val="36"/>
          <w:highlight w:val="none"/>
        </w:rPr>
      </w:pPr>
      <w:r>
        <w:rPr>
          <w:highlight w:val="none"/>
        </w:rPr>
        <w:fldChar w:fldCharType="begin"/>
      </w:r>
      <w:r>
        <w:rPr>
          <w:highlight w:val="none"/>
        </w:rPr>
        <w:instrText xml:space="preserve"> HYPERLINK \l "_Toc25779" </w:instrText>
      </w:r>
      <w:r>
        <w:rPr>
          <w:highlight w:val="none"/>
        </w:rPr>
        <w:fldChar w:fldCharType="separate"/>
      </w:r>
      <w:r>
        <w:rPr>
          <w:rFonts w:hint="eastAsia" w:ascii="仿宋" w:hAnsi="仿宋" w:eastAsia="仿宋" w:cs="仿宋"/>
          <w:sz w:val="28"/>
          <w:szCs w:val="36"/>
          <w:highlight w:val="none"/>
        </w:rPr>
        <w:t>第五章 响应文件格式</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_Toc25779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66</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6D5FC5C8">
      <w:pPr>
        <w:pStyle w:val="23"/>
        <w:shd w:val="clear"/>
        <w:tabs>
          <w:tab w:val="right" w:leader="dot" w:pos="9072"/>
        </w:tabs>
        <w:rPr>
          <w:highlight w:val="none"/>
        </w:rPr>
      </w:pPr>
      <w:r>
        <w:rPr>
          <w:highlight w:val="none"/>
        </w:rPr>
        <w:fldChar w:fldCharType="begin"/>
      </w:r>
      <w:r>
        <w:rPr>
          <w:highlight w:val="none"/>
        </w:rPr>
        <w:instrText xml:space="preserve"> HYPERLINK \l "_Toc2903" </w:instrText>
      </w:r>
      <w:r>
        <w:rPr>
          <w:highlight w:val="none"/>
        </w:rPr>
        <w:fldChar w:fldCharType="separate"/>
      </w:r>
      <w:r>
        <w:rPr>
          <w:rFonts w:hint="eastAsia" w:ascii="仿宋" w:hAnsi="仿宋" w:eastAsia="仿宋" w:cs="仿宋"/>
          <w:sz w:val="28"/>
          <w:szCs w:val="36"/>
          <w:highlight w:val="none"/>
        </w:rPr>
        <w:t>第六章 拟签订的合同文本</w:t>
      </w:r>
      <w:r>
        <w:rPr>
          <w:rFonts w:hint="eastAsia" w:ascii="仿宋" w:hAnsi="仿宋" w:eastAsia="仿宋" w:cs="仿宋"/>
          <w:sz w:val="28"/>
          <w:szCs w:val="36"/>
          <w:highlight w:val="none"/>
        </w:rPr>
        <w:tab/>
      </w:r>
      <w:r>
        <w:rPr>
          <w:rFonts w:hint="eastAsia" w:ascii="仿宋" w:hAnsi="仿宋" w:eastAsia="仿宋" w:cs="仿宋"/>
          <w:sz w:val="28"/>
          <w:szCs w:val="36"/>
          <w:highlight w:val="none"/>
        </w:rPr>
        <w:fldChar w:fldCharType="begin"/>
      </w:r>
      <w:r>
        <w:rPr>
          <w:rFonts w:hint="eastAsia" w:ascii="仿宋" w:hAnsi="仿宋" w:eastAsia="仿宋" w:cs="仿宋"/>
          <w:sz w:val="28"/>
          <w:szCs w:val="36"/>
          <w:highlight w:val="none"/>
        </w:rPr>
        <w:instrText xml:space="preserve"> PAGEREF _Toc2903 \h </w:instrText>
      </w:r>
      <w:r>
        <w:rPr>
          <w:rFonts w:hint="eastAsia" w:ascii="仿宋" w:hAnsi="仿宋" w:eastAsia="仿宋" w:cs="仿宋"/>
          <w:sz w:val="28"/>
          <w:szCs w:val="36"/>
          <w:highlight w:val="none"/>
        </w:rPr>
        <w:fldChar w:fldCharType="separate"/>
      </w:r>
      <w:r>
        <w:rPr>
          <w:rFonts w:hint="eastAsia" w:ascii="仿宋" w:hAnsi="仿宋" w:eastAsia="仿宋" w:cs="仿宋"/>
          <w:sz w:val="28"/>
          <w:szCs w:val="36"/>
          <w:highlight w:val="none"/>
        </w:rPr>
        <w:t>90</w:t>
      </w:r>
      <w:r>
        <w:rPr>
          <w:rFonts w:hint="eastAsia" w:ascii="仿宋" w:hAnsi="仿宋" w:eastAsia="仿宋" w:cs="仿宋"/>
          <w:sz w:val="28"/>
          <w:szCs w:val="36"/>
          <w:highlight w:val="none"/>
        </w:rPr>
        <w:fldChar w:fldCharType="end"/>
      </w:r>
      <w:r>
        <w:rPr>
          <w:rFonts w:hint="eastAsia" w:ascii="仿宋" w:hAnsi="仿宋" w:eastAsia="仿宋" w:cs="仿宋"/>
          <w:sz w:val="28"/>
          <w:szCs w:val="36"/>
          <w:highlight w:val="none"/>
        </w:rPr>
        <w:fldChar w:fldCharType="end"/>
      </w:r>
    </w:p>
    <w:p w14:paraId="24F9EF8A">
      <w:pPr>
        <w:pStyle w:val="23"/>
        <w:shd w:val="clear"/>
        <w:tabs>
          <w:tab w:val="right" w:leader="dot" w:pos="8730"/>
        </w:tabs>
        <w:spacing w:before="120" w:after="120"/>
        <w:ind w:firstLine="210" w:firstLineChars="100"/>
        <w:jc w:val="left"/>
        <w:rPr>
          <w:rFonts w:hint="eastAsia" w:ascii="仿宋" w:hAnsi="仿宋" w:eastAsia="仿宋" w:cs="仿宋"/>
          <w:b/>
          <w:sz w:val="24"/>
          <w:highlight w:val="none"/>
        </w:rPr>
      </w:pPr>
      <w:r>
        <w:rPr>
          <w:rFonts w:hint="eastAsia" w:ascii="仿宋" w:hAnsi="仿宋" w:eastAsia="仿宋" w:cs="仿宋"/>
          <w:bCs/>
          <w:caps/>
          <w:highlight w:val="none"/>
        </w:rPr>
        <w:fldChar w:fldCharType="end"/>
      </w:r>
    </w:p>
    <w:p w14:paraId="23674E29">
      <w:pPr>
        <w:shd w:val="clear"/>
        <w:spacing w:line="400" w:lineRule="exact"/>
        <w:jc w:val="left"/>
        <w:rPr>
          <w:rFonts w:hint="eastAsia" w:ascii="仿宋" w:hAnsi="仿宋" w:eastAsia="仿宋" w:cs="仿宋"/>
          <w:b/>
          <w:sz w:val="32"/>
          <w:szCs w:val="32"/>
          <w:highlight w:val="none"/>
        </w:rPr>
      </w:pPr>
    </w:p>
    <w:p w14:paraId="4D2E4A3E">
      <w:pPr>
        <w:shd w:val="clear"/>
        <w:spacing w:line="400" w:lineRule="exact"/>
        <w:jc w:val="center"/>
        <w:rPr>
          <w:rFonts w:hint="eastAsia" w:ascii="仿宋" w:hAnsi="仿宋" w:eastAsia="仿宋" w:cs="仿宋"/>
          <w:b/>
          <w:sz w:val="32"/>
          <w:szCs w:val="32"/>
          <w:highlight w:val="none"/>
        </w:rPr>
      </w:pPr>
    </w:p>
    <w:p w14:paraId="03E31414">
      <w:pPr>
        <w:shd w:val="clear"/>
        <w:spacing w:line="400" w:lineRule="exact"/>
        <w:jc w:val="center"/>
        <w:rPr>
          <w:rFonts w:hint="eastAsia" w:ascii="仿宋" w:hAnsi="仿宋" w:eastAsia="仿宋" w:cs="仿宋"/>
          <w:b/>
          <w:sz w:val="32"/>
          <w:szCs w:val="32"/>
          <w:highlight w:val="none"/>
        </w:rPr>
      </w:pPr>
    </w:p>
    <w:p w14:paraId="3985F7CB">
      <w:pPr>
        <w:shd w:val="clear"/>
        <w:spacing w:line="400" w:lineRule="exact"/>
        <w:jc w:val="center"/>
        <w:rPr>
          <w:rFonts w:hint="eastAsia" w:ascii="仿宋" w:hAnsi="仿宋" w:eastAsia="仿宋" w:cs="仿宋"/>
          <w:b/>
          <w:sz w:val="32"/>
          <w:szCs w:val="32"/>
          <w:highlight w:val="none"/>
        </w:rPr>
      </w:pPr>
    </w:p>
    <w:p w14:paraId="637FE6E2">
      <w:pPr>
        <w:pStyle w:val="25"/>
        <w:shd w:val="clear"/>
        <w:tabs>
          <w:tab w:val="right" w:leader="dot" w:pos="8931"/>
          <w:tab w:val="clear" w:pos="8296"/>
        </w:tabs>
        <w:snapToGrid w:val="0"/>
        <w:spacing w:line="500" w:lineRule="atLeast"/>
        <w:ind w:left="0" w:leftChars="0"/>
        <w:rPr>
          <w:rFonts w:hint="eastAsia" w:ascii="仿宋" w:hAnsi="仿宋" w:eastAsia="仿宋" w:cs="仿宋"/>
          <w:b/>
          <w:sz w:val="24"/>
          <w:highlight w:val="none"/>
        </w:rPr>
      </w:pPr>
    </w:p>
    <w:p w14:paraId="3CC95886">
      <w:pPr>
        <w:shd w:val="clear"/>
        <w:spacing w:line="400" w:lineRule="exact"/>
        <w:jc w:val="left"/>
        <w:rPr>
          <w:rFonts w:hint="eastAsia" w:ascii="仿宋" w:hAnsi="仿宋" w:eastAsia="仿宋" w:cs="仿宋"/>
          <w:b/>
          <w:sz w:val="32"/>
          <w:szCs w:val="32"/>
          <w:highlight w:val="none"/>
        </w:rPr>
      </w:pPr>
    </w:p>
    <w:p w14:paraId="1355E027">
      <w:pPr>
        <w:shd w:val="clear"/>
        <w:spacing w:line="400" w:lineRule="exact"/>
        <w:jc w:val="center"/>
        <w:rPr>
          <w:rFonts w:hint="eastAsia" w:ascii="仿宋" w:hAnsi="仿宋" w:eastAsia="仿宋" w:cs="仿宋"/>
          <w:b/>
          <w:sz w:val="32"/>
          <w:szCs w:val="32"/>
          <w:highlight w:val="none"/>
        </w:rPr>
      </w:pPr>
    </w:p>
    <w:p w14:paraId="6084F8FB">
      <w:pPr>
        <w:shd w:val="clear"/>
        <w:spacing w:line="400" w:lineRule="exact"/>
        <w:jc w:val="center"/>
        <w:rPr>
          <w:rFonts w:hint="eastAsia" w:ascii="仿宋" w:hAnsi="仿宋" w:eastAsia="仿宋" w:cs="仿宋"/>
          <w:b/>
          <w:sz w:val="32"/>
          <w:szCs w:val="32"/>
          <w:highlight w:val="none"/>
        </w:rPr>
      </w:pPr>
    </w:p>
    <w:p w14:paraId="68509397">
      <w:pPr>
        <w:shd w:val="clear"/>
        <w:spacing w:line="400" w:lineRule="exact"/>
        <w:jc w:val="center"/>
        <w:rPr>
          <w:rFonts w:hint="eastAsia" w:ascii="仿宋" w:hAnsi="仿宋" w:eastAsia="仿宋" w:cs="仿宋"/>
          <w:b/>
          <w:sz w:val="32"/>
          <w:szCs w:val="32"/>
          <w:highlight w:val="none"/>
        </w:rPr>
      </w:pPr>
    </w:p>
    <w:p w14:paraId="763B02F6">
      <w:pPr>
        <w:shd w:val="clear"/>
        <w:spacing w:line="400" w:lineRule="exact"/>
        <w:jc w:val="center"/>
        <w:rPr>
          <w:rFonts w:hint="eastAsia" w:ascii="仿宋" w:hAnsi="仿宋" w:eastAsia="仿宋" w:cs="仿宋"/>
          <w:b/>
          <w:sz w:val="32"/>
          <w:szCs w:val="32"/>
          <w:highlight w:val="none"/>
        </w:rPr>
      </w:pPr>
    </w:p>
    <w:p w14:paraId="50ED81EA">
      <w:pPr>
        <w:shd w:val="clear"/>
        <w:spacing w:line="400" w:lineRule="exact"/>
        <w:rPr>
          <w:rFonts w:hint="eastAsia" w:ascii="仿宋" w:hAnsi="仿宋" w:eastAsia="仿宋" w:cs="仿宋"/>
          <w:b/>
          <w:sz w:val="32"/>
          <w:szCs w:val="32"/>
          <w:highlight w:val="none"/>
        </w:rPr>
        <w:sectPr>
          <w:headerReference r:id="rId4" w:type="first"/>
          <w:footerReference r:id="rId6" w:type="first"/>
          <w:headerReference r:id="rId3" w:type="default"/>
          <w:footerReference r:id="rId5" w:type="default"/>
          <w:pgSz w:w="11906" w:h="16838"/>
          <w:pgMar w:top="1417" w:right="1417" w:bottom="1417" w:left="1417" w:header="851" w:footer="567" w:gutter="0"/>
          <w:pgNumType w:start="0"/>
          <w:cols w:space="720" w:num="1"/>
          <w:titlePg/>
          <w:docGrid w:type="lines" w:linePitch="312" w:charSpace="0"/>
        </w:sectPr>
      </w:pPr>
    </w:p>
    <w:p w14:paraId="429DD33C">
      <w:pPr>
        <w:pStyle w:val="2"/>
        <w:shd w:val="clear"/>
        <w:rPr>
          <w:highlight w:val="none"/>
        </w:rPr>
      </w:pPr>
      <w:bookmarkStart w:id="0" w:name="_Toc29415"/>
      <w:r>
        <w:rPr>
          <w:rFonts w:hint="eastAsia"/>
          <w:highlight w:val="none"/>
        </w:rPr>
        <w:t>第一章 竞争性磋商公告</w:t>
      </w:r>
      <w:bookmarkEnd w:id="0"/>
    </w:p>
    <w:p w14:paraId="11DBBDB1">
      <w:pPr>
        <w:shd w:val="clear"/>
        <w:spacing w:line="360" w:lineRule="auto"/>
        <w:jc w:val="center"/>
        <w:rPr>
          <w:rFonts w:hint="eastAsia" w:ascii="仿宋" w:hAnsi="仿宋" w:eastAsia="仿宋" w:cs="仿宋"/>
          <w:b/>
          <w:bCs/>
          <w:kern w:val="44"/>
          <w:sz w:val="36"/>
          <w:szCs w:val="36"/>
          <w:highlight w:val="none"/>
        </w:rPr>
      </w:pPr>
      <w:r>
        <w:rPr>
          <w:rFonts w:hint="eastAsia" w:ascii="仿宋" w:hAnsi="仿宋" w:eastAsia="仿宋" w:cs="仿宋"/>
          <w:b/>
          <w:bCs/>
          <w:kern w:val="44"/>
          <w:sz w:val="36"/>
          <w:szCs w:val="36"/>
          <w:highlight w:val="none"/>
        </w:rPr>
        <w:t>广西科文招标有限公司</w:t>
      </w:r>
    </w:p>
    <w:p w14:paraId="3608E9AC">
      <w:pPr>
        <w:shd w:val="clear"/>
        <w:spacing w:line="360" w:lineRule="auto"/>
        <w:jc w:val="center"/>
        <w:rPr>
          <w:rFonts w:hint="eastAsia" w:ascii="仿宋" w:hAnsi="仿宋" w:eastAsia="仿宋" w:cs="仿宋"/>
          <w:b/>
          <w:bCs/>
          <w:kern w:val="44"/>
          <w:sz w:val="36"/>
          <w:szCs w:val="36"/>
          <w:highlight w:val="none"/>
        </w:rPr>
      </w:pPr>
      <w:bookmarkStart w:id="151" w:name="_GoBack"/>
      <w:r>
        <w:rPr>
          <w:rFonts w:hint="eastAsia" w:ascii="仿宋" w:hAnsi="仿宋" w:eastAsia="仿宋" w:cs="仿宋"/>
          <w:b/>
          <w:bCs/>
          <w:kern w:val="44"/>
          <w:sz w:val="36"/>
          <w:szCs w:val="36"/>
          <w:highlight w:val="none"/>
        </w:rPr>
        <w:t>广西大学机械教学实验中心大楼实验室工艺建设项目施工图设计服务（重）（GXZC2026-C3-000069-KWZB）</w:t>
      </w:r>
    </w:p>
    <w:bookmarkEnd w:id="151"/>
    <w:p w14:paraId="2DACA5F2">
      <w:pPr>
        <w:shd w:val="clear"/>
        <w:spacing w:line="360" w:lineRule="auto"/>
        <w:jc w:val="center"/>
        <w:rPr>
          <w:rFonts w:hint="eastAsia" w:ascii="仿宋" w:hAnsi="仿宋" w:eastAsia="仿宋" w:cs="仿宋"/>
          <w:sz w:val="24"/>
          <w:highlight w:val="none"/>
        </w:rPr>
      </w:pPr>
      <w:r>
        <w:rPr>
          <w:rFonts w:hint="eastAsia" w:ascii="仿宋" w:hAnsi="仿宋" w:eastAsia="仿宋" w:cs="仿宋"/>
          <w:b/>
          <w:bCs/>
          <w:kern w:val="44"/>
          <w:sz w:val="36"/>
          <w:szCs w:val="36"/>
          <w:highlight w:val="none"/>
        </w:rPr>
        <w:t>竞争性磋商公告</w:t>
      </w:r>
    </w:p>
    <w:p w14:paraId="53670EAD">
      <w:pPr>
        <w:pBdr>
          <w:top w:val="single" w:color="auto" w:sz="4" w:space="1"/>
          <w:left w:val="single" w:color="auto" w:sz="4" w:space="4"/>
          <w:bottom w:val="single" w:color="auto" w:sz="4" w:space="1"/>
          <w:right w:val="single" w:color="auto" w:sz="4" w:space="4"/>
        </w:pBdr>
        <w:shd w:val="clear"/>
        <w:spacing w:line="360" w:lineRule="auto"/>
        <w:rPr>
          <w:rFonts w:hint="eastAsia" w:ascii="仿宋" w:hAnsi="仿宋" w:eastAsia="仿宋" w:cs="仿宋"/>
          <w:b/>
          <w:bCs/>
          <w:sz w:val="24"/>
          <w:highlight w:val="none"/>
        </w:rPr>
      </w:pPr>
      <w:bookmarkStart w:id="1" w:name="_Hlk37430271"/>
      <w:r>
        <w:rPr>
          <w:rFonts w:hint="eastAsia" w:ascii="仿宋" w:hAnsi="仿宋" w:eastAsia="仿宋" w:cs="仿宋"/>
          <w:b/>
          <w:bCs/>
          <w:sz w:val="24"/>
          <w:highlight w:val="none"/>
        </w:rPr>
        <w:t>项目概况：</w:t>
      </w:r>
    </w:p>
    <w:p w14:paraId="33AAF3EA">
      <w:pPr>
        <w:pBdr>
          <w:top w:val="single" w:color="auto" w:sz="4" w:space="1"/>
          <w:left w:val="single" w:color="auto" w:sz="4" w:space="4"/>
          <w:bottom w:val="single" w:color="auto" w:sz="4" w:space="1"/>
          <w:right w:val="single" w:color="auto" w:sz="4" w:space="4"/>
        </w:pBd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广西大学机械教学实验中心大楼实验室工艺建设项目施工图设计服务（重）</w:t>
      </w:r>
      <w:r>
        <w:rPr>
          <w:rFonts w:hint="eastAsia" w:ascii="仿宋" w:hAnsi="仿宋" w:eastAsia="仿宋" w:cs="仿宋"/>
          <w:sz w:val="24"/>
          <w:highlight w:val="none"/>
        </w:rPr>
        <w:t>的潜在供应商应在广西政府采购云平台（https://www.gcy.zfcg.gxzf.gov.cn/）获取（下载）竞争性磋商文件，并于2026年</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时</w:t>
      </w:r>
      <w:r>
        <w:rPr>
          <w:rFonts w:hint="eastAsia" w:ascii="仿宋" w:hAnsi="仿宋" w:eastAsia="仿宋" w:cs="仿宋"/>
          <w:sz w:val="24"/>
          <w:highlight w:val="none"/>
          <w:lang w:val="en-US" w:eastAsia="zh-CN"/>
        </w:rPr>
        <w:t>00</w:t>
      </w:r>
      <w:r>
        <w:rPr>
          <w:rFonts w:hint="eastAsia" w:ascii="仿宋" w:hAnsi="仿宋" w:eastAsia="仿宋" w:cs="仿宋"/>
          <w:sz w:val="24"/>
          <w:highlight w:val="none"/>
        </w:rPr>
        <w:t>分</w:t>
      </w:r>
      <w:r>
        <w:rPr>
          <w:rFonts w:hint="eastAsia" w:ascii="仿宋" w:hAnsi="仿宋" w:eastAsia="仿宋" w:cs="仿宋"/>
          <w:bCs/>
          <w:sz w:val="24"/>
          <w:highlight w:val="none"/>
        </w:rPr>
        <w:t>（北京时间）前提交响应文件</w:t>
      </w:r>
      <w:r>
        <w:rPr>
          <w:rFonts w:hint="eastAsia" w:ascii="仿宋" w:hAnsi="仿宋" w:eastAsia="仿宋" w:cs="仿宋"/>
          <w:sz w:val="24"/>
          <w:highlight w:val="none"/>
        </w:rPr>
        <w:t>。</w:t>
      </w:r>
    </w:p>
    <w:p w14:paraId="405C3585">
      <w:pPr>
        <w:widowControl/>
        <w:shd w:val="clear"/>
        <w:spacing w:line="360" w:lineRule="auto"/>
        <w:ind w:firstLine="482" w:firstLineChars="200"/>
        <w:rPr>
          <w:rFonts w:hint="eastAsia" w:ascii="仿宋" w:hAnsi="仿宋" w:eastAsia="仿宋" w:cs="仿宋"/>
          <w:b/>
          <w:sz w:val="24"/>
          <w:highlight w:val="none"/>
        </w:rPr>
      </w:pPr>
      <w:bookmarkStart w:id="2" w:name="_Hlk37429674"/>
      <w:bookmarkStart w:id="3" w:name="_Toc44229885"/>
      <w:bookmarkStart w:id="4" w:name="_Toc35393636"/>
      <w:bookmarkStart w:id="5" w:name="_Toc28359095"/>
      <w:bookmarkStart w:id="6" w:name="_Toc35393805"/>
      <w:bookmarkStart w:id="7" w:name="_Toc28359018"/>
    </w:p>
    <w:p w14:paraId="2C7DFD2B">
      <w:pPr>
        <w:widowControl/>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一、项目基本情况</w:t>
      </w:r>
    </w:p>
    <w:p w14:paraId="5340EBDC">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项目名称：广西大学机械教学实验中心大楼实验室工艺建设项目施工图设计服务（重）</w:t>
      </w:r>
    </w:p>
    <w:p w14:paraId="026216C7">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项目编号：GXZC2026-C3-000069-KWZB</w:t>
      </w:r>
    </w:p>
    <w:p w14:paraId="7D65252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预算金额（人民币）：壹佰叁拾伍万零玖佰元整（¥1350900.00）</w:t>
      </w:r>
    </w:p>
    <w:p w14:paraId="7D47DF2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最高限价（如有/人民币）：壹佰叁拾伍万零玖佰元整（¥1350900.00）</w:t>
      </w:r>
    </w:p>
    <w:p w14:paraId="2720C11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采购需求：</w:t>
      </w:r>
    </w:p>
    <w:tbl>
      <w:tblPr>
        <w:tblStyle w:val="29"/>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113"/>
        <w:gridCol w:w="358"/>
        <w:gridCol w:w="450"/>
        <w:gridCol w:w="3297"/>
        <w:gridCol w:w="1253"/>
        <w:gridCol w:w="1390"/>
      </w:tblGrid>
      <w:tr w14:paraId="7ECE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96" w:type="dxa"/>
            <w:vAlign w:val="center"/>
          </w:tcPr>
          <w:p w14:paraId="499D7D97">
            <w:pPr>
              <w:pStyle w:val="76"/>
              <w:shd w:val="clea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2113" w:type="dxa"/>
            <w:vAlign w:val="center"/>
          </w:tcPr>
          <w:p w14:paraId="39E7D47C">
            <w:pPr>
              <w:pStyle w:val="76"/>
              <w:shd w:val="clear"/>
              <w:jc w:val="center"/>
              <w:rPr>
                <w:rFonts w:hint="eastAsia" w:ascii="仿宋" w:hAnsi="仿宋" w:eastAsia="仿宋" w:cs="仿宋"/>
                <w:sz w:val="24"/>
                <w:highlight w:val="none"/>
              </w:rPr>
            </w:pPr>
            <w:r>
              <w:rPr>
                <w:rFonts w:hint="eastAsia" w:ascii="仿宋" w:hAnsi="仿宋" w:eastAsia="仿宋" w:cs="仿宋"/>
                <w:sz w:val="24"/>
                <w:highlight w:val="none"/>
              </w:rPr>
              <w:t>标的名称</w:t>
            </w:r>
          </w:p>
        </w:tc>
        <w:tc>
          <w:tcPr>
            <w:tcW w:w="358" w:type="dxa"/>
            <w:vAlign w:val="center"/>
          </w:tcPr>
          <w:p w14:paraId="0DCF6F98">
            <w:pPr>
              <w:pStyle w:val="76"/>
              <w:shd w:val="clea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450" w:type="dxa"/>
            <w:vAlign w:val="center"/>
          </w:tcPr>
          <w:p w14:paraId="69F8C5D3">
            <w:pPr>
              <w:pStyle w:val="76"/>
              <w:shd w:val="clea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3297" w:type="dxa"/>
            <w:vAlign w:val="center"/>
          </w:tcPr>
          <w:p w14:paraId="07CA24EB">
            <w:pPr>
              <w:pStyle w:val="76"/>
              <w:shd w:val="clea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简要服务要求</w:t>
            </w:r>
          </w:p>
        </w:tc>
        <w:tc>
          <w:tcPr>
            <w:tcW w:w="1253" w:type="dxa"/>
            <w:vAlign w:val="center"/>
          </w:tcPr>
          <w:p w14:paraId="70F7091C">
            <w:pPr>
              <w:pStyle w:val="76"/>
              <w:shd w:val="clea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预算单价</w:t>
            </w:r>
          </w:p>
          <w:p w14:paraId="50256AC9">
            <w:pPr>
              <w:pStyle w:val="76"/>
              <w:shd w:val="clea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（万元/人民币）</w:t>
            </w:r>
          </w:p>
        </w:tc>
        <w:tc>
          <w:tcPr>
            <w:tcW w:w="1390" w:type="dxa"/>
            <w:vAlign w:val="center"/>
          </w:tcPr>
          <w:p w14:paraId="467E8559">
            <w:pPr>
              <w:pStyle w:val="76"/>
              <w:shd w:val="clea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单项预算合计（万元/人民币）</w:t>
            </w:r>
          </w:p>
        </w:tc>
      </w:tr>
      <w:tr w14:paraId="328F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496" w:type="dxa"/>
            <w:vAlign w:val="center"/>
          </w:tcPr>
          <w:p w14:paraId="547D584D">
            <w:pPr>
              <w:pStyle w:val="76"/>
              <w:shd w:val="clea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113" w:type="dxa"/>
            <w:vAlign w:val="center"/>
          </w:tcPr>
          <w:p w14:paraId="67B15E5B">
            <w:pPr>
              <w:pStyle w:val="76"/>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广西大学机械教学实验中心大楼实验室工艺建设项目施工图设计服务</w:t>
            </w:r>
          </w:p>
        </w:tc>
        <w:tc>
          <w:tcPr>
            <w:tcW w:w="358" w:type="dxa"/>
            <w:vAlign w:val="center"/>
          </w:tcPr>
          <w:p w14:paraId="1A7DC7D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450" w:type="dxa"/>
            <w:vAlign w:val="center"/>
          </w:tcPr>
          <w:p w14:paraId="66684378">
            <w:pPr>
              <w:pStyle w:val="76"/>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项</w:t>
            </w:r>
          </w:p>
        </w:tc>
        <w:tc>
          <w:tcPr>
            <w:tcW w:w="3297" w:type="dxa"/>
            <w:vAlign w:val="center"/>
          </w:tcPr>
          <w:p w14:paraId="48F12D8E">
            <w:pPr>
              <w:pStyle w:val="76"/>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广西大学机械教学实验中心大楼实验室工艺建设项目施工图设计服务主要包括初步设计、施工图设计、概算、咨询服务。</w:t>
            </w:r>
          </w:p>
        </w:tc>
        <w:tc>
          <w:tcPr>
            <w:tcW w:w="1253" w:type="dxa"/>
            <w:vAlign w:val="center"/>
          </w:tcPr>
          <w:p w14:paraId="676D8E0E">
            <w:pPr>
              <w:pStyle w:val="76"/>
              <w:shd w:val="clear"/>
              <w:jc w:val="center"/>
              <w:rPr>
                <w:rFonts w:hint="eastAsia" w:ascii="仿宋" w:hAnsi="仿宋" w:eastAsia="仿宋" w:cs="仿宋"/>
                <w:sz w:val="24"/>
                <w:highlight w:val="none"/>
              </w:rPr>
            </w:pPr>
            <w:r>
              <w:rPr>
                <w:rFonts w:hint="eastAsia" w:ascii="仿宋" w:hAnsi="仿宋" w:eastAsia="仿宋" w:cs="仿宋"/>
                <w:sz w:val="24"/>
                <w:highlight w:val="none"/>
              </w:rPr>
              <w:t>135.09</w:t>
            </w:r>
          </w:p>
        </w:tc>
        <w:tc>
          <w:tcPr>
            <w:tcW w:w="1390" w:type="dxa"/>
            <w:vAlign w:val="center"/>
          </w:tcPr>
          <w:p w14:paraId="70EF9762">
            <w:pPr>
              <w:pStyle w:val="76"/>
              <w:shd w:val="clear"/>
              <w:jc w:val="center"/>
              <w:rPr>
                <w:rFonts w:hint="eastAsia" w:ascii="仿宋" w:hAnsi="仿宋" w:eastAsia="仿宋" w:cs="仿宋"/>
                <w:sz w:val="24"/>
                <w:highlight w:val="none"/>
              </w:rPr>
            </w:pPr>
            <w:r>
              <w:rPr>
                <w:rFonts w:hint="eastAsia" w:ascii="仿宋" w:hAnsi="仿宋" w:eastAsia="仿宋" w:cs="仿宋"/>
                <w:sz w:val="24"/>
                <w:highlight w:val="none"/>
              </w:rPr>
              <w:t>135.09</w:t>
            </w:r>
          </w:p>
        </w:tc>
      </w:tr>
      <w:tr w14:paraId="2B4C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357" w:type="dxa"/>
            <w:gridSpan w:val="7"/>
            <w:vAlign w:val="center"/>
          </w:tcPr>
          <w:p w14:paraId="51259EDD">
            <w:pPr>
              <w:pStyle w:val="76"/>
              <w:shd w:val="clear"/>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预算合计金额（人民币大写）</w:t>
            </w:r>
            <w:r>
              <w:rPr>
                <w:rFonts w:hint="eastAsia" w:ascii="仿宋" w:hAnsi="仿宋" w:eastAsia="仿宋" w:cs="仿宋"/>
                <w:sz w:val="24"/>
                <w:highlight w:val="none"/>
                <w:u w:val="single"/>
              </w:rPr>
              <w:t>壹佰叁拾伍万零玖佰元整（小写）¥1350900.00</w:t>
            </w:r>
          </w:p>
        </w:tc>
      </w:tr>
    </w:tbl>
    <w:p w14:paraId="78E79411">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详见第三章采购需求表。</w:t>
      </w:r>
    </w:p>
    <w:p w14:paraId="2E9BE459">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合同履行期限：自合同签订之日起至本工程竣工验收合格之日止。</w:t>
      </w:r>
    </w:p>
    <w:p w14:paraId="0B7885D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w:t>
      </w:r>
      <w:r>
        <w:rPr>
          <w:rFonts w:hint="eastAsia" w:ascii="仿宋" w:hAnsi="仿宋" w:eastAsia="仿宋" w:cs="仿宋"/>
          <w:b/>
          <w:sz w:val="24"/>
          <w:highlight w:val="none"/>
        </w:rPr>
        <w:t>是否</w:t>
      </w:r>
      <w:r>
        <w:rPr>
          <w:rFonts w:hint="eastAsia" w:ascii="仿宋" w:hAnsi="仿宋" w:eastAsia="仿宋" w:cs="仿宋"/>
          <w:sz w:val="24"/>
          <w:highlight w:val="none"/>
        </w:rPr>
        <w:t>接受联合体：（勾选）：</w:t>
      </w:r>
      <w:r>
        <w:rPr>
          <w:rFonts w:hint="eastAsia" w:ascii="仿宋" w:hAnsi="仿宋" w:eastAsia="仿宋" w:cs="仿宋"/>
          <w:sz w:val="24"/>
          <w:highlight w:val="none"/>
        </w:rPr>
        <w:sym w:font="Wingdings" w:char="00A8"/>
      </w:r>
      <w:r>
        <w:rPr>
          <w:rFonts w:hint="eastAsia" w:ascii="仿宋" w:hAnsi="仿宋" w:eastAsia="仿宋" w:cs="仿宋"/>
          <w:sz w:val="24"/>
          <w:highlight w:val="none"/>
        </w:rPr>
        <w:t xml:space="preserve"> 是 ；</w:t>
      </w:r>
      <w:r>
        <w:rPr>
          <w:rFonts w:hint="eastAsia" w:ascii="仿宋" w:hAnsi="仿宋" w:eastAsia="仿宋" w:cs="仿宋"/>
          <w:sz w:val="24"/>
          <w:highlight w:val="none"/>
        </w:rPr>
        <w:sym w:font="Wingdings" w:char="00FE"/>
      </w:r>
      <w:r>
        <w:rPr>
          <w:rFonts w:hint="eastAsia" w:ascii="仿宋" w:hAnsi="仿宋" w:eastAsia="仿宋" w:cs="仿宋"/>
          <w:sz w:val="24"/>
          <w:highlight w:val="none"/>
        </w:rPr>
        <w:t>否</w:t>
      </w:r>
    </w:p>
    <w:p w14:paraId="20EFAEFD">
      <w:pPr>
        <w:widowControl/>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二、申请人的资格条件：</w:t>
      </w:r>
    </w:p>
    <w:p w14:paraId="2618E213">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bidi="ar"/>
        </w:rPr>
        <w:t>.</w:t>
      </w:r>
      <w:r>
        <w:rPr>
          <w:rFonts w:hint="eastAsia" w:ascii="仿宋" w:hAnsi="仿宋" w:eastAsia="仿宋" w:cs="仿宋"/>
          <w:sz w:val="24"/>
          <w:highlight w:val="none"/>
        </w:rPr>
        <w:t>满足《中华人民共和国政府采购法》第二十二条规定；</w:t>
      </w:r>
    </w:p>
    <w:p w14:paraId="23A5B54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bidi="ar"/>
        </w:rPr>
        <w:t>.</w:t>
      </w:r>
      <w:r>
        <w:rPr>
          <w:rFonts w:hint="eastAsia" w:ascii="仿宋" w:hAnsi="仿宋" w:eastAsia="仿宋" w:cs="仿宋"/>
          <w:sz w:val="24"/>
          <w:highlight w:val="none"/>
        </w:rPr>
        <w:t>落实政府采购政策需满足的资格要求：是否专门面向中小企业采购（</w:t>
      </w:r>
      <w:r>
        <w:rPr>
          <w:rFonts w:hint="eastAsia" w:ascii="仿宋" w:hAnsi="仿宋" w:eastAsia="仿宋" w:cs="仿宋"/>
          <w:sz w:val="24"/>
          <w:highlight w:val="none"/>
        </w:rPr>
        <w:sym w:font="Wingdings" w:char="00A8"/>
      </w:r>
      <w:r>
        <w:rPr>
          <w:rFonts w:hint="eastAsia" w:ascii="仿宋" w:hAnsi="仿宋" w:eastAsia="仿宋" w:cs="仿宋"/>
          <w:sz w:val="24"/>
          <w:highlight w:val="none"/>
        </w:rPr>
        <w:t>是</w:t>
      </w:r>
      <w:r>
        <w:rPr>
          <w:rFonts w:hint="eastAsia" w:ascii="仿宋" w:hAnsi="仿宋" w:eastAsia="仿宋" w:cs="仿宋"/>
          <w:sz w:val="24"/>
          <w:highlight w:val="none"/>
        </w:rPr>
        <w:sym w:font="Wingdings" w:char="00FE"/>
      </w:r>
      <w:r>
        <w:rPr>
          <w:rFonts w:hint="eastAsia" w:ascii="仿宋" w:hAnsi="仿宋" w:eastAsia="仿宋" w:cs="仿宋"/>
          <w:sz w:val="24"/>
          <w:highlight w:val="none"/>
        </w:rPr>
        <w:t>否）；</w:t>
      </w:r>
    </w:p>
    <w:p w14:paraId="2728AF2D">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bidi="ar"/>
        </w:rPr>
        <w:t>.</w:t>
      </w:r>
      <w:r>
        <w:rPr>
          <w:rFonts w:hint="eastAsia" w:ascii="仿宋" w:hAnsi="仿宋" w:eastAsia="仿宋" w:cs="仿宋"/>
          <w:sz w:val="24"/>
          <w:highlight w:val="none"/>
        </w:rPr>
        <w:t>本项目的特定资格要求：设计单位资格要求须具备工程设计综合甲级或工程设计建筑行业甲级或工程设计建筑行业建筑工程甲级资质。</w:t>
      </w:r>
    </w:p>
    <w:p w14:paraId="5ED51C46">
      <w:pPr>
        <w:widowControl/>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三、获取竞争性磋商文件</w:t>
      </w:r>
    </w:p>
    <w:p w14:paraId="30AA9BD9">
      <w:pPr>
        <w:shd w:val="clear"/>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时间：</w:t>
      </w:r>
      <w:r>
        <w:rPr>
          <w:rFonts w:hint="eastAsia" w:ascii="仿宋" w:hAnsi="仿宋" w:eastAsia="仿宋" w:cs="仿宋"/>
          <w:sz w:val="24"/>
          <w:highlight w:val="none"/>
        </w:rPr>
        <w:t>2026年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21</w:t>
      </w:r>
      <w:r>
        <w:rPr>
          <w:rFonts w:hint="eastAsia" w:ascii="仿宋" w:hAnsi="仿宋" w:eastAsia="仿宋" w:cs="仿宋"/>
          <w:sz w:val="24"/>
          <w:highlight w:val="none"/>
        </w:rPr>
        <w:t>日至2026年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28</w:t>
      </w:r>
      <w:r>
        <w:rPr>
          <w:rFonts w:hint="eastAsia" w:ascii="仿宋" w:hAnsi="仿宋" w:eastAsia="仿宋" w:cs="仿宋"/>
          <w:sz w:val="24"/>
          <w:highlight w:val="none"/>
        </w:rPr>
        <w:t>日，每天上午00:00-12:00，下午12:00-23:59（北京时间，法定节假日除外）</w:t>
      </w:r>
      <w:r>
        <w:rPr>
          <w:rFonts w:hint="eastAsia" w:ascii="仿宋" w:hAnsi="仿宋" w:eastAsia="仿宋" w:cs="仿宋"/>
          <w:bCs/>
          <w:kern w:val="0"/>
          <w:sz w:val="24"/>
          <w:highlight w:val="none"/>
        </w:rPr>
        <w:t>。</w:t>
      </w:r>
    </w:p>
    <w:p w14:paraId="1C299552">
      <w:pPr>
        <w:shd w:val="clear"/>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地点：广西政府采购云平台（https://www.gcy.zfcg.gxzf.gov.cn/）</w:t>
      </w:r>
    </w:p>
    <w:p w14:paraId="02523B31">
      <w:pPr>
        <w:shd w:val="clear"/>
        <w:spacing w:line="360" w:lineRule="auto"/>
        <w:ind w:firstLine="480" w:firstLineChars="200"/>
        <w:rPr>
          <w:rFonts w:hint="eastAsia" w:ascii="仿宋" w:hAnsi="仿宋" w:eastAsia="仿宋" w:cs="仿宋"/>
          <w:bCs/>
          <w:kern w:val="0"/>
          <w:sz w:val="24"/>
          <w:highlight w:val="none"/>
        </w:rPr>
      </w:pPr>
      <w:r>
        <w:rPr>
          <w:rFonts w:hint="eastAsia" w:ascii="仿宋" w:hAnsi="仿宋" w:eastAsia="仿宋" w:cs="仿宋"/>
          <w:bCs/>
          <w:kern w:val="0"/>
          <w:sz w:val="24"/>
          <w:highlight w:val="none"/>
        </w:rPr>
        <w:t>方式：网上下载。本项目不发放纸质文件，供应商应自行在</w:t>
      </w:r>
      <w:r>
        <w:rPr>
          <w:highlight w:val="none"/>
        </w:rPr>
        <w:fldChar w:fldCharType="begin"/>
      </w:r>
      <w:r>
        <w:rPr>
          <w:highlight w:val="none"/>
        </w:rPr>
        <w:instrText xml:space="preserve"> HYPERLINK </w:instrText>
      </w:r>
      <w:r>
        <w:rPr>
          <w:highlight w:val="none"/>
        </w:rPr>
        <w:fldChar w:fldCharType="separate"/>
      </w:r>
      <w:r>
        <w:rPr>
          <w:highlight w:val="none"/>
        </w:rPr>
        <w:fldChar w:fldCharType="end"/>
      </w:r>
      <w:r>
        <w:rPr>
          <w:rFonts w:hint="eastAsia" w:ascii="仿宋" w:hAnsi="仿宋" w:eastAsia="仿宋" w:cs="仿宋"/>
          <w:bCs/>
          <w:kern w:val="0"/>
          <w:sz w:val="24"/>
          <w:highlight w:val="none"/>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竞争性磋商文件的，将有可能导致供应商无法在广西政府采购云平台编制及上传响应文件。</w:t>
      </w:r>
    </w:p>
    <w:p w14:paraId="27B57675">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bCs/>
          <w:kern w:val="0"/>
          <w:sz w:val="24"/>
          <w:highlight w:val="none"/>
        </w:rPr>
        <w:t>售价：0元人民币。</w:t>
      </w:r>
    </w:p>
    <w:p w14:paraId="778E2E0F">
      <w:pPr>
        <w:widowControl/>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四、响应文件提交</w:t>
      </w:r>
    </w:p>
    <w:p w14:paraId="2489F833">
      <w:pPr>
        <w:shd w:val="clea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w:t>
      </w:r>
      <w:r>
        <w:rPr>
          <w:rFonts w:hint="eastAsia" w:ascii="仿宋" w:hAnsi="仿宋" w:eastAsia="仿宋" w:cs="仿宋"/>
          <w:sz w:val="24"/>
          <w:highlight w:val="none"/>
          <w:lang w:bidi="ar"/>
        </w:rPr>
        <w:t>.</w:t>
      </w:r>
      <w:r>
        <w:rPr>
          <w:rFonts w:hint="eastAsia" w:ascii="仿宋" w:hAnsi="仿宋" w:eastAsia="仿宋" w:cs="仿宋"/>
          <w:sz w:val="24"/>
          <w:highlight w:val="none"/>
        </w:rPr>
        <w:t>首次响应文件提交截止时间：</w:t>
      </w:r>
      <w:r>
        <w:rPr>
          <w:rFonts w:hint="eastAsia" w:ascii="仿宋" w:hAnsi="仿宋" w:eastAsia="仿宋" w:cs="仿宋"/>
          <w:bCs/>
          <w:kern w:val="0"/>
          <w:sz w:val="24"/>
          <w:highlight w:val="none"/>
        </w:rPr>
        <w:t>2026年2月2日9时00（北京时间）</w:t>
      </w:r>
    </w:p>
    <w:p w14:paraId="5C03950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bidi="ar"/>
        </w:rPr>
        <w:t>.</w:t>
      </w:r>
      <w:r>
        <w:rPr>
          <w:rFonts w:hint="eastAsia" w:ascii="仿宋" w:hAnsi="仿宋" w:eastAsia="仿宋" w:cs="仿宋"/>
          <w:sz w:val="24"/>
          <w:highlight w:val="none"/>
        </w:rPr>
        <w:t>地点：</w:t>
      </w:r>
      <w:r>
        <w:rPr>
          <w:rFonts w:hint="eastAsia" w:ascii="仿宋" w:hAnsi="仿宋" w:eastAsia="仿宋" w:cs="仿宋"/>
          <w:sz w:val="24"/>
          <w:highlight w:val="none"/>
          <w:lang w:bidi="ar"/>
        </w:rPr>
        <w:t>通过广西政府采购云平台在线提交。</w:t>
      </w:r>
    </w:p>
    <w:p w14:paraId="1078A827">
      <w:pPr>
        <w:widowControl/>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五、开启</w:t>
      </w:r>
    </w:p>
    <w:p w14:paraId="7FD790A5">
      <w:pPr>
        <w:shd w:val="clear"/>
        <w:spacing w:line="360" w:lineRule="auto"/>
        <w:ind w:firstLine="480" w:firstLineChars="200"/>
        <w:rPr>
          <w:rFonts w:hint="eastAsia" w:ascii="仿宋" w:hAnsi="仿宋" w:eastAsia="仿宋" w:cs="仿宋"/>
          <w:bCs/>
          <w:sz w:val="24"/>
          <w:highlight w:val="none"/>
          <w:u w:val="single"/>
        </w:rPr>
      </w:pPr>
      <w:r>
        <w:rPr>
          <w:rFonts w:hint="eastAsia" w:ascii="仿宋" w:hAnsi="仿宋" w:eastAsia="仿宋" w:cs="仿宋"/>
          <w:sz w:val="24"/>
          <w:highlight w:val="none"/>
        </w:rPr>
        <w:t>1</w:t>
      </w:r>
      <w:r>
        <w:rPr>
          <w:rFonts w:hint="eastAsia" w:ascii="仿宋" w:hAnsi="仿宋" w:eastAsia="仿宋" w:cs="仿宋"/>
          <w:sz w:val="24"/>
          <w:highlight w:val="none"/>
          <w:lang w:bidi="ar"/>
        </w:rPr>
        <w:t>.</w:t>
      </w:r>
      <w:r>
        <w:rPr>
          <w:rFonts w:hint="eastAsia" w:ascii="仿宋" w:hAnsi="仿宋" w:eastAsia="仿宋" w:cs="仿宋"/>
          <w:sz w:val="24"/>
          <w:highlight w:val="none"/>
        </w:rPr>
        <w:t>首次响应文件开启时间：</w:t>
      </w:r>
      <w:r>
        <w:rPr>
          <w:rFonts w:hint="eastAsia" w:ascii="仿宋" w:hAnsi="仿宋" w:eastAsia="仿宋" w:cs="仿宋"/>
          <w:bCs/>
          <w:kern w:val="0"/>
          <w:sz w:val="24"/>
          <w:highlight w:val="none"/>
        </w:rPr>
        <w:t>2026年2月2日9时00（北京时间）</w:t>
      </w:r>
    </w:p>
    <w:p w14:paraId="0BD4F7C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bidi="ar"/>
        </w:rPr>
        <w:t>.</w:t>
      </w:r>
      <w:r>
        <w:rPr>
          <w:rFonts w:hint="eastAsia" w:ascii="仿宋" w:hAnsi="仿宋" w:eastAsia="仿宋" w:cs="仿宋"/>
          <w:sz w:val="24"/>
          <w:highlight w:val="none"/>
        </w:rPr>
        <w:t>地点：</w:t>
      </w:r>
      <w:r>
        <w:rPr>
          <w:rFonts w:hint="eastAsia" w:ascii="仿宋" w:hAnsi="仿宋" w:eastAsia="仿宋" w:cs="仿宋"/>
          <w:sz w:val="24"/>
          <w:highlight w:val="none"/>
          <w:lang w:bidi="ar"/>
        </w:rPr>
        <w:t>本项目将在广西政府采购云平台电子开标大厅解密、开启。</w:t>
      </w:r>
    </w:p>
    <w:p w14:paraId="0432BEF4">
      <w:pPr>
        <w:widowControl/>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六、公告期限</w:t>
      </w:r>
    </w:p>
    <w:p w14:paraId="29D43D75">
      <w:pPr>
        <w:shd w:val="clea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自本公告发布之日起3个工作日。</w:t>
      </w:r>
    </w:p>
    <w:p w14:paraId="1E326BC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七、</w:t>
      </w:r>
      <w:r>
        <w:rPr>
          <w:rFonts w:hint="eastAsia" w:ascii="仿宋" w:hAnsi="仿宋" w:eastAsia="仿宋" w:cs="仿宋"/>
          <w:b/>
          <w:sz w:val="24"/>
          <w:highlight w:val="none"/>
        </w:rPr>
        <w:t>其他补充事宜</w:t>
      </w:r>
      <w:r>
        <w:rPr>
          <w:rFonts w:hint="eastAsia" w:ascii="仿宋" w:hAnsi="仿宋" w:eastAsia="仿宋" w:cs="仿宋"/>
          <w:sz w:val="24"/>
          <w:highlight w:val="none"/>
          <w:lang w:bidi="ar"/>
        </w:rPr>
        <w:t>：</w:t>
      </w:r>
    </w:p>
    <w:p w14:paraId="0F5EA89D">
      <w:pPr>
        <w:widowControl/>
        <w:shd w:val="clea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773C4B">
      <w:pPr>
        <w:widowControl/>
        <w:shd w:val="clear"/>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sz w:val="24"/>
          <w:highlight w:val="none"/>
          <w:lang w:bidi="ar"/>
        </w:rPr>
        <w:t>2.根据财政部《关于在政府采购活动中查询及使用信用记录有关问题的通知》（财库〔2016〕125号）的规定，对在“信用中国”网站(www.creditchina.gov.cn) 、中国政府采购网(www.ccgp.gov.cn)被列入失信被执行人、</w:t>
      </w:r>
      <w:r>
        <w:rPr>
          <w:rFonts w:hint="eastAsia" w:ascii="仿宋" w:hAnsi="仿宋" w:eastAsia="仿宋" w:cs="仿宋"/>
          <w:sz w:val="24"/>
          <w:highlight w:val="none"/>
        </w:rPr>
        <w:t>重大税收违法失信主体</w:t>
      </w:r>
      <w:r>
        <w:rPr>
          <w:rFonts w:hint="eastAsia" w:ascii="仿宋" w:hAnsi="仿宋" w:eastAsia="仿宋" w:cs="仿宋"/>
          <w:sz w:val="24"/>
          <w:highlight w:val="none"/>
          <w:lang w:bidi="ar"/>
        </w:rPr>
        <w:t>、政府采购严重违法失信行为记录名单及其他不</w:t>
      </w:r>
      <w:r>
        <w:rPr>
          <w:rFonts w:hint="eastAsia" w:ascii="仿宋" w:hAnsi="仿宋" w:eastAsia="仿宋" w:cs="仿宋"/>
          <w:color w:val="auto"/>
          <w:sz w:val="24"/>
          <w:highlight w:val="none"/>
          <w:lang w:bidi="ar"/>
        </w:rPr>
        <w:t>符合《中华人民共和国政府采购法》第二十二条规定条件的供应商，不得参与政府采购活动。</w:t>
      </w:r>
    </w:p>
    <w:p w14:paraId="52B4C1A1">
      <w:pPr>
        <w:shd w:val="clear"/>
        <w:spacing w:line="360" w:lineRule="auto"/>
        <w:ind w:left="420" w:left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3.网上查询地址：</w:t>
      </w:r>
    </w:p>
    <w:p w14:paraId="0B6F166E">
      <w:pPr>
        <w:shd w:val="clea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3"/>
          <w:rFonts w:hint="eastAsia" w:ascii="仿宋" w:hAnsi="仿宋" w:eastAsia="仿宋" w:cs="仿宋"/>
          <w:color w:val="auto"/>
          <w:sz w:val="24"/>
          <w:highlight w:val="none"/>
        </w:rPr>
        <w:t>www.ccgp.gov.cn</w:t>
      </w:r>
      <w:r>
        <w:rPr>
          <w:rStyle w:val="33"/>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3FBC3F1F">
      <w:pPr>
        <w:shd w:val="clea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（2）广西政府采购网（zfcg.gxzf.gov.cn）</w:t>
      </w:r>
    </w:p>
    <w:p w14:paraId="0D998803">
      <w:pPr>
        <w:shd w:val="clear"/>
        <w:spacing w:line="360" w:lineRule="auto"/>
        <w:ind w:left="420" w:left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（3）中国招标投标公共服务平台（http://www.cebpubservice.com）</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（4）广西壮族自治区招标投标公共服务平台（http://zbtb.gxi.gov.cn:9000）</w:t>
      </w:r>
    </w:p>
    <w:p w14:paraId="127B27CF">
      <w:pPr>
        <w:widowControl/>
        <w:shd w:val="clear"/>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4.本项目需要落实的政府采购政策：</w:t>
      </w:r>
    </w:p>
    <w:p w14:paraId="19B2DF55">
      <w:pPr>
        <w:widowControl/>
        <w:shd w:val="clear"/>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（1）政府采购促进中小企业发展。</w:t>
      </w:r>
    </w:p>
    <w:p w14:paraId="7E2E7D04">
      <w:pPr>
        <w:widowControl/>
        <w:shd w:val="clear"/>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（2）政府采购支持采用本国产品的政策。</w:t>
      </w:r>
    </w:p>
    <w:p w14:paraId="587F0B0C">
      <w:pPr>
        <w:widowControl/>
        <w:shd w:val="clear"/>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（3）强制采购节能产品；优先采购节能产品、环境标志产品。</w:t>
      </w:r>
    </w:p>
    <w:p w14:paraId="1CD7AA4C">
      <w:pPr>
        <w:widowControl/>
        <w:shd w:val="clear"/>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（4）政府采购促进残疾人就业政策。</w:t>
      </w:r>
    </w:p>
    <w:p w14:paraId="18ACDE68">
      <w:pPr>
        <w:widowControl/>
        <w:shd w:val="clear"/>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（5）政府采购支持监狱企业发展。</w:t>
      </w:r>
    </w:p>
    <w:p w14:paraId="3ADD097C">
      <w:pPr>
        <w:widowControl/>
        <w:shd w:val="clea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（6）扶持不发达地区和少数民族地区政策</w:t>
      </w:r>
    </w:p>
    <w:p w14:paraId="4CC19B62">
      <w:pPr>
        <w:widowControl/>
        <w:shd w:val="clea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5.磋商注意事项：</w:t>
      </w:r>
    </w:p>
    <w:p w14:paraId="3A72E76D">
      <w:pPr>
        <w:widowControl/>
        <w:shd w:val="clea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sz w:val="24"/>
          <w:highlight w:val="none"/>
          <w:lang w:bidi="ar"/>
        </w:rPr>
        <w:t>（1）</w:t>
      </w:r>
      <w:r>
        <w:rPr>
          <w:rFonts w:hint="eastAsia" w:ascii="仿宋" w:hAnsi="仿宋" w:eastAsia="仿宋" w:cs="仿宋"/>
          <w:sz w:val="24"/>
          <w:highlight w:val="none"/>
        </w:rPr>
        <w:t>响应文件</w:t>
      </w:r>
      <w:r>
        <w:rPr>
          <w:rFonts w:hint="eastAsia" w:ascii="仿宋" w:hAnsi="仿宋" w:eastAsia="仿宋" w:cs="仿宋"/>
          <w:sz w:val="24"/>
          <w:highlight w:val="none"/>
          <w:lang w:bidi="ar"/>
        </w:rPr>
        <w:t>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w:t>
      </w:r>
      <w:r>
        <w:rPr>
          <w:rFonts w:hint="eastAsia" w:ascii="仿宋" w:hAnsi="仿宋" w:eastAsia="仿宋" w:cs="仿宋"/>
          <w:sz w:val="24"/>
          <w:highlight w:val="none"/>
        </w:rPr>
        <w:t>首次响应文件提交截止时间</w:t>
      </w:r>
      <w:r>
        <w:rPr>
          <w:rFonts w:hint="eastAsia" w:ascii="仿宋" w:hAnsi="仿宋" w:eastAsia="仿宋" w:cs="仿宋"/>
          <w:sz w:val="24"/>
          <w:highlight w:val="none"/>
          <w:lang w:bidi="ar"/>
        </w:rPr>
        <w:t>前通过网络上传至广西政府采购云平台，</w:t>
      </w:r>
      <w:r>
        <w:rPr>
          <w:rFonts w:hint="eastAsia" w:ascii="仿宋" w:hAnsi="仿宋" w:eastAsia="仿宋" w:cs="仿宋"/>
          <w:b/>
          <w:sz w:val="24"/>
          <w:highlight w:val="none"/>
          <w:lang w:bidi="ar"/>
        </w:rPr>
        <w:t>供应商在广西政府采购云平台提交电子版响应文件时，请填写参加远程开标活动经办人联系方式。</w:t>
      </w:r>
    </w:p>
    <w:p w14:paraId="65251EDB">
      <w:pPr>
        <w:widowControl/>
        <w:shd w:val="clea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2）供应商应及时熟悉掌握电子标系统操作指南（见广西政府采购云平台电子卖场首页右上角—服务中心—帮助文档—项目采购）：https://helpcenter.zcygov.cn/document/#/document/dashboard?siteCode=gx；及时完成CA申领和绑定（见广西壮族自治区政府采购网—办事服务—下载专区-广西政府采购云平台CA证书办理操作指南）。</w:t>
      </w:r>
    </w:p>
    <w:p w14:paraId="5C1DA4BA">
      <w:pPr>
        <w:widowControl/>
        <w:shd w:val="clea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（3）未进行网上注册并办理数字证书（CA认证）的供应商将无法参与本项目政府采购活动，潜在供应商应当在</w:t>
      </w:r>
      <w:r>
        <w:rPr>
          <w:rFonts w:hint="eastAsia" w:ascii="仿宋" w:hAnsi="仿宋" w:eastAsia="仿宋" w:cs="仿宋"/>
          <w:sz w:val="24"/>
          <w:highlight w:val="none"/>
        </w:rPr>
        <w:t>首次响应文件提交截止时间</w:t>
      </w:r>
      <w:r>
        <w:rPr>
          <w:rFonts w:hint="eastAsia" w:ascii="仿宋" w:hAnsi="仿宋" w:eastAsia="仿宋" w:cs="仿宋"/>
          <w:sz w:val="24"/>
          <w:highlight w:val="none"/>
          <w:lang w:bidi="ar"/>
        </w:rPr>
        <w:t>前，完成电子交易平台上的CA数字证书办理及响应文件的提交。完成CA数字证书办理预计7日左右，供应商只需办理其中一家CA数字证书及签章，建议各供应商抓紧时间办理。</w:t>
      </w:r>
    </w:p>
    <w:p w14:paraId="7845665B">
      <w:pPr>
        <w:widowControl/>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（4）为确保网上操作合法、有效和安全，请供应商确保在电子竞争性磋商过程中能够对相关数据电文进行加密和使用电子签章，妥善保管CA数字证书并使用有效的CA数字证书参与整个采购活动。</w:t>
      </w:r>
    </w:p>
    <w:p w14:paraId="1974BBC1">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lang w:bidi="ar"/>
        </w:rPr>
        <w:t>注：供应商应当在首次响应文件提交截止时间前完成电子响应文件的上传、提交，</w:t>
      </w:r>
      <w:r>
        <w:rPr>
          <w:rFonts w:hint="eastAsia" w:ascii="仿宋" w:hAnsi="仿宋" w:eastAsia="仿宋" w:cs="仿宋"/>
          <w:b/>
          <w:sz w:val="24"/>
          <w:highlight w:val="none"/>
        </w:rPr>
        <w:t>首次响应文件提交截止时间</w:t>
      </w:r>
      <w:r>
        <w:rPr>
          <w:rFonts w:hint="eastAsia" w:ascii="仿宋" w:hAnsi="仿宋" w:eastAsia="仿宋" w:cs="仿宋"/>
          <w:b/>
          <w:bCs/>
          <w:sz w:val="24"/>
          <w:highlight w:val="none"/>
          <w:lang w:bidi="ar"/>
        </w:rPr>
        <w:t>前可以补充、修改或者撤回响应文件。补充或者修改响应文件的，应当先行撤回原文件，补充、修改后重新上传、提交。</w:t>
      </w:r>
      <w:r>
        <w:rPr>
          <w:rFonts w:hint="eastAsia" w:ascii="仿宋" w:hAnsi="仿宋" w:eastAsia="仿宋" w:cs="仿宋"/>
          <w:b/>
          <w:sz w:val="24"/>
          <w:highlight w:val="none"/>
        </w:rPr>
        <w:t>首次响应文件提交截止时间</w:t>
      </w:r>
      <w:r>
        <w:rPr>
          <w:rFonts w:hint="eastAsia" w:ascii="仿宋" w:hAnsi="仿宋" w:eastAsia="仿宋" w:cs="仿宋"/>
          <w:b/>
          <w:bCs/>
          <w:sz w:val="24"/>
          <w:highlight w:val="none"/>
          <w:lang w:bidi="ar"/>
        </w:rPr>
        <w:t>前未完成上传、提交的，视为撤回响应文件。</w:t>
      </w:r>
      <w:r>
        <w:rPr>
          <w:rFonts w:hint="eastAsia" w:ascii="仿宋" w:hAnsi="仿宋" w:eastAsia="仿宋" w:cs="仿宋"/>
          <w:b/>
          <w:sz w:val="24"/>
          <w:highlight w:val="none"/>
        </w:rPr>
        <w:t>首次响应文件提交截止时间</w:t>
      </w:r>
      <w:r>
        <w:rPr>
          <w:rFonts w:hint="eastAsia" w:ascii="仿宋" w:hAnsi="仿宋" w:eastAsia="仿宋" w:cs="仿宋"/>
          <w:b/>
          <w:bCs/>
          <w:sz w:val="24"/>
          <w:highlight w:val="none"/>
          <w:lang w:bidi="ar"/>
        </w:rPr>
        <w:t>以后上传递交的响应文件，广西政府采购云平台将予以拒收。</w:t>
      </w:r>
    </w:p>
    <w:p w14:paraId="2E5396FB">
      <w:pPr>
        <w:widowControl/>
        <w:shd w:val="clear"/>
        <w:spacing w:line="360" w:lineRule="auto"/>
        <w:ind w:firstLine="480" w:firstLineChars="200"/>
        <w:rPr>
          <w:rFonts w:hint="eastAsia" w:ascii="仿宋" w:hAnsi="仿宋" w:eastAsia="仿宋" w:cs="仿宋"/>
          <w:b/>
          <w:bCs/>
          <w:sz w:val="24"/>
          <w:highlight w:val="none"/>
        </w:rPr>
      </w:pPr>
      <w:r>
        <w:rPr>
          <w:rFonts w:hint="eastAsia" w:ascii="仿宋" w:hAnsi="仿宋" w:eastAsia="仿宋" w:cs="仿宋"/>
          <w:kern w:val="0"/>
          <w:sz w:val="24"/>
          <w:highlight w:val="none"/>
          <w:lang w:bidi="ar"/>
        </w:rPr>
        <w:t>6.</w:t>
      </w:r>
      <w:r>
        <w:rPr>
          <w:rFonts w:hint="eastAsia" w:ascii="仿宋" w:hAnsi="仿宋" w:eastAsia="仿宋" w:cs="仿宋"/>
          <w:sz w:val="24"/>
          <w:highlight w:val="none"/>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57D3FA0B">
      <w:pPr>
        <w:widowControl/>
        <w:shd w:val="clea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lang w:bidi="ar"/>
        </w:rPr>
        <w:t>7.供应商需要在具备有摄像头及语音功能且互联网网络状况良好的电脑登录广西政府采购云平台远程开标大厅参与本次磋商，否则后果自负。</w:t>
      </w:r>
    </w:p>
    <w:p w14:paraId="7A2C502F">
      <w:pPr>
        <w:widowControl/>
        <w:shd w:val="clea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lang w:bidi="ar"/>
        </w:rPr>
        <w:t>8.若对项目采购电子交易系统操作有疑问，可登录广西政府采购云平台（https://www.gcy.zfcg.gxzf.gov.cn/），点击右侧咨询小采，获取采小蜜智能服务管家帮助，或拨打广西政府采购云平台服务热线95763获取热线服务帮助。</w:t>
      </w:r>
    </w:p>
    <w:bookmarkEnd w:id="2"/>
    <w:p w14:paraId="110D1343">
      <w:pPr>
        <w:widowControl/>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八、凡对本次采购提出询问，请按以下方式联系。</w:t>
      </w:r>
      <w:bookmarkEnd w:id="3"/>
      <w:bookmarkEnd w:id="4"/>
      <w:bookmarkEnd w:id="5"/>
      <w:bookmarkEnd w:id="6"/>
      <w:bookmarkEnd w:id="7"/>
    </w:p>
    <w:p w14:paraId="3DA8B24E">
      <w:pPr>
        <w:shd w:val="clear"/>
        <w:spacing w:line="360" w:lineRule="auto"/>
        <w:ind w:firstLine="648" w:firstLineChars="270"/>
        <w:jc w:val="left"/>
        <w:rPr>
          <w:rFonts w:hint="eastAsia" w:ascii="仿宋" w:hAnsi="仿宋" w:eastAsia="仿宋" w:cs="仿宋"/>
          <w:sz w:val="24"/>
          <w:highlight w:val="none"/>
        </w:rPr>
      </w:pPr>
      <w:bookmarkStart w:id="8" w:name="_Toc35393637"/>
      <w:bookmarkStart w:id="9" w:name="_Toc28359096"/>
      <w:bookmarkStart w:id="10" w:name="_Toc28359019"/>
      <w:bookmarkStart w:id="11" w:name="_Toc35393806"/>
      <w:r>
        <w:rPr>
          <w:rFonts w:hint="eastAsia" w:ascii="仿宋" w:hAnsi="仿宋" w:eastAsia="仿宋" w:cs="仿宋"/>
          <w:sz w:val="24"/>
          <w:highlight w:val="none"/>
        </w:rPr>
        <w:t>1</w:t>
      </w:r>
      <w:r>
        <w:rPr>
          <w:rFonts w:hint="eastAsia" w:ascii="仿宋" w:hAnsi="仿宋" w:eastAsia="仿宋" w:cs="仿宋"/>
          <w:sz w:val="24"/>
          <w:highlight w:val="none"/>
          <w:lang w:bidi="ar"/>
        </w:rPr>
        <w:t>.</w:t>
      </w:r>
      <w:r>
        <w:rPr>
          <w:rFonts w:hint="eastAsia" w:ascii="仿宋" w:hAnsi="仿宋" w:eastAsia="仿宋" w:cs="仿宋"/>
          <w:sz w:val="24"/>
          <w:highlight w:val="none"/>
        </w:rPr>
        <w:t>采购人信息</w:t>
      </w:r>
    </w:p>
    <w:p w14:paraId="0BCD2053">
      <w:pPr>
        <w:shd w:val="clear"/>
        <w:spacing w:line="360" w:lineRule="auto"/>
        <w:ind w:firstLine="648" w:firstLineChars="270"/>
        <w:rPr>
          <w:rFonts w:hint="eastAsia" w:ascii="仿宋" w:hAnsi="仿宋" w:eastAsia="仿宋" w:cs="仿宋"/>
          <w:sz w:val="24"/>
          <w:highlight w:val="none"/>
        </w:rPr>
      </w:pPr>
      <w:r>
        <w:rPr>
          <w:rFonts w:hint="eastAsia" w:ascii="仿宋" w:hAnsi="仿宋" w:eastAsia="仿宋" w:cs="仿宋"/>
          <w:sz w:val="24"/>
          <w:highlight w:val="none"/>
        </w:rPr>
        <w:t>名称：广西大学</w:t>
      </w:r>
    </w:p>
    <w:p w14:paraId="575DB64A">
      <w:pPr>
        <w:shd w:val="clear"/>
        <w:spacing w:line="360" w:lineRule="auto"/>
        <w:ind w:firstLine="648" w:firstLineChars="270"/>
        <w:jc w:val="left"/>
        <w:rPr>
          <w:rFonts w:hint="eastAsia" w:ascii="仿宋" w:hAnsi="仿宋" w:eastAsia="仿宋" w:cs="仿宋"/>
          <w:sz w:val="24"/>
          <w:highlight w:val="none"/>
        </w:rPr>
      </w:pPr>
      <w:bookmarkStart w:id="12" w:name="_Toc28359009"/>
      <w:bookmarkStart w:id="13" w:name="_Toc28359086"/>
      <w:r>
        <w:rPr>
          <w:rFonts w:hint="eastAsia" w:ascii="仿宋" w:hAnsi="仿宋" w:eastAsia="仿宋" w:cs="仿宋"/>
          <w:sz w:val="24"/>
          <w:highlight w:val="none"/>
        </w:rPr>
        <w:t>地址：广西壮族自治区南宁市西乡塘区大学东路100号</w:t>
      </w:r>
    </w:p>
    <w:p w14:paraId="4127202E">
      <w:pPr>
        <w:shd w:val="clear"/>
        <w:spacing w:line="360" w:lineRule="auto"/>
        <w:ind w:firstLine="648" w:firstLineChars="270"/>
        <w:jc w:val="left"/>
        <w:rPr>
          <w:rFonts w:hint="eastAsia" w:ascii="仿宋" w:hAnsi="仿宋" w:eastAsia="仿宋" w:cs="仿宋"/>
          <w:sz w:val="24"/>
          <w:highlight w:val="none"/>
        </w:rPr>
      </w:pPr>
      <w:r>
        <w:rPr>
          <w:rFonts w:hint="eastAsia" w:ascii="仿宋" w:hAnsi="仿宋" w:eastAsia="仿宋" w:cs="仿宋"/>
          <w:sz w:val="24"/>
          <w:highlight w:val="none"/>
        </w:rPr>
        <w:t>联系人：黄老师   联系方式：0771-3274121</w:t>
      </w:r>
    </w:p>
    <w:p w14:paraId="150A62C0">
      <w:pPr>
        <w:shd w:val="clear"/>
        <w:spacing w:line="360" w:lineRule="auto"/>
        <w:ind w:firstLine="648" w:firstLineChars="270"/>
        <w:jc w:val="left"/>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bidi="ar"/>
        </w:rPr>
        <w:t>.</w:t>
      </w:r>
      <w:r>
        <w:rPr>
          <w:rFonts w:hint="eastAsia" w:ascii="仿宋" w:hAnsi="仿宋" w:eastAsia="仿宋" w:cs="仿宋"/>
          <w:sz w:val="24"/>
          <w:highlight w:val="none"/>
        </w:rPr>
        <w:t>采购代理机构信息</w:t>
      </w:r>
      <w:bookmarkEnd w:id="12"/>
      <w:bookmarkEnd w:id="13"/>
    </w:p>
    <w:p w14:paraId="4A7B11A7">
      <w:pPr>
        <w:shd w:val="clear"/>
        <w:spacing w:line="360" w:lineRule="auto"/>
        <w:ind w:firstLine="648" w:firstLineChars="270"/>
        <w:rPr>
          <w:rFonts w:hint="eastAsia" w:ascii="仿宋" w:hAnsi="仿宋" w:eastAsia="仿宋" w:cs="仿宋"/>
          <w:sz w:val="24"/>
          <w:highlight w:val="none"/>
        </w:rPr>
      </w:pPr>
      <w:r>
        <w:rPr>
          <w:rFonts w:hint="eastAsia" w:ascii="仿宋" w:hAnsi="仿宋" w:eastAsia="仿宋" w:cs="仿宋"/>
          <w:sz w:val="24"/>
          <w:highlight w:val="none"/>
        </w:rPr>
        <w:t>名称：广西科文招标有限公司</w:t>
      </w:r>
    </w:p>
    <w:p w14:paraId="6E610C75">
      <w:pPr>
        <w:shd w:val="clear"/>
        <w:spacing w:line="360" w:lineRule="auto"/>
        <w:ind w:firstLine="648" w:firstLineChars="270"/>
        <w:rPr>
          <w:rFonts w:hint="eastAsia" w:ascii="仿宋" w:hAnsi="仿宋" w:eastAsia="仿宋" w:cs="仿宋"/>
          <w:sz w:val="24"/>
          <w:highlight w:val="none"/>
        </w:rPr>
      </w:pPr>
      <w:r>
        <w:rPr>
          <w:rFonts w:hint="eastAsia" w:ascii="仿宋" w:hAnsi="仿宋" w:eastAsia="仿宋" w:cs="仿宋"/>
          <w:sz w:val="24"/>
          <w:highlight w:val="none"/>
        </w:rPr>
        <w:t>地址：广西南宁市民族大道141号中鼎万象东方D区五层</w:t>
      </w:r>
    </w:p>
    <w:p w14:paraId="1C27C7B6">
      <w:pPr>
        <w:shd w:val="clear"/>
        <w:spacing w:line="360" w:lineRule="auto"/>
        <w:ind w:firstLine="648" w:firstLineChars="270"/>
        <w:rPr>
          <w:rFonts w:hint="eastAsia" w:ascii="仿宋" w:hAnsi="仿宋" w:eastAsia="仿宋" w:cs="仿宋"/>
          <w:sz w:val="24"/>
          <w:highlight w:val="none"/>
        </w:rPr>
      </w:pPr>
      <w:r>
        <w:rPr>
          <w:rFonts w:hint="eastAsia" w:ascii="仿宋" w:hAnsi="仿宋" w:eastAsia="仿宋" w:cs="仿宋"/>
          <w:sz w:val="24"/>
          <w:highlight w:val="none"/>
        </w:rPr>
        <w:t>联系方式：</w:t>
      </w:r>
      <w:bookmarkStart w:id="14" w:name="_Toc28359087"/>
      <w:bookmarkStart w:id="15" w:name="_Toc28359010"/>
      <w:r>
        <w:rPr>
          <w:rFonts w:hint="eastAsia" w:ascii="仿宋" w:hAnsi="仿宋" w:eastAsia="仿宋" w:cs="仿宋"/>
          <w:sz w:val="24"/>
          <w:highlight w:val="none"/>
        </w:rPr>
        <w:t>0771-2023650</w:t>
      </w:r>
    </w:p>
    <w:p w14:paraId="3D25577A">
      <w:pPr>
        <w:shd w:val="clear"/>
        <w:spacing w:line="360" w:lineRule="auto"/>
        <w:ind w:firstLine="648" w:firstLineChars="270"/>
        <w:rPr>
          <w:rFonts w:hint="eastAsia" w:ascii="仿宋" w:hAnsi="仿宋" w:eastAsia="仿宋" w:cs="仿宋"/>
          <w:sz w:val="24"/>
          <w:highlight w:val="none"/>
          <w:u w:val="single"/>
        </w:rPr>
      </w:pPr>
      <w:r>
        <w:rPr>
          <w:rFonts w:hint="eastAsia" w:ascii="仿宋" w:hAnsi="仿宋" w:eastAsia="仿宋" w:cs="仿宋"/>
          <w:sz w:val="24"/>
          <w:highlight w:val="none"/>
        </w:rPr>
        <w:t>3</w:t>
      </w:r>
      <w:r>
        <w:rPr>
          <w:rFonts w:hint="eastAsia" w:ascii="仿宋" w:hAnsi="仿宋" w:eastAsia="仿宋" w:cs="仿宋"/>
          <w:sz w:val="24"/>
          <w:highlight w:val="none"/>
          <w:lang w:bidi="ar"/>
        </w:rPr>
        <w:t>.</w:t>
      </w:r>
      <w:r>
        <w:rPr>
          <w:rFonts w:hint="eastAsia" w:ascii="仿宋" w:hAnsi="仿宋" w:eastAsia="仿宋" w:cs="仿宋"/>
          <w:sz w:val="24"/>
          <w:highlight w:val="none"/>
        </w:rPr>
        <w:t>项目联系方式</w:t>
      </w:r>
      <w:bookmarkEnd w:id="14"/>
      <w:bookmarkEnd w:id="15"/>
    </w:p>
    <w:p w14:paraId="5C99AC4D">
      <w:pPr>
        <w:shd w:val="clear"/>
        <w:spacing w:line="360" w:lineRule="auto"/>
        <w:ind w:firstLine="648" w:firstLineChars="270"/>
        <w:jc w:val="left"/>
        <w:rPr>
          <w:rFonts w:hint="eastAsia" w:ascii="仿宋" w:hAnsi="仿宋" w:eastAsia="仿宋" w:cs="仿宋"/>
          <w:sz w:val="24"/>
          <w:highlight w:val="none"/>
        </w:rPr>
      </w:pPr>
      <w:r>
        <w:rPr>
          <w:rFonts w:hint="eastAsia" w:ascii="仿宋" w:hAnsi="仿宋" w:eastAsia="仿宋" w:cs="仿宋"/>
          <w:sz w:val="24"/>
          <w:highlight w:val="none"/>
        </w:rPr>
        <w:t>项目联系人：梁伟贞 严广廷   电　话：0771-2023650</w:t>
      </w:r>
    </w:p>
    <w:p w14:paraId="0E73DCAB">
      <w:pPr>
        <w:shd w:val="clear"/>
        <w:spacing w:line="360" w:lineRule="auto"/>
        <w:ind w:firstLine="648" w:firstLineChars="270"/>
        <w:jc w:val="left"/>
        <w:rPr>
          <w:rFonts w:hint="eastAsia" w:ascii="仿宋" w:hAnsi="仿宋" w:eastAsia="仿宋" w:cs="仿宋"/>
          <w:sz w:val="24"/>
          <w:highlight w:val="none"/>
        </w:rPr>
      </w:pPr>
    </w:p>
    <w:bookmarkEnd w:id="1"/>
    <w:bookmarkEnd w:id="8"/>
    <w:bookmarkEnd w:id="9"/>
    <w:bookmarkEnd w:id="10"/>
    <w:bookmarkEnd w:id="11"/>
    <w:p w14:paraId="0DE545AB">
      <w:pPr>
        <w:shd w:val="clear"/>
        <w:spacing w:line="360" w:lineRule="auto"/>
        <w:ind w:firstLine="648" w:firstLineChars="270"/>
        <w:jc w:val="right"/>
        <w:rPr>
          <w:rFonts w:hint="eastAsia" w:ascii="仿宋" w:hAnsi="仿宋" w:eastAsia="仿宋" w:cs="仿宋"/>
          <w:sz w:val="24"/>
          <w:highlight w:val="none"/>
        </w:rPr>
      </w:pPr>
      <w:r>
        <w:rPr>
          <w:rFonts w:hint="eastAsia" w:ascii="仿宋" w:hAnsi="仿宋" w:eastAsia="仿宋" w:cs="仿宋"/>
          <w:sz w:val="24"/>
          <w:highlight w:val="none"/>
        </w:rPr>
        <w:t>代理机构：广西科文招标有限公司</w:t>
      </w:r>
    </w:p>
    <w:p w14:paraId="2FAE77C8">
      <w:pPr>
        <w:shd w:val="clear"/>
        <w:spacing w:line="360" w:lineRule="auto"/>
        <w:ind w:firstLine="648" w:firstLineChars="270"/>
        <w:jc w:val="right"/>
        <w:rPr>
          <w:rFonts w:hint="eastAsia" w:ascii="仿宋" w:hAnsi="仿宋" w:eastAsia="仿宋" w:cs="仿宋"/>
          <w:sz w:val="24"/>
          <w:highlight w:val="none"/>
        </w:rPr>
      </w:pPr>
      <w:r>
        <w:rPr>
          <w:rFonts w:hint="eastAsia" w:ascii="仿宋" w:hAnsi="仿宋" w:eastAsia="仿宋" w:cs="仿宋"/>
          <w:sz w:val="24"/>
          <w:highlight w:val="none"/>
        </w:rPr>
        <w:t>2026年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21</w:t>
      </w:r>
      <w:r>
        <w:rPr>
          <w:rFonts w:hint="eastAsia" w:ascii="仿宋" w:hAnsi="仿宋" w:eastAsia="仿宋" w:cs="仿宋"/>
          <w:sz w:val="24"/>
          <w:highlight w:val="none"/>
        </w:rPr>
        <w:t>日</w:t>
      </w:r>
    </w:p>
    <w:p w14:paraId="5335F225">
      <w:pPr>
        <w:pStyle w:val="2"/>
        <w:shd w:val="clear"/>
        <w:rPr>
          <w:rFonts w:hint="eastAsia" w:ascii="仿宋" w:hAnsi="仿宋" w:cs="仿宋"/>
          <w:highlight w:val="none"/>
        </w:rPr>
      </w:pPr>
      <w:r>
        <w:rPr>
          <w:rFonts w:hint="eastAsia" w:ascii="仿宋" w:hAnsi="仿宋" w:cs="仿宋"/>
          <w:sz w:val="24"/>
          <w:highlight w:val="none"/>
        </w:rPr>
        <w:br w:type="page"/>
      </w:r>
      <w:bookmarkStart w:id="16" w:name="_Toc30495"/>
      <w:r>
        <w:rPr>
          <w:rFonts w:hint="eastAsia" w:ascii="仿宋" w:hAnsi="仿宋" w:cs="仿宋"/>
          <w:highlight w:val="none"/>
        </w:rPr>
        <w:t>第二章 供应商须知</w:t>
      </w:r>
      <w:bookmarkEnd w:id="16"/>
    </w:p>
    <w:p w14:paraId="57976203">
      <w:pPr>
        <w:shd w:val="clear"/>
        <w:spacing w:line="4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供应商须知前附表</w:t>
      </w:r>
    </w:p>
    <w:p w14:paraId="6597EE7F">
      <w:pPr>
        <w:shd w:val="clear"/>
        <w:spacing w:line="400" w:lineRule="exact"/>
        <w:jc w:val="center"/>
        <w:rPr>
          <w:rFonts w:hint="eastAsia" w:ascii="仿宋" w:hAnsi="仿宋" w:eastAsia="仿宋" w:cs="仿宋"/>
          <w:b/>
          <w:sz w:val="32"/>
          <w:szCs w:val="32"/>
          <w:highlight w:val="none"/>
        </w:rPr>
      </w:pPr>
    </w:p>
    <w:tbl>
      <w:tblPr>
        <w:tblStyle w:val="29"/>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49D45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0A55D13">
            <w:pPr>
              <w:shd w:val="clea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条款号</w:t>
            </w:r>
          </w:p>
        </w:tc>
        <w:tc>
          <w:tcPr>
            <w:tcW w:w="8627" w:type="dxa"/>
          </w:tcPr>
          <w:p w14:paraId="32F05AB3">
            <w:pPr>
              <w:shd w:val="clea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内    容</w:t>
            </w:r>
          </w:p>
        </w:tc>
      </w:tr>
      <w:tr w14:paraId="341FC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76914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8627" w:type="dxa"/>
            <w:vAlign w:val="center"/>
          </w:tcPr>
          <w:p w14:paraId="6CAFECE4">
            <w:pPr>
              <w:shd w:val="clear"/>
              <w:spacing w:line="360" w:lineRule="auto"/>
              <w:rPr>
                <w:rFonts w:hint="eastAsia" w:ascii="仿宋" w:hAnsi="仿宋" w:eastAsia="仿宋" w:cs="仿宋"/>
                <w:sz w:val="24"/>
                <w:highlight w:val="none"/>
              </w:rPr>
            </w:pPr>
            <w:r>
              <w:rPr>
                <w:rFonts w:hint="eastAsia" w:ascii="仿宋" w:hAnsi="仿宋" w:eastAsia="仿宋" w:cs="仿宋"/>
                <w:bCs/>
                <w:sz w:val="24"/>
                <w:highlight w:val="none"/>
              </w:rPr>
              <w:t>供应商的资格条件</w:t>
            </w:r>
            <w:r>
              <w:rPr>
                <w:rFonts w:hint="eastAsia" w:ascii="仿宋" w:hAnsi="仿宋" w:eastAsia="仿宋" w:cs="仿宋"/>
                <w:sz w:val="24"/>
                <w:highlight w:val="none"/>
              </w:rPr>
              <w:t>：详见竞争性磋商公告</w:t>
            </w:r>
          </w:p>
        </w:tc>
      </w:tr>
      <w:tr w14:paraId="2E6BC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DBAA1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5.1</w:t>
            </w:r>
          </w:p>
        </w:tc>
        <w:tc>
          <w:tcPr>
            <w:tcW w:w="8627" w:type="dxa"/>
            <w:vAlign w:val="center"/>
          </w:tcPr>
          <w:p w14:paraId="2319C37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是否接受联合体参加竞争性磋商：详见竞争性磋商公告</w:t>
            </w:r>
          </w:p>
        </w:tc>
      </w:tr>
      <w:tr w14:paraId="74BC4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A431A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5.2</w:t>
            </w:r>
          </w:p>
        </w:tc>
        <w:tc>
          <w:tcPr>
            <w:tcW w:w="8627" w:type="dxa"/>
            <w:vAlign w:val="center"/>
          </w:tcPr>
          <w:p w14:paraId="4E116D11">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如接受联合体参加竞争性磋商，要求如下：</w:t>
            </w:r>
          </w:p>
          <w:p w14:paraId="0D921532">
            <w:pPr>
              <w:shd w:val="clear"/>
              <w:autoSpaceDE w:val="0"/>
              <w:autoSpaceDN w:val="0"/>
              <w:snapToGrid w:val="0"/>
              <w:spacing w:line="360" w:lineRule="auto"/>
              <w:textAlignment w:val="bottom"/>
              <w:rPr>
                <w:rFonts w:hint="eastAsia" w:ascii="仿宋" w:hAnsi="仿宋" w:eastAsia="仿宋" w:cs="仿宋"/>
                <w:sz w:val="24"/>
                <w:highlight w:val="none"/>
              </w:rPr>
            </w:pPr>
            <w:r>
              <w:rPr>
                <w:rFonts w:hint="eastAsia" w:ascii="仿宋" w:hAnsi="仿宋" w:eastAsia="仿宋" w:cs="仿宋"/>
                <w:sz w:val="24"/>
                <w:highlight w:val="none"/>
              </w:rPr>
              <w:t>1.两个以上供应商可以组成一个竞争性磋商联合体，以一个供应商的身份共同参加竞争性磋商，联合体供应商的名称应统一按“XXX 公司与 XXX 公司的联合体”的规则填写。</w:t>
            </w:r>
            <w:r>
              <w:rPr>
                <w:rFonts w:hint="eastAsia" w:ascii="仿宋" w:hAnsi="仿宋" w:eastAsia="仿宋" w:cs="仿宋"/>
                <w:sz w:val="24"/>
                <w:highlight w:val="none"/>
              </w:rPr>
              <w:tab/>
            </w:r>
          </w:p>
          <w:p w14:paraId="3843E7D8">
            <w:pPr>
              <w:shd w:val="clear"/>
              <w:autoSpaceDE w:val="0"/>
              <w:autoSpaceDN w:val="0"/>
              <w:snapToGrid w:val="0"/>
              <w:spacing w:line="360" w:lineRule="auto"/>
              <w:textAlignment w:val="bottom"/>
              <w:rPr>
                <w:rFonts w:hint="eastAsia" w:ascii="仿宋" w:hAnsi="仿宋" w:eastAsia="仿宋" w:cs="仿宋"/>
                <w:sz w:val="24"/>
                <w:highlight w:val="none"/>
              </w:rPr>
            </w:pPr>
            <w:r>
              <w:rPr>
                <w:rFonts w:hint="eastAsia" w:ascii="仿宋" w:hAnsi="仿宋" w:eastAsia="仿宋" w:cs="仿宋"/>
                <w:sz w:val="24"/>
                <w:highlight w:val="none"/>
              </w:rPr>
              <w:t>2.以联合体形式参加竞争性磋商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20222AA7">
            <w:pPr>
              <w:shd w:val="clear"/>
              <w:autoSpaceDE w:val="0"/>
              <w:autoSpaceDN w:val="0"/>
              <w:snapToGrid w:val="0"/>
              <w:spacing w:line="360" w:lineRule="auto"/>
              <w:textAlignment w:val="bottom"/>
              <w:rPr>
                <w:rFonts w:hint="eastAsia" w:ascii="仿宋" w:hAnsi="仿宋" w:eastAsia="仿宋" w:cs="仿宋"/>
                <w:sz w:val="24"/>
                <w:highlight w:val="none"/>
              </w:rPr>
            </w:pPr>
            <w:r>
              <w:rPr>
                <w:rFonts w:hint="eastAsia" w:ascii="仿宋" w:hAnsi="仿宋" w:eastAsia="仿宋" w:cs="仿宋"/>
                <w:sz w:val="24"/>
                <w:highlight w:val="none"/>
              </w:rPr>
              <w:t>3.联合体参加竞争性磋商的，须提供《联合体参加竞争性磋商协议书》（格式后附），协议书必须明确主体方（或者牵头方）并明确约定联合体各方承担的工作和相应的责任（各方承担责任与义务的分工必须符合采购需求，否则，联合体响应无效），并将联合参加竞争性磋商协议放入响应文件。联合体各方必须共同与采购人签订采购合同，就采购合同约定的事项对采购人承担连带责任。</w:t>
            </w:r>
            <w:r>
              <w:rPr>
                <w:rFonts w:hint="eastAsia" w:ascii="仿宋" w:hAnsi="仿宋" w:eastAsia="仿宋" w:cs="仿宋"/>
                <w:sz w:val="24"/>
                <w:highlight w:val="none"/>
              </w:rPr>
              <w:tab/>
            </w:r>
          </w:p>
          <w:p w14:paraId="59CB12B2">
            <w:pPr>
              <w:shd w:val="clear"/>
              <w:autoSpaceDE w:val="0"/>
              <w:autoSpaceDN w:val="0"/>
              <w:snapToGrid w:val="0"/>
              <w:spacing w:line="360" w:lineRule="auto"/>
              <w:textAlignment w:val="bottom"/>
              <w:rPr>
                <w:rFonts w:hint="eastAsia" w:ascii="仿宋" w:hAnsi="仿宋" w:eastAsia="仿宋" w:cs="仿宋"/>
                <w:sz w:val="24"/>
                <w:highlight w:val="none"/>
              </w:rPr>
            </w:pPr>
            <w:r>
              <w:rPr>
                <w:rFonts w:hint="eastAsia" w:ascii="仿宋" w:hAnsi="仿宋" w:eastAsia="仿宋" w:cs="仿宋"/>
                <w:sz w:val="24"/>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仿宋" w:hAnsi="仿宋" w:eastAsia="仿宋" w:cs="仿宋"/>
                <w:sz w:val="24"/>
                <w:highlight w:val="none"/>
              </w:rPr>
              <w:tab/>
            </w:r>
            <w:r>
              <w:rPr>
                <w:rFonts w:hint="eastAsia" w:ascii="仿宋" w:hAnsi="仿宋" w:eastAsia="仿宋" w:cs="仿宋"/>
                <w:sz w:val="24"/>
                <w:highlight w:val="none"/>
              </w:rPr>
              <w:tab/>
            </w:r>
          </w:p>
          <w:p w14:paraId="5E99222F">
            <w:pPr>
              <w:shd w:val="clear"/>
              <w:autoSpaceDE w:val="0"/>
              <w:autoSpaceDN w:val="0"/>
              <w:snapToGrid w:val="0"/>
              <w:spacing w:line="360" w:lineRule="auto"/>
              <w:textAlignment w:val="bottom"/>
              <w:rPr>
                <w:rFonts w:hint="eastAsia" w:ascii="仿宋" w:hAnsi="仿宋" w:eastAsia="仿宋" w:cs="仿宋"/>
                <w:sz w:val="24"/>
                <w:highlight w:val="none"/>
              </w:rPr>
            </w:pPr>
            <w:r>
              <w:rPr>
                <w:rFonts w:hint="eastAsia" w:ascii="仿宋" w:hAnsi="仿宋" w:eastAsia="仿宋" w:cs="仿宋"/>
                <w:sz w:val="24"/>
                <w:highlight w:val="none"/>
              </w:rPr>
              <w:t>5.联合体中有同类资质的供应商按照联合体分工承担相同工作的，应当按照资质等级较低的供应商确定资质等级。</w:t>
            </w:r>
            <w:r>
              <w:rPr>
                <w:rFonts w:hint="eastAsia" w:ascii="仿宋" w:hAnsi="仿宋" w:eastAsia="仿宋" w:cs="仿宋"/>
                <w:sz w:val="24"/>
                <w:highlight w:val="none"/>
              </w:rPr>
              <w:tab/>
            </w:r>
            <w:r>
              <w:rPr>
                <w:rFonts w:hint="eastAsia" w:ascii="仿宋" w:hAnsi="仿宋" w:eastAsia="仿宋" w:cs="仿宋"/>
                <w:sz w:val="24"/>
                <w:highlight w:val="none"/>
              </w:rPr>
              <w:tab/>
            </w:r>
          </w:p>
          <w:p w14:paraId="33C15804">
            <w:pPr>
              <w:shd w:val="clear"/>
              <w:autoSpaceDE w:val="0"/>
              <w:autoSpaceDN w:val="0"/>
              <w:snapToGrid w:val="0"/>
              <w:spacing w:line="360" w:lineRule="auto"/>
              <w:textAlignment w:val="bottom"/>
              <w:rPr>
                <w:rFonts w:hint="eastAsia" w:ascii="仿宋" w:hAnsi="仿宋" w:eastAsia="仿宋" w:cs="仿宋"/>
                <w:sz w:val="24"/>
                <w:highlight w:val="none"/>
              </w:rPr>
            </w:pPr>
            <w:r>
              <w:rPr>
                <w:rFonts w:hint="eastAsia" w:ascii="仿宋" w:hAnsi="仿宋" w:eastAsia="仿宋" w:cs="仿宋"/>
                <w:sz w:val="24"/>
                <w:highlight w:val="none"/>
              </w:rPr>
              <w:t>6.联合体参加竞争性磋商的业绩、履约能力按照联合体各方其中较高的一方认定并计算（竞争性磋商文件另有规定的除外）。</w:t>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ab/>
            </w:r>
          </w:p>
          <w:p w14:paraId="1B5A5D5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7.联合体各方均应按照竞争性磋商文件的规定提交资格证明文件。</w:t>
            </w:r>
          </w:p>
        </w:tc>
      </w:tr>
      <w:tr w14:paraId="2880A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D53A1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6.2</w:t>
            </w:r>
          </w:p>
        </w:tc>
        <w:tc>
          <w:tcPr>
            <w:tcW w:w="8627" w:type="dxa"/>
            <w:vAlign w:val="center"/>
          </w:tcPr>
          <w:p w14:paraId="1022A66E">
            <w:pPr>
              <w:pStyle w:val="11"/>
              <w:shd w:val="clear"/>
              <w:spacing w:line="360" w:lineRule="auto"/>
              <w:rPr>
                <w:rFonts w:hint="eastAsia" w:ascii="仿宋" w:hAnsi="仿宋" w:eastAsia="仿宋" w:cs="仿宋"/>
                <w:b/>
                <w:sz w:val="24"/>
                <w:highlight w:val="none"/>
              </w:rPr>
            </w:pPr>
            <w:r>
              <w:rPr>
                <w:rFonts w:hint="eastAsia" w:ascii="仿宋" w:hAnsi="仿宋" w:eastAsia="仿宋" w:cs="仿宋"/>
                <w:b/>
                <w:sz w:val="24"/>
                <w:highlight w:val="none"/>
              </w:rPr>
              <w:sym w:font="Wingdings" w:char="00FE"/>
            </w:r>
            <w:r>
              <w:rPr>
                <w:rFonts w:hint="eastAsia" w:ascii="仿宋" w:hAnsi="仿宋" w:eastAsia="仿宋" w:cs="仿宋"/>
                <w:b/>
                <w:sz w:val="24"/>
                <w:highlight w:val="none"/>
              </w:rPr>
              <w:t>本项目不允许分包。</w:t>
            </w:r>
          </w:p>
          <w:p w14:paraId="1C57793E">
            <w:pPr>
              <w:pStyle w:val="11"/>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本项目允许分包：</w:t>
            </w:r>
          </w:p>
          <w:p w14:paraId="62D30A9A">
            <w:pPr>
              <w:pStyle w:val="11"/>
              <w:shd w:val="clea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分包内容：</w:t>
            </w:r>
            <w:r>
              <w:rPr>
                <w:rFonts w:hint="eastAsia" w:ascii="仿宋" w:hAnsi="仿宋" w:eastAsia="仿宋" w:cs="仿宋"/>
                <w:sz w:val="24"/>
                <w:highlight w:val="none"/>
                <w:u w:val="single"/>
              </w:rPr>
              <w:t xml:space="preserve">                                     。</w:t>
            </w:r>
          </w:p>
          <w:p w14:paraId="554A8FEF">
            <w:pPr>
              <w:pStyle w:val="11"/>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分包金额或者比例：</w:t>
            </w:r>
            <w:r>
              <w:rPr>
                <w:rFonts w:hint="eastAsia" w:ascii="仿宋" w:hAnsi="仿宋" w:eastAsia="仿宋" w:cs="仿宋"/>
                <w:sz w:val="24"/>
                <w:highlight w:val="none"/>
                <w:u w:val="single"/>
              </w:rPr>
              <w:t xml:space="preserve">                                     。</w:t>
            </w:r>
          </w:p>
        </w:tc>
      </w:tr>
      <w:tr w14:paraId="27290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0AAA7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12.1.1</w:t>
            </w:r>
          </w:p>
        </w:tc>
        <w:tc>
          <w:tcPr>
            <w:tcW w:w="8627" w:type="dxa"/>
            <w:vAlign w:val="center"/>
          </w:tcPr>
          <w:p w14:paraId="363AB2EF">
            <w:pPr>
              <w:shd w:val="clear"/>
              <w:snapToGrid w:val="0"/>
              <w:spacing w:line="360" w:lineRule="auto"/>
              <w:jc w:val="left"/>
              <w:rPr>
                <w:rFonts w:hint="eastAsia" w:ascii="仿宋" w:hAnsi="仿宋" w:eastAsia="仿宋" w:cs="仿宋"/>
                <w:b/>
                <w:sz w:val="24"/>
                <w:highlight w:val="none"/>
              </w:rPr>
            </w:pPr>
            <w:r>
              <w:rPr>
                <w:rFonts w:hint="eastAsia" w:ascii="仿宋" w:hAnsi="仿宋" w:eastAsia="仿宋" w:cs="仿宋"/>
                <w:b/>
                <w:sz w:val="24"/>
                <w:highlight w:val="none"/>
              </w:rPr>
              <w:t>资格证明文件</w:t>
            </w:r>
          </w:p>
          <w:p w14:paraId="04EF3F8A">
            <w:pPr>
              <w:pStyle w:val="11"/>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1.供应商为法人或者其他组织的，证明文件为其营业执照复印件（如营业执照或者事业单位法人证书或者执业许可证等）；供应商为自然人的，证明文件为其身份证复印件；（</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696533E6">
            <w:pPr>
              <w:shd w:val="clear"/>
              <w:spacing w:line="360" w:lineRule="auto"/>
              <w:contextualSpacing/>
              <w:jc w:val="left"/>
              <w:rPr>
                <w:rFonts w:hint="eastAsia" w:ascii="仿宋" w:hAnsi="仿宋" w:eastAsia="仿宋" w:cs="仿宋"/>
                <w:sz w:val="24"/>
                <w:highlight w:val="none"/>
              </w:rPr>
            </w:pPr>
            <w:r>
              <w:rPr>
                <w:rFonts w:hint="eastAsia" w:ascii="仿宋" w:hAnsi="仿宋" w:eastAsia="仿宋" w:cs="仿宋"/>
                <w:sz w:val="24"/>
                <w:highlight w:val="none"/>
              </w:rPr>
              <w:t>2.供应商依法缴纳税收的相关材料（截至</w:t>
            </w:r>
            <w:r>
              <w:rPr>
                <w:rFonts w:hint="eastAsia" w:ascii="仿宋" w:hAnsi="仿宋" w:eastAsia="仿宋" w:cs="仿宋"/>
                <w:sz w:val="24"/>
                <w:highlight w:val="none"/>
                <w:u w:val="single"/>
              </w:rPr>
              <w:t>首次响应文件提交截止之日半年内连续三个月</w:t>
            </w:r>
            <w:r>
              <w:rPr>
                <w:rFonts w:hint="eastAsia" w:ascii="仿宋" w:hAnsi="仿宋" w:eastAsia="仿宋" w:cs="仿宋"/>
                <w:sz w:val="24"/>
                <w:highlight w:val="none"/>
              </w:rPr>
              <w:t>的依法缴纳税收的凭据复印件；依法免税的，必须提供相应文件证明。从成立之日起到首次响应文件提交截止之日不足要求月数的，只需提供从成立之日起的依法缴纳税收相应证明文件）；（</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6A84E32E">
            <w:pPr>
              <w:shd w:val="clear"/>
              <w:spacing w:line="360" w:lineRule="auto"/>
              <w:contextualSpacing/>
              <w:jc w:val="left"/>
              <w:rPr>
                <w:rFonts w:hint="eastAsia" w:ascii="仿宋" w:hAnsi="仿宋" w:eastAsia="仿宋" w:cs="仿宋"/>
                <w:sz w:val="24"/>
                <w:highlight w:val="none"/>
              </w:rPr>
            </w:pPr>
            <w:r>
              <w:rPr>
                <w:rFonts w:hint="eastAsia" w:ascii="仿宋" w:hAnsi="仿宋" w:eastAsia="仿宋" w:cs="仿宋"/>
                <w:sz w:val="24"/>
                <w:highlight w:val="none"/>
              </w:rPr>
              <w:t>3.供应商依法缴纳社会保障资金的相关材料[截至</w:t>
            </w:r>
            <w:r>
              <w:rPr>
                <w:rFonts w:hint="eastAsia" w:ascii="仿宋" w:hAnsi="仿宋" w:eastAsia="仿宋" w:cs="仿宋"/>
                <w:sz w:val="24"/>
                <w:highlight w:val="none"/>
                <w:u w:val="single"/>
              </w:rPr>
              <w:t>首次响应文件提交截止之日半年内连续三个月</w:t>
            </w:r>
            <w:r>
              <w:rPr>
                <w:rFonts w:hint="eastAsia" w:ascii="仿宋" w:hAnsi="仿宋" w:eastAsia="仿宋" w:cs="仿宋"/>
                <w:sz w:val="24"/>
                <w:highlight w:val="none"/>
              </w:rPr>
              <w:t>的依法缴纳社会保障资金的缴费凭证（专用收据或者社会保险缴纳清单）复印件；依法不需要缴纳社会保障资金的，必须提供相应文件证明。从成立之日起到首次响应文件提交截止之日不足要求月数的只需提供从成立之日起一个月的依法缴纳社会保障资金的相应证明文件]；（</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070C59BE">
            <w:pPr>
              <w:shd w:val="clear"/>
              <w:spacing w:line="360" w:lineRule="auto"/>
              <w:contextualSpacing/>
              <w:jc w:val="left"/>
              <w:rPr>
                <w:rFonts w:hint="eastAsia" w:ascii="仿宋" w:hAnsi="仿宋" w:eastAsia="仿宋" w:cs="仿宋"/>
                <w:b/>
                <w:sz w:val="24"/>
                <w:highlight w:val="none"/>
              </w:rPr>
            </w:pPr>
            <w:r>
              <w:rPr>
                <w:rFonts w:hint="eastAsia" w:ascii="仿宋" w:hAnsi="仿宋" w:eastAsia="仿宋" w:cs="仿宋"/>
                <w:sz w:val="24"/>
                <w:highlight w:val="none"/>
              </w:rPr>
              <w:t>4.供应商财务状况报告（提供2024年或2025年财务状况报告复印件，或者银行出具的资信证明（资信证明应在有效期内，未注明有效期的，银行出具时间至首次响应文件提交截止之日不超过一年）；供应商成立不满一年的应按首次响应文件提交截止之日上一个月的财务状况报告复印件）；</w:t>
            </w:r>
            <w:r>
              <w:rPr>
                <w:rFonts w:hint="eastAsia" w:ascii="仿宋" w:hAnsi="仿宋" w:eastAsia="仿宋" w:cs="仿宋"/>
                <w:bCs/>
                <w:sz w:val="24"/>
                <w:highlight w:val="none"/>
              </w:rPr>
              <w:t>（</w:t>
            </w:r>
            <w:r>
              <w:rPr>
                <w:rFonts w:hint="eastAsia" w:ascii="仿宋" w:hAnsi="仿宋" w:eastAsia="仿宋" w:cs="仿宋"/>
                <w:b/>
                <w:sz w:val="24"/>
                <w:highlight w:val="none"/>
              </w:rPr>
              <w:t>除自然人外必须提供，否则响应文件按无效响应处理</w:t>
            </w:r>
            <w:r>
              <w:rPr>
                <w:rFonts w:hint="eastAsia" w:ascii="仿宋" w:hAnsi="仿宋" w:eastAsia="仿宋" w:cs="仿宋"/>
                <w:bCs/>
                <w:sz w:val="24"/>
                <w:highlight w:val="none"/>
              </w:rPr>
              <w:t>）</w:t>
            </w:r>
          </w:p>
          <w:p w14:paraId="7FDB956D">
            <w:pPr>
              <w:shd w:val="clear"/>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5.供应商直接控股、管理关系信息表（格式后附）；（</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26007AC6">
            <w:pPr>
              <w:shd w:val="clear"/>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6.参与竞争性磋商声明（格式后附）；（</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7B72C149">
            <w:pPr>
              <w:shd w:val="clear"/>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7.联合体参与竞争性磋商协议书（格式后附）；（</w:t>
            </w:r>
            <w:r>
              <w:rPr>
                <w:rFonts w:ascii="仿宋" w:hAnsi="仿宋" w:eastAsia="仿宋" w:cs="仿宋"/>
                <w:b/>
                <w:sz w:val="24"/>
                <w:highlight w:val="none"/>
              </w:rPr>
              <w:t>联合体参与竞争性磋商时必须提供，否则响应文件按无效响应处理</w:t>
            </w:r>
            <w:r>
              <w:rPr>
                <w:rFonts w:hint="eastAsia" w:ascii="仿宋" w:hAnsi="仿宋" w:eastAsia="仿宋" w:cs="仿宋"/>
                <w:sz w:val="24"/>
                <w:highlight w:val="none"/>
              </w:rPr>
              <w:t>）</w:t>
            </w:r>
          </w:p>
          <w:p w14:paraId="7C6E1908">
            <w:pPr>
              <w:shd w:val="clear"/>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8.竞争性磋商公告对应的特定资格要求的资格证明材料（设计单位资格要求）：须具备工程设计综合甲级或工程设计建筑行业甲级或工程设计建筑行业建筑工程甲级资质；</w:t>
            </w:r>
            <w:r>
              <w:rPr>
                <w:rFonts w:hint="eastAsia" w:ascii="仿宋" w:hAnsi="仿宋" w:eastAsia="仿宋" w:cs="仿宋"/>
                <w:b/>
                <w:bCs/>
                <w:sz w:val="24"/>
                <w:highlight w:val="none"/>
              </w:rPr>
              <w:t>（必须提供，否则响应文件按无效响应处理</w:t>
            </w:r>
            <w:r>
              <w:rPr>
                <w:rFonts w:hint="eastAsia" w:ascii="仿宋" w:hAnsi="仿宋" w:eastAsia="仿宋" w:cs="仿宋"/>
                <w:sz w:val="24"/>
                <w:highlight w:val="none"/>
              </w:rPr>
              <w:t>）</w:t>
            </w:r>
          </w:p>
          <w:p w14:paraId="26C35081">
            <w:pPr>
              <w:shd w:val="clear"/>
              <w:snapToGrid w:val="0"/>
              <w:spacing w:line="360" w:lineRule="auto"/>
              <w:jc w:val="left"/>
              <w:rPr>
                <w:rFonts w:hint="eastAsia" w:ascii="仿宋" w:hAnsi="仿宋" w:eastAsia="仿宋" w:cs="仿宋"/>
                <w:b/>
                <w:sz w:val="24"/>
                <w:highlight w:val="none"/>
              </w:rPr>
            </w:pPr>
            <w:r>
              <w:rPr>
                <w:rFonts w:hint="eastAsia" w:ascii="仿宋" w:hAnsi="仿宋" w:eastAsia="仿宋" w:cs="仿宋"/>
                <w:sz w:val="24"/>
                <w:highlight w:val="none"/>
              </w:rPr>
              <w:t>9.除磋商文件规定必须提供以外，供应商认为需要提供的其他证明材料；</w:t>
            </w:r>
          </w:p>
          <w:p w14:paraId="091A0A7D">
            <w:pPr>
              <w:shd w:val="clear"/>
              <w:snapToGrid w:val="0"/>
              <w:spacing w:line="360" w:lineRule="auto"/>
              <w:jc w:val="left"/>
              <w:rPr>
                <w:rFonts w:hint="eastAsia" w:ascii="仿宋" w:hAnsi="仿宋" w:eastAsia="仿宋" w:cs="仿宋"/>
                <w:b/>
                <w:sz w:val="24"/>
                <w:highlight w:val="none"/>
              </w:rPr>
            </w:pPr>
            <w:r>
              <w:rPr>
                <w:rFonts w:hint="eastAsia" w:ascii="仿宋" w:hAnsi="仿宋" w:eastAsia="仿宋" w:cs="仿宋"/>
                <w:b/>
                <w:bCs/>
                <w:sz w:val="24"/>
                <w:highlight w:val="none"/>
              </w:rPr>
              <w:t>【注】</w:t>
            </w:r>
            <w:r>
              <w:rPr>
                <w:rFonts w:hint="eastAsia" w:ascii="仿宋" w:hAnsi="仿宋" w:eastAsia="仿宋" w:cs="仿宋"/>
                <w:b/>
                <w:sz w:val="24"/>
                <w:highlight w:val="none"/>
              </w:rPr>
              <w:t>1.以上标明“必须提供”的材料属于复印件的，必须加盖供应商公章，否则响应文件按无效响应处理。</w:t>
            </w:r>
          </w:p>
          <w:p w14:paraId="471104BF">
            <w:pPr>
              <w:shd w:val="clear"/>
              <w:snapToGrid w:val="0"/>
              <w:spacing w:line="360" w:lineRule="auto"/>
              <w:jc w:val="left"/>
              <w:rPr>
                <w:rFonts w:hint="eastAsia" w:ascii="仿宋" w:hAnsi="仿宋" w:eastAsia="仿宋" w:cs="仿宋"/>
                <w:b/>
                <w:sz w:val="24"/>
                <w:highlight w:val="none"/>
              </w:rPr>
            </w:pPr>
            <w:r>
              <w:rPr>
                <w:rFonts w:hint="eastAsia" w:ascii="仿宋" w:hAnsi="仿宋" w:eastAsia="仿宋" w:cs="仿宋"/>
                <w:b/>
                <w:sz w:val="24"/>
                <w:highlight w:val="none"/>
              </w:rPr>
              <w:t>2.参与竞争性磋商声明必须由法定代表人在规定签章处签字并加盖供应商公章，否则响应文件按无效响应处理。</w:t>
            </w:r>
          </w:p>
          <w:p w14:paraId="72EFFB16">
            <w:pPr>
              <w:shd w:val="clear"/>
              <w:snapToGrid w:val="0"/>
              <w:spacing w:line="360" w:lineRule="auto"/>
              <w:jc w:val="left"/>
              <w:rPr>
                <w:rFonts w:hint="eastAsia" w:ascii="仿宋" w:hAnsi="仿宋" w:eastAsia="仿宋" w:cs="仿宋"/>
                <w:b/>
                <w:sz w:val="24"/>
                <w:highlight w:val="none"/>
              </w:rPr>
            </w:pPr>
            <w:r>
              <w:rPr>
                <w:rFonts w:hint="eastAsia" w:ascii="仿宋" w:hAnsi="仿宋" w:eastAsia="仿宋" w:cs="仿宋"/>
                <w:b/>
                <w:sz w:val="24"/>
                <w:highlight w:val="none"/>
              </w:rPr>
              <w:t>3.供应商直接控股、管理关系信息表必须由法定代表人或者委托代理人在规定签章处签字并加盖供应商公章，否则响应文件按无效响应处理。</w:t>
            </w:r>
          </w:p>
          <w:p w14:paraId="7B8063D0">
            <w:pPr>
              <w:pStyle w:val="11"/>
              <w:shd w:val="clea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4.联合体参加竞争性磋商时，第1-5项和第8项资格证明文件联合体各方均必须分别提供，联合体各方分别盖章，否则响应文件按无效响应处理。</w:t>
            </w:r>
          </w:p>
          <w:p w14:paraId="07822744">
            <w:pPr>
              <w:pStyle w:val="11"/>
              <w:shd w:val="clea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5.分公司参加竞争性磋商</w:t>
            </w:r>
            <w:r>
              <w:rPr>
                <w:rFonts w:hint="eastAsia" w:ascii="仿宋" w:hAnsi="仿宋" w:eastAsia="仿宋" w:cs="仿宋"/>
                <w:b/>
                <w:bCs/>
                <w:sz w:val="24"/>
                <w:highlight w:val="none"/>
              </w:rPr>
              <w:t>的，应当取得总公司授权</w:t>
            </w:r>
            <w:r>
              <w:rPr>
                <w:rFonts w:hint="eastAsia" w:ascii="仿宋" w:hAnsi="仿宋" w:eastAsia="仿宋" w:cs="仿宋"/>
                <w:b/>
                <w:sz w:val="24"/>
                <w:highlight w:val="none"/>
              </w:rPr>
              <w:t>，否则响应文件按无效响应处理。</w:t>
            </w:r>
          </w:p>
        </w:tc>
      </w:tr>
      <w:tr w14:paraId="4DD26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B22AFB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12.1.2</w:t>
            </w:r>
          </w:p>
          <w:p w14:paraId="6B6C3E13">
            <w:pPr>
              <w:shd w:val="clear"/>
              <w:spacing w:line="360" w:lineRule="auto"/>
              <w:jc w:val="center"/>
              <w:rPr>
                <w:rFonts w:hint="eastAsia" w:ascii="仿宋" w:hAnsi="仿宋" w:eastAsia="仿宋" w:cs="仿宋"/>
                <w:sz w:val="24"/>
                <w:highlight w:val="none"/>
              </w:rPr>
            </w:pPr>
          </w:p>
        </w:tc>
        <w:tc>
          <w:tcPr>
            <w:tcW w:w="8627" w:type="dxa"/>
            <w:vAlign w:val="center"/>
          </w:tcPr>
          <w:p w14:paraId="32963F7C">
            <w:pPr>
              <w:shd w:val="clea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报价文件</w:t>
            </w:r>
          </w:p>
          <w:p w14:paraId="490E5721">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1.无串通参与竞争性磋商行为的承诺函（格式后附）；（</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46317A15">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2.竞争性磋商报价表（格式后附）；（</w:t>
            </w:r>
            <w:r>
              <w:rPr>
                <w:rFonts w:hint="eastAsia" w:ascii="仿宋" w:hAnsi="仿宋" w:eastAsia="仿宋" w:cs="仿宋"/>
                <w:b/>
                <w:sz w:val="24"/>
                <w:highlight w:val="none"/>
              </w:rPr>
              <w:t>必须提供，否则响应文件按无效响应处理</w:t>
            </w:r>
            <w:r>
              <w:rPr>
                <w:rFonts w:hint="eastAsia" w:ascii="仿宋" w:hAnsi="仿宋" w:eastAsia="仿宋" w:cs="仿宋"/>
                <w:sz w:val="24"/>
                <w:highlight w:val="none"/>
              </w:rPr>
              <w:t>）</w:t>
            </w:r>
          </w:p>
          <w:p w14:paraId="7325637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3.中小企业声明函（或残疾人福利性单位声明函或监狱企业声明函，残疾人福利性单位或监狱企业视同小微企业）（格式后附）；</w:t>
            </w:r>
          </w:p>
          <w:p w14:paraId="7C651B39">
            <w:pPr>
              <w:shd w:val="clear"/>
              <w:spacing w:line="360" w:lineRule="auto"/>
              <w:rPr>
                <w:rFonts w:hint="eastAsia" w:ascii="仿宋" w:hAnsi="仿宋" w:eastAsia="仿宋" w:cs="仿宋"/>
                <w:b/>
                <w:bCs/>
                <w:sz w:val="24"/>
                <w:highlight w:val="none"/>
              </w:rPr>
            </w:pPr>
            <w:r>
              <w:rPr>
                <w:rFonts w:hint="eastAsia" w:ascii="仿宋" w:hAnsi="仿宋" w:eastAsia="仿宋" w:cs="仿宋"/>
                <w:b/>
                <w:sz w:val="24"/>
                <w:highlight w:val="none"/>
              </w:rPr>
              <w:t>注：以上标明“必须提供”的材料属于复印件的，必须加盖供应商公章，否则响应文件按无效响应处理。</w:t>
            </w:r>
          </w:p>
        </w:tc>
      </w:tr>
      <w:tr w14:paraId="022D3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B06836D">
            <w:pPr>
              <w:shd w:val="clear"/>
              <w:spacing w:line="360" w:lineRule="auto"/>
              <w:jc w:val="center"/>
              <w:rPr>
                <w:rFonts w:hint="eastAsia" w:ascii="仿宋" w:hAnsi="仿宋" w:eastAsia="仿宋" w:cs="仿宋"/>
                <w:sz w:val="24"/>
                <w:highlight w:val="none"/>
              </w:rPr>
            </w:pPr>
          </w:p>
        </w:tc>
        <w:tc>
          <w:tcPr>
            <w:tcW w:w="8627" w:type="dxa"/>
            <w:vAlign w:val="center"/>
          </w:tcPr>
          <w:p w14:paraId="63ECB5E0">
            <w:pPr>
              <w:shd w:val="clear"/>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商务、服务文件</w:t>
            </w:r>
          </w:p>
          <w:p w14:paraId="0B0A44F2">
            <w:pPr>
              <w:shd w:val="clea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1.法定代表人身份证明及法定代表人有效身份证正反面复印件（格式后附）；（</w:t>
            </w:r>
            <w:r>
              <w:rPr>
                <w:rFonts w:hint="eastAsia" w:ascii="仿宋" w:hAnsi="仿宋" w:eastAsia="仿宋" w:cs="仿宋"/>
                <w:b/>
                <w:bCs/>
                <w:color w:val="auto"/>
                <w:sz w:val="24"/>
                <w:highlight w:val="none"/>
              </w:rPr>
              <w:t>除自然人参加竞争性磋商外</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2403A0FA">
            <w:pPr>
              <w:shd w:val="clear"/>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2.授权委托书及委托代理人有效身份证正反面复印件（格式后附）；（</w:t>
            </w:r>
            <w:r>
              <w:rPr>
                <w:rFonts w:hint="eastAsia" w:ascii="仿宋" w:hAnsi="仿宋" w:eastAsia="仿宋" w:cs="仿宋"/>
                <w:b/>
                <w:color w:val="auto"/>
                <w:sz w:val="24"/>
                <w:highlight w:val="none"/>
              </w:rPr>
              <w:t>委托时必须提供，否则响应文件按无效响应处理</w:t>
            </w:r>
            <w:r>
              <w:rPr>
                <w:rFonts w:hint="eastAsia" w:ascii="仿宋" w:hAnsi="仿宋" w:eastAsia="仿宋" w:cs="仿宋"/>
                <w:color w:val="auto"/>
                <w:sz w:val="24"/>
                <w:highlight w:val="none"/>
              </w:rPr>
              <w:t>）</w:t>
            </w:r>
          </w:p>
          <w:p w14:paraId="3A435EFA">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3.磋商保证金提交凭证复印件；（</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459F7396">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4.商务要求偏离表（格式后附）；（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1122285F">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5.服务要求偏离表（格式后附）；（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6673870C">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6.服务方案（格式自拟）；（</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7910BC96">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7.项目实施人员一览表（格式自拟）； </w:t>
            </w:r>
          </w:p>
          <w:p w14:paraId="121FAF8B">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8.对应采购需求的技术要求、商务要求提供的其他文件资料（格式自拟）；</w:t>
            </w:r>
          </w:p>
          <w:p w14:paraId="649E3472">
            <w:pPr>
              <w:shd w:val="clea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9.供应商认为需要提供的其他有关资料。</w:t>
            </w:r>
          </w:p>
          <w:p w14:paraId="244EE829">
            <w:pPr>
              <w:shd w:val="clea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注：以上标明“必须提供”的材料属于复印件的，必须加盖供应商公章，否则响应文件按无效响应处理。</w:t>
            </w:r>
          </w:p>
        </w:tc>
      </w:tr>
      <w:tr w14:paraId="5598B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EBCF6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15.2</w:t>
            </w:r>
          </w:p>
        </w:tc>
        <w:tc>
          <w:tcPr>
            <w:tcW w:w="8627" w:type="dxa"/>
            <w:vAlign w:val="center"/>
          </w:tcPr>
          <w:p w14:paraId="63808C71">
            <w:pPr>
              <w:shd w:val="clea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报价合计金额包括但不限于满足本次响应全部采购需求所应提供的服务，以及伴随的货物和工程（如有）的价格；包含磋商服务、劳务费、软硬件设备、机具材料费、交通费、数据处理、安装、调试、检验、技术服务、成果文件编制印刷、质量检查、检测、培训、预验收及履约验收、售后服务、税费及其它所有成本费用的总和。税费因政策等原因发生变化的，由成交供应商承担。合同履行过程中，采购人不再支付合同以外的其他费用。（采购需求另有约定的，从其约定）</w:t>
            </w:r>
          </w:p>
        </w:tc>
      </w:tr>
      <w:tr w14:paraId="73B2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8CA75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16.2</w:t>
            </w:r>
          </w:p>
        </w:tc>
        <w:tc>
          <w:tcPr>
            <w:tcW w:w="8627" w:type="dxa"/>
            <w:vAlign w:val="center"/>
          </w:tcPr>
          <w:p w14:paraId="31FDE11F">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竞争性磋商有效期：首次响应文件提交截止之日起60天内。</w:t>
            </w:r>
          </w:p>
        </w:tc>
      </w:tr>
      <w:tr w14:paraId="6E553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696302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17.1</w:t>
            </w:r>
          </w:p>
        </w:tc>
        <w:tc>
          <w:tcPr>
            <w:tcW w:w="8627" w:type="dxa"/>
            <w:vAlign w:val="center"/>
          </w:tcPr>
          <w:p w14:paraId="1AC32869">
            <w:pPr>
              <w:shd w:val="clear"/>
              <w:autoSpaceDE w:val="0"/>
              <w:autoSpaceDN w:val="0"/>
              <w:snapToGrid w:val="0"/>
              <w:spacing w:line="360" w:lineRule="auto"/>
              <w:textAlignment w:val="bottom"/>
              <w:rPr>
                <w:rFonts w:hint="eastAsia" w:ascii="仿宋" w:hAnsi="仿宋" w:eastAsia="仿宋" w:cs="仿宋"/>
                <w:sz w:val="24"/>
                <w:highlight w:val="none"/>
              </w:rPr>
            </w:pPr>
            <w:r>
              <w:rPr>
                <w:rFonts w:hint="eastAsia" w:ascii="仿宋" w:hAnsi="仿宋" w:eastAsia="仿宋" w:cs="仿宋"/>
                <w:sz w:val="24"/>
                <w:highlight w:val="none"/>
              </w:rPr>
              <w:sym w:font="Wingdings" w:char="00A8"/>
            </w:r>
            <w:r>
              <w:rPr>
                <w:rFonts w:hint="eastAsia" w:ascii="仿宋" w:hAnsi="仿宋" w:eastAsia="仿宋" w:cs="仿宋"/>
                <w:sz w:val="24"/>
                <w:highlight w:val="none"/>
              </w:rPr>
              <w:t>本项目不收取磋商保证金。</w:t>
            </w:r>
          </w:p>
          <w:p w14:paraId="4BF1F380">
            <w:pPr>
              <w:shd w:val="clea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sym w:font="Wingdings" w:char="00FE"/>
            </w:r>
            <w:r>
              <w:rPr>
                <w:rFonts w:hint="eastAsia" w:ascii="仿宋" w:hAnsi="仿宋" w:eastAsia="仿宋" w:cs="仿宋"/>
                <w:sz w:val="24"/>
                <w:highlight w:val="none"/>
              </w:rPr>
              <w:t>本项目收取磋商保证金。</w:t>
            </w:r>
          </w:p>
          <w:p w14:paraId="657F5100">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磋商保证金：13000.00元（人民币）</w:t>
            </w:r>
          </w:p>
          <w:p w14:paraId="022DD46A">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保证金专用银行账号信息如下：</w:t>
            </w:r>
          </w:p>
          <w:p w14:paraId="10D87E5D">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开户名称：广西科文招标有限公司</w:t>
            </w:r>
          </w:p>
          <w:p w14:paraId="3392ABC7">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开户银行：广西北部湾银行南宁分行营业部</w:t>
            </w:r>
          </w:p>
          <w:p w14:paraId="6A4D81AD">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银行账号：0101012090615689</w:t>
            </w:r>
          </w:p>
          <w:p w14:paraId="1C17478D">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磋商保证金的交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否则视为无效磋商保证金。</w:t>
            </w:r>
          </w:p>
          <w:p w14:paraId="44209BBA">
            <w:pPr>
              <w:shd w:val="clea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相关要求：</w:t>
            </w:r>
          </w:p>
          <w:p w14:paraId="32030E8E">
            <w:pPr>
              <w:shd w:val="clea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仿宋" w:hAnsi="仿宋" w:eastAsia="仿宋" w:cs="仿宋"/>
                <w:b/>
                <w:sz w:val="24"/>
                <w:highlight w:val="none"/>
              </w:rPr>
              <w:t>否则响应文件按无效响应处理</w:t>
            </w:r>
            <w:r>
              <w:rPr>
                <w:rFonts w:hint="eastAsia" w:ascii="仿宋" w:hAnsi="仿宋" w:eastAsia="仿宋" w:cs="仿宋"/>
                <w:sz w:val="24"/>
                <w:highlight w:val="none"/>
              </w:rPr>
              <w:t>。</w:t>
            </w:r>
          </w:p>
          <w:p w14:paraId="3A522B36">
            <w:pPr>
              <w:shd w:val="clear"/>
              <w:snapToGrid w:val="0"/>
              <w:spacing w:line="360" w:lineRule="auto"/>
              <w:rPr>
                <w:rFonts w:hint="eastAsia" w:ascii="仿宋" w:hAnsi="仿宋" w:eastAsia="仿宋" w:cs="仿宋"/>
                <w:b/>
                <w:sz w:val="24"/>
                <w:highlight w:val="none"/>
              </w:rPr>
            </w:pPr>
            <w:r>
              <w:rPr>
                <w:rFonts w:hint="eastAsia" w:ascii="仿宋" w:hAnsi="仿宋" w:eastAsia="仿宋" w:cs="仿宋"/>
                <w:sz w:val="24"/>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仿宋" w:hAnsi="仿宋" w:eastAsia="仿宋" w:cs="仿宋"/>
                <w:b/>
                <w:sz w:val="24"/>
                <w:highlight w:val="none"/>
              </w:rPr>
              <w:t>否则响应文件按无效响应处理</w:t>
            </w:r>
            <w:r>
              <w:rPr>
                <w:rFonts w:hint="eastAsia" w:ascii="仿宋" w:hAnsi="仿宋" w:eastAsia="仿宋" w:cs="仿宋"/>
                <w:sz w:val="24"/>
                <w:highlight w:val="none"/>
              </w:rPr>
              <w:t>。</w:t>
            </w:r>
            <w:r>
              <w:rPr>
                <w:rFonts w:hint="eastAsia" w:ascii="仿宋" w:hAnsi="仿宋" w:eastAsia="仿宋" w:cs="仿宋"/>
                <w:b/>
                <w:sz w:val="24"/>
                <w:highlight w:val="none"/>
              </w:rPr>
              <w:t>供应商必须在首次响应文件提交截止时间前将支票、汇票、本票或者金融、担保机构出具的保函原件提交给采购代理机构，由采购代理机构向供应商出具回执，并妥善保管。</w:t>
            </w:r>
          </w:p>
          <w:p w14:paraId="7D509759">
            <w:pPr>
              <w:shd w:val="clear"/>
              <w:snapToGrid w:val="0"/>
              <w:spacing w:line="360" w:lineRule="auto"/>
              <w:rPr>
                <w:rFonts w:hint="eastAsia" w:ascii="仿宋" w:hAnsi="仿宋" w:eastAsia="仿宋" w:cs="仿宋"/>
                <w:b/>
                <w:sz w:val="24"/>
                <w:highlight w:val="none"/>
              </w:rPr>
            </w:pPr>
            <w:r>
              <w:rPr>
                <w:rFonts w:hint="eastAsia" w:ascii="仿宋" w:hAnsi="仿宋" w:eastAsia="仿宋" w:cs="仿宋"/>
                <w:sz w:val="24"/>
                <w:highlight w:val="none"/>
              </w:rPr>
              <w:t>3.供应商为联合体的，可以由联合体中的一方或者多方共同交纳磋商保证金，其交纳的保证金对联合体各方均具有约束力。</w:t>
            </w:r>
          </w:p>
          <w:p w14:paraId="17CB1E48">
            <w:pPr>
              <w:shd w:val="clear"/>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 xml:space="preserve">【备注】 </w:t>
            </w:r>
          </w:p>
          <w:p w14:paraId="665567D3">
            <w:pPr>
              <w:shd w:val="clear"/>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1.磋商保证金在响应文件提交截止时间后提交的，或者不按规定交纳方式交纳的，或者未足额交纳的（包含保函额度不足的），视为无效磋商保证金。</w:t>
            </w:r>
          </w:p>
          <w:p w14:paraId="757D0847">
            <w:pPr>
              <w:shd w:val="clear"/>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2.供应商采用现钞方式或者从个人账户（自然人参加竞争性磋商除外）转出的磋商保证金，视为无效磋商保证金。</w:t>
            </w:r>
          </w:p>
          <w:p w14:paraId="58B38AF2">
            <w:pPr>
              <w:shd w:val="clear"/>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3.支票、汇票或者本票出现无效或者背书情形的，视为无效磋商保证金。</w:t>
            </w:r>
          </w:p>
          <w:p w14:paraId="7AE64931">
            <w:pPr>
              <w:shd w:val="clear"/>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4.保函有效期短于竞争性磋商有效期的，视为无效磋商保证金。</w:t>
            </w:r>
          </w:p>
          <w:p w14:paraId="6F92D07D">
            <w:pPr>
              <w:shd w:val="clear"/>
              <w:snapToGrid w:val="0"/>
              <w:spacing w:line="360" w:lineRule="auto"/>
              <w:rPr>
                <w:rFonts w:hint="eastAsia" w:ascii="仿宋" w:hAnsi="仿宋" w:eastAsia="仿宋" w:cs="仿宋"/>
                <w:sz w:val="24"/>
                <w:highlight w:val="none"/>
              </w:rPr>
            </w:pPr>
            <w:r>
              <w:rPr>
                <w:rFonts w:hint="eastAsia" w:ascii="仿宋" w:hAnsi="仿宋" w:eastAsia="仿宋" w:cs="仿宋"/>
                <w:b/>
                <w:sz w:val="24"/>
                <w:highlight w:val="none"/>
              </w:rPr>
              <w:t>5.采用保函的，必须为无条件保函，否则视为无效磋商保证金。</w:t>
            </w:r>
          </w:p>
        </w:tc>
      </w:tr>
      <w:tr w14:paraId="2222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561DBBF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18.2</w:t>
            </w:r>
          </w:p>
        </w:tc>
        <w:tc>
          <w:tcPr>
            <w:tcW w:w="8627" w:type="dxa"/>
            <w:vAlign w:val="center"/>
          </w:tcPr>
          <w:p w14:paraId="4DC1E2B4">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响应文件应按资格证明文件、报价文件、商务技术文件分别编制，</w:t>
            </w:r>
            <w:r>
              <w:rPr>
                <w:rFonts w:hint="eastAsia" w:ascii="仿宋" w:hAnsi="仿宋" w:eastAsia="仿宋" w:cs="仿宋"/>
                <w:sz w:val="24"/>
                <w:highlight w:val="none"/>
                <w:lang w:bidi="ar"/>
              </w:rPr>
              <w:t>并按广西政府采购云平台的要求编制、加密、上传。</w:t>
            </w:r>
          </w:p>
        </w:tc>
      </w:tr>
      <w:tr w14:paraId="4F56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7C288E1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19.2</w:t>
            </w:r>
          </w:p>
        </w:tc>
        <w:tc>
          <w:tcPr>
            <w:tcW w:w="8627" w:type="dxa"/>
            <w:vAlign w:val="center"/>
          </w:tcPr>
          <w:p w14:paraId="3AE070D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本项目不接受电子备份响应文件</w:t>
            </w:r>
          </w:p>
        </w:tc>
      </w:tr>
      <w:tr w14:paraId="571AB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2A5FA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20.1</w:t>
            </w:r>
          </w:p>
        </w:tc>
        <w:tc>
          <w:tcPr>
            <w:tcW w:w="8627" w:type="dxa"/>
            <w:vAlign w:val="center"/>
          </w:tcPr>
          <w:p w14:paraId="41A43B1F">
            <w:pPr>
              <w:shd w:val="clea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首次响应文件提交截止时间：详见竞争性磋商公告。</w:t>
            </w:r>
          </w:p>
          <w:p w14:paraId="547CE99B">
            <w:pPr>
              <w:shd w:val="clea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首次响应文件提交地点：详见竞争性磋商公告。</w:t>
            </w:r>
          </w:p>
        </w:tc>
      </w:tr>
      <w:tr w14:paraId="10ACA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99DFD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24.1</w:t>
            </w:r>
          </w:p>
        </w:tc>
        <w:tc>
          <w:tcPr>
            <w:tcW w:w="8627" w:type="dxa"/>
            <w:vAlign w:val="center"/>
          </w:tcPr>
          <w:p w14:paraId="482D65F1">
            <w:pPr>
              <w:shd w:val="clear"/>
              <w:snapToGrid w:val="0"/>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磋商小组的人数：3人或以上单数。</w:t>
            </w:r>
          </w:p>
        </w:tc>
      </w:tr>
      <w:tr w14:paraId="74FD3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93CCB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25.2</w:t>
            </w:r>
          </w:p>
        </w:tc>
        <w:tc>
          <w:tcPr>
            <w:tcW w:w="8627" w:type="dxa"/>
            <w:vAlign w:val="center"/>
          </w:tcPr>
          <w:p w14:paraId="00205F85">
            <w:pPr>
              <w:shd w:val="clea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采购代理机构将依托电子交易平台发起开始解密指令，</w:t>
            </w:r>
            <w:r>
              <w:rPr>
                <w:rFonts w:hint="eastAsia" w:ascii="仿宋" w:hAnsi="仿宋" w:eastAsia="仿宋" w:cs="仿宋"/>
                <w:b/>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b/>
                <w:bCs/>
                <w:sz w:val="24"/>
                <w:highlight w:val="none"/>
              </w:rPr>
              <w:t>响应文件未按时解密的，</w:t>
            </w:r>
            <w:r>
              <w:rPr>
                <w:rFonts w:hint="eastAsia" w:ascii="仿宋" w:hAnsi="仿宋" w:eastAsia="仿宋" w:cs="仿宋"/>
                <w:b/>
                <w:sz w:val="24"/>
                <w:highlight w:val="none"/>
              </w:rPr>
              <w:t>视为响应</w:t>
            </w:r>
            <w:r>
              <w:rPr>
                <w:rFonts w:hint="eastAsia" w:ascii="仿宋" w:hAnsi="仿宋" w:eastAsia="仿宋" w:cs="仿宋"/>
                <w:b/>
                <w:bCs/>
                <w:sz w:val="24"/>
                <w:highlight w:val="none"/>
              </w:rPr>
              <w:t>文件无效。</w:t>
            </w:r>
          </w:p>
        </w:tc>
      </w:tr>
      <w:tr w14:paraId="16222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0C696E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26</w:t>
            </w:r>
          </w:p>
        </w:tc>
        <w:tc>
          <w:tcPr>
            <w:tcW w:w="8627" w:type="dxa"/>
            <w:vAlign w:val="center"/>
          </w:tcPr>
          <w:p w14:paraId="4D98294F">
            <w:pPr>
              <w:pStyle w:val="11"/>
              <w:shd w:val="clear"/>
              <w:spacing w:line="360" w:lineRule="auto"/>
              <w:jc w:val="both"/>
              <w:rPr>
                <w:rFonts w:hint="eastAsia" w:ascii="仿宋" w:hAnsi="仿宋" w:eastAsia="仿宋" w:cs="仿宋"/>
                <w:sz w:val="24"/>
                <w:highlight w:val="none"/>
              </w:rPr>
            </w:pPr>
            <w:r>
              <w:rPr>
                <w:rFonts w:hint="eastAsia" w:ascii="仿宋" w:hAnsi="仿宋" w:eastAsia="仿宋" w:cs="仿宋"/>
                <w:sz w:val="24"/>
                <w:highlight w:val="none"/>
              </w:rPr>
              <w:t>磋商的顺序：按“广西政府采购云平台”系统的编号顺序。</w:t>
            </w:r>
          </w:p>
          <w:p w14:paraId="61758C2C">
            <w:pPr>
              <w:pStyle w:val="11"/>
              <w:shd w:val="clear"/>
              <w:spacing w:line="360" w:lineRule="auto"/>
              <w:jc w:val="both"/>
              <w:rPr>
                <w:rFonts w:hint="eastAsia" w:ascii="仿宋" w:hAnsi="仿宋" w:eastAsia="仿宋" w:cs="仿宋"/>
                <w:b/>
                <w:sz w:val="24"/>
                <w:highlight w:val="none"/>
              </w:rPr>
            </w:pPr>
            <w:r>
              <w:rPr>
                <w:rFonts w:hint="eastAsia" w:ascii="仿宋" w:hAnsi="仿宋" w:eastAsia="仿宋" w:cs="仿宋"/>
                <w:b/>
                <w:sz w:val="24"/>
                <w:highlight w:val="none"/>
              </w:rPr>
              <w:t>符合磋商资格的供应商必须在接到磋商通知后规定时间内参加磋商，未在规定时间内参加磋商的视同放弃参加磋商权利，其响应文件按无效响应处理。</w:t>
            </w:r>
          </w:p>
          <w:p w14:paraId="758F50F8">
            <w:pPr>
              <w:shd w:val="clear"/>
              <w:snapToGrid w:val="0"/>
              <w:spacing w:line="360" w:lineRule="auto"/>
              <w:rPr>
                <w:rFonts w:hint="eastAsia" w:ascii="仿宋" w:hAnsi="仿宋" w:eastAsia="仿宋" w:cs="仿宋"/>
                <w:sz w:val="24"/>
                <w:highlight w:val="none"/>
              </w:rPr>
            </w:pPr>
            <w:r>
              <w:rPr>
                <w:rFonts w:hint="eastAsia" w:ascii="仿宋" w:hAnsi="仿宋" w:eastAsia="仿宋" w:cs="仿宋"/>
                <w:b/>
                <w:sz w:val="24"/>
                <w:highlight w:val="none"/>
              </w:rPr>
              <w:t>注：参与磋商前，供应商法定代表人或者委托代理人向磋商小组出示本人有效证件原件（有效证件可以是身份证（含临时身份证明）或者护照的其中一项）。</w:t>
            </w:r>
          </w:p>
        </w:tc>
      </w:tr>
      <w:tr w14:paraId="495EE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36C7CDF3">
            <w:pPr>
              <w:shd w:val="clear"/>
              <w:spacing w:line="360" w:lineRule="auto"/>
              <w:jc w:val="center"/>
              <w:rPr>
                <w:rFonts w:hint="eastAsia" w:ascii="仿宋" w:hAnsi="仿宋" w:eastAsia="仿宋" w:cs="仿宋"/>
                <w:sz w:val="24"/>
                <w:highlight w:val="none"/>
              </w:rPr>
            </w:pPr>
          </w:p>
        </w:tc>
        <w:tc>
          <w:tcPr>
            <w:tcW w:w="8627" w:type="dxa"/>
            <w:vAlign w:val="center"/>
          </w:tcPr>
          <w:p w14:paraId="2A34C13D">
            <w:pPr>
              <w:shd w:val="clea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商务要求评审中允许负偏离的条款数为:0项</w:t>
            </w:r>
          </w:p>
          <w:p w14:paraId="44E61275">
            <w:pPr>
              <w:shd w:val="clea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服务要求评审中允许负偏离的条款数为:0项</w:t>
            </w:r>
          </w:p>
        </w:tc>
      </w:tr>
      <w:tr w14:paraId="5DA3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13985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28.1</w:t>
            </w:r>
          </w:p>
        </w:tc>
        <w:tc>
          <w:tcPr>
            <w:tcW w:w="8627" w:type="dxa"/>
            <w:vAlign w:val="center"/>
          </w:tcPr>
          <w:p w14:paraId="3A3A613C">
            <w:pPr>
              <w:shd w:val="clea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本项目不收取履约保证金。</w:t>
            </w:r>
          </w:p>
          <w:p w14:paraId="6CB100B4">
            <w:pPr>
              <w:shd w:val="clea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本项目收取履约保证金：详见商务条款。</w:t>
            </w:r>
          </w:p>
          <w:p w14:paraId="5D74E549">
            <w:pPr>
              <w:shd w:val="clea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履约保证金递交方式：详见商务条款</w:t>
            </w:r>
          </w:p>
          <w:p w14:paraId="688D10F0">
            <w:pPr>
              <w:shd w:val="clea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履约保证金退付方式、时间及条件详见商务条款。</w:t>
            </w:r>
          </w:p>
          <w:p w14:paraId="1ED0B35F">
            <w:pPr>
              <w:shd w:val="clear"/>
              <w:spacing w:line="360" w:lineRule="auto"/>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p w14:paraId="66F3F49E">
            <w:pPr>
              <w:shd w:val="clear"/>
              <w:spacing w:line="360" w:lineRule="auto"/>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根据《广西壮族自治区财政厅关于持续优化政府采购营商环境推动高质量发展的通知》（桂财采〔2024〕55号），采购文件要求中标或者成交供应商提交履约保证金的，履约保证金数额不得超过政府采购合同金额的5%，对中小企业收取的履约保证金数额不得超过政府采购合同金额的2%。</w:t>
            </w:r>
          </w:p>
          <w:p w14:paraId="6301D313">
            <w:pPr>
              <w:shd w:val="clear"/>
              <w:spacing w:line="360" w:lineRule="auto"/>
              <w:contextualSpacing/>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008A3E7B">
            <w:pPr>
              <w:shd w:val="clear"/>
              <w:autoSpaceDE w:val="0"/>
              <w:autoSpaceDN w:val="0"/>
              <w:snapToGrid w:val="0"/>
              <w:spacing w:line="360" w:lineRule="auto"/>
              <w:textAlignment w:val="bottom"/>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3.采用保函的，必须为无条件保函，否则视为无效履约保证金。</w:t>
            </w:r>
          </w:p>
          <w:p w14:paraId="68BAB449">
            <w:pPr>
              <w:shd w:val="clea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b/>
                <w:color w:val="auto"/>
                <w:sz w:val="24"/>
                <w:highlight w:val="none"/>
              </w:rPr>
              <w:t>4.供应商为联合体的，由联合体其中一方按规定提交的履约保证金，视为有效履约保证金。</w:t>
            </w:r>
          </w:p>
        </w:tc>
      </w:tr>
      <w:tr w14:paraId="16BBE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B1C00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29.1</w:t>
            </w:r>
          </w:p>
        </w:tc>
        <w:tc>
          <w:tcPr>
            <w:tcW w:w="8627" w:type="dxa"/>
            <w:vAlign w:val="center"/>
          </w:tcPr>
          <w:p w14:paraId="132078AE">
            <w:pPr>
              <w:shd w:val="clea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签订合同携带的证明材料： </w:t>
            </w:r>
          </w:p>
          <w:p w14:paraId="5FC25E29">
            <w:pPr>
              <w:shd w:val="clear"/>
              <w:autoSpaceDE w:val="0"/>
              <w:autoSpaceDN w:val="0"/>
              <w:snapToGrid w:val="0"/>
              <w:spacing w:line="360" w:lineRule="auto"/>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1.委托代理人负责签订合同的，须携带授权委托书及委托代理人身份证原件等其他资格证件。</w:t>
            </w:r>
          </w:p>
          <w:p w14:paraId="3EA33884">
            <w:pPr>
              <w:shd w:val="clea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2.法定代表人负责签订合同的，须携带法定代表人身份证明原件及身份证原件等其他证明材料。</w:t>
            </w:r>
          </w:p>
        </w:tc>
      </w:tr>
      <w:tr w14:paraId="613D7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2EC639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31.2</w:t>
            </w:r>
          </w:p>
        </w:tc>
        <w:tc>
          <w:tcPr>
            <w:tcW w:w="8627" w:type="dxa"/>
            <w:vAlign w:val="center"/>
          </w:tcPr>
          <w:p w14:paraId="01B688CE">
            <w:pPr>
              <w:pStyle w:val="17"/>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接收质疑函方式：以纸质书面形式。</w:t>
            </w:r>
          </w:p>
          <w:p w14:paraId="18124DA5">
            <w:pPr>
              <w:pStyle w:val="17"/>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质疑联系部门及联系方式：广西科文招标有限公司</w:t>
            </w:r>
          </w:p>
          <w:p w14:paraId="6F11109C">
            <w:pPr>
              <w:pStyle w:val="17"/>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质疑联系人：梁伟贞   联系电话：0771-2023650</w:t>
            </w:r>
          </w:p>
          <w:p w14:paraId="0C9E7B4B">
            <w:pPr>
              <w:pStyle w:val="17"/>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通讯地址：广西南宁市民族大道141号中鼎万象东方D区五层</w:t>
            </w:r>
          </w:p>
          <w:p w14:paraId="3B4500D3">
            <w:pPr>
              <w:pStyle w:val="17"/>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业务时间：工作日，上午8:00-12:00；下午15:00-18:00（北京时间）</w:t>
            </w:r>
          </w:p>
        </w:tc>
      </w:tr>
      <w:tr w14:paraId="43BB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0DD9F03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32.1</w:t>
            </w:r>
          </w:p>
        </w:tc>
        <w:tc>
          <w:tcPr>
            <w:tcW w:w="8627" w:type="dxa"/>
            <w:vAlign w:val="center"/>
          </w:tcPr>
          <w:p w14:paraId="7CE1DFD8">
            <w:pPr>
              <w:pStyle w:val="17"/>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lang w:bidi="ar"/>
              </w:rPr>
              <w:t>.</w:t>
            </w:r>
            <w:r>
              <w:rPr>
                <w:rFonts w:hint="eastAsia" w:ascii="仿宋" w:hAnsi="仿宋" w:eastAsia="仿宋" w:cs="仿宋"/>
                <w:sz w:val="24"/>
                <w:szCs w:val="24"/>
                <w:highlight w:val="none"/>
              </w:rPr>
              <w:t>采购代理服务费支付方式：本项目的招标代理服务费按以下收费标准向成交供应商收取。</w:t>
            </w:r>
          </w:p>
          <w:p w14:paraId="00556E90">
            <w:pPr>
              <w:pStyle w:val="17"/>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lang w:bidi="ar"/>
              </w:rPr>
              <w:t>.</w:t>
            </w:r>
            <w:r>
              <w:rPr>
                <w:rFonts w:hint="eastAsia" w:ascii="仿宋" w:hAnsi="仿宋" w:eastAsia="仿宋" w:cs="仿宋"/>
                <w:sz w:val="24"/>
                <w:szCs w:val="24"/>
                <w:highlight w:val="none"/>
              </w:rPr>
              <w:t>采购代理服务费收取标准：</w:t>
            </w:r>
          </w:p>
          <w:p w14:paraId="687F3EFC">
            <w:pPr>
              <w:pStyle w:val="17"/>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以分标成交金额为计费额，按本磋商文件之《供应商须知正文》第32.2条规定的收费计算标准服务类采用差额定率累进法计算出收费基准价格，采购代理服务费收费以收费基准价格收取。</w:t>
            </w:r>
          </w:p>
          <w:p w14:paraId="2F39FB55">
            <w:pPr>
              <w:pStyle w:val="17"/>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highlight w:val="none"/>
                <w:lang w:bidi="ar"/>
              </w:rPr>
              <w:t>.</w:t>
            </w:r>
            <w:r>
              <w:rPr>
                <w:rFonts w:hint="eastAsia" w:ascii="仿宋" w:hAnsi="仿宋" w:eastAsia="仿宋" w:cs="仿宋"/>
                <w:sz w:val="24"/>
                <w:szCs w:val="24"/>
                <w:highlight w:val="none"/>
              </w:rPr>
              <w:t>采购代理服务费收取银行账号：</w:t>
            </w:r>
          </w:p>
          <w:p w14:paraId="1D5CF2F7">
            <w:pPr>
              <w:pStyle w:val="17"/>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开户名称：广西科文招标有限公司南宁咨询一分公司</w:t>
            </w:r>
          </w:p>
          <w:p w14:paraId="0EAC910E">
            <w:pPr>
              <w:pStyle w:val="17"/>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开户银行：广西北部湾银行股份有限公司南宁市云景支行</w:t>
            </w:r>
          </w:p>
          <w:p w14:paraId="68AA7922">
            <w:pPr>
              <w:pStyle w:val="17"/>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银行账号：805030137000001</w:t>
            </w:r>
          </w:p>
        </w:tc>
      </w:tr>
      <w:tr w14:paraId="1131C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A00A7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33.1</w:t>
            </w:r>
          </w:p>
        </w:tc>
        <w:tc>
          <w:tcPr>
            <w:tcW w:w="8627" w:type="dxa"/>
            <w:vAlign w:val="center"/>
          </w:tcPr>
          <w:p w14:paraId="73BF6926">
            <w:pPr>
              <w:pStyle w:val="17"/>
              <w:shd w:val="clear"/>
              <w:snapToGrid w:val="0"/>
              <w:spacing w:line="360" w:lineRule="auto"/>
              <w:rPr>
                <w:rFonts w:hint="eastAsia" w:ascii="仿宋" w:hAnsi="仿宋" w:eastAsia="仿宋" w:cs="仿宋"/>
                <w:kern w:val="2"/>
                <w:sz w:val="24"/>
                <w:szCs w:val="24"/>
                <w:highlight w:val="none"/>
              </w:rPr>
            </w:pPr>
            <w:r>
              <w:rPr>
                <w:rFonts w:hint="eastAsia" w:ascii="仿宋" w:hAnsi="仿宋" w:eastAsia="仿宋" w:cs="仿宋"/>
                <w:sz w:val="24"/>
                <w:szCs w:val="24"/>
                <w:highlight w:val="none"/>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153F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EB0B4D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33.2</w:t>
            </w:r>
          </w:p>
        </w:tc>
        <w:tc>
          <w:tcPr>
            <w:tcW w:w="8627" w:type="dxa"/>
            <w:vAlign w:val="center"/>
          </w:tcPr>
          <w:p w14:paraId="642B40E0">
            <w:pPr>
              <w:pStyle w:val="17"/>
              <w:shd w:val="clear"/>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1.本磋商文件中描述供应商的“公章”是指根据我国对公章的管理规定，用供应商法定主体名称制作的印章</w:t>
            </w:r>
            <w:r>
              <w:rPr>
                <w:rFonts w:hint="eastAsia" w:ascii="仿宋" w:hAnsi="仿宋" w:eastAsia="仿宋" w:cs="仿宋"/>
                <w:sz w:val="24"/>
                <w:szCs w:val="24"/>
                <w:highlight w:val="none"/>
              </w:rPr>
              <w:t>或供应商通过指定电子化政府采购平台办理数字证书（CA认证）获得的以法定主体名称制作的电子印章。</w:t>
            </w:r>
            <w:r>
              <w:rPr>
                <w:rFonts w:hint="eastAsia" w:ascii="仿宋" w:hAnsi="仿宋" w:eastAsia="仿宋" w:cs="仿宋"/>
                <w:bCs/>
                <w:sz w:val="24"/>
                <w:szCs w:val="24"/>
                <w:highlight w:val="none"/>
              </w:rPr>
              <w:t>除本磋商文件有特殊规定外，供应商的财务章、部门章、分公司章、工会章、合同章、投标专用章、业务专用章及银行的转账章、现金收讫章、现金付讫章等其他形式印章均不能代替公章。</w:t>
            </w:r>
          </w:p>
          <w:p w14:paraId="6A64BCF8">
            <w:pPr>
              <w:pStyle w:val="17"/>
              <w:shd w:val="clear"/>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2.供应商为其他组织或者自然人时，本磋商文件规定的法定代表人指负责人或者自然人。本磋商文件所称负责人是指参加</w:t>
            </w:r>
            <w:r>
              <w:rPr>
                <w:rFonts w:hint="eastAsia" w:ascii="仿宋" w:hAnsi="仿宋" w:eastAsia="仿宋" w:cs="仿宋"/>
                <w:sz w:val="24"/>
                <w:szCs w:val="24"/>
                <w:highlight w:val="none"/>
              </w:rPr>
              <w:t>竞争性磋商</w:t>
            </w:r>
            <w:r>
              <w:rPr>
                <w:rFonts w:hint="eastAsia" w:ascii="仿宋" w:hAnsi="仿宋" w:eastAsia="仿宋" w:cs="仿宋"/>
                <w:bCs/>
                <w:sz w:val="24"/>
                <w:szCs w:val="24"/>
                <w:highlight w:val="none"/>
              </w:rPr>
              <w:t>的其他组织营业执照或者执业许可证等证照上的负责人，本磋商文件所称自然人指参与</w:t>
            </w:r>
            <w:r>
              <w:rPr>
                <w:rFonts w:hint="eastAsia" w:ascii="仿宋" w:hAnsi="仿宋" w:eastAsia="仿宋" w:cs="仿宋"/>
                <w:sz w:val="24"/>
                <w:szCs w:val="24"/>
                <w:highlight w:val="none"/>
              </w:rPr>
              <w:t>竞争性磋商</w:t>
            </w:r>
            <w:r>
              <w:rPr>
                <w:rFonts w:hint="eastAsia" w:ascii="仿宋" w:hAnsi="仿宋" w:eastAsia="仿宋" w:cs="仿宋"/>
                <w:bCs/>
                <w:sz w:val="24"/>
                <w:szCs w:val="24"/>
                <w:highlight w:val="none"/>
              </w:rPr>
              <w:t>的自然人本人，且应具备独立承担民事责任能力，自然人应当为年满18岁以上成年人（十六周岁以上的未成年人，以自己的劳动收入为主要生活来源的，视为完全民事行为能力人）。</w:t>
            </w:r>
          </w:p>
          <w:p w14:paraId="35B27001">
            <w:pPr>
              <w:pStyle w:val="17"/>
              <w:shd w:val="clear"/>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3.本磋商文件中描述供应商的“签字”是指供应商的法定代表人或者委托代理人</w:t>
            </w:r>
            <w:r>
              <w:rPr>
                <w:rFonts w:hint="eastAsia" w:ascii="仿宋" w:hAnsi="仿宋" w:eastAsia="仿宋" w:cs="仿宋"/>
                <w:sz w:val="24"/>
                <w:szCs w:val="24"/>
                <w:highlight w:val="none"/>
              </w:rPr>
              <w:t>在文件规定签署处签名或者指供应商通过指定电子化政府采购平台办理数字证书（CA认证）获得的以供应商法定代表人或者委托代理人姓名制作的电子印章签名的行为，私章、印鉴等其他形式均不能代替签字</w:t>
            </w:r>
            <w:r>
              <w:rPr>
                <w:rFonts w:hint="eastAsia" w:ascii="仿宋" w:hAnsi="仿宋" w:eastAsia="仿宋" w:cs="仿宋"/>
                <w:bCs/>
                <w:sz w:val="24"/>
                <w:szCs w:val="24"/>
                <w:highlight w:val="none"/>
              </w:rPr>
              <w:t>。</w:t>
            </w:r>
          </w:p>
          <w:p w14:paraId="197F9E26">
            <w:pPr>
              <w:pStyle w:val="17"/>
              <w:shd w:val="clear"/>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FE2CBBB">
            <w:pPr>
              <w:pStyle w:val="17"/>
              <w:shd w:val="clear"/>
              <w:snapToGrid w:val="0"/>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5.自然人参加</w:t>
            </w:r>
            <w:r>
              <w:rPr>
                <w:rFonts w:hint="eastAsia" w:ascii="仿宋" w:hAnsi="仿宋" w:eastAsia="仿宋" w:cs="仿宋"/>
                <w:sz w:val="24"/>
                <w:szCs w:val="24"/>
                <w:highlight w:val="none"/>
              </w:rPr>
              <w:t>竞争性磋商</w:t>
            </w:r>
            <w:r>
              <w:rPr>
                <w:rFonts w:hint="eastAsia" w:ascii="仿宋" w:hAnsi="仿宋" w:eastAsia="仿宋" w:cs="仿宋"/>
                <w:bCs/>
                <w:sz w:val="24"/>
                <w:szCs w:val="24"/>
                <w:highlight w:val="none"/>
              </w:rPr>
              <w:t>的，磋商文件规定盖公章处由自然人摁手指指印。</w:t>
            </w:r>
          </w:p>
          <w:p w14:paraId="0EF8940A">
            <w:pPr>
              <w:pStyle w:val="17"/>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bCs/>
                <w:sz w:val="24"/>
                <w:highlight w:val="none"/>
              </w:rPr>
              <w:t>6.本磋商文件所称的“以上”“以下”“以内”“届满”，包括本数；所称的“不满”“超过”“以外”，不包括本数。</w:t>
            </w:r>
          </w:p>
        </w:tc>
      </w:tr>
    </w:tbl>
    <w:p w14:paraId="3C4A49B5">
      <w:pPr>
        <w:shd w:val="clear"/>
        <w:spacing w:line="4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供应商须知正文</w:t>
      </w:r>
    </w:p>
    <w:p w14:paraId="08FA7F32">
      <w:pPr>
        <w:shd w:val="clear"/>
        <w:spacing w:line="400" w:lineRule="exact"/>
        <w:jc w:val="center"/>
        <w:rPr>
          <w:rFonts w:hint="eastAsia" w:ascii="仿宋" w:hAnsi="仿宋" w:eastAsia="仿宋" w:cs="仿宋"/>
          <w:b/>
          <w:sz w:val="32"/>
          <w:szCs w:val="32"/>
          <w:highlight w:val="none"/>
        </w:rPr>
      </w:pPr>
    </w:p>
    <w:p w14:paraId="0CEE5DDC">
      <w:pPr>
        <w:shd w:val="clear"/>
        <w:spacing w:line="360"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一、总则</w:t>
      </w:r>
    </w:p>
    <w:p w14:paraId="2F937958">
      <w:pPr>
        <w:shd w:val="clear"/>
        <w:spacing w:line="400" w:lineRule="exact"/>
        <w:rPr>
          <w:rFonts w:hint="eastAsia" w:ascii="仿宋" w:hAnsi="仿宋" w:eastAsia="仿宋" w:cs="仿宋"/>
          <w:szCs w:val="21"/>
          <w:highlight w:val="none"/>
        </w:rPr>
      </w:pPr>
    </w:p>
    <w:p w14:paraId="47A2F631">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1.适用范围</w:t>
      </w:r>
    </w:p>
    <w:p w14:paraId="51CB8BB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关于政府采购有关规定的约束和保护。</w:t>
      </w:r>
    </w:p>
    <w:p w14:paraId="08BCDEFB">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w:t>
      </w:r>
      <w:r>
        <w:rPr>
          <w:rFonts w:hint="eastAsia" w:ascii="仿宋" w:hAnsi="仿宋" w:eastAsia="仿宋" w:cs="仿宋"/>
          <w:spacing w:val="-6"/>
          <w:sz w:val="24"/>
          <w:highlight w:val="none"/>
        </w:rPr>
        <w:t>本竞争性磋商文件（以下简称磋商文件）适用于本项目的所有采购程序和环节（法律、法规另有规定的，从其规定）。</w:t>
      </w:r>
    </w:p>
    <w:p w14:paraId="50C2E653">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2.定义</w:t>
      </w:r>
    </w:p>
    <w:p w14:paraId="600ADF4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2.1“采购人”是指依法进行政府采购的国家机关、事业单位、团体组织。</w:t>
      </w:r>
    </w:p>
    <w:p w14:paraId="1C23D067">
      <w:pPr>
        <w:shd w:val="clea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2.2“采购代理机构”是指政府采购集中采购机构和集中采购机构以外的采购代理机构。</w:t>
      </w:r>
    </w:p>
    <w:p w14:paraId="24FEC8B3">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2.3“供应商”是指向采购人提供货物、工程或者服务的法人、其他组织或者自然人。</w:t>
      </w:r>
    </w:p>
    <w:p w14:paraId="5D66473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2.4“服务”是指除货物和工程以外的其他政府采购对象。</w:t>
      </w:r>
    </w:p>
    <w:p w14:paraId="37C771DC">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2.5“竞争性磋商”是指供应商按照本项目竞争性磋商公告或者邀请函规定的方式获取磋商文件、提交响应文件并希望获得标的的行为。</w:t>
      </w:r>
    </w:p>
    <w:p w14:paraId="7967CD13">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2.6“书面形式”是指合同书、信件和数据电文（包括电报、电传、传真、电子数据交换和电子邮件）等可以有形地表现所载内容的形式。</w:t>
      </w:r>
    </w:p>
    <w:p w14:paraId="1E334F09">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2.7“响应文件”</w:t>
      </w:r>
      <w:r>
        <w:rPr>
          <w:rFonts w:hint="eastAsia" w:ascii="仿宋" w:hAnsi="仿宋" w:eastAsia="仿宋" w:cs="仿宋"/>
          <w:spacing w:val="-6"/>
          <w:sz w:val="24"/>
          <w:highlight w:val="none"/>
        </w:rPr>
        <w:t>是指：供应商根据本磋商文件要求，编制包含资格证明、报价商务技术等所有内容的文件。</w:t>
      </w:r>
    </w:p>
    <w:p w14:paraId="316BCCEF">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2.8“实质性要求”是指磋商文件中已经指明不满足则响应文件按无效响应处理的条款，或者不能负偏离的条款，或者采购需求中带“▲”的条款。</w:t>
      </w:r>
    </w:p>
    <w:p w14:paraId="0FA1BD4D">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2.9“正偏离”，是指响应文件对磋商文件“采购需求”中有关条款作出的响应优于条款要求并有利于采购人的情形。</w:t>
      </w:r>
    </w:p>
    <w:p w14:paraId="4AE7E998">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2.10“负偏离”，是指响应文件对磋商文件“采购需求”中有关条款作出的响应不满足条款要求，导致采购人要求不能得到满足的情形。</w:t>
      </w:r>
    </w:p>
    <w:p w14:paraId="3DF95605">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2.11“允许负偏离的条款”是指采购需求中的不属于“实质性要求”的条款。</w:t>
      </w:r>
    </w:p>
    <w:p w14:paraId="2165C394">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2.12“首次报价”是指供应商提交的首次响应文件中的报价。</w:t>
      </w:r>
    </w:p>
    <w:p w14:paraId="580CBC5C">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3.供应商的资格条件</w:t>
      </w:r>
    </w:p>
    <w:p w14:paraId="7BA30D1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供应商的资格条件详见“供应商须知前附表”。</w:t>
      </w:r>
    </w:p>
    <w:p w14:paraId="3939BB8A">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4.</w:t>
      </w:r>
      <w:r>
        <w:rPr>
          <w:rFonts w:hint="eastAsia" w:ascii="仿宋" w:hAnsi="仿宋" w:eastAsia="仿宋" w:cs="仿宋"/>
          <w:b/>
          <w:sz w:val="24"/>
          <w:highlight w:val="none"/>
        </w:rPr>
        <w:t>竞争性磋商</w:t>
      </w:r>
      <w:r>
        <w:rPr>
          <w:rFonts w:hint="eastAsia" w:ascii="仿宋" w:hAnsi="仿宋" w:eastAsia="仿宋" w:cs="仿宋"/>
          <w:b/>
          <w:bCs/>
          <w:sz w:val="24"/>
          <w:highlight w:val="none"/>
        </w:rPr>
        <w:t>费用</w:t>
      </w:r>
    </w:p>
    <w:p w14:paraId="76DC7FF6">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供应商应承担参与本次采购活动有关的所有费用，包括但不限于获取磋商文件、勘查现场、编制和提交响应文件、参加磋商与应答、签订合同等，不论竞争性磋商结果如何，均应自行承担。</w:t>
      </w:r>
    </w:p>
    <w:p w14:paraId="0425F09D">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5.联合体参加竞争性磋商</w:t>
      </w:r>
    </w:p>
    <w:p w14:paraId="3E8C6E6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5.1本项目是否接受联合体参加竞争性磋商，详见“供应商须知前附表”。</w:t>
      </w:r>
    </w:p>
    <w:p w14:paraId="2C746E8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5.2如接受联合体参加竞争性磋商，相关要求详见“供应商须知前附表”。</w:t>
      </w:r>
    </w:p>
    <w:p w14:paraId="09C1670C">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5.3</w:t>
      </w:r>
      <w:bookmarkStart w:id="17" w:name="_Hlk66782192"/>
      <w:r>
        <w:rPr>
          <w:rFonts w:hint="eastAsia" w:ascii="仿宋" w:hAnsi="仿宋" w:eastAsia="仿宋" w:cs="仿宋"/>
          <w:sz w:val="24"/>
          <w:highlight w:val="none"/>
        </w:rPr>
        <w:t>根据《政府采购促进中小企业发展管理办法》（财库〔2020〕46号）及《关于进一步加大政府采购支持中小企业力度的通知》（财库〔2022〕19号 ）调整对小微企业的价格评审优惠幅度。货物服务采购项目给予小微企业的价格扣除优惠20%。大中型企业与小微企业组成联合体或者大中型企业向小微企业分包的，对于联合协议约定小微企业的合同份额占到合同总金额 30%以上的，评审优惠6%，用扣除后的价格参加评审。</w:t>
      </w:r>
      <w:bookmarkEnd w:id="17"/>
    </w:p>
    <w:p w14:paraId="5B9AF2B4">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 xml:space="preserve">6.转包与分包             </w:t>
      </w:r>
    </w:p>
    <w:p w14:paraId="625DB7D5">
      <w:pPr>
        <w:pStyle w:val="5"/>
        <w:keepNext w:val="0"/>
        <w:keepLines w:val="0"/>
        <w:shd w:val="clear"/>
        <w:spacing w:before="0" w:after="0" w:line="360" w:lineRule="auto"/>
        <w:ind w:left="420" w:leftChars="200"/>
        <w:rPr>
          <w:rFonts w:hint="eastAsia" w:ascii="仿宋" w:hAnsi="仿宋" w:eastAsia="仿宋" w:cs="仿宋"/>
          <w:b w:val="0"/>
          <w:sz w:val="24"/>
          <w:szCs w:val="24"/>
          <w:highlight w:val="none"/>
        </w:rPr>
      </w:pPr>
      <w:bookmarkStart w:id="18" w:name="_Toc254970673"/>
      <w:bookmarkStart w:id="19" w:name="_Toc254970532"/>
      <w:r>
        <w:rPr>
          <w:rFonts w:hint="eastAsia" w:ascii="仿宋" w:hAnsi="仿宋" w:eastAsia="仿宋" w:cs="仿宋"/>
          <w:b w:val="0"/>
          <w:sz w:val="24"/>
          <w:szCs w:val="24"/>
          <w:highlight w:val="none"/>
        </w:rPr>
        <w:t>6.1本项目不允许转包。</w:t>
      </w:r>
    </w:p>
    <w:p w14:paraId="40625B6B">
      <w:pPr>
        <w:pStyle w:val="5"/>
        <w:keepNext w:val="0"/>
        <w:keepLines w:val="0"/>
        <w:shd w:val="clear"/>
        <w:spacing w:before="0" w:after="0" w:line="360" w:lineRule="auto"/>
        <w:ind w:firstLine="360" w:firstLineChars="15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1859E713">
      <w:pPr>
        <w:pStyle w:val="5"/>
        <w:keepNext w:val="0"/>
        <w:keepLines w:val="0"/>
        <w:shd w:val="clear"/>
        <w:spacing w:before="0" w:after="0" w:line="360" w:lineRule="auto"/>
        <w:ind w:firstLine="360" w:firstLineChars="15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C027727">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7.特别说明</w:t>
      </w:r>
      <w:bookmarkEnd w:id="18"/>
      <w:bookmarkEnd w:id="19"/>
    </w:p>
    <w:p w14:paraId="15A1F64D">
      <w:pPr>
        <w:shd w:val="clear"/>
        <w:spacing w:line="360" w:lineRule="auto"/>
        <w:ind w:firstLine="480" w:firstLineChars="200"/>
        <w:rPr>
          <w:rFonts w:hint="eastAsia" w:ascii="仿宋" w:hAnsi="仿宋" w:eastAsia="仿宋" w:cs="仿宋"/>
          <w:sz w:val="24"/>
          <w:highlight w:val="none"/>
        </w:rPr>
      </w:pPr>
      <w:bookmarkStart w:id="20" w:name="_8.1提供相同品牌产品且通过资格审查、符合性审查的不同投标人参加同一合"/>
      <w:bookmarkEnd w:id="20"/>
      <w:r>
        <w:rPr>
          <w:rFonts w:hint="eastAsia" w:ascii="仿宋" w:hAnsi="仿宋" w:eastAsia="仿宋" w:cs="仿宋"/>
          <w:sz w:val="24"/>
          <w:highlight w:val="none"/>
        </w:rPr>
        <w:t>7.1</w:t>
      </w:r>
      <w:bookmarkStart w:id="21" w:name="_Hlk65832145"/>
      <w:r>
        <w:rPr>
          <w:rFonts w:hint="eastAsia" w:ascii="仿宋" w:hAnsi="仿宋" w:eastAsia="仿宋" w:cs="仿宋"/>
          <w:sz w:val="24"/>
          <w:highlight w:val="none"/>
        </w:rPr>
        <w:t>如果本磋商文件要求提供供应商或制造商的资格、信誉、荣誉、业绩与企业认证等材料的，资格、信誉、荣誉、业绩与企业认证等必须为供应商或者制造商所拥有或自身获得 。</w:t>
      </w:r>
    </w:p>
    <w:bookmarkEnd w:id="21"/>
    <w:p w14:paraId="0172A75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7.2供应商应仔细阅读磋商文件的所有内容，按照磋商文件的要求提交响应文件，并对所提供的全部资料的真实性承担法律责任。</w:t>
      </w:r>
    </w:p>
    <w:p w14:paraId="268B67E3">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7.3供应商在参与竞争性磋商活动中提供任何疑似虚假材料，将报监管部门查处；签订合同后发现的，成交供应商须依法赔偿采购人，且民事赔偿并不免除违法供应商的行政与刑事责任。</w:t>
      </w:r>
    </w:p>
    <w:p w14:paraId="4D1D45C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7.4在政府采购活动中，采购人员及相关人员与供应商有下列利害关系之一的，应当回避：</w:t>
      </w:r>
    </w:p>
    <w:p w14:paraId="770AF896">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（1）参加采购活动前3年内与供应商存在劳动关系；</w:t>
      </w:r>
    </w:p>
    <w:p w14:paraId="7AEF7C70">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（2）参加采购活动前3年内担任供应商的董事、监事；</w:t>
      </w:r>
    </w:p>
    <w:p w14:paraId="5085CEE5">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（3）参加采购活动前3年内是供应商的控股股东或者实际控制人；</w:t>
      </w:r>
    </w:p>
    <w:p w14:paraId="385F0AEC">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（4）与供应商的法定代表人或者负责人有夫妻、直系血亲、三代以内旁系血亲或者近姻亲关系；</w:t>
      </w:r>
    </w:p>
    <w:p w14:paraId="3132D08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（5）与供应商有其他可能影响政府采购活动公平、公正进行的关系。</w:t>
      </w:r>
    </w:p>
    <w:p w14:paraId="0575DDB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5C7DB86">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7.5有下列情形之一的视为供应商相互串通参与竞争性磋商，响应文件将被视为无效：</w:t>
      </w:r>
    </w:p>
    <w:p w14:paraId="2F3D6AF0">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（1）不同供应商的响应文件由同一单位或者个人编制； </w:t>
      </w:r>
    </w:p>
    <w:p w14:paraId="623C490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（2）不同供应商委托同一单位或者个人办理竞争性磋商事宜；</w:t>
      </w:r>
    </w:p>
    <w:p w14:paraId="3DCBB66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（3）不同的供应商的响应文件载明的项目管理员为同一个人；</w:t>
      </w:r>
    </w:p>
    <w:p w14:paraId="4B21E4E9">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（4）不同供应商的响应文件异常一致或者报价呈规律性差异；</w:t>
      </w:r>
    </w:p>
    <w:p w14:paraId="6E57A7C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（5）不同供应商的响应文件相互混装；</w:t>
      </w:r>
    </w:p>
    <w:p w14:paraId="33CC0456">
      <w:pPr>
        <w:shd w:val="clear"/>
        <w:tabs>
          <w:tab w:val="left" w:pos="6931"/>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（6）不同供应商的磋商保证金从同一单位或者个人账户转出。</w:t>
      </w:r>
      <w:r>
        <w:rPr>
          <w:rFonts w:hint="eastAsia" w:ascii="仿宋" w:hAnsi="仿宋" w:eastAsia="仿宋" w:cs="仿宋"/>
          <w:sz w:val="24"/>
          <w:highlight w:val="none"/>
        </w:rPr>
        <w:tab/>
      </w:r>
    </w:p>
    <w:p w14:paraId="6268F1D6">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（7）供应商之间协商报价等响应文件的实质性内容；</w:t>
      </w:r>
    </w:p>
    <w:p w14:paraId="6F1286E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（8）供应商之间约定成交供应商；</w:t>
      </w:r>
    </w:p>
    <w:p w14:paraId="34CDC51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（9）供应商之间约定部分供应商放弃参与竞争性磋商或者成交；</w:t>
      </w:r>
    </w:p>
    <w:p w14:paraId="550F3C0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（10）属于同一集团、协会、商会等组织成员的供应商按照该组织要求协同参与竞争性磋商；</w:t>
      </w:r>
    </w:p>
    <w:p w14:paraId="2DD78802">
      <w:pPr>
        <w:pStyle w:val="13"/>
        <w:shd w:val="clear"/>
        <w:ind w:firstLine="480" w:firstLineChars="200"/>
        <w:rPr>
          <w:rFonts w:hint="eastAsia" w:ascii="仿宋" w:hAnsi="仿宋" w:eastAsia="仿宋" w:cs="仿宋"/>
          <w:highlight w:val="none"/>
        </w:rPr>
      </w:pPr>
      <w:r>
        <w:rPr>
          <w:rFonts w:hint="eastAsia" w:ascii="仿宋" w:hAnsi="仿宋" w:eastAsia="仿宋" w:cs="仿宋"/>
          <w:sz w:val="24"/>
          <w:highlight w:val="none"/>
        </w:rPr>
        <w:t>（11）供应商之间为谋取成交或者排斥特定供应商而采取的其他联合行动。</w:t>
      </w:r>
    </w:p>
    <w:p w14:paraId="34CF341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7.6供应商有下列情形之一的，属于恶意串通行为，将报同级监督管理部门：</w:t>
      </w:r>
    </w:p>
    <w:p w14:paraId="0C0DBF2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（1）供应商直接或者间接从采购人或者采购代理机构处获得其他供应商的相关信息并修改其响应文件；</w:t>
      </w:r>
    </w:p>
    <w:p w14:paraId="066A22F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（2）供应商按照采购人或者采购代理机构的授意撤换、修改响应文件；</w:t>
      </w:r>
    </w:p>
    <w:p w14:paraId="30CD211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（3）供应商之间协商报价、技术方案等响应文件或者响应文件的实质性内容；</w:t>
      </w:r>
    </w:p>
    <w:p w14:paraId="487C7A9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（4）属于同一集团、协会、商会等组织成员的供应商按照该组织要求协同参加政府采购活动；</w:t>
      </w:r>
    </w:p>
    <w:p w14:paraId="6A7845B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（5）供应商之间事先约定一致抬高或者压低报价，或者在政府采购活动中事先约定轮流以高价位或者低价位成交，或者事先约定由某一特定供应商成交，然后再参加竞争性磋商；</w:t>
      </w:r>
    </w:p>
    <w:p w14:paraId="2316E97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（6）供应商之间商定部分供应商放弃参加政府采购活动或者放弃成交；</w:t>
      </w:r>
    </w:p>
    <w:p w14:paraId="4107B40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（7）供应商与采购人或者采购代理机构之间、供应商相互之间，为谋求特定供应商成交或者排斥其他供应商的其他串通行为。</w:t>
      </w:r>
    </w:p>
    <w:p w14:paraId="6E892C11">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7.7竞争性磋商委托</w:t>
      </w:r>
    </w:p>
    <w:p w14:paraId="1F6C810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供应商代表参加竞争性磋商活动过程中必须携带个人有效身份证件。如供应商代表不是法定代表人，须持有授权委托书（按第五章要求格式填写）。</w:t>
      </w:r>
    </w:p>
    <w:p w14:paraId="48821FFA">
      <w:pPr>
        <w:pStyle w:val="13"/>
        <w:shd w:val="clear"/>
        <w:ind w:firstLine="420"/>
        <w:rPr>
          <w:rFonts w:hint="eastAsia" w:ascii="仿宋" w:hAnsi="仿宋" w:eastAsia="仿宋" w:cs="仿宋"/>
          <w:highlight w:val="none"/>
        </w:rPr>
      </w:pPr>
    </w:p>
    <w:p w14:paraId="5F93428B">
      <w:pPr>
        <w:shd w:val="clear"/>
        <w:spacing w:line="360" w:lineRule="auto"/>
        <w:ind w:firstLine="480" w:firstLineChars="200"/>
        <w:rPr>
          <w:rFonts w:hint="eastAsia" w:ascii="仿宋" w:hAnsi="仿宋" w:eastAsia="仿宋" w:cs="仿宋"/>
          <w:sz w:val="24"/>
          <w:highlight w:val="none"/>
        </w:rPr>
      </w:pPr>
    </w:p>
    <w:p w14:paraId="2F6CB6F3">
      <w:pPr>
        <w:shd w:val="clear"/>
        <w:spacing w:line="360" w:lineRule="auto"/>
        <w:jc w:val="center"/>
        <w:rPr>
          <w:rFonts w:hint="eastAsia" w:ascii="仿宋" w:hAnsi="仿宋" w:eastAsia="仿宋" w:cs="仿宋"/>
          <w:b/>
          <w:bCs/>
          <w:sz w:val="24"/>
          <w:highlight w:val="none"/>
        </w:rPr>
      </w:pPr>
      <w:bookmarkStart w:id="22" w:name="_Toc254970534"/>
      <w:bookmarkStart w:id="23" w:name="_Toc254970675"/>
      <w:r>
        <w:rPr>
          <w:rFonts w:hint="eastAsia" w:ascii="仿宋" w:hAnsi="仿宋" w:eastAsia="仿宋" w:cs="仿宋"/>
          <w:b/>
          <w:bCs/>
          <w:sz w:val="24"/>
          <w:highlight w:val="none"/>
        </w:rPr>
        <w:t>二、磋商文件</w:t>
      </w:r>
      <w:bookmarkEnd w:id="22"/>
      <w:bookmarkEnd w:id="23"/>
    </w:p>
    <w:p w14:paraId="78B343B1">
      <w:pPr>
        <w:shd w:val="clear"/>
        <w:spacing w:line="360" w:lineRule="auto"/>
        <w:ind w:firstLine="482" w:firstLineChars="200"/>
        <w:rPr>
          <w:rFonts w:hint="eastAsia" w:ascii="仿宋" w:hAnsi="仿宋" w:eastAsia="仿宋" w:cs="仿宋"/>
          <w:b/>
          <w:bCs/>
          <w:sz w:val="24"/>
          <w:highlight w:val="none"/>
        </w:rPr>
      </w:pPr>
    </w:p>
    <w:p w14:paraId="1038DF14">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8.磋商文件的构成</w:t>
      </w:r>
    </w:p>
    <w:p w14:paraId="70D2CCD1">
      <w:pPr>
        <w:shd w:val="clea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（1）竞争性磋商公告；</w:t>
      </w:r>
    </w:p>
    <w:p w14:paraId="620863DC">
      <w:pPr>
        <w:shd w:val="clea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 xml:space="preserve">（2）供应商须知； </w:t>
      </w:r>
    </w:p>
    <w:p w14:paraId="76EBEB86">
      <w:pPr>
        <w:shd w:val="clea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（3）采购需求；</w:t>
      </w:r>
    </w:p>
    <w:p w14:paraId="53B77681">
      <w:pPr>
        <w:shd w:val="clea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（4）评审程序、评审方法和评审标准；</w:t>
      </w:r>
    </w:p>
    <w:p w14:paraId="404A1266">
      <w:pPr>
        <w:shd w:val="clea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（5）响应文件格式；</w:t>
      </w:r>
    </w:p>
    <w:p w14:paraId="74B09D3B">
      <w:pPr>
        <w:shd w:val="clea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（6）拟签订的合同文本。</w:t>
      </w:r>
    </w:p>
    <w:p w14:paraId="368CD9E5">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9.供应商的询问</w:t>
      </w:r>
    </w:p>
    <w:p w14:paraId="548FEA9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应认真阅读磋商文件的采购需求，如供应商对磋商文件有疑问的，如要求采购人做出澄清或者修改的，供应商尽可能在提交首次响应文件截止之日前，以纸质书面形式向采购人、采购代理机构提出，否则，由此产生的后果由供应商自行负责。</w:t>
      </w:r>
    </w:p>
    <w:p w14:paraId="3027E991">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10.磋商文件的澄清和修改</w:t>
      </w:r>
    </w:p>
    <w:p w14:paraId="06382E6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10.1提交首次响应文件截止之日前，采购人或者采购代理机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之日至少5日前，在原公告发布媒体上发布更正公告；不足5日的，采购人、采购代理机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3459E1C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10.2采购人和采购代理机构可以视采购具体情况，变更首次响应文件提交截止时间和开启时间，并在原公告发布媒体上发布更正公告。</w:t>
      </w:r>
    </w:p>
    <w:p w14:paraId="7736F1B1">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10.3磋商文件澄清、答复、修改、补充的内容为磋商文件的组成部分。</w:t>
      </w:r>
      <w:r>
        <w:rPr>
          <w:rFonts w:hint="eastAsia" w:ascii="仿宋" w:hAnsi="仿宋" w:eastAsia="仿宋" w:cs="仿宋"/>
          <w:b/>
          <w:sz w:val="24"/>
          <w:highlight w:val="none"/>
        </w:rPr>
        <w:t>当磋商文件与磋商文件的澄清、答复、修改、补充通知就同一内容的表述不一致时，以最后发出的文件为准。</w:t>
      </w:r>
    </w:p>
    <w:p w14:paraId="11E31D2C">
      <w:pPr>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10.4响应文件未按磋商文件的澄清、修改后的内容编制的，其响应文件作无效响应处理。</w:t>
      </w:r>
    </w:p>
    <w:p w14:paraId="50E2DCDA">
      <w:pPr>
        <w:shd w:val="clear"/>
        <w:spacing w:line="360" w:lineRule="auto"/>
        <w:ind w:firstLine="482" w:firstLineChars="200"/>
        <w:rPr>
          <w:rFonts w:hint="eastAsia" w:ascii="仿宋" w:hAnsi="仿宋" w:eastAsia="仿宋" w:cs="仿宋"/>
          <w:b/>
          <w:sz w:val="24"/>
          <w:highlight w:val="none"/>
        </w:rPr>
      </w:pPr>
    </w:p>
    <w:p w14:paraId="2A3F760E">
      <w:pPr>
        <w:shd w:val="clea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三、响应文件的编制</w:t>
      </w:r>
    </w:p>
    <w:p w14:paraId="5FA0CF46">
      <w:pPr>
        <w:shd w:val="clear"/>
        <w:spacing w:line="360" w:lineRule="auto"/>
        <w:ind w:firstLine="482" w:firstLineChars="200"/>
        <w:rPr>
          <w:rFonts w:hint="eastAsia" w:ascii="仿宋" w:hAnsi="仿宋" w:eastAsia="仿宋" w:cs="仿宋"/>
          <w:b/>
          <w:bCs/>
          <w:sz w:val="24"/>
          <w:highlight w:val="none"/>
        </w:rPr>
      </w:pPr>
    </w:p>
    <w:p w14:paraId="373CA89E">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11.响应文件的编制原则</w:t>
      </w:r>
    </w:p>
    <w:p w14:paraId="2D1D765D">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供应商必须按照磋商文件的要求编制响应文件，并对其提交的响应文件的真实性、合法性承担法律责任。响应文件必须对磋商文件做出实质性响应。</w:t>
      </w:r>
    </w:p>
    <w:p w14:paraId="5E5293C4">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12.响应文件的组成</w:t>
      </w:r>
    </w:p>
    <w:p w14:paraId="20FBB91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12.1响应文件由资格证明文件、报价商务服务文件两部分组成。</w:t>
      </w:r>
    </w:p>
    <w:p w14:paraId="73F7AC78">
      <w:pPr>
        <w:shd w:val="clear"/>
        <w:spacing w:line="360" w:lineRule="auto"/>
        <w:ind w:left="900" w:leftChars="200" w:hanging="480" w:hangingChars="200"/>
        <w:rPr>
          <w:rFonts w:hint="eastAsia" w:ascii="仿宋" w:hAnsi="仿宋" w:eastAsia="仿宋" w:cs="仿宋"/>
          <w:sz w:val="24"/>
          <w:highlight w:val="none"/>
        </w:rPr>
      </w:pPr>
      <w:r>
        <w:rPr>
          <w:rFonts w:hint="eastAsia" w:ascii="仿宋" w:hAnsi="仿宋" w:eastAsia="仿宋" w:cs="仿宋"/>
          <w:sz w:val="24"/>
          <w:highlight w:val="none"/>
        </w:rPr>
        <w:t>12.1.1资格证明文件：详见须知前附表</w:t>
      </w:r>
    </w:p>
    <w:p w14:paraId="7FA07BFD">
      <w:pPr>
        <w:shd w:val="clear"/>
        <w:spacing w:line="360" w:lineRule="auto"/>
        <w:ind w:left="900" w:leftChars="200" w:hanging="480" w:hangingChars="200"/>
        <w:rPr>
          <w:rFonts w:hint="eastAsia" w:ascii="仿宋" w:hAnsi="仿宋" w:eastAsia="仿宋" w:cs="仿宋"/>
          <w:sz w:val="24"/>
          <w:highlight w:val="none"/>
        </w:rPr>
      </w:pPr>
      <w:r>
        <w:rPr>
          <w:rFonts w:hint="eastAsia" w:ascii="仿宋" w:hAnsi="仿宋" w:eastAsia="仿宋" w:cs="仿宋"/>
          <w:sz w:val="24"/>
          <w:highlight w:val="none"/>
        </w:rPr>
        <w:t>12.1.2报价商务服务文件：详见须知前附表</w:t>
      </w:r>
    </w:p>
    <w:p w14:paraId="4AC1979D">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13.计量单位</w:t>
      </w:r>
    </w:p>
    <w:p w14:paraId="7FE241DD">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磋商文件已有明确规定的，使用磋商文件规定的计量单位；磋商文件没有规定的，应采用中华人民共和国法定计量单位，货币种类为人民币，否则视同未响应。</w:t>
      </w:r>
    </w:p>
    <w:p w14:paraId="2605C7B4">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14.竞争性磋商的风险</w:t>
      </w:r>
    </w:p>
    <w:p w14:paraId="46CB0727">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供应商没有按照磋商文件要求提供全部资料，或者供应商没有对磋商文件在各方面做出实质性响应可能导致其响应无效，是供应商应当考虑的风险。</w:t>
      </w:r>
    </w:p>
    <w:p w14:paraId="75DE36EF">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15.竞争性磋商报价</w:t>
      </w:r>
    </w:p>
    <w:p w14:paraId="68EE71DF">
      <w:pPr>
        <w:shd w:val="clear"/>
        <w:tabs>
          <w:tab w:val="left" w:pos="2492"/>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15.1竞争性磋商报价应按磋商文件中“竞争性磋商报价表”格式填写。</w:t>
      </w:r>
    </w:p>
    <w:p w14:paraId="1E936C61">
      <w:pPr>
        <w:shd w:val="clear"/>
        <w:tabs>
          <w:tab w:val="left" w:pos="2492"/>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15.2竞争性磋商报价的内容见“供应商须知前附表”。</w:t>
      </w:r>
    </w:p>
    <w:p w14:paraId="18B17C17">
      <w:pPr>
        <w:shd w:val="clear"/>
        <w:spacing w:line="360" w:lineRule="auto"/>
        <w:ind w:left="426" w:leftChars="203"/>
        <w:rPr>
          <w:rFonts w:hint="eastAsia" w:ascii="仿宋" w:hAnsi="仿宋" w:eastAsia="仿宋" w:cs="仿宋"/>
          <w:sz w:val="24"/>
          <w:highlight w:val="none"/>
        </w:rPr>
      </w:pPr>
      <w:r>
        <w:rPr>
          <w:rFonts w:hint="eastAsia" w:ascii="仿宋" w:hAnsi="仿宋" w:eastAsia="仿宋" w:cs="仿宋"/>
          <w:sz w:val="24"/>
          <w:highlight w:val="none"/>
        </w:rPr>
        <w:t>15.3竞争性磋商报价要求</w:t>
      </w:r>
    </w:p>
    <w:p w14:paraId="6BF23055">
      <w:pPr>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15.3.1供应商的竞争性磋商报价应符合以下要求，否则响应文件按无效响应处理：</w:t>
      </w:r>
    </w:p>
    <w:p w14:paraId="45350CA3">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（1）供应商必须就“采购需求”中所竞标的每个分标的全部内容分别作完整唯一总价报价，不得存在漏项报价；</w:t>
      </w:r>
    </w:p>
    <w:p w14:paraId="1F32A873">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（2）供应商必须就所竞标的分标的单项内容作唯一报价。</w:t>
      </w:r>
    </w:p>
    <w:p w14:paraId="7575187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15.3.2竞争性磋商报价（包含首次报价、最后报价）超过所开展竞争性磋商分标规定的采购预算金额或者最高限价的，其响应文件将按无效响应处理。</w:t>
      </w:r>
      <w:bookmarkStart w:id="24" w:name="_Hlk42592874"/>
    </w:p>
    <w:p w14:paraId="1A63CE3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15.3.3竞争性磋商报价（包含首次报价、最后报价）超过分项采购预算金额或者最高限价的，其响应文件将按无效处理。</w:t>
      </w:r>
    </w:p>
    <w:bookmarkEnd w:id="24"/>
    <w:p w14:paraId="2837B0FF">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16.竞争性磋商有效期</w:t>
      </w:r>
    </w:p>
    <w:p w14:paraId="7B8DE98B">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16.1竞争性磋商有效期是指为保证采购人有足够的时间在提交响应文件后完成评审、确定成交供应商、合同签订等工作而要求供应商提交的响应文件在一定时间内保持有效的期限。</w:t>
      </w:r>
    </w:p>
    <w:p w14:paraId="0E45819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16.2 竞争性磋商有效期应由供应商按“供应商须知前附表”规定的期限作出响应。</w:t>
      </w:r>
    </w:p>
    <w:p w14:paraId="1B886C1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16.3供应商的响应文件在竞争性磋商有效期内均保持有效。</w:t>
      </w:r>
    </w:p>
    <w:p w14:paraId="5BA8AFEF">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17.磋商保证金</w:t>
      </w:r>
    </w:p>
    <w:p w14:paraId="71725962">
      <w:pPr>
        <w:shd w:val="clea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17.1供应商须按“供应商须知前附表”的规定提交磋商保证金。</w:t>
      </w:r>
    </w:p>
    <w:p w14:paraId="4ADC0494">
      <w:pPr>
        <w:shd w:val="clea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17.2磋商保证金的退还</w:t>
      </w:r>
    </w:p>
    <w:p w14:paraId="75A884E5">
      <w:pPr>
        <w:shd w:val="clear"/>
        <w:spacing w:line="360" w:lineRule="auto"/>
        <w:ind w:firstLine="480" w:firstLineChars="200"/>
        <w:rPr>
          <w:rFonts w:hint="eastAsia" w:ascii="仿宋" w:hAnsi="仿宋" w:eastAsia="仿宋" w:cs="仿宋"/>
          <w:sz w:val="24"/>
          <w:highlight w:val="none"/>
        </w:rPr>
      </w:pPr>
      <w:bookmarkStart w:id="25" w:name="_Hlk66782243"/>
      <w:r>
        <w:rPr>
          <w:rFonts w:hint="eastAsia" w:ascii="仿宋" w:hAnsi="仿宋" w:eastAsia="仿宋" w:cs="仿宋"/>
          <w:sz w:val="24"/>
          <w:highlight w:val="none"/>
        </w:rPr>
        <w:t>未</w:t>
      </w:r>
      <w:r>
        <w:rPr>
          <w:rFonts w:hint="eastAsia" w:ascii="仿宋" w:hAnsi="仿宋" w:eastAsia="仿宋" w:cs="仿宋"/>
          <w:spacing w:val="-6"/>
          <w:sz w:val="24"/>
          <w:highlight w:val="none"/>
        </w:rPr>
        <w:t>成交供应商的磋商保证金自成交通知书发出之日起5个工作日内退还；</w:t>
      </w:r>
      <w:r>
        <w:rPr>
          <w:rFonts w:hint="eastAsia" w:ascii="仿宋" w:hAnsi="仿宋" w:eastAsia="仿宋" w:cs="仿宋"/>
          <w:sz w:val="24"/>
          <w:highlight w:val="none"/>
        </w:rPr>
        <w:t>成交供应商的磋商保证金自签订合同之日起5个工作日内退还。</w:t>
      </w:r>
      <w:bookmarkEnd w:id="25"/>
      <w:r>
        <w:rPr>
          <w:rFonts w:hint="eastAsia" w:ascii="仿宋" w:hAnsi="仿宋" w:eastAsia="仿宋" w:cs="仿宋"/>
          <w:sz w:val="24"/>
          <w:highlight w:val="none"/>
        </w:rPr>
        <w:t xml:space="preserve"> </w:t>
      </w:r>
    </w:p>
    <w:p w14:paraId="5CFF2AF1">
      <w:pPr>
        <w:shd w:val="clea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17.3磋商保证金不计息。</w:t>
      </w:r>
    </w:p>
    <w:p w14:paraId="441F532A">
      <w:pPr>
        <w:shd w:val="clea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 xml:space="preserve">17.4供应商有下列情形之一的，磋商保证金将不予退还： </w:t>
      </w:r>
    </w:p>
    <w:p w14:paraId="00C65684">
      <w:pPr>
        <w:shd w:val="clea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（1）供应商在提交首次响应文件截止时间后撤回响应文件的；</w:t>
      </w:r>
    </w:p>
    <w:p w14:paraId="53F1BAC7">
      <w:pPr>
        <w:shd w:val="clea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（2）未按规定提交履约保证金的；</w:t>
      </w:r>
    </w:p>
    <w:p w14:paraId="7B97404E">
      <w:pPr>
        <w:shd w:val="clea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（3）供应商在响应文件中提供虚假材料的；</w:t>
      </w:r>
    </w:p>
    <w:p w14:paraId="748AD7BC">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（4）除因不可抗力或者磋商文件认可的情形以外，成交供应商不与采购人签订合同的；</w:t>
      </w:r>
    </w:p>
    <w:p w14:paraId="0D833A9D">
      <w:pPr>
        <w:shd w:val="clea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（5）供应商与采购人、其他供应商或者采购代理机构恶意串通的；</w:t>
      </w:r>
    </w:p>
    <w:p w14:paraId="7E6C617D">
      <w:pPr>
        <w:shd w:val="clear"/>
        <w:spacing w:line="360" w:lineRule="auto"/>
        <w:ind w:left="420" w:leftChars="200"/>
        <w:rPr>
          <w:rFonts w:hint="eastAsia" w:ascii="仿宋" w:hAnsi="仿宋" w:eastAsia="仿宋" w:cs="仿宋"/>
          <w:sz w:val="24"/>
          <w:highlight w:val="none"/>
        </w:rPr>
      </w:pPr>
      <w:r>
        <w:rPr>
          <w:rFonts w:hint="eastAsia" w:ascii="仿宋" w:hAnsi="仿宋" w:eastAsia="仿宋" w:cs="仿宋"/>
          <w:sz w:val="24"/>
          <w:highlight w:val="none"/>
        </w:rPr>
        <w:t>（6）法律法规规定的其他情形。</w:t>
      </w:r>
    </w:p>
    <w:p w14:paraId="1EE4EB0E">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18.响应文件编制的要求</w:t>
      </w:r>
    </w:p>
    <w:p w14:paraId="4F1A2844">
      <w:pPr>
        <w:shd w:val="clear"/>
        <w:spacing w:line="360" w:lineRule="auto"/>
        <w:ind w:firstLine="480" w:firstLineChars="200"/>
        <w:rPr>
          <w:rFonts w:hint="eastAsia" w:ascii="仿宋" w:hAnsi="仿宋" w:eastAsia="仿宋" w:cs="仿宋"/>
          <w:spacing w:val="-6"/>
          <w:sz w:val="24"/>
          <w:highlight w:val="none"/>
        </w:rPr>
      </w:pPr>
      <w:r>
        <w:rPr>
          <w:rFonts w:hint="eastAsia" w:ascii="仿宋" w:hAnsi="仿宋" w:eastAsia="仿宋" w:cs="仿宋"/>
          <w:sz w:val="24"/>
          <w:highlight w:val="none"/>
        </w:rPr>
        <w:t>18.1供应商应按本磋商文件规定的格式和顺序编制响应文件并标注页码，响应文件内容</w:t>
      </w:r>
      <w:r>
        <w:rPr>
          <w:rFonts w:hint="eastAsia" w:ascii="仿宋" w:hAnsi="仿宋" w:eastAsia="仿宋" w:cs="仿宋"/>
          <w:spacing w:val="-6"/>
          <w:sz w:val="24"/>
          <w:highlight w:val="none"/>
        </w:rPr>
        <w:t>不完整、编排混乱导致响应文件被误读、漏读或者查找不到相关内容的，</w:t>
      </w:r>
      <w:r>
        <w:rPr>
          <w:rFonts w:hint="eastAsia" w:ascii="仿宋" w:hAnsi="仿宋" w:eastAsia="仿宋" w:cs="仿宋"/>
          <w:sz w:val="24"/>
          <w:highlight w:val="none"/>
        </w:rPr>
        <w:t>由此引发的</w:t>
      </w:r>
      <w:r>
        <w:rPr>
          <w:rFonts w:hint="eastAsia" w:ascii="仿宋" w:hAnsi="仿宋" w:eastAsia="仿宋" w:cs="仿宋"/>
          <w:spacing w:val="-6"/>
          <w:sz w:val="24"/>
          <w:highlight w:val="none"/>
        </w:rPr>
        <w:t>后果由供应商承担。</w:t>
      </w:r>
    </w:p>
    <w:p w14:paraId="39878AAD">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18.2响应文件应按资格证明文件、报价商务服务文件分别编制电子文件，</w:t>
      </w:r>
      <w:r>
        <w:rPr>
          <w:rFonts w:hint="eastAsia" w:ascii="仿宋" w:hAnsi="仿宋" w:eastAsia="仿宋" w:cs="仿宋"/>
          <w:sz w:val="24"/>
          <w:highlight w:val="none"/>
          <w:lang w:bidi="ar"/>
        </w:rPr>
        <w:t>并按广西政府采购云平台的要求编制、加密、上传。</w:t>
      </w:r>
    </w:p>
    <w:p w14:paraId="1FDFDDC0">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w:t>
      </w:r>
      <w:bookmarkStart w:id="26" w:name="_Hlk65832699"/>
      <w:r>
        <w:rPr>
          <w:rFonts w:hint="eastAsia" w:ascii="仿宋" w:hAnsi="仿宋" w:eastAsia="仿宋" w:cs="仿宋"/>
          <w:sz w:val="24"/>
          <w:highlight w:val="none"/>
        </w:rPr>
        <w:t>3响应文件须由供应商在规定位置盖公章并签字</w:t>
      </w:r>
      <w:bookmarkStart w:id="27" w:name="_Hlk65832569"/>
      <w:r>
        <w:rPr>
          <w:rFonts w:hint="eastAsia" w:ascii="仿宋" w:hAnsi="仿宋" w:eastAsia="仿宋" w:cs="仿宋"/>
          <w:sz w:val="24"/>
          <w:highlight w:val="none"/>
        </w:rPr>
        <w:t>（具体以供应商须知前附表或响应文件格式规定为准）</w:t>
      </w:r>
      <w:bookmarkEnd w:id="26"/>
      <w:bookmarkEnd w:id="27"/>
      <w:r>
        <w:rPr>
          <w:rFonts w:hint="eastAsia" w:ascii="仿宋" w:hAnsi="仿宋" w:eastAsia="仿宋" w:cs="仿宋"/>
          <w:sz w:val="24"/>
          <w:highlight w:val="none"/>
        </w:rPr>
        <w:t>，否则其响应文件按无效响应处理。</w:t>
      </w:r>
    </w:p>
    <w:p w14:paraId="6A4ACC7D">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18.4响应文件中标注的供应商名称应与营业执照（事业单位法人证书、执业许可证、自然人身份证）及公章一致，否则其响应文件按无效响应处理。</w:t>
      </w:r>
    </w:p>
    <w:p w14:paraId="5293CB06">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AE08970">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19.响应文件的加密、解密及电子备份响应文件</w:t>
      </w:r>
    </w:p>
    <w:p w14:paraId="63054283">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19.1电子响应文件编制完成后，供应商应按广西政府采购云平台的要求进行加密，并在规定时间内解密，否则，由此产生的后果由供应商自行负责。</w:t>
      </w:r>
    </w:p>
    <w:p w14:paraId="6AA4AA8B">
      <w:pPr>
        <w:shd w:val="clear"/>
        <w:spacing w:line="360" w:lineRule="auto"/>
        <w:ind w:firstLine="480" w:firstLineChars="200"/>
        <w:rPr>
          <w:rFonts w:hint="eastAsia" w:ascii="仿宋" w:hAnsi="仿宋" w:eastAsia="仿宋" w:cs="仿宋"/>
          <w:highlight w:val="none"/>
        </w:rPr>
      </w:pPr>
      <w:r>
        <w:rPr>
          <w:rFonts w:hint="eastAsia" w:ascii="仿宋" w:hAnsi="仿宋" w:eastAsia="仿宋" w:cs="仿宋"/>
          <w:sz w:val="24"/>
          <w:highlight w:val="none"/>
        </w:rPr>
        <w:t>19.2电子备份响应文件是指通过“广西政府采购云平台电子投标客户端”在线编制生成且后缀名为“bfbs”的文件，是否接受电子备份响应文件详见在“供应商须知前附表”。</w:t>
      </w:r>
    </w:p>
    <w:p w14:paraId="5BD5779A">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20.响应文件的提交</w:t>
      </w:r>
    </w:p>
    <w:p w14:paraId="275A2AE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20.1供应商必须在“供应商须知前附表”规定的时间和地点提交响应文件。</w:t>
      </w:r>
    </w:p>
    <w:p w14:paraId="492BF512">
      <w:pPr>
        <w:widowControl/>
        <w:shd w:val="clear"/>
        <w:spacing w:line="360" w:lineRule="auto"/>
        <w:ind w:firstLine="480" w:firstLineChars="200"/>
        <w:rPr>
          <w:rFonts w:hint="eastAsia" w:ascii="仿宋" w:hAnsi="仿宋" w:eastAsia="仿宋" w:cs="仿宋"/>
          <w:b/>
          <w:sz w:val="24"/>
          <w:highlight w:val="none"/>
          <w:lang w:bidi="ar"/>
        </w:rPr>
      </w:pPr>
      <w:r>
        <w:rPr>
          <w:rFonts w:hint="eastAsia" w:ascii="仿宋" w:hAnsi="仿宋" w:eastAsia="仿宋" w:cs="仿宋"/>
          <w:sz w:val="24"/>
          <w:highlight w:val="none"/>
        </w:rPr>
        <w:t>20.2</w:t>
      </w:r>
      <w:r>
        <w:rPr>
          <w:rFonts w:hint="eastAsia" w:ascii="仿宋" w:hAnsi="仿宋" w:eastAsia="仿宋" w:cs="仿宋"/>
          <w:sz w:val="24"/>
          <w:highlight w:val="none"/>
          <w:lang w:bidi="ar"/>
        </w:rPr>
        <w:t>本项目为全流程电子化政府采购项目，通过广西政府采购云平台（https://www.gcy.zfcg.gxzf.gov.cn/）实行在线电子</w:t>
      </w:r>
      <w:r>
        <w:rPr>
          <w:rFonts w:hint="eastAsia" w:ascii="仿宋" w:hAnsi="仿宋" w:eastAsia="仿宋" w:cs="仿宋"/>
          <w:sz w:val="24"/>
          <w:highlight w:val="none"/>
        </w:rPr>
        <w:t>竞争性磋商</w:t>
      </w:r>
      <w:r>
        <w:rPr>
          <w:rFonts w:hint="eastAsia" w:ascii="仿宋" w:hAnsi="仿宋" w:eastAsia="仿宋" w:cs="仿宋"/>
          <w:sz w:val="24"/>
          <w:highlight w:val="none"/>
          <w:lang w:bidi="ar"/>
        </w:rPr>
        <w:t>，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仿宋" w:hAnsi="仿宋" w:eastAsia="仿宋" w:cs="仿宋"/>
          <w:b/>
          <w:sz w:val="24"/>
          <w:highlight w:val="none"/>
          <w:lang w:bidi="ar"/>
        </w:rPr>
        <w:t>供应商在广西政府采购云平台提交电子版响应文件时，请填写参加远程开标活动经办人联系方式。</w:t>
      </w:r>
    </w:p>
    <w:p w14:paraId="36658CA1">
      <w:pPr>
        <w:pStyle w:val="5"/>
        <w:keepNext w:val="0"/>
        <w:keepLines w:val="0"/>
        <w:shd w:val="clear"/>
        <w:spacing w:before="0" w:after="0" w:line="360" w:lineRule="auto"/>
        <w:ind w:firstLine="480" w:firstLineChars="200"/>
        <w:jc w:val="left"/>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20.3未在规定时间内上传或者未按广西政府采购云平台的要求编制、加密的电子响应文件，广西政府采购云平台将拒收。</w:t>
      </w:r>
    </w:p>
    <w:p w14:paraId="70D0D533">
      <w:pPr>
        <w:pStyle w:val="6"/>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20.4电子响应文件提交方</w:t>
      </w:r>
      <w:r>
        <w:rPr>
          <w:rFonts w:hint="eastAsia" w:ascii="仿宋" w:hAnsi="仿宋" w:eastAsia="仿宋" w:cs="仿宋"/>
          <w:bCs/>
          <w:sz w:val="24"/>
          <w:szCs w:val="24"/>
          <w:highlight w:val="none"/>
        </w:rPr>
        <w:t>式见“竞争性磋商公告”</w:t>
      </w:r>
      <w:r>
        <w:rPr>
          <w:rFonts w:hint="eastAsia" w:ascii="仿宋" w:hAnsi="仿宋" w:eastAsia="仿宋" w:cs="仿宋"/>
          <w:sz w:val="24"/>
          <w:szCs w:val="24"/>
          <w:highlight w:val="none"/>
        </w:rPr>
        <w:t>中“四、响应文件提交”。</w:t>
      </w:r>
    </w:p>
    <w:p w14:paraId="16900821">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21.首次响应文件的补充、修改与撤回</w:t>
      </w:r>
    </w:p>
    <w:p w14:paraId="2E94A48B">
      <w:pPr>
        <w:shd w:val="clear"/>
        <w:spacing w:line="360" w:lineRule="auto"/>
        <w:ind w:firstLine="480" w:firstLineChars="200"/>
        <w:rPr>
          <w:rFonts w:hint="eastAsia" w:ascii="仿宋" w:hAnsi="仿宋" w:eastAsia="仿宋" w:cs="仿宋"/>
          <w:bCs/>
          <w:sz w:val="24"/>
          <w:highlight w:val="none"/>
          <w:lang w:bidi="ar"/>
        </w:rPr>
      </w:pPr>
      <w:r>
        <w:rPr>
          <w:rFonts w:hint="eastAsia" w:ascii="仿宋" w:hAnsi="仿宋" w:eastAsia="仿宋" w:cs="仿宋"/>
          <w:bCs/>
          <w:sz w:val="24"/>
          <w:highlight w:val="none"/>
          <w:lang w:bidi="ar"/>
        </w:rPr>
        <w:t>21.1供应商应当在首次响应文件提交截止时间前完成电子响应文件的上传、提交，首次响应文件提交截止时间前可以补充、修改或者撤回响应文件。补充或者修改响应文件的，应当先行撤回原文件，补充、修改后重新上传、提交。首次响应文件提交截止时间前未完成上传、提交的，视为撤回响应文件。首次响应文件提交截止时间以后上传提交的响应文件，广西政府采购云平台将予以拒收。</w:t>
      </w:r>
    </w:p>
    <w:p w14:paraId="17793813">
      <w:pPr>
        <w:shd w:val="clear"/>
        <w:spacing w:line="360" w:lineRule="auto"/>
        <w:ind w:firstLine="482" w:firstLineChars="200"/>
        <w:rPr>
          <w:rFonts w:hint="eastAsia" w:ascii="仿宋" w:hAnsi="仿宋" w:eastAsia="仿宋" w:cs="仿宋"/>
          <w:b/>
          <w:bCs/>
          <w:sz w:val="24"/>
          <w:highlight w:val="none"/>
        </w:rPr>
      </w:pPr>
      <w:bookmarkStart w:id="28" w:name="_Hlk45702405"/>
      <w:r>
        <w:rPr>
          <w:rFonts w:hint="eastAsia" w:ascii="仿宋" w:hAnsi="仿宋" w:eastAsia="仿宋" w:cs="仿宋"/>
          <w:b/>
          <w:bCs/>
          <w:sz w:val="24"/>
          <w:highlight w:val="none"/>
        </w:rPr>
        <w:t>22.首次响应文件的退回</w:t>
      </w:r>
    </w:p>
    <w:p w14:paraId="2068E0A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727E7560">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23.截止时间后的撤回</w:t>
      </w:r>
    </w:p>
    <w:p w14:paraId="7869CB7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23.1供应商在首次响应文件提交截止时间后书面通知采购人、采购代理机构书面撤回响应文件的，将根据本磋商文件《供应商须知正文》第17.4条的规定不予退还其磋商保证金。</w:t>
      </w:r>
    </w:p>
    <w:bookmarkEnd w:id="28"/>
    <w:p w14:paraId="0DB0CF6F">
      <w:pPr>
        <w:shd w:val="clear"/>
        <w:spacing w:line="360" w:lineRule="auto"/>
        <w:rPr>
          <w:rFonts w:hint="eastAsia" w:ascii="仿宋" w:hAnsi="仿宋" w:eastAsia="仿宋" w:cs="仿宋"/>
          <w:sz w:val="24"/>
          <w:highlight w:val="none"/>
        </w:rPr>
      </w:pPr>
    </w:p>
    <w:p w14:paraId="53129862">
      <w:pPr>
        <w:shd w:val="clea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四、评审及磋商</w:t>
      </w:r>
    </w:p>
    <w:p w14:paraId="0B6CD740">
      <w:pPr>
        <w:shd w:val="clear"/>
        <w:spacing w:line="360" w:lineRule="auto"/>
        <w:ind w:firstLine="482" w:firstLineChars="200"/>
        <w:rPr>
          <w:rFonts w:hint="eastAsia" w:ascii="仿宋" w:hAnsi="仿宋" w:eastAsia="仿宋" w:cs="仿宋"/>
          <w:b/>
          <w:bCs/>
          <w:sz w:val="24"/>
          <w:highlight w:val="none"/>
        </w:rPr>
      </w:pPr>
    </w:p>
    <w:p w14:paraId="698A5816">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24.磋商小组成立</w:t>
      </w:r>
    </w:p>
    <w:p w14:paraId="7B6239C7">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24F75D1">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D678368">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25.首次响应文件的开启</w:t>
      </w:r>
    </w:p>
    <w:p w14:paraId="4728F44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25.1首次响应文件由磋商小组或者采购代理机构在“供应商须知前附表”规定的时间开启。</w:t>
      </w:r>
    </w:p>
    <w:p w14:paraId="092FAA20">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25.2 响应文件解密：采购代理机构将在“供应商须知前附表”规定的时间通过电子交易平台组织响应文件开启，采购代理机构将依托电子交易平台发起开始解密指令，</w:t>
      </w:r>
      <w:r>
        <w:rPr>
          <w:rFonts w:hint="eastAsia" w:ascii="仿宋" w:hAnsi="仿宋" w:eastAsia="仿宋" w:cs="仿宋"/>
          <w:b/>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b/>
          <w:bCs/>
          <w:sz w:val="24"/>
          <w:highlight w:val="none"/>
        </w:rPr>
        <w:t>响应文件未按时解密的，</w:t>
      </w:r>
      <w:r>
        <w:rPr>
          <w:rFonts w:hint="eastAsia" w:ascii="仿宋" w:hAnsi="仿宋" w:eastAsia="仿宋" w:cs="仿宋"/>
          <w:b/>
          <w:sz w:val="24"/>
          <w:highlight w:val="none"/>
        </w:rPr>
        <w:t>视为响应</w:t>
      </w:r>
      <w:r>
        <w:rPr>
          <w:rFonts w:hint="eastAsia" w:ascii="仿宋" w:hAnsi="仿宋" w:eastAsia="仿宋" w:cs="仿宋"/>
          <w:b/>
          <w:bCs/>
          <w:sz w:val="24"/>
          <w:highlight w:val="none"/>
        </w:rPr>
        <w:t>文件无效。</w:t>
      </w:r>
      <w:r>
        <w:rPr>
          <w:rFonts w:hint="eastAsia" w:ascii="仿宋" w:hAnsi="仿宋" w:eastAsia="仿宋" w:cs="仿宋"/>
          <w:sz w:val="24"/>
          <w:highlight w:val="none"/>
        </w:rPr>
        <w:t>（解密异常情况处理：详见本章26.3电子交易活动的中止。）</w:t>
      </w:r>
    </w:p>
    <w:p w14:paraId="049E43CD">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25.3成功解密响应文件的供应商不足3家的，不得磋商。</w:t>
      </w:r>
    </w:p>
    <w:p w14:paraId="469BCF76">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26.评审程序、评审方法和评审标准</w:t>
      </w:r>
    </w:p>
    <w:p w14:paraId="6272C05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26.1磋商小组按照“第四章 评审程序、评审方法和评审标准”规定的方法、评审因素、标准和程序对响应文件进行评审。</w:t>
      </w:r>
    </w:p>
    <w:p w14:paraId="737A1C26">
      <w:pPr>
        <w:shd w:val="clear"/>
        <w:spacing w:line="360" w:lineRule="auto"/>
        <w:ind w:firstLine="480" w:firstLineChars="200"/>
        <w:rPr>
          <w:rFonts w:hint="eastAsia" w:ascii="仿宋" w:hAnsi="仿宋" w:eastAsia="仿宋" w:cs="仿宋"/>
          <w:highlight w:val="none"/>
        </w:rPr>
      </w:pPr>
      <w:r>
        <w:rPr>
          <w:rFonts w:hint="eastAsia" w:ascii="仿宋" w:hAnsi="仿宋" w:eastAsia="仿宋" w:cs="仿宋"/>
          <w:sz w:val="24"/>
          <w:highlight w:val="none"/>
        </w:rPr>
        <w:t>26.2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74A186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26.3电子交易活动的中止。采购过程中出现以下情形，导致电子交易平台无法正常运行，或者无法保证电子交易的公平、公正和安全时，采购机构可中止电子交易活动：</w:t>
      </w:r>
    </w:p>
    <w:p w14:paraId="20973436">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（1）电子交易平台发生故障而无法登录访问的； </w:t>
      </w:r>
    </w:p>
    <w:p w14:paraId="63BABAB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（2）电子交易平台应用或数据库出现错误，不能进行正常操作的；</w:t>
      </w:r>
    </w:p>
    <w:p w14:paraId="0D998959">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（3）电子交易平台发现严重安全漏洞，有潜在泄密危险的；</w:t>
      </w:r>
    </w:p>
    <w:p w14:paraId="5636DBC5">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（4）病毒发作导致不能进行正常操作的； </w:t>
      </w:r>
    </w:p>
    <w:p w14:paraId="1199F680">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（5）其他无法保证电子交易的公平、公正和安全的情况。</w:t>
      </w:r>
    </w:p>
    <w:p w14:paraId="22BFD9E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26.4出现以上情形，不影响采购公平、公正性的，采购代理机构可以待上述情形消除后继续组织电子交易活动；影响或可能影响采购公平、公正性的，经采购代理机构确认后，应当重新采购。</w:t>
      </w:r>
    </w:p>
    <w:p w14:paraId="3A0030B9">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27.确定成交供应商及结果公告</w:t>
      </w:r>
    </w:p>
    <w:p w14:paraId="3459F98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27.1</w:t>
      </w:r>
      <w:r>
        <w:rPr>
          <w:rFonts w:hint="eastAsia" w:ascii="仿宋" w:hAnsi="仿宋" w:eastAsia="仿宋" w:cs="仿宋"/>
          <w:kern w:val="0"/>
          <w:sz w:val="24"/>
          <w:highlight w:val="none"/>
        </w:rPr>
        <w:t xml:space="preserve"> </w:t>
      </w:r>
      <w:r>
        <w:rPr>
          <w:rFonts w:hint="eastAsia" w:ascii="仿宋" w:hAnsi="仿宋" w:eastAsia="仿宋" w:cs="仿宋"/>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AC6A57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27.2采购代理机构应当在</w:t>
      </w:r>
      <w:r>
        <w:rPr>
          <w:rFonts w:hint="eastAsia" w:ascii="仿宋" w:hAnsi="仿宋" w:eastAsia="仿宋" w:cs="仿宋"/>
          <w:kern w:val="0"/>
          <w:sz w:val="24"/>
          <w:highlight w:val="none"/>
        </w:rPr>
        <w:t>成交</w:t>
      </w:r>
      <w:r>
        <w:rPr>
          <w:rFonts w:hint="eastAsia" w:ascii="仿宋" w:hAnsi="仿宋" w:eastAsia="仿宋" w:cs="仿宋"/>
          <w:sz w:val="24"/>
          <w:highlight w:val="none"/>
        </w:rPr>
        <w:t>供应商确定后2个工作日内，在省级以上财政部门指定的媒体上公告成交结果，同时向成交供应商发出成交通知书。</w:t>
      </w:r>
      <w:r>
        <w:rPr>
          <w:rFonts w:hint="eastAsia" w:ascii="仿宋" w:hAnsi="仿宋" w:eastAsia="仿宋" w:cs="仿宋"/>
          <w:b/>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仿宋" w:hAnsi="仿宋" w:eastAsia="仿宋" w:cs="仿宋"/>
          <w:sz w:val="24"/>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29" w:name="_Hlk66782294"/>
      <w:r>
        <w:rPr>
          <w:rFonts w:hint="eastAsia" w:ascii="仿宋" w:hAnsi="仿宋" w:eastAsia="仿宋" w:cs="仿宋"/>
          <w:sz w:val="24"/>
          <w:highlight w:val="none"/>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29"/>
    </w:p>
    <w:p w14:paraId="31C6452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69AAADF9">
      <w:pPr>
        <w:pStyle w:val="11"/>
        <w:shd w:val="clear"/>
        <w:spacing w:line="360" w:lineRule="auto"/>
        <w:ind w:firstLine="482" w:firstLineChars="200"/>
        <w:rPr>
          <w:rFonts w:hint="eastAsia" w:ascii="仿宋" w:hAnsi="仿宋" w:eastAsia="仿宋" w:cs="仿宋"/>
          <w:b/>
          <w:highlight w:val="none"/>
        </w:rPr>
      </w:pPr>
      <w:r>
        <w:rPr>
          <w:rFonts w:hint="eastAsia" w:ascii="仿宋" w:hAnsi="仿宋" w:eastAsia="仿宋" w:cs="仿宋"/>
          <w:b/>
          <w:sz w:val="24"/>
          <w:highlight w:val="none"/>
        </w:rPr>
        <w:t>成交供应商拒绝与采购人签订合同的，其投标保证金不予退还，并上缴国库。给采购人造成损失，或（并）因此延误采购人教学科研计划的，须依据《中华人民共和国民法典》第五百条、《政府采购非招标采购方式管理办法（财政部令第74号）》第二十二条、第五十四条规定承担赔偿损失等法律责任，采购人有权将成交供应商的失信行为报财政部门记入诚信档案，以示惩戒。</w:t>
      </w:r>
    </w:p>
    <w:p w14:paraId="18EAD35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27.4出现下列情形之一的，采购人或者采购代理机构应当终止竞争性磋商采购活动，发布项目终止公告并说明原因，重新开展采购活动：</w:t>
      </w:r>
    </w:p>
    <w:p w14:paraId="03BBB5A3">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（1）因情况变化，不再符合规定的竞争性磋商采购方式适用情形的；</w:t>
      </w:r>
    </w:p>
    <w:p w14:paraId="5333E4B0">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（2）出现影响采购公正的违法、违规行为的；</w:t>
      </w:r>
    </w:p>
    <w:p w14:paraId="08D90FC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（3）除“第四章 评审程序、评审方法和评审标准”第4.3条规定的情形外，在采购过程中符合要求的供应商或者报价未超过采购预算的供应商不足3家的。</w:t>
      </w:r>
    </w:p>
    <w:p w14:paraId="44C30D0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27.5 在采购活动中因重大变故，采购任务取消的，采购人或者采购代理机构应当终止采购活动，通知所有参加采购活动的供应商，并将项目实施情况和采购任务取消原因报送本级财政部门。</w:t>
      </w:r>
    </w:p>
    <w:p w14:paraId="1E58E13C">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28.履约保证金</w:t>
      </w:r>
    </w:p>
    <w:p w14:paraId="52C5875F">
      <w:pPr>
        <w:shd w:val="clea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28.1 履约保证金的金额、提交方式、退付的时间和条件详见 “供应商须知前附表”。</w:t>
      </w:r>
    </w:p>
    <w:p w14:paraId="7EE739C6">
      <w:pPr>
        <w:shd w:val="clea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28.2在履约保证金退还日期前，若成交供应商的开户名称、开户银行、帐号有变动的，请以书面形式通知履约保证金收取单位，否则由此产生的后果由成交供应商自行承担。</w:t>
      </w:r>
    </w:p>
    <w:p w14:paraId="07A06136">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29.签订合同</w:t>
      </w:r>
    </w:p>
    <w:p w14:paraId="2EBE06E5">
      <w:pPr>
        <w:shd w:val="clea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4B1B5476">
      <w:pPr>
        <w:shd w:val="clea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29.2签订合同时间：按成交通知书规定的时间与采购人签订政府采购合同（最长不能超过25日）。</w:t>
      </w:r>
    </w:p>
    <w:p w14:paraId="72840177">
      <w:pPr>
        <w:shd w:val="clear"/>
        <w:spacing w:line="360" w:lineRule="auto"/>
        <w:ind w:firstLine="487" w:firstLineChars="202"/>
        <w:rPr>
          <w:rFonts w:hint="eastAsia" w:ascii="仿宋" w:hAnsi="仿宋" w:eastAsia="仿宋" w:cs="仿宋"/>
          <w:b/>
          <w:sz w:val="24"/>
          <w:highlight w:val="none"/>
        </w:rPr>
      </w:pPr>
      <w:r>
        <w:rPr>
          <w:rFonts w:hint="eastAsia" w:ascii="仿宋" w:hAnsi="仿宋" w:eastAsia="仿宋" w:cs="仿宋"/>
          <w:b/>
          <w:sz w:val="24"/>
          <w:highlight w:val="none"/>
        </w:rPr>
        <w:t>29.3成交供应商拒绝与采购人签订合同的，按照本磋商文件之《供应商须知正文》第27.3条的规定执行。</w:t>
      </w:r>
    </w:p>
    <w:p w14:paraId="18562417">
      <w:pPr>
        <w:shd w:val="clea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BB33629">
      <w:pPr>
        <w:shd w:val="clea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65319863">
      <w:pPr>
        <w:shd w:val="clea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29.6如签订合同并生效后，供应商无故拒绝或延期，除按照合同条款处理外，将承担相应的法律责任。</w:t>
      </w:r>
    </w:p>
    <w:p w14:paraId="4BD92FC6">
      <w:pPr>
        <w:shd w:val="clear"/>
        <w:spacing w:line="360" w:lineRule="auto"/>
        <w:ind w:firstLine="484" w:firstLineChars="202"/>
        <w:rPr>
          <w:rFonts w:hint="eastAsia" w:ascii="仿宋" w:hAnsi="仿宋" w:eastAsia="仿宋" w:cs="仿宋"/>
          <w:sz w:val="24"/>
          <w:highlight w:val="none"/>
        </w:rPr>
      </w:pPr>
      <w:r>
        <w:rPr>
          <w:rFonts w:hint="eastAsia" w:ascii="仿宋" w:hAnsi="仿宋" w:eastAsia="仿宋" w:cs="仿宋"/>
          <w:sz w:val="24"/>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D3920D3">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30.政府采购合同公告</w:t>
      </w:r>
    </w:p>
    <w:p w14:paraId="23AD1C6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326E4B8">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31.询问、质疑和投诉</w:t>
      </w:r>
    </w:p>
    <w:p w14:paraId="4621501E">
      <w:pPr>
        <w:pStyle w:val="6"/>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31.1供应商对政府采购活动事项有疑问的，可以向采购人、采购代理机构提出询问，采购人或者采购代理机构应当在3个工作日内对供应商依法提出的询问做出答复，但答复的内容不得涉及商业秘密。</w:t>
      </w:r>
    </w:p>
    <w:p w14:paraId="070B709C">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5CEBBEC0">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（1）对可以质疑的磋商文件提出质疑的，为收到磋商文件之日或者竞争性磋商公告期限届满之日；</w:t>
      </w:r>
    </w:p>
    <w:p w14:paraId="5B01C0C9">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（2）对采购过程提出质疑的，为各采购程序环节结束之日；</w:t>
      </w:r>
    </w:p>
    <w:p w14:paraId="6D4DD49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（3）对成交结果提出质疑的，为成交结果公告期限届满之日。</w:t>
      </w:r>
    </w:p>
    <w:p w14:paraId="5DE131B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33E292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31.4供应商提出质疑应当提交质疑函和必要的证明材料，针对同一采购程序环节的质疑必须在法定质疑期内一次性提出。质疑函应当包括下列内容</w:t>
      </w:r>
      <w:r>
        <w:rPr>
          <w:rFonts w:hint="eastAsia" w:ascii="仿宋" w:hAnsi="仿宋" w:eastAsia="仿宋" w:cs="仿宋"/>
          <w:bCs/>
          <w:sz w:val="24"/>
          <w:highlight w:val="none"/>
        </w:rPr>
        <w:t>（质疑函格式后附）</w:t>
      </w:r>
      <w:r>
        <w:rPr>
          <w:rFonts w:hint="eastAsia" w:ascii="仿宋" w:hAnsi="仿宋" w:eastAsia="仿宋" w:cs="仿宋"/>
          <w:sz w:val="24"/>
          <w:highlight w:val="none"/>
        </w:rPr>
        <w:t>：</w:t>
      </w:r>
    </w:p>
    <w:p w14:paraId="22BDA2EC">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（1）供应商的姓名或者名称、地址、邮编、联系人及联系电话；</w:t>
      </w:r>
    </w:p>
    <w:p w14:paraId="602004D5">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（2）质疑项目的名称、编号；</w:t>
      </w:r>
    </w:p>
    <w:p w14:paraId="47665C0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（3）具体、明确的质疑事项和与质疑事项相关的请求；</w:t>
      </w:r>
    </w:p>
    <w:p w14:paraId="3CE68EE1">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（4）事实依据；</w:t>
      </w:r>
    </w:p>
    <w:p w14:paraId="74042900">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（5）必要的法律依据；</w:t>
      </w:r>
    </w:p>
    <w:p w14:paraId="5EA5C7FB">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（6）提出质疑的日期。</w:t>
      </w:r>
    </w:p>
    <w:p w14:paraId="18F5C01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供应商为自然人的，应当由本人签字；供应商为法人或者其他组织的，应当由法定代表人、主要负责人，或者其委托代理人签字或者盖章，并加盖公章。</w:t>
      </w:r>
    </w:p>
    <w:p w14:paraId="26D67537">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0C5B906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（1）对采购文件提出的质疑，依法通过澄清或者修改可以继续开展采购活动的，澄清或者修改采购文件后继续开展采购活动；否则应当修改采购文件后重新开展采购活动。</w:t>
      </w:r>
    </w:p>
    <w:p w14:paraId="2FC0907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（2）对采购过程或者成交结果提出的质疑，合格供应商符合法定数量时，可以从合格的成交候选人中另行确定成交供应商的，应当依法另行确定成交供应商；否则应当重新开展采购活动。</w:t>
      </w:r>
    </w:p>
    <w:p w14:paraId="0972400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质疑答复导致成交结果改变的，采购人或者采购代理机构应当将有关情况书面报告本级财政部门。</w:t>
      </w:r>
    </w:p>
    <w:p w14:paraId="7F0E30FD">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E7A56D0">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32.其他内容</w:t>
      </w:r>
    </w:p>
    <w:p w14:paraId="166161FA">
      <w:pPr>
        <w:shd w:val="clear"/>
        <w:tabs>
          <w:tab w:val="left" w:pos="2835"/>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32.1代理服务费：代理服务收取标准及缴费账户详见“供应商须知前附表”，供应商为联合体的，可以由联合体中的一方或者多方共同交纳代理服务费。</w:t>
      </w:r>
    </w:p>
    <w:p w14:paraId="30F86353">
      <w:pPr>
        <w:shd w:val="clear"/>
        <w:tabs>
          <w:tab w:val="left" w:pos="2835"/>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32.2代理服务费收费计算标准：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4DF2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640D75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费率</w:t>
            </w:r>
          </w:p>
          <w:p w14:paraId="60920556">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金额（人民币）</w:t>
            </w:r>
          </w:p>
        </w:tc>
        <w:tc>
          <w:tcPr>
            <w:tcW w:w="1659" w:type="dxa"/>
            <w:vAlign w:val="center"/>
          </w:tcPr>
          <w:p w14:paraId="5CE3A130">
            <w:pPr>
              <w:shd w:val="clear"/>
              <w:spacing w:line="360" w:lineRule="auto"/>
              <w:ind w:firstLine="120" w:firstLineChars="50"/>
              <w:jc w:val="center"/>
              <w:rPr>
                <w:rFonts w:hint="eastAsia" w:ascii="仿宋" w:hAnsi="仿宋" w:eastAsia="仿宋" w:cs="仿宋"/>
                <w:sz w:val="24"/>
                <w:highlight w:val="none"/>
              </w:rPr>
            </w:pPr>
            <w:r>
              <w:rPr>
                <w:rFonts w:hint="eastAsia" w:ascii="仿宋" w:hAnsi="仿宋" w:eastAsia="仿宋" w:cs="仿宋"/>
                <w:sz w:val="24"/>
                <w:highlight w:val="none"/>
              </w:rPr>
              <w:t>货物类</w:t>
            </w:r>
          </w:p>
        </w:tc>
        <w:tc>
          <w:tcPr>
            <w:tcW w:w="1532" w:type="dxa"/>
            <w:vAlign w:val="center"/>
          </w:tcPr>
          <w:p w14:paraId="23AB8C5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服务类</w:t>
            </w:r>
          </w:p>
        </w:tc>
        <w:tc>
          <w:tcPr>
            <w:tcW w:w="1546" w:type="dxa"/>
            <w:vAlign w:val="center"/>
          </w:tcPr>
          <w:p w14:paraId="0733167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工程类</w:t>
            </w:r>
          </w:p>
        </w:tc>
      </w:tr>
      <w:tr w14:paraId="0DDE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39C47EF">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100万元以下</w:t>
            </w:r>
          </w:p>
        </w:tc>
        <w:tc>
          <w:tcPr>
            <w:tcW w:w="1659" w:type="dxa"/>
          </w:tcPr>
          <w:p w14:paraId="7D808F96">
            <w:pPr>
              <w:shd w:val="clear"/>
              <w:spacing w:line="360" w:lineRule="auto"/>
              <w:rPr>
                <w:rFonts w:hint="eastAsia" w:ascii="仿宋" w:hAnsi="仿宋" w:eastAsia="仿宋" w:cs="仿宋"/>
                <w:sz w:val="24"/>
                <w:highlight w:val="none"/>
              </w:rPr>
            </w:pPr>
            <w:r>
              <w:rPr>
                <w:rFonts w:hint="eastAsia" w:ascii="仿宋" w:hAnsi="仿宋" w:eastAsia="仿宋" w:cs="仿宋"/>
                <w:kern w:val="0"/>
                <w:sz w:val="24"/>
                <w:highlight w:val="none"/>
              </w:rPr>
              <w:t xml:space="preserve">  1.5%                </w:t>
            </w:r>
          </w:p>
        </w:tc>
        <w:tc>
          <w:tcPr>
            <w:tcW w:w="1532" w:type="dxa"/>
          </w:tcPr>
          <w:p w14:paraId="48115FAF">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kern w:val="0"/>
                <w:sz w:val="24"/>
                <w:highlight w:val="none"/>
              </w:rPr>
              <w:t>1.5%</w:t>
            </w:r>
          </w:p>
        </w:tc>
        <w:tc>
          <w:tcPr>
            <w:tcW w:w="1546" w:type="dxa"/>
          </w:tcPr>
          <w:p w14:paraId="5D908F85">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kern w:val="0"/>
                <w:sz w:val="24"/>
                <w:highlight w:val="none"/>
              </w:rPr>
              <w:t xml:space="preserve">1.0% </w:t>
            </w:r>
          </w:p>
        </w:tc>
      </w:tr>
      <w:tr w14:paraId="2AC4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52EDA2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100～500万元</w:t>
            </w:r>
          </w:p>
        </w:tc>
        <w:tc>
          <w:tcPr>
            <w:tcW w:w="1659" w:type="dxa"/>
          </w:tcPr>
          <w:p w14:paraId="61742904">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kern w:val="0"/>
                <w:sz w:val="24"/>
                <w:highlight w:val="none"/>
              </w:rPr>
              <w:t xml:space="preserve">1.1%                 </w:t>
            </w:r>
          </w:p>
        </w:tc>
        <w:tc>
          <w:tcPr>
            <w:tcW w:w="1532" w:type="dxa"/>
          </w:tcPr>
          <w:p w14:paraId="40565B4A">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kern w:val="0"/>
                <w:sz w:val="24"/>
                <w:highlight w:val="none"/>
              </w:rPr>
              <w:t>0.8%</w:t>
            </w:r>
          </w:p>
        </w:tc>
        <w:tc>
          <w:tcPr>
            <w:tcW w:w="1546" w:type="dxa"/>
          </w:tcPr>
          <w:p w14:paraId="4BF901BF">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kern w:val="0"/>
                <w:sz w:val="24"/>
                <w:highlight w:val="none"/>
              </w:rPr>
              <w:t xml:space="preserve">0.7% </w:t>
            </w:r>
          </w:p>
        </w:tc>
      </w:tr>
      <w:tr w14:paraId="2937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A95152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500～1000万元</w:t>
            </w:r>
          </w:p>
        </w:tc>
        <w:tc>
          <w:tcPr>
            <w:tcW w:w="1659" w:type="dxa"/>
          </w:tcPr>
          <w:p w14:paraId="245A37B1">
            <w:pPr>
              <w:shd w:val="clear"/>
              <w:spacing w:line="360" w:lineRule="auto"/>
              <w:rPr>
                <w:rFonts w:hint="eastAsia" w:ascii="仿宋" w:hAnsi="仿宋" w:eastAsia="仿宋" w:cs="仿宋"/>
                <w:sz w:val="24"/>
                <w:highlight w:val="none"/>
              </w:rPr>
            </w:pPr>
            <w:r>
              <w:rPr>
                <w:rFonts w:hint="eastAsia" w:ascii="仿宋" w:hAnsi="仿宋" w:eastAsia="仿宋" w:cs="仿宋"/>
                <w:kern w:val="0"/>
                <w:sz w:val="24"/>
                <w:highlight w:val="none"/>
              </w:rPr>
              <w:t xml:space="preserve">  0.8%                </w:t>
            </w:r>
          </w:p>
        </w:tc>
        <w:tc>
          <w:tcPr>
            <w:tcW w:w="1532" w:type="dxa"/>
          </w:tcPr>
          <w:p w14:paraId="34173AB2">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kern w:val="0"/>
                <w:sz w:val="24"/>
                <w:highlight w:val="none"/>
              </w:rPr>
              <w:t>0.45%</w:t>
            </w:r>
          </w:p>
        </w:tc>
        <w:tc>
          <w:tcPr>
            <w:tcW w:w="1546" w:type="dxa"/>
          </w:tcPr>
          <w:p w14:paraId="7A339DBF">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kern w:val="0"/>
                <w:sz w:val="24"/>
                <w:highlight w:val="none"/>
              </w:rPr>
              <w:t>0.55%</w:t>
            </w:r>
          </w:p>
        </w:tc>
      </w:tr>
      <w:tr w14:paraId="3577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46E7B81">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1000～5000万元</w:t>
            </w:r>
          </w:p>
        </w:tc>
        <w:tc>
          <w:tcPr>
            <w:tcW w:w="1659" w:type="dxa"/>
          </w:tcPr>
          <w:p w14:paraId="2D84EC51">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kern w:val="0"/>
                <w:sz w:val="24"/>
                <w:highlight w:val="none"/>
              </w:rPr>
              <w:t xml:space="preserve">0.5%                </w:t>
            </w:r>
          </w:p>
        </w:tc>
        <w:tc>
          <w:tcPr>
            <w:tcW w:w="1532" w:type="dxa"/>
          </w:tcPr>
          <w:p w14:paraId="5F6A9AD8">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kern w:val="0"/>
                <w:sz w:val="24"/>
                <w:highlight w:val="none"/>
              </w:rPr>
              <w:t>0.25%</w:t>
            </w:r>
          </w:p>
        </w:tc>
        <w:tc>
          <w:tcPr>
            <w:tcW w:w="1546" w:type="dxa"/>
          </w:tcPr>
          <w:p w14:paraId="17C32BE2">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kern w:val="0"/>
                <w:sz w:val="24"/>
                <w:highlight w:val="none"/>
              </w:rPr>
              <w:t xml:space="preserve">0.35% </w:t>
            </w:r>
          </w:p>
        </w:tc>
      </w:tr>
      <w:tr w14:paraId="1801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C04C79B">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5000万元～1亿元</w:t>
            </w:r>
          </w:p>
        </w:tc>
        <w:tc>
          <w:tcPr>
            <w:tcW w:w="1659" w:type="dxa"/>
          </w:tcPr>
          <w:p w14:paraId="1E6A5B67">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kern w:val="0"/>
                <w:sz w:val="24"/>
                <w:highlight w:val="none"/>
              </w:rPr>
              <w:t xml:space="preserve">0.25%                 </w:t>
            </w:r>
          </w:p>
        </w:tc>
        <w:tc>
          <w:tcPr>
            <w:tcW w:w="1532" w:type="dxa"/>
          </w:tcPr>
          <w:p w14:paraId="71414CF1">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kern w:val="0"/>
                <w:sz w:val="24"/>
                <w:highlight w:val="none"/>
              </w:rPr>
              <w:t>0.1%</w:t>
            </w:r>
          </w:p>
        </w:tc>
        <w:tc>
          <w:tcPr>
            <w:tcW w:w="1546" w:type="dxa"/>
          </w:tcPr>
          <w:p w14:paraId="7131A12D">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kern w:val="0"/>
                <w:sz w:val="24"/>
                <w:highlight w:val="none"/>
              </w:rPr>
              <w:t>0.2%</w:t>
            </w:r>
          </w:p>
        </w:tc>
      </w:tr>
      <w:tr w14:paraId="66DD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DCD163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1～5亿元</w:t>
            </w:r>
          </w:p>
        </w:tc>
        <w:tc>
          <w:tcPr>
            <w:tcW w:w="1659" w:type="dxa"/>
          </w:tcPr>
          <w:p w14:paraId="3FDA2BA0">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0.05%</w:t>
            </w:r>
          </w:p>
        </w:tc>
        <w:tc>
          <w:tcPr>
            <w:tcW w:w="1532" w:type="dxa"/>
          </w:tcPr>
          <w:p w14:paraId="2FC8657A">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0.05%</w:t>
            </w:r>
          </w:p>
        </w:tc>
        <w:tc>
          <w:tcPr>
            <w:tcW w:w="1546" w:type="dxa"/>
          </w:tcPr>
          <w:p w14:paraId="35E9D6AF">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0.05%</w:t>
            </w:r>
          </w:p>
        </w:tc>
      </w:tr>
      <w:tr w14:paraId="6456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2D50DE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5～10亿元</w:t>
            </w:r>
          </w:p>
        </w:tc>
        <w:tc>
          <w:tcPr>
            <w:tcW w:w="1659" w:type="dxa"/>
          </w:tcPr>
          <w:p w14:paraId="22841CEF">
            <w:pPr>
              <w:shd w:val="clear"/>
              <w:spacing w:line="36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rPr>
              <w:t>0.035%</w:t>
            </w:r>
          </w:p>
        </w:tc>
        <w:tc>
          <w:tcPr>
            <w:tcW w:w="1532" w:type="dxa"/>
          </w:tcPr>
          <w:p w14:paraId="4156BC8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0.035%</w:t>
            </w:r>
          </w:p>
        </w:tc>
        <w:tc>
          <w:tcPr>
            <w:tcW w:w="1546" w:type="dxa"/>
          </w:tcPr>
          <w:p w14:paraId="378AD691">
            <w:pPr>
              <w:shd w:val="clear"/>
              <w:spacing w:line="36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rPr>
              <w:t>0.035%</w:t>
            </w:r>
          </w:p>
        </w:tc>
      </w:tr>
      <w:tr w14:paraId="3CF2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BA8E62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10～50亿元</w:t>
            </w:r>
          </w:p>
        </w:tc>
        <w:tc>
          <w:tcPr>
            <w:tcW w:w="1659" w:type="dxa"/>
          </w:tcPr>
          <w:p w14:paraId="799259B4">
            <w:pPr>
              <w:shd w:val="clear"/>
              <w:spacing w:line="36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rPr>
              <w:t>0.008%</w:t>
            </w:r>
          </w:p>
        </w:tc>
        <w:tc>
          <w:tcPr>
            <w:tcW w:w="1532" w:type="dxa"/>
          </w:tcPr>
          <w:p w14:paraId="7E885209">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0.008%</w:t>
            </w:r>
          </w:p>
        </w:tc>
        <w:tc>
          <w:tcPr>
            <w:tcW w:w="1546" w:type="dxa"/>
          </w:tcPr>
          <w:p w14:paraId="4EC02904">
            <w:pPr>
              <w:shd w:val="clear"/>
              <w:spacing w:line="36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rPr>
              <w:t>0.008%</w:t>
            </w:r>
          </w:p>
        </w:tc>
      </w:tr>
      <w:tr w14:paraId="2FAB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98537A8">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50～100亿元</w:t>
            </w:r>
          </w:p>
        </w:tc>
        <w:tc>
          <w:tcPr>
            <w:tcW w:w="1659" w:type="dxa"/>
          </w:tcPr>
          <w:p w14:paraId="46B50DD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0.006%</w:t>
            </w:r>
          </w:p>
        </w:tc>
        <w:tc>
          <w:tcPr>
            <w:tcW w:w="1532" w:type="dxa"/>
          </w:tcPr>
          <w:p w14:paraId="2AE184FE">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0.006%</w:t>
            </w:r>
          </w:p>
        </w:tc>
        <w:tc>
          <w:tcPr>
            <w:tcW w:w="1546" w:type="dxa"/>
          </w:tcPr>
          <w:p w14:paraId="28B7D679">
            <w:pPr>
              <w:shd w:val="clear"/>
              <w:spacing w:line="36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rPr>
              <w:t>0.006%</w:t>
            </w:r>
          </w:p>
        </w:tc>
      </w:tr>
      <w:tr w14:paraId="010B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5C229CB">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100亿元以上</w:t>
            </w:r>
          </w:p>
        </w:tc>
        <w:tc>
          <w:tcPr>
            <w:tcW w:w="1659" w:type="dxa"/>
          </w:tcPr>
          <w:p w14:paraId="64CA457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0.004%</w:t>
            </w:r>
          </w:p>
        </w:tc>
        <w:tc>
          <w:tcPr>
            <w:tcW w:w="1532" w:type="dxa"/>
          </w:tcPr>
          <w:p w14:paraId="3ED87FBD">
            <w:pPr>
              <w:shd w:val="clear"/>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0.004%</w:t>
            </w:r>
          </w:p>
        </w:tc>
        <w:tc>
          <w:tcPr>
            <w:tcW w:w="1546" w:type="dxa"/>
          </w:tcPr>
          <w:p w14:paraId="12A93966">
            <w:pPr>
              <w:shd w:val="clear"/>
              <w:spacing w:line="360" w:lineRule="auto"/>
              <w:ind w:firstLine="120" w:firstLineChars="50"/>
              <w:rPr>
                <w:rFonts w:hint="eastAsia" w:ascii="仿宋" w:hAnsi="仿宋" w:eastAsia="仿宋" w:cs="仿宋"/>
                <w:sz w:val="24"/>
                <w:highlight w:val="none"/>
              </w:rPr>
            </w:pPr>
            <w:r>
              <w:rPr>
                <w:rFonts w:hint="eastAsia" w:ascii="仿宋" w:hAnsi="仿宋" w:eastAsia="仿宋" w:cs="仿宋"/>
                <w:sz w:val="24"/>
                <w:highlight w:val="none"/>
              </w:rPr>
              <w:t>0.004%</w:t>
            </w:r>
          </w:p>
        </w:tc>
      </w:tr>
    </w:tbl>
    <w:p w14:paraId="39D172A1">
      <w:pPr>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注：</w:t>
      </w:r>
    </w:p>
    <w:p w14:paraId="33275D49">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（1）按本表费率计算的收费标准为采购代理的收费价格；</w:t>
      </w:r>
    </w:p>
    <w:p w14:paraId="083293D0">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（2）采购代理收费按差额定率累进法计算。</w:t>
      </w:r>
    </w:p>
    <w:p w14:paraId="175D4152">
      <w:pPr>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32.3 代理服务费交纳银行帐号信息</w:t>
      </w:r>
    </w:p>
    <w:p w14:paraId="5E0B61A9">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开户名称：广西科文招标有限公司南宁咨询一分公司</w:t>
      </w:r>
    </w:p>
    <w:p w14:paraId="0B78FBE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开户银行：广西北部湾银行股份有限公司南宁市云景支行；</w:t>
      </w:r>
    </w:p>
    <w:p w14:paraId="0C2DAD2D">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银行账号：805030137000001</w:t>
      </w:r>
    </w:p>
    <w:p w14:paraId="4F59425B">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33.需要补充的其他内容</w:t>
      </w:r>
    </w:p>
    <w:p w14:paraId="2E5380F0">
      <w:pPr>
        <w:pStyle w:val="17"/>
        <w:shd w:val="clear"/>
        <w:spacing w:line="360" w:lineRule="auto"/>
        <w:ind w:firstLine="480" w:firstLineChars="200"/>
        <w:textAlignment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33.1本磋商文件解释规则详见“供应商须知前附表”。</w:t>
      </w:r>
    </w:p>
    <w:p w14:paraId="548655E5">
      <w:pPr>
        <w:pStyle w:val="17"/>
        <w:shd w:val="clear"/>
        <w:spacing w:line="360" w:lineRule="auto"/>
        <w:ind w:firstLine="480" w:firstLineChars="200"/>
        <w:textAlignment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33.2 其他事项详见“供应商须知前附表”。</w:t>
      </w:r>
    </w:p>
    <w:p w14:paraId="409A22CF">
      <w:pPr>
        <w:pStyle w:val="17"/>
        <w:shd w:val="clear"/>
        <w:spacing w:line="360" w:lineRule="auto"/>
        <w:ind w:firstLine="480" w:firstLineChars="200"/>
        <w:textAlignment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4363943">
      <w:pPr>
        <w:pStyle w:val="17"/>
        <w:shd w:val="clear"/>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（1）在货物采购项目中，货物由中小企业制造，即货物由中小企业生产且使用该中小企业商号或者注册商标，不对其中涉及的工程承建商和服务的承接商作出要求；</w:t>
      </w:r>
    </w:p>
    <w:p w14:paraId="5F3FA5EA">
      <w:pPr>
        <w:pStyle w:val="17"/>
        <w:shd w:val="clear"/>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（2）在工程采购项目中，工程由中小企业承建，即工程施工单位为中小企业，不对其中涉及的货物的制造商和服务的承接商作出要求；</w:t>
      </w:r>
    </w:p>
    <w:p w14:paraId="27CCF579">
      <w:pPr>
        <w:pStyle w:val="17"/>
        <w:shd w:val="clear"/>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CF1F945">
      <w:pPr>
        <w:pStyle w:val="17"/>
        <w:shd w:val="clear"/>
        <w:spacing w:line="360" w:lineRule="auto"/>
        <w:ind w:firstLine="480" w:firstLineChars="200"/>
        <w:textAlignment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58AB1ED">
      <w:pPr>
        <w:pStyle w:val="17"/>
        <w:shd w:val="clear"/>
        <w:spacing w:line="360" w:lineRule="auto"/>
        <w:ind w:firstLine="480" w:firstLineChars="200"/>
        <w:textAlignment w:val="center"/>
        <w:rPr>
          <w:rFonts w:hint="eastAsia" w:ascii="仿宋" w:hAnsi="仿宋" w:eastAsia="仿宋" w:cs="仿宋"/>
          <w:b/>
          <w:sz w:val="32"/>
          <w:szCs w:val="32"/>
          <w:highlight w:val="none"/>
        </w:rPr>
      </w:pPr>
      <w:r>
        <w:rPr>
          <w:rFonts w:hint="eastAsia" w:ascii="仿宋" w:hAnsi="仿宋" w:eastAsia="仿宋" w:cs="仿宋"/>
          <w:kern w:val="2"/>
          <w:sz w:val="24"/>
          <w:szCs w:val="24"/>
          <w:highlight w:val="none"/>
        </w:rPr>
        <w:t>依据本磋商文件规定享受扶持政策获得政府采购合同的，小微企业不得将合同分包给大中型企业，中型企业不得将合同分包给大型企业。</w:t>
      </w:r>
    </w:p>
    <w:p w14:paraId="54D8A4F1">
      <w:pPr>
        <w:pStyle w:val="2"/>
        <w:shd w:val="clear"/>
        <w:rPr>
          <w:rFonts w:hint="eastAsia" w:ascii="仿宋" w:hAnsi="仿宋" w:cs="仿宋"/>
          <w:highlight w:val="none"/>
        </w:rPr>
      </w:pPr>
      <w:r>
        <w:rPr>
          <w:rFonts w:hint="eastAsia" w:ascii="仿宋" w:hAnsi="仿宋" w:cs="仿宋"/>
          <w:highlight w:val="none"/>
        </w:rPr>
        <w:br w:type="page"/>
      </w:r>
      <w:bookmarkStart w:id="30" w:name="_Toc10635"/>
      <w:r>
        <w:rPr>
          <w:rFonts w:hint="eastAsia" w:ascii="仿宋" w:hAnsi="仿宋" w:cs="仿宋"/>
          <w:highlight w:val="none"/>
        </w:rPr>
        <w:t>第三章 采购需求</w:t>
      </w:r>
      <w:bookmarkEnd w:id="30"/>
    </w:p>
    <w:p w14:paraId="163C9535">
      <w:pPr>
        <w:shd w:val="clear"/>
        <w:spacing w:line="440" w:lineRule="exact"/>
        <w:jc w:val="center"/>
        <w:rPr>
          <w:rFonts w:hint="eastAsia" w:ascii="仿宋" w:hAnsi="仿宋" w:eastAsia="仿宋" w:cs="仿宋"/>
          <w:b/>
          <w:sz w:val="32"/>
          <w:szCs w:val="32"/>
          <w:highlight w:val="none"/>
        </w:rPr>
      </w:pPr>
    </w:p>
    <w:p w14:paraId="2D34DC0F">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说明：</w:t>
      </w:r>
    </w:p>
    <w:p w14:paraId="5FEB0211">
      <w:pPr>
        <w:shd w:val="clea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1.为落实政府采购政策需满足的要求:</w:t>
      </w:r>
    </w:p>
    <w:p w14:paraId="55BB1F1D">
      <w:pPr>
        <w:shd w:val="clea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本竞争性磋商采购文件所称中小企业必须符合《政府采购促进中小企业发展管理办法》（财库〔2020〕46号）的规定。</w:t>
      </w:r>
    </w:p>
    <w:p w14:paraId="1812AD54">
      <w:pPr>
        <w:shd w:val="clea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2.供应商应根据自身实际情况如实响应磋商文件，不得仅将磋商文件内容简单复制粘贴作为竞争性磋商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1F90393F">
      <w:pPr>
        <w:shd w:val="clear"/>
        <w:spacing w:line="360" w:lineRule="auto"/>
        <w:ind w:firstLine="484" w:firstLineChars="202"/>
        <w:jc w:val="left"/>
        <w:rPr>
          <w:rFonts w:hint="eastAsia" w:ascii="仿宋" w:hAnsi="仿宋" w:eastAsia="仿宋" w:cs="仿宋"/>
          <w:sz w:val="24"/>
          <w:highlight w:val="none"/>
        </w:rPr>
      </w:pPr>
      <w:r>
        <w:rPr>
          <w:rFonts w:hint="eastAsia" w:ascii="仿宋" w:hAnsi="仿宋" w:eastAsia="仿宋" w:cs="仿宋"/>
          <w:sz w:val="24"/>
          <w:highlight w:val="none"/>
        </w:rPr>
        <w:t>3.供应商必须自行为其参加竞争性磋商的产品侵犯他人的知识产权或者专利成果的行为承担相应法律责任。</w:t>
      </w:r>
    </w:p>
    <w:p w14:paraId="36BFE411">
      <w:pPr>
        <w:shd w:val="clear"/>
        <w:spacing w:line="360" w:lineRule="auto"/>
        <w:ind w:left="-10" w:leftChars="-5" w:right="2" w:rightChars="1"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4．“实质性要求”是指采购文件中已经指明不满足则竞争性磋商无效的条款，或者不能负偏离的条款，或者采购需求中带“▲”的条款。未标注“▲”号的非实质性条款要求可允许0项负偏离，1项以上（含1项）负偏离的竞争性磋商无效。</w:t>
      </w:r>
    </w:p>
    <w:p w14:paraId="77CC7740">
      <w:pPr>
        <w:shd w:val="clear"/>
        <w:spacing w:line="360" w:lineRule="auto"/>
        <w:ind w:left="-10" w:leftChars="-5" w:right="2" w:rightChars="1"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采购预算：详见采购公告</w:t>
      </w:r>
    </w:p>
    <w:p w14:paraId="772339D3">
      <w:pPr>
        <w:shd w:val="clear"/>
        <w:spacing w:line="360" w:lineRule="auto"/>
        <w:ind w:left="-10" w:leftChars="-5" w:right="2" w:rightChars="1" w:firstLine="480" w:firstLineChars="200"/>
        <w:rPr>
          <w:rFonts w:hint="eastAsia" w:ascii="仿宋" w:hAnsi="仿宋" w:eastAsia="仿宋" w:cs="仿宋"/>
          <w:sz w:val="24"/>
          <w:highlight w:val="none"/>
          <w:u w:val="single"/>
        </w:rPr>
      </w:pPr>
      <w:r>
        <w:rPr>
          <w:rFonts w:hint="eastAsia" w:ascii="仿宋" w:hAnsi="仿宋" w:eastAsia="仿宋" w:cs="仿宋"/>
          <w:bCs/>
          <w:sz w:val="24"/>
          <w:highlight w:val="none"/>
        </w:rPr>
        <w:t>所属行业：其他未列明行业</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5"/>
        <w:gridCol w:w="1310"/>
        <w:gridCol w:w="467"/>
        <w:gridCol w:w="5066"/>
        <w:gridCol w:w="576"/>
        <w:gridCol w:w="901"/>
      </w:tblGrid>
      <w:tr w14:paraId="3A986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65" w:type="dxa"/>
            <w:tcBorders>
              <w:top w:val="single" w:color="000000" w:sz="4" w:space="0"/>
              <w:left w:val="single" w:color="000000" w:sz="4" w:space="0"/>
              <w:bottom w:val="single" w:color="000000" w:sz="4" w:space="0"/>
              <w:right w:val="single" w:color="000000" w:sz="4" w:space="0"/>
              <w:tl2br w:val="nil"/>
              <w:tr2bl w:val="nil"/>
            </w:tcBorders>
            <w:vAlign w:val="center"/>
          </w:tcPr>
          <w:p w14:paraId="0E0C77C1">
            <w:pPr>
              <w:shd w:val="clear"/>
              <w:tabs>
                <w:tab w:val="left" w:pos="180"/>
                <w:tab w:val="left" w:pos="1620"/>
              </w:tabs>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310" w:type="dxa"/>
            <w:tcBorders>
              <w:top w:val="single" w:color="000000" w:sz="4" w:space="0"/>
              <w:left w:val="single" w:color="000000" w:sz="4" w:space="0"/>
              <w:bottom w:val="single" w:color="000000" w:sz="4" w:space="0"/>
              <w:right w:val="single" w:color="000000" w:sz="4" w:space="0"/>
              <w:tl2br w:val="nil"/>
              <w:tr2bl w:val="nil"/>
            </w:tcBorders>
            <w:vAlign w:val="center"/>
          </w:tcPr>
          <w:p w14:paraId="7A17F473">
            <w:pPr>
              <w:shd w:val="clear"/>
              <w:tabs>
                <w:tab w:val="left" w:pos="180"/>
                <w:tab w:val="left" w:pos="1620"/>
              </w:tabs>
              <w:jc w:val="center"/>
              <w:rPr>
                <w:rFonts w:hint="eastAsia" w:ascii="仿宋" w:hAnsi="仿宋" w:eastAsia="仿宋" w:cs="仿宋"/>
                <w:sz w:val="24"/>
                <w:highlight w:val="none"/>
              </w:rPr>
            </w:pPr>
            <w:r>
              <w:rPr>
                <w:rFonts w:hint="eastAsia" w:ascii="仿宋" w:hAnsi="仿宋" w:eastAsia="仿宋" w:cs="仿宋"/>
                <w:sz w:val="24"/>
                <w:highlight w:val="none"/>
              </w:rPr>
              <w:t>标的</w:t>
            </w:r>
          </w:p>
          <w:p w14:paraId="3DAF7BCD">
            <w:pPr>
              <w:shd w:val="clear"/>
              <w:tabs>
                <w:tab w:val="left" w:pos="180"/>
                <w:tab w:val="left" w:pos="1620"/>
              </w:tabs>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467" w:type="dxa"/>
            <w:tcBorders>
              <w:top w:val="single" w:color="000000" w:sz="4" w:space="0"/>
              <w:left w:val="single" w:color="000000" w:sz="4" w:space="0"/>
              <w:bottom w:val="single" w:color="000000" w:sz="4" w:space="0"/>
              <w:right w:val="single" w:color="000000" w:sz="4" w:space="0"/>
              <w:tl2br w:val="nil"/>
              <w:tr2bl w:val="nil"/>
            </w:tcBorders>
            <w:vAlign w:val="center"/>
          </w:tcPr>
          <w:p w14:paraId="1F7B2D80">
            <w:pPr>
              <w:shd w:val="clear"/>
              <w:tabs>
                <w:tab w:val="left" w:pos="180"/>
                <w:tab w:val="left" w:pos="1620"/>
              </w:tabs>
              <w:jc w:val="center"/>
              <w:rPr>
                <w:rFonts w:hint="eastAsia" w:ascii="仿宋" w:hAnsi="仿宋" w:eastAsia="仿宋" w:cs="仿宋"/>
                <w:sz w:val="24"/>
                <w:highlight w:val="none"/>
              </w:rPr>
            </w:pPr>
            <w:r>
              <w:rPr>
                <w:rFonts w:hint="eastAsia" w:ascii="仿宋" w:hAnsi="仿宋" w:eastAsia="仿宋" w:cs="仿宋"/>
                <w:sz w:val="24"/>
                <w:highlight w:val="none"/>
              </w:rPr>
              <w:t>数量及单位</w:t>
            </w:r>
          </w:p>
        </w:tc>
        <w:tc>
          <w:tcPr>
            <w:tcW w:w="5066" w:type="dxa"/>
            <w:tcBorders>
              <w:top w:val="single" w:color="000000" w:sz="4" w:space="0"/>
              <w:left w:val="single" w:color="000000" w:sz="4" w:space="0"/>
              <w:bottom w:val="single" w:color="000000" w:sz="4" w:space="0"/>
              <w:right w:val="single" w:color="000000" w:sz="4" w:space="0"/>
              <w:tl2br w:val="nil"/>
              <w:tr2bl w:val="nil"/>
            </w:tcBorders>
            <w:vAlign w:val="center"/>
          </w:tcPr>
          <w:p w14:paraId="649C5EDD">
            <w:pPr>
              <w:shd w:val="clear"/>
              <w:tabs>
                <w:tab w:val="left" w:pos="180"/>
                <w:tab w:val="left" w:pos="1620"/>
              </w:tabs>
              <w:jc w:val="center"/>
              <w:rPr>
                <w:rFonts w:hint="eastAsia" w:ascii="仿宋" w:hAnsi="仿宋" w:eastAsia="仿宋" w:cs="仿宋"/>
                <w:b/>
                <w:sz w:val="24"/>
                <w:highlight w:val="none"/>
              </w:rPr>
            </w:pPr>
            <w:r>
              <w:rPr>
                <w:rFonts w:hint="eastAsia" w:ascii="仿宋" w:hAnsi="仿宋" w:eastAsia="仿宋" w:cs="仿宋"/>
                <w:b/>
                <w:sz w:val="24"/>
                <w:highlight w:val="none"/>
              </w:rPr>
              <w:t>服务技术要求</w:t>
            </w:r>
          </w:p>
        </w:tc>
        <w:tc>
          <w:tcPr>
            <w:tcW w:w="576" w:type="dxa"/>
            <w:tcBorders>
              <w:top w:val="single" w:color="000000" w:sz="4" w:space="0"/>
              <w:left w:val="single" w:color="000000" w:sz="4" w:space="0"/>
              <w:bottom w:val="single" w:color="000000" w:sz="4" w:space="0"/>
              <w:right w:val="single" w:color="000000" w:sz="4" w:space="0"/>
              <w:tl2br w:val="nil"/>
              <w:tr2bl w:val="nil"/>
            </w:tcBorders>
            <w:vAlign w:val="center"/>
          </w:tcPr>
          <w:p w14:paraId="25567739">
            <w:pPr>
              <w:shd w:val="clear"/>
              <w:tabs>
                <w:tab w:val="left" w:pos="180"/>
                <w:tab w:val="left" w:pos="1620"/>
              </w:tabs>
              <w:jc w:val="center"/>
              <w:rPr>
                <w:rFonts w:hint="eastAsia" w:ascii="仿宋" w:hAnsi="仿宋" w:eastAsia="仿宋" w:cs="仿宋"/>
                <w:b/>
                <w:sz w:val="16"/>
                <w:szCs w:val="16"/>
                <w:highlight w:val="none"/>
              </w:rPr>
            </w:pPr>
            <w:r>
              <w:rPr>
                <w:rFonts w:hint="eastAsia" w:ascii="仿宋" w:hAnsi="仿宋" w:eastAsia="仿宋" w:cs="仿宋"/>
                <w:b/>
                <w:sz w:val="16"/>
                <w:szCs w:val="16"/>
                <w:highlight w:val="none"/>
              </w:rPr>
              <w:t>预算单价（万元/人民币）</w:t>
            </w:r>
          </w:p>
        </w:tc>
        <w:tc>
          <w:tcPr>
            <w:tcW w:w="901" w:type="dxa"/>
            <w:tcBorders>
              <w:top w:val="single" w:color="000000" w:sz="4" w:space="0"/>
              <w:left w:val="single" w:color="000000" w:sz="4" w:space="0"/>
              <w:bottom w:val="single" w:color="000000" w:sz="4" w:space="0"/>
              <w:right w:val="single" w:color="000000" w:sz="4" w:space="0"/>
              <w:tl2br w:val="nil"/>
              <w:tr2bl w:val="nil"/>
            </w:tcBorders>
          </w:tcPr>
          <w:p w14:paraId="015BAF68">
            <w:pPr>
              <w:shd w:val="clear"/>
              <w:tabs>
                <w:tab w:val="left" w:pos="180"/>
                <w:tab w:val="left" w:pos="1620"/>
              </w:tabs>
              <w:jc w:val="center"/>
              <w:rPr>
                <w:rFonts w:hint="eastAsia" w:ascii="仿宋" w:hAnsi="仿宋" w:eastAsia="仿宋" w:cs="仿宋"/>
                <w:b/>
                <w:sz w:val="16"/>
                <w:szCs w:val="16"/>
                <w:highlight w:val="none"/>
              </w:rPr>
            </w:pPr>
            <w:r>
              <w:rPr>
                <w:rFonts w:hint="eastAsia" w:ascii="仿宋" w:hAnsi="仿宋" w:eastAsia="仿宋" w:cs="仿宋"/>
                <w:b/>
                <w:sz w:val="16"/>
                <w:szCs w:val="16"/>
                <w:highlight w:val="none"/>
              </w:rPr>
              <w:t>单项预算合计（万元/人民币）</w:t>
            </w:r>
          </w:p>
        </w:tc>
      </w:tr>
      <w:tr w14:paraId="455FE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465" w:type="dxa"/>
            <w:tcBorders>
              <w:top w:val="single" w:color="000000" w:sz="4" w:space="0"/>
              <w:left w:val="single" w:color="000000" w:sz="4" w:space="0"/>
              <w:bottom w:val="single" w:color="000000" w:sz="4" w:space="0"/>
              <w:right w:val="single" w:color="000000" w:sz="4" w:space="0"/>
              <w:tl2br w:val="nil"/>
              <w:tr2bl w:val="nil"/>
            </w:tcBorders>
            <w:vAlign w:val="center"/>
          </w:tcPr>
          <w:p w14:paraId="1C9895E1">
            <w:pPr>
              <w:shd w:val="clear"/>
              <w:tabs>
                <w:tab w:val="left" w:pos="180"/>
                <w:tab w:val="left" w:pos="1620"/>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310" w:type="dxa"/>
            <w:tcBorders>
              <w:top w:val="single" w:color="000000" w:sz="4" w:space="0"/>
              <w:left w:val="single" w:color="000000" w:sz="4" w:space="0"/>
              <w:bottom w:val="single" w:color="000000" w:sz="4" w:space="0"/>
              <w:right w:val="single" w:color="000000" w:sz="4" w:space="0"/>
              <w:tl2br w:val="nil"/>
              <w:tr2bl w:val="nil"/>
            </w:tcBorders>
            <w:vAlign w:val="center"/>
          </w:tcPr>
          <w:p w14:paraId="6BD1EC81">
            <w:pPr>
              <w:shd w:val="clear"/>
              <w:tabs>
                <w:tab w:val="left" w:pos="180"/>
                <w:tab w:val="left" w:pos="1620"/>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广西大学机械教学实验中心大楼实验室工艺建设项目施工图设计服务</w:t>
            </w:r>
          </w:p>
        </w:tc>
        <w:tc>
          <w:tcPr>
            <w:tcW w:w="467" w:type="dxa"/>
            <w:tcBorders>
              <w:top w:val="single" w:color="000000" w:sz="4" w:space="0"/>
              <w:left w:val="single" w:color="000000" w:sz="4" w:space="0"/>
              <w:bottom w:val="single" w:color="000000" w:sz="4" w:space="0"/>
              <w:right w:val="single" w:color="000000" w:sz="4" w:space="0"/>
              <w:tl2br w:val="nil"/>
              <w:tr2bl w:val="nil"/>
            </w:tcBorders>
            <w:vAlign w:val="center"/>
          </w:tcPr>
          <w:p w14:paraId="09E4187F">
            <w:pPr>
              <w:shd w:val="clear"/>
              <w:tabs>
                <w:tab w:val="left" w:pos="180"/>
                <w:tab w:val="left" w:pos="1620"/>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1项</w:t>
            </w:r>
          </w:p>
        </w:tc>
        <w:tc>
          <w:tcPr>
            <w:tcW w:w="5066" w:type="dxa"/>
            <w:tcBorders>
              <w:top w:val="single" w:color="000000" w:sz="4" w:space="0"/>
              <w:left w:val="single" w:color="000000" w:sz="4" w:space="0"/>
              <w:bottom w:val="single" w:color="000000" w:sz="4" w:space="0"/>
              <w:right w:val="single" w:color="000000" w:sz="4" w:space="0"/>
              <w:tl2br w:val="nil"/>
              <w:tr2bl w:val="nil"/>
            </w:tcBorders>
            <w:vAlign w:val="center"/>
          </w:tcPr>
          <w:p w14:paraId="26D1CA27">
            <w:pPr>
              <w:shd w:val="clear"/>
              <w:spacing w:line="360" w:lineRule="auto"/>
              <w:rPr>
                <w:rFonts w:hint="eastAsia" w:ascii="仿宋" w:hAnsi="仿宋" w:eastAsia="仿宋" w:cs="仿宋"/>
                <w:sz w:val="24"/>
                <w:highlight w:val="none"/>
              </w:rPr>
            </w:pPr>
            <w:r>
              <w:rPr>
                <w:rFonts w:hint="eastAsia" w:ascii="仿宋" w:hAnsi="仿宋" w:eastAsia="仿宋" w:cs="仿宋"/>
                <w:b/>
                <w:sz w:val="24"/>
                <w:highlight w:val="none"/>
              </w:rPr>
              <w:t>一、服务内容</w:t>
            </w:r>
          </w:p>
          <w:p w14:paraId="05C0686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广西大学机械教学实验中心大楼实验室工艺建设项目施工图设计服务主要包括初步设计、施工图设计、概算、咨询服务。</w:t>
            </w:r>
          </w:p>
          <w:p w14:paraId="68C25FC1">
            <w:pPr>
              <w:shd w:val="clea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二、服务项目概况</w:t>
            </w:r>
          </w:p>
          <w:p w14:paraId="5FFC620A">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(一)服务项目规模：广西大学机械教学实验中心大楼现状地块北临物理学院，东临化学化工学院。总用地面积14649.19平方米，合计21.97亩。规划总建筑面积 40110.27m²，项目一楼建设轻工化工类公共仪器平台，主楼和副楼第2-7层归轻工与食品工程学院使用，主楼8-11层、副楼8层归化学化工学院使用。地下一层为机动车库，层高4.5米。</w:t>
            </w:r>
          </w:p>
          <w:p w14:paraId="75D81FBA">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（二）投资总额：本项目总概算约人民币4332万。</w:t>
            </w:r>
          </w:p>
          <w:p w14:paraId="75B31AE6">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（三）各楼层详情：</w:t>
            </w:r>
          </w:p>
          <w:p w14:paraId="6442F11F">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1.地下室总建筑面积为3787.36m²,实验室工艺设计面积为59.00m²。详见磋商文件附件建筑平面图纸。</w:t>
            </w:r>
          </w:p>
          <w:p w14:paraId="7B69374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2.一层建筑面积为3957.88m²,实验室工艺设计面积为1851.12m²。详见建筑平面图纸。</w:t>
            </w:r>
          </w:p>
          <w:p w14:paraId="54368E8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3.二层建筑面积为3585.01m²,实验室工艺设计面积为1286.39m²。详见建筑平面图纸。</w:t>
            </w:r>
          </w:p>
          <w:p w14:paraId="3081AEDF">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4.三层建筑面积为3586.67m²,实验室工艺设计面积为1287.69m²。详见建筑平面图纸。</w:t>
            </w:r>
          </w:p>
          <w:p w14:paraId="0CEC6C54">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5.四层建筑面积为3586.67m²,实验室工艺设计面积为1287.69m²。详见建筑平面图纸。</w:t>
            </w:r>
          </w:p>
          <w:p w14:paraId="3244331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6.五层建筑面积为3586.67m²,实验室工艺设计面积为1287.69m²。详见建筑平面图纸。</w:t>
            </w:r>
          </w:p>
          <w:p w14:paraId="4743CA5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7.六层建筑面积为3586.67m²,实验室工艺设计面积为1287.69m²。详见建筑平面图纸。</w:t>
            </w:r>
          </w:p>
          <w:p w14:paraId="1BB9FAC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8.七层建筑面积为3586.67m²,实验室工艺设计面积为1287.69m²。详见建筑平面图纸。</w:t>
            </w:r>
          </w:p>
          <w:p w14:paraId="7014BDB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9.八层建筑面积为3586.67m²,实验室工艺设计面积为1287.69m²。详见建筑平面图纸。</w:t>
            </w:r>
          </w:p>
          <w:p w14:paraId="6F4FA8E5">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10.九层建筑面积为2336.59m²,实验室工艺设计面积为0m²。      </w:t>
            </w:r>
          </w:p>
          <w:p w14:paraId="1D047FC8">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11.十层建筑面积为2324.35m²,实验室工艺设计面积为1436.35m²。详见建筑平面图纸。</w:t>
            </w:r>
          </w:p>
          <w:p w14:paraId="35AF4E6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12.十一层建筑面积为2324.35m²,实验室工艺设计面积为1436.35m²。详见建筑平面图纸。</w:t>
            </w:r>
          </w:p>
          <w:p w14:paraId="2F04808F">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(四)初步规划：</w:t>
            </w:r>
          </w:p>
          <w:tbl>
            <w:tblPr>
              <w:tblStyle w:val="29"/>
              <w:tblW w:w="4939" w:type="dxa"/>
              <w:jc w:val="center"/>
              <w:tblLayout w:type="fixed"/>
              <w:tblCellMar>
                <w:top w:w="0" w:type="dxa"/>
                <w:left w:w="108" w:type="dxa"/>
                <w:bottom w:w="0" w:type="dxa"/>
                <w:right w:w="108" w:type="dxa"/>
              </w:tblCellMar>
            </w:tblPr>
            <w:tblGrid>
              <w:gridCol w:w="1061"/>
              <w:gridCol w:w="3878"/>
            </w:tblGrid>
            <w:tr w14:paraId="1D45DC7D">
              <w:tblPrEx>
                <w:tblCellMar>
                  <w:top w:w="0" w:type="dxa"/>
                  <w:left w:w="108" w:type="dxa"/>
                  <w:bottom w:w="0" w:type="dxa"/>
                  <w:right w:w="108" w:type="dxa"/>
                </w:tblCellMar>
              </w:tblPrEx>
              <w:trPr>
                <w:trHeight w:val="472"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053DA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楼层</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4F62B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初步要求</w:t>
                  </w:r>
                </w:p>
              </w:tc>
            </w:tr>
            <w:tr w14:paraId="4FFFE45B">
              <w:tblPrEx>
                <w:tblCellMar>
                  <w:top w:w="0" w:type="dxa"/>
                  <w:left w:w="108" w:type="dxa"/>
                  <w:bottom w:w="0" w:type="dxa"/>
                  <w:right w:w="108" w:type="dxa"/>
                </w:tblCellMar>
              </w:tblPrEx>
              <w:trPr>
                <w:trHeight w:val="78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0725A0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污水处理用房</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99D282">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废水处理系统设备用房</w:t>
                  </w:r>
                </w:p>
              </w:tc>
            </w:tr>
            <w:tr w14:paraId="7182E568">
              <w:tblPrEx>
                <w:tblCellMar>
                  <w:top w:w="0" w:type="dxa"/>
                  <w:left w:w="108" w:type="dxa"/>
                  <w:bottom w:w="0" w:type="dxa"/>
                  <w:right w:w="108" w:type="dxa"/>
                </w:tblCellMar>
              </w:tblPrEx>
              <w:trPr>
                <w:trHeight w:val="499"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C869E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地下室</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61ED87">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其中1间为纯水系统主机设备间</w:t>
                  </w:r>
                </w:p>
              </w:tc>
            </w:tr>
            <w:tr w14:paraId="16C92555">
              <w:tblPrEx>
                <w:tblCellMar>
                  <w:top w:w="0" w:type="dxa"/>
                  <w:left w:w="108" w:type="dxa"/>
                  <w:bottom w:w="0" w:type="dxa"/>
                  <w:right w:w="108" w:type="dxa"/>
                </w:tblCellMar>
              </w:tblPrEx>
              <w:trPr>
                <w:trHeight w:val="139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BCAF7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1楼</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9096587">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大型仪器平台 (化工仪器实验室3间，轻工与食品工程仪器实验室5间和1间气瓶室)</w:t>
                  </w:r>
                </w:p>
              </w:tc>
            </w:tr>
            <w:tr w14:paraId="194B50E9">
              <w:tblPrEx>
                <w:tblCellMar>
                  <w:top w:w="0" w:type="dxa"/>
                  <w:left w:w="108" w:type="dxa"/>
                  <w:bottom w:w="0" w:type="dxa"/>
                  <w:right w:w="108" w:type="dxa"/>
                </w:tblCellMar>
              </w:tblPrEx>
              <w:trPr>
                <w:trHeight w:val="139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5B7BE2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2楼</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125E4B">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3间约150m²实验室，10间约75m²实验室，按照化学类标准实验室设计。2间辅助间（1间库房和1间高温室）</w:t>
                  </w:r>
                </w:p>
              </w:tc>
            </w:tr>
            <w:tr w14:paraId="05ED2A05">
              <w:tblPrEx>
                <w:tblCellMar>
                  <w:top w:w="0" w:type="dxa"/>
                  <w:left w:w="108" w:type="dxa"/>
                  <w:bottom w:w="0" w:type="dxa"/>
                  <w:right w:w="108" w:type="dxa"/>
                </w:tblCellMar>
              </w:tblPrEx>
              <w:trPr>
                <w:trHeight w:val="139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ED604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3楼</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B3CB00">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3间约150m²实验室，11间约75m²实验室，按照化学类标准实验室设计。1间辅助间（高温室）</w:t>
                  </w:r>
                </w:p>
              </w:tc>
            </w:tr>
            <w:tr w14:paraId="732187C5">
              <w:tblPrEx>
                <w:tblCellMar>
                  <w:top w:w="0" w:type="dxa"/>
                  <w:left w:w="108" w:type="dxa"/>
                  <w:bottom w:w="0" w:type="dxa"/>
                  <w:right w:w="108" w:type="dxa"/>
                </w:tblCellMar>
              </w:tblPrEx>
              <w:trPr>
                <w:trHeight w:val="139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4558CE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4楼</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EF73378">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3间约150m²实验室，11间约75m²实验室，按照化学类标准实验室设计。1间辅助间（高温室）</w:t>
                  </w:r>
                </w:p>
              </w:tc>
            </w:tr>
            <w:tr w14:paraId="3F78A31C">
              <w:tblPrEx>
                <w:tblCellMar>
                  <w:top w:w="0" w:type="dxa"/>
                  <w:left w:w="108" w:type="dxa"/>
                  <w:bottom w:w="0" w:type="dxa"/>
                  <w:right w:w="108" w:type="dxa"/>
                </w:tblCellMar>
              </w:tblPrEx>
              <w:trPr>
                <w:trHeight w:val="139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00D7D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5楼</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BFA1AB">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3间约150m²实验室，11间约75m²实验室，按照化学类标准实验室设计。1间辅助间（高温室）</w:t>
                  </w:r>
                </w:p>
              </w:tc>
            </w:tr>
            <w:tr w14:paraId="0A38E36D">
              <w:tblPrEx>
                <w:tblCellMar>
                  <w:top w:w="0" w:type="dxa"/>
                  <w:left w:w="108" w:type="dxa"/>
                  <w:bottom w:w="0" w:type="dxa"/>
                  <w:right w:w="108" w:type="dxa"/>
                </w:tblCellMar>
              </w:tblPrEx>
              <w:trPr>
                <w:trHeight w:val="139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29D42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6楼</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881C6C">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3间约150m²实验室，11间约75m²实验室，按照化学类标准实验室设计。1间辅助间（高温室）</w:t>
                  </w:r>
                </w:p>
              </w:tc>
            </w:tr>
            <w:tr w14:paraId="76F8C073">
              <w:tblPrEx>
                <w:tblCellMar>
                  <w:top w:w="0" w:type="dxa"/>
                  <w:left w:w="108" w:type="dxa"/>
                  <w:bottom w:w="0" w:type="dxa"/>
                  <w:right w:w="108" w:type="dxa"/>
                </w:tblCellMar>
              </w:tblPrEx>
              <w:trPr>
                <w:trHeight w:val="139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67AA8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7楼</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57370E">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3间约150m²实验室，11间约75m²实验室，按照化学类标准实验室设计。1间辅助间（高温室）</w:t>
                  </w:r>
                </w:p>
              </w:tc>
            </w:tr>
            <w:tr w14:paraId="32959FBF">
              <w:tblPrEx>
                <w:tblCellMar>
                  <w:top w:w="0" w:type="dxa"/>
                  <w:left w:w="108" w:type="dxa"/>
                  <w:bottom w:w="0" w:type="dxa"/>
                  <w:right w:w="108" w:type="dxa"/>
                </w:tblCellMar>
              </w:tblPrEx>
              <w:trPr>
                <w:trHeight w:val="139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BDC7B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8楼</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0ACABC">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1间约150m²实验室，14间约75m²实验室，按照化学类标准实验室设计。2间辅助间（1间试剂库房和1间高温室）</w:t>
                  </w:r>
                </w:p>
              </w:tc>
            </w:tr>
            <w:tr w14:paraId="54A77F92">
              <w:tblPrEx>
                <w:tblCellMar>
                  <w:top w:w="0" w:type="dxa"/>
                  <w:left w:w="108" w:type="dxa"/>
                  <w:bottom w:w="0" w:type="dxa"/>
                  <w:right w:w="108" w:type="dxa"/>
                </w:tblCellMar>
              </w:tblPrEx>
              <w:trPr>
                <w:trHeight w:val="472"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24C130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9楼</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947726">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无</w:t>
                  </w:r>
                </w:p>
              </w:tc>
            </w:tr>
            <w:tr w14:paraId="31DBA5EE">
              <w:tblPrEx>
                <w:tblCellMar>
                  <w:top w:w="0" w:type="dxa"/>
                  <w:left w:w="108" w:type="dxa"/>
                  <w:bottom w:w="0" w:type="dxa"/>
                  <w:right w:w="108" w:type="dxa"/>
                </w:tblCellMar>
              </w:tblPrEx>
              <w:trPr>
                <w:trHeight w:val="1396"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B4174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10楼</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F69FED">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1间约150m²实验室，17间约75m²实验室，按照化学类标准实验室设计。1间辅助间（高温室）</w:t>
                  </w:r>
                </w:p>
              </w:tc>
            </w:tr>
            <w:tr w14:paraId="44B7CB7F">
              <w:tblPrEx>
                <w:tblCellMar>
                  <w:top w:w="0" w:type="dxa"/>
                  <w:left w:w="108" w:type="dxa"/>
                  <w:bottom w:w="0" w:type="dxa"/>
                  <w:right w:w="108" w:type="dxa"/>
                </w:tblCellMar>
              </w:tblPrEx>
              <w:trPr>
                <w:trHeight w:val="1858"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F489A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11楼</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4764B0">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1间约150m²实验室，17间约75m²实验室（其中1间局部为无尘室），按照化学类标准实验室设计。1间辅助间（高温室）</w:t>
                  </w:r>
                </w:p>
              </w:tc>
            </w:tr>
            <w:tr w14:paraId="622A9534">
              <w:tblPrEx>
                <w:tblCellMar>
                  <w:top w:w="0" w:type="dxa"/>
                  <w:left w:w="108" w:type="dxa"/>
                  <w:bottom w:w="0" w:type="dxa"/>
                  <w:right w:w="108" w:type="dxa"/>
                </w:tblCellMar>
              </w:tblPrEx>
              <w:trPr>
                <w:trHeight w:val="2329" w:hRule="atLeast"/>
                <w:jc w:val="center"/>
              </w:trPr>
              <w:tc>
                <w:tcPr>
                  <w:tcW w:w="10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0C2AE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楼顶</w:t>
                  </w:r>
                </w:p>
              </w:tc>
              <w:tc>
                <w:tcPr>
                  <w:tcW w:w="387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6FB928">
                  <w:pPr>
                    <w:shd w:val="clea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楼顶各类设备合理化布置设计，提供满足楼顶结构及设备荷载的钢结构设备基础，应具备结构计算书(包含计算依据、图纸几何信息、荷载安全系数、内力位移计算结果、设计验算结果等)</w:t>
                  </w:r>
                </w:p>
              </w:tc>
            </w:tr>
          </w:tbl>
          <w:p w14:paraId="54F6DBA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(五)使用主要仪器清单。</w:t>
            </w:r>
          </w:p>
          <w:tbl>
            <w:tblPr>
              <w:tblStyle w:val="29"/>
              <w:tblW w:w="4959" w:type="dxa"/>
              <w:jc w:val="center"/>
              <w:tblLayout w:type="fixed"/>
              <w:tblCellMar>
                <w:top w:w="0" w:type="dxa"/>
                <w:left w:w="108" w:type="dxa"/>
                <w:bottom w:w="0" w:type="dxa"/>
                <w:right w:w="108" w:type="dxa"/>
              </w:tblCellMar>
            </w:tblPr>
            <w:tblGrid>
              <w:gridCol w:w="461"/>
              <w:gridCol w:w="1296"/>
              <w:gridCol w:w="462"/>
              <w:gridCol w:w="601"/>
              <w:gridCol w:w="1654"/>
              <w:gridCol w:w="485"/>
            </w:tblGrid>
            <w:tr w14:paraId="15F27CA3">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5A4E6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6507ACC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仪器名称</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2EF77A6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数量</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26FFECE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6A7549D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仪器名称</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699CBEB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数量</w:t>
                  </w:r>
                </w:p>
              </w:tc>
            </w:tr>
            <w:tr w14:paraId="24B3EE2F">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2382A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6D7CB24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气质联用仪</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2871DB2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71706BE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58</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4925060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循环水式多用真空泵</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2B324C1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w:t>
                  </w:r>
                </w:p>
              </w:tc>
            </w:tr>
            <w:tr w14:paraId="727A2A76">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084DC1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7CB15EF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气体吸附仪</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50E28E2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3AC3027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59</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3CBDB39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低温(恒温)搅拌反应浴</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3982768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w:t>
                  </w:r>
                </w:p>
              </w:tc>
            </w:tr>
            <w:tr w14:paraId="17EF91B1">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BACAD7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1B5BC5B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气相色谱仪</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7189B71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7FFD080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60</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1089FB5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电子万用炉</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47226B2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632AA497">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0BAFA8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5745DDD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液相色谱仪</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05EE72D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49CB8F4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61</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56EED32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快速中压制备液相色谱仪</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7852D7B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r>
            <w:tr w14:paraId="5F310407">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00AEE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354B342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紫外光谱仪</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03A5562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331039B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62</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78F4D5D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电热恒温鼓风干燥箱</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5F9FC9D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w:t>
                  </w:r>
                </w:p>
              </w:tc>
            </w:tr>
            <w:tr w14:paraId="5C1901EA">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C464A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1812CFE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微波合成仪</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5C88998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41B7DC7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63</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73C7154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真空操作仪</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64E09F3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653B408D">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CF824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56CF5C7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球磨机</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1003FA9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25830A9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64</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64841DE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磁力搅拌电热套</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5C83462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55200BA0">
              <w:tblPrEx>
                <w:tblCellMar>
                  <w:top w:w="0" w:type="dxa"/>
                  <w:left w:w="108" w:type="dxa"/>
                  <w:bottom w:w="0" w:type="dxa"/>
                  <w:right w:w="108" w:type="dxa"/>
                </w:tblCellMar>
              </w:tblPrEx>
              <w:trPr>
                <w:trHeight w:val="454"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BA355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237DF87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管式炉</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24E8399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16</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18194F3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65</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2267968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恒温水油浴锅</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04AF5CD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r>
            <w:tr w14:paraId="5838E737">
              <w:tblPrEx>
                <w:tblCellMar>
                  <w:top w:w="0" w:type="dxa"/>
                  <w:left w:w="108" w:type="dxa"/>
                  <w:bottom w:w="0" w:type="dxa"/>
                  <w:right w:w="108" w:type="dxa"/>
                </w:tblCellMar>
              </w:tblPrEx>
              <w:trPr>
                <w:trHeight w:val="1341"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8692E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9</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00CC368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低温恒温水浴循环槽</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390EB10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39BDFCB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66</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32D572B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集热式恒温加热磁力搅拌器</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79A4FFA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r>
            <w:tr w14:paraId="3B98A7CF">
              <w:tblPrEx>
                <w:tblCellMar>
                  <w:top w:w="0" w:type="dxa"/>
                  <w:left w:w="108" w:type="dxa"/>
                  <w:bottom w:w="0" w:type="dxa"/>
                  <w:right w:w="108" w:type="dxa"/>
                </w:tblCellMar>
              </w:tblPrEx>
              <w:trPr>
                <w:trHeight w:val="454"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6F6F51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1C824B5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烘箱</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3D34A3A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4022861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67</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7EDB471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电阻炉</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6581834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1FD6F3E3">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3D94C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1A22E1F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真空干燥箱</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41D2ECC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26</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6007817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68</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191C8CB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热搅拌器</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68FF3F4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5A8AA1E5">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E3641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51BEBFB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油浴锅</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303A855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24A3EE9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69</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16AE1B6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水浴，超声仪器</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51BF7BA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72308728">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35F7E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3BE227C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超声清洗器</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4ADEAD6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4A4AF50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70</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404B4CA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微波反应器</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47D0D42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15C2F4F4">
              <w:tblPrEx>
                <w:tblCellMar>
                  <w:top w:w="0" w:type="dxa"/>
                  <w:left w:w="108" w:type="dxa"/>
                  <w:bottom w:w="0" w:type="dxa"/>
                  <w:right w:w="108" w:type="dxa"/>
                </w:tblCellMar>
              </w:tblPrEx>
              <w:trPr>
                <w:trHeight w:val="454"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25A740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7E358AF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离心机</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3824DE7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4E95288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71</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2DDA01E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晶体生长炉</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5150326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48686679">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069837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15</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2FD8712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旋转蒸发仪</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20D3FED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23</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5FB75C3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72</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53AF542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超声-微波组合反应器</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6E3B548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r>
            <w:tr w14:paraId="617EE6C8">
              <w:tblPrEx>
                <w:tblCellMar>
                  <w:top w:w="0" w:type="dxa"/>
                  <w:left w:w="108" w:type="dxa"/>
                  <w:bottom w:w="0" w:type="dxa"/>
                  <w:right w:w="108" w:type="dxa"/>
                </w:tblCellMar>
              </w:tblPrEx>
              <w:trPr>
                <w:trHeight w:val="454"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66C43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16</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36ACCC1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真空泵</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74D344F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15</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7CCCCD0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73</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1E6ECE3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低温反应浴</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0C0BA68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r>
            <w:tr w14:paraId="16A4E0CC">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58BD7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17</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2577294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高效液相色谱</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45CD971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1DB7452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74</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19402AD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分光光度计</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5CBCD55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r>
            <w:tr w14:paraId="074E0EF6">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F5F044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18</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45B5DEC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荧光分光光度计</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68CE9FC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0AF9A41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75</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0B4303E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过柱机</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3B42712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r>
            <w:tr w14:paraId="1580768D">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348EE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19</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57CD12F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高速离心机</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70B4C48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4F618F9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76</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5CF59DC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加热型镜面盘磁力搅拌</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5ECA289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16</w:t>
                  </w:r>
                </w:p>
              </w:tc>
            </w:tr>
            <w:tr w14:paraId="3D2D43B9">
              <w:tblPrEx>
                <w:tblCellMar>
                  <w:top w:w="0" w:type="dxa"/>
                  <w:left w:w="108" w:type="dxa"/>
                  <w:bottom w:w="0" w:type="dxa"/>
                  <w:right w:w="108" w:type="dxa"/>
                </w:tblCellMar>
              </w:tblPrEx>
              <w:trPr>
                <w:trHeight w:val="454"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6D1E4A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20</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3EAD3AB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除湿机</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69E20C2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456DA79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77</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321AB75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气流烘干器</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53D8956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w:t>
                  </w:r>
                </w:p>
              </w:tc>
            </w:tr>
            <w:tr w14:paraId="6B1242F5">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0E0C24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5D872EF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高性能计算服务器</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57DE04F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317712B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78</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7196749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水浴锅</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21AF50C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w:t>
                  </w:r>
                </w:p>
              </w:tc>
            </w:tr>
            <w:tr w14:paraId="0410F195">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186E2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22</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37F5D33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红外光谱仪</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6FA2E9D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3D93A9B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79</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5540E67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油浴锅</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24E644A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52</w:t>
                  </w:r>
                </w:p>
              </w:tc>
            </w:tr>
            <w:tr w14:paraId="706727E0">
              <w:tblPrEx>
                <w:tblCellMar>
                  <w:top w:w="0" w:type="dxa"/>
                  <w:left w:w="108" w:type="dxa"/>
                  <w:bottom w:w="0" w:type="dxa"/>
                  <w:right w:w="108" w:type="dxa"/>
                </w:tblCellMar>
              </w:tblPrEx>
              <w:trPr>
                <w:trHeight w:val="454"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48F3D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23</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4042076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稳压器</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2EDFCF6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37A2741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80</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304A9A9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手套箱</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3EEC541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352E5B46">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24707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24</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22B015B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电热干燥箱</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2AAE6D5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05E0AD6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81</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2EE2BEF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加热水锅</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540CA5E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16</w:t>
                  </w:r>
                </w:p>
              </w:tc>
            </w:tr>
            <w:tr w14:paraId="79C8C4E5">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843074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25</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60BFFC2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超声微波萃取仪</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4FD7CE8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35BD28A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82</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5B01FE7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低温反应器</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670DA07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w:t>
                  </w:r>
                </w:p>
              </w:tc>
            </w:tr>
            <w:tr w14:paraId="7E46A6DD">
              <w:tblPrEx>
                <w:tblCellMar>
                  <w:top w:w="0" w:type="dxa"/>
                  <w:left w:w="108" w:type="dxa"/>
                  <w:bottom w:w="0" w:type="dxa"/>
                  <w:right w:w="108" w:type="dxa"/>
                </w:tblCellMar>
              </w:tblPrEx>
              <w:trPr>
                <w:trHeight w:val="454"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73B82B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26</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0779FF2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鼓风烘箱</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048E1B4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4C884F5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83</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615BD27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制冰机</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52980FA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r>
            <w:tr w14:paraId="2F6D9367">
              <w:tblPrEx>
                <w:tblCellMar>
                  <w:top w:w="0" w:type="dxa"/>
                  <w:left w:w="108" w:type="dxa"/>
                  <w:bottom w:w="0" w:type="dxa"/>
                  <w:right w:w="108" w:type="dxa"/>
                </w:tblCellMar>
              </w:tblPrEx>
              <w:trPr>
                <w:trHeight w:val="454"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A48D48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27</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08E391A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超声仪</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66D49D1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6CF62FD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84</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6A75CE8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水泵</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37BF2D3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w:t>
                  </w:r>
                </w:p>
              </w:tc>
            </w:tr>
            <w:tr w14:paraId="6FA984F9">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2642EE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28</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65C9C54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低温超声清洗机</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4B1582E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0A8DA55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85</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34DAC6B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油泵</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75522B3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w:t>
                  </w:r>
                </w:p>
              </w:tc>
            </w:tr>
            <w:tr w14:paraId="0E275FB0">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55CE2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29</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6F0808D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光催化灯源</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6E266B5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2C5DDA9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86</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4AAF217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冷冻干燥机</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22EC31A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r>
            <w:tr w14:paraId="27D1FACF">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DE6D89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30</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368DFE8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色谱</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62828D5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7A447F4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87</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5B106F7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手提式紫外分析仪</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73E0EEA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r>
            <w:tr w14:paraId="387D9774">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44074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31</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4E6268B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磁力搅拌加热</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1F516F4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26</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7198248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88</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5A31360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固定床热解炉</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5ADB4F7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w:t>
                  </w:r>
                </w:p>
              </w:tc>
            </w:tr>
            <w:tr w14:paraId="11784746">
              <w:tblPrEx>
                <w:tblCellMar>
                  <w:top w:w="0" w:type="dxa"/>
                  <w:left w:w="108" w:type="dxa"/>
                  <w:bottom w:w="0" w:type="dxa"/>
                  <w:right w:w="108" w:type="dxa"/>
                </w:tblCellMar>
              </w:tblPrEx>
              <w:trPr>
                <w:trHeight w:val="454"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B1CC5E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32</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74563D0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低温冰箱</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6D808A2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6C23EE4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89</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6A411DD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水热反应釜</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459A932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r>
            <w:tr w14:paraId="7D35B960">
              <w:tblPrEx>
                <w:tblCellMar>
                  <w:top w:w="0" w:type="dxa"/>
                  <w:left w:w="108" w:type="dxa"/>
                  <w:bottom w:w="0" w:type="dxa"/>
                  <w:right w:w="108" w:type="dxa"/>
                </w:tblCellMar>
              </w:tblPrEx>
              <w:trPr>
                <w:trHeight w:val="454"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A9B7BD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33</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1131847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烘箱</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35C7BAF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537DB33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90</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4181E84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加氢反应釜</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19E0E12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r>
            <w:tr w14:paraId="7C3B996D">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7F5E3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34</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7C0E59E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岩征反应器</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2DDFEEA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2A32CD0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91</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3BCC451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气体质谱仪</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6E2DE98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r>
            <w:tr w14:paraId="023A2A20">
              <w:tblPrEx>
                <w:tblCellMar>
                  <w:top w:w="0" w:type="dxa"/>
                  <w:left w:w="108" w:type="dxa"/>
                  <w:bottom w:w="0" w:type="dxa"/>
                  <w:right w:w="108" w:type="dxa"/>
                </w:tblCellMar>
              </w:tblPrEx>
              <w:trPr>
                <w:trHeight w:val="454"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1F9B11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35</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55EE8D5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蠕动泵</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214761F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1CA87A1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92</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7101D29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电镜</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1F355F8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r>
            <w:tr w14:paraId="5A9396FD">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178437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36</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42588CF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磁力搅拌器</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36B9934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32</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579270F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93</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65E30CD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蛋白质纯化仪</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44FA908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7EC725C7">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C5AD60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37</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00ABA06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马弗炉</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43F1B62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19</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34895B2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94</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5D04B30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全自动元素分析仪</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00C0C38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47795B66">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0AA09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38</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7DAFCA9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水浴振荡器</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027952C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417DD62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95</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5E8A6F7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流变仪</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7D4809B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7A005245">
              <w:tblPrEx>
                <w:tblCellMar>
                  <w:top w:w="0" w:type="dxa"/>
                  <w:left w:w="108" w:type="dxa"/>
                  <w:bottom w:w="0" w:type="dxa"/>
                  <w:right w:w="108" w:type="dxa"/>
                </w:tblCellMar>
              </w:tblPrEx>
              <w:trPr>
                <w:trHeight w:val="454"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60173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39</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49C4832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恒温浴槽</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7D3C212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705FEFA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96</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47F7027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电泳仪</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20F29BA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5AE99950">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D3452D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40</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70669D7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紫外分光光度计</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642400E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6E6CB10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97</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52913E6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光电压谱仪</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3603051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77709DBE">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55B07A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41</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67057AB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岩征反应器</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02DFAB8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61DE3E7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98</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44F11F2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高温测试炉</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368123A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53181D21">
              <w:tblPrEx>
                <w:tblCellMar>
                  <w:top w:w="0" w:type="dxa"/>
                  <w:left w:w="108" w:type="dxa"/>
                  <w:bottom w:w="0" w:type="dxa"/>
                  <w:right w:w="108" w:type="dxa"/>
                </w:tblCellMar>
              </w:tblPrEx>
              <w:trPr>
                <w:trHeight w:val="454"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58C157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42</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6A4D3A1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球磨</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5ECBDFC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3707C94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99</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7B7181E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热重分析仪</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1210310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2CDCBB67">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ACA741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43</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0F2F35A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泵</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76FAA0C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57228A5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100</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546D733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差示量热扫描仪</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661CED3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3F0E379A">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69AD3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44</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3FD2B17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色谱</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5C963E2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51C4ABA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101</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0F6DB57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超重力反应器</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00956F3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3C10A1F1">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EC308B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45</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5A0A7B7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空气发生器</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6A4C6BF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27D746B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102</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2028BB6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匀胶机</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66490B2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r>
            <w:tr w14:paraId="619B27C7">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5CD92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46</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6B3A350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低速离心机</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70FC454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36ACE6B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103</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734315F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四探针测试仪</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6E66062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r>
            <w:tr w14:paraId="0A4B9CCE">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0961C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47</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4F47DC6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恒温干燥器</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2BAF44D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6FFDBFF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104</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429A143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电热板</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5DD5B3F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w:t>
                  </w:r>
                </w:p>
              </w:tc>
            </w:tr>
            <w:tr w14:paraId="153CECE8">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6D5CF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48</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1788D5B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恒温摇床</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3CEA1C6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3BCDDF7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105</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5F0FDE4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纺丝机</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152C95B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62624877">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EA4D7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49</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25A4B50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恒温恒湿箱</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117F33F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03C924C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106</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4522E46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蒸汽发生器</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734136B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696E4E7D">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8EBF6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50</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3EB39FB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烘箱</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4F03267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3B5F981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107</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7EDDDB0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喷雾干燥器</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41EEE54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47B40151">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50B4ECF">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51</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4F9AEB0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纳米粒度仪</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2DB71A6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7CF742E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108</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7670BFE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镀膜机</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5EE446F6">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147DBCD8">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13F8FA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52</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7D91D4A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超声波细胞粉碎机</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23A1822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10DA0FD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109</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480E239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冷冻循环装置</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6135975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r w14:paraId="7078CE0B">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412F87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53</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3EB6D2C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微量热量计</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47EA89E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1E32574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110</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213CA14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冷却循环机</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5383032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w:t>
                  </w:r>
                </w:p>
              </w:tc>
            </w:tr>
            <w:tr w14:paraId="5B2F3B7A">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06B13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54</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46F674C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分析天平</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2F5E1FD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17</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550D594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111</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6404A43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反应精馏塔</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3555502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r>
            <w:tr w14:paraId="23CD961E">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D9E2A0">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55</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3BF999A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三用紫外仪</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305E101E">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0A3AF52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112</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6FEB8D24">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多功能膜分离装</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5867B63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r>
            <w:tr w14:paraId="7ED34526">
              <w:tblPrEx>
                <w:tblCellMar>
                  <w:top w:w="0" w:type="dxa"/>
                  <w:left w:w="108" w:type="dxa"/>
                  <w:bottom w:w="0" w:type="dxa"/>
                  <w:right w:w="108" w:type="dxa"/>
                </w:tblCellMar>
              </w:tblPrEx>
              <w:trPr>
                <w:trHeight w:val="898"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8F4AFD">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56</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32DB5085">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带磁力搅拌油浴锅</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15B132F7">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23</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49F1278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113</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321F9F3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高压釜</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0B75037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r>
            <w:tr w14:paraId="63A8E252">
              <w:tblPrEx>
                <w:tblCellMar>
                  <w:top w:w="0" w:type="dxa"/>
                  <w:left w:w="108" w:type="dxa"/>
                  <w:bottom w:w="0" w:type="dxa"/>
                  <w:right w:w="108" w:type="dxa"/>
                </w:tblCellMar>
              </w:tblPrEx>
              <w:trPr>
                <w:trHeight w:val="907" w:hRule="atLeast"/>
                <w:jc w:val="center"/>
              </w:trPr>
              <w:tc>
                <w:tcPr>
                  <w:tcW w:w="46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AECD62">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57</w:t>
                  </w:r>
                </w:p>
              </w:tc>
              <w:tc>
                <w:tcPr>
                  <w:tcW w:w="1296" w:type="dxa"/>
                  <w:tcBorders>
                    <w:top w:val="single" w:color="000000" w:sz="4" w:space="0"/>
                    <w:left w:val="nil"/>
                    <w:bottom w:val="single" w:color="000000" w:sz="4" w:space="0"/>
                    <w:right w:val="single" w:color="000000" w:sz="4" w:space="0"/>
                    <w:tl2br w:val="nil"/>
                    <w:tr2bl w:val="nil"/>
                  </w:tcBorders>
                  <w:noWrap/>
                  <w:vAlign w:val="center"/>
                </w:tcPr>
                <w:p w14:paraId="060DF0F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空气压缩机</w:t>
                  </w:r>
                </w:p>
              </w:tc>
              <w:tc>
                <w:tcPr>
                  <w:tcW w:w="462" w:type="dxa"/>
                  <w:tcBorders>
                    <w:top w:val="single" w:color="000000" w:sz="4" w:space="0"/>
                    <w:left w:val="nil"/>
                    <w:bottom w:val="single" w:color="000000" w:sz="4" w:space="0"/>
                    <w:right w:val="single" w:color="000000" w:sz="4" w:space="0"/>
                    <w:tl2br w:val="nil"/>
                    <w:tr2bl w:val="nil"/>
                  </w:tcBorders>
                  <w:noWrap/>
                  <w:vAlign w:val="center"/>
                </w:tcPr>
                <w:p w14:paraId="4B89266B">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601" w:type="dxa"/>
                  <w:tcBorders>
                    <w:top w:val="single" w:color="000000" w:sz="4" w:space="0"/>
                    <w:left w:val="nil"/>
                    <w:bottom w:val="single" w:color="000000" w:sz="4" w:space="0"/>
                    <w:right w:val="single" w:color="000000" w:sz="4" w:space="0"/>
                    <w:tl2br w:val="nil"/>
                    <w:tr2bl w:val="nil"/>
                  </w:tcBorders>
                  <w:noWrap/>
                  <w:vAlign w:val="center"/>
                </w:tcPr>
                <w:p w14:paraId="04C8AD1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114</w:t>
                  </w:r>
                </w:p>
              </w:tc>
              <w:tc>
                <w:tcPr>
                  <w:tcW w:w="1654" w:type="dxa"/>
                  <w:tcBorders>
                    <w:top w:val="single" w:color="000000" w:sz="4" w:space="0"/>
                    <w:left w:val="nil"/>
                    <w:bottom w:val="single" w:color="000000" w:sz="4" w:space="0"/>
                    <w:right w:val="single" w:color="000000" w:sz="4" w:space="0"/>
                    <w:tl2br w:val="nil"/>
                    <w:tr2bl w:val="nil"/>
                  </w:tcBorders>
                  <w:noWrap/>
                  <w:vAlign w:val="center"/>
                </w:tcPr>
                <w:p w14:paraId="6B941A51">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电加热炉</w:t>
                  </w:r>
                </w:p>
              </w:tc>
              <w:tc>
                <w:tcPr>
                  <w:tcW w:w="485" w:type="dxa"/>
                  <w:tcBorders>
                    <w:top w:val="single" w:color="000000" w:sz="4" w:space="0"/>
                    <w:left w:val="nil"/>
                    <w:bottom w:val="single" w:color="000000" w:sz="4" w:space="0"/>
                    <w:right w:val="single" w:color="000000" w:sz="4" w:space="0"/>
                    <w:tl2br w:val="nil"/>
                    <w:tr2bl w:val="nil"/>
                  </w:tcBorders>
                  <w:noWrap/>
                  <w:vAlign w:val="center"/>
                </w:tcPr>
                <w:p w14:paraId="6C050C18">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r>
          </w:tbl>
          <w:p w14:paraId="55F0A9FE">
            <w:pPr>
              <w:shd w:val="clea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三、服务技术要求</w:t>
            </w:r>
          </w:p>
          <w:p w14:paraId="7820C798">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(一) 本项目是在主体工程预留条件的基础上根据实验室建设方案进行深化设计，成交后需完成工作范围为初步设计、施工图设计、概算、施工阶段和竣工验收的设计配合服务。详细如下：</w:t>
            </w:r>
          </w:p>
          <w:p w14:paraId="3800D89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初步设计：包括但不限于工艺平面布局、实验室废水处理系统设计图、实验室排风系统设计图、实验室纯水系统设计图、实验室新风系统设计图、实验室气路系统设计图、实验室净化室系统设计图、实验室空调系统设计图、效果图、动画等。</w:t>
            </w:r>
          </w:p>
          <w:p w14:paraId="0A2465D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施工图设计：包括但不限于工艺平面布局、废水处理系统施工图、排风系统施工图、实验室家具样式图、纯水系统施工图、新风系统施工图、气路系统施工图、空调系统施工图、实验室电气施工图、实验室工艺试剂库房施工图、净化室系统施工图、实验室给排水施工图、实验室装饰施工图等。</w:t>
            </w:r>
          </w:p>
          <w:p w14:paraId="16813B8A">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3.概算：施工图概算。</w:t>
            </w:r>
          </w:p>
          <w:p w14:paraId="3C4E85F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4.咨询服务：报投资评审的咨询服务, 施工招标详细技术参数，施工招标配合服务,施工期配合服务（含设计变更）,配合施工单位完成竣工图，配合学校、实验室用户、原基建大楼设计院等服务工作。</w:t>
            </w:r>
          </w:p>
          <w:p w14:paraId="45E0FFE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(二)设计工作范围：</w:t>
            </w:r>
          </w:p>
          <w:p w14:paraId="6DCC13FE">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1.实验室工艺平面布局；</w:t>
            </w:r>
          </w:p>
          <w:p w14:paraId="5910AC0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2.实验室工艺装饰系统；</w:t>
            </w:r>
          </w:p>
          <w:p w14:paraId="7B1227D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3.实验室工艺电气系统；</w:t>
            </w:r>
          </w:p>
          <w:p w14:paraId="33E99058">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4.实验室工艺给排水系统；</w:t>
            </w:r>
          </w:p>
          <w:p w14:paraId="4B77091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5.实验室工艺新风系统；</w:t>
            </w:r>
          </w:p>
          <w:p w14:paraId="3FC7DF6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6.实验室工艺空调系统；</w:t>
            </w:r>
          </w:p>
          <w:p w14:paraId="24D895F1">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7.实验室工艺净化系统；</w:t>
            </w:r>
          </w:p>
          <w:p w14:paraId="762CAAD2">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8.实验室工艺排风系统；</w:t>
            </w:r>
          </w:p>
          <w:p w14:paraId="477B74C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9.实验室工艺家具系统；</w:t>
            </w:r>
          </w:p>
          <w:p w14:paraId="2DD2811E">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10.实验室工艺试剂库房；</w:t>
            </w:r>
          </w:p>
          <w:p w14:paraId="6A18A7B4">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11.实验室工艺气路系统；</w:t>
            </w:r>
          </w:p>
          <w:p w14:paraId="233E9672">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12.实验室工艺纯水系统；</w:t>
            </w:r>
          </w:p>
          <w:p w14:paraId="5F226D3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13.实验室工艺废水系统。</w:t>
            </w:r>
          </w:p>
          <w:p w14:paraId="6E344E12">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(三)各专业设计要求：</w:t>
            </w:r>
          </w:p>
          <w:p w14:paraId="7486D410">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1.实验室工艺平面布局：</w:t>
            </w:r>
          </w:p>
          <w:p w14:paraId="5FC3F3D5">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1.1.范围：负责完成实验室工艺布局。根据采购人初步想法对实验室相关功能间进行优化，同时根据需要优化布置功能间，如化学实验室、洁净室、中央控制室、高温室、气瓶间、试剂库房、仪器间等，要求符合国家相关规范，保证使用的便利性与安全性。</w:t>
            </w:r>
          </w:p>
          <w:p w14:paraId="2EB5C7FF">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1.2.要求：创造健康、安全、人性化的实验工作环境，关爱科研人员。选择低碳、环保、节能型的材料和设备，打造绿色实验室。工艺设施先进，简约实用，体现现代科学实验室的功能要求。流程设计合理，设备系统功能完善，满足未来科研发展空间。</w:t>
            </w:r>
          </w:p>
          <w:p w14:paraId="01A6ACE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2.实验室工艺装饰系统：</w:t>
            </w:r>
          </w:p>
          <w:p w14:paraId="304BF05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2.1.范围：负责完成实验室内地面、墙面、顶面设计工作，按规范要求选择安全、环保的材质。</w:t>
            </w:r>
          </w:p>
          <w:p w14:paraId="3F0CCB3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2.2.要求：本工程所用材料必须为经过国家有关部门认证的节能及环保产品，保温材料应达到不燃或难燃的要求并对室内环境不会产生污染。</w:t>
            </w:r>
          </w:p>
          <w:p w14:paraId="2D4488A4">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3.实验室工艺电气系统：</w:t>
            </w:r>
          </w:p>
          <w:p w14:paraId="0E8F13BB">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3.1.范围：完成实验室配电箱至室内区域的电气系统设计，包括室内的桥架、线管以及配电线路、灯具照明、监控等。</w:t>
            </w:r>
          </w:p>
          <w:p w14:paraId="69748C5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3.2.要求：电缆桥架应选用镀锌的，桥架采用吊架支撑。桥架需与接地系统可靠连接。桥架需有盖板，弯通和三通具有单独的盖板，桥架内部应足够光滑以避免电缆损伤。桥架支撑应选用绝缘的、防潮的、阻燃的材料；电源设置漏电、短路、断路等检测、报警和保护装置。实验室配电管线应采用金属管敷设，穿过墙和楼板的电线管应加套管，套管内用不收缩、不燃烧材料密封。进入实验室内的电线管穿线后，管口应采用无腐蚀、不起尘和不燃材料封闭。</w:t>
            </w:r>
          </w:p>
          <w:p w14:paraId="3955966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4.实验室工艺给排水系统：</w:t>
            </w:r>
          </w:p>
          <w:p w14:paraId="494C75C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4.1.范围：负责完成建筑内部实验室区域给排水系统设计工作，按规范要求设置紧急喷淋、洗眼器等安全设施。</w:t>
            </w:r>
          </w:p>
          <w:p w14:paraId="69364976">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4.2.要求：给排水系统在保证功能性的基础上，考虑美观灵活性；给水管沿功能柱由实验台下引至用水点；排水管由实验台下引至排水点，考虑坡度避免堵塞。给水管采用PPR材质，热熔连接；排水支管均采用防腐HDPE排水管。</w:t>
            </w:r>
          </w:p>
          <w:p w14:paraId="7A1EA45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5.实验室工艺新风系统：</w:t>
            </w:r>
          </w:p>
          <w:p w14:paraId="093A41E2">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5.1.范围：负责完成实验室区域新风系统设计工作，完成系统内的所有设备选型。</w:t>
            </w:r>
          </w:p>
          <w:p w14:paraId="0DC8BB5B">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5.2.要求：新风采用变风量与排风联动控制。1层新风采用整体式屋顶新风系统，整体设备放置在一层室外。2、3、4、5、6、7、8、10、11层采用室外风冷热泵模块机组，室内全新风落地式新风机组的水系统组成。</w:t>
            </w:r>
          </w:p>
          <w:p w14:paraId="4E6723B5">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6.实验室工艺空调系统：</w:t>
            </w:r>
          </w:p>
          <w:p w14:paraId="03ABFF40">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6.1.范围：负责完成实验室区域空调系统设计工作，完成系统内的所有设备选型。</w:t>
            </w:r>
          </w:p>
          <w:p w14:paraId="30193270">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6.2.要求：采用VRF直流变频多联系统，室内采用四面出风嵌入式风机盘管。室内机组吊装在实验室上方。室外机放置在楼顶位置。</w:t>
            </w:r>
          </w:p>
          <w:p w14:paraId="18A8055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7.实验室工艺净化系统：</w:t>
            </w:r>
          </w:p>
          <w:p w14:paraId="6A2C2276">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7.1.范围：负责完成十一层1间无尘间实验室设计工作，按规范要求选择安全、环保的材质。完成系统内的所有设备选型。</w:t>
            </w:r>
          </w:p>
          <w:p w14:paraId="7966DF9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7.2．要求：无尘间洁净度为iso8级，室内照度设计：一般区域≥200Lux万级区≥300Lux。噪声整体设计：≤60dB(A)。室内温湿度设计参数为22~25℃、30%~55%。室内压差值：+5Pa—+20Pa。应保证充足的换气次数(不小于12次),符合各项相关技术规范，深化设计必须保证整个压力梯度分布。</w:t>
            </w:r>
          </w:p>
          <w:p w14:paraId="2768F63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8.实验室工艺排风系统：</w:t>
            </w:r>
          </w:p>
          <w:p w14:paraId="72A9A896">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8.1.范围：负责完成实验室工艺性排风系统设计，包括实验室废气处理系统，使其满足国家相关规范要求的排放标准；完成系统内的所有设备选型及楼顶设备钢平台基础设计。</w:t>
            </w:r>
          </w:p>
          <w:p w14:paraId="462B9988">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8.2.要求：实验室换气按照国家规格及使用要求设计。排风系统采用竖向集中的形式，并于楼顶进行汇总。采用变风量系统控制。除了通风柜排风系统还需设置实验室环境立体排风系统。尾气部位增加干式混合废气处理装置处理后达标排放。排风机全部安装在屋顶，排风主管道风速要求在8-12m/s，支管风速需满足终端排风设备使用要求。室内噪声要求≤60db,楼顶噪声要求≤70dB。排放废气类型为混合废气，处理工艺流程：混合废气→初效过滤单元→无机废气处理单元→有机废气处理单元→风机→达标高空排放。</w:t>
            </w:r>
          </w:p>
          <w:p w14:paraId="708158AB">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9.实验室工艺家具系统：</w:t>
            </w:r>
          </w:p>
          <w:p w14:paraId="0C9927E0">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9.1.范围：负责完成整个实验室专用家具设计，按规范要求选择安全、环保的材质。</w:t>
            </w:r>
          </w:p>
          <w:p w14:paraId="209491EF">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9.2.要求：实验室家具台面采用≥22mm厚陶瓷板。柜体落地全钢结构。钢板厚度不小于1.2mm。其他实验台配套设备和五金配件应选择坚实、耐用、防腐蚀的材料。根据需求针对各个实验室合理布局，同时使用专业材质及相关配套系统进行，首要因素设立疏散、逃生、顺畅无阻的安全通道，人体科学化、人性化的规划设计，专业学科功能，实验室工作人员总人数，仪器设备布局、工作程序、流程及专业等因素综合考虑。</w:t>
            </w:r>
          </w:p>
          <w:p w14:paraId="1CAB3E74">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10.实验室工艺试剂库房：</w:t>
            </w:r>
          </w:p>
          <w:p w14:paraId="467B79A8">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10.1.范围：负责完成八层1间试剂库房设计工作，完成系统内的所有设备选型。</w:t>
            </w:r>
          </w:p>
          <w:p w14:paraId="24D36AA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10.2.要求：包含基础设施建设、安防系统、环境监测系统、防爆集中控制系统、配电系统、温度控制系统、防雷系统、消防系统等。</w:t>
            </w:r>
          </w:p>
          <w:p w14:paraId="2893906E">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11.实验室工艺气路系统：</w:t>
            </w:r>
          </w:p>
          <w:p w14:paraId="3E07D2E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11.1.范围：本项目一层大仪平台实验室氮气、压缩空气气路设计，设计内容包括从气路间到实验室末端用气点整个管路系统，完成系统内的所有设备选型。</w:t>
            </w:r>
          </w:p>
          <w:p w14:paraId="19FC5610">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11.2.要求：供气方式：氮气采用氮气发生器+储气罐供气，压缩空气供气系统采用空压机+储气罐+冷干、过滤的供气方式；气体种类：氮气、零级空气；供气压力：二级减压装置进口压力：2MPa；出口压力：0～0.7MPa(可调节)。</w:t>
            </w:r>
          </w:p>
          <w:p w14:paraId="337DB6C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12.实验室工艺纯水系统：</w:t>
            </w:r>
          </w:p>
          <w:p w14:paraId="1575EB9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12.1.范围：负责完成建筑内部实验室区域纯水系统设计工作(主管、楼层支管原总包单位已配置。纯水设备、室内支管、终端为新建)。完成系统内的所有设备选型。</w:t>
            </w:r>
          </w:p>
          <w:p w14:paraId="7CC2161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12.2.要求：轻工每个楼层布置1个纯水点，化工每个实验室布置1个纯水点位，从地下室引管路到每个实验室纯水点位。包含预处理单元、双反渗透单元、EDI系统单元、超纯水后级处理单元及其他附属设施。产水水质：电导率(25℃)≤0.1us/cm、电阻率(25℃)≥10MΩ·cm；产水水量：轻工与食品工程学院(1-7层)≥1000L/h，化学化工学院(8-11层)≥1000L/h。</w:t>
            </w:r>
          </w:p>
          <w:p w14:paraId="06C6567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13.实验室工艺废水处理系统：</w:t>
            </w:r>
          </w:p>
          <w:p w14:paraId="687CA28E">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13.1.范围：负责完成整个大楼废水处理系统设计图纸。选择合适的处理工艺，保证处理后可以达到国家标准排放要求。完成系统内的所有设备选型。</w:t>
            </w:r>
          </w:p>
          <w:p w14:paraId="1F30C00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13.2.要求：严格执行国家有关法规、规范，严格执行当地有关环境保护的各项规定，废水处理后必须确保各项出水水质指标稳定达到相关排放标准；最大程度实现实验废弃物无害化、减量化和资源化目标。工艺中采用常温常压工艺，确保装置运行的安全性。采用先进、成熟、稳定、实用、经济合理的处理工艺，保证处理效果，并节省投资和运行管理费用；设备选型兼顾通用性和先进性，运行稳定可靠，效率高，管理方便，维修维护工作量少；提高控制操作的自动化程度；最大限度的实现自动化和智能化管理,减少人工操作及劳动强度；采取措施减小对周围环境的影响，合理控制噪声、气味,处理处置固体废弃物，避免二次污染；处理装置布置应结合实际情况，发挥工艺优势，合理利用现有场地地形，选择经济合理的布置形式，贯彻节能原则。设计容量：30m³/d，设备用房控制在36m²内。</w:t>
            </w:r>
          </w:p>
          <w:p w14:paraId="691F20A9">
            <w:pPr>
              <w:shd w:val="clea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四、设计进度要求</w:t>
            </w:r>
          </w:p>
          <w:p w14:paraId="458CC38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(一)设计工期：30日历天(初步设计周期5天，施工图设计、概算、技术参数25天)。</w:t>
            </w:r>
          </w:p>
          <w:p w14:paraId="5BED3AC1">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(二)设计人应根据工期要求，严格按照进度计划和出图计划开展和组织设计工作，方案设计周期保证各阶段设计工作如期完成。</w:t>
            </w:r>
          </w:p>
          <w:p w14:paraId="128685B2">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(三)按照采购人建立的设计例会制度，设计人相关人员应参加设计例会、技术研讨会、协调会等。</w:t>
            </w:r>
          </w:p>
          <w:p w14:paraId="040671F0">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(四)设计人应积极配合采购人对设计工作的全面检查，包括投资额、设计进度、深度与质量、人员到位和投入力量等，对存在的问题，应及时进行整改。</w:t>
            </w:r>
          </w:p>
          <w:p w14:paraId="22C953D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(五)在设计过程中，设计人应及时向采购人提交各种方案、建议，以便采购人对此进行审查把关，控制各种方案的可操作性，保证采购人意图和各种决策意见在勘察设计工作中得以贯彻。</w:t>
            </w:r>
          </w:p>
          <w:p w14:paraId="0C451471">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(六)设计人在设计中应通过多方案技术经济比较，对设计方案进行论证、研究，有效地进行投资控制，确保施工图概算符合设计指标。</w:t>
            </w:r>
          </w:p>
          <w:p w14:paraId="3AD932DE">
            <w:pPr>
              <w:shd w:val="clea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五、服务投入人员要求</w:t>
            </w:r>
          </w:p>
          <w:p w14:paraId="37666BF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每个专业(建筑、给排水、暖通、电气)至少配备一名人员专职服务本项目，且均具有中级及以上工程师职称。</w:t>
            </w:r>
          </w:p>
          <w:p w14:paraId="66FDE07B">
            <w:pPr>
              <w:shd w:val="clea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六、服务质量要求</w:t>
            </w:r>
          </w:p>
          <w:p w14:paraId="3150C225">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(一)设计必须满足实验室使用单位提出的功能要求及采购人要求。</w:t>
            </w:r>
          </w:p>
          <w:p w14:paraId="4C74E190">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(二)设计方案应切合实际，达到技术先进、安全可靠、经济合理、方便施工、便于操作、方便维护。设计文件必须完整、准确、详尽、规范。</w:t>
            </w:r>
          </w:p>
          <w:p w14:paraId="20E830EA">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(三)供应商应按《中华人民共和国建筑法》、《建设工程质量管理条例》、</w:t>
            </w:r>
            <w:r>
              <w:rPr>
                <w:rFonts w:hint="eastAsia" w:ascii="仿宋" w:hAnsi="仿宋" w:eastAsia="仿宋" w:cs="仿宋"/>
                <w:sz w:val="24"/>
                <w:highlight w:val="none"/>
                <w:lang w:bidi="ar"/>
              </w:rPr>
              <w:t>《科研建筑设计标准》（JGJ91－2019）</w:t>
            </w:r>
            <w:r>
              <w:rPr>
                <w:rFonts w:hint="eastAsia" w:ascii="仿宋" w:hAnsi="仿宋" w:eastAsia="仿宋" w:cs="仿宋"/>
                <w:sz w:val="24"/>
                <w:highlight w:val="none"/>
              </w:rPr>
              <w:t>的规定承担本项目的设计质量责任。</w:t>
            </w:r>
          </w:p>
          <w:p w14:paraId="7D3F01C1">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四)设计文件应符合国家有关现行法律、行政法规和相关的工程设计技术规范、规程、行业标准以及地方相关规范和规定，且必须执行国家规定的工程建设标准强制性条文要求。当上述规范、规程、标准存在不一致时，采用的规范、规程、标准应按较高标准执行，除非当地相关部门另有规定。若超出国内规范、规程、标准，应进行技术论证。</w:t>
            </w:r>
          </w:p>
          <w:p w14:paraId="3905571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(五)设计人在合同签订后，应进行项目设计策划，建立质量目标，规定质量要求，编制质量计划，安排应开展的各项活动，并向采购人提交详细的工作大纲和设计计划文件。</w:t>
            </w:r>
          </w:p>
          <w:p w14:paraId="213F5CF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(六)设计人应对本项目工程设计总体性、完整性、统一性全面负责，并对工作范围内的设计安全性、经济合理性负责。</w:t>
            </w:r>
          </w:p>
          <w:p w14:paraId="332E70C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(七)采购人有权聘请设计咨询单位（专家组）为本项目进行设计咨询，设计人应积极响应设计咨询单位（专家组）的咨询意见和建议。</w:t>
            </w:r>
          </w:p>
          <w:p w14:paraId="5CA35DC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(八)设计人交付的设计文件应完整、正确、清晰。</w:t>
            </w:r>
          </w:p>
          <w:p w14:paraId="2AB92A45">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1.“完整”是指每次交付的设计文件是合同及附件中规定的全部设计文件。</w:t>
            </w:r>
          </w:p>
          <w:p w14:paraId="1B812BD5">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正确”是指每次交付的设计文件均符合第1条关于法律、法规、标准、规范的规定；关于各阶段设计文件内容与设计深度的规定应符合相关现行国家及行业规范的要求；设计输入的基础数据完整、正确，设计方法、计算方法与结果、技术参数的选用正确，构造合理，图面表达清楚、文字叙述准确，各专业设计协调统一。</w:t>
            </w:r>
          </w:p>
          <w:p w14:paraId="696C778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3.“清晰”是指每次交付的设计文件中的图样、线条、术语、符号、尺寸标准、文字说明等清楚准确。</w:t>
            </w:r>
          </w:p>
          <w:p w14:paraId="71B7755B">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(九)设计人应根据工程实际，结合采购人已提交基础资料开展设计工作，并注意原地下管线的避让。</w:t>
            </w:r>
          </w:p>
          <w:p w14:paraId="60F22A16">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(十)提交成果要求：</w:t>
            </w:r>
          </w:p>
          <w:p w14:paraId="7787639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1.确保提交的书面成果与电子文件保持一致。</w:t>
            </w:r>
          </w:p>
          <w:p w14:paraId="33737D42">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2.提交书面成果一式3份，内容如下：</w:t>
            </w:r>
          </w:p>
          <w:p w14:paraId="19E1F3A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2.1.涵盖所有委托内容的设计成果报告；</w:t>
            </w:r>
          </w:p>
          <w:p w14:paraId="4B5F9584">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2.2.实验室方案设计图、效果图、动画；</w:t>
            </w:r>
          </w:p>
          <w:p w14:paraId="62CF16E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2.3.实验室各专业施工图；</w:t>
            </w:r>
          </w:p>
          <w:p w14:paraId="4803F120">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2.4.实验室工艺建设概算；</w:t>
            </w:r>
          </w:p>
          <w:p w14:paraId="2FE68420">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2.5.实验室设施性能规格参数、选型及相关技术文件；</w:t>
            </w:r>
          </w:p>
          <w:p w14:paraId="48BA3A78">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3.提交上述报告可编辑的电子文件。</w:t>
            </w:r>
          </w:p>
          <w:p w14:paraId="66FEF4A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4.其他成果资料一式3份。</w:t>
            </w:r>
          </w:p>
        </w:tc>
        <w:tc>
          <w:tcPr>
            <w:tcW w:w="576" w:type="dxa"/>
            <w:tcBorders>
              <w:top w:val="single" w:color="000000" w:sz="4" w:space="0"/>
              <w:left w:val="single" w:color="000000" w:sz="4" w:space="0"/>
              <w:bottom w:val="single" w:color="000000" w:sz="4" w:space="0"/>
              <w:right w:val="single" w:color="000000" w:sz="4" w:space="0"/>
              <w:tl2br w:val="nil"/>
              <w:tr2bl w:val="nil"/>
            </w:tcBorders>
            <w:vAlign w:val="center"/>
          </w:tcPr>
          <w:p w14:paraId="61D9F45B">
            <w:pPr>
              <w:pStyle w:val="11"/>
              <w:shd w:val="clear"/>
              <w:spacing w:line="360" w:lineRule="auto"/>
              <w:jc w:val="center"/>
              <w:rPr>
                <w:rFonts w:hint="eastAsia" w:ascii="仿宋" w:hAnsi="仿宋" w:eastAsia="仿宋" w:cs="仿宋"/>
                <w:b/>
                <w:sz w:val="24"/>
                <w:highlight w:val="none"/>
              </w:rPr>
            </w:pPr>
            <w:r>
              <w:rPr>
                <w:rFonts w:hint="eastAsia" w:ascii="仿宋" w:hAnsi="仿宋" w:eastAsia="仿宋" w:cs="仿宋"/>
                <w:sz w:val="24"/>
                <w:highlight w:val="none"/>
              </w:rPr>
              <w:t>135.09</w:t>
            </w:r>
          </w:p>
        </w:tc>
        <w:tc>
          <w:tcPr>
            <w:tcW w:w="901" w:type="dxa"/>
            <w:tcBorders>
              <w:top w:val="single" w:color="000000" w:sz="4" w:space="0"/>
              <w:left w:val="single" w:color="000000" w:sz="4" w:space="0"/>
              <w:bottom w:val="single" w:color="000000" w:sz="4" w:space="0"/>
              <w:right w:val="single" w:color="000000" w:sz="4" w:space="0"/>
              <w:tl2br w:val="nil"/>
              <w:tr2bl w:val="nil"/>
            </w:tcBorders>
            <w:vAlign w:val="center"/>
          </w:tcPr>
          <w:p w14:paraId="6D4BC51A">
            <w:pPr>
              <w:pStyle w:val="11"/>
              <w:shd w:val="clear"/>
              <w:spacing w:line="360" w:lineRule="auto"/>
              <w:jc w:val="center"/>
              <w:rPr>
                <w:rFonts w:hint="eastAsia" w:ascii="仿宋" w:hAnsi="仿宋" w:eastAsia="仿宋" w:cs="仿宋"/>
                <w:b/>
                <w:sz w:val="24"/>
                <w:highlight w:val="none"/>
              </w:rPr>
            </w:pPr>
            <w:r>
              <w:rPr>
                <w:rFonts w:hint="eastAsia" w:ascii="仿宋" w:hAnsi="仿宋" w:eastAsia="仿宋" w:cs="仿宋"/>
                <w:sz w:val="24"/>
                <w:highlight w:val="none"/>
              </w:rPr>
              <w:t>135.09</w:t>
            </w:r>
          </w:p>
        </w:tc>
      </w:tr>
      <w:tr w14:paraId="7CA97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85" w:type="dxa"/>
            <w:gridSpan w:val="6"/>
            <w:tcBorders>
              <w:top w:val="single" w:color="auto" w:sz="4" w:space="0"/>
              <w:left w:val="single" w:color="auto" w:sz="4" w:space="0"/>
              <w:bottom w:val="single" w:color="auto" w:sz="4" w:space="0"/>
              <w:right w:val="single" w:color="auto" w:sz="4" w:space="0"/>
              <w:tl2br w:val="nil"/>
              <w:tr2bl w:val="nil"/>
            </w:tcBorders>
          </w:tcPr>
          <w:p w14:paraId="7B3F2554">
            <w:pPr>
              <w:shd w:val="clea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▲商务要求</w:t>
            </w:r>
          </w:p>
        </w:tc>
      </w:tr>
      <w:tr w14:paraId="10899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602B5B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合同签订时间</w:t>
            </w:r>
          </w:p>
        </w:tc>
        <w:tc>
          <w:tcPr>
            <w:tcW w:w="701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E6E55D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自成交通知书发出之日起25日内（成交供应商需在成交通知书发出之日起15日内反馈签订的合同文本于采购人）。</w:t>
            </w:r>
          </w:p>
        </w:tc>
      </w:tr>
      <w:tr w14:paraId="3E238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DA4B848">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服务期限和地点</w:t>
            </w:r>
          </w:p>
        </w:tc>
        <w:tc>
          <w:tcPr>
            <w:tcW w:w="701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69E5798">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1.服务期限：自合同签订之日起至本工程竣工验收合格之日止。 </w:t>
            </w:r>
          </w:p>
          <w:p w14:paraId="63BC80EF">
            <w:pPr>
              <w:shd w:val="clear"/>
              <w:spacing w:line="360" w:lineRule="auto"/>
              <w:rPr>
                <w:rFonts w:hint="eastAsia" w:ascii="仿宋" w:hAnsi="仿宋" w:eastAsia="仿宋" w:cs="仿宋"/>
                <w:b/>
                <w:sz w:val="24"/>
                <w:highlight w:val="none"/>
              </w:rPr>
            </w:pPr>
            <w:r>
              <w:rPr>
                <w:rFonts w:hint="eastAsia" w:ascii="仿宋" w:hAnsi="仿宋" w:eastAsia="仿宋" w:cs="仿宋"/>
                <w:sz w:val="24"/>
                <w:highlight w:val="none"/>
              </w:rPr>
              <w:t>2.交付地点：广西大学采购人指定地点。</w:t>
            </w:r>
          </w:p>
        </w:tc>
      </w:tr>
      <w:tr w14:paraId="2A137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7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8C26F32">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结算及付款方式</w:t>
            </w:r>
          </w:p>
        </w:tc>
        <w:tc>
          <w:tcPr>
            <w:tcW w:w="701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FAF2121">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1.结算方式：</w:t>
            </w:r>
          </w:p>
          <w:p w14:paraId="23CE6CEF">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（1）收费标准：按《广西壮族自治区工程建设其他费用定额》（桂建标〔2018〕37号）并考虑专业调整系数取1.0，工程复杂程度调整系数取1.15，附加调整系数取0.5。</w:t>
            </w:r>
          </w:p>
          <w:p w14:paraId="584FC6A0">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设计费结算金额按以下计算：按财政评审审定的或审计部门审定的招标控制价作为基数，按收费标准计算基准价进行计算，即设计费结算金额=基准价×（1-中标下浮系数）。若财政审定的设计费低于设计费结算金额的，按财政审定的设计费金额进行结算。</w:t>
            </w:r>
          </w:p>
          <w:p w14:paraId="235C9A6E">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2.付款方式：</w:t>
            </w:r>
          </w:p>
          <w:p w14:paraId="6142A7F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（1）设计成果完成以及具备项目工程招标条件后7个工作日内，采购人向成交供应商支付合同总价的70%进度款。</w:t>
            </w:r>
          </w:p>
          <w:p w14:paraId="761D4E00">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（2）本工程竣工验收合格7个工作日内支付剩余合同尾款。</w:t>
            </w:r>
          </w:p>
          <w:p w14:paraId="1BFAD6FE">
            <w:pPr>
              <w:shd w:val="clear"/>
              <w:spacing w:line="360" w:lineRule="auto"/>
              <w:rPr>
                <w:highlight w:val="none"/>
              </w:rPr>
            </w:pPr>
            <w:r>
              <w:rPr>
                <w:rFonts w:hint="eastAsia" w:ascii="仿宋" w:hAnsi="仿宋" w:eastAsia="仿宋" w:cs="仿宋"/>
                <w:sz w:val="24"/>
                <w:highlight w:val="none"/>
              </w:rPr>
              <w:t>（3）每次付款前供应商应向采购人开具等额的增值税专用发票。</w:t>
            </w:r>
          </w:p>
        </w:tc>
      </w:tr>
      <w:tr w14:paraId="713D1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F503254">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验收要求</w:t>
            </w:r>
          </w:p>
        </w:tc>
        <w:tc>
          <w:tcPr>
            <w:tcW w:w="701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2A16719E">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1.要求履约过程中所有服务行为、成果文件等均不涉及任何法律纠纷。</w:t>
            </w:r>
          </w:p>
          <w:p w14:paraId="565F3BF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验收时由采购人或邀请有资质的第三方机构对照采购文件的技术指标全面核对检验，如不符合采购文件的技术需求或提供虚假承诺、虚假检测报告等任何虚假材料的，采购人有权拒绝验收并认定成交供应商违约，采购人有权单方解除合同，由成交供应商承担所有责任和费用，采购人保留进一步追究责任的权利。</w:t>
            </w:r>
          </w:p>
          <w:p w14:paraId="6260954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3.本项目须严格执行国家、地方及行业相关验收标准及规范。</w:t>
            </w:r>
          </w:p>
          <w:p w14:paraId="700B5F25">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4.采购人预验收及履约验收过程中所产生的一切费用均由成交供应商承担，报价时应考虑相关费用。</w:t>
            </w:r>
          </w:p>
        </w:tc>
      </w:tr>
      <w:tr w14:paraId="4F648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A5F236D">
            <w:pPr>
              <w:shd w:val="clear"/>
              <w:spacing w:line="360" w:lineRule="auto"/>
              <w:rPr>
                <w:rFonts w:hint="eastAsia" w:ascii="仿宋" w:hAnsi="仿宋" w:eastAsia="仿宋" w:cs="仿宋"/>
                <w:b/>
                <w:sz w:val="24"/>
                <w:highlight w:val="none"/>
              </w:rPr>
            </w:pPr>
            <w:r>
              <w:rPr>
                <w:rFonts w:hint="eastAsia" w:ascii="仿宋" w:hAnsi="仿宋" w:eastAsia="仿宋" w:cs="仿宋"/>
                <w:sz w:val="24"/>
                <w:highlight w:val="none"/>
              </w:rPr>
              <w:t>报价要求</w:t>
            </w:r>
          </w:p>
        </w:tc>
        <w:tc>
          <w:tcPr>
            <w:tcW w:w="701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5CDD744">
            <w:pPr>
              <w:shd w:val="clear"/>
              <w:spacing w:line="360" w:lineRule="auto"/>
              <w:rPr>
                <w:rFonts w:hint="eastAsia" w:ascii="仿宋" w:hAnsi="仿宋" w:eastAsia="仿宋" w:cs="仿宋"/>
                <w:sz w:val="24"/>
                <w:highlight w:val="none"/>
              </w:rPr>
            </w:pPr>
            <w:r>
              <w:rPr>
                <w:highlight w:val="none"/>
              </w:rPr>
              <w:t>1.</w:t>
            </w:r>
            <w:r>
              <w:rPr>
                <w:rFonts w:hint="eastAsia" w:ascii="仿宋" w:hAnsi="仿宋" w:eastAsia="仿宋" w:cs="仿宋"/>
                <w:sz w:val="24"/>
                <w:highlight w:val="none"/>
              </w:rPr>
              <w:t>竞争性磋商报价合计金额包括但不限于满足本次响应全部采购需求所应提供的服务，以及伴随的货物和工程（如有）的价格；包含磋商服务、劳务费、软硬件设备、机具材料费、交通费、数据处理、安装、调试、检验、技术服务、成果文件编制印刷、质量检查、检测、培训、预验收及履约验收、售后服务、税费及其它所有成本费用的总和。税费因政策等原因发生变化的，由成交供应商承担。合同履约期间采购人不再支付其他费用。国家规定的相关调整系数自行考虑在内。</w:t>
            </w:r>
          </w:p>
          <w:p w14:paraId="6C4B6B15">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2.本项目采用下浮系数报价。合同期内，下浮系数不再调整。</w:t>
            </w:r>
          </w:p>
        </w:tc>
      </w:tr>
      <w:tr w14:paraId="5E50B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519E43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现场踏勘</w:t>
            </w:r>
          </w:p>
        </w:tc>
        <w:tc>
          <w:tcPr>
            <w:tcW w:w="7010" w:type="dxa"/>
            <w:gridSpan w:val="4"/>
            <w:tcBorders>
              <w:top w:val="single" w:color="auto" w:sz="4" w:space="0"/>
              <w:left w:val="single" w:color="auto" w:sz="4" w:space="0"/>
              <w:bottom w:val="single" w:color="auto" w:sz="4" w:space="0"/>
              <w:right w:val="single" w:color="auto" w:sz="4" w:space="0"/>
              <w:tl2br w:val="nil"/>
              <w:tr2bl w:val="nil"/>
            </w:tcBorders>
          </w:tcPr>
          <w:p w14:paraId="2AA80898">
            <w:pPr>
              <w:shd w:val="clear"/>
              <w:spacing w:line="360" w:lineRule="auto"/>
              <w:rPr>
                <w:rFonts w:hint="eastAsia" w:ascii="仿宋" w:hAnsi="仿宋" w:eastAsia="仿宋" w:cs="仿宋"/>
                <w:sz w:val="24"/>
                <w:highlight w:val="none"/>
              </w:rPr>
            </w:pPr>
            <w:bookmarkStart w:id="31" w:name="OLE_LINK5"/>
            <w:r>
              <w:rPr>
                <w:rFonts w:hint="eastAsia" w:ascii="仿宋" w:hAnsi="仿宋" w:eastAsia="仿宋" w:cs="仿宋"/>
                <w:sz w:val="24"/>
                <w:highlight w:val="none"/>
              </w:rPr>
              <w:t>1.供应商可在2026年</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 xml:space="preserve">日以前自行考察，采购人不统一组织踏勘。 </w:t>
            </w:r>
          </w:p>
          <w:p w14:paraId="587B8BF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2.供应商仅限步行入校。需提前通过“平安西大”微信公众号申请入校。预约流程：登录“平安西大”微信公众号→校门管理→行人预约。请至少提前24小时预约。</w:t>
            </w:r>
            <w:bookmarkEnd w:id="31"/>
          </w:p>
        </w:tc>
      </w:tr>
      <w:tr w14:paraId="48C53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2A61BA">
            <w:pPr>
              <w:shd w:val="clear"/>
              <w:spacing w:line="360" w:lineRule="auto"/>
              <w:rPr>
                <w:rFonts w:hint="eastAsia" w:ascii="仿宋" w:hAnsi="仿宋" w:eastAsia="仿宋" w:cs="仿宋"/>
                <w:b/>
                <w:sz w:val="24"/>
                <w:highlight w:val="none"/>
              </w:rPr>
            </w:pPr>
            <w:r>
              <w:rPr>
                <w:rFonts w:hint="eastAsia" w:ascii="仿宋" w:hAnsi="仿宋" w:eastAsia="仿宋" w:cs="仿宋"/>
                <w:sz w:val="24"/>
                <w:highlight w:val="none"/>
              </w:rPr>
              <w:t>履约保证金的收取与退付</w:t>
            </w:r>
          </w:p>
        </w:tc>
        <w:tc>
          <w:tcPr>
            <w:tcW w:w="7010" w:type="dxa"/>
            <w:gridSpan w:val="4"/>
            <w:tcBorders>
              <w:top w:val="single" w:color="auto" w:sz="4" w:space="0"/>
              <w:left w:val="single" w:color="auto" w:sz="4" w:space="0"/>
              <w:bottom w:val="single" w:color="auto" w:sz="4" w:space="0"/>
              <w:right w:val="single" w:color="auto" w:sz="4" w:space="0"/>
              <w:tl2br w:val="nil"/>
              <w:tr2bl w:val="nil"/>
            </w:tcBorders>
          </w:tcPr>
          <w:p w14:paraId="0AEFB54A">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1.履约保证金金额：履约保证金为合同金额的5%（成交供应商为中小微企业的，履约保证金为合同金额的2%。以响应文件中提交的中小企业声明函为依据）；签订合同时交至指定账户。</w:t>
            </w:r>
          </w:p>
          <w:p w14:paraId="4E7C423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2.履约保证金递交方式：银行转账、保函等非现金方式。由成交供应商在签订合同时按规定的金额直接缴入以下采购人账户或将保函原件交给采购人。</w:t>
            </w:r>
          </w:p>
          <w:p w14:paraId="6A4FB568">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统一社会信用代码：124500004985009929</w:t>
            </w:r>
          </w:p>
          <w:p w14:paraId="1F8B31E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户名：广西大学   </w:t>
            </w:r>
          </w:p>
          <w:p w14:paraId="46A31472">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开户行：中国银行广西南宁市西大支行（行号：104611010324）</w:t>
            </w:r>
          </w:p>
          <w:p w14:paraId="01F804E6">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账号：618 457 484 938 </w:t>
            </w:r>
          </w:p>
          <w:p w14:paraId="5F4E48C2">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地址：广西南宁市大学东路100号  </w:t>
            </w:r>
          </w:p>
          <w:p w14:paraId="6CC3ACE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电话：0771-3232888</w:t>
            </w:r>
          </w:p>
          <w:p w14:paraId="3D1FEE8B">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缴纳履约保证金注明：“项目名称+项目编号”履约保证金。</w:t>
            </w:r>
          </w:p>
          <w:p w14:paraId="4292FBB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3.履约保证金退付方式、时间及条件：成交供应商若不能完全履行合同，履约保证金不予退还；成交供应商若完全履行合同，服务验收合格后，成交供应商凭履约保证金缴款凭证、退付意见书到采购人财务部门办理无息退还手续。</w:t>
            </w:r>
          </w:p>
          <w:p w14:paraId="68B49BF2">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4.备注：</w:t>
            </w:r>
          </w:p>
          <w:p w14:paraId="59D1B1CB">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（1）履约保证金必须足额缴纳，或出具的保函额度必须足额且保函有效期不能低于合同履行期限（即签订采购合同之日起至履行完合同约定的权利及义务之日止），否则视为无效履约保证金。</w:t>
            </w:r>
          </w:p>
          <w:p w14:paraId="6353F361">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（2）采用保函的，必须为无条件保函，否则视为无效履约保证金。</w:t>
            </w:r>
          </w:p>
        </w:tc>
      </w:tr>
      <w:tr w14:paraId="6E34E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ABB1E32">
            <w:pPr>
              <w:pStyle w:val="71"/>
              <w:shd w:val="clear"/>
              <w:spacing w:line="360" w:lineRule="auto"/>
              <w:ind w:firstLine="0" w:firstLineChars="0"/>
              <w:jc w:val="center"/>
              <w:rPr>
                <w:rFonts w:hint="eastAsia" w:ascii="仿宋" w:hAnsi="仿宋" w:eastAsia="仿宋" w:cs="仿宋"/>
                <w:b/>
                <w:sz w:val="24"/>
                <w:highlight w:val="none"/>
              </w:rPr>
            </w:pPr>
            <w:r>
              <w:rPr>
                <w:rFonts w:hint="eastAsia" w:ascii="仿宋" w:hAnsi="仿宋" w:eastAsia="仿宋" w:cs="仿宋"/>
                <w:b/>
                <w:sz w:val="24"/>
                <w:highlight w:val="none"/>
              </w:rPr>
              <w:t>其他要求</w:t>
            </w:r>
          </w:p>
        </w:tc>
        <w:tc>
          <w:tcPr>
            <w:tcW w:w="7010"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3601237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1.本项目商务条款要求与合同条款互为补充。</w:t>
            </w:r>
          </w:p>
          <w:p w14:paraId="526F35D1">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供应商根据自身情况可以在响应文件中提供详细的设计理念、总体概述、设计方案、针对本项目的重点、难点、关键技术、工艺进行分析并提供解决方案合理化建议、针对各功能间需提供详细的效果图及动画、设计进度计划和有效的质量保证措施、拟投入本项目人员情况、类似业绩等材料。</w:t>
            </w:r>
          </w:p>
          <w:p w14:paraId="0CE41B85">
            <w:pPr>
              <w:shd w:val="clear"/>
              <w:spacing w:line="360" w:lineRule="auto"/>
              <w:rPr>
                <w:rFonts w:hint="eastAsia" w:ascii="仿宋" w:hAnsi="仿宋" w:eastAsia="仿宋" w:cs="仿宋"/>
                <w:b/>
                <w:sz w:val="24"/>
                <w:highlight w:val="none"/>
              </w:rPr>
            </w:pPr>
            <w:r>
              <w:rPr>
                <w:rFonts w:hint="eastAsia" w:ascii="仿宋" w:hAnsi="仿宋" w:eastAsia="仿宋" w:cs="仿宋"/>
                <w:sz w:val="24"/>
                <w:highlight w:val="none"/>
              </w:rPr>
              <w:t>3.采购文件附件：建筑平面图纸。</w:t>
            </w:r>
          </w:p>
        </w:tc>
      </w:tr>
    </w:tbl>
    <w:p w14:paraId="3F781BE8">
      <w:pPr>
        <w:shd w:val="clear"/>
        <w:rPr>
          <w:rFonts w:hint="eastAsia" w:ascii="仿宋" w:hAnsi="仿宋" w:eastAsia="仿宋" w:cs="仿宋"/>
          <w:bCs/>
          <w:sz w:val="24"/>
          <w:highlight w:val="none"/>
        </w:rPr>
      </w:pPr>
    </w:p>
    <w:p w14:paraId="634E0E81">
      <w:pPr>
        <w:shd w:val="clea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098D8748">
      <w:pPr>
        <w:pStyle w:val="17"/>
        <w:shd w:val="clea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附：</w:t>
      </w:r>
    </w:p>
    <w:p w14:paraId="158B8018">
      <w:pPr>
        <w:shd w:val="clear"/>
        <w:jc w:val="center"/>
        <w:rPr>
          <w:rFonts w:hint="eastAsia" w:ascii="仿宋" w:hAnsi="仿宋" w:eastAsia="仿宋" w:cs="仿宋"/>
          <w:sz w:val="44"/>
          <w:szCs w:val="44"/>
          <w:highlight w:val="none"/>
        </w:rPr>
      </w:pPr>
      <w:r>
        <w:rPr>
          <w:rFonts w:hint="eastAsia" w:ascii="仿宋" w:hAnsi="仿宋" w:eastAsia="仿宋" w:cs="仿宋"/>
          <w:sz w:val="44"/>
          <w:szCs w:val="44"/>
          <w:highlight w:val="none"/>
        </w:rPr>
        <w:t>中小微企业划型标准</w:t>
      </w:r>
    </w:p>
    <w:p w14:paraId="23BDCF45">
      <w:pPr>
        <w:shd w:val="clear"/>
        <w:ind w:left="1871"/>
        <w:rPr>
          <w:rFonts w:hint="eastAsia" w:ascii="仿宋" w:hAnsi="仿宋" w:eastAsia="仿宋" w:cs="仿宋"/>
          <w:szCs w:val="21"/>
          <w:highlight w:val="none"/>
        </w:rPr>
      </w:pPr>
    </w:p>
    <w:tbl>
      <w:tblPr>
        <w:tblStyle w:val="29"/>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27BF73AE">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3C54689">
            <w:pPr>
              <w:widowControl/>
              <w:shd w:val="clear"/>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022FBFA7">
            <w:pPr>
              <w:widowControl/>
              <w:shd w:val="clear"/>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7CD820E3">
            <w:pPr>
              <w:widowControl/>
              <w:shd w:val="clear"/>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0A729FA7">
            <w:pPr>
              <w:widowControl/>
              <w:shd w:val="clear"/>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6A638589">
            <w:pPr>
              <w:widowControl/>
              <w:shd w:val="clear"/>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0706B7A2">
            <w:pPr>
              <w:widowControl/>
              <w:shd w:val="clear"/>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微型</w:t>
            </w:r>
          </w:p>
        </w:tc>
      </w:tr>
      <w:tr w14:paraId="6321B45B">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76C5AC08">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1865963C">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C4141DC">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E884207">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0C59EDB9">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71018A40">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3CDA014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F10F1AF">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68148C41">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75596F7">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98D7D84">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3414E721">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0F39CFB">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3015EF9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270E90D">
            <w:pPr>
              <w:widowControl/>
              <w:shd w:val="clear"/>
              <w:jc w:val="left"/>
              <w:rPr>
                <w:rFonts w:hint="eastAsia"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0A957CA">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B999F79">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F87BC8C">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75592DA8">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79398E53">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362066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494CA1F">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6B1ADA6E">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03A9FA2">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40AAC18">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0878EEF0">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2273235D">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Y＜300</w:t>
            </w:r>
          </w:p>
        </w:tc>
      </w:tr>
      <w:tr w14:paraId="1A2C101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413986B">
            <w:pPr>
              <w:widowControl/>
              <w:shd w:val="clear"/>
              <w:jc w:val="left"/>
              <w:rPr>
                <w:rFonts w:hint="eastAsia"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ECAF638">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B54A8C5">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9DB7305">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52D85E68">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51AAA295">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Z＜300</w:t>
            </w:r>
          </w:p>
        </w:tc>
      </w:tr>
      <w:tr w14:paraId="749F507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770F8CD">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340592C9">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4DCF957">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C567405">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5BADAF7E">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3132602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X＜5</w:t>
            </w:r>
          </w:p>
        </w:tc>
      </w:tr>
      <w:tr w14:paraId="242E66A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EDDF990">
            <w:pPr>
              <w:widowControl/>
              <w:shd w:val="clear"/>
              <w:jc w:val="left"/>
              <w:rPr>
                <w:rFonts w:hint="eastAsia"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4BBBC30">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12F641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21F9A5A">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517139FF">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7FCADA87">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Y＜1000</w:t>
            </w:r>
          </w:p>
        </w:tc>
      </w:tr>
      <w:tr w14:paraId="09A6E38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324E704">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59BF4FD4">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B666DE1">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3921FDD">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57DD33EE">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5C1E18B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003285A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2724FC2">
            <w:pPr>
              <w:widowControl/>
              <w:shd w:val="clear"/>
              <w:jc w:val="left"/>
              <w:rPr>
                <w:rFonts w:hint="eastAsia"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566AB06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5FE1A9C">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04FBF8C">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5E740E69">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2559C6F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1E701BD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D3E8A60">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534F4085">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26B06A9">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EEB3AC9">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13B3678">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77A5606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14FE4DD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DE911CC">
            <w:pPr>
              <w:widowControl/>
              <w:shd w:val="clear"/>
              <w:jc w:val="left"/>
              <w:rPr>
                <w:rFonts w:hint="eastAsia"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015CA145">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9A38598">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148F487">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16D9E252">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3FCC2042">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Y＜200</w:t>
            </w:r>
          </w:p>
        </w:tc>
      </w:tr>
      <w:tr w14:paraId="0282CE2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AFDA824">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70286842">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9349D7E">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28ACBCE">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31B9804B">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347B8AA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152B747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F2AC14B">
            <w:pPr>
              <w:widowControl/>
              <w:shd w:val="clear"/>
              <w:jc w:val="left"/>
              <w:rPr>
                <w:rFonts w:hint="eastAsia"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56465D5F">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478F17B">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ED4F213">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1A577615">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2859B96E">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FDEF20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F2012AF">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4C799D6A">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098BD2D">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E9E671A">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DE61EC0">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5036581B">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X＜20</w:t>
            </w:r>
          </w:p>
        </w:tc>
      </w:tr>
      <w:tr w14:paraId="458CBAF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6F7D7CD">
            <w:pPr>
              <w:widowControl/>
              <w:shd w:val="clear"/>
              <w:jc w:val="left"/>
              <w:rPr>
                <w:rFonts w:hint="eastAsia"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5D1EA478">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B9876FE">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319E197">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32F02650">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1FA9757">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7B6FE85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2EEB309">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5A573769">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EF59A7F">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F34F4CC">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7D9FF6D8">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7CCDBA45">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5F9FECF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F324F5E">
            <w:pPr>
              <w:widowControl/>
              <w:shd w:val="clear"/>
              <w:jc w:val="left"/>
              <w:rPr>
                <w:rFonts w:hint="eastAsia"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81B8E4F">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42F394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2B524B2">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A4D9AA8">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5E32D84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EC1F69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551A887">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78BB07C0">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A25403E">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21E6F27">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49B02D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69C8932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6802BAD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21ECEC3">
            <w:pPr>
              <w:widowControl/>
              <w:shd w:val="clear"/>
              <w:jc w:val="left"/>
              <w:rPr>
                <w:rFonts w:hint="eastAsia"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72EECDA1">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E537B92">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3B877F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6DF161A">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375F8F21">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0ECE73E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BC7438B">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3676F91F">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D3FFAFF">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A8CCF38">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36F6753B">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7FC22C4">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1F4F620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401478">
            <w:pPr>
              <w:widowControl/>
              <w:shd w:val="clear"/>
              <w:jc w:val="left"/>
              <w:rPr>
                <w:rFonts w:hint="eastAsia"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325E0CFF">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D255E7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DA5CE2C">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5CE3711C">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1C771438">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49DD944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370EE3A">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5E7003AE">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A4A1789">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77596C5">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525DFA7">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901EC93">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2A4B26B9">
        <w:tblPrEx>
          <w:tblCellMar>
            <w:top w:w="0" w:type="dxa"/>
            <w:left w:w="108" w:type="dxa"/>
            <w:bottom w:w="0" w:type="dxa"/>
            <w:right w:w="108" w:type="dxa"/>
          </w:tblCellMar>
        </w:tblPrEx>
        <w:trPr>
          <w:trHeight w:val="323" w:hRule="exact"/>
          <w:jc w:val="center"/>
        </w:trPr>
        <w:tc>
          <w:tcPr>
            <w:tcW w:w="1701" w:type="dxa"/>
            <w:vMerge w:val="continue"/>
            <w:tcBorders>
              <w:top w:val="nil"/>
              <w:left w:val="single" w:color="auto" w:sz="4" w:space="0"/>
              <w:bottom w:val="single" w:color="auto" w:sz="4" w:space="0"/>
              <w:right w:val="single" w:color="auto" w:sz="4" w:space="0"/>
            </w:tcBorders>
            <w:vAlign w:val="center"/>
          </w:tcPr>
          <w:p w14:paraId="548D34B7">
            <w:pPr>
              <w:widowControl/>
              <w:shd w:val="clear"/>
              <w:jc w:val="left"/>
              <w:rPr>
                <w:rFonts w:hint="eastAsia"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482C25AC">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0AE257A">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3E0AC0A">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2D34B2A2">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59B5B0C4">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w:t>
            </w:r>
          </w:p>
        </w:tc>
      </w:tr>
      <w:tr w14:paraId="355EFFB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01940AE">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03D312E7">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388EA87">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69A293D">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232CEE17">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0DB6B589">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X＜100</w:t>
            </w:r>
          </w:p>
        </w:tc>
      </w:tr>
      <w:tr w14:paraId="3DE3621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884089D">
            <w:pPr>
              <w:widowControl/>
              <w:shd w:val="clear"/>
              <w:jc w:val="left"/>
              <w:rPr>
                <w:rFonts w:hint="eastAsia"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C4B2450">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09BCCA29">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AA44A1B">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7BBBC50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6D826180">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Y＜2000</w:t>
            </w:r>
          </w:p>
        </w:tc>
      </w:tr>
      <w:tr w14:paraId="3D12D92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737BAB1">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1001EF12">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53D460E">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AB549A0">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7D63DFD">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2114FBF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X＜100</w:t>
            </w:r>
          </w:p>
        </w:tc>
      </w:tr>
      <w:tr w14:paraId="445FE22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722276E">
            <w:pPr>
              <w:widowControl/>
              <w:shd w:val="clear"/>
              <w:jc w:val="left"/>
              <w:rPr>
                <w:rFonts w:hint="eastAsia"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144F7484">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7359F5B">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F2F30C2">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006E865B">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2B24F88C">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Y＜500</w:t>
            </w:r>
          </w:p>
        </w:tc>
      </w:tr>
      <w:tr w14:paraId="2DDBF01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D731E70">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34637605">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6B374A8">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D8F3EE1">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B6BFC27">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8B549C6">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r w14:paraId="120361F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996A747">
            <w:pPr>
              <w:widowControl/>
              <w:shd w:val="clear"/>
              <w:jc w:val="left"/>
              <w:rPr>
                <w:rFonts w:hint="eastAsia" w:ascii="仿宋" w:hAnsi="仿宋" w:eastAsia="仿宋" w:cs="仿宋"/>
                <w:b/>
                <w:bCs/>
                <w:kern w:val="0"/>
                <w:sz w:val="18"/>
                <w:szCs w:val="18"/>
                <w:highlight w:val="none"/>
              </w:rPr>
            </w:pPr>
          </w:p>
        </w:tc>
        <w:tc>
          <w:tcPr>
            <w:tcW w:w="1384" w:type="dxa"/>
            <w:tcBorders>
              <w:top w:val="nil"/>
              <w:left w:val="nil"/>
              <w:bottom w:val="single" w:color="auto" w:sz="4" w:space="0"/>
              <w:right w:val="single" w:color="auto" w:sz="4" w:space="0"/>
            </w:tcBorders>
            <w:vAlign w:val="center"/>
          </w:tcPr>
          <w:p w14:paraId="539C3179">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A22D144">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4C2DD2C">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12AB8EB2">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5A8DEE7F">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Y＜100</w:t>
            </w:r>
          </w:p>
        </w:tc>
      </w:tr>
      <w:tr w14:paraId="628161A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6D1324B">
            <w:pPr>
              <w:widowControl/>
              <w:shd w:val="clear"/>
              <w:jc w:val="center"/>
              <w:rPr>
                <w:rFonts w:hint="eastAsia" w:ascii="仿宋" w:hAnsi="仿宋" w:eastAsia="仿宋" w:cs="仿宋"/>
                <w:b/>
                <w:bCs/>
                <w:kern w:val="0"/>
                <w:sz w:val="18"/>
                <w:szCs w:val="18"/>
                <w:highlight w:val="none"/>
              </w:rPr>
            </w:pPr>
            <w:r>
              <w:rPr>
                <w:rFonts w:hint="eastAsia" w:ascii="仿宋" w:hAnsi="仿宋" w:eastAsia="仿宋" w:cs="仿宋"/>
                <w:b/>
                <w:bCs/>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4283359F">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EACEE74">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B449BE1">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21CC201">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44B9435">
            <w:pPr>
              <w:widowControl/>
              <w:shd w:val="clear"/>
              <w:jc w:val="left"/>
              <w:rPr>
                <w:rFonts w:hint="eastAsia" w:ascii="仿宋" w:hAnsi="仿宋" w:eastAsia="仿宋" w:cs="仿宋"/>
                <w:kern w:val="0"/>
                <w:sz w:val="18"/>
                <w:szCs w:val="18"/>
                <w:highlight w:val="none"/>
              </w:rPr>
            </w:pPr>
            <w:r>
              <w:rPr>
                <w:rFonts w:hint="eastAsia" w:ascii="仿宋" w:hAnsi="仿宋" w:eastAsia="仿宋" w:cs="仿宋"/>
                <w:kern w:val="0"/>
                <w:sz w:val="18"/>
                <w:szCs w:val="18"/>
                <w:highlight w:val="none"/>
              </w:rPr>
              <w:t>X＜10</w:t>
            </w:r>
          </w:p>
        </w:tc>
      </w:tr>
    </w:tbl>
    <w:p w14:paraId="188D6BC4">
      <w:pPr>
        <w:shd w:val="clear"/>
        <w:spacing w:line="360" w:lineRule="auto"/>
        <w:ind w:firstLine="525" w:firstLineChars="250"/>
        <w:rPr>
          <w:rFonts w:hint="eastAsia" w:ascii="仿宋" w:hAnsi="仿宋" w:eastAsia="仿宋" w:cs="仿宋"/>
          <w:szCs w:val="21"/>
          <w:highlight w:val="none"/>
        </w:rPr>
      </w:pPr>
    </w:p>
    <w:p w14:paraId="046BF4FB">
      <w:pPr>
        <w:shd w:val="clear"/>
        <w:spacing w:line="360" w:lineRule="auto"/>
        <w:ind w:firstLine="527" w:firstLineChars="250"/>
        <w:rPr>
          <w:rFonts w:hint="eastAsia" w:ascii="仿宋" w:hAnsi="仿宋" w:eastAsia="仿宋" w:cs="仿宋"/>
          <w:szCs w:val="21"/>
          <w:highlight w:val="none"/>
        </w:rPr>
      </w:pPr>
      <w:r>
        <w:rPr>
          <w:rFonts w:hint="eastAsia" w:ascii="仿宋" w:hAnsi="仿宋" w:eastAsia="仿宋" w:cs="仿宋"/>
          <w:b/>
          <w:szCs w:val="21"/>
          <w:highlight w:val="none"/>
        </w:rPr>
        <w:t>说明：</w:t>
      </w:r>
      <w:r>
        <w:rPr>
          <w:rFonts w:hint="eastAsia" w:ascii="仿宋" w:hAnsi="仿宋" w:eastAsia="仿宋" w:cs="仿宋"/>
          <w:szCs w:val="21"/>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3CA1EC31">
      <w:pPr>
        <w:pStyle w:val="2"/>
        <w:shd w:val="clear"/>
        <w:rPr>
          <w:rFonts w:hint="eastAsia" w:ascii="仿宋" w:hAnsi="仿宋" w:cs="仿宋"/>
          <w:highlight w:val="none"/>
        </w:rPr>
      </w:pPr>
      <w:r>
        <w:rPr>
          <w:rFonts w:hint="eastAsia" w:ascii="仿宋" w:hAnsi="仿宋" w:cs="仿宋"/>
          <w:highlight w:val="none"/>
        </w:rPr>
        <w:br w:type="page"/>
      </w:r>
      <w:bookmarkStart w:id="32" w:name="_Toc16830"/>
      <w:r>
        <w:rPr>
          <w:rFonts w:hint="eastAsia" w:ascii="仿宋" w:hAnsi="仿宋" w:cs="仿宋"/>
          <w:highlight w:val="none"/>
        </w:rPr>
        <w:t>第四章 评审程序、评审方法和评审标准</w:t>
      </w:r>
      <w:bookmarkEnd w:id="32"/>
    </w:p>
    <w:p w14:paraId="2AEEF7AF">
      <w:pPr>
        <w:shd w:val="clea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一、评审程序和评审方法</w:t>
      </w:r>
    </w:p>
    <w:p w14:paraId="2CA0ACEC">
      <w:pPr>
        <w:shd w:val="clear"/>
        <w:spacing w:line="360" w:lineRule="auto"/>
        <w:ind w:firstLine="482" w:firstLineChars="200"/>
        <w:rPr>
          <w:rFonts w:hint="eastAsia" w:ascii="仿宋" w:hAnsi="仿宋" w:eastAsia="仿宋" w:cs="仿宋"/>
          <w:b/>
          <w:bCs/>
          <w:sz w:val="24"/>
          <w:highlight w:val="none"/>
        </w:rPr>
      </w:pPr>
    </w:p>
    <w:p w14:paraId="2B16A3FD">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1.资格审查</w:t>
      </w:r>
    </w:p>
    <w:p w14:paraId="1E9DFAFA">
      <w:pPr>
        <w:shd w:val="clea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1.1响应文件开启后，磋商小组依法对供应商的资格证明文件进行审查。</w:t>
      </w:r>
    </w:p>
    <w:p w14:paraId="2DB20909">
      <w:pPr>
        <w:shd w:val="clear"/>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（1）查询渠道：“信用中国”网站（www.creditchina.gov.cn）、中国政府采购网（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仿宋" w:hAnsi="仿宋" w:eastAsia="仿宋" w:cs="仿宋"/>
          <w:sz w:val="24"/>
          <w:highlight w:val="none"/>
        </w:rPr>
        <w:t>www.ccgp.gov.cn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22116B4C">
      <w:pPr>
        <w:shd w:val="clear"/>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（2）信用查询截止时点：资格审查结束前</w:t>
      </w:r>
    </w:p>
    <w:p w14:paraId="114E11F6">
      <w:pPr>
        <w:shd w:val="clear"/>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（3）查询记录和证据留存方式：将查询网站中的查询记录截图并作为评审资料保存。</w:t>
      </w:r>
    </w:p>
    <w:p w14:paraId="7B13CB8D">
      <w:pPr>
        <w:shd w:val="clear"/>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174E179">
      <w:pPr>
        <w:shd w:val="clear"/>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1.2资格审查标准为本磋商文件中载明对供应商资格要求的条件。资格审查采用合格制，凡符合磋商文件规定的供应商资格要求的响应文件均通过资格审查。</w:t>
      </w:r>
    </w:p>
    <w:p w14:paraId="3BFAC589">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1.3供应商有下列情形之一的，资格审查不通过，其响应文件按无效响应处理：</w:t>
      </w:r>
    </w:p>
    <w:p w14:paraId="1E78E5CC">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（1）不具备磋商文件中规定的资格要求的；</w:t>
      </w:r>
    </w:p>
    <w:p w14:paraId="1F149276">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（2）响应文件的资格证明文件缺少任一项“供应商须知前附表”资格证明文件规定的“必须提供”的文件资料的；</w:t>
      </w:r>
    </w:p>
    <w:p w14:paraId="73437A0D">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（3）响应文件中的资格证明文件出现任一项不符合“供应商须知前附表”资格证明文件规定的“必须提供”的文件资料要求或者无效的；</w:t>
      </w:r>
    </w:p>
    <w:p w14:paraId="7EAE45F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7EBF480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1.4通过资格审查的合格供应商不足3家的，不得进入符合性审查环节，采购人或者采购代理机构应当重新开展采购活动。</w:t>
      </w:r>
    </w:p>
    <w:p w14:paraId="0B3B4E60">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2.符合性审查</w:t>
      </w:r>
    </w:p>
    <w:p w14:paraId="7D3A68E7">
      <w:pPr>
        <w:shd w:val="clear"/>
        <w:spacing w:line="360" w:lineRule="auto"/>
        <w:ind w:firstLine="480" w:firstLineChars="200"/>
        <w:rPr>
          <w:rFonts w:hint="eastAsia" w:ascii="仿宋" w:hAnsi="仿宋" w:eastAsia="仿宋" w:cs="仿宋"/>
          <w:sz w:val="24"/>
          <w:highlight w:val="none"/>
        </w:rPr>
      </w:pPr>
      <w:bookmarkStart w:id="33" w:name="_Hlk42528882"/>
      <w:r>
        <w:rPr>
          <w:rFonts w:hint="eastAsia" w:ascii="仿宋" w:hAnsi="仿宋" w:eastAsia="仿宋" w:cs="仿宋"/>
          <w:sz w:val="24"/>
          <w:highlight w:val="none"/>
        </w:rPr>
        <w:t>2.1由磋商小组对资格审查的合格供应商的响应文件的竞争性磋商报价、商务、技术等实质性要求进行符合性审查，以确定其是否满足磋商文件的实质性要求。</w:t>
      </w:r>
    </w:p>
    <w:bookmarkEnd w:id="33"/>
    <w:p w14:paraId="44D75051">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310A92">
      <w:pPr>
        <w:shd w:val="clear"/>
        <w:spacing w:line="360" w:lineRule="auto"/>
        <w:ind w:firstLine="480" w:firstLineChars="200"/>
        <w:rPr>
          <w:rFonts w:hint="eastAsia" w:ascii="仿宋" w:hAnsi="仿宋" w:eastAsia="仿宋" w:cs="仿宋"/>
          <w:spacing w:val="-6"/>
          <w:sz w:val="24"/>
          <w:highlight w:val="none"/>
        </w:rPr>
      </w:pPr>
      <w:r>
        <w:rPr>
          <w:rFonts w:hint="eastAsia" w:ascii="仿宋" w:hAnsi="仿宋" w:eastAsia="仿宋" w:cs="仿宋"/>
          <w:sz w:val="24"/>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仿宋" w:hAnsi="仿宋" w:eastAsia="仿宋" w:cs="仿宋"/>
          <w:spacing w:val="-6"/>
          <w:sz w:val="24"/>
          <w:highlight w:val="none"/>
        </w:rPr>
        <w:t>。供应商为自然人的，必须由本人签字并附身份证明。</w:t>
      </w:r>
    </w:p>
    <w:p w14:paraId="5B6F4008">
      <w:pPr>
        <w:shd w:val="clear"/>
        <w:spacing w:line="360" w:lineRule="auto"/>
        <w:ind w:firstLine="456" w:firstLineChars="200"/>
        <w:rPr>
          <w:rFonts w:hint="eastAsia" w:ascii="仿宋" w:hAnsi="仿宋" w:eastAsia="仿宋" w:cs="仿宋"/>
          <w:sz w:val="24"/>
          <w:highlight w:val="none"/>
        </w:rPr>
      </w:pPr>
      <w:r>
        <w:rPr>
          <w:rFonts w:hint="eastAsia" w:ascii="仿宋" w:hAnsi="仿宋" w:eastAsia="仿宋" w:cs="仿宋"/>
          <w:spacing w:val="-6"/>
          <w:sz w:val="24"/>
          <w:highlight w:val="none"/>
        </w:rPr>
        <w:t>2.4</w:t>
      </w:r>
      <w:r>
        <w:rPr>
          <w:rFonts w:hint="eastAsia" w:ascii="仿宋" w:hAnsi="仿宋" w:eastAsia="仿宋" w:cs="仿宋"/>
          <w:sz w:val="24"/>
          <w:highlight w:val="none"/>
        </w:rPr>
        <w:t xml:space="preserve">首次响应文件报价出现前后不一致的，按照下列规定修正： </w:t>
      </w:r>
    </w:p>
    <w:p w14:paraId="55F84733">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（1）响应文件中报价表内容与响应文件中相应内容不一致的，以报价表为准；</w:t>
      </w:r>
    </w:p>
    <w:p w14:paraId="30D056A1">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（2）大写金额和小写金额不一致的，以大写金额为准；</w:t>
      </w:r>
    </w:p>
    <w:p w14:paraId="439835E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（3）单价金额小数点或者百分比有明显错位的，以报价表的总价为准，并修改单价；</w:t>
      </w:r>
    </w:p>
    <w:p w14:paraId="4159C453">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（4）总价金额与按单价汇总金额不一致的，以单价金额计算结果为准。</w:t>
      </w:r>
    </w:p>
    <w:p w14:paraId="2BCD8E5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同时出现两种以上不一致的，按照以上（1）-（4）规定的顺序逐条进行修正。修正后的报价经供应商确认后产生约束力，供应商不确认的，其响应文件按无效响应处理。</w:t>
      </w:r>
    </w:p>
    <w:p w14:paraId="07D9EEC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2.5商务技术报价评审</w:t>
      </w:r>
    </w:p>
    <w:p w14:paraId="4EA92B7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在评审时，如发现下列情形之一的，将被视为响应文件无效响应处理：</w:t>
      </w:r>
    </w:p>
    <w:p w14:paraId="4AF56DC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（1）商务服务评审</w:t>
      </w:r>
    </w:p>
    <w:p w14:paraId="4480C38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1）响应文件未按磋商文件要求签署、盖章；</w:t>
      </w:r>
    </w:p>
    <w:p w14:paraId="1AD91AC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2）委托代理人未能出具有效身份证或者出具的身份证与授权委托书中的信息不符的； </w:t>
      </w:r>
    </w:p>
    <w:p w14:paraId="15E457B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3）提交的磋商保证金无效的或者未按照磋商文件的规定提交磋商保证金；</w:t>
      </w:r>
    </w:p>
    <w:p w14:paraId="7406267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4）响应文件中的报价商务服务文件出现任一项不符合“供应商须知前附表”中“必须提供”或者“委托时必须提供”文件资料要求的规定或者提供的报价商务服务文件无效。</w:t>
      </w:r>
    </w:p>
    <w:p w14:paraId="2AFF011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5）商务条款中标“▲”的条款发生负偏离或者允许负偏离的条款数超过“供应商须知前附表”规定项数的；</w:t>
      </w:r>
    </w:p>
    <w:p w14:paraId="13D9C96B">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6）未对竞争性磋商有效期作出响应或者响应文件承诺的竞争性磋商有效期不满足磋商文件要求；</w:t>
      </w:r>
    </w:p>
    <w:p w14:paraId="2510BD3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7）响应文件的实质性内容未使用中文表述、使用计量单位不符合磋商文件要求；</w:t>
      </w:r>
    </w:p>
    <w:p w14:paraId="0E382C1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8）响应文件中的文件资料因填写不齐全或者内容虚假或者出现其他情形而导致被磋商小组认定无效；</w:t>
      </w:r>
    </w:p>
    <w:p w14:paraId="1C0150C5">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9）响应文件含有采购人不能接受的附加条件；</w:t>
      </w:r>
    </w:p>
    <w:p w14:paraId="79844F2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10）属于“供应商须知正文”第7.5条情形；</w:t>
      </w:r>
    </w:p>
    <w:p w14:paraId="63DEB210">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11）技术要求中标“▲”的条款发生负偏离或允许负偏离的条款数超过“供应商须知前附表”规定项数的；</w:t>
      </w:r>
    </w:p>
    <w:p w14:paraId="7161F08B">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12）虚假响应，或者出现其他情形而导致被磋商小组认定无效；</w:t>
      </w:r>
    </w:p>
    <w:p w14:paraId="5555F171">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w:t>
      </w:r>
      <w:bookmarkStart w:id="34" w:name="_Hlk71704147"/>
      <w:r>
        <w:rPr>
          <w:rFonts w:hint="eastAsia" w:ascii="仿宋" w:hAnsi="仿宋" w:eastAsia="仿宋" w:cs="仿宋"/>
          <w:sz w:val="24"/>
          <w:highlight w:val="none"/>
        </w:rPr>
        <w:t>磋商文件未载明允许提供备选（替代）响应方案或明确不允许提供备选（替代）响应方案时，供应商提供了备选（替代）响应方案的；</w:t>
      </w:r>
      <w:bookmarkEnd w:id="34"/>
    </w:p>
    <w:p w14:paraId="5D1C5A16">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14）响应文件标注的项目名称或者项目编号与磋商文件标注的项目名称或者项目编号不一致的；</w:t>
      </w:r>
    </w:p>
    <w:p w14:paraId="23B8D643">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15）竞争性磋商文件明确不允许分包，响应文件拟分包的；</w:t>
      </w:r>
    </w:p>
    <w:p w14:paraId="05007AC5">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16）未响应磋商文件实质性要求；</w:t>
      </w:r>
    </w:p>
    <w:p w14:paraId="7E72946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17）法律、法规和磋商文件规定的其他无效情形。</w:t>
      </w:r>
    </w:p>
    <w:p w14:paraId="0CB44681">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（2）报价评审</w:t>
      </w:r>
    </w:p>
    <w:p w14:paraId="7B018BE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1）响应文件未提供“供应商须知前附表” 报价商务服务文件中规定的“竞争性磋商报价表”；</w:t>
      </w:r>
    </w:p>
    <w:p w14:paraId="05619409">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2）未采用人民币报价或者未按照磋商文件标明的币种报价；</w:t>
      </w:r>
    </w:p>
    <w:p w14:paraId="0B78D2D9">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供应商未就所参与竞争性磋商分标进行报价或者存在漏项报价；供应商未就所参与竞争性磋商分标的单项内容作唯一报价；供应商未就所参与竞争性磋商分标的全部内容作完整唯一总价报价；供应商响应文件中存在有选择、有条件报价的（磋商文件允许有备选方案或者其他约定的除外）；</w:t>
      </w:r>
    </w:p>
    <w:p w14:paraId="5A5E60FB">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4）竞争性磋商报价（包含首次报价、最后报价）超过所参与竞争性磋商分标规定的采购预算金额或者最高限价的（如本项目公布了最高限价），其响应文件将按无效响应处理；</w:t>
      </w:r>
    </w:p>
    <w:p w14:paraId="5BBE4FDD">
      <w:pPr>
        <w:shd w:val="clear"/>
        <w:spacing w:line="360" w:lineRule="auto"/>
        <w:ind w:firstLine="480" w:firstLineChars="200"/>
        <w:rPr>
          <w:rFonts w:hint="eastAsia" w:ascii="仿宋" w:hAnsi="仿宋" w:eastAsia="仿宋" w:cs="仿宋"/>
          <w:highlight w:val="none"/>
        </w:rPr>
      </w:pPr>
      <w:r>
        <w:rPr>
          <w:rFonts w:hint="eastAsia" w:ascii="仿宋" w:hAnsi="仿宋" w:eastAsia="仿宋" w:cs="仿宋"/>
          <w:sz w:val="24"/>
          <w:highlight w:val="none"/>
        </w:rPr>
        <w:t>5）竞争性磋商报价（包含首次报价、最后报价）超过分项采购预算金额或者最高限价的（如本项目公布了最高限价），其响应文件将按无效处理；</w:t>
      </w:r>
    </w:p>
    <w:p w14:paraId="13020AC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6）修正后的报价，供应商不确认的；或者经供应商确认修正后的最后报价超过所 竞争性磋商分标规定的采购预算金额或者最高限价（如本项目公布了最高限价）；</w:t>
      </w:r>
    </w:p>
    <w:p w14:paraId="50644D0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7）响应文件响应的标的数量及单位与竞争性磋商采购文件要求实质性不一致的。</w:t>
      </w:r>
    </w:p>
    <w:p w14:paraId="32EB21F7">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0182CB37">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2.7非政府购买服务项目，通过符合性审查的合格供应商不足3家的，不得进入磋商环节，采购人或者采购代理机构应当重新开展采购活动。</w:t>
      </w:r>
      <w:r>
        <w:rPr>
          <w:rFonts w:hint="eastAsia" w:ascii="仿宋" w:hAnsi="仿宋" w:eastAsia="仿宋" w:cs="仿宋"/>
          <w:b/>
          <w:sz w:val="24"/>
          <w:highlight w:val="none"/>
        </w:rPr>
        <w:t>政府购买服务项目，按《财政部关于政府采购竞争性磋商采购方式管理暂行办法有关问题的补充通知》（财库〔2015〕124号）规定，采购过程中通过符合性审查的供应商（社会资本）只有2家的，磋商采购活动可以继续进行。</w:t>
      </w:r>
    </w:p>
    <w:p w14:paraId="11BA9F3A">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3.磋商程序</w:t>
      </w:r>
    </w:p>
    <w:p w14:paraId="3F7B27EC">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3.1磋商小组按照“供应商须知前附表”</w:t>
      </w:r>
      <w:r>
        <w:rPr>
          <w:rFonts w:hint="eastAsia" w:ascii="仿宋" w:hAnsi="仿宋" w:eastAsia="仿宋" w:cs="仿宋"/>
          <w:sz w:val="24"/>
          <w:highlight w:val="none"/>
        </w:rPr>
        <w:t xml:space="preserve"> </w:t>
      </w:r>
      <w:r>
        <w:rPr>
          <w:rFonts w:hint="eastAsia" w:ascii="仿宋" w:hAnsi="仿宋" w:eastAsia="仿宋" w:cs="仿宋"/>
          <w:kern w:val="0"/>
          <w:sz w:val="24"/>
          <w:highlight w:val="none"/>
        </w:rPr>
        <w:t>确定的</w:t>
      </w:r>
      <w:r>
        <w:rPr>
          <w:rFonts w:hint="eastAsia" w:ascii="仿宋" w:hAnsi="仿宋" w:eastAsia="仿宋" w:cs="仿宋"/>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2B7626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0464370">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3.3对磋商文件作出的实质性变动是磋商文件的有效组成部分，由磋商小组及时以电子磋商记录形式同时通知所有参加磋商的供应商。</w:t>
      </w:r>
    </w:p>
    <w:p w14:paraId="2295E0A7">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6AD82CA6">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3.5磋商中，</w:t>
      </w:r>
      <w:r>
        <w:rPr>
          <w:rFonts w:hint="eastAsia" w:ascii="仿宋" w:hAnsi="仿宋" w:eastAsia="仿宋" w:cs="仿宋"/>
          <w:spacing w:val="-6"/>
          <w:sz w:val="24"/>
          <w:highlight w:val="none"/>
        </w:rPr>
        <w:t>磋商的任何一方不得透露与磋商有关的其他供应商的技术资料、价格和其他信息。</w:t>
      </w:r>
    </w:p>
    <w:p w14:paraId="0235DD8F">
      <w:pPr>
        <w:shd w:val="clear"/>
        <w:tabs>
          <w:tab w:val="left" w:pos="2835"/>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3.6对磋商过程提交的响应文件进行有效性、完整性和响应程度审查，通过审查的合格供应商不足3家的，采购人或者采购代理机构应当重新开展采购活动。</w:t>
      </w:r>
    </w:p>
    <w:p w14:paraId="7AC09EC9">
      <w:pPr>
        <w:widowControl/>
        <w:shd w:val="clear"/>
        <w:tabs>
          <w:tab w:val="left" w:pos="540"/>
        </w:tabs>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p>
    <w:p w14:paraId="67817729">
      <w:pPr>
        <w:widowControl/>
        <w:shd w:val="clear"/>
        <w:tabs>
          <w:tab w:val="left" w:pos="540"/>
        </w:tabs>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采购过程中符合要求的供应商（社会资本）只有1家的，采购人（项目实施机构）或者采购代理机构应当终止竞争性磋商采购活动，发布项目终止公告并说明原因，重新开展采购活动。</w:t>
      </w:r>
    </w:p>
    <w:p w14:paraId="6CC55349">
      <w:pPr>
        <w:shd w:val="clear"/>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4.最后报价</w:t>
      </w:r>
    </w:p>
    <w:p w14:paraId="6918FDD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4.1磋商文件能够详细列明技术、服务要求的，磋商结束后，由磋商小组要求所有继续参加磋商的供应商在规定时间内以电子文件形式提交最后报价，</w:t>
      </w:r>
      <w:r>
        <w:rPr>
          <w:rFonts w:hint="eastAsia" w:ascii="仿宋" w:hAnsi="仿宋" w:eastAsia="仿宋" w:cs="仿宋"/>
          <w:b/>
          <w:sz w:val="24"/>
          <w:highlight w:val="none"/>
        </w:rPr>
        <w:t>除本章第2.7、3.7、4.3条外，提交最后报价的供应商不得少于3家，否则必须重新采购。</w:t>
      </w:r>
    </w:p>
    <w:p w14:paraId="7ED032A5">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磋商文件不能详细列明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1433CD9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4.3最后报价是供应商响应文件的有效组成部分。</w:t>
      </w:r>
      <w:r>
        <w:rPr>
          <w:rFonts w:hint="eastAsia" w:ascii="仿宋" w:hAnsi="仿宋" w:eastAsia="仿宋" w:cs="仿宋"/>
          <w:b/>
          <w:sz w:val="24"/>
          <w:highlight w:val="none"/>
        </w:rPr>
        <w:t>符合《政府采购竞争性磋商采购方式管理暂行办法》（财库〔2014〕214号）第三条第四项“市场竞争不充分的科研项目，以及需要扶持的科技成果转化项目”和本章第3.7条情形的，提交最后报价的供应商可以为2家。</w:t>
      </w:r>
    </w:p>
    <w:p w14:paraId="2262F831">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49D83D93">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4.5供应商未在规定时间内提交最后报价的，视同退出磋商。</w:t>
      </w:r>
    </w:p>
    <w:p w14:paraId="07BF1F13">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4.6磋商小组收齐某一分标最后报价后或达到规定时间后统一开启，磋商小组对最后报价进行有效性、完整性和响应程度的审查。</w:t>
      </w:r>
    </w:p>
    <w:p w14:paraId="4A17DA3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4.7响应文件最后报价出现前后不一致的，按照本章第2.4条的规定修正。 </w:t>
      </w:r>
    </w:p>
    <w:p w14:paraId="101C5B29">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4.8经供应商确认修正后的最后报价作为评审及签订合同的依据。</w:t>
      </w:r>
    </w:p>
    <w:p w14:paraId="2AE1F72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4.9供应商出现最后报价按无效响应处理或者响应文件按无效响应处理时，磋商小组应当告知有关供应商。</w:t>
      </w:r>
    </w:p>
    <w:p w14:paraId="39D47DE6">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4.10最后报价结束后，磋商小组不得再与供应商进行任何形式的商谈。</w:t>
      </w:r>
    </w:p>
    <w:p w14:paraId="27EEA065">
      <w:pPr>
        <w:shd w:val="clea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5.比较与评价</w:t>
      </w:r>
    </w:p>
    <w:p w14:paraId="088C133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5.1评审方法：综合评分法。</w:t>
      </w:r>
    </w:p>
    <w:p w14:paraId="00CAEF1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5.2经磋商确定最终采购需求和提交最后报价的供应商后，由磋商小组采用综合评分法对提交最后报价的供应商的响应文件和最后报价进行综合评分。</w:t>
      </w:r>
    </w:p>
    <w:p w14:paraId="0444113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5.3评审时，磋商小组各成员应当独立对每个有效响应的文件进行评价、打分，然后汇总每个供应商每项评分因素的得分。</w:t>
      </w:r>
    </w:p>
    <w:p w14:paraId="4255311D">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（1）磋商小组按照磋商文件中规定的评审标准计算各供应商的报价得分。项目评审过程中，不得去掉最后报价中的最高报价和最低报价。</w:t>
      </w:r>
    </w:p>
    <w:p w14:paraId="594A0B78">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（2）各供应商的得分为磋商小组所有成员的有效评分的算术平均数。</w:t>
      </w:r>
    </w:p>
    <w:p w14:paraId="08A6E4B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5.4评审价为供应商的最后报价进行政策性扣除后的价格，评审价只是作为评审时使用。最终成交供应商的成交金额等于最后报价（如有修正，以确认修正后的最后报价为准）。</w:t>
      </w:r>
    </w:p>
    <w:p w14:paraId="05A03BF0">
      <w:pPr>
        <w:shd w:val="clea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5.5由磋商小组根据综合评分情况，按照评审得分由高到低顺序推荐3名以上成交候选供应商，并编写评</w:t>
      </w:r>
      <w:r>
        <w:rPr>
          <w:rFonts w:hint="eastAsia" w:ascii="仿宋" w:hAnsi="仿宋" w:eastAsia="仿宋" w:cs="仿宋"/>
          <w:kern w:val="0"/>
          <w:sz w:val="24"/>
          <w:highlight w:val="none"/>
        </w:rPr>
        <w:t>审报告。</w:t>
      </w:r>
      <w:r>
        <w:rPr>
          <w:rFonts w:hint="eastAsia" w:ascii="仿宋" w:hAnsi="仿宋" w:eastAsia="仿宋" w:cs="仿宋"/>
          <w:b/>
          <w:kern w:val="0"/>
          <w:sz w:val="24"/>
          <w:highlight w:val="none"/>
        </w:rPr>
        <w:t>符合本章第</w:t>
      </w:r>
      <w:r>
        <w:rPr>
          <w:rFonts w:hint="eastAsia" w:ascii="仿宋" w:hAnsi="仿宋" w:eastAsia="仿宋" w:cs="仿宋"/>
          <w:b/>
          <w:sz w:val="24"/>
          <w:highlight w:val="none"/>
        </w:rPr>
        <w:t>2.7、3.7、4.3</w:t>
      </w:r>
      <w:r>
        <w:rPr>
          <w:rFonts w:hint="eastAsia" w:ascii="仿宋" w:hAnsi="仿宋" w:eastAsia="仿宋" w:cs="仿宋"/>
          <w:b/>
          <w:kern w:val="0"/>
          <w:sz w:val="24"/>
          <w:highlight w:val="none"/>
        </w:rPr>
        <w:t>条情形的，可以推荐2家成交候选供应商。</w:t>
      </w:r>
      <w:r>
        <w:rPr>
          <w:rFonts w:hint="eastAsia" w:ascii="仿宋" w:hAnsi="仿宋" w:eastAsia="仿宋" w:cs="仿宋"/>
          <w:kern w:val="0"/>
          <w:sz w:val="24"/>
          <w:highlight w:val="none"/>
        </w:rPr>
        <w:t>评审得分相同的，按照最后报价由低到高的顺序推荐。评审得分且最后报价相同的，</w:t>
      </w:r>
      <w:r>
        <w:rPr>
          <w:rFonts w:hint="eastAsia" w:ascii="仿宋" w:hAnsi="仿宋" w:eastAsia="仿宋" w:cs="仿宋"/>
          <w:sz w:val="24"/>
          <w:highlight w:val="none"/>
        </w:rPr>
        <w:t>依次按服务评分高的优先、商务评分高的优先的顺序确定成交候选供应商。</w:t>
      </w:r>
    </w:p>
    <w:p w14:paraId="6F280D4C">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E9315C4">
      <w:pPr>
        <w:shd w:val="clear"/>
        <w:spacing w:line="360" w:lineRule="auto"/>
        <w:jc w:val="center"/>
        <w:rPr>
          <w:rFonts w:hint="eastAsia" w:ascii="仿宋" w:hAnsi="仿宋" w:eastAsia="仿宋" w:cs="仿宋"/>
          <w:b/>
          <w:sz w:val="32"/>
          <w:szCs w:val="32"/>
          <w:highlight w:val="none"/>
        </w:rPr>
      </w:pPr>
      <w:r>
        <w:rPr>
          <w:rFonts w:hint="eastAsia" w:ascii="仿宋" w:hAnsi="仿宋" w:eastAsia="仿宋" w:cs="仿宋"/>
          <w:b/>
          <w:sz w:val="24"/>
          <w:highlight w:val="none"/>
        </w:rPr>
        <w:br w:type="page"/>
      </w:r>
      <w:r>
        <w:rPr>
          <w:rFonts w:hint="eastAsia" w:ascii="仿宋" w:hAnsi="仿宋" w:eastAsia="仿宋" w:cs="仿宋"/>
          <w:b/>
          <w:sz w:val="32"/>
          <w:szCs w:val="32"/>
          <w:highlight w:val="none"/>
        </w:rPr>
        <w:t>二、评审标准</w:t>
      </w:r>
    </w:p>
    <w:p w14:paraId="1BB6F578">
      <w:pPr>
        <w:shd w:val="clea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评审依据：磋商小组将以磋商响应文件为评审依据，对供应商的报价、商务、服务要求等方面内容按百分制打分。（计分方法按四舍五入取至百分位）</w:t>
      </w:r>
    </w:p>
    <w:tbl>
      <w:tblPr>
        <w:tblStyle w:val="29"/>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071"/>
        <w:gridCol w:w="1072"/>
        <w:gridCol w:w="6536"/>
      </w:tblGrid>
      <w:tr w14:paraId="50FF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tcBorders>
              <w:top w:val="single" w:color="auto" w:sz="4" w:space="0"/>
              <w:left w:val="single" w:color="auto" w:sz="4" w:space="0"/>
              <w:bottom w:val="single" w:color="auto" w:sz="4" w:space="0"/>
              <w:right w:val="single" w:color="auto" w:sz="4" w:space="0"/>
              <w:tl2br w:val="nil"/>
              <w:tr2bl w:val="nil"/>
            </w:tcBorders>
            <w:vAlign w:val="center"/>
          </w:tcPr>
          <w:p w14:paraId="4B73F706">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序号</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14:paraId="04ED5FC4">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评审因素</w:t>
            </w: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788D6902">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分值</w:t>
            </w:r>
          </w:p>
        </w:tc>
        <w:tc>
          <w:tcPr>
            <w:tcW w:w="6536" w:type="dxa"/>
            <w:tcBorders>
              <w:top w:val="single" w:color="auto" w:sz="4" w:space="0"/>
              <w:left w:val="single" w:color="auto" w:sz="4" w:space="0"/>
              <w:bottom w:val="single" w:color="auto" w:sz="4" w:space="0"/>
              <w:right w:val="single" w:color="auto" w:sz="4" w:space="0"/>
              <w:tl2br w:val="nil"/>
              <w:tr2bl w:val="nil"/>
            </w:tcBorders>
            <w:vAlign w:val="center"/>
          </w:tcPr>
          <w:p w14:paraId="31C814B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评分标准</w:t>
            </w:r>
          </w:p>
        </w:tc>
      </w:tr>
      <w:tr w14:paraId="4A62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16" w:type="dxa"/>
            <w:tcBorders>
              <w:top w:val="single" w:color="auto" w:sz="4" w:space="0"/>
              <w:left w:val="single" w:color="auto" w:sz="4" w:space="0"/>
              <w:bottom w:val="single" w:color="auto" w:sz="4" w:space="0"/>
              <w:right w:val="single" w:color="auto" w:sz="4" w:space="0"/>
              <w:tl2br w:val="nil"/>
              <w:tr2bl w:val="nil"/>
            </w:tcBorders>
            <w:vAlign w:val="center"/>
          </w:tcPr>
          <w:p w14:paraId="27040E7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w:t>
            </w:r>
          </w:p>
        </w:tc>
        <w:tc>
          <w:tcPr>
            <w:tcW w:w="1071" w:type="dxa"/>
            <w:tcBorders>
              <w:top w:val="single" w:color="auto" w:sz="4" w:space="0"/>
              <w:left w:val="single" w:color="auto" w:sz="4" w:space="0"/>
              <w:bottom w:val="single" w:color="auto" w:sz="4" w:space="0"/>
              <w:right w:val="single" w:color="auto" w:sz="4" w:space="0"/>
              <w:tl2br w:val="nil"/>
              <w:tr2bl w:val="nil"/>
            </w:tcBorders>
            <w:vAlign w:val="center"/>
          </w:tcPr>
          <w:p w14:paraId="504418CA">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价格分</w:t>
            </w:r>
          </w:p>
          <w:p w14:paraId="58D8C618">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（满分30分）</w:t>
            </w: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1A9304A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磋商报价（满分30分）</w:t>
            </w:r>
          </w:p>
        </w:tc>
        <w:tc>
          <w:tcPr>
            <w:tcW w:w="6536" w:type="dxa"/>
            <w:tcBorders>
              <w:top w:val="single" w:color="auto" w:sz="4" w:space="0"/>
              <w:left w:val="single" w:color="auto" w:sz="4" w:space="0"/>
              <w:bottom w:val="single" w:color="auto" w:sz="4" w:space="0"/>
              <w:right w:val="single" w:color="auto" w:sz="4" w:space="0"/>
              <w:tl2br w:val="nil"/>
              <w:tr2bl w:val="nil"/>
            </w:tcBorders>
            <w:vAlign w:val="center"/>
          </w:tcPr>
          <w:p w14:paraId="53161472">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一、政府采购政策扣除</w:t>
            </w:r>
          </w:p>
          <w:p w14:paraId="3184898B">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1.评审报价为供应商的磋商报价进行政策性扣除后的价格，评审报价只是作为评审时使用。最终成交供应商的成交金额等于磋商报价。</w:t>
            </w:r>
          </w:p>
          <w:p w14:paraId="05497774">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 根据《政府采购促进中小企业发展管理办法》（财库〔2020〕46号）及《广西壮族自治区财政厅关于持续优化政府采购营商环境推动高质量发展的通知》（桂财采〔2024〕55号 ）的规定，供应商属于《政府采购促进中小企业发展管理办法》规定的小微企业的，在其响应文件中提供《中小企业声明函》，且服务全部由小微企业承接，对磋商报价给予10%的扣除，用扣除后的价格参加评审，即评审价=磋商报价×（1-10%）；不符合上述给予扣除情形的，评审价=磋商报价。</w:t>
            </w:r>
          </w:p>
          <w:p w14:paraId="2D967F94">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1E407E4">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2C9B946">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二、磋商报价分</w:t>
            </w:r>
          </w:p>
          <w:p w14:paraId="12CDA053">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1.磋商报价分采用低价优先法计算，满足采购文件要求且最低的有效供应商的评审价（1-最大下浮系数）为评标基准价，其磋商报价分为满分。</w:t>
            </w:r>
          </w:p>
          <w:p w14:paraId="6AAD937E">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2.其他供应商的价格分统一按照下列公式计算：</w:t>
            </w:r>
          </w:p>
          <w:p w14:paraId="1B2706F4">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某有效供应商的磋商报价分=（1-最大下浮系数）／（1-该供应商的下浮系数）×30分</w:t>
            </w:r>
          </w:p>
        </w:tc>
      </w:tr>
      <w:tr w14:paraId="2836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B60DD4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w:t>
            </w:r>
          </w:p>
        </w:tc>
        <w:tc>
          <w:tcPr>
            <w:tcW w:w="107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995C12C">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服务分</w:t>
            </w:r>
          </w:p>
          <w:p w14:paraId="409803E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（满分60分）</w:t>
            </w: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11CDB73F">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2.1设计服务方案(满分5分)</w:t>
            </w:r>
          </w:p>
        </w:tc>
        <w:tc>
          <w:tcPr>
            <w:tcW w:w="6536" w:type="dxa"/>
            <w:tcBorders>
              <w:top w:val="single" w:color="auto" w:sz="4" w:space="0"/>
              <w:left w:val="single" w:color="auto" w:sz="4" w:space="0"/>
              <w:bottom w:val="single" w:color="auto" w:sz="4" w:space="0"/>
              <w:right w:val="single" w:color="auto" w:sz="4" w:space="0"/>
              <w:tl2br w:val="nil"/>
              <w:tr2bl w:val="nil"/>
            </w:tcBorders>
            <w:vAlign w:val="center"/>
          </w:tcPr>
          <w:p w14:paraId="20FBDDFB">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 xml:space="preserve">一档（5分）：方案优于二档，供应商提供的设计理念描述、总体概述、设计思路和各专业设计专项方案内容充实，表述清晰，设计服务实施措施和进度计划整体安排科学合理，编制有进度计划延误的处理机制，还能够从成本优化、技术创新、流程改进等方面编制符合采购人项目建设目标和学科发展的优化建议。  </w:t>
            </w:r>
          </w:p>
          <w:p w14:paraId="13CC9747">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 xml:space="preserve">二档（3分）：方案优于三档，供应商提供的设计理念描述、设计思路内容充实，表述正确，设计服务实施方案整体工作安排和全流程进度计划、保障进度和质量控制的措施等均满足项目“教学实验中心大楼实验室工艺”实施需求。 </w:t>
            </w:r>
          </w:p>
          <w:p w14:paraId="43A2469B">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三档（1分）：能够提供合理的设计理念描述，</w:t>
            </w:r>
            <w:r>
              <w:rPr>
                <w:rFonts w:ascii="仿宋" w:hAnsi="仿宋" w:eastAsia="仿宋" w:cs="仿宋"/>
                <w:sz w:val="24"/>
                <w:highlight w:val="none"/>
              </w:rPr>
              <w:t>总体概述</w:t>
            </w:r>
            <w:r>
              <w:rPr>
                <w:rFonts w:hint="eastAsia" w:ascii="仿宋" w:hAnsi="仿宋" w:eastAsia="仿宋" w:cs="仿宋"/>
                <w:sz w:val="24"/>
                <w:highlight w:val="none"/>
              </w:rPr>
              <w:t>、设计服务实施方案等有合理描述等。</w:t>
            </w:r>
          </w:p>
          <w:p w14:paraId="1A8ADF1B">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不满足三档要求的不得分。</w:t>
            </w:r>
          </w:p>
        </w:tc>
      </w:tr>
      <w:tr w14:paraId="3EE9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3636759">
            <w:pPr>
              <w:shd w:val="clear"/>
              <w:spacing w:line="360" w:lineRule="auto"/>
              <w:rPr>
                <w:rFonts w:hint="eastAsia" w:ascii="仿宋" w:hAnsi="仿宋" w:eastAsia="仿宋" w:cs="仿宋"/>
                <w:sz w:val="24"/>
                <w:highlight w:val="none"/>
              </w:rPr>
            </w:pPr>
          </w:p>
        </w:tc>
        <w:tc>
          <w:tcPr>
            <w:tcW w:w="10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D8AEEB8">
            <w:pPr>
              <w:shd w:val="clear"/>
              <w:spacing w:line="360" w:lineRule="auto"/>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795115E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2.2建设前期工作的配合方案(满分3分)</w:t>
            </w:r>
          </w:p>
        </w:tc>
        <w:tc>
          <w:tcPr>
            <w:tcW w:w="6536" w:type="dxa"/>
            <w:tcBorders>
              <w:top w:val="single" w:color="auto" w:sz="4" w:space="0"/>
              <w:left w:val="single" w:color="auto" w:sz="4" w:space="0"/>
              <w:bottom w:val="single" w:color="auto" w:sz="4" w:space="0"/>
              <w:right w:val="single" w:color="auto" w:sz="4" w:space="0"/>
              <w:tl2br w:val="nil"/>
              <w:tr2bl w:val="nil"/>
            </w:tcBorders>
          </w:tcPr>
          <w:p w14:paraId="745DE6B2">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 xml:space="preserve">一档（3分）：方案优于二档，对配合采购人完成项目建设前期工作有具体的方案和承诺。前期描述详尽，有具体配合工作实施事项清单和具体措施、计划安排和统筹协调方案，思路清晰，确保设计作业与其他专项工作密切联系、紧密配合，有效推进项目前期工作。 </w:t>
            </w:r>
          </w:p>
          <w:p w14:paraId="3B01BF08">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 xml:space="preserve">二档（2分）：方案优于三档，对配合采购人完成项目建设前期工作有较详细的方案或承诺，计划和措施描述清晰且符合项目实际。 </w:t>
            </w:r>
          </w:p>
          <w:p w14:paraId="47A66486">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三档（1分）：提供有配合采购人完成项目建设前期工作的服务承诺。</w:t>
            </w:r>
          </w:p>
          <w:p w14:paraId="75144F0A">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不满足三档要求的不得分。</w:t>
            </w:r>
          </w:p>
        </w:tc>
      </w:tr>
      <w:tr w14:paraId="1433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8C23445">
            <w:pPr>
              <w:shd w:val="clear"/>
              <w:spacing w:line="360" w:lineRule="auto"/>
              <w:rPr>
                <w:rFonts w:hint="eastAsia" w:ascii="仿宋" w:hAnsi="仿宋" w:eastAsia="仿宋" w:cs="仿宋"/>
                <w:sz w:val="24"/>
                <w:highlight w:val="none"/>
              </w:rPr>
            </w:pPr>
          </w:p>
        </w:tc>
        <w:tc>
          <w:tcPr>
            <w:tcW w:w="10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F82B42D">
            <w:pPr>
              <w:shd w:val="clear"/>
              <w:spacing w:line="360" w:lineRule="auto"/>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7262943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2.3设计在项目施工过程中的工作配合方案（满分5分）</w:t>
            </w:r>
          </w:p>
        </w:tc>
        <w:tc>
          <w:tcPr>
            <w:tcW w:w="6536" w:type="dxa"/>
            <w:tcBorders>
              <w:top w:val="single" w:color="auto" w:sz="4" w:space="0"/>
              <w:left w:val="single" w:color="auto" w:sz="4" w:space="0"/>
              <w:bottom w:val="single" w:color="auto" w:sz="4" w:space="0"/>
              <w:right w:val="single" w:color="auto" w:sz="4" w:space="0"/>
              <w:tl2br w:val="nil"/>
              <w:tr2bl w:val="nil"/>
            </w:tcBorders>
          </w:tcPr>
          <w:p w14:paraId="35DD33D6">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 xml:space="preserve">一档（5分）：方案优于二档，对施工阶段至工程竣工验收完毕，就设计与施工配合有具体的工作方案和承诺。包括但不限于设计交底方面、施工图纸会审、设计变更管理、施工过程配合、竣工验收配合等全过程内容，流程详尽，操作性强，能够列出具体实施事项或计划安排，满足与施工配合的需求。  </w:t>
            </w:r>
          </w:p>
          <w:p w14:paraId="439C56D1">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 xml:space="preserve">二档（3分）：方案优于三档，能够列出施工阶段至工程竣工验收完毕全过程设计与施工密切配合的工作重点和工作措施。  </w:t>
            </w:r>
          </w:p>
          <w:p w14:paraId="3E661C5E">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三档（1分）：对设计与施工的配合有正确理解，能够列出设计与施工配合的基本工作内容和工作要求。</w:t>
            </w:r>
          </w:p>
          <w:p w14:paraId="2DFD135D">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不满足三档要求的不得分。</w:t>
            </w:r>
          </w:p>
        </w:tc>
      </w:tr>
      <w:tr w14:paraId="1B08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C6F3CFB">
            <w:pPr>
              <w:shd w:val="clear"/>
              <w:spacing w:line="360" w:lineRule="auto"/>
              <w:rPr>
                <w:rFonts w:hint="eastAsia" w:ascii="仿宋" w:hAnsi="仿宋" w:eastAsia="仿宋" w:cs="仿宋"/>
                <w:sz w:val="24"/>
                <w:highlight w:val="none"/>
              </w:rPr>
            </w:pPr>
          </w:p>
        </w:tc>
        <w:tc>
          <w:tcPr>
            <w:tcW w:w="10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30BC365">
            <w:pPr>
              <w:shd w:val="clear"/>
              <w:spacing w:line="360" w:lineRule="auto"/>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5EE89C38">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2.4服务响应管理方案（满分3分）</w:t>
            </w:r>
          </w:p>
        </w:tc>
        <w:tc>
          <w:tcPr>
            <w:tcW w:w="6536" w:type="dxa"/>
            <w:tcBorders>
              <w:top w:val="single" w:color="auto" w:sz="4" w:space="0"/>
              <w:left w:val="single" w:color="auto" w:sz="4" w:space="0"/>
              <w:bottom w:val="single" w:color="auto" w:sz="4" w:space="0"/>
              <w:right w:val="single" w:color="auto" w:sz="4" w:space="0"/>
              <w:tl2br w:val="nil"/>
              <w:tr2bl w:val="nil"/>
            </w:tcBorders>
            <w:vAlign w:val="center"/>
          </w:tcPr>
          <w:p w14:paraId="74545F1B">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 xml:space="preserve">一档（3分）：方案优于二档，服务承诺及响应管理措施详细且科学合理，能为采购人提供完善的服务,在处理项目服务期内各项工作问题时，承诺2小时到达现场，8小时以内提供解决方案，每个设计专业都能安排专人对接施工方和采购人，服务保障措施覆盖项目实施全过程。 </w:t>
            </w:r>
          </w:p>
          <w:p w14:paraId="5D5EC226">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二档（2分）：方案优于三档，服务承诺及响应管理措施较好地满足项目需求,并在处理项目服务期内各项工作问题时，承诺8小时到达现场，16小时以内提供解决方案，服务保障措施较详细，人员职责分明。</w:t>
            </w:r>
          </w:p>
          <w:p w14:paraId="5B200FFF">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三档（1分）：服务承诺及响应管理措施满足项目需求,在处理项目服务期内各项工作问题时，承诺12小时到达现场，18小时以内提供解决方案。</w:t>
            </w:r>
          </w:p>
          <w:p w14:paraId="1679B644">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不满足三档要求的不得分。</w:t>
            </w:r>
          </w:p>
        </w:tc>
      </w:tr>
      <w:tr w14:paraId="385F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DE4D9C3">
            <w:pPr>
              <w:shd w:val="clear"/>
              <w:spacing w:line="360" w:lineRule="auto"/>
              <w:rPr>
                <w:rFonts w:hint="eastAsia" w:ascii="仿宋" w:hAnsi="仿宋" w:eastAsia="仿宋" w:cs="仿宋"/>
                <w:sz w:val="24"/>
                <w:highlight w:val="none"/>
              </w:rPr>
            </w:pPr>
          </w:p>
        </w:tc>
        <w:tc>
          <w:tcPr>
            <w:tcW w:w="10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F3433DA">
            <w:pPr>
              <w:shd w:val="clear"/>
              <w:spacing w:line="360" w:lineRule="auto"/>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145B4D92">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2.5设计组织方案（满分5分）</w:t>
            </w:r>
          </w:p>
        </w:tc>
        <w:tc>
          <w:tcPr>
            <w:tcW w:w="6536" w:type="dxa"/>
            <w:tcBorders>
              <w:top w:val="single" w:color="auto" w:sz="4" w:space="0"/>
              <w:left w:val="single" w:color="auto" w:sz="4" w:space="0"/>
              <w:bottom w:val="single" w:color="auto" w:sz="4" w:space="0"/>
              <w:right w:val="single" w:color="auto" w:sz="4" w:space="0"/>
              <w:tl2br w:val="nil"/>
              <w:tr2bl w:val="nil"/>
            </w:tcBorders>
            <w:vAlign w:val="center"/>
          </w:tcPr>
          <w:p w14:paraId="5C868729">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一档（5分）：方案优于二档，提供完整且具体的设计组织方案，设计流程规范。能够以横道图或网络图的形式对整个进度计划做详细展示，涵盖项目设计从起始到结束的各个关键阶段和环节，如方案深化、详细设计，以及设计后期的审核修改、图纸交付等各阶段和环节；针对本项目特点和实施需求，编制设计过程控制、设计质量控制、图纸编制及多级审核等全流程质量保证措施；明确不同阶段各专业人员的投入数量和时间安排。</w:t>
            </w:r>
          </w:p>
          <w:p w14:paraId="7F02FC31">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二档（3分）：方案优于三档，提供完整设计组织方案，设计流程规范。编制方案初稿完成、初步设计评审通过、施工图设计完成等关键节点的质量保证措施；各专业设计人员符合项目需求，确保对设计文件进行多级审核等。</w:t>
            </w:r>
          </w:p>
          <w:p w14:paraId="7EEB6079">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三档（1分）：提供开展设计工作的组织方案，设计流程合理，人员投入计划清晰。</w:t>
            </w:r>
          </w:p>
          <w:p w14:paraId="0E380D10">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不满足三档要求的不得分。</w:t>
            </w:r>
          </w:p>
        </w:tc>
      </w:tr>
      <w:tr w14:paraId="6B15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0993B9A">
            <w:pPr>
              <w:shd w:val="clear"/>
              <w:spacing w:line="360" w:lineRule="auto"/>
              <w:rPr>
                <w:rFonts w:hint="eastAsia" w:ascii="仿宋" w:hAnsi="仿宋" w:eastAsia="仿宋" w:cs="仿宋"/>
                <w:sz w:val="24"/>
                <w:highlight w:val="none"/>
              </w:rPr>
            </w:pPr>
          </w:p>
        </w:tc>
        <w:tc>
          <w:tcPr>
            <w:tcW w:w="10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C825F8D">
            <w:pPr>
              <w:shd w:val="clear"/>
              <w:spacing w:line="360" w:lineRule="auto"/>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104E1CC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2.6对重点、难 点、关键技 术、工艺分析及解决方案合理化建议方案(满分5分)</w:t>
            </w:r>
          </w:p>
        </w:tc>
        <w:tc>
          <w:tcPr>
            <w:tcW w:w="6536" w:type="dxa"/>
            <w:tcBorders>
              <w:top w:val="single" w:color="auto" w:sz="4" w:space="0"/>
              <w:left w:val="single" w:color="auto" w:sz="4" w:space="0"/>
              <w:bottom w:val="single" w:color="auto" w:sz="4" w:space="0"/>
              <w:right w:val="single" w:color="auto" w:sz="4" w:space="0"/>
              <w:tl2br w:val="nil"/>
              <w:tr2bl w:val="nil"/>
            </w:tcBorders>
          </w:tcPr>
          <w:p w14:paraId="7B29F9AC">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一档（5分）：方案优于二档，对项目整体设计工作的重点难点认识深刻、分析准确，详细分析本项目功能性与安全性的平衡、空间布局的需求、复杂管线的集成设计、材料选择的特殊性等关键技术和重点工艺，并针对性地提出相应的设计解决方案，对施工关键技术和工艺把握准确、应用到位、阐释清晰。能够为采购人提供国内其他高校同类型实验室的先进设计经验。</w:t>
            </w:r>
          </w:p>
          <w:p w14:paraId="2DBEA782">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二档（3分）：方案优于三档，能够从图纸设计角度罗列本工程重点、难点，提出合理的解决方案和保障措施，对施工关键技术、工艺分析把握正确，各项工作思路符合实验室建设相关规范和标准。</w:t>
            </w:r>
          </w:p>
          <w:p w14:paraId="716A8769">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三档（1分）：对工程重点、难点有正确认识，编制难点重点的基本保障措施。</w:t>
            </w:r>
          </w:p>
          <w:p w14:paraId="66214674">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不满足三档要求的不得分。</w:t>
            </w:r>
          </w:p>
        </w:tc>
      </w:tr>
      <w:tr w14:paraId="2D9F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C5A35A6">
            <w:pPr>
              <w:shd w:val="clear"/>
              <w:spacing w:line="360" w:lineRule="auto"/>
              <w:rPr>
                <w:rFonts w:hint="eastAsia" w:ascii="仿宋" w:hAnsi="仿宋" w:eastAsia="仿宋" w:cs="仿宋"/>
                <w:sz w:val="24"/>
                <w:highlight w:val="none"/>
              </w:rPr>
            </w:pPr>
          </w:p>
        </w:tc>
        <w:tc>
          <w:tcPr>
            <w:tcW w:w="10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EC92E41">
            <w:pPr>
              <w:shd w:val="clear"/>
              <w:spacing w:line="360" w:lineRule="auto"/>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699E0BA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2.7深化废气处理工艺技术方案(满分5分)</w:t>
            </w:r>
          </w:p>
        </w:tc>
        <w:tc>
          <w:tcPr>
            <w:tcW w:w="6536" w:type="dxa"/>
            <w:tcBorders>
              <w:top w:val="single" w:color="auto" w:sz="4" w:space="0"/>
              <w:left w:val="single" w:color="auto" w:sz="4" w:space="0"/>
              <w:bottom w:val="single" w:color="auto" w:sz="4" w:space="0"/>
              <w:right w:val="single" w:color="auto" w:sz="4" w:space="0"/>
              <w:tl2br w:val="nil"/>
              <w:tr2bl w:val="nil"/>
            </w:tcBorders>
          </w:tcPr>
          <w:p w14:paraId="70176EEA">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一档（5分）：方案优于二档，能够对实验室各类废气进行分析，阐述实验室废气的各种处理方式、原理及其优劣势。能够提供国内其他高校同类实验室废气处理的先进经验做法；结合本项目废气处理工艺技术方案，提出针对性、创新性的实验室废气处理工艺方案，并展开说明该处理工艺的实用性和成本分析。</w:t>
            </w:r>
          </w:p>
          <w:p w14:paraId="26630DE7">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二档（3分）：方案优于三档，能够对实验室各类废气进行分析，阐述实验室废气的各种处理方式、原理及其优劣势。结合本项目实际提出针对性的废气处理设备和处理工艺。</w:t>
            </w:r>
          </w:p>
          <w:p w14:paraId="190ED355">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三档（1分）：方案对实验室废气处理设备、处理工艺有正确理解，能够罗列处理设备的种类并分析其处理工艺。</w:t>
            </w:r>
          </w:p>
          <w:p w14:paraId="03DAE2F5">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不满足三档要求的不得分。</w:t>
            </w:r>
          </w:p>
        </w:tc>
      </w:tr>
      <w:tr w14:paraId="4E0A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969623B">
            <w:pPr>
              <w:shd w:val="clear"/>
              <w:spacing w:line="360" w:lineRule="auto"/>
              <w:rPr>
                <w:rFonts w:hint="eastAsia" w:ascii="仿宋" w:hAnsi="仿宋" w:eastAsia="仿宋" w:cs="仿宋"/>
                <w:sz w:val="24"/>
                <w:highlight w:val="none"/>
              </w:rPr>
            </w:pPr>
          </w:p>
        </w:tc>
        <w:tc>
          <w:tcPr>
            <w:tcW w:w="10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6D21331">
            <w:pPr>
              <w:shd w:val="clear"/>
              <w:spacing w:line="360" w:lineRule="auto"/>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652D34C1">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2.8深化废水处理工艺技术方案(满分5分)</w:t>
            </w:r>
          </w:p>
        </w:tc>
        <w:tc>
          <w:tcPr>
            <w:tcW w:w="6536" w:type="dxa"/>
            <w:tcBorders>
              <w:top w:val="single" w:color="auto" w:sz="4" w:space="0"/>
              <w:left w:val="single" w:color="auto" w:sz="4" w:space="0"/>
              <w:bottom w:val="single" w:color="auto" w:sz="4" w:space="0"/>
              <w:right w:val="single" w:color="auto" w:sz="4" w:space="0"/>
              <w:tl2br w:val="nil"/>
              <w:tr2bl w:val="nil"/>
            </w:tcBorders>
          </w:tcPr>
          <w:p w14:paraId="38A934A0">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一档（5分）：方案优于二档，能够对实验室各类废水进行分析，阐述实验室废水的各种处理方式、原理及其优劣势。能够提供国内其他高校同类实验室废水处理的先进经验做法；结合本项目废水处理工艺技术方案，提出针对性、创新性的实验室废水处理工艺方案，并展开说明该处理工艺的实用性和成本分析。</w:t>
            </w:r>
          </w:p>
          <w:p w14:paraId="7533BB27">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二档（3分）：方案优于三档，能够对实验室各类废水进行分析，阐述实验室废水的各种处理方式、原理及其优劣势。结合本项目实际提出针对性的废水处理设备和处理工艺。</w:t>
            </w:r>
          </w:p>
          <w:p w14:paraId="17A6948E">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三档（1分）：方案对实验室废水处理设备、处理工艺有正确理解，能够罗列处理设备的种类并分析其处理工艺。</w:t>
            </w:r>
          </w:p>
          <w:p w14:paraId="7BAEDF1A">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不满足三档要求的不得分。</w:t>
            </w:r>
          </w:p>
        </w:tc>
      </w:tr>
      <w:tr w14:paraId="0297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13D1E28">
            <w:pPr>
              <w:shd w:val="clear"/>
              <w:spacing w:line="360" w:lineRule="auto"/>
              <w:rPr>
                <w:rFonts w:hint="eastAsia" w:ascii="仿宋" w:hAnsi="仿宋" w:eastAsia="仿宋" w:cs="仿宋"/>
                <w:sz w:val="24"/>
                <w:highlight w:val="none"/>
              </w:rPr>
            </w:pPr>
          </w:p>
        </w:tc>
        <w:tc>
          <w:tcPr>
            <w:tcW w:w="10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2493F05">
            <w:pPr>
              <w:shd w:val="clear"/>
              <w:spacing w:line="360" w:lineRule="auto"/>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27C42F0C">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2.9</w:t>
            </w:r>
            <w:r>
              <w:rPr>
                <w:rFonts w:hint="eastAsia" w:ascii="仿宋" w:hAnsi="仿宋" w:eastAsia="仿宋" w:cs="仿宋"/>
                <w:color w:val="000000"/>
                <w:sz w:val="24"/>
                <w:highlight w:val="none"/>
              </w:rPr>
              <w:t>平面工艺方案</w:t>
            </w:r>
            <w:r>
              <w:rPr>
                <w:rFonts w:hint="eastAsia" w:ascii="仿宋" w:hAnsi="仿宋" w:eastAsia="仿宋" w:cs="仿宋"/>
                <w:sz w:val="24"/>
                <w:highlight w:val="none"/>
              </w:rPr>
              <w:t>（满分5分）</w:t>
            </w:r>
          </w:p>
        </w:tc>
        <w:tc>
          <w:tcPr>
            <w:tcW w:w="6536" w:type="dxa"/>
            <w:tcBorders>
              <w:top w:val="single" w:color="auto" w:sz="4" w:space="0"/>
              <w:left w:val="single" w:color="auto" w:sz="4" w:space="0"/>
              <w:bottom w:val="single" w:color="auto" w:sz="4" w:space="0"/>
              <w:right w:val="single" w:color="auto" w:sz="4" w:space="0"/>
              <w:tl2br w:val="nil"/>
              <w:tr2bl w:val="nil"/>
            </w:tcBorders>
          </w:tcPr>
          <w:p w14:paraId="0197E8E4">
            <w:pPr>
              <w:shd w:val="clear"/>
              <w:spacing w:line="360" w:lineRule="auto"/>
              <w:ind w:firstLine="420"/>
              <w:rPr>
                <w:rFonts w:hint="eastAsia" w:ascii="仿宋" w:hAnsi="仿宋" w:eastAsia="仿宋" w:cs="仿宋"/>
                <w:sz w:val="24"/>
                <w:highlight w:val="none"/>
              </w:rPr>
            </w:pPr>
            <w:r>
              <w:rPr>
                <w:rFonts w:hint="eastAsia" w:ascii="仿宋" w:hAnsi="仿宋" w:eastAsia="仿宋" w:cs="仿宋"/>
                <w:color w:val="000000"/>
                <w:sz w:val="24"/>
                <w:highlight w:val="none"/>
              </w:rPr>
              <w:t>提供平面工艺（地下室、一层、二层、三层、四层、五层、六层、七层、八层、十层、十一层）图纸。</w:t>
            </w:r>
          </w:p>
          <w:p w14:paraId="0BA83C40">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一档（5分）：方案优于二档，提供全部图纸且图纸内容详细，平面工艺图功能间满足设计和相关规范要求，对工艺使用和操作规程进行清晰说明，设计内容清晰全面，布局科学合理，人流、物流路线清晰。</w:t>
            </w:r>
          </w:p>
          <w:p w14:paraId="1D9A5A5E">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二档（3分）：方案优于三档，提供不少于6层图纸，，平面工艺图基本能满足设计要求，对工艺布局展开说明。</w:t>
            </w:r>
          </w:p>
          <w:p w14:paraId="720D7ADA">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三档（1分）：提供不少于3层图纸，但图纸不齐全或布局不合理。</w:t>
            </w:r>
          </w:p>
          <w:p w14:paraId="6607E570">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不满足三档要求的不得分。</w:t>
            </w:r>
          </w:p>
        </w:tc>
      </w:tr>
      <w:tr w14:paraId="4C51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D346AE8">
            <w:pPr>
              <w:shd w:val="clear"/>
              <w:spacing w:line="360" w:lineRule="auto"/>
              <w:rPr>
                <w:rFonts w:hint="eastAsia" w:ascii="仿宋" w:hAnsi="仿宋" w:eastAsia="仿宋" w:cs="仿宋"/>
                <w:sz w:val="24"/>
                <w:highlight w:val="none"/>
              </w:rPr>
            </w:pPr>
          </w:p>
        </w:tc>
        <w:tc>
          <w:tcPr>
            <w:tcW w:w="10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D4340C1">
            <w:pPr>
              <w:shd w:val="clear"/>
              <w:spacing w:line="360" w:lineRule="auto"/>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1B32FAD5">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2.10深化图纸设计（满分5分）</w:t>
            </w:r>
          </w:p>
        </w:tc>
        <w:tc>
          <w:tcPr>
            <w:tcW w:w="6536" w:type="dxa"/>
            <w:tcBorders>
              <w:top w:val="single" w:color="auto" w:sz="4" w:space="0"/>
              <w:left w:val="single" w:color="auto" w:sz="4" w:space="0"/>
              <w:bottom w:val="single" w:color="auto" w:sz="4" w:space="0"/>
              <w:right w:val="single" w:color="auto" w:sz="4" w:space="0"/>
              <w:tl2br w:val="nil"/>
              <w:tr2bl w:val="nil"/>
            </w:tcBorders>
          </w:tcPr>
          <w:p w14:paraId="5A99E753">
            <w:pPr>
              <w:shd w:val="clear"/>
              <w:spacing w:line="360" w:lineRule="auto"/>
              <w:ind w:firstLine="420"/>
              <w:rPr>
                <w:rFonts w:hint="eastAsia" w:ascii="仿宋" w:hAnsi="仿宋" w:eastAsia="仿宋" w:cs="仿宋"/>
                <w:sz w:val="24"/>
                <w:highlight w:val="none"/>
              </w:rPr>
            </w:pPr>
            <w:r>
              <w:rPr>
                <w:rFonts w:hint="eastAsia" w:ascii="仿宋" w:hAnsi="仿宋" w:eastAsia="仿宋" w:cs="仿宋"/>
                <w:color w:val="000000"/>
                <w:sz w:val="24"/>
                <w:highlight w:val="none"/>
              </w:rPr>
              <w:t>提供</w:t>
            </w:r>
            <w:r>
              <w:rPr>
                <w:rFonts w:hint="eastAsia" w:ascii="仿宋" w:hAnsi="仿宋" w:eastAsia="仿宋" w:cs="仿宋"/>
                <w:sz w:val="24"/>
                <w:highlight w:val="none"/>
              </w:rPr>
              <w:t>各专业（包含装饰、电气、给排水、新风、空调、净化、排风、家具、试剂库房、气路、纯水、废水）深化图纸。</w:t>
            </w:r>
          </w:p>
          <w:p w14:paraId="754EAE78">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一档（5分）：深化图纸设计优于二档，提供全部专业的</w:t>
            </w:r>
            <w:r>
              <w:rPr>
                <w:rFonts w:hint="eastAsia" w:ascii="仿宋" w:hAnsi="仿宋" w:eastAsia="仿宋" w:cs="仿宋"/>
                <w:color w:val="000000"/>
                <w:sz w:val="24"/>
                <w:highlight w:val="none"/>
              </w:rPr>
              <w:t>深化图纸并达到施工图设计深度，能确定技术方案、全部设备及管线布局等，</w:t>
            </w:r>
            <w:r>
              <w:rPr>
                <w:rFonts w:hint="eastAsia" w:ascii="仿宋" w:hAnsi="仿宋" w:eastAsia="仿宋" w:cs="仿宋"/>
                <w:sz w:val="24"/>
                <w:highlight w:val="none"/>
              </w:rPr>
              <w:t>完全符合相关行业规范要求。图纸的格式、标注、比例等全部细节严格遵循行业标准，材质、工艺要求等关键信息都准确清晰地标注在图纸上；图纸设计充分考虑实验室的场地条件、空间有效利用和功能区域布局合理。</w:t>
            </w:r>
          </w:p>
          <w:p w14:paraId="07393718">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二档（3分）：深化图纸设计优于三档，提供不少于6个专业的</w:t>
            </w:r>
            <w:r>
              <w:rPr>
                <w:rFonts w:hint="eastAsia" w:ascii="仿宋" w:hAnsi="仿宋" w:eastAsia="仿宋" w:cs="仿宋"/>
                <w:color w:val="000000"/>
                <w:sz w:val="24"/>
                <w:highlight w:val="none"/>
              </w:rPr>
              <w:t>深化图纸，并达到初步设计深度，能确定技术方案、主要设备等，</w:t>
            </w:r>
            <w:r>
              <w:rPr>
                <w:rFonts w:hint="eastAsia" w:ascii="仿宋" w:hAnsi="仿宋" w:eastAsia="仿宋" w:cs="仿宋"/>
                <w:sz w:val="24"/>
                <w:highlight w:val="none"/>
              </w:rPr>
              <w:t>图纸设计符合规范标准要求，如各专业平面布局、系统原理、主要设备材料及设计说明等设计要素齐全。</w:t>
            </w:r>
          </w:p>
          <w:p w14:paraId="0128B8BE">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三档（1分）：提供不少于3个专业的</w:t>
            </w:r>
            <w:r>
              <w:rPr>
                <w:rFonts w:hint="eastAsia" w:ascii="仿宋" w:hAnsi="仿宋" w:eastAsia="仿宋" w:cs="仿宋"/>
                <w:color w:val="000000"/>
                <w:sz w:val="24"/>
                <w:highlight w:val="none"/>
              </w:rPr>
              <w:t>深化图纸，</w:t>
            </w:r>
            <w:r>
              <w:rPr>
                <w:rFonts w:hint="eastAsia" w:ascii="仿宋" w:hAnsi="仿宋" w:eastAsia="仿宋" w:cs="仿宋"/>
                <w:sz w:val="24"/>
                <w:highlight w:val="none"/>
              </w:rPr>
              <w:t>符合场地基本情况，图纸思路清晰。</w:t>
            </w:r>
          </w:p>
          <w:p w14:paraId="50DF715E">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不满足三档要求的不得分。</w:t>
            </w:r>
          </w:p>
        </w:tc>
      </w:tr>
      <w:tr w14:paraId="741A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4A40AFB">
            <w:pPr>
              <w:shd w:val="clear"/>
              <w:spacing w:line="360" w:lineRule="auto"/>
              <w:rPr>
                <w:rFonts w:hint="eastAsia" w:ascii="仿宋" w:hAnsi="仿宋" w:eastAsia="仿宋" w:cs="仿宋"/>
                <w:sz w:val="24"/>
                <w:highlight w:val="none"/>
              </w:rPr>
            </w:pPr>
          </w:p>
        </w:tc>
        <w:tc>
          <w:tcPr>
            <w:tcW w:w="10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3B9C03F">
            <w:pPr>
              <w:shd w:val="clear"/>
              <w:spacing w:line="360" w:lineRule="auto"/>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6C94A299">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2.11效果图(满分5分)</w:t>
            </w:r>
          </w:p>
          <w:p w14:paraId="167536E8">
            <w:pPr>
              <w:shd w:val="clear"/>
              <w:spacing w:line="360" w:lineRule="auto"/>
              <w:rPr>
                <w:rFonts w:hint="eastAsia" w:ascii="仿宋" w:hAnsi="仿宋" w:eastAsia="仿宋" w:cs="仿宋"/>
                <w:sz w:val="24"/>
                <w:highlight w:val="none"/>
              </w:rPr>
            </w:pPr>
          </w:p>
        </w:tc>
        <w:tc>
          <w:tcPr>
            <w:tcW w:w="6536" w:type="dxa"/>
            <w:tcBorders>
              <w:top w:val="single" w:color="auto" w:sz="4" w:space="0"/>
              <w:left w:val="single" w:color="auto" w:sz="4" w:space="0"/>
              <w:bottom w:val="single" w:color="auto" w:sz="4" w:space="0"/>
              <w:right w:val="single" w:color="auto" w:sz="4" w:space="0"/>
              <w:tl2br w:val="nil"/>
              <w:tr2bl w:val="nil"/>
            </w:tcBorders>
          </w:tcPr>
          <w:p w14:paraId="68F9D798">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提供实验室(实验室位置：大型器材室2、实验室2-4、实验室2-5、实验室8-3，含装修、灯具、家具、水电及暖通管路)、楼顶(含设备基础、风机废气处理设备、风管、新风及空调机组)的效果图。</w:t>
            </w:r>
          </w:p>
          <w:p w14:paraId="089FE29E">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一档（5分）：效果图优于二档，提供齐全的室内效果图、楼顶设备基础及设备效果图，设计效果满足规划要求，效果图应真实、准确地反映设计方案及其与既有场地条件的契合度，与场地条件及设计意图相符，视觉风格协调且符合创一流实验室、直观传达高效、安全、灵活、绿色、智能、以人为本的先进理念，达到功能、技术与人文关怀的综合视觉呈现的目标定位。</w:t>
            </w:r>
          </w:p>
          <w:p w14:paraId="6F617F68">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二档（3分）：效果图优于三档，提供有至少3个实验室的室内效果图和楼顶设备基础及设备效果图，设计图视觉协调合理，各专业设计符合常规实验室的要求。</w:t>
            </w:r>
          </w:p>
          <w:p w14:paraId="44363872">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三档（1分）：提供有至少1个实验室的室内效果图或楼顶设备基础及设备效果图的。</w:t>
            </w:r>
          </w:p>
          <w:p w14:paraId="2C1A81EB">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不满足三档要求的不得分。</w:t>
            </w:r>
          </w:p>
        </w:tc>
      </w:tr>
      <w:tr w14:paraId="505F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1D1B355">
            <w:pPr>
              <w:shd w:val="clear"/>
              <w:spacing w:line="360" w:lineRule="auto"/>
              <w:rPr>
                <w:rFonts w:hint="eastAsia" w:ascii="仿宋" w:hAnsi="仿宋" w:eastAsia="仿宋" w:cs="仿宋"/>
                <w:sz w:val="24"/>
                <w:highlight w:val="none"/>
              </w:rPr>
            </w:pPr>
          </w:p>
        </w:tc>
        <w:tc>
          <w:tcPr>
            <w:tcW w:w="10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1415D50">
            <w:pPr>
              <w:shd w:val="clear"/>
              <w:spacing w:line="360" w:lineRule="auto"/>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2F5C98A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2.12设计演示(满分9分)</w:t>
            </w:r>
          </w:p>
        </w:tc>
        <w:tc>
          <w:tcPr>
            <w:tcW w:w="6536" w:type="dxa"/>
            <w:tcBorders>
              <w:top w:val="single" w:color="auto" w:sz="4" w:space="0"/>
              <w:left w:val="single" w:color="auto" w:sz="4" w:space="0"/>
              <w:bottom w:val="single" w:color="auto" w:sz="4" w:space="0"/>
              <w:right w:val="single" w:color="auto" w:sz="4" w:space="0"/>
              <w:tl2br w:val="nil"/>
              <w:tr2bl w:val="nil"/>
            </w:tcBorders>
          </w:tcPr>
          <w:p w14:paraId="07BEFFBB">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项目评审现场，磋商小组将在广西政府采购云平台在线邀请供应商进行远程设计演示，演示内容为实验室(实验室位置：实验室10-2、实验室10-3、实验室10-7、实验室10-16，含装修、灯具、家具、水电及暖通管路)、楼顶(含设备基础、风机废气处理设备、风管、新风及空调机组)的设计动画(总时长控制在10分钟内)。</w:t>
            </w:r>
          </w:p>
          <w:p w14:paraId="37C3EE25">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一档（9分）：设计演示优于二档，提供的动画内容完全满足演示要求，实验室及楼顶各项设备得到清晰体现，且解说详细，不同实验室之间设计风格协调，内容与实际场景高度匹配，各专业工艺设计原理解说详细，精准匹配本项目实验室设计要求。</w:t>
            </w:r>
          </w:p>
          <w:p w14:paraId="773D4028">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二档（5分）：设计演示优于三档，提供的动画内容满足演示要求，要求演示的各项要素有清晰体现，内容与实际场景较匹配，且能够对本项目实验室设计原理展开解说。</w:t>
            </w:r>
          </w:p>
          <w:p w14:paraId="4BBD95F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三档（1分）：提供的动画内容未完全满足演示要求，动画画面粗糙且没有具体体现演示重点内容，内容与实际场景不匹配或没有解说。</w:t>
            </w:r>
          </w:p>
        </w:tc>
      </w:tr>
      <w:tr w14:paraId="5E1C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516"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EB8B04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3</w:t>
            </w:r>
          </w:p>
        </w:tc>
        <w:tc>
          <w:tcPr>
            <w:tcW w:w="107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15F7B63">
            <w:pPr>
              <w:shd w:val="clea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商务分</w:t>
            </w:r>
          </w:p>
          <w:p w14:paraId="6CCB2DB4">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（满分10分）</w:t>
            </w: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6F1B88E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3.1综合实力（满分2.5分）</w:t>
            </w:r>
          </w:p>
        </w:tc>
        <w:tc>
          <w:tcPr>
            <w:tcW w:w="6536" w:type="dxa"/>
            <w:tcBorders>
              <w:top w:val="single" w:color="auto" w:sz="4" w:space="0"/>
              <w:left w:val="single" w:color="auto" w:sz="4" w:space="0"/>
              <w:bottom w:val="single" w:color="auto" w:sz="4" w:space="0"/>
              <w:right w:val="single" w:color="auto" w:sz="4" w:space="0"/>
              <w:tl2br w:val="nil"/>
              <w:tr2bl w:val="nil"/>
            </w:tcBorders>
            <w:vAlign w:val="center"/>
          </w:tcPr>
          <w:p w14:paraId="22ADBAD8">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1.拟委派项目团队：</w:t>
            </w:r>
          </w:p>
          <w:p w14:paraId="50DE0F63">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（1）项目负责人具备国家一级注册建筑师资格和高级职称的得0.5分。</w:t>
            </w:r>
          </w:p>
          <w:p w14:paraId="6FB4282B">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（2）自2021年1月1日以来，项目负责人完成过类似实验室设计业绩得1分。（类似业绩要求合同内至少包含建筑、电气、给排水、暖通设计专业，否则不予加分）。</w:t>
            </w:r>
          </w:p>
          <w:p w14:paraId="2F7565B1">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2.团队配置方案</w:t>
            </w:r>
          </w:p>
          <w:p w14:paraId="11CFE111">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一档（1分）：拟投入本项目建筑专业人员至少1人、电气专业人员至少1人、给排水专业人员至少1人、暖通专业人员至少1人，具备与本项目建设相关的工程类相关专业高级职称且均具有对应专业国家注册执业资格证书的不少于4人。</w:t>
            </w:r>
          </w:p>
          <w:p w14:paraId="7B8734DC">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二档（0.5分）：拟投入本项目建筑专业人员至少1人、电气专业人员至少1人、给排水专业人员至少1人、暖通专业人员至少1人，具备与本项目建设相关的工程类相关专业高级职称且均具有对应专业国家注册执业资格证书的不少于3人。</w:t>
            </w:r>
          </w:p>
          <w:p w14:paraId="7CB8EA0F">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对应专业国家注册执业资格证书如下：</w:t>
            </w:r>
          </w:p>
          <w:p w14:paraId="6F318CB6">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建筑设计专业执业资格：一级注册建筑师；</w:t>
            </w:r>
          </w:p>
          <w:p w14:paraId="136B0521">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电气设备专业执业资格：注册电气工程师；</w:t>
            </w:r>
          </w:p>
          <w:p w14:paraId="7F5129CD">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给排水专业执业资格：注册公用设备工程师（给水排水）；</w:t>
            </w:r>
          </w:p>
          <w:p w14:paraId="1C323949">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暖通设计执业资格：注册公用设备工程师（暖通空调）。</w:t>
            </w:r>
          </w:p>
          <w:p w14:paraId="7FA13391">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备注：1.响应文件中提供项目组人员身份证、学历证、职称证、执业注册信息等证明材料扫描件。未在住建部注册或者未实施注册制度的资格证书，可在供应商认为的其他材料内补充证书。团队成员中一人有多证的，只能加分一次，不能在不同专业或不同岗位重复加分。2.响应文件中拟投入的人员必须如实投入，项目实施人员未经采购人同意不允许更换，人员不能如实投入的视为虚假响应，采购人将报财政部门进行处罚，并取消成交资格。】</w:t>
            </w:r>
          </w:p>
        </w:tc>
      </w:tr>
      <w:tr w14:paraId="5B97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3DC7C11">
            <w:pPr>
              <w:shd w:val="clear"/>
              <w:spacing w:line="360" w:lineRule="auto"/>
              <w:rPr>
                <w:rFonts w:hint="eastAsia" w:ascii="仿宋" w:hAnsi="仿宋" w:eastAsia="仿宋" w:cs="仿宋"/>
                <w:sz w:val="24"/>
                <w:highlight w:val="none"/>
              </w:rPr>
            </w:pPr>
          </w:p>
        </w:tc>
        <w:tc>
          <w:tcPr>
            <w:tcW w:w="10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E9F4EBF">
            <w:pPr>
              <w:shd w:val="clear"/>
              <w:spacing w:line="360" w:lineRule="auto"/>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299F0612">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业绩（满分6分）</w:t>
            </w:r>
          </w:p>
        </w:tc>
        <w:tc>
          <w:tcPr>
            <w:tcW w:w="6536" w:type="dxa"/>
            <w:tcBorders>
              <w:top w:val="single" w:color="auto" w:sz="4" w:space="0"/>
              <w:left w:val="single" w:color="auto" w:sz="4" w:space="0"/>
              <w:bottom w:val="single" w:color="auto" w:sz="4" w:space="0"/>
              <w:right w:val="single" w:color="auto" w:sz="4" w:space="0"/>
              <w:tl2br w:val="nil"/>
              <w:tr2bl w:val="nil"/>
            </w:tcBorders>
            <w:vAlign w:val="center"/>
          </w:tcPr>
          <w:p w14:paraId="4EEDCC73">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提供自2021年1月1日以来类似实验室设计业绩，每提供一项得1分，满分6分。时间以合同签订时间为准，同一项目合同作为项目负责人业绩与企业业绩的不能重复加分。（类似业绩要求合同内至少包含建筑、电气、给排水、暖通设计专业，否则不予加分）</w:t>
            </w:r>
          </w:p>
        </w:tc>
      </w:tr>
      <w:tr w14:paraId="50A9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9F43AF8">
            <w:pPr>
              <w:shd w:val="clear"/>
              <w:spacing w:line="360" w:lineRule="auto"/>
              <w:rPr>
                <w:rFonts w:hint="eastAsia" w:ascii="仿宋" w:hAnsi="仿宋" w:eastAsia="仿宋" w:cs="仿宋"/>
                <w:sz w:val="24"/>
                <w:highlight w:val="none"/>
              </w:rPr>
            </w:pPr>
          </w:p>
        </w:tc>
        <w:tc>
          <w:tcPr>
            <w:tcW w:w="1071"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0420540">
            <w:pPr>
              <w:shd w:val="clear"/>
              <w:spacing w:line="360" w:lineRule="auto"/>
              <w:rPr>
                <w:rFonts w:hint="eastAsia" w:ascii="仿宋" w:hAnsi="仿宋" w:eastAsia="仿宋" w:cs="仿宋"/>
                <w:sz w:val="24"/>
                <w:highlight w:val="none"/>
              </w:rPr>
            </w:pPr>
          </w:p>
        </w:tc>
        <w:tc>
          <w:tcPr>
            <w:tcW w:w="1072" w:type="dxa"/>
            <w:tcBorders>
              <w:top w:val="single" w:color="auto" w:sz="4" w:space="0"/>
              <w:left w:val="single" w:color="auto" w:sz="4" w:space="0"/>
              <w:bottom w:val="single" w:color="auto" w:sz="4" w:space="0"/>
              <w:right w:val="single" w:color="auto" w:sz="4" w:space="0"/>
              <w:tl2br w:val="nil"/>
              <w:tr2bl w:val="nil"/>
            </w:tcBorders>
            <w:vAlign w:val="center"/>
          </w:tcPr>
          <w:p w14:paraId="0F4F95A0">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企业资信（满分1.5分）</w:t>
            </w:r>
          </w:p>
        </w:tc>
        <w:tc>
          <w:tcPr>
            <w:tcW w:w="6536" w:type="dxa"/>
            <w:tcBorders>
              <w:top w:val="single" w:color="auto" w:sz="4" w:space="0"/>
              <w:left w:val="single" w:color="auto" w:sz="4" w:space="0"/>
              <w:bottom w:val="single" w:color="auto" w:sz="4" w:space="0"/>
              <w:right w:val="single" w:color="auto" w:sz="4" w:space="0"/>
              <w:tl2br w:val="nil"/>
              <w:tr2bl w:val="nil"/>
            </w:tcBorders>
          </w:tcPr>
          <w:p w14:paraId="19F6962E">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供应商提供有效的质量管理体系、职业健康安全管理体系、环境管理体系认证证书，且各项证书的认证范围包含与本项目服务相关专业的，每项得0.5分，本项最多得1.5分。</w:t>
            </w:r>
          </w:p>
        </w:tc>
      </w:tr>
      <w:tr w14:paraId="18DC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5"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FA30B15">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总分=1+2+3</w:t>
            </w:r>
          </w:p>
        </w:tc>
      </w:tr>
    </w:tbl>
    <w:p w14:paraId="6EF6E599">
      <w:pPr>
        <w:pStyle w:val="13"/>
        <w:shd w:val="clear"/>
        <w:ind w:firstLine="420"/>
        <w:rPr>
          <w:rFonts w:hint="eastAsia" w:ascii="仿宋" w:hAnsi="仿宋" w:eastAsia="仿宋" w:cs="仿宋"/>
          <w:highlight w:val="none"/>
        </w:rPr>
      </w:pPr>
    </w:p>
    <w:p w14:paraId="3CD4FC83">
      <w:pPr>
        <w:shd w:val="clear"/>
        <w:spacing w:line="360" w:lineRule="auto"/>
        <w:ind w:firstLine="480" w:firstLineChars="200"/>
        <w:rPr>
          <w:rFonts w:hint="eastAsia" w:ascii="仿宋" w:hAnsi="仿宋" w:eastAsia="仿宋" w:cs="仿宋"/>
          <w:snapToGrid w:val="0"/>
          <w:kern w:val="0"/>
          <w:sz w:val="24"/>
          <w:highlight w:val="none"/>
        </w:rPr>
      </w:pPr>
      <w:r>
        <w:rPr>
          <w:rFonts w:hint="eastAsia" w:ascii="仿宋" w:hAnsi="仿宋" w:eastAsia="仿宋" w:cs="仿宋"/>
          <w:bCs/>
          <w:sz w:val="24"/>
          <w:highlight w:val="none"/>
        </w:rPr>
        <w:t>由磋商小组根据综合评分情况，按照评审得分由高到低顺序推荐3名以上成交候选供应商，并编写评审报告。</w:t>
      </w:r>
      <w:r>
        <w:rPr>
          <w:rFonts w:hint="eastAsia" w:ascii="仿宋" w:hAnsi="仿宋" w:eastAsia="仿宋" w:cs="仿宋"/>
          <w:b/>
          <w:bCs/>
          <w:sz w:val="24"/>
          <w:highlight w:val="none"/>
        </w:rPr>
        <w:t>符合本章第2.7、3.7、4.3条情形的，可以推荐2家成交候选供应商。</w:t>
      </w:r>
      <w:r>
        <w:rPr>
          <w:rFonts w:hint="eastAsia" w:ascii="仿宋" w:hAnsi="仿宋" w:eastAsia="仿宋" w:cs="仿宋"/>
          <w:bCs/>
          <w:sz w:val="24"/>
          <w:highlight w:val="none"/>
        </w:rPr>
        <w:t>评审得分相同的，按照最后报价（不计算价格折扣）由低到高的顺序推荐。评审得分且最后报价（不计算价格折扣）相同的，依次按服务评分高的优先、商务评分高的优先的顺序确定成交候选供应商。</w:t>
      </w:r>
    </w:p>
    <w:p w14:paraId="51E7F020">
      <w:pPr>
        <w:shd w:val="clear"/>
        <w:spacing w:line="360" w:lineRule="auto"/>
        <w:ind w:firstLine="480" w:firstLineChars="200"/>
        <w:rPr>
          <w:rFonts w:hint="eastAsia" w:ascii="仿宋" w:hAnsi="仿宋" w:eastAsia="仿宋" w:cs="仿宋"/>
          <w:sz w:val="24"/>
          <w:highlight w:val="none"/>
        </w:rPr>
      </w:pPr>
    </w:p>
    <w:p w14:paraId="49F3E0DA">
      <w:pPr>
        <w:shd w:val="clear"/>
        <w:spacing w:line="360" w:lineRule="auto"/>
        <w:ind w:firstLine="480" w:firstLineChars="200"/>
        <w:rPr>
          <w:rFonts w:hint="eastAsia" w:ascii="仿宋" w:hAnsi="仿宋" w:eastAsia="仿宋" w:cs="仿宋"/>
          <w:sz w:val="24"/>
          <w:highlight w:val="none"/>
        </w:rPr>
      </w:pPr>
    </w:p>
    <w:p w14:paraId="2C05F43F">
      <w:pPr>
        <w:shd w:val="clear"/>
        <w:rPr>
          <w:rFonts w:hint="eastAsia" w:ascii="仿宋" w:hAnsi="仿宋" w:eastAsia="仿宋" w:cs="仿宋"/>
          <w:highlight w:val="none"/>
        </w:rPr>
      </w:pPr>
    </w:p>
    <w:p w14:paraId="7B77E1AF">
      <w:pPr>
        <w:shd w:val="clear"/>
        <w:rPr>
          <w:rFonts w:hint="eastAsia" w:ascii="仿宋" w:hAnsi="仿宋" w:eastAsia="仿宋" w:cs="仿宋"/>
          <w:highlight w:val="none"/>
        </w:rPr>
      </w:pPr>
    </w:p>
    <w:p w14:paraId="4119FDBF">
      <w:pPr>
        <w:shd w:val="clear"/>
        <w:rPr>
          <w:rFonts w:hint="eastAsia" w:ascii="仿宋" w:hAnsi="仿宋" w:eastAsia="仿宋" w:cs="仿宋"/>
          <w:highlight w:val="none"/>
        </w:rPr>
      </w:pPr>
    </w:p>
    <w:p w14:paraId="1D2855F1">
      <w:pPr>
        <w:shd w:val="clear"/>
        <w:rPr>
          <w:rFonts w:hint="eastAsia" w:ascii="仿宋" w:hAnsi="仿宋" w:eastAsia="仿宋" w:cs="仿宋"/>
          <w:highlight w:val="none"/>
        </w:rPr>
      </w:pPr>
    </w:p>
    <w:p w14:paraId="2F75B1F4">
      <w:pPr>
        <w:pStyle w:val="14"/>
        <w:shd w:val="clear"/>
        <w:rPr>
          <w:rFonts w:hint="eastAsia" w:ascii="仿宋" w:hAnsi="仿宋" w:eastAsia="仿宋" w:cs="仿宋"/>
          <w:highlight w:val="none"/>
        </w:rPr>
      </w:pPr>
    </w:p>
    <w:p w14:paraId="5138A858">
      <w:pPr>
        <w:pStyle w:val="2"/>
        <w:shd w:val="clear"/>
        <w:rPr>
          <w:rFonts w:hint="eastAsia" w:ascii="仿宋" w:hAnsi="仿宋" w:cs="仿宋"/>
          <w:highlight w:val="none"/>
        </w:rPr>
      </w:pPr>
    </w:p>
    <w:p w14:paraId="059F157C">
      <w:pPr>
        <w:pStyle w:val="2"/>
        <w:shd w:val="clear"/>
        <w:rPr>
          <w:rFonts w:hint="eastAsia" w:ascii="仿宋" w:hAnsi="仿宋" w:cs="仿宋"/>
          <w:highlight w:val="none"/>
        </w:rPr>
      </w:pPr>
    </w:p>
    <w:p w14:paraId="4307DD89">
      <w:pPr>
        <w:pStyle w:val="2"/>
        <w:shd w:val="clear"/>
        <w:rPr>
          <w:rFonts w:hint="eastAsia" w:ascii="仿宋" w:hAnsi="仿宋" w:cs="仿宋"/>
          <w:highlight w:val="none"/>
        </w:rPr>
      </w:pPr>
    </w:p>
    <w:p w14:paraId="1FCAA00C">
      <w:pPr>
        <w:pStyle w:val="2"/>
        <w:shd w:val="clear"/>
        <w:rPr>
          <w:rFonts w:hint="eastAsia" w:ascii="仿宋" w:hAnsi="仿宋" w:cs="仿宋"/>
          <w:highlight w:val="none"/>
        </w:rPr>
      </w:pPr>
    </w:p>
    <w:p w14:paraId="3B6AA694">
      <w:pPr>
        <w:pStyle w:val="2"/>
        <w:shd w:val="clear"/>
        <w:rPr>
          <w:rFonts w:hint="eastAsia" w:ascii="仿宋" w:hAnsi="仿宋" w:cs="仿宋"/>
          <w:highlight w:val="none"/>
        </w:rPr>
      </w:pPr>
      <w:r>
        <w:rPr>
          <w:rFonts w:hint="eastAsia" w:ascii="仿宋" w:hAnsi="仿宋" w:cs="仿宋"/>
          <w:highlight w:val="none"/>
        </w:rPr>
        <w:br w:type="page"/>
      </w:r>
      <w:bookmarkStart w:id="35" w:name="_Toc25779"/>
      <w:r>
        <w:rPr>
          <w:rFonts w:hint="eastAsia" w:ascii="仿宋" w:hAnsi="仿宋" w:cs="仿宋"/>
          <w:highlight w:val="none"/>
        </w:rPr>
        <w:t>第五章 响应文件格式</w:t>
      </w:r>
      <w:bookmarkEnd w:id="35"/>
    </w:p>
    <w:p w14:paraId="05855AC7">
      <w:pPr>
        <w:shd w:val="clear"/>
        <w:spacing w:line="240" w:lineRule="atLeast"/>
        <w:rPr>
          <w:rFonts w:hint="eastAsia" w:ascii="仿宋" w:hAnsi="仿宋" w:eastAsia="仿宋" w:cs="仿宋"/>
          <w:b/>
          <w:sz w:val="32"/>
          <w:szCs w:val="32"/>
          <w:highlight w:val="none"/>
        </w:rPr>
      </w:pPr>
    </w:p>
    <w:p w14:paraId="67F8440E">
      <w:pPr>
        <w:shd w:val="clear"/>
        <w:spacing w:line="240" w:lineRule="atLeast"/>
        <w:rPr>
          <w:rFonts w:hint="eastAsia" w:ascii="仿宋" w:hAnsi="仿宋" w:eastAsia="仿宋" w:cs="仿宋"/>
          <w:bCs/>
          <w:sz w:val="32"/>
          <w:szCs w:val="32"/>
          <w:highlight w:val="none"/>
        </w:rPr>
      </w:pPr>
    </w:p>
    <w:p w14:paraId="3A57BD08">
      <w:pPr>
        <w:shd w:val="clear"/>
        <w:jc w:val="center"/>
        <w:rPr>
          <w:rFonts w:hint="eastAsia" w:ascii="仿宋" w:hAnsi="仿宋" w:eastAsia="仿宋" w:cs="仿宋"/>
          <w:b/>
          <w:sz w:val="32"/>
          <w:szCs w:val="32"/>
          <w:highlight w:val="none"/>
        </w:rPr>
      </w:pPr>
      <w:bookmarkStart w:id="36" w:name="_Toc31728084"/>
      <w:bookmarkStart w:id="37" w:name="_Toc44229899"/>
      <w:bookmarkStart w:id="38" w:name="_Toc31723070"/>
      <w:bookmarkStart w:id="39" w:name="_Toc35611438"/>
      <w:bookmarkStart w:id="40" w:name="_Toc71365925"/>
      <w:bookmarkStart w:id="41" w:name="_Toc35611516"/>
      <w:r>
        <w:rPr>
          <w:rFonts w:hint="eastAsia" w:ascii="仿宋" w:hAnsi="仿宋" w:eastAsia="仿宋" w:cs="仿宋"/>
          <w:b/>
          <w:sz w:val="32"/>
          <w:szCs w:val="32"/>
          <w:highlight w:val="none"/>
        </w:rPr>
        <w:t>一、资格证明文件格式</w:t>
      </w:r>
      <w:bookmarkEnd w:id="36"/>
      <w:bookmarkEnd w:id="37"/>
      <w:bookmarkEnd w:id="38"/>
      <w:bookmarkEnd w:id="39"/>
      <w:bookmarkEnd w:id="40"/>
      <w:bookmarkEnd w:id="41"/>
    </w:p>
    <w:p w14:paraId="52FB9D9E">
      <w:pPr>
        <w:shd w:val="clear"/>
        <w:snapToGrid w:val="0"/>
        <w:spacing w:before="156" w:beforeLines="50" w:after="50" w:line="360" w:lineRule="auto"/>
        <w:jc w:val="center"/>
        <w:rPr>
          <w:rFonts w:hint="eastAsia" w:ascii="仿宋" w:hAnsi="仿宋" w:eastAsia="仿宋" w:cs="仿宋"/>
          <w:b/>
          <w:sz w:val="24"/>
          <w:highlight w:val="none"/>
        </w:rPr>
      </w:pPr>
      <w:r>
        <w:rPr>
          <w:rFonts w:hint="eastAsia" w:ascii="仿宋" w:hAnsi="仿宋" w:eastAsia="仿宋" w:cs="仿宋"/>
          <w:b/>
          <w:sz w:val="32"/>
          <w:szCs w:val="32"/>
          <w:highlight w:val="none"/>
        </w:rPr>
        <w:t>1.资格证明文件封面格式：</w:t>
      </w:r>
    </w:p>
    <w:p w14:paraId="19DA9BB4">
      <w:pPr>
        <w:shd w:val="clear"/>
        <w:snapToGrid w:val="0"/>
        <w:spacing w:before="156" w:beforeLines="50" w:after="50"/>
        <w:rPr>
          <w:rFonts w:hint="eastAsia" w:ascii="仿宋" w:hAnsi="仿宋" w:eastAsia="仿宋" w:cs="仿宋"/>
          <w:bCs/>
          <w:sz w:val="32"/>
          <w:szCs w:val="20"/>
          <w:highlight w:val="none"/>
        </w:rPr>
      </w:pPr>
      <w:r>
        <w:rPr>
          <w:rFonts w:hint="eastAsia" w:ascii="仿宋" w:hAnsi="仿宋" w:eastAsia="仿宋" w:cs="仿宋"/>
          <w:sz w:val="24"/>
          <w:highlight w:val="none"/>
        </w:rPr>
        <w:t xml:space="preserve">                                                    </w:t>
      </w:r>
    </w:p>
    <w:p w14:paraId="7294120B">
      <w:pPr>
        <w:shd w:val="clear"/>
        <w:snapToGrid w:val="0"/>
        <w:spacing w:before="156" w:beforeLines="50" w:after="50"/>
        <w:rPr>
          <w:rFonts w:hint="eastAsia" w:ascii="仿宋" w:hAnsi="仿宋" w:eastAsia="仿宋" w:cs="仿宋"/>
          <w:sz w:val="24"/>
          <w:szCs w:val="20"/>
          <w:highlight w:val="none"/>
        </w:rPr>
      </w:pPr>
    </w:p>
    <w:p w14:paraId="35851F0A">
      <w:pPr>
        <w:shd w:val="clear"/>
        <w:snapToGrid w:val="0"/>
        <w:spacing w:before="156" w:beforeLines="50" w:after="50"/>
        <w:jc w:val="center"/>
        <w:rPr>
          <w:rFonts w:hint="eastAsia" w:ascii="仿宋" w:hAnsi="仿宋" w:eastAsia="仿宋" w:cs="仿宋"/>
          <w:bCs/>
          <w:sz w:val="84"/>
          <w:szCs w:val="84"/>
          <w:highlight w:val="none"/>
        </w:rPr>
      </w:pPr>
      <w:r>
        <w:rPr>
          <w:rFonts w:hint="eastAsia" w:ascii="仿宋" w:hAnsi="仿宋" w:eastAsia="仿宋" w:cs="仿宋"/>
          <w:bCs/>
          <w:sz w:val="84"/>
          <w:szCs w:val="84"/>
          <w:highlight w:val="none"/>
        </w:rPr>
        <w:t>响  应  文  件</w:t>
      </w:r>
    </w:p>
    <w:p w14:paraId="4F04A3F7">
      <w:pPr>
        <w:shd w:val="clear"/>
        <w:snapToGrid w:val="0"/>
        <w:spacing w:before="156" w:beforeLines="50" w:after="50"/>
        <w:jc w:val="center"/>
        <w:rPr>
          <w:rFonts w:hint="eastAsia" w:ascii="仿宋" w:hAnsi="仿宋" w:eastAsia="仿宋" w:cs="仿宋"/>
          <w:bCs/>
          <w:sz w:val="44"/>
          <w:szCs w:val="44"/>
          <w:highlight w:val="none"/>
        </w:rPr>
      </w:pPr>
    </w:p>
    <w:p w14:paraId="001312B3">
      <w:pPr>
        <w:shd w:val="clear"/>
        <w:snapToGrid w:val="0"/>
        <w:spacing w:before="156" w:beforeLines="50" w:after="50"/>
        <w:jc w:val="center"/>
        <w:rPr>
          <w:rFonts w:hint="eastAsia" w:ascii="仿宋" w:hAnsi="仿宋" w:eastAsia="仿宋" w:cs="仿宋"/>
          <w:bCs/>
          <w:sz w:val="32"/>
          <w:szCs w:val="32"/>
          <w:highlight w:val="none"/>
        </w:rPr>
      </w:pPr>
      <w:r>
        <w:rPr>
          <w:rFonts w:hint="eastAsia" w:ascii="仿宋" w:hAnsi="仿宋" w:eastAsia="仿宋" w:cs="仿宋"/>
          <w:bCs/>
          <w:sz w:val="32"/>
          <w:szCs w:val="32"/>
          <w:highlight w:val="none"/>
        </w:rPr>
        <w:t>资  格  证  明  文  件</w:t>
      </w:r>
    </w:p>
    <w:p w14:paraId="76C119F1">
      <w:pPr>
        <w:shd w:val="clear"/>
        <w:snapToGrid w:val="0"/>
        <w:spacing w:before="156" w:beforeLines="50" w:after="50"/>
        <w:rPr>
          <w:rFonts w:hint="eastAsia" w:ascii="仿宋" w:hAnsi="仿宋" w:eastAsia="仿宋" w:cs="仿宋"/>
          <w:bCs/>
          <w:sz w:val="24"/>
          <w:szCs w:val="20"/>
          <w:highlight w:val="none"/>
        </w:rPr>
      </w:pPr>
    </w:p>
    <w:p w14:paraId="690D263D">
      <w:pPr>
        <w:shd w:val="clear"/>
        <w:snapToGrid w:val="0"/>
        <w:spacing w:before="156" w:beforeLines="50" w:after="50"/>
        <w:rPr>
          <w:rFonts w:hint="eastAsia" w:ascii="仿宋" w:hAnsi="仿宋" w:eastAsia="仿宋" w:cs="仿宋"/>
          <w:bCs/>
          <w:sz w:val="22"/>
          <w:szCs w:val="18"/>
          <w:highlight w:val="none"/>
        </w:rPr>
      </w:pPr>
    </w:p>
    <w:p w14:paraId="3880EB2C">
      <w:pPr>
        <w:shd w:val="clear"/>
        <w:snapToGrid w:val="0"/>
        <w:spacing w:before="156" w:beforeLines="50" w:after="50"/>
        <w:rPr>
          <w:rFonts w:hint="eastAsia" w:ascii="仿宋" w:hAnsi="仿宋" w:eastAsia="仿宋" w:cs="仿宋"/>
          <w:bCs/>
          <w:sz w:val="22"/>
          <w:szCs w:val="18"/>
          <w:highlight w:val="none"/>
        </w:rPr>
      </w:pPr>
    </w:p>
    <w:p w14:paraId="44CAB7DF">
      <w:pPr>
        <w:shd w:val="clear"/>
        <w:snapToGrid w:val="0"/>
        <w:spacing w:before="156" w:beforeLines="50" w:after="50"/>
        <w:ind w:firstLine="2396" w:firstLineChars="856"/>
        <w:rPr>
          <w:rFonts w:hint="eastAsia" w:ascii="仿宋" w:hAnsi="仿宋" w:eastAsia="仿宋" w:cs="仿宋"/>
          <w:bCs/>
          <w:sz w:val="28"/>
          <w:szCs w:val="28"/>
          <w:highlight w:val="none"/>
        </w:rPr>
      </w:pPr>
      <w:r>
        <w:rPr>
          <w:rFonts w:hint="eastAsia" w:ascii="仿宋" w:hAnsi="仿宋" w:eastAsia="仿宋" w:cs="仿宋"/>
          <w:bCs/>
          <w:sz w:val="28"/>
          <w:szCs w:val="28"/>
          <w:highlight w:val="none"/>
        </w:rPr>
        <w:t>项目名称：</w:t>
      </w:r>
    </w:p>
    <w:p w14:paraId="2FFCCB64">
      <w:pPr>
        <w:shd w:val="clear"/>
        <w:snapToGrid w:val="0"/>
        <w:spacing w:before="156" w:beforeLines="50" w:after="50"/>
        <w:ind w:firstLine="2396" w:firstLineChars="856"/>
        <w:rPr>
          <w:rFonts w:hint="eastAsia" w:ascii="仿宋" w:hAnsi="仿宋" w:eastAsia="仿宋" w:cs="仿宋"/>
          <w:bCs/>
          <w:sz w:val="28"/>
          <w:szCs w:val="28"/>
          <w:highlight w:val="none"/>
        </w:rPr>
      </w:pPr>
      <w:r>
        <w:rPr>
          <w:rFonts w:hint="eastAsia" w:ascii="仿宋" w:hAnsi="仿宋" w:eastAsia="仿宋" w:cs="仿宋"/>
          <w:bCs/>
          <w:sz w:val="28"/>
          <w:szCs w:val="28"/>
          <w:highlight w:val="none"/>
        </w:rPr>
        <w:t>项目编号：</w:t>
      </w:r>
    </w:p>
    <w:p w14:paraId="10138BF4">
      <w:pPr>
        <w:shd w:val="clear"/>
        <w:snapToGrid w:val="0"/>
        <w:spacing w:before="156" w:beforeLines="50" w:after="50"/>
        <w:ind w:firstLine="2396" w:firstLineChars="856"/>
        <w:rPr>
          <w:rFonts w:hint="eastAsia" w:ascii="仿宋" w:hAnsi="仿宋" w:eastAsia="仿宋" w:cs="仿宋"/>
          <w:bCs/>
          <w:sz w:val="28"/>
          <w:szCs w:val="28"/>
          <w:highlight w:val="none"/>
        </w:rPr>
      </w:pPr>
      <w:r>
        <w:rPr>
          <w:rFonts w:hint="eastAsia" w:ascii="仿宋" w:hAnsi="仿宋" w:eastAsia="仿宋" w:cs="仿宋"/>
          <w:bCs/>
          <w:sz w:val="28"/>
          <w:szCs w:val="28"/>
          <w:highlight w:val="none"/>
        </w:rPr>
        <w:t>所竞分标（如有）：</w:t>
      </w:r>
    </w:p>
    <w:p w14:paraId="58ECD433">
      <w:pPr>
        <w:pStyle w:val="6"/>
        <w:shd w:val="clear"/>
        <w:snapToGrid w:val="0"/>
        <w:spacing w:before="50" w:after="50"/>
        <w:ind w:firstLine="2396" w:firstLineChars="856"/>
        <w:rPr>
          <w:rFonts w:hint="eastAsia" w:ascii="仿宋" w:hAnsi="仿宋" w:eastAsia="仿宋" w:cs="仿宋"/>
          <w:bCs/>
          <w:sz w:val="28"/>
          <w:szCs w:val="28"/>
          <w:highlight w:val="none"/>
        </w:rPr>
      </w:pPr>
      <w:r>
        <w:rPr>
          <w:rFonts w:hint="eastAsia" w:ascii="仿宋" w:hAnsi="仿宋" w:eastAsia="仿宋" w:cs="仿宋"/>
          <w:bCs/>
          <w:sz w:val="28"/>
          <w:szCs w:val="28"/>
          <w:highlight w:val="none"/>
        </w:rPr>
        <w:t>供应商名称：</w:t>
      </w:r>
    </w:p>
    <w:p w14:paraId="10958A16">
      <w:pPr>
        <w:pStyle w:val="6"/>
        <w:shd w:val="clear"/>
        <w:snapToGrid w:val="0"/>
        <w:spacing w:before="50" w:after="50"/>
        <w:ind w:firstLine="630" w:firstLineChars="225"/>
        <w:rPr>
          <w:rFonts w:hint="eastAsia" w:ascii="仿宋" w:hAnsi="仿宋" w:eastAsia="仿宋" w:cs="仿宋"/>
          <w:bCs/>
          <w:sz w:val="28"/>
          <w:szCs w:val="28"/>
          <w:highlight w:val="none"/>
        </w:rPr>
      </w:pPr>
    </w:p>
    <w:p w14:paraId="53DF3480">
      <w:pPr>
        <w:pStyle w:val="6"/>
        <w:shd w:val="clear"/>
        <w:snapToGrid w:val="0"/>
        <w:spacing w:before="50" w:after="50"/>
        <w:ind w:firstLine="630" w:firstLineChars="225"/>
        <w:rPr>
          <w:rFonts w:hint="eastAsia" w:ascii="仿宋" w:hAnsi="仿宋" w:eastAsia="仿宋" w:cs="仿宋"/>
          <w:bCs/>
          <w:sz w:val="28"/>
          <w:szCs w:val="28"/>
          <w:highlight w:val="none"/>
        </w:rPr>
      </w:pPr>
    </w:p>
    <w:p w14:paraId="34EDE96B">
      <w:pPr>
        <w:pStyle w:val="6"/>
        <w:shd w:val="clear"/>
        <w:snapToGrid w:val="0"/>
        <w:spacing w:before="50" w:after="50"/>
        <w:ind w:firstLine="1120" w:firstLineChars="400"/>
        <w:rPr>
          <w:rFonts w:hint="eastAsia" w:ascii="仿宋" w:hAnsi="仿宋" w:eastAsia="仿宋" w:cs="仿宋"/>
          <w:bCs/>
          <w:sz w:val="28"/>
          <w:szCs w:val="28"/>
          <w:highlight w:val="none"/>
        </w:rPr>
      </w:pPr>
    </w:p>
    <w:p w14:paraId="26207C53">
      <w:pPr>
        <w:shd w:val="clear"/>
        <w:snapToGrid w:val="0"/>
        <w:spacing w:before="156" w:beforeLines="50" w:after="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年    月    日</w:t>
      </w:r>
    </w:p>
    <w:p w14:paraId="474E3672">
      <w:pPr>
        <w:shd w:val="clear"/>
        <w:snapToGrid w:val="0"/>
        <w:spacing w:before="156" w:beforeLines="50" w:after="50"/>
        <w:ind w:left="142"/>
        <w:jc w:val="left"/>
        <w:rPr>
          <w:rFonts w:hint="eastAsia" w:ascii="仿宋" w:hAnsi="仿宋" w:eastAsia="仿宋" w:cs="仿宋"/>
          <w:b/>
          <w:bCs/>
          <w:sz w:val="32"/>
          <w:szCs w:val="32"/>
          <w:highlight w:val="none"/>
        </w:rPr>
      </w:pPr>
      <w:r>
        <w:rPr>
          <w:rFonts w:hint="eastAsia" w:ascii="仿宋" w:hAnsi="仿宋" w:eastAsia="仿宋" w:cs="仿宋"/>
          <w:sz w:val="22"/>
          <w:szCs w:val="22"/>
          <w:highlight w:val="none"/>
        </w:rPr>
        <w:br w:type="page"/>
      </w:r>
      <w:r>
        <w:rPr>
          <w:rFonts w:hint="eastAsia" w:ascii="仿宋" w:hAnsi="仿宋" w:eastAsia="仿宋" w:cs="仿宋"/>
          <w:b/>
          <w:bCs/>
          <w:sz w:val="32"/>
          <w:szCs w:val="32"/>
          <w:highlight w:val="none"/>
        </w:rPr>
        <w:t>2.资格证明文件目录</w:t>
      </w:r>
    </w:p>
    <w:p w14:paraId="1E8B9965">
      <w:pPr>
        <w:shd w:val="clear"/>
        <w:snapToGrid w:val="0"/>
        <w:spacing w:before="156" w:beforeLines="50" w:after="50" w:line="360" w:lineRule="auto"/>
        <w:ind w:firstLine="645"/>
        <w:rPr>
          <w:rFonts w:hint="eastAsia" w:ascii="仿宋" w:hAnsi="仿宋" w:eastAsia="仿宋" w:cs="仿宋"/>
          <w:sz w:val="28"/>
          <w:szCs w:val="28"/>
          <w:highlight w:val="none"/>
        </w:rPr>
      </w:pPr>
      <w:r>
        <w:rPr>
          <w:rFonts w:hint="eastAsia" w:ascii="仿宋" w:hAnsi="仿宋" w:eastAsia="仿宋" w:cs="仿宋"/>
          <w:sz w:val="28"/>
          <w:szCs w:val="28"/>
          <w:highlight w:val="none"/>
        </w:rPr>
        <w:t>根据磋商文件规定及供应商提供的材料自行编写目录（部分格式后附）。</w:t>
      </w:r>
    </w:p>
    <w:p w14:paraId="6C887355">
      <w:pPr>
        <w:shd w:val="clear"/>
        <w:snapToGrid w:val="0"/>
        <w:spacing w:before="156" w:beforeLines="50" w:after="50"/>
        <w:rPr>
          <w:rFonts w:hint="eastAsia" w:ascii="仿宋" w:hAnsi="仿宋" w:eastAsia="仿宋" w:cs="仿宋"/>
          <w:szCs w:val="21"/>
          <w:highlight w:val="none"/>
        </w:rPr>
      </w:pPr>
      <w:r>
        <w:rPr>
          <w:rFonts w:hint="eastAsia" w:ascii="仿宋" w:hAnsi="仿宋" w:eastAsia="仿宋" w:cs="仿宋"/>
          <w:sz w:val="22"/>
          <w:szCs w:val="18"/>
          <w:highlight w:val="none"/>
        </w:rPr>
        <w:t xml:space="preserve"> </w:t>
      </w:r>
    </w:p>
    <w:p w14:paraId="49BD7432">
      <w:pPr>
        <w:shd w:val="clear"/>
        <w:spacing w:line="300" w:lineRule="auto"/>
        <w:rPr>
          <w:rFonts w:hint="eastAsia" w:ascii="仿宋" w:hAnsi="仿宋" w:eastAsia="仿宋" w:cs="仿宋"/>
          <w:szCs w:val="21"/>
          <w:highlight w:val="none"/>
        </w:rPr>
      </w:pPr>
    </w:p>
    <w:p w14:paraId="041F86CC">
      <w:pPr>
        <w:shd w:val="clear"/>
        <w:spacing w:line="300" w:lineRule="auto"/>
        <w:rPr>
          <w:rFonts w:hint="eastAsia" w:ascii="仿宋" w:hAnsi="仿宋" w:eastAsia="仿宋" w:cs="仿宋"/>
          <w:szCs w:val="21"/>
          <w:highlight w:val="none"/>
        </w:rPr>
      </w:pPr>
    </w:p>
    <w:p w14:paraId="4882F169">
      <w:pPr>
        <w:shd w:val="clear"/>
        <w:spacing w:line="300" w:lineRule="auto"/>
        <w:rPr>
          <w:rFonts w:hint="eastAsia" w:ascii="仿宋" w:hAnsi="仿宋" w:eastAsia="仿宋" w:cs="仿宋"/>
          <w:szCs w:val="21"/>
          <w:highlight w:val="none"/>
        </w:rPr>
      </w:pPr>
    </w:p>
    <w:p w14:paraId="627436EA">
      <w:pPr>
        <w:shd w:val="clear"/>
        <w:spacing w:line="300" w:lineRule="auto"/>
        <w:rPr>
          <w:rFonts w:hint="eastAsia" w:ascii="仿宋" w:hAnsi="仿宋" w:eastAsia="仿宋" w:cs="仿宋"/>
          <w:szCs w:val="21"/>
          <w:highlight w:val="none"/>
        </w:rPr>
      </w:pPr>
    </w:p>
    <w:p w14:paraId="1F6B8CD2">
      <w:pPr>
        <w:shd w:val="clear"/>
        <w:spacing w:line="300" w:lineRule="auto"/>
        <w:rPr>
          <w:rFonts w:hint="eastAsia" w:ascii="仿宋" w:hAnsi="仿宋" w:eastAsia="仿宋" w:cs="仿宋"/>
          <w:szCs w:val="21"/>
          <w:highlight w:val="none"/>
        </w:rPr>
      </w:pPr>
    </w:p>
    <w:p w14:paraId="7C0617A5">
      <w:pPr>
        <w:shd w:val="clear"/>
        <w:spacing w:line="300" w:lineRule="auto"/>
        <w:rPr>
          <w:rFonts w:hint="eastAsia" w:ascii="仿宋" w:hAnsi="仿宋" w:eastAsia="仿宋" w:cs="仿宋"/>
          <w:szCs w:val="21"/>
          <w:highlight w:val="none"/>
        </w:rPr>
      </w:pPr>
    </w:p>
    <w:p w14:paraId="10C62076">
      <w:pPr>
        <w:shd w:val="clear"/>
        <w:jc w:val="center"/>
        <w:rPr>
          <w:rFonts w:hint="eastAsia" w:ascii="仿宋" w:hAnsi="仿宋" w:eastAsia="仿宋" w:cs="仿宋"/>
          <w:b/>
          <w:sz w:val="32"/>
          <w:szCs w:val="32"/>
          <w:highlight w:val="none"/>
        </w:rPr>
      </w:pPr>
      <w:r>
        <w:rPr>
          <w:rFonts w:hint="eastAsia" w:ascii="仿宋" w:hAnsi="仿宋" w:eastAsia="仿宋" w:cs="仿宋"/>
          <w:szCs w:val="21"/>
          <w:highlight w:val="none"/>
        </w:rPr>
        <w:br w:type="page"/>
      </w:r>
    </w:p>
    <w:p w14:paraId="1BD80ABD">
      <w:pPr>
        <w:shd w:val="clea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供应商直接控股、管理关系信息表</w:t>
      </w:r>
    </w:p>
    <w:p w14:paraId="4A20AD28">
      <w:pPr>
        <w:shd w:val="clear"/>
        <w:jc w:val="center"/>
        <w:rPr>
          <w:rFonts w:hint="eastAsia" w:ascii="仿宋" w:hAnsi="仿宋" w:eastAsia="仿宋" w:cs="仿宋"/>
          <w:b/>
          <w:sz w:val="32"/>
          <w:szCs w:val="32"/>
          <w:highlight w:val="none"/>
        </w:rPr>
      </w:pPr>
      <w:r>
        <w:rPr>
          <w:rFonts w:hint="eastAsia" w:ascii="仿宋" w:hAnsi="仿宋" w:eastAsia="仿宋" w:cs="仿宋"/>
          <w:b/>
          <w:sz w:val="44"/>
          <w:szCs w:val="44"/>
          <w:highlight w:val="none"/>
        </w:rPr>
        <w:t>（一）供应商直接控股股东信息表</w:t>
      </w:r>
    </w:p>
    <w:p w14:paraId="629FAFB8">
      <w:pPr>
        <w:shd w:val="clear"/>
        <w:snapToGrid w:val="0"/>
        <w:spacing w:before="156" w:beforeLines="50" w:after="50"/>
        <w:jc w:val="center"/>
        <w:rPr>
          <w:rFonts w:hint="eastAsia" w:ascii="仿宋" w:hAnsi="仿宋" w:eastAsia="仿宋" w:cs="仿宋"/>
          <w:b/>
          <w:sz w:val="24"/>
          <w:highlight w:val="none"/>
        </w:rPr>
      </w:pPr>
    </w:p>
    <w:p w14:paraId="23251E08">
      <w:pPr>
        <w:shd w:val="clear"/>
        <w:spacing w:line="360" w:lineRule="auto"/>
        <w:contextualSpacing/>
        <w:jc w:val="center"/>
        <w:rPr>
          <w:rFonts w:hint="eastAsia" w:ascii="仿宋" w:hAnsi="仿宋" w:eastAsia="仿宋" w:cs="仿宋"/>
          <w:b/>
          <w:sz w:val="24"/>
          <w:highlight w:val="none"/>
        </w:rPr>
      </w:pPr>
    </w:p>
    <w:tbl>
      <w:tblPr>
        <w:tblStyle w:val="29"/>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2BED2EE4">
        <w:tblPrEx>
          <w:shd w:val="clear" w:color="auto" w:fill="FBFBFB"/>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FDD9DE">
            <w:pPr>
              <w:widowControl/>
              <w:shd w:val="clear"/>
              <w:spacing w:line="360" w:lineRule="auto"/>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9C05FE">
            <w:pPr>
              <w:widowControl/>
              <w:shd w:val="clear"/>
              <w:spacing w:line="360" w:lineRule="auto"/>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9ED424">
            <w:pPr>
              <w:widowControl/>
              <w:shd w:val="clear"/>
              <w:spacing w:line="360" w:lineRule="auto"/>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3D2E03">
            <w:pPr>
              <w:widowControl/>
              <w:shd w:val="clear"/>
              <w:spacing w:line="360" w:lineRule="auto"/>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1B0720">
            <w:pPr>
              <w:widowControl/>
              <w:shd w:val="clear"/>
              <w:spacing w:line="360" w:lineRule="auto"/>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备注</w:t>
            </w:r>
          </w:p>
        </w:tc>
      </w:tr>
      <w:tr w14:paraId="167CB0A0">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2CB99E">
            <w:pPr>
              <w:widowControl/>
              <w:shd w:val="clear"/>
              <w:spacing w:line="360" w:lineRule="auto"/>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D9C59A">
            <w:pPr>
              <w:widowControl/>
              <w:shd w:val="clear"/>
              <w:spacing w:line="360" w:lineRule="auto"/>
              <w:contextualSpacing/>
              <w:jc w:val="center"/>
              <w:rPr>
                <w:rFonts w:hint="eastAsia" w:ascii="仿宋" w:hAnsi="仿宋" w:eastAsia="仿宋" w:cs="仿宋"/>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7E91AB">
            <w:pPr>
              <w:widowControl/>
              <w:shd w:val="clear"/>
              <w:spacing w:line="360" w:lineRule="auto"/>
              <w:contextualSpacing/>
              <w:jc w:val="center"/>
              <w:rPr>
                <w:rFonts w:hint="eastAsia" w:ascii="仿宋" w:hAnsi="仿宋" w:eastAsia="仿宋" w:cs="仿宋"/>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A7161A">
            <w:pPr>
              <w:widowControl/>
              <w:shd w:val="clear"/>
              <w:spacing w:line="360" w:lineRule="auto"/>
              <w:contextualSpacing/>
              <w:jc w:val="center"/>
              <w:rPr>
                <w:rFonts w:hint="eastAsia" w:ascii="仿宋" w:hAnsi="仿宋" w:eastAsia="仿宋" w:cs="仿宋"/>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07BA23">
            <w:pPr>
              <w:widowControl/>
              <w:shd w:val="clear"/>
              <w:spacing w:line="360" w:lineRule="auto"/>
              <w:contextualSpacing/>
              <w:jc w:val="center"/>
              <w:rPr>
                <w:rFonts w:hint="eastAsia" w:ascii="仿宋" w:hAnsi="仿宋" w:eastAsia="仿宋" w:cs="仿宋"/>
                <w:kern w:val="0"/>
                <w:sz w:val="24"/>
                <w:highlight w:val="none"/>
              </w:rPr>
            </w:pPr>
          </w:p>
        </w:tc>
      </w:tr>
      <w:tr w14:paraId="4C332662">
        <w:tblPrEx>
          <w:shd w:val="clear" w:color="auto" w:fill="FBFBFB"/>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90B0C8">
            <w:pPr>
              <w:widowControl/>
              <w:shd w:val="clear"/>
              <w:spacing w:line="360" w:lineRule="auto"/>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DACD82">
            <w:pPr>
              <w:widowControl/>
              <w:shd w:val="clear"/>
              <w:spacing w:line="360" w:lineRule="auto"/>
              <w:contextualSpacing/>
              <w:jc w:val="center"/>
              <w:rPr>
                <w:rFonts w:hint="eastAsia" w:ascii="仿宋" w:hAnsi="仿宋" w:eastAsia="仿宋" w:cs="仿宋"/>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0AE0CC">
            <w:pPr>
              <w:widowControl/>
              <w:shd w:val="clear"/>
              <w:spacing w:line="360" w:lineRule="auto"/>
              <w:contextualSpacing/>
              <w:jc w:val="center"/>
              <w:rPr>
                <w:rFonts w:hint="eastAsia" w:ascii="仿宋" w:hAnsi="仿宋" w:eastAsia="仿宋" w:cs="仿宋"/>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5ED398">
            <w:pPr>
              <w:widowControl/>
              <w:shd w:val="clear"/>
              <w:spacing w:line="360" w:lineRule="auto"/>
              <w:contextualSpacing/>
              <w:jc w:val="center"/>
              <w:rPr>
                <w:rFonts w:hint="eastAsia" w:ascii="仿宋" w:hAnsi="仿宋" w:eastAsia="仿宋" w:cs="仿宋"/>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E82DD6">
            <w:pPr>
              <w:widowControl/>
              <w:shd w:val="clear"/>
              <w:spacing w:line="360" w:lineRule="auto"/>
              <w:contextualSpacing/>
              <w:jc w:val="center"/>
              <w:rPr>
                <w:rFonts w:hint="eastAsia" w:ascii="仿宋" w:hAnsi="仿宋" w:eastAsia="仿宋" w:cs="仿宋"/>
                <w:kern w:val="0"/>
                <w:sz w:val="24"/>
                <w:highlight w:val="none"/>
              </w:rPr>
            </w:pPr>
          </w:p>
        </w:tc>
      </w:tr>
      <w:tr w14:paraId="4E92B671">
        <w:tblPrEx>
          <w:shd w:val="clear" w:color="auto" w:fill="FBFBFB"/>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546DEB">
            <w:pPr>
              <w:widowControl/>
              <w:shd w:val="clear"/>
              <w:spacing w:line="360" w:lineRule="auto"/>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09B4EC">
            <w:pPr>
              <w:widowControl/>
              <w:shd w:val="clear"/>
              <w:spacing w:line="360" w:lineRule="auto"/>
              <w:contextualSpacing/>
              <w:jc w:val="center"/>
              <w:rPr>
                <w:rFonts w:hint="eastAsia" w:ascii="仿宋" w:hAnsi="仿宋" w:eastAsia="仿宋" w:cs="仿宋"/>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6EB8CC">
            <w:pPr>
              <w:widowControl/>
              <w:shd w:val="clear"/>
              <w:spacing w:line="360" w:lineRule="auto"/>
              <w:contextualSpacing/>
              <w:jc w:val="center"/>
              <w:rPr>
                <w:rFonts w:hint="eastAsia" w:ascii="仿宋" w:hAnsi="仿宋" w:eastAsia="仿宋" w:cs="仿宋"/>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B435B6">
            <w:pPr>
              <w:widowControl/>
              <w:shd w:val="clear"/>
              <w:spacing w:line="360" w:lineRule="auto"/>
              <w:contextualSpacing/>
              <w:jc w:val="center"/>
              <w:rPr>
                <w:rFonts w:hint="eastAsia" w:ascii="仿宋" w:hAnsi="仿宋" w:eastAsia="仿宋" w:cs="仿宋"/>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7D6B86">
            <w:pPr>
              <w:widowControl/>
              <w:shd w:val="clear"/>
              <w:spacing w:line="360" w:lineRule="auto"/>
              <w:contextualSpacing/>
              <w:jc w:val="center"/>
              <w:rPr>
                <w:rFonts w:hint="eastAsia" w:ascii="仿宋" w:hAnsi="仿宋" w:eastAsia="仿宋" w:cs="仿宋"/>
                <w:kern w:val="0"/>
                <w:sz w:val="24"/>
                <w:highlight w:val="none"/>
              </w:rPr>
            </w:pPr>
          </w:p>
        </w:tc>
      </w:tr>
    </w:tbl>
    <w:p w14:paraId="6D6DE0D1">
      <w:pPr>
        <w:shd w:val="clear"/>
        <w:spacing w:line="360" w:lineRule="auto"/>
        <w:contextualSpacing/>
        <w:jc w:val="left"/>
        <w:rPr>
          <w:rFonts w:hint="eastAsia" w:ascii="仿宋" w:hAnsi="仿宋" w:eastAsia="仿宋" w:cs="仿宋"/>
          <w:b/>
          <w:sz w:val="24"/>
          <w:highlight w:val="none"/>
        </w:rPr>
      </w:pPr>
      <w:r>
        <w:rPr>
          <w:rFonts w:hint="eastAsia" w:ascii="仿宋" w:hAnsi="仿宋" w:eastAsia="仿宋" w:cs="仿宋"/>
          <w:b/>
          <w:sz w:val="24"/>
          <w:highlight w:val="none"/>
        </w:rPr>
        <w:t>注：</w:t>
      </w:r>
    </w:p>
    <w:p w14:paraId="2B56B4FA">
      <w:pPr>
        <w:shd w:val="clear"/>
        <w:spacing w:line="360" w:lineRule="auto"/>
        <w:ind w:firstLine="480" w:firstLineChars="200"/>
        <w:contextualSpacing/>
        <w:jc w:val="left"/>
        <w:rPr>
          <w:rFonts w:hint="eastAsia" w:ascii="仿宋" w:hAnsi="仿宋" w:eastAsia="仿宋" w:cs="仿宋"/>
          <w:sz w:val="24"/>
          <w:highlight w:val="none"/>
        </w:rPr>
      </w:pPr>
      <w:r>
        <w:rPr>
          <w:rFonts w:hint="eastAsia" w:ascii="仿宋" w:hAnsi="仿宋" w:eastAsia="仿宋" w:cs="仿宋"/>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69A8D2">
      <w:pPr>
        <w:shd w:val="clear"/>
        <w:spacing w:line="360" w:lineRule="auto"/>
        <w:ind w:firstLine="480" w:firstLineChars="200"/>
        <w:contextualSpacing/>
        <w:jc w:val="left"/>
        <w:rPr>
          <w:rFonts w:hint="eastAsia" w:ascii="仿宋" w:hAnsi="仿宋" w:eastAsia="仿宋" w:cs="仿宋"/>
          <w:sz w:val="24"/>
          <w:highlight w:val="none"/>
        </w:rPr>
      </w:pPr>
      <w:r>
        <w:rPr>
          <w:rFonts w:hint="eastAsia" w:ascii="仿宋" w:hAnsi="仿宋" w:eastAsia="仿宋" w:cs="仿宋"/>
          <w:sz w:val="24"/>
          <w:highlight w:val="none"/>
        </w:rPr>
        <w:t>2.本表所指的控股关系仅限于直接控股关系，不包括间接的控股关系。公司实际控制人与公司之间的关系不属于本表所指的直接控股关系。</w:t>
      </w:r>
    </w:p>
    <w:p w14:paraId="487E5D80">
      <w:pPr>
        <w:shd w:val="clear"/>
        <w:spacing w:line="360" w:lineRule="auto"/>
        <w:ind w:firstLine="480" w:firstLineChars="200"/>
        <w:contextualSpacing/>
        <w:jc w:val="left"/>
        <w:rPr>
          <w:rFonts w:hint="eastAsia" w:ascii="仿宋" w:hAnsi="仿宋" w:eastAsia="仿宋" w:cs="仿宋"/>
          <w:sz w:val="24"/>
          <w:highlight w:val="none"/>
        </w:rPr>
      </w:pPr>
      <w:r>
        <w:rPr>
          <w:rFonts w:hint="eastAsia" w:ascii="仿宋" w:hAnsi="仿宋" w:eastAsia="仿宋" w:cs="仿宋"/>
          <w:sz w:val="24"/>
          <w:highlight w:val="none"/>
        </w:rPr>
        <w:t>3.供应商不存在直接控股股东的，则填“无”。</w:t>
      </w:r>
    </w:p>
    <w:p w14:paraId="32D5CFD7">
      <w:pPr>
        <w:shd w:val="clear"/>
        <w:snapToGrid w:val="0"/>
        <w:spacing w:line="360" w:lineRule="auto"/>
        <w:jc w:val="left"/>
        <w:rPr>
          <w:rFonts w:hint="eastAsia" w:ascii="仿宋" w:hAnsi="仿宋" w:eastAsia="仿宋" w:cs="仿宋"/>
          <w:sz w:val="24"/>
          <w:highlight w:val="none"/>
        </w:rPr>
      </w:pPr>
    </w:p>
    <w:p w14:paraId="4F934ADD">
      <w:pPr>
        <w:shd w:val="clear"/>
        <w:snapToGrid w:val="0"/>
        <w:spacing w:line="360" w:lineRule="auto"/>
        <w:jc w:val="left"/>
        <w:rPr>
          <w:rFonts w:hint="eastAsia" w:ascii="仿宋" w:hAnsi="仿宋" w:eastAsia="仿宋" w:cs="仿宋"/>
          <w:sz w:val="24"/>
          <w:highlight w:val="none"/>
        </w:rPr>
      </w:pPr>
    </w:p>
    <w:p w14:paraId="60ABDF5E">
      <w:pPr>
        <w:shd w:val="clear"/>
        <w:snapToGrid w:val="0"/>
        <w:spacing w:line="360" w:lineRule="auto"/>
        <w:jc w:val="left"/>
        <w:rPr>
          <w:rFonts w:hint="eastAsia" w:ascii="仿宋" w:hAnsi="仿宋" w:eastAsia="仿宋" w:cs="仿宋"/>
          <w:sz w:val="24"/>
          <w:highlight w:val="none"/>
        </w:rPr>
      </w:pPr>
    </w:p>
    <w:p w14:paraId="3CA5063F">
      <w:pPr>
        <w:shd w:val="clear"/>
        <w:snapToGrid w:val="0"/>
        <w:spacing w:before="156" w:beforeLines="50" w:line="360" w:lineRule="auto"/>
        <w:ind w:right="480" w:firstLine="3480" w:firstLineChars="1450"/>
        <w:rPr>
          <w:rFonts w:hint="eastAsia" w:ascii="仿宋" w:hAnsi="仿宋" w:eastAsia="仿宋" w:cs="仿宋"/>
          <w:sz w:val="24"/>
          <w:highlight w:val="none"/>
          <w:u w:val="single"/>
        </w:rPr>
      </w:pPr>
      <w:r>
        <w:rPr>
          <w:rFonts w:hint="eastAsia" w:ascii="仿宋" w:hAnsi="仿宋" w:eastAsia="仿宋" w:cs="仿宋"/>
          <w:sz w:val="24"/>
          <w:highlight w:val="none"/>
        </w:rPr>
        <w:t>法定代表人或者委托代理人（签字）：</w:t>
      </w:r>
      <w:r>
        <w:rPr>
          <w:rFonts w:hint="eastAsia" w:ascii="仿宋" w:hAnsi="仿宋" w:eastAsia="仿宋" w:cs="仿宋"/>
          <w:sz w:val="24"/>
          <w:highlight w:val="none"/>
          <w:u w:val="single"/>
        </w:rPr>
        <w:t xml:space="preserve">                </w:t>
      </w:r>
    </w:p>
    <w:p w14:paraId="21ED6459">
      <w:pPr>
        <w:shd w:val="clear"/>
        <w:snapToGrid w:val="0"/>
        <w:spacing w:before="156" w:beforeLines="50" w:after="50" w:line="360" w:lineRule="auto"/>
        <w:ind w:right="480" w:firstLine="3480" w:firstLineChars="1450"/>
        <w:rPr>
          <w:rFonts w:hint="eastAsia" w:ascii="仿宋" w:hAnsi="仿宋" w:eastAsia="仿宋" w:cs="仿宋"/>
          <w:sz w:val="24"/>
          <w:highlight w:val="none"/>
          <w:u w:val="single"/>
        </w:rPr>
      </w:pPr>
      <w:r>
        <w:rPr>
          <w:rFonts w:hint="eastAsia" w:ascii="仿宋" w:hAnsi="仿宋" w:eastAsia="仿宋" w:cs="仿宋"/>
          <w:sz w:val="24"/>
          <w:highlight w:val="none"/>
        </w:rPr>
        <w:t>供应商（公章）：</w:t>
      </w:r>
      <w:r>
        <w:rPr>
          <w:rFonts w:hint="eastAsia" w:ascii="仿宋" w:hAnsi="仿宋" w:eastAsia="仿宋" w:cs="仿宋"/>
          <w:sz w:val="24"/>
          <w:highlight w:val="none"/>
          <w:u w:val="single"/>
        </w:rPr>
        <w:t xml:space="preserve">                           </w:t>
      </w:r>
    </w:p>
    <w:p w14:paraId="2B2F6C6C">
      <w:pPr>
        <w:shd w:val="clear"/>
        <w:snapToGrid w:val="0"/>
        <w:spacing w:before="156" w:beforeLines="50" w:after="50" w:line="360" w:lineRule="auto"/>
        <w:ind w:right="480" w:firstLine="3600" w:firstLineChars="1500"/>
        <w:rPr>
          <w:rFonts w:hint="eastAsia" w:ascii="仿宋" w:hAnsi="仿宋" w:eastAsia="仿宋" w:cs="仿宋"/>
          <w:sz w:val="28"/>
          <w:szCs w:val="28"/>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55F26A7">
      <w:pPr>
        <w:shd w:val="clear"/>
        <w:snapToGrid w:val="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3E5AB015">
      <w:pPr>
        <w:shd w:val="clear"/>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（二）供应商直接管理关系信息表</w:t>
      </w:r>
    </w:p>
    <w:p w14:paraId="3821E02F">
      <w:pPr>
        <w:shd w:val="clear"/>
        <w:snapToGrid w:val="0"/>
        <w:spacing w:line="360" w:lineRule="auto"/>
        <w:jc w:val="center"/>
        <w:rPr>
          <w:rFonts w:hint="eastAsia" w:ascii="仿宋" w:hAnsi="仿宋" w:eastAsia="仿宋" w:cs="仿宋"/>
          <w:b/>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AB5762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A23AA7">
            <w:pPr>
              <w:widowControl/>
              <w:shd w:val="clear"/>
              <w:spacing w:line="360" w:lineRule="auto"/>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B0C866">
            <w:pPr>
              <w:widowControl/>
              <w:shd w:val="clear"/>
              <w:spacing w:line="360" w:lineRule="auto"/>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04BF94">
            <w:pPr>
              <w:widowControl/>
              <w:shd w:val="clear"/>
              <w:spacing w:line="360" w:lineRule="auto"/>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367864">
            <w:pPr>
              <w:widowControl/>
              <w:shd w:val="clear"/>
              <w:spacing w:line="360" w:lineRule="auto"/>
              <w:contextualSpacing/>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备注</w:t>
            </w:r>
          </w:p>
        </w:tc>
      </w:tr>
      <w:tr w14:paraId="53327DC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83CB75">
            <w:pPr>
              <w:widowControl/>
              <w:shd w:val="clear"/>
              <w:spacing w:line="360" w:lineRule="auto"/>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210DF1">
            <w:pPr>
              <w:widowControl/>
              <w:shd w:val="clear"/>
              <w:spacing w:line="360" w:lineRule="auto"/>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208023">
            <w:pPr>
              <w:widowControl/>
              <w:shd w:val="clear"/>
              <w:spacing w:line="360" w:lineRule="auto"/>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E09149">
            <w:pPr>
              <w:widowControl/>
              <w:shd w:val="clear"/>
              <w:spacing w:line="360" w:lineRule="auto"/>
              <w:contextualSpacing/>
              <w:jc w:val="center"/>
              <w:rPr>
                <w:rFonts w:hint="eastAsia" w:ascii="仿宋" w:hAnsi="仿宋" w:eastAsia="仿宋" w:cs="仿宋"/>
                <w:kern w:val="0"/>
                <w:sz w:val="24"/>
                <w:highlight w:val="none"/>
              </w:rPr>
            </w:pPr>
          </w:p>
        </w:tc>
      </w:tr>
      <w:tr w14:paraId="419E7F2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110AF9">
            <w:pPr>
              <w:widowControl/>
              <w:shd w:val="clear"/>
              <w:spacing w:line="360" w:lineRule="auto"/>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DEC2B4">
            <w:pPr>
              <w:widowControl/>
              <w:shd w:val="clear"/>
              <w:spacing w:line="360" w:lineRule="auto"/>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E061D6">
            <w:pPr>
              <w:widowControl/>
              <w:shd w:val="clear"/>
              <w:spacing w:line="360" w:lineRule="auto"/>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161E8A">
            <w:pPr>
              <w:widowControl/>
              <w:shd w:val="clear"/>
              <w:spacing w:line="360" w:lineRule="auto"/>
              <w:contextualSpacing/>
              <w:jc w:val="center"/>
              <w:rPr>
                <w:rFonts w:hint="eastAsia" w:ascii="仿宋" w:hAnsi="仿宋" w:eastAsia="仿宋" w:cs="仿宋"/>
                <w:kern w:val="0"/>
                <w:sz w:val="24"/>
                <w:highlight w:val="none"/>
              </w:rPr>
            </w:pPr>
          </w:p>
        </w:tc>
      </w:tr>
      <w:tr w14:paraId="0E0F4DE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7FFD83">
            <w:pPr>
              <w:widowControl/>
              <w:shd w:val="clear"/>
              <w:spacing w:line="360" w:lineRule="auto"/>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2D7357">
            <w:pPr>
              <w:widowControl/>
              <w:shd w:val="clear"/>
              <w:spacing w:line="360" w:lineRule="auto"/>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AEA80C">
            <w:pPr>
              <w:widowControl/>
              <w:shd w:val="clear"/>
              <w:spacing w:line="360" w:lineRule="auto"/>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71AD39">
            <w:pPr>
              <w:widowControl/>
              <w:shd w:val="clear"/>
              <w:spacing w:line="360" w:lineRule="auto"/>
              <w:contextualSpacing/>
              <w:jc w:val="center"/>
              <w:rPr>
                <w:rFonts w:hint="eastAsia" w:ascii="仿宋" w:hAnsi="仿宋" w:eastAsia="仿宋" w:cs="仿宋"/>
                <w:kern w:val="0"/>
                <w:sz w:val="24"/>
                <w:highlight w:val="none"/>
              </w:rPr>
            </w:pPr>
          </w:p>
        </w:tc>
      </w:tr>
      <w:tr w14:paraId="2188909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2B9969">
            <w:pPr>
              <w:widowControl/>
              <w:shd w:val="clear"/>
              <w:spacing w:line="360" w:lineRule="auto"/>
              <w:contextualSpacing/>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A947D5">
            <w:pPr>
              <w:widowControl/>
              <w:shd w:val="clear"/>
              <w:spacing w:line="360" w:lineRule="auto"/>
              <w:contextualSpacing/>
              <w:jc w:val="center"/>
              <w:rPr>
                <w:rFonts w:hint="eastAsia" w:ascii="仿宋" w:hAnsi="仿宋" w:eastAsia="仿宋" w:cs="仿宋"/>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35856F">
            <w:pPr>
              <w:widowControl/>
              <w:shd w:val="clear"/>
              <w:spacing w:line="360" w:lineRule="auto"/>
              <w:contextualSpacing/>
              <w:jc w:val="center"/>
              <w:rPr>
                <w:rFonts w:hint="eastAsia" w:ascii="仿宋" w:hAnsi="仿宋" w:eastAsia="仿宋" w:cs="仿宋"/>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4C98A3">
            <w:pPr>
              <w:widowControl/>
              <w:shd w:val="clear"/>
              <w:spacing w:line="360" w:lineRule="auto"/>
              <w:contextualSpacing/>
              <w:jc w:val="center"/>
              <w:rPr>
                <w:rFonts w:hint="eastAsia" w:ascii="仿宋" w:hAnsi="仿宋" w:eastAsia="仿宋" w:cs="仿宋"/>
                <w:kern w:val="0"/>
                <w:sz w:val="24"/>
                <w:highlight w:val="none"/>
              </w:rPr>
            </w:pPr>
          </w:p>
        </w:tc>
      </w:tr>
    </w:tbl>
    <w:p w14:paraId="0F1FAF93">
      <w:pPr>
        <w:shd w:val="clear"/>
        <w:spacing w:line="360" w:lineRule="auto"/>
        <w:contextualSpacing/>
        <w:jc w:val="left"/>
        <w:rPr>
          <w:rFonts w:hint="eastAsia" w:ascii="仿宋" w:hAnsi="仿宋" w:eastAsia="仿宋" w:cs="仿宋"/>
          <w:b/>
          <w:sz w:val="24"/>
          <w:highlight w:val="none"/>
        </w:rPr>
      </w:pPr>
      <w:r>
        <w:rPr>
          <w:rFonts w:hint="eastAsia" w:ascii="仿宋" w:hAnsi="仿宋" w:eastAsia="仿宋" w:cs="仿宋"/>
          <w:b/>
          <w:sz w:val="24"/>
          <w:highlight w:val="none"/>
        </w:rPr>
        <w:t>注：</w:t>
      </w:r>
    </w:p>
    <w:p w14:paraId="4D9F4F27">
      <w:pPr>
        <w:shd w:val="clear"/>
        <w:spacing w:line="360" w:lineRule="auto"/>
        <w:ind w:firstLine="480" w:firstLineChars="200"/>
        <w:contextualSpacing/>
        <w:jc w:val="left"/>
        <w:rPr>
          <w:rFonts w:hint="eastAsia" w:ascii="仿宋" w:hAnsi="仿宋" w:eastAsia="仿宋" w:cs="仿宋"/>
          <w:sz w:val="24"/>
          <w:highlight w:val="none"/>
        </w:rPr>
      </w:pPr>
      <w:r>
        <w:rPr>
          <w:rFonts w:hint="eastAsia" w:ascii="仿宋" w:hAnsi="仿宋" w:eastAsia="仿宋" w:cs="仿宋"/>
          <w:sz w:val="24"/>
          <w:highlight w:val="none"/>
        </w:rPr>
        <w:t>1.管理关系：是指不具有出资持股关系的其他单位之间存在的管理与被管理关系，如一些上下级关系的事业单位和团体组织。</w:t>
      </w:r>
    </w:p>
    <w:p w14:paraId="73AC6035">
      <w:pPr>
        <w:shd w:val="clear"/>
        <w:spacing w:line="360" w:lineRule="auto"/>
        <w:ind w:firstLine="480" w:firstLineChars="200"/>
        <w:contextualSpacing/>
        <w:jc w:val="left"/>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pacing w:val="-6"/>
          <w:sz w:val="24"/>
          <w:highlight w:val="none"/>
        </w:rPr>
        <w:t>本表所指的管理关系仅限于直接管理关系，不包括间接的管理关系。</w:t>
      </w:r>
    </w:p>
    <w:p w14:paraId="36F3D7AD">
      <w:pPr>
        <w:shd w:val="clear"/>
        <w:spacing w:line="360" w:lineRule="auto"/>
        <w:ind w:firstLine="480" w:firstLineChars="200"/>
        <w:contextualSpacing/>
        <w:jc w:val="left"/>
        <w:rPr>
          <w:rFonts w:hint="eastAsia" w:ascii="仿宋" w:hAnsi="仿宋" w:eastAsia="仿宋" w:cs="仿宋"/>
          <w:sz w:val="24"/>
          <w:highlight w:val="none"/>
        </w:rPr>
      </w:pPr>
      <w:r>
        <w:rPr>
          <w:rFonts w:hint="eastAsia" w:ascii="仿宋" w:hAnsi="仿宋" w:eastAsia="仿宋" w:cs="仿宋"/>
          <w:sz w:val="24"/>
          <w:highlight w:val="none"/>
        </w:rPr>
        <w:t>3.供应商不存在直接管理关系的，则填“无”。</w:t>
      </w:r>
    </w:p>
    <w:p w14:paraId="43A5DC97">
      <w:pPr>
        <w:shd w:val="clear"/>
        <w:spacing w:line="360" w:lineRule="auto"/>
        <w:contextualSpacing/>
        <w:jc w:val="left"/>
        <w:rPr>
          <w:rFonts w:hint="eastAsia" w:ascii="仿宋" w:hAnsi="仿宋" w:eastAsia="仿宋" w:cs="仿宋"/>
          <w:sz w:val="24"/>
          <w:highlight w:val="none"/>
        </w:rPr>
      </w:pPr>
    </w:p>
    <w:p w14:paraId="4D0C7767">
      <w:pPr>
        <w:shd w:val="clear"/>
        <w:spacing w:line="360" w:lineRule="auto"/>
        <w:contextualSpacing/>
        <w:jc w:val="left"/>
        <w:rPr>
          <w:rFonts w:hint="eastAsia" w:ascii="仿宋" w:hAnsi="仿宋" w:eastAsia="仿宋" w:cs="仿宋"/>
          <w:sz w:val="24"/>
          <w:highlight w:val="none"/>
        </w:rPr>
      </w:pPr>
    </w:p>
    <w:p w14:paraId="724D8F7E">
      <w:pPr>
        <w:shd w:val="clear"/>
        <w:spacing w:line="360" w:lineRule="auto"/>
        <w:contextualSpacing/>
        <w:jc w:val="left"/>
        <w:rPr>
          <w:rFonts w:hint="eastAsia" w:ascii="仿宋" w:hAnsi="仿宋" w:eastAsia="仿宋" w:cs="仿宋"/>
          <w:sz w:val="24"/>
          <w:highlight w:val="none"/>
        </w:rPr>
      </w:pPr>
    </w:p>
    <w:p w14:paraId="2486D640">
      <w:pPr>
        <w:shd w:val="clear"/>
        <w:spacing w:line="360" w:lineRule="auto"/>
        <w:contextualSpacing/>
        <w:jc w:val="left"/>
        <w:rPr>
          <w:rFonts w:hint="eastAsia" w:ascii="仿宋" w:hAnsi="仿宋" w:eastAsia="仿宋" w:cs="仿宋"/>
          <w:sz w:val="24"/>
          <w:highlight w:val="none"/>
        </w:rPr>
      </w:pPr>
    </w:p>
    <w:p w14:paraId="63D62A4B">
      <w:pPr>
        <w:shd w:val="clear"/>
        <w:spacing w:line="360" w:lineRule="auto"/>
        <w:contextualSpacing/>
        <w:jc w:val="left"/>
        <w:rPr>
          <w:rFonts w:hint="eastAsia" w:ascii="仿宋" w:hAnsi="仿宋" w:eastAsia="仿宋" w:cs="仿宋"/>
          <w:sz w:val="24"/>
          <w:highlight w:val="none"/>
        </w:rPr>
      </w:pPr>
    </w:p>
    <w:p w14:paraId="2A215F4E">
      <w:pPr>
        <w:shd w:val="clear"/>
        <w:spacing w:line="360" w:lineRule="auto"/>
        <w:contextualSpacing/>
        <w:jc w:val="left"/>
        <w:rPr>
          <w:rFonts w:hint="eastAsia" w:ascii="仿宋" w:hAnsi="仿宋" w:eastAsia="仿宋" w:cs="仿宋"/>
          <w:sz w:val="24"/>
          <w:highlight w:val="none"/>
        </w:rPr>
      </w:pPr>
    </w:p>
    <w:p w14:paraId="5D5207EE">
      <w:pPr>
        <w:shd w:val="clear"/>
        <w:spacing w:line="360" w:lineRule="auto"/>
        <w:ind w:right="480" w:firstLine="3360" w:firstLineChars="1400"/>
        <w:contextualSpacing/>
        <w:rPr>
          <w:rFonts w:hint="eastAsia" w:ascii="仿宋" w:hAnsi="仿宋" w:eastAsia="仿宋" w:cs="仿宋"/>
          <w:sz w:val="24"/>
          <w:highlight w:val="none"/>
          <w:u w:val="single"/>
        </w:rPr>
      </w:pPr>
      <w:r>
        <w:rPr>
          <w:rFonts w:hint="eastAsia" w:ascii="仿宋" w:hAnsi="仿宋" w:eastAsia="仿宋" w:cs="仿宋"/>
          <w:sz w:val="24"/>
          <w:highlight w:val="none"/>
        </w:rPr>
        <w:t>法定代表人或者委托代理人（签字）：</w:t>
      </w:r>
      <w:r>
        <w:rPr>
          <w:rFonts w:hint="eastAsia" w:ascii="仿宋" w:hAnsi="仿宋" w:eastAsia="仿宋" w:cs="仿宋"/>
          <w:sz w:val="24"/>
          <w:highlight w:val="none"/>
          <w:u w:val="single"/>
        </w:rPr>
        <w:t xml:space="preserve">               </w:t>
      </w:r>
    </w:p>
    <w:p w14:paraId="2F071213">
      <w:pPr>
        <w:shd w:val="clear"/>
        <w:spacing w:line="360" w:lineRule="auto"/>
        <w:ind w:right="480" w:firstLine="3360" w:firstLineChars="1400"/>
        <w:contextualSpacing/>
        <w:rPr>
          <w:rFonts w:hint="eastAsia" w:ascii="仿宋" w:hAnsi="仿宋" w:eastAsia="仿宋" w:cs="仿宋"/>
          <w:sz w:val="24"/>
          <w:highlight w:val="none"/>
        </w:rPr>
      </w:pPr>
      <w:r>
        <w:rPr>
          <w:rFonts w:hint="eastAsia" w:ascii="仿宋" w:hAnsi="仿宋" w:eastAsia="仿宋" w:cs="仿宋"/>
          <w:sz w:val="24"/>
          <w:highlight w:val="none"/>
        </w:rPr>
        <w:t>供应商（公章）：</w:t>
      </w:r>
      <w:r>
        <w:rPr>
          <w:rFonts w:hint="eastAsia" w:ascii="仿宋" w:hAnsi="仿宋" w:eastAsia="仿宋" w:cs="仿宋"/>
          <w:sz w:val="24"/>
          <w:highlight w:val="none"/>
          <w:u w:val="single"/>
        </w:rPr>
        <w:t xml:space="preserve">                </w:t>
      </w:r>
    </w:p>
    <w:p w14:paraId="3D4D29DC">
      <w:pPr>
        <w:shd w:val="clear"/>
        <w:spacing w:line="360" w:lineRule="auto"/>
        <w:ind w:right="480" w:firstLine="240" w:firstLineChars="100"/>
        <w:contextualSpacing/>
        <w:jc w:val="center"/>
        <w:rPr>
          <w:rFonts w:hint="eastAsia" w:ascii="仿宋" w:hAnsi="仿宋" w:eastAsia="仿宋" w:cs="仿宋"/>
          <w:sz w:val="28"/>
          <w:szCs w:val="28"/>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44BB749">
      <w:pPr>
        <w:shd w:val="clear"/>
        <w:jc w:val="center"/>
        <w:rPr>
          <w:rFonts w:hint="eastAsia" w:ascii="仿宋" w:hAnsi="仿宋" w:eastAsia="仿宋" w:cs="仿宋"/>
          <w:b/>
          <w:sz w:val="44"/>
          <w:szCs w:val="44"/>
          <w:highlight w:val="none"/>
        </w:rPr>
      </w:pPr>
      <w:r>
        <w:rPr>
          <w:rFonts w:hint="eastAsia" w:ascii="仿宋" w:hAnsi="仿宋" w:eastAsia="仿宋" w:cs="仿宋"/>
          <w:sz w:val="28"/>
          <w:szCs w:val="28"/>
          <w:highlight w:val="none"/>
        </w:rPr>
        <w:br w:type="page"/>
      </w:r>
      <w:r>
        <w:rPr>
          <w:rFonts w:hint="eastAsia" w:ascii="仿宋" w:hAnsi="仿宋" w:eastAsia="仿宋" w:cs="仿宋"/>
          <w:b/>
          <w:sz w:val="44"/>
          <w:szCs w:val="44"/>
          <w:highlight w:val="none"/>
        </w:rPr>
        <w:t>参与竞争性磋商声明</w:t>
      </w:r>
    </w:p>
    <w:p w14:paraId="77C3479A">
      <w:pPr>
        <w:shd w:val="clear"/>
        <w:spacing w:line="320" w:lineRule="exact"/>
        <w:jc w:val="center"/>
        <w:rPr>
          <w:rFonts w:hint="eastAsia" w:ascii="仿宋" w:hAnsi="仿宋" w:eastAsia="仿宋" w:cs="仿宋"/>
          <w:sz w:val="24"/>
          <w:szCs w:val="20"/>
          <w:highlight w:val="none"/>
        </w:rPr>
      </w:pPr>
    </w:p>
    <w:p w14:paraId="199EE837">
      <w:pPr>
        <w:shd w:val="clea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（采购人名称）</w:t>
      </w:r>
      <w:r>
        <w:rPr>
          <w:rFonts w:hint="eastAsia" w:ascii="仿宋" w:hAnsi="仿宋" w:eastAsia="仿宋" w:cs="仿宋"/>
          <w:sz w:val="24"/>
          <w:highlight w:val="none"/>
        </w:rPr>
        <w:t>：</w:t>
      </w:r>
    </w:p>
    <w:p w14:paraId="003F56D5">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u w:val="single"/>
        </w:rPr>
        <w:t>（供应商名称）</w:t>
      </w:r>
      <w:r>
        <w:rPr>
          <w:rFonts w:hint="eastAsia" w:ascii="仿宋" w:hAnsi="仿宋" w:eastAsia="仿宋" w:cs="仿宋"/>
          <w:sz w:val="24"/>
          <w:highlight w:val="none"/>
        </w:rPr>
        <w:t>系中华人民共和国合法供应商，经营地址</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18F2DC7C">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我方愿意参加贵方组织的</w:t>
      </w:r>
      <w:r>
        <w:rPr>
          <w:rFonts w:hint="eastAsia" w:ascii="仿宋" w:hAnsi="仿宋" w:eastAsia="仿宋" w:cs="仿宋"/>
          <w:sz w:val="24"/>
          <w:highlight w:val="none"/>
          <w:u w:val="single"/>
        </w:rPr>
        <w:t>（项目名称）</w:t>
      </w:r>
      <w:r>
        <w:rPr>
          <w:rFonts w:hint="eastAsia" w:ascii="仿宋" w:hAnsi="仿宋" w:eastAsia="仿宋" w:cs="仿宋"/>
          <w:sz w:val="24"/>
          <w:highlight w:val="none"/>
        </w:rPr>
        <w:t>项目的竞争性磋商，为便于贵方公正、择优地确定成交供应商及其参与竞争性磋商提供的产品和服务，我方就本次参与竞争性磋商有关事项郑重声明如下：</w:t>
      </w:r>
    </w:p>
    <w:p w14:paraId="38012FE1">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1.我方向贵方提交的所有响应文件、资料都是准确的和真实的。</w:t>
      </w:r>
    </w:p>
    <w:p w14:paraId="2096A0BD">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2.我方不是为本次采购项目提供整体设计、规范编制或者项目管理、监理、检测等服务的供应商。</w:t>
      </w:r>
    </w:p>
    <w:p w14:paraId="4DA14215">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3.在此，我方宣布同意如下：</w:t>
      </w:r>
    </w:p>
    <w:p w14:paraId="3E710E26">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（1）将按磋商文件的约定履行合同责任和义务；</w:t>
      </w:r>
    </w:p>
    <w:p w14:paraId="12389E93">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（2）已详细审查全部磋商文件，包括澄清或者更正公告（如有）；</w:t>
      </w:r>
    </w:p>
    <w:p w14:paraId="21282DEB">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（3）同意提供按照贵方可能要求的与磋商有关的一切数据或者资料；</w:t>
      </w:r>
    </w:p>
    <w:p w14:paraId="1D7652E9">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（4）响应磋商文件规定的竞争性磋商有效期。</w:t>
      </w:r>
    </w:p>
    <w:p w14:paraId="5F577382">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4.我方承诺符合《中华人民共和国政府采购法》第二十二条规定：</w:t>
      </w:r>
    </w:p>
    <w:p w14:paraId="38F72B47">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（1）具有独立承担民事责任的能力；</w:t>
      </w:r>
    </w:p>
    <w:p w14:paraId="7D440F97">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（2）具有良好的商业信誉和健全的财务会计制度；</w:t>
      </w:r>
    </w:p>
    <w:p w14:paraId="37171B07">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（3）具有履行合同所必需的设备和专业技术能力；</w:t>
      </w:r>
    </w:p>
    <w:p w14:paraId="0C74A919">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（4）有依法缴纳税收和社会保障资金的良好记录；</w:t>
      </w:r>
    </w:p>
    <w:p w14:paraId="7287D77B">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（5）参加政府采购活动前三年内，在经营活动中没有重大违法记录；</w:t>
      </w:r>
    </w:p>
    <w:p w14:paraId="60627AC0">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（6）法律、行政法规规定的其他条件。</w:t>
      </w:r>
    </w:p>
    <w:p w14:paraId="3D0BF556">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ECFB910">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1FB65F7">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□我方本次响应文件</w:t>
      </w:r>
      <w:r>
        <w:rPr>
          <w:rFonts w:hint="eastAsia" w:ascii="仿宋" w:hAnsi="仿宋" w:eastAsia="仿宋" w:cs="仿宋"/>
          <w:kern w:val="0"/>
          <w:sz w:val="24"/>
          <w:highlight w:val="none"/>
        </w:rPr>
        <w:t>内容中</w:t>
      </w:r>
      <w:r>
        <w:rPr>
          <w:rFonts w:hint="eastAsia" w:ascii="仿宋" w:hAnsi="仿宋" w:eastAsia="仿宋" w:cs="仿宋"/>
          <w:sz w:val="24"/>
          <w:highlight w:val="none"/>
        </w:rPr>
        <w:t>未</w:t>
      </w:r>
      <w:r>
        <w:rPr>
          <w:rFonts w:hint="eastAsia" w:ascii="仿宋" w:hAnsi="仿宋" w:eastAsia="仿宋" w:cs="仿宋"/>
          <w:kern w:val="0"/>
          <w:sz w:val="24"/>
          <w:highlight w:val="none"/>
        </w:rPr>
        <w:t>涉及商业秘密；</w:t>
      </w:r>
    </w:p>
    <w:p w14:paraId="348395B0">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□我方本次响应文件</w:t>
      </w:r>
      <w:r>
        <w:rPr>
          <w:rFonts w:hint="eastAsia" w:ascii="仿宋" w:hAnsi="仿宋" w:eastAsia="仿宋" w:cs="仿宋"/>
          <w:kern w:val="0"/>
          <w:sz w:val="24"/>
          <w:highlight w:val="none"/>
        </w:rPr>
        <w:t>涉及商业秘密的内容有：</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37125C6D">
      <w:pPr>
        <w:pStyle w:val="17"/>
        <w:shd w:val="clear"/>
        <w:spacing w:line="360" w:lineRule="auto"/>
        <w:ind w:firstLine="480" w:firstLineChars="200"/>
        <w:contextualSpacing/>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7.与本磋商有关的一切正式往来信函请寄：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邮政编码：</w:t>
      </w:r>
      <w:r>
        <w:rPr>
          <w:rFonts w:hint="eastAsia" w:ascii="仿宋" w:hAnsi="仿宋" w:eastAsia="仿宋" w:cs="仿宋"/>
          <w:sz w:val="24"/>
          <w:szCs w:val="24"/>
          <w:highlight w:val="none"/>
          <w:u w:val="single"/>
        </w:rPr>
        <w:t xml:space="preserve">        </w:t>
      </w:r>
    </w:p>
    <w:p w14:paraId="5670931E">
      <w:pPr>
        <w:pStyle w:val="17"/>
        <w:shd w:val="clear"/>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电话/传真：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电子函件：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37C8D7B7">
      <w:pPr>
        <w:pStyle w:val="16"/>
        <w:shd w:val="clear"/>
        <w:tabs>
          <w:tab w:val="left" w:pos="939"/>
        </w:tabs>
        <w:spacing w:line="360" w:lineRule="auto"/>
        <w:ind w:left="0" w:leftChars="0" w:firstLine="360" w:firstLineChars="150"/>
        <w:rPr>
          <w:rFonts w:hint="eastAsia" w:ascii="仿宋" w:hAnsi="仿宋" w:eastAsia="仿宋" w:cs="仿宋"/>
          <w:sz w:val="24"/>
          <w:highlight w:val="none"/>
        </w:rPr>
      </w:pPr>
      <w:r>
        <w:rPr>
          <w:rFonts w:hint="eastAsia" w:ascii="仿宋" w:hAnsi="仿宋" w:eastAsia="仿宋" w:cs="仿宋"/>
          <w:sz w:val="24"/>
          <w:highlight w:val="none"/>
        </w:rPr>
        <w:t>开户银行：</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帐号：</w:t>
      </w:r>
      <w:r>
        <w:rPr>
          <w:rFonts w:hint="eastAsia" w:ascii="仿宋" w:hAnsi="仿宋" w:eastAsia="仿宋" w:cs="仿宋"/>
          <w:sz w:val="24"/>
          <w:highlight w:val="none"/>
          <w:u w:val="single"/>
        </w:rPr>
        <w:t xml:space="preserve">                               </w:t>
      </w:r>
    </w:p>
    <w:p w14:paraId="2F085DF3">
      <w:pPr>
        <w:pStyle w:val="16"/>
        <w:shd w:val="clear"/>
        <w:tabs>
          <w:tab w:val="left" w:pos="939"/>
        </w:tabs>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8.以上事项如有虚假或者隐瞒，我方愿意承担一切后果，并不再寻求任何旨在减轻或者免除法律责任的辩解。</w:t>
      </w:r>
    </w:p>
    <w:p w14:paraId="691A8CF6">
      <w:pPr>
        <w:pStyle w:val="16"/>
        <w:shd w:val="clear"/>
        <w:tabs>
          <w:tab w:val="left" w:pos="939"/>
        </w:tabs>
        <w:spacing w:line="360" w:lineRule="auto"/>
        <w:ind w:left="0" w:leftChars="0" w:firstLine="480" w:firstLineChars="200"/>
        <w:rPr>
          <w:rFonts w:hint="eastAsia" w:ascii="仿宋" w:hAnsi="仿宋" w:eastAsia="仿宋" w:cs="仿宋"/>
          <w:sz w:val="24"/>
          <w:highlight w:val="none"/>
        </w:rPr>
      </w:pPr>
      <w:r>
        <w:rPr>
          <w:rFonts w:hint="eastAsia" w:ascii="仿宋" w:hAnsi="仿宋" w:eastAsia="仿宋" w:cs="仿宋"/>
          <w:sz w:val="24"/>
          <w:highlight w:val="none"/>
        </w:rPr>
        <w:t>9.我方若参与竞争性磋商成功，除非发生不可抗力，承诺与采购人及时签订《合同书》。如果放弃，自愿按照本磋商文件之《供应商须知正文》条款第27.3条的要求承担法律责任和失信惩戒。</w:t>
      </w:r>
    </w:p>
    <w:p w14:paraId="6F08FE47">
      <w:pPr>
        <w:pStyle w:val="16"/>
        <w:shd w:val="clear"/>
        <w:tabs>
          <w:tab w:val="left" w:pos="939"/>
        </w:tabs>
        <w:spacing w:line="360" w:lineRule="auto"/>
        <w:ind w:left="0" w:leftChars="0" w:firstLine="360" w:firstLineChars="150"/>
        <w:rPr>
          <w:rFonts w:hint="eastAsia" w:ascii="仿宋" w:hAnsi="仿宋" w:eastAsia="仿宋" w:cs="仿宋"/>
          <w:sz w:val="24"/>
          <w:highlight w:val="none"/>
        </w:rPr>
      </w:pPr>
      <w:r>
        <w:rPr>
          <w:rFonts w:hint="eastAsia" w:ascii="仿宋" w:hAnsi="仿宋" w:eastAsia="仿宋" w:cs="仿宋"/>
          <w:sz w:val="24"/>
          <w:highlight w:val="none"/>
        </w:rPr>
        <w:t>特此承诺。</w:t>
      </w:r>
    </w:p>
    <w:p w14:paraId="470FE32D">
      <w:pPr>
        <w:pStyle w:val="16"/>
        <w:shd w:val="clear"/>
        <w:tabs>
          <w:tab w:val="left" w:pos="939"/>
        </w:tabs>
        <w:spacing w:line="360" w:lineRule="auto"/>
        <w:ind w:left="0" w:leftChars="0"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注：如为联合体参与竞争性磋商，盖章处须加盖联合体各方公章并由联合体各方法定代表人签署，否则其响应文件按无效响应处理。</w:t>
      </w:r>
    </w:p>
    <w:p w14:paraId="478B1914">
      <w:pPr>
        <w:pStyle w:val="16"/>
        <w:shd w:val="clear"/>
        <w:tabs>
          <w:tab w:val="left" w:pos="939"/>
        </w:tabs>
        <w:spacing w:line="360" w:lineRule="auto"/>
        <w:ind w:left="0" w:leftChars="0" w:firstLine="480" w:firstLineChars="200"/>
        <w:rPr>
          <w:rFonts w:hint="eastAsia" w:ascii="仿宋" w:hAnsi="仿宋" w:eastAsia="仿宋" w:cs="仿宋"/>
          <w:sz w:val="24"/>
          <w:highlight w:val="none"/>
        </w:rPr>
      </w:pPr>
    </w:p>
    <w:p w14:paraId="3E4DE50A">
      <w:pPr>
        <w:shd w:val="clear"/>
        <w:spacing w:line="360" w:lineRule="auto"/>
        <w:ind w:firstLine="4320" w:firstLineChars="1800"/>
        <w:contextualSpacing/>
        <w:rPr>
          <w:rFonts w:hint="eastAsia" w:ascii="仿宋" w:hAnsi="仿宋" w:eastAsia="仿宋" w:cs="仿宋"/>
          <w:sz w:val="24"/>
          <w:highlight w:val="none"/>
          <w:u w:val="single"/>
        </w:rPr>
      </w:pPr>
      <w:r>
        <w:rPr>
          <w:rFonts w:hint="eastAsia" w:ascii="仿宋" w:hAnsi="仿宋" w:eastAsia="仿宋" w:cs="仿宋"/>
          <w:sz w:val="24"/>
          <w:highlight w:val="none"/>
        </w:rPr>
        <w:t>法定代表人（签字）：</w:t>
      </w:r>
      <w:r>
        <w:rPr>
          <w:rFonts w:hint="eastAsia" w:ascii="仿宋" w:hAnsi="仿宋" w:eastAsia="仿宋" w:cs="仿宋"/>
          <w:sz w:val="24"/>
          <w:highlight w:val="none"/>
          <w:u w:val="single"/>
        </w:rPr>
        <w:t xml:space="preserve">                </w:t>
      </w:r>
    </w:p>
    <w:p w14:paraId="4D588321">
      <w:pPr>
        <w:shd w:val="clear"/>
        <w:spacing w:line="360" w:lineRule="auto"/>
        <w:ind w:firstLine="240" w:firstLineChars="100"/>
        <w:contextualSpacing/>
        <w:jc w:val="center"/>
        <w:rPr>
          <w:rFonts w:hint="eastAsia" w:ascii="仿宋" w:hAnsi="仿宋" w:eastAsia="仿宋" w:cs="仿宋"/>
          <w:sz w:val="24"/>
          <w:highlight w:val="none"/>
          <w:u w:val="single"/>
        </w:rPr>
      </w:pPr>
      <w:r>
        <w:rPr>
          <w:rFonts w:hint="eastAsia" w:ascii="仿宋" w:hAnsi="仿宋" w:eastAsia="仿宋" w:cs="仿宋"/>
          <w:sz w:val="24"/>
          <w:highlight w:val="none"/>
        </w:rPr>
        <w:t xml:space="preserve">         供应商（公章）：</w:t>
      </w:r>
      <w:r>
        <w:rPr>
          <w:rFonts w:hint="eastAsia" w:ascii="仿宋" w:hAnsi="仿宋" w:eastAsia="仿宋" w:cs="仿宋"/>
          <w:sz w:val="24"/>
          <w:highlight w:val="none"/>
          <w:u w:val="single"/>
        </w:rPr>
        <w:t xml:space="preserve">                           </w:t>
      </w:r>
    </w:p>
    <w:p w14:paraId="57AB624D">
      <w:pPr>
        <w:shd w:val="clear"/>
        <w:spacing w:line="360" w:lineRule="auto"/>
        <w:ind w:firstLine="240" w:firstLineChars="100"/>
        <w:contextualSpacing/>
        <w:jc w:val="center"/>
        <w:rPr>
          <w:rFonts w:hint="eastAsia"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4E71197">
      <w:pPr>
        <w:pStyle w:val="6"/>
        <w:shd w:val="clear"/>
        <w:overflowPunct w:val="0"/>
        <w:spacing w:line="360" w:lineRule="auto"/>
        <w:ind w:firstLine="0"/>
        <w:jc w:val="center"/>
        <w:rPr>
          <w:rFonts w:hint="eastAsia" w:ascii="仿宋" w:hAnsi="仿宋" w:eastAsia="仿宋" w:cs="仿宋"/>
          <w:sz w:val="44"/>
          <w:szCs w:val="44"/>
          <w:highlight w:val="none"/>
        </w:rPr>
      </w:pPr>
      <w:r>
        <w:rPr>
          <w:rFonts w:hint="eastAsia" w:ascii="仿宋" w:hAnsi="仿宋" w:eastAsia="仿宋" w:cs="仿宋"/>
          <w:sz w:val="24"/>
          <w:highlight w:val="none"/>
        </w:rPr>
        <w:br w:type="page"/>
      </w:r>
      <w:r>
        <w:rPr>
          <w:rFonts w:hint="eastAsia" w:ascii="仿宋" w:hAnsi="仿宋" w:eastAsia="仿宋" w:cs="仿宋"/>
          <w:sz w:val="44"/>
          <w:szCs w:val="44"/>
          <w:highlight w:val="none"/>
        </w:rPr>
        <w:t>联合体参与竞争性磋商协议书</w:t>
      </w:r>
    </w:p>
    <w:p w14:paraId="0F9AC418">
      <w:pPr>
        <w:pStyle w:val="6"/>
        <w:shd w:val="clear"/>
        <w:overflowPunct w:val="0"/>
        <w:spacing w:line="360" w:lineRule="auto"/>
        <w:ind w:firstLine="0"/>
        <w:rPr>
          <w:rFonts w:hint="eastAsia" w:ascii="仿宋" w:hAnsi="仿宋" w:eastAsia="仿宋" w:cs="仿宋"/>
          <w:sz w:val="24"/>
          <w:szCs w:val="24"/>
          <w:highlight w:val="none"/>
        </w:rPr>
      </w:pPr>
    </w:p>
    <w:p w14:paraId="3F619852">
      <w:pPr>
        <w:pStyle w:val="6"/>
        <w:shd w:val="clear"/>
        <w:overflowPunct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（所有成员单位名称）自愿组成</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（联合体名称）联合体，共同参加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（项目名称）采购项目</w:t>
      </w:r>
      <w:r>
        <w:rPr>
          <w:rFonts w:hint="eastAsia" w:ascii="仿宋" w:hAnsi="仿宋" w:eastAsia="仿宋" w:cs="仿宋"/>
          <w:sz w:val="24"/>
          <w:highlight w:val="none"/>
        </w:rPr>
        <w:t>竞争性磋商</w:t>
      </w:r>
      <w:r>
        <w:rPr>
          <w:rFonts w:hint="eastAsia" w:ascii="仿宋" w:hAnsi="仿宋" w:eastAsia="仿宋" w:cs="仿宋"/>
          <w:sz w:val="24"/>
          <w:szCs w:val="24"/>
          <w:highlight w:val="none"/>
        </w:rPr>
        <w:t>。现就联合体参与</w:t>
      </w:r>
      <w:r>
        <w:rPr>
          <w:rFonts w:hint="eastAsia" w:ascii="仿宋" w:hAnsi="仿宋" w:eastAsia="仿宋" w:cs="仿宋"/>
          <w:sz w:val="24"/>
          <w:highlight w:val="none"/>
        </w:rPr>
        <w:t>竞争性磋商</w:t>
      </w:r>
      <w:r>
        <w:rPr>
          <w:rFonts w:hint="eastAsia" w:ascii="仿宋" w:hAnsi="仿宋" w:eastAsia="仿宋" w:cs="仿宋"/>
          <w:sz w:val="24"/>
          <w:szCs w:val="24"/>
          <w:highlight w:val="none"/>
        </w:rPr>
        <w:t>事宜订立如下协议。</w:t>
      </w:r>
    </w:p>
    <w:p w14:paraId="1E1D6632">
      <w:pPr>
        <w:pStyle w:val="6"/>
        <w:shd w:val="clear"/>
        <w:overflowPunct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（某成员单位名称）为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（联合体名称）牵头人。</w:t>
      </w:r>
    </w:p>
    <w:p w14:paraId="68E64EEC">
      <w:pPr>
        <w:pStyle w:val="6"/>
        <w:shd w:val="clear"/>
        <w:overflowPunct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w:t>
      </w:r>
      <w:r>
        <w:rPr>
          <w:rFonts w:hint="eastAsia" w:ascii="仿宋" w:hAnsi="仿宋" w:eastAsia="仿宋" w:cs="仿宋"/>
          <w:sz w:val="24"/>
          <w:highlight w:val="none"/>
        </w:rPr>
        <w:t>竞争性磋商</w:t>
      </w:r>
      <w:r>
        <w:rPr>
          <w:rFonts w:hint="eastAsia" w:ascii="仿宋" w:hAnsi="仿宋" w:eastAsia="仿宋" w:cs="仿宋"/>
          <w:sz w:val="24"/>
          <w:szCs w:val="24"/>
          <w:highlight w:val="none"/>
        </w:rPr>
        <w:t>项目有关的一切事宜。</w:t>
      </w:r>
    </w:p>
    <w:p w14:paraId="666EADDE">
      <w:pPr>
        <w:pStyle w:val="6"/>
        <w:shd w:val="clear"/>
        <w:overflowPunct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3F10FA56">
      <w:pPr>
        <w:pStyle w:val="6"/>
        <w:shd w:val="clear"/>
        <w:overflowPunct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4.联合体各成员单位内部的职责分工如下：</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0960832C">
      <w:pPr>
        <w:pStyle w:val="6"/>
        <w:shd w:val="clear"/>
        <w:overflowPunct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5.本</w:t>
      </w:r>
      <w:r>
        <w:rPr>
          <w:rFonts w:hint="eastAsia" w:ascii="仿宋" w:hAnsi="仿宋" w:eastAsia="仿宋" w:cs="仿宋"/>
          <w:spacing w:val="-6"/>
          <w:sz w:val="24"/>
          <w:szCs w:val="24"/>
          <w:highlight w:val="none"/>
        </w:rPr>
        <w:t>协议书自所有成员单位法定代表人（单位负责人）或者其委托代理人签字或者盖单位章之日起生效，合同履行完毕后自动失效。</w:t>
      </w:r>
    </w:p>
    <w:p w14:paraId="5694DEDD">
      <w:pPr>
        <w:pStyle w:val="6"/>
        <w:shd w:val="clear"/>
        <w:overflowPunct w:val="0"/>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6.本协议书一式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份，联合体成员和采购人各执壹份。</w:t>
      </w:r>
    </w:p>
    <w:p w14:paraId="2836A0C0">
      <w:pPr>
        <w:pStyle w:val="6"/>
        <w:shd w:val="clear"/>
        <w:overflowPunct w:val="0"/>
        <w:spacing w:line="360" w:lineRule="auto"/>
        <w:ind w:firstLine="482" w:firstLineChars="200"/>
        <w:contextualSpacing/>
        <w:rPr>
          <w:rFonts w:hint="eastAsia" w:ascii="仿宋" w:hAnsi="仿宋" w:eastAsia="仿宋" w:cs="仿宋"/>
          <w:sz w:val="24"/>
          <w:szCs w:val="24"/>
          <w:highlight w:val="none"/>
        </w:rPr>
      </w:pPr>
      <w:r>
        <w:rPr>
          <w:rFonts w:hint="eastAsia" w:ascii="仿宋" w:hAnsi="仿宋" w:eastAsia="仿宋" w:cs="仿宋"/>
          <w:b/>
          <w:sz w:val="24"/>
          <w:szCs w:val="24"/>
          <w:highlight w:val="none"/>
        </w:rPr>
        <w:t>注：</w:t>
      </w:r>
      <w:r>
        <w:rPr>
          <w:rFonts w:hint="eastAsia" w:ascii="仿宋" w:hAnsi="仿宋" w:eastAsia="仿宋" w:cs="仿宋"/>
          <w:sz w:val="24"/>
          <w:szCs w:val="24"/>
          <w:highlight w:val="none"/>
        </w:rPr>
        <w:t>本协议书由法定代表人（单位负责人）签字的，应附法定代表人（单位负责人）身份证明书；由委托代理人签字的，应附联合体协议签订授权委托书（格式自拟）。</w:t>
      </w:r>
    </w:p>
    <w:p w14:paraId="52C19EC5">
      <w:pPr>
        <w:pStyle w:val="6"/>
        <w:shd w:val="clear"/>
        <w:overflowPunct w:val="0"/>
        <w:spacing w:line="360" w:lineRule="auto"/>
        <w:ind w:firstLineChars="175"/>
        <w:contextualSpacing/>
        <w:rPr>
          <w:rFonts w:hint="eastAsia" w:ascii="仿宋" w:hAnsi="仿宋" w:eastAsia="仿宋" w:cs="仿宋"/>
          <w:sz w:val="24"/>
          <w:szCs w:val="24"/>
          <w:highlight w:val="none"/>
        </w:rPr>
      </w:pPr>
    </w:p>
    <w:p w14:paraId="68F4CE2B">
      <w:pPr>
        <w:pStyle w:val="6"/>
        <w:shd w:val="clear"/>
        <w:overflowPunct w:val="0"/>
        <w:spacing w:line="360" w:lineRule="auto"/>
        <w:ind w:firstLineChars="175"/>
        <w:contextualSpacing/>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联合体牵头人名称（盖公章）：</w:t>
      </w:r>
      <w:r>
        <w:rPr>
          <w:rFonts w:hint="eastAsia" w:ascii="仿宋" w:hAnsi="仿宋" w:eastAsia="仿宋" w:cs="仿宋"/>
          <w:sz w:val="24"/>
          <w:szCs w:val="24"/>
          <w:highlight w:val="none"/>
          <w:u w:val="single"/>
        </w:rPr>
        <w:t xml:space="preserve">               </w:t>
      </w:r>
    </w:p>
    <w:p w14:paraId="12964953">
      <w:pPr>
        <w:pStyle w:val="6"/>
        <w:shd w:val="clear"/>
        <w:overflowPunct w:val="0"/>
        <w:spacing w:line="360" w:lineRule="auto"/>
        <w:ind w:firstLineChars="175"/>
        <w:contextualSpacing/>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法定代表人（单位负责人）或者其委托代理人（签字）：</w:t>
      </w:r>
      <w:r>
        <w:rPr>
          <w:rFonts w:hint="eastAsia" w:ascii="仿宋" w:hAnsi="仿宋" w:eastAsia="仿宋" w:cs="仿宋"/>
          <w:sz w:val="24"/>
          <w:szCs w:val="24"/>
          <w:highlight w:val="none"/>
          <w:u w:val="single"/>
        </w:rPr>
        <w:t xml:space="preserve">               </w:t>
      </w:r>
    </w:p>
    <w:p w14:paraId="2A87B8BD">
      <w:pPr>
        <w:pStyle w:val="6"/>
        <w:shd w:val="clear"/>
        <w:overflowPunct w:val="0"/>
        <w:spacing w:line="360" w:lineRule="auto"/>
        <w:ind w:firstLineChars="175"/>
        <w:contextualSpacing/>
        <w:rPr>
          <w:rFonts w:hint="eastAsia" w:ascii="仿宋" w:hAnsi="仿宋" w:eastAsia="仿宋" w:cs="仿宋"/>
          <w:sz w:val="24"/>
          <w:szCs w:val="24"/>
          <w:highlight w:val="none"/>
        </w:rPr>
      </w:pPr>
    </w:p>
    <w:p w14:paraId="33C6FE5B">
      <w:pPr>
        <w:pStyle w:val="6"/>
        <w:shd w:val="clear"/>
        <w:overflowPunct w:val="0"/>
        <w:spacing w:line="360" w:lineRule="auto"/>
        <w:ind w:firstLineChars="175"/>
        <w:contextualSpacing/>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联合体成员名称（盖公章）：</w:t>
      </w:r>
      <w:r>
        <w:rPr>
          <w:rFonts w:hint="eastAsia" w:ascii="仿宋" w:hAnsi="仿宋" w:eastAsia="仿宋" w:cs="仿宋"/>
          <w:sz w:val="24"/>
          <w:szCs w:val="24"/>
          <w:highlight w:val="none"/>
          <w:u w:val="single"/>
        </w:rPr>
        <w:t xml:space="preserve">                </w:t>
      </w:r>
    </w:p>
    <w:p w14:paraId="7418BEC6">
      <w:pPr>
        <w:pStyle w:val="6"/>
        <w:shd w:val="clear"/>
        <w:overflowPunct w:val="0"/>
        <w:spacing w:line="360" w:lineRule="auto"/>
        <w:ind w:firstLineChars="175"/>
        <w:contextualSpacing/>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法定代表人（单位负责人）或者其委托代理人（签字）：</w:t>
      </w:r>
      <w:r>
        <w:rPr>
          <w:rFonts w:hint="eastAsia" w:ascii="仿宋" w:hAnsi="仿宋" w:eastAsia="仿宋" w:cs="仿宋"/>
          <w:sz w:val="24"/>
          <w:szCs w:val="24"/>
          <w:highlight w:val="none"/>
          <w:u w:val="single"/>
        </w:rPr>
        <w:t xml:space="preserve">            </w:t>
      </w:r>
    </w:p>
    <w:p w14:paraId="745BAA56">
      <w:pPr>
        <w:pStyle w:val="6"/>
        <w:shd w:val="clear"/>
        <w:overflowPunct w:val="0"/>
        <w:spacing w:line="360" w:lineRule="auto"/>
        <w:ind w:firstLineChars="175"/>
        <w:contextualSpacing/>
        <w:rPr>
          <w:rFonts w:hint="eastAsia" w:ascii="仿宋" w:hAnsi="仿宋" w:eastAsia="仿宋" w:cs="仿宋"/>
          <w:sz w:val="24"/>
          <w:szCs w:val="24"/>
          <w:highlight w:val="none"/>
        </w:rPr>
      </w:pPr>
    </w:p>
    <w:p w14:paraId="7BA2A18B">
      <w:pPr>
        <w:pStyle w:val="6"/>
        <w:shd w:val="clear"/>
        <w:overflowPunct w:val="0"/>
        <w:spacing w:line="360" w:lineRule="auto"/>
        <w:ind w:firstLineChars="175"/>
        <w:contextualSpacing/>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联合体成员名称（盖公章）：</w:t>
      </w:r>
      <w:r>
        <w:rPr>
          <w:rFonts w:hint="eastAsia" w:ascii="仿宋" w:hAnsi="仿宋" w:eastAsia="仿宋" w:cs="仿宋"/>
          <w:sz w:val="24"/>
          <w:szCs w:val="24"/>
          <w:highlight w:val="none"/>
          <w:u w:val="single"/>
        </w:rPr>
        <w:t xml:space="preserve">                </w:t>
      </w:r>
    </w:p>
    <w:p w14:paraId="291C5EE3">
      <w:pPr>
        <w:pStyle w:val="6"/>
        <w:shd w:val="clear"/>
        <w:overflowPunct w:val="0"/>
        <w:spacing w:line="360" w:lineRule="auto"/>
        <w:ind w:firstLineChars="175"/>
        <w:contextualSpacing/>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法定代表人（单位负责人）或者其委托代理人（签字）：</w:t>
      </w:r>
      <w:r>
        <w:rPr>
          <w:rFonts w:hint="eastAsia" w:ascii="仿宋" w:hAnsi="仿宋" w:eastAsia="仿宋" w:cs="仿宋"/>
          <w:sz w:val="24"/>
          <w:szCs w:val="24"/>
          <w:highlight w:val="none"/>
          <w:u w:val="single"/>
        </w:rPr>
        <w:t xml:space="preserve">                   </w:t>
      </w:r>
    </w:p>
    <w:p w14:paraId="4070FB03">
      <w:pPr>
        <w:pStyle w:val="6"/>
        <w:shd w:val="clear"/>
        <w:overflowPunct w:val="0"/>
        <w:spacing w:line="360" w:lineRule="auto"/>
        <w:ind w:firstLineChars="175"/>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495A860B">
      <w:pPr>
        <w:shd w:val="clear"/>
        <w:spacing w:line="360" w:lineRule="auto"/>
        <w:ind w:right="480" w:firstLine="240" w:firstLineChars="100"/>
        <w:contextualSpacing/>
        <w:jc w:val="center"/>
        <w:rPr>
          <w:rFonts w:hint="eastAsia" w:ascii="仿宋" w:hAnsi="仿宋" w:eastAsia="仿宋" w:cs="仿宋"/>
          <w:b/>
          <w:bCs/>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rPr>
        <w:t>日</w:t>
      </w:r>
    </w:p>
    <w:p w14:paraId="30D539AD">
      <w:pPr>
        <w:shd w:val="clear"/>
        <w:snapToGrid w:val="0"/>
        <w:spacing w:before="156" w:beforeLines="50" w:after="50" w:line="360" w:lineRule="auto"/>
        <w:ind w:right="480"/>
        <w:rPr>
          <w:rFonts w:hint="eastAsia" w:ascii="仿宋" w:hAnsi="仿宋" w:eastAsia="仿宋" w:cs="仿宋"/>
          <w:b/>
          <w:sz w:val="32"/>
          <w:szCs w:val="32"/>
          <w:highlight w:val="none"/>
        </w:rPr>
      </w:pPr>
      <w:r>
        <w:rPr>
          <w:rFonts w:hint="eastAsia" w:ascii="仿宋" w:hAnsi="仿宋" w:eastAsia="仿宋" w:cs="仿宋"/>
          <w:b/>
          <w:bCs/>
          <w:sz w:val="32"/>
          <w:szCs w:val="32"/>
          <w:highlight w:val="none"/>
        </w:rPr>
        <w:br w:type="page"/>
      </w:r>
      <w:r>
        <w:rPr>
          <w:rFonts w:hint="eastAsia" w:ascii="仿宋" w:hAnsi="仿宋" w:eastAsia="仿宋" w:cs="仿宋"/>
          <w:b/>
          <w:bCs/>
          <w:sz w:val="32"/>
          <w:szCs w:val="32"/>
          <w:highlight w:val="none"/>
        </w:rPr>
        <w:t>二、</w:t>
      </w:r>
      <w:r>
        <w:rPr>
          <w:rFonts w:hint="eastAsia" w:ascii="仿宋" w:hAnsi="仿宋" w:eastAsia="仿宋" w:cs="仿宋"/>
          <w:b/>
          <w:sz w:val="32"/>
          <w:szCs w:val="32"/>
          <w:highlight w:val="none"/>
        </w:rPr>
        <w:t>报价商务技术文件格式</w:t>
      </w:r>
    </w:p>
    <w:p w14:paraId="7F1267FA">
      <w:pPr>
        <w:shd w:val="clear"/>
        <w:snapToGrid w:val="0"/>
        <w:spacing w:before="156" w:beforeLines="50" w:after="50" w:line="360" w:lineRule="auto"/>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1.报价商务技术文件封面格式</w:t>
      </w:r>
    </w:p>
    <w:p w14:paraId="002BE2A0">
      <w:pPr>
        <w:shd w:val="clear"/>
        <w:snapToGrid w:val="0"/>
        <w:spacing w:before="156" w:beforeLines="50" w:after="50"/>
        <w:rPr>
          <w:rFonts w:hint="eastAsia" w:ascii="仿宋" w:hAnsi="仿宋" w:eastAsia="仿宋" w:cs="仿宋"/>
          <w:bCs/>
          <w:sz w:val="32"/>
          <w:szCs w:val="20"/>
          <w:highlight w:val="none"/>
        </w:rPr>
      </w:pPr>
      <w:r>
        <w:rPr>
          <w:rFonts w:hint="eastAsia" w:ascii="仿宋" w:hAnsi="仿宋" w:eastAsia="仿宋" w:cs="仿宋"/>
          <w:sz w:val="24"/>
          <w:highlight w:val="none"/>
        </w:rPr>
        <w:t xml:space="preserve">                                                   </w:t>
      </w:r>
    </w:p>
    <w:p w14:paraId="2EA1D0E5">
      <w:pPr>
        <w:shd w:val="clear"/>
        <w:snapToGrid w:val="0"/>
        <w:spacing w:before="156" w:beforeLines="50" w:after="50"/>
        <w:rPr>
          <w:rFonts w:hint="eastAsia" w:ascii="仿宋" w:hAnsi="仿宋" w:eastAsia="仿宋" w:cs="仿宋"/>
          <w:sz w:val="24"/>
          <w:szCs w:val="20"/>
          <w:highlight w:val="none"/>
        </w:rPr>
      </w:pPr>
    </w:p>
    <w:p w14:paraId="10D7A096">
      <w:pPr>
        <w:shd w:val="clear"/>
        <w:snapToGrid w:val="0"/>
        <w:spacing w:before="156" w:beforeLines="50" w:after="50"/>
        <w:jc w:val="center"/>
        <w:rPr>
          <w:rFonts w:hint="eastAsia" w:ascii="仿宋" w:hAnsi="仿宋" w:eastAsia="仿宋" w:cs="仿宋"/>
          <w:bCs/>
          <w:sz w:val="84"/>
          <w:szCs w:val="84"/>
          <w:highlight w:val="none"/>
        </w:rPr>
      </w:pPr>
      <w:r>
        <w:rPr>
          <w:rFonts w:hint="eastAsia" w:ascii="仿宋" w:hAnsi="仿宋" w:eastAsia="仿宋" w:cs="仿宋"/>
          <w:bCs/>
          <w:sz w:val="84"/>
          <w:szCs w:val="84"/>
          <w:highlight w:val="none"/>
        </w:rPr>
        <w:t>响  应  文  件</w:t>
      </w:r>
    </w:p>
    <w:p w14:paraId="3B384F9E">
      <w:pPr>
        <w:shd w:val="clear"/>
        <w:snapToGrid w:val="0"/>
        <w:spacing w:before="156" w:beforeLines="50" w:after="50"/>
        <w:jc w:val="center"/>
        <w:rPr>
          <w:rFonts w:hint="eastAsia" w:ascii="仿宋" w:hAnsi="仿宋" w:eastAsia="仿宋" w:cs="仿宋"/>
          <w:bCs/>
          <w:sz w:val="32"/>
          <w:szCs w:val="32"/>
          <w:highlight w:val="none"/>
        </w:rPr>
      </w:pPr>
      <w:r>
        <w:rPr>
          <w:rFonts w:hint="eastAsia" w:ascii="仿宋" w:hAnsi="仿宋" w:eastAsia="仿宋" w:cs="仿宋"/>
          <w:bCs/>
          <w:sz w:val="32"/>
          <w:szCs w:val="32"/>
          <w:highlight w:val="none"/>
        </w:rPr>
        <w:t>报  价  商  务  技  术  文  件</w:t>
      </w:r>
    </w:p>
    <w:p w14:paraId="7A5331EB">
      <w:pPr>
        <w:shd w:val="clear"/>
        <w:snapToGrid w:val="0"/>
        <w:spacing w:before="156" w:beforeLines="50" w:after="50"/>
        <w:rPr>
          <w:rFonts w:hint="eastAsia" w:ascii="仿宋" w:hAnsi="仿宋" w:eastAsia="仿宋" w:cs="仿宋"/>
          <w:bCs/>
          <w:sz w:val="24"/>
          <w:szCs w:val="20"/>
          <w:highlight w:val="none"/>
        </w:rPr>
      </w:pPr>
    </w:p>
    <w:p w14:paraId="64AEF62F">
      <w:pPr>
        <w:shd w:val="clear"/>
        <w:snapToGrid w:val="0"/>
        <w:spacing w:before="156" w:beforeLines="50" w:after="50"/>
        <w:rPr>
          <w:rFonts w:hint="eastAsia" w:ascii="仿宋" w:hAnsi="仿宋" w:eastAsia="仿宋" w:cs="仿宋"/>
          <w:bCs/>
          <w:sz w:val="24"/>
          <w:szCs w:val="20"/>
          <w:highlight w:val="none"/>
        </w:rPr>
      </w:pPr>
    </w:p>
    <w:p w14:paraId="272765FB">
      <w:pPr>
        <w:shd w:val="clear"/>
        <w:snapToGrid w:val="0"/>
        <w:spacing w:before="156" w:beforeLines="50" w:after="50"/>
        <w:ind w:firstLine="2100" w:firstLineChars="875"/>
        <w:rPr>
          <w:rFonts w:hint="eastAsia" w:ascii="仿宋" w:hAnsi="仿宋" w:eastAsia="仿宋" w:cs="仿宋"/>
          <w:bCs/>
          <w:sz w:val="24"/>
          <w:szCs w:val="20"/>
          <w:highlight w:val="none"/>
        </w:rPr>
      </w:pPr>
    </w:p>
    <w:p w14:paraId="2D802028">
      <w:pPr>
        <w:shd w:val="clear"/>
        <w:snapToGrid w:val="0"/>
        <w:spacing w:before="156" w:beforeLines="50" w:after="50"/>
        <w:ind w:firstLine="2100" w:firstLineChars="875"/>
        <w:rPr>
          <w:rFonts w:hint="eastAsia" w:ascii="仿宋" w:hAnsi="仿宋" w:eastAsia="仿宋" w:cs="仿宋"/>
          <w:bCs/>
          <w:sz w:val="24"/>
          <w:szCs w:val="20"/>
          <w:highlight w:val="none"/>
        </w:rPr>
      </w:pPr>
    </w:p>
    <w:p w14:paraId="275E6D6F">
      <w:pPr>
        <w:shd w:val="clear"/>
        <w:snapToGrid w:val="0"/>
        <w:spacing w:before="156" w:beforeLines="50" w:after="50"/>
        <w:ind w:firstLine="2100" w:firstLineChars="875"/>
        <w:rPr>
          <w:rFonts w:hint="eastAsia" w:ascii="仿宋" w:hAnsi="仿宋" w:eastAsia="仿宋" w:cs="仿宋"/>
          <w:bCs/>
          <w:sz w:val="24"/>
          <w:szCs w:val="20"/>
          <w:highlight w:val="none"/>
        </w:rPr>
      </w:pPr>
    </w:p>
    <w:p w14:paraId="6C98F910">
      <w:pPr>
        <w:shd w:val="clear"/>
        <w:snapToGrid w:val="0"/>
        <w:spacing w:before="156" w:beforeLines="50" w:after="50"/>
        <w:ind w:firstLine="2800" w:firstLineChars="875"/>
        <w:rPr>
          <w:rFonts w:hint="eastAsia" w:ascii="仿宋" w:hAnsi="仿宋" w:eastAsia="仿宋" w:cs="仿宋"/>
          <w:bCs/>
          <w:sz w:val="32"/>
          <w:szCs w:val="32"/>
          <w:highlight w:val="none"/>
        </w:rPr>
      </w:pPr>
      <w:r>
        <w:rPr>
          <w:rFonts w:hint="eastAsia" w:ascii="仿宋" w:hAnsi="仿宋" w:eastAsia="仿宋" w:cs="仿宋"/>
          <w:bCs/>
          <w:sz w:val="32"/>
          <w:szCs w:val="32"/>
          <w:highlight w:val="none"/>
        </w:rPr>
        <w:t>项目名称：</w:t>
      </w:r>
    </w:p>
    <w:p w14:paraId="4397CE6D">
      <w:pPr>
        <w:shd w:val="clear"/>
        <w:snapToGrid w:val="0"/>
        <w:spacing w:before="156" w:beforeLines="50" w:after="50"/>
        <w:ind w:firstLine="2800" w:firstLineChars="875"/>
        <w:rPr>
          <w:rFonts w:hint="eastAsia" w:ascii="仿宋" w:hAnsi="仿宋" w:eastAsia="仿宋" w:cs="仿宋"/>
          <w:bCs/>
          <w:sz w:val="32"/>
          <w:szCs w:val="32"/>
          <w:highlight w:val="none"/>
        </w:rPr>
      </w:pPr>
    </w:p>
    <w:p w14:paraId="31D70FEE">
      <w:pPr>
        <w:shd w:val="clear"/>
        <w:snapToGrid w:val="0"/>
        <w:spacing w:before="156" w:beforeLines="50" w:after="50"/>
        <w:ind w:firstLine="2800" w:firstLineChars="875"/>
        <w:rPr>
          <w:rFonts w:hint="eastAsia" w:ascii="仿宋" w:hAnsi="仿宋" w:eastAsia="仿宋" w:cs="仿宋"/>
          <w:bCs/>
          <w:sz w:val="32"/>
          <w:szCs w:val="32"/>
          <w:highlight w:val="none"/>
        </w:rPr>
      </w:pPr>
      <w:r>
        <w:rPr>
          <w:rFonts w:hint="eastAsia" w:ascii="仿宋" w:hAnsi="仿宋" w:eastAsia="仿宋" w:cs="仿宋"/>
          <w:bCs/>
          <w:sz w:val="32"/>
          <w:szCs w:val="32"/>
          <w:highlight w:val="none"/>
        </w:rPr>
        <w:t>项目编号：</w:t>
      </w:r>
    </w:p>
    <w:p w14:paraId="228AD941">
      <w:pPr>
        <w:shd w:val="clear"/>
        <w:snapToGrid w:val="0"/>
        <w:spacing w:before="156" w:beforeLines="50" w:after="50"/>
        <w:ind w:firstLine="2800" w:firstLineChars="875"/>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w:t>
      </w:r>
    </w:p>
    <w:p w14:paraId="43BD6A81">
      <w:pPr>
        <w:shd w:val="clear"/>
        <w:snapToGrid w:val="0"/>
        <w:spacing w:before="156" w:beforeLines="50" w:after="50"/>
        <w:ind w:firstLine="2800" w:firstLineChars="875"/>
        <w:rPr>
          <w:rFonts w:hint="eastAsia" w:ascii="仿宋" w:hAnsi="仿宋" w:eastAsia="仿宋" w:cs="仿宋"/>
          <w:bCs/>
          <w:sz w:val="32"/>
          <w:szCs w:val="32"/>
          <w:highlight w:val="none"/>
        </w:rPr>
      </w:pPr>
      <w:r>
        <w:rPr>
          <w:rFonts w:hint="eastAsia" w:ascii="仿宋" w:hAnsi="仿宋" w:eastAsia="仿宋" w:cs="仿宋"/>
          <w:bCs/>
          <w:sz w:val="32"/>
          <w:szCs w:val="32"/>
          <w:highlight w:val="none"/>
        </w:rPr>
        <w:t>所竞分标（如有）：</w:t>
      </w:r>
    </w:p>
    <w:p w14:paraId="54ABB32D">
      <w:pPr>
        <w:shd w:val="clear"/>
        <w:snapToGrid w:val="0"/>
        <w:spacing w:before="156" w:beforeLines="50" w:after="50"/>
        <w:ind w:firstLine="2800" w:firstLineChars="875"/>
        <w:rPr>
          <w:rFonts w:hint="eastAsia" w:ascii="仿宋" w:hAnsi="仿宋" w:eastAsia="仿宋" w:cs="仿宋"/>
          <w:bCs/>
          <w:sz w:val="32"/>
          <w:szCs w:val="32"/>
          <w:highlight w:val="none"/>
        </w:rPr>
      </w:pPr>
    </w:p>
    <w:p w14:paraId="5A0596CB">
      <w:pPr>
        <w:pStyle w:val="6"/>
        <w:shd w:val="clear"/>
        <w:snapToGrid w:val="0"/>
        <w:spacing w:before="50" w:after="50"/>
        <w:ind w:firstLine="2800" w:firstLineChars="875"/>
        <w:rPr>
          <w:rFonts w:hint="eastAsia" w:ascii="仿宋" w:hAnsi="仿宋" w:eastAsia="仿宋" w:cs="仿宋"/>
          <w:bCs/>
          <w:sz w:val="32"/>
          <w:szCs w:val="32"/>
          <w:highlight w:val="none"/>
        </w:rPr>
      </w:pPr>
      <w:r>
        <w:rPr>
          <w:rFonts w:hint="eastAsia" w:ascii="仿宋" w:hAnsi="仿宋" w:eastAsia="仿宋" w:cs="仿宋"/>
          <w:bCs/>
          <w:sz w:val="32"/>
          <w:szCs w:val="32"/>
          <w:highlight w:val="none"/>
        </w:rPr>
        <w:t>供应商名称：</w:t>
      </w:r>
    </w:p>
    <w:p w14:paraId="2376D499">
      <w:pPr>
        <w:pStyle w:val="6"/>
        <w:shd w:val="clear"/>
        <w:snapToGrid w:val="0"/>
        <w:spacing w:before="50" w:after="50"/>
        <w:ind w:firstLine="2800" w:firstLineChars="875"/>
        <w:rPr>
          <w:rFonts w:hint="eastAsia" w:ascii="仿宋" w:hAnsi="仿宋" w:eastAsia="仿宋" w:cs="仿宋"/>
          <w:bCs/>
          <w:sz w:val="32"/>
          <w:szCs w:val="32"/>
          <w:highlight w:val="none"/>
        </w:rPr>
      </w:pPr>
    </w:p>
    <w:p w14:paraId="20C6A5CF">
      <w:pPr>
        <w:pStyle w:val="6"/>
        <w:shd w:val="clear"/>
        <w:snapToGrid w:val="0"/>
        <w:spacing w:before="50" w:after="50"/>
        <w:ind w:firstLine="720" w:firstLineChars="225"/>
        <w:rPr>
          <w:rFonts w:hint="eastAsia" w:ascii="仿宋" w:hAnsi="仿宋" w:eastAsia="仿宋" w:cs="仿宋"/>
          <w:bCs/>
          <w:sz w:val="32"/>
          <w:szCs w:val="32"/>
          <w:highlight w:val="none"/>
        </w:rPr>
      </w:pPr>
    </w:p>
    <w:p w14:paraId="7FD3C0D3">
      <w:pPr>
        <w:pStyle w:val="6"/>
        <w:shd w:val="clear"/>
        <w:snapToGrid w:val="0"/>
        <w:spacing w:before="50" w:after="50"/>
        <w:ind w:firstLine="1280" w:firstLineChars="400"/>
        <w:rPr>
          <w:rFonts w:hint="eastAsia" w:ascii="仿宋" w:hAnsi="仿宋" w:eastAsia="仿宋" w:cs="仿宋"/>
          <w:bCs/>
          <w:sz w:val="32"/>
          <w:szCs w:val="32"/>
          <w:highlight w:val="none"/>
        </w:rPr>
      </w:pPr>
    </w:p>
    <w:p w14:paraId="79995B8E">
      <w:pPr>
        <w:shd w:val="clear"/>
        <w:snapToGrid w:val="0"/>
        <w:spacing w:before="156" w:beforeLines="50" w:after="5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年    月    日</w:t>
      </w:r>
    </w:p>
    <w:p w14:paraId="0B5A4F00">
      <w:pPr>
        <w:shd w:val="clear"/>
        <w:snapToGrid w:val="0"/>
        <w:spacing w:before="156" w:beforeLines="50" w:after="50" w:line="360" w:lineRule="auto"/>
        <w:ind w:left="142"/>
        <w:jc w:val="left"/>
        <w:rPr>
          <w:rFonts w:hint="eastAsia" w:ascii="仿宋" w:hAnsi="仿宋" w:eastAsia="仿宋" w:cs="仿宋"/>
          <w:b/>
          <w:bCs/>
          <w:sz w:val="24"/>
          <w:highlight w:val="none"/>
        </w:rPr>
      </w:pPr>
      <w:r>
        <w:rPr>
          <w:rFonts w:hint="eastAsia" w:ascii="仿宋" w:hAnsi="仿宋" w:eastAsia="仿宋" w:cs="仿宋"/>
          <w:sz w:val="24"/>
          <w:highlight w:val="none"/>
        </w:rPr>
        <w:br w:type="page"/>
      </w:r>
      <w:r>
        <w:rPr>
          <w:rFonts w:hint="eastAsia" w:ascii="仿宋" w:hAnsi="仿宋" w:eastAsia="仿宋" w:cs="仿宋"/>
          <w:b/>
          <w:bCs/>
          <w:sz w:val="32"/>
          <w:szCs w:val="32"/>
          <w:highlight w:val="none"/>
        </w:rPr>
        <w:t>2.报价商务技术文件目录</w:t>
      </w:r>
    </w:p>
    <w:p w14:paraId="22956295">
      <w:pPr>
        <w:shd w:val="clear"/>
        <w:snapToGrid w:val="0"/>
        <w:spacing w:before="156" w:beforeLines="50" w:after="50"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根据磋商文件规定及供应商提供的材料自行编写目录（部分格式后附）。</w:t>
      </w:r>
    </w:p>
    <w:p w14:paraId="57F3AEB7">
      <w:pPr>
        <w:shd w:val="clear"/>
        <w:spacing w:line="400" w:lineRule="exact"/>
        <w:rPr>
          <w:rFonts w:hint="eastAsia" w:ascii="仿宋" w:hAnsi="仿宋" w:eastAsia="仿宋" w:cs="仿宋"/>
          <w:sz w:val="32"/>
          <w:szCs w:val="32"/>
          <w:highlight w:val="none"/>
        </w:rPr>
      </w:pPr>
    </w:p>
    <w:p w14:paraId="3A829259">
      <w:pPr>
        <w:shd w:val="clear"/>
        <w:jc w:val="center"/>
        <w:rPr>
          <w:rFonts w:hint="eastAsia" w:ascii="仿宋" w:hAnsi="仿宋" w:eastAsia="仿宋" w:cs="仿宋"/>
          <w:b/>
          <w:sz w:val="32"/>
          <w:szCs w:val="32"/>
          <w:highlight w:val="none"/>
        </w:rPr>
      </w:pPr>
      <w:r>
        <w:rPr>
          <w:rFonts w:hint="eastAsia" w:ascii="仿宋" w:hAnsi="仿宋" w:eastAsia="仿宋" w:cs="仿宋"/>
          <w:sz w:val="44"/>
          <w:szCs w:val="44"/>
          <w:highlight w:val="none"/>
        </w:rPr>
        <w:br w:type="page"/>
      </w:r>
      <w:r>
        <w:rPr>
          <w:rFonts w:hint="eastAsia" w:ascii="仿宋" w:hAnsi="仿宋" w:eastAsia="仿宋" w:cs="仿宋"/>
          <w:b/>
          <w:sz w:val="44"/>
          <w:szCs w:val="44"/>
          <w:highlight w:val="none"/>
        </w:rPr>
        <w:t>无串通参与竞争性磋商行为的承诺函</w:t>
      </w:r>
    </w:p>
    <w:p w14:paraId="3E354171">
      <w:pPr>
        <w:shd w:val="clear"/>
        <w:spacing w:line="360" w:lineRule="auto"/>
        <w:ind w:firstLine="640" w:firstLineChars="200"/>
        <w:contextualSpacing/>
        <w:rPr>
          <w:rFonts w:hint="eastAsia" w:ascii="仿宋" w:hAnsi="仿宋" w:eastAsia="仿宋" w:cs="仿宋"/>
          <w:sz w:val="32"/>
          <w:szCs w:val="32"/>
          <w:highlight w:val="none"/>
        </w:rPr>
      </w:pPr>
    </w:p>
    <w:p w14:paraId="1C1C4F1D">
      <w:pPr>
        <w:shd w:val="clear"/>
        <w:spacing w:line="360" w:lineRule="auto"/>
        <w:ind w:firstLine="482" w:firstLineChars="200"/>
        <w:contextualSpacing/>
        <w:rPr>
          <w:rFonts w:hint="eastAsia" w:ascii="仿宋" w:hAnsi="仿宋" w:eastAsia="仿宋" w:cs="仿宋"/>
          <w:b/>
          <w:bCs/>
          <w:sz w:val="24"/>
          <w:highlight w:val="none"/>
        </w:rPr>
      </w:pPr>
      <w:r>
        <w:rPr>
          <w:rFonts w:hint="eastAsia" w:ascii="仿宋" w:hAnsi="仿宋" w:eastAsia="仿宋" w:cs="仿宋"/>
          <w:b/>
          <w:bCs/>
          <w:sz w:val="24"/>
          <w:highlight w:val="none"/>
        </w:rPr>
        <w:t>一、我方承诺无下列相互串通参与</w:t>
      </w:r>
      <w:r>
        <w:rPr>
          <w:rFonts w:hint="eastAsia" w:ascii="仿宋" w:hAnsi="仿宋" w:eastAsia="仿宋" w:cs="仿宋"/>
          <w:sz w:val="24"/>
          <w:highlight w:val="none"/>
        </w:rPr>
        <w:t>竞争性磋商</w:t>
      </w:r>
      <w:r>
        <w:rPr>
          <w:rFonts w:hint="eastAsia" w:ascii="仿宋" w:hAnsi="仿宋" w:eastAsia="仿宋" w:cs="仿宋"/>
          <w:b/>
          <w:bCs/>
          <w:sz w:val="24"/>
          <w:highlight w:val="none"/>
        </w:rPr>
        <w:t>的情形：</w:t>
      </w:r>
    </w:p>
    <w:p w14:paraId="0513D4D2">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 xml:space="preserve">1.不同供应商的响应文件由同一单位或者个人编制； </w:t>
      </w:r>
    </w:p>
    <w:p w14:paraId="64D82220">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2.不同供应商委托同一单位或者个人办理参与竞争性磋商事宜；</w:t>
      </w:r>
    </w:p>
    <w:p w14:paraId="52A21B69">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3.不同供应商的响应文件载明的项目管理员为同一个人；</w:t>
      </w:r>
    </w:p>
    <w:p w14:paraId="300279AA">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4.不</w:t>
      </w:r>
      <w:r>
        <w:rPr>
          <w:rFonts w:hint="eastAsia" w:ascii="仿宋" w:hAnsi="仿宋" w:eastAsia="仿宋" w:cs="仿宋"/>
          <w:spacing w:val="-6"/>
          <w:sz w:val="24"/>
          <w:highlight w:val="none"/>
        </w:rPr>
        <w:t>同供应商的响应文件异常一致或者参与</w:t>
      </w:r>
      <w:r>
        <w:rPr>
          <w:rFonts w:hint="eastAsia" w:ascii="仿宋" w:hAnsi="仿宋" w:eastAsia="仿宋" w:cs="仿宋"/>
          <w:sz w:val="24"/>
          <w:highlight w:val="none"/>
        </w:rPr>
        <w:t>竞争性磋商</w:t>
      </w:r>
      <w:r>
        <w:rPr>
          <w:rFonts w:hint="eastAsia" w:ascii="仿宋" w:hAnsi="仿宋" w:eastAsia="仿宋" w:cs="仿宋"/>
          <w:spacing w:val="-6"/>
          <w:sz w:val="24"/>
          <w:highlight w:val="none"/>
        </w:rPr>
        <w:t>报价呈规律性差异；</w:t>
      </w:r>
    </w:p>
    <w:p w14:paraId="6A024586">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5.不同供应商的响应文件相互混装；</w:t>
      </w:r>
    </w:p>
    <w:p w14:paraId="74320C8E">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6.不同供应商的磋商保证金从同一单位或者个人账户转出。</w:t>
      </w:r>
    </w:p>
    <w:p w14:paraId="3F188C7C">
      <w:pPr>
        <w:shd w:val="clear"/>
        <w:spacing w:line="360" w:lineRule="auto"/>
        <w:ind w:firstLine="482" w:firstLineChars="200"/>
        <w:contextualSpacing/>
        <w:rPr>
          <w:rFonts w:hint="eastAsia" w:ascii="仿宋" w:hAnsi="仿宋" w:eastAsia="仿宋" w:cs="仿宋"/>
          <w:b/>
          <w:bCs/>
          <w:sz w:val="24"/>
          <w:highlight w:val="none"/>
        </w:rPr>
      </w:pPr>
      <w:r>
        <w:rPr>
          <w:rFonts w:hint="eastAsia" w:ascii="仿宋" w:hAnsi="仿宋" w:eastAsia="仿宋" w:cs="仿宋"/>
          <w:b/>
          <w:bCs/>
          <w:sz w:val="24"/>
          <w:highlight w:val="none"/>
        </w:rPr>
        <w:t>二、我方承诺无下列恶意串通的情形：</w:t>
      </w:r>
    </w:p>
    <w:p w14:paraId="2BD25647">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1.供应商直接或者间接从采购人或者采购代理机构处获得其他供应商的相关信息并修改其响应文件；</w:t>
      </w:r>
    </w:p>
    <w:p w14:paraId="3F44A47B">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2.供应商按照采购人或者采购代理机构的授意撤换、修改响应文件；</w:t>
      </w:r>
    </w:p>
    <w:p w14:paraId="4766CF7C">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3.供</w:t>
      </w:r>
      <w:r>
        <w:rPr>
          <w:rFonts w:hint="eastAsia" w:ascii="仿宋" w:hAnsi="仿宋" w:eastAsia="仿宋" w:cs="仿宋"/>
          <w:spacing w:val="-6"/>
          <w:sz w:val="24"/>
          <w:highlight w:val="none"/>
        </w:rPr>
        <w:t>应商之间协商报价、技术方案等响应文件的实质性内容；</w:t>
      </w:r>
    </w:p>
    <w:p w14:paraId="4E32A8DB">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4.属于同一集团、协会、商会等组织成员的供应商按照该组织要求协同参加政府采购活动；</w:t>
      </w:r>
    </w:p>
    <w:p w14:paraId="0884A71D">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5.供应商之间事先约定一致抬高或者压低竞争性磋商报价，或者在竞争性磋商项目中事先约定轮流以高价位或者低价位成交，或者事先约定由某一特定供应商成交，然后再参加竞争性磋商；</w:t>
      </w:r>
    </w:p>
    <w:p w14:paraId="640BB6EF">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6.供应商之间商定部分供应商放弃参加政府采购活动或者放弃成交；</w:t>
      </w:r>
    </w:p>
    <w:p w14:paraId="3075DFE4">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7.供应商与采购人或者采购代理机构之间、供应商相互之间，为</w:t>
      </w:r>
      <w:r>
        <w:rPr>
          <w:rFonts w:hint="eastAsia" w:ascii="仿宋" w:hAnsi="仿宋" w:eastAsia="仿宋" w:cs="仿宋"/>
          <w:spacing w:val="-6"/>
          <w:sz w:val="24"/>
          <w:highlight w:val="none"/>
        </w:rPr>
        <w:t>谋求特定供应商成交或者排斥其他供应商的其他串通行为。</w:t>
      </w:r>
    </w:p>
    <w:p w14:paraId="351B0B57">
      <w:pPr>
        <w:shd w:val="clear"/>
        <w:spacing w:line="360" w:lineRule="auto"/>
        <w:ind w:firstLine="480" w:firstLineChars="200"/>
        <w:contextualSpacing/>
        <w:rPr>
          <w:rFonts w:hint="eastAsia" w:ascii="仿宋" w:hAnsi="仿宋" w:eastAsia="仿宋" w:cs="仿宋"/>
          <w:sz w:val="24"/>
          <w:highlight w:val="none"/>
        </w:rPr>
      </w:pPr>
    </w:p>
    <w:p w14:paraId="698ED674">
      <w:pPr>
        <w:shd w:val="clear"/>
        <w:spacing w:line="360" w:lineRule="auto"/>
        <w:ind w:firstLine="482" w:firstLineChars="200"/>
        <w:contextualSpacing/>
        <w:rPr>
          <w:rFonts w:hint="eastAsia" w:ascii="仿宋" w:hAnsi="仿宋" w:eastAsia="仿宋" w:cs="仿宋"/>
          <w:b/>
          <w:bCs/>
          <w:sz w:val="24"/>
          <w:highlight w:val="none"/>
        </w:rPr>
      </w:pPr>
      <w:r>
        <w:rPr>
          <w:rFonts w:hint="eastAsia" w:ascii="仿宋" w:hAnsi="仿宋" w:eastAsia="仿宋" w:cs="仿宋"/>
          <w:b/>
          <w:bCs/>
          <w:sz w:val="24"/>
          <w:highlight w:val="none"/>
        </w:rPr>
        <w:t>以上情形一经核查属实，我方愿意承担一切后果，并不再寻求任何旨在减轻或者免除法律责任的辩解。</w:t>
      </w:r>
    </w:p>
    <w:p w14:paraId="27C615C8">
      <w:pPr>
        <w:shd w:val="clear"/>
        <w:spacing w:line="360" w:lineRule="auto"/>
        <w:contextualSpacing/>
        <w:rPr>
          <w:rFonts w:hint="eastAsia" w:ascii="仿宋" w:hAnsi="仿宋" w:eastAsia="仿宋" w:cs="仿宋"/>
          <w:sz w:val="24"/>
          <w:highlight w:val="none"/>
        </w:rPr>
      </w:pPr>
    </w:p>
    <w:p w14:paraId="753E53DF">
      <w:pPr>
        <w:shd w:val="clear"/>
        <w:spacing w:line="360" w:lineRule="auto"/>
        <w:ind w:firstLine="5040" w:firstLineChars="2100"/>
        <w:contextualSpacing/>
        <w:rPr>
          <w:rFonts w:hint="eastAsia" w:ascii="仿宋" w:hAnsi="仿宋" w:eastAsia="仿宋" w:cs="仿宋"/>
          <w:sz w:val="24"/>
          <w:highlight w:val="none"/>
          <w:u w:val="single"/>
        </w:rPr>
      </w:pPr>
      <w:r>
        <w:rPr>
          <w:rFonts w:hint="eastAsia" w:ascii="仿宋" w:hAnsi="仿宋" w:eastAsia="仿宋" w:cs="仿宋"/>
          <w:sz w:val="24"/>
          <w:highlight w:val="none"/>
        </w:rPr>
        <w:t>供应商（公章）：</w:t>
      </w:r>
      <w:r>
        <w:rPr>
          <w:rFonts w:hint="eastAsia" w:ascii="仿宋" w:hAnsi="仿宋" w:eastAsia="仿宋" w:cs="仿宋"/>
          <w:sz w:val="24"/>
          <w:highlight w:val="none"/>
          <w:u w:val="single"/>
        </w:rPr>
        <w:t xml:space="preserve">               </w:t>
      </w:r>
    </w:p>
    <w:p w14:paraId="73249762">
      <w:pPr>
        <w:shd w:val="clear"/>
        <w:spacing w:line="360" w:lineRule="auto"/>
        <w:ind w:firstLine="480" w:firstLineChars="200"/>
        <w:contextualSpacing/>
        <w:jc w:val="center"/>
        <w:rPr>
          <w:rFonts w:hint="eastAsia"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DD070BA">
      <w:pPr>
        <w:shd w:val="clear"/>
        <w:jc w:val="center"/>
        <w:rPr>
          <w:rFonts w:hint="eastAsia" w:ascii="仿宋" w:hAnsi="仿宋" w:eastAsia="仿宋" w:cs="仿宋"/>
          <w:b/>
          <w:bCs/>
          <w:sz w:val="32"/>
          <w:szCs w:val="32"/>
          <w:highlight w:val="none"/>
        </w:rPr>
      </w:pPr>
      <w:r>
        <w:rPr>
          <w:rFonts w:hint="eastAsia" w:ascii="仿宋" w:hAnsi="仿宋" w:eastAsia="仿宋" w:cs="仿宋"/>
          <w:bCs/>
          <w:sz w:val="44"/>
          <w:szCs w:val="44"/>
          <w:highlight w:val="none"/>
        </w:rPr>
        <w:br w:type="page"/>
      </w:r>
      <w:r>
        <w:rPr>
          <w:rFonts w:hint="eastAsia" w:ascii="仿宋" w:hAnsi="仿宋" w:eastAsia="仿宋" w:cs="仿宋"/>
          <w:b/>
          <w:bCs/>
          <w:sz w:val="44"/>
          <w:szCs w:val="44"/>
          <w:highlight w:val="none"/>
        </w:rPr>
        <w:t>竞争性磋商报价表</w:t>
      </w:r>
    </w:p>
    <w:p w14:paraId="20817F97">
      <w:pPr>
        <w:shd w:val="clear"/>
        <w:spacing w:line="440" w:lineRule="exact"/>
        <w:jc w:val="center"/>
        <w:rPr>
          <w:rFonts w:hint="eastAsia" w:ascii="仿宋" w:hAnsi="仿宋" w:eastAsia="仿宋" w:cs="仿宋"/>
          <w:bCs/>
          <w:sz w:val="32"/>
          <w:szCs w:val="32"/>
          <w:highlight w:val="none"/>
        </w:rPr>
      </w:pPr>
    </w:p>
    <w:p w14:paraId="23088C8A">
      <w:pPr>
        <w:shd w:val="clea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项目名称：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1A0444F4">
      <w:pPr>
        <w:shd w:val="clear"/>
        <w:spacing w:line="360" w:lineRule="auto"/>
        <w:contextualSpacing/>
        <w:rPr>
          <w:rFonts w:hint="eastAsia" w:ascii="仿宋" w:hAnsi="仿宋" w:eastAsia="仿宋" w:cs="仿宋"/>
          <w:sz w:val="24"/>
          <w:highlight w:val="none"/>
          <w:u w:val="single"/>
        </w:rPr>
      </w:pPr>
      <w:r>
        <w:rPr>
          <w:rFonts w:hint="eastAsia" w:ascii="仿宋" w:hAnsi="仿宋" w:eastAsia="仿宋" w:cs="仿宋"/>
          <w:sz w:val="24"/>
          <w:highlight w:val="none"/>
        </w:rPr>
        <w:t>分标（如有）：</w:t>
      </w:r>
      <w:r>
        <w:rPr>
          <w:rFonts w:hint="eastAsia" w:ascii="仿宋" w:hAnsi="仿宋" w:eastAsia="仿宋" w:cs="仿宋"/>
          <w:sz w:val="24"/>
          <w:highlight w:val="none"/>
          <w:u w:val="single"/>
        </w:rPr>
        <w:t xml:space="preserve">                                         </w:t>
      </w:r>
    </w:p>
    <w:p w14:paraId="30D60EAC">
      <w:pPr>
        <w:shd w:val="clea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1EFDA1A5">
      <w:pPr>
        <w:shd w:val="clea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 xml:space="preserve">                                                    货币单位：人民币元</w:t>
      </w:r>
    </w:p>
    <w:tbl>
      <w:tblPr>
        <w:tblStyle w:val="29"/>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97"/>
        <w:gridCol w:w="2567"/>
        <w:gridCol w:w="903"/>
        <w:gridCol w:w="796"/>
        <w:gridCol w:w="2384"/>
        <w:gridCol w:w="1290"/>
      </w:tblGrid>
      <w:tr w14:paraId="6CCD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63F8C03">
            <w:pPr>
              <w:shd w:val="clea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184" w:type="dxa"/>
            <w:tcBorders>
              <w:top w:val="single" w:color="auto" w:sz="4" w:space="0"/>
              <w:left w:val="single" w:color="auto" w:sz="4" w:space="0"/>
              <w:bottom w:val="single" w:color="auto" w:sz="4" w:space="0"/>
              <w:right w:val="single" w:color="auto" w:sz="4" w:space="0"/>
            </w:tcBorders>
            <w:vAlign w:val="center"/>
          </w:tcPr>
          <w:p w14:paraId="26AA1F1D">
            <w:pPr>
              <w:shd w:val="clear"/>
              <w:jc w:val="center"/>
              <w:rPr>
                <w:rFonts w:hint="eastAsia" w:ascii="仿宋" w:hAnsi="仿宋" w:eastAsia="仿宋" w:cs="仿宋"/>
                <w:sz w:val="24"/>
                <w:highlight w:val="none"/>
              </w:rPr>
            </w:pPr>
            <w:r>
              <w:rPr>
                <w:rFonts w:hint="eastAsia" w:ascii="仿宋" w:hAnsi="仿宋" w:eastAsia="仿宋" w:cs="仿宋"/>
                <w:sz w:val="24"/>
                <w:highlight w:val="none"/>
              </w:rPr>
              <w:t>服务名称</w:t>
            </w:r>
          </w:p>
        </w:tc>
        <w:tc>
          <w:tcPr>
            <w:tcW w:w="2344" w:type="dxa"/>
            <w:tcBorders>
              <w:top w:val="single" w:color="auto" w:sz="4" w:space="0"/>
              <w:left w:val="single" w:color="auto" w:sz="4" w:space="0"/>
              <w:bottom w:val="single" w:color="auto" w:sz="4" w:space="0"/>
              <w:right w:val="single" w:color="auto" w:sz="4" w:space="0"/>
            </w:tcBorders>
            <w:vAlign w:val="center"/>
          </w:tcPr>
          <w:p w14:paraId="6502A504">
            <w:pPr>
              <w:shd w:val="clear"/>
              <w:jc w:val="center"/>
              <w:rPr>
                <w:rFonts w:hint="eastAsia" w:ascii="仿宋" w:hAnsi="仿宋" w:eastAsia="仿宋" w:cs="仿宋"/>
                <w:sz w:val="24"/>
                <w:highlight w:val="none"/>
              </w:rPr>
            </w:pPr>
            <w:r>
              <w:rPr>
                <w:rFonts w:hint="eastAsia" w:ascii="仿宋" w:hAnsi="仿宋" w:eastAsia="仿宋" w:cs="仿宋"/>
                <w:sz w:val="24"/>
                <w:highlight w:val="none"/>
              </w:rPr>
              <w:t>服务要求</w:t>
            </w:r>
          </w:p>
        </w:tc>
        <w:tc>
          <w:tcPr>
            <w:tcW w:w="825" w:type="dxa"/>
            <w:tcBorders>
              <w:top w:val="single" w:color="auto" w:sz="4" w:space="0"/>
              <w:left w:val="single" w:color="auto" w:sz="4" w:space="0"/>
              <w:bottom w:val="single" w:color="auto" w:sz="4" w:space="0"/>
              <w:right w:val="single" w:color="auto" w:sz="4" w:space="0"/>
            </w:tcBorders>
            <w:vAlign w:val="center"/>
          </w:tcPr>
          <w:p w14:paraId="78E5D1CD">
            <w:pPr>
              <w:shd w:val="clear"/>
              <w:jc w:val="center"/>
              <w:rPr>
                <w:rFonts w:hint="eastAsia" w:ascii="仿宋" w:hAnsi="仿宋" w:eastAsia="仿宋" w:cs="仿宋"/>
                <w:sz w:val="24"/>
                <w:highlight w:val="none"/>
              </w:rPr>
            </w:pPr>
            <w:r>
              <w:rPr>
                <w:rFonts w:hint="eastAsia" w:ascii="仿宋" w:hAnsi="仿宋" w:eastAsia="仿宋" w:cs="仿宋"/>
                <w:sz w:val="24"/>
                <w:highlight w:val="none"/>
              </w:rPr>
              <w:t>数量</w:t>
            </w:r>
          </w:p>
        </w:tc>
        <w:tc>
          <w:tcPr>
            <w:tcW w:w="727" w:type="dxa"/>
            <w:tcBorders>
              <w:top w:val="single" w:color="auto" w:sz="4" w:space="0"/>
              <w:left w:val="single" w:color="auto" w:sz="4" w:space="0"/>
              <w:bottom w:val="single" w:color="auto" w:sz="4" w:space="0"/>
              <w:right w:val="single" w:color="auto" w:sz="4" w:space="0"/>
            </w:tcBorders>
            <w:vAlign w:val="center"/>
          </w:tcPr>
          <w:p w14:paraId="5A273278">
            <w:pPr>
              <w:shd w:val="clear"/>
              <w:jc w:val="center"/>
              <w:rPr>
                <w:rFonts w:hint="eastAsia" w:ascii="仿宋" w:hAnsi="仿宋" w:eastAsia="仿宋" w:cs="仿宋"/>
                <w:sz w:val="24"/>
                <w:highlight w:val="none"/>
              </w:rPr>
            </w:pPr>
            <w:r>
              <w:rPr>
                <w:rFonts w:hint="eastAsia" w:ascii="仿宋" w:hAnsi="仿宋" w:eastAsia="仿宋" w:cs="仿宋"/>
                <w:sz w:val="24"/>
                <w:highlight w:val="none"/>
              </w:rPr>
              <w:t>单位</w:t>
            </w:r>
          </w:p>
        </w:tc>
        <w:tc>
          <w:tcPr>
            <w:tcW w:w="2177" w:type="dxa"/>
            <w:tcBorders>
              <w:top w:val="single" w:color="auto" w:sz="4" w:space="0"/>
              <w:left w:val="single" w:color="auto" w:sz="4" w:space="0"/>
              <w:bottom w:val="single" w:color="auto" w:sz="4" w:space="0"/>
              <w:right w:val="single" w:color="auto" w:sz="4" w:space="0"/>
            </w:tcBorders>
            <w:vAlign w:val="center"/>
          </w:tcPr>
          <w:p w14:paraId="6A4866CF">
            <w:pPr>
              <w:shd w:val="clear"/>
              <w:jc w:val="center"/>
              <w:rPr>
                <w:rFonts w:hint="eastAsia" w:ascii="仿宋" w:hAnsi="仿宋" w:eastAsia="仿宋" w:cs="仿宋"/>
                <w:sz w:val="24"/>
                <w:highlight w:val="none"/>
              </w:rPr>
            </w:pPr>
            <w:r>
              <w:rPr>
                <w:rFonts w:hint="eastAsia" w:ascii="仿宋" w:hAnsi="仿宋" w:eastAsia="仿宋" w:cs="仿宋"/>
                <w:sz w:val="24"/>
                <w:highlight w:val="none"/>
              </w:rPr>
              <w:t>报价下浮系数（%）</w:t>
            </w:r>
          </w:p>
        </w:tc>
        <w:tc>
          <w:tcPr>
            <w:tcW w:w="1178" w:type="dxa"/>
            <w:tcBorders>
              <w:top w:val="single" w:color="auto" w:sz="4" w:space="0"/>
              <w:left w:val="single" w:color="auto" w:sz="4" w:space="0"/>
              <w:bottom w:val="single" w:color="auto" w:sz="4" w:space="0"/>
              <w:right w:val="single" w:color="auto" w:sz="4" w:space="0"/>
            </w:tcBorders>
            <w:vAlign w:val="center"/>
          </w:tcPr>
          <w:p w14:paraId="76A9B4F8">
            <w:pPr>
              <w:shd w:val="clear"/>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5270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14:paraId="4BC25BF1">
            <w:pPr>
              <w:shd w:val="clear"/>
              <w:spacing w:line="360" w:lineRule="auto"/>
              <w:jc w:val="center"/>
              <w:rPr>
                <w:rFonts w:hint="eastAsia" w:ascii="仿宋" w:hAnsi="仿宋" w:eastAsia="仿宋" w:cs="仿宋"/>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2914F8F6">
            <w:pPr>
              <w:shd w:val="clear"/>
              <w:spacing w:line="360" w:lineRule="auto"/>
              <w:jc w:val="center"/>
              <w:rPr>
                <w:rFonts w:hint="eastAsia" w:ascii="仿宋" w:hAnsi="仿宋" w:eastAsia="仿宋" w:cs="仿宋"/>
                <w:sz w:val="24"/>
                <w:highlight w:val="none"/>
              </w:rPr>
            </w:pPr>
          </w:p>
        </w:tc>
        <w:tc>
          <w:tcPr>
            <w:tcW w:w="2344" w:type="dxa"/>
            <w:tcBorders>
              <w:top w:val="single" w:color="auto" w:sz="4" w:space="0"/>
              <w:left w:val="single" w:color="auto" w:sz="4" w:space="0"/>
              <w:bottom w:val="single" w:color="auto" w:sz="4" w:space="0"/>
              <w:right w:val="single" w:color="auto" w:sz="4" w:space="0"/>
            </w:tcBorders>
            <w:vAlign w:val="center"/>
          </w:tcPr>
          <w:p w14:paraId="3AAF150D">
            <w:pPr>
              <w:shd w:val="clear"/>
              <w:spacing w:line="360" w:lineRule="auto"/>
              <w:jc w:val="center"/>
              <w:rPr>
                <w:rFonts w:hint="eastAsia" w:ascii="仿宋" w:hAnsi="仿宋" w:eastAsia="仿宋" w:cs="仿宋"/>
                <w:sz w:val="24"/>
                <w:highlight w:val="none"/>
              </w:rPr>
            </w:pPr>
          </w:p>
        </w:tc>
        <w:tc>
          <w:tcPr>
            <w:tcW w:w="825" w:type="dxa"/>
            <w:tcBorders>
              <w:top w:val="single" w:color="auto" w:sz="4" w:space="0"/>
              <w:left w:val="single" w:color="auto" w:sz="4" w:space="0"/>
              <w:bottom w:val="single" w:color="auto" w:sz="4" w:space="0"/>
              <w:right w:val="single" w:color="auto" w:sz="4" w:space="0"/>
            </w:tcBorders>
            <w:vAlign w:val="center"/>
          </w:tcPr>
          <w:p w14:paraId="1E8B6763">
            <w:pPr>
              <w:shd w:val="clear"/>
              <w:spacing w:line="360" w:lineRule="auto"/>
              <w:jc w:val="center"/>
              <w:rPr>
                <w:rFonts w:hint="eastAsia" w:ascii="仿宋" w:hAnsi="仿宋" w:eastAsia="仿宋" w:cs="仿宋"/>
                <w:sz w:val="24"/>
                <w:highlight w:val="none"/>
              </w:rPr>
            </w:pPr>
          </w:p>
        </w:tc>
        <w:tc>
          <w:tcPr>
            <w:tcW w:w="727" w:type="dxa"/>
            <w:tcBorders>
              <w:top w:val="single" w:color="auto" w:sz="4" w:space="0"/>
              <w:left w:val="single" w:color="auto" w:sz="4" w:space="0"/>
              <w:bottom w:val="single" w:color="auto" w:sz="4" w:space="0"/>
              <w:right w:val="single" w:color="auto" w:sz="4" w:space="0"/>
            </w:tcBorders>
            <w:vAlign w:val="center"/>
          </w:tcPr>
          <w:p w14:paraId="114E1B17">
            <w:pPr>
              <w:shd w:val="clear"/>
              <w:spacing w:line="360" w:lineRule="auto"/>
              <w:jc w:val="center"/>
              <w:rPr>
                <w:rFonts w:hint="eastAsia" w:ascii="仿宋" w:hAnsi="仿宋" w:eastAsia="仿宋" w:cs="仿宋"/>
                <w:sz w:val="24"/>
                <w:highlight w:val="none"/>
              </w:rPr>
            </w:pPr>
          </w:p>
        </w:tc>
        <w:tc>
          <w:tcPr>
            <w:tcW w:w="2177" w:type="dxa"/>
            <w:tcBorders>
              <w:top w:val="single" w:color="auto" w:sz="4" w:space="0"/>
              <w:left w:val="single" w:color="auto" w:sz="4" w:space="0"/>
              <w:bottom w:val="single" w:color="auto" w:sz="4" w:space="0"/>
              <w:right w:val="single" w:color="auto" w:sz="4" w:space="0"/>
            </w:tcBorders>
            <w:vAlign w:val="center"/>
          </w:tcPr>
          <w:p w14:paraId="4FB1CD28">
            <w:pPr>
              <w:shd w:val="clear"/>
              <w:spacing w:line="360" w:lineRule="auto"/>
              <w:jc w:val="center"/>
              <w:rPr>
                <w:rFonts w:hint="eastAsia" w:ascii="仿宋" w:hAnsi="仿宋" w:eastAsia="仿宋" w:cs="仿宋"/>
                <w:sz w:val="24"/>
                <w:highlight w:val="none"/>
              </w:rPr>
            </w:pPr>
          </w:p>
        </w:tc>
        <w:tc>
          <w:tcPr>
            <w:tcW w:w="1178" w:type="dxa"/>
            <w:tcBorders>
              <w:top w:val="single" w:color="auto" w:sz="4" w:space="0"/>
              <w:left w:val="single" w:color="auto" w:sz="4" w:space="0"/>
              <w:bottom w:val="single" w:color="auto" w:sz="4" w:space="0"/>
              <w:right w:val="single" w:color="auto" w:sz="4" w:space="0"/>
            </w:tcBorders>
            <w:vAlign w:val="center"/>
          </w:tcPr>
          <w:p w14:paraId="26B7A94D">
            <w:pPr>
              <w:shd w:val="clear"/>
              <w:spacing w:line="360" w:lineRule="auto"/>
              <w:jc w:val="center"/>
              <w:rPr>
                <w:rFonts w:hint="eastAsia" w:ascii="仿宋" w:hAnsi="仿宋" w:eastAsia="仿宋" w:cs="仿宋"/>
                <w:sz w:val="24"/>
                <w:highlight w:val="none"/>
              </w:rPr>
            </w:pPr>
          </w:p>
        </w:tc>
      </w:tr>
      <w:tr w14:paraId="1AEB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9137" w:type="dxa"/>
            <w:gridSpan w:val="7"/>
            <w:tcBorders>
              <w:top w:val="single" w:color="auto" w:sz="4" w:space="0"/>
              <w:left w:val="single" w:color="auto" w:sz="4" w:space="0"/>
              <w:bottom w:val="single" w:color="auto" w:sz="4" w:space="0"/>
              <w:right w:val="single" w:color="auto" w:sz="4" w:space="0"/>
            </w:tcBorders>
            <w:vAlign w:val="center"/>
          </w:tcPr>
          <w:p w14:paraId="538F8550">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结算方式：</w:t>
            </w:r>
          </w:p>
          <w:p w14:paraId="51A18C49">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（1）收费标准：按《广西壮族自治区工程建设其他费用定额》（桂建标〔2018〕37号）并考虑专业调整系数取1.0，工程复杂程度调整系数取1.15，附加调整系数取0.5。</w:t>
            </w:r>
          </w:p>
          <w:p w14:paraId="7A28A75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2）设计费结算金额按以下计算：按财政评审审定的或审计部门审定的招标控制价作为基数，按收费标准计算基准价进行计算，即设计费结算金额=基准价×（1-中标下浮系数）。若财政审定的设计费低于设计费结算金额的，按财政审定的设计费金额进行结算。</w:t>
            </w:r>
          </w:p>
        </w:tc>
      </w:tr>
    </w:tbl>
    <w:p w14:paraId="1F8720B5">
      <w:pPr>
        <w:shd w:val="clear"/>
        <w:spacing w:line="360" w:lineRule="auto"/>
        <w:contextualSpacing/>
        <w:jc w:val="left"/>
        <w:rPr>
          <w:rFonts w:hint="eastAsia" w:ascii="仿宋" w:hAnsi="仿宋" w:eastAsia="仿宋" w:cs="仿宋"/>
          <w:sz w:val="24"/>
          <w:highlight w:val="none"/>
        </w:rPr>
      </w:pPr>
    </w:p>
    <w:p w14:paraId="03710D16">
      <w:pPr>
        <w:shd w:val="clear"/>
        <w:spacing w:line="360" w:lineRule="auto"/>
        <w:contextualSpacing/>
        <w:jc w:val="left"/>
        <w:rPr>
          <w:rFonts w:hint="eastAsia" w:ascii="仿宋" w:hAnsi="仿宋" w:eastAsia="仿宋" w:cs="仿宋"/>
          <w:sz w:val="24"/>
          <w:highlight w:val="none"/>
        </w:rPr>
      </w:pPr>
      <w:r>
        <w:rPr>
          <w:rFonts w:hint="eastAsia" w:ascii="仿宋" w:hAnsi="仿宋" w:eastAsia="仿宋" w:cs="仿宋"/>
          <w:sz w:val="24"/>
          <w:highlight w:val="none"/>
        </w:rPr>
        <w:t xml:space="preserve">注: </w:t>
      </w:r>
    </w:p>
    <w:p w14:paraId="230FBF37">
      <w:pPr>
        <w:shd w:val="clear"/>
        <w:spacing w:line="360" w:lineRule="auto"/>
        <w:ind w:firstLine="480" w:firstLineChars="200"/>
        <w:contextualSpacing/>
        <w:jc w:val="left"/>
        <w:rPr>
          <w:rFonts w:hint="eastAsia" w:ascii="仿宋" w:hAnsi="仿宋" w:eastAsia="仿宋" w:cs="仿宋"/>
          <w:sz w:val="24"/>
          <w:highlight w:val="none"/>
        </w:rPr>
      </w:pPr>
      <w:r>
        <w:rPr>
          <w:rFonts w:hint="eastAsia" w:ascii="仿宋" w:hAnsi="仿宋" w:eastAsia="仿宋" w:cs="仿宋"/>
          <w:sz w:val="24"/>
          <w:highlight w:val="none"/>
        </w:rPr>
        <w:t>1.供应商的报价表必须加盖供应商公章并由法定代表人或者委托代理人签字，</w:t>
      </w:r>
      <w:r>
        <w:rPr>
          <w:rFonts w:hint="eastAsia" w:ascii="仿宋" w:hAnsi="仿宋" w:eastAsia="仿宋" w:cs="仿宋"/>
          <w:b/>
          <w:sz w:val="24"/>
          <w:highlight w:val="none"/>
        </w:rPr>
        <w:t>否则其响应文件按无效响应处理</w:t>
      </w:r>
      <w:r>
        <w:rPr>
          <w:rFonts w:hint="eastAsia" w:ascii="仿宋" w:hAnsi="仿宋" w:eastAsia="仿宋" w:cs="仿宋"/>
          <w:sz w:val="24"/>
          <w:highlight w:val="none"/>
        </w:rPr>
        <w:t>。</w:t>
      </w:r>
    </w:p>
    <w:p w14:paraId="2E2759A1">
      <w:pPr>
        <w:shd w:val="clear"/>
        <w:spacing w:line="360" w:lineRule="auto"/>
        <w:ind w:firstLine="480" w:firstLineChars="200"/>
        <w:contextualSpacing/>
        <w:jc w:val="left"/>
        <w:rPr>
          <w:rFonts w:hint="eastAsia" w:ascii="仿宋" w:hAnsi="仿宋" w:eastAsia="仿宋" w:cs="仿宋"/>
          <w:b/>
          <w:sz w:val="24"/>
          <w:highlight w:val="none"/>
        </w:rPr>
      </w:pPr>
      <w:r>
        <w:rPr>
          <w:rFonts w:hint="eastAsia" w:ascii="仿宋" w:hAnsi="仿宋" w:eastAsia="仿宋" w:cs="仿宋"/>
          <w:bCs/>
          <w:sz w:val="24"/>
          <w:highlight w:val="none"/>
        </w:rPr>
        <w:t>2.</w:t>
      </w:r>
      <w:r>
        <w:rPr>
          <w:rFonts w:hint="eastAsia" w:ascii="仿宋" w:hAnsi="仿宋" w:eastAsia="仿宋" w:cs="仿宋"/>
          <w:sz w:val="24"/>
          <w:highlight w:val="none"/>
        </w:rPr>
        <w:t>报价一经涂改，应在涂改处加盖供应商公章或者由法定代表人或者委托代理人签字或者盖章</w:t>
      </w:r>
      <w:r>
        <w:rPr>
          <w:rFonts w:hint="eastAsia" w:ascii="仿宋" w:hAnsi="仿宋" w:eastAsia="仿宋" w:cs="仿宋"/>
          <w:b/>
          <w:sz w:val="24"/>
          <w:highlight w:val="none"/>
        </w:rPr>
        <w:t>，否则其响应文件按无效响应处理。</w:t>
      </w:r>
    </w:p>
    <w:p w14:paraId="36A63541">
      <w:pPr>
        <w:shd w:val="clear"/>
        <w:spacing w:line="360" w:lineRule="auto"/>
        <w:ind w:firstLine="480" w:firstLineChars="200"/>
        <w:contextualSpacing/>
        <w:jc w:val="left"/>
        <w:rPr>
          <w:rFonts w:hint="eastAsia" w:ascii="仿宋" w:hAnsi="仿宋" w:eastAsia="仿宋" w:cs="仿宋"/>
          <w:sz w:val="24"/>
          <w:highlight w:val="none"/>
        </w:rPr>
      </w:pPr>
      <w:r>
        <w:rPr>
          <w:rFonts w:hint="eastAsia" w:ascii="仿宋" w:hAnsi="仿宋" w:eastAsia="仿宋" w:cs="仿宋"/>
          <w:sz w:val="24"/>
          <w:highlight w:val="none"/>
        </w:rPr>
        <w:t>3.如为联合体参与竞争性磋商，“供应商名称”处必须列明联合体各方名称，标注联合体牵头人名称，</w:t>
      </w:r>
      <w:r>
        <w:rPr>
          <w:rFonts w:hint="eastAsia" w:ascii="仿宋" w:hAnsi="仿宋" w:eastAsia="仿宋" w:cs="仿宋"/>
          <w:b/>
          <w:sz w:val="24"/>
          <w:highlight w:val="none"/>
        </w:rPr>
        <w:t>否则其响应文件按无效响应处理。（采购人可根据项目情况自行修改是否需要联合体各方签字盖章）。</w:t>
      </w:r>
    </w:p>
    <w:p w14:paraId="2155C832">
      <w:pPr>
        <w:shd w:val="clear"/>
        <w:spacing w:line="360" w:lineRule="auto"/>
        <w:ind w:firstLine="480" w:firstLineChars="200"/>
        <w:contextualSpacing/>
        <w:jc w:val="left"/>
        <w:rPr>
          <w:rFonts w:hint="eastAsia" w:ascii="仿宋" w:hAnsi="仿宋" w:eastAsia="仿宋" w:cs="仿宋"/>
          <w:sz w:val="24"/>
          <w:highlight w:val="none"/>
        </w:rPr>
      </w:pPr>
      <w:r>
        <w:rPr>
          <w:rFonts w:hint="eastAsia" w:ascii="仿宋" w:hAnsi="仿宋" w:eastAsia="仿宋" w:cs="仿宋"/>
          <w:sz w:val="24"/>
          <w:highlight w:val="none"/>
        </w:rPr>
        <w:t>4.如为联合体参与竞争性磋商，盖章处须加盖联合体各方公章，</w:t>
      </w:r>
      <w:bookmarkStart w:id="42" w:name="_Hlk65851776"/>
      <w:r>
        <w:rPr>
          <w:rFonts w:hint="eastAsia" w:ascii="仿宋" w:hAnsi="仿宋" w:eastAsia="仿宋" w:cs="仿宋"/>
          <w:b/>
          <w:sz w:val="24"/>
          <w:highlight w:val="none"/>
        </w:rPr>
        <w:t>否则其响应文件按无效响应处理。</w:t>
      </w:r>
      <w:bookmarkEnd w:id="42"/>
      <w:r>
        <w:rPr>
          <w:rFonts w:hint="eastAsia" w:ascii="仿宋" w:hAnsi="仿宋" w:eastAsia="仿宋" w:cs="仿宋"/>
          <w:b/>
          <w:sz w:val="24"/>
          <w:highlight w:val="none"/>
        </w:rPr>
        <w:t>（采购人可根据项目情况自行修改是否需要联合体各方签字盖章）。</w:t>
      </w:r>
    </w:p>
    <w:p w14:paraId="72EDE7E0">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5.</w:t>
      </w:r>
      <w:r>
        <w:rPr>
          <w:rFonts w:hint="eastAsia" w:ascii="仿宋" w:hAnsi="仿宋" w:eastAsia="仿宋" w:cs="仿宋"/>
          <w:spacing w:val="-6"/>
          <w:sz w:val="24"/>
          <w:highlight w:val="none"/>
        </w:rPr>
        <w:t>如有多分标，分别列明各分标的报价表，</w:t>
      </w:r>
      <w:r>
        <w:rPr>
          <w:rFonts w:hint="eastAsia" w:ascii="仿宋" w:hAnsi="仿宋" w:eastAsia="仿宋" w:cs="仿宋"/>
          <w:b/>
          <w:spacing w:val="-6"/>
          <w:sz w:val="24"/>
          <w:highlight w:val="none"/>
        </w:rPr>
        <w:t>否则其响应文件按无效响应处理。</w:t>
      </w:r>
    </w:p>
    <w:p w14:paraId="2BE561AE">
      <w:pPr>
        <w:shd w:val="clear"/>
        <w:spacing w:line="360" w:lineRule="auto"/>
        <w:ind w:right="-817" w:rightChars="-389"/>
        <w:contextualSpacing/>
        <w:rPr>
          <w:rFonts w:hint="eastAsia" w:ascii="仿宋" w:hAnsi="仿宋" w:eastAsia="仿宋" w:cs="仿宋"/>
          <w:sz w:val="24"/>
          <w:highlight w:val="none"/>
        </w:rPr>
      </w:pPr>
    </w:p>
    <w:p w14:paraId="19E119DE">
      <w:pPr>
        <w:shd w:val="clear"/>
        <w:spacing w:line="360" w:lineRule="auto"/>
        <w:ind w:right="-817" w:rightChars="-389" w:firstLine="2640" w:firstLineChars="1100"/>
        <w:contextualSpacing/>
        <w:rPr>
          <w:rFonts w:hint="eastAsia" w:ascii="仿宋" w:hAnsi="仿宋" w:eastAsia="仿宋" w:cs="仿宋"/>
          <w:sz w:val="24"/>
          <w:highlight w:val="none"/>
        </w:rPr>
      </w:pPr>
      <w:r>
        <w:rPr>
          <w:rFonts w:hint="eastAsia" w:ascii="仿宋" w:hAnsi="仿宋" w:eastAsia="仿宋" w:cs="仿宋"/>
          <w:sz w:val="24"/>
          <w:highlight w:val="none"/>
        </w:rPr>
        <w:t>法定代表人或者委托代理人（签字）：</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6BAA2254">
      <w:pPr>
        <w:shd w:val="clear"/>
        <w:spacing w:line="360" w:lineRule="auto"/>
        <w:ind w:right="-817" w:rightChars="-389" w:firstLine="2640" w:firstLineChars="1100"/>
        <w:contextualSpacing/>
        <w:rPr>
          <w:rFonts w:hint="eastAsia" w:ascii="仿宋" w:hAnsi="仿宋" w:eastAsia="仿宋" w:cs="仿宋"/>
          <w:sz w:val="24"/>
          <w:highlight w:val="none"/>
        </w:rPr>
      </w:pPr>
      <w:r>
        <w:rPr>
          <w:rFonts w:hint="eastAsia" w:ascii="仿宋" w:hAnsi="仿宋" w:eastAsia="仿宋" w:cs="仿宋"/>
          <w:sz w:val="24"/>
          <w:highlight w:val="none"/>
        </w:rPr>
        <w:t>供应商（公章）：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78F3D1B2">
      <w:pPr>
        <w:shd w:val="clear"/>
        <w:spacing w:line="360" w:lineRule="auto"/>
        <w:ind w:right="-817" w:rightChars="-389" w:firstLine="4080" w:firstLineChars="1700"/>
        <w:contextualSpacing/>
        <w:rPr>
          <w:rFonts w:hint="eastAsia" w:ascii="仿宋" w:hAnsi="仿宋" w:eastAsia="仿宋" w:cs="仿宋"/>
          <w:b/>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CC08A22">
      <w:pPr>
        <w:shd w:val="clear"/>
        <w:jc w:val="center"/>
        <w:rPr>
          <w:rFonts w:hint="eastAsia" w:ascii="仿宋" w:hAnsi="仿宋" w:eastAsia="仿宋" w:cs="仿宋"/>
          <w:b/>
          <w:bCs/>
          <w:sz w:val="44"/>
          <w:szCs w:val="44"/>
          <w:highlight w:val="none"/>
        </w:rPr>
      </w:pPr>
      <w:r>
        <w:rPr>
          <w:rFonts w:hint="eastAsia" w:ascii="仿宋" w:hAnsi="仿宋" w:eastAsia="仿宋" w:cs="仿宋"/>
          <w:b/>
          <w:sz w:val="32"/>
          <w:szCs w:val="32"/>
          <w:highlight w:val="none"/>
        </w:rPr>
        <w:br w:type="page"/>
      </w:r>
      <w:bookmarkStart w:id="43" w:name="_Toc71365926"/>
      <w:r>
        <w:rPr>
          <w:rFonts w:hint="eastAsia" w:ascii="仿宋" w:hAnsi="仿宋" w:eastAsia="仿宋" w:cs="仿宋"/>
          <w:b/>
          <w:bCs/>
          <w:sz w:val="44"/>
          <w:szCs w:val="44"/>
          <w:highlight w:val="none"/>
        </w:rPr>
        <w:t>中小企业声明函（服务）</w:t>
      </w:r>
      <w:bookmarkEnd w:id="43"/>
    </w:p>
    <w:p w14:paraId="4180068E">
      <w:pPr>
        <w:shd w:val="clear"/>
        <w:spacing w:before="2" w:line="500" w:lineRule="exact"/>
        <w:ind w:firstLine="708" w:firstLineChars="294"/>
        <w:rPr>
          <w:rFonts w:hint="eastAsia" w:ascii="仿宋" w:hAnsi="仿宋" w:eastAsia="仿宋" w:cs="仿宋"/>
          <w:b/>
          <w:bCs/>
          <w:sz w:val="24"/>
          <w:highlight w:val="none"/>
        </w:rPr>
      </w:pPr>
    </w:p>
    <w:p w14:paraId="67884502">
      <w:pPr>
        <w:pStyle w:val="13"/>
        <w:shd w:val="clear"/>
        <w:spacing w:line="500" w:lineRule="exact"/>
        <w:ind w:right="142" w:firstLine="705" w:firstLineChars="294"/>
        <w:rPr>
          <w:rFonts w:hint="eastAsia" w:ascii="仿宋" w:hAnsi="仿宋" w:eastAsia="仿宋" w:cs="仿宋"/>
          <w:sz w:val="24"/>
          <w:highlight w:val="none"/>
        </w:rPr>
      </w:pPr>
      <w:r>
        <w:rPr>
          <w:rFonts w:hint="eastAsia" w:ascii="仿宋" w:hAnsi="仿宋" w:eastAsia="仿宋" w:cs="仿宋"/>
          <w:sz w:val="24"/>
          <w:highlight w:val="none"/>
        </w:rPr>
        <w:t>本公司（联合体）郑重声明，根据《政府采购促进中小企业发展管理办法》（财库﹝2020﹞46号）的规定，本公司（联合体）参加</w:t>
      </w:r>
      <w:r>
        <w:rPr>
          <w:rFonts w:hint="eastAsia" w:ascii="仿宋" w:hAnsi="仿宋" w:eastAsia="仿宋" w:cs="仿宋"/>
          <w:sz w:val="24"/>
          <w:highlight w:val="none"/>
          <w:u w:val="single"/>
        </w:rPr>
        <w:t>（单位名称）</w:t>
      </w:r>
      <w:r>
        <w:rPr>
          <w:rFonts w:hint="eastAsia" w:ascii="仿宋" w:hAnsi="仿宋" w:eastAsia="仿宋" w:cs="仿宋"/>
          <w:sz w:val="24"/>
          <w:highlight w:val="none"/>
        </w:rPr>
        <w:t>的</w:t>
      </w:r>
      <w:r>
        <w:rPr>
          <w:rFonts w:hint="eastAsia" w:ascii="仿宋" w:hAnsi="仿宋" w:eastAsia="仿宋" w:cs="仿宋"/>
          <w:sz w:val="24"/>
          <w:highlight w:val="none"/>
          <w:u w:val="single"/>
        </w:rPr>
        <w:t>（项目名称）</w:t>
      </w:r>
      <w:r>
        <w:rPr>
          <w:rFonts w:hint="eastAsia" w:ascii="仿宋" w:hAnsi="仿宋" w:eastAsia="仿宋" w:cs="仿宋"/>
          <w:sz w:val="24"/>
          <w:highlight w:val="none"/>
        </w:rPr>
        <w:t>采购活动，服务全部由符合政策要求的中小企业承接。相关企业（含联合体中的中小企业、签订分包意向协议的中小企业）的具体情况如下：</w:t>
      </w:r>
    </w:p>
    <w:p w14:paraId="71CC4C3E">
      <w:pPr>
        <w:shd w:val="clear"/>
        <w:tabs>
          <w:tab w:val="left" w:pos="1384"/>
          <w:tab w:val="left" w:pos="4562"/>
          <w:tab w:val="left" w:pos="6803"/>
        </w:tabs>
        <w:spacing w:before="13" w:line="500" w:lineRule="exact"/>
        <w:ind w:right="142" w:firstLine="772" w:firstLineChars="322"/>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；承接企业为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w:t>
      </w:r>
    </w:p>
    <w:p w14:paraId="4595E3A7">
      <w:pPr>
        <w:shd w:val="clear"/>
        <w:tabs>
          <w:tab w:val="left" w:pos="1065"/>
          <w:tab w:val="left" w:pos="4262"/>
          <w:tab w:val="left" w:pos="6477"/>
        </w:tabs>
        <w:spacing w:before="20" w:line="500" w:lineRule="exact"/>
        <w:ind w:right="84" w:firstLine="772" w:firstLineChars="322"/>
        <w:rPr>
          <w:rFonts w:hint="eastAsia" w:ascii="仿宋" w:hAnsi="仿宋" w:eastAsia="仿宋" w:cs="仿宋"/>
          <w:sz w:val="24"/>
          <w:highlight w:val="none"/>
          <w:u w:val="single"/>
        </w:rPr>
      </w:pPr>
      <w:r>
        <w:rPr>
          <w:rFonts w:hint="eastAsia" w:ascii="仿宋" w:hAnsi="仿宋" w:eastAsia="仿宋" w:cs="仿宋"/>
          <w:sz w:val="24"/>
          <w:highlight w:val="none"/>
        </w:rPr>
        <w:t>2.</w:t>
      </w:r>
      <w:r>
        <w:rPr>
          <w:rFonts w:hint="eastAsia" w:ascii="仿宋" w:hAnsi="仿宋" w:eastAsia="仿宋" w:cs="仿宋"/>
          <w:sz w:val="24"/>
          <w:highlight w:val="none"/>
          <w:u w:val="single"/>
        </w:rPr>
        <w:t>（标的名称）</w:t>
      </w:r>
      <w:r>
        <w:rPr>
          <w:rFonts w:hint="eastAsia" w:ascii="仿宋" w:hAnsi="仿宋" w:eastAsia="仿宋" w:cs="仿宋"/>
          <w:sz w:val="24"/>
          <w:highlight w:val="none"/>
        </w:rPr>
        <w:t>，属于</w:t>
      </w:r>
      <w:r>
        <w:rPr>
          <w:rFonts w:hint="eastAsia" w:ascii="仿宋" w:hAnsi="仿宋" w:eastAsia="仿宋" w:cs="仿宋"/>
          <w:sz w:val="24"/>
          <w:highlight w:val="none"/>
          <w:u w:val="single"/>
        </w:rPr>
        <w:t>（采购文件中明确的所属行业）</w:t>
      </w:r>
      <w:r>
        <w:rPr>
          <w:rFonts w:hint="eastAsia" w:ascii="仿宋" w:hAnsi="仿宋" w:eastAsia="仿宋" w:cs="仿宋"/>
          <w:sz w:val="24"/>
          <w:highlight w:val="none"/>
        </w:rPr>
        <w:t>；承接企业为</w:t>
      </w:r>
      <w:r>
        <w:rPr>
          <w:rFonts w:hint="eastAsia" w:ascii="仿宋" w:hAnsi="仿宋" w:eastAsia="仿宋" w:cs="仿宋"/>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sz w:val="24"/>
          <w:highlight w:val="none"/>
          <w:u w:val="single"/>
        </w:rPr>
        <w:t>（中型企业、小型企业、微型企业）</w:t>
      </w:r>
      <w:r>
        <w:rPr>
          <w:rFonts w:hint="eastAsia" w:ascii="仿宋" w:hAnsi="仿宋" w:eastAsia="仿宋" w:cs="仿宋"/>
          <w:sz w:val="24"/>
          <w:highlight w:val="none"/>
        </w:rPr>
        <w:t>；</w:t>
      </w:r>
    </w:p>
    <w:p w14:paraId="224B64B2">
      <w:pPr>
        <w:pStyle w:val="13"/>
        <w:shd w:val="clear"/>
        <w:spacing w:before="34" w:line="500" w:lineRule="exact"/>
        <w:ind w:right="142" w:firstLine="705" w:firstLineChars="294"/>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162D123">
      <w:pPr>
        <w:pStyle w:val="13"/>
        <w:shd w:val="clear"/>
        <w:spacing w:before="34" w:line="500" w:lineRule="exact"/>
        <w:ind w:right="142" w:firstLine="705" w:firstLineChars="294"/>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14:paraId="06FE08B4">
      <w:pPr>
        <w:pStyle w:val="13"/>
        <w:shd w:val="clear"/>
        <w:spacing w:before="25" w:line="500" w:lineRule="exact"/>
        <w:ind w:right="142" w:firstLine="705" w:firstLineChars="294"/>
        <w:rPr>
          <w:rFonts w:hint="eastAsia" w:ascii="仿宋" w:hAnsi="仿宋" w:eastAsia="仿宋" w:cs="仿宋"/>
          <w:sz w:val="24"/>
          <w:highlight w:val="none"/>
        </w:rPr>
      </w:pPr>
      <w:r>
        <w:rPr>
          <w:rFonts w:hint="eastAsia" w:ascii="仿宋" w:hAnsi="仿宋" w:eastAsia="仿宋" w:cs="仿宋"/>
          <w:sz w:val="24"/>
          <w:highlight w:val="none"/>
        </w:rPr>
        <w:t>本企业对上述声明内容的真实性负责。如有虚假，将依法承担相应责任。</w:t>
      </w:r>
    </w:p>
    <w:p w14:paraId="5AA0A4D3">
      <w:pPr>
        <w:pStyle w:val="13"/>
        <w:shd w:val="clear"/>
        <w:spacing w:before="56" w:line="500" w:lineRule="exact"/>
        <w:ind w:right="1808" w:firstLine="705" w:firstLineChars="294"/>
        <w:rPr>
          <w:rFonts w:hint="eastAsia" w:ascii="仿宋" w:hAnsi="仿宋" w:eastAsia="仿宋" w:cs="仿宋"/>
          <w:sz w:val="24"/>
          <w:highlight w:val="none"/>
        </w:rPr>
      </w:pPr>
    </w:p>
    <w:p w14:paraId="5FE01EC6">
      <w:pPr>
        <w:pStyle w:val="13"/>
        <w:shd w:val="clear"/>
        <w:spacing w:before="56" w:line="500" w:lineRule="exact"/>
        <w:ind w:right="650" w:firstLine="2400" w:firstLineChars="1000"/>
        <w:rPr>
          <w:rFonts w:hint="eastAsia" w:ascii="仿宋" w:hAnsi="仿宋" w:eastAsia="仿宋" w:cs="仿宋"/>
          <w:sz w:val="24"/>
          <w:highlight w:val="none"/>
          <w:u w:val="single"/>
        </w:rPr>
      </w:pPr>
      <w:r>
        <w:rPr>
          <w:rFonts w:hint="eastAsia" w:ascii="仿宋" w:hAnsi="仿宋" w:eastAsia="仿宋" w:cs="仿宋"/>
          <w:sz w:val="24"/>
          <w:highlight w:val="none"/>
        </w:rPr>
        <w:t xml:space="preserve">企业名称（公章）： </w:t>
      </w:r>
      <w:r>
        <w:rPr>
          <w:rFonts w:hint="eastAsia" w:ascii="仿宋" w:hAnsi="仿宋" w:eastAsia="仿宋" w:cs="仿宋"/>
          <w:sz w:val="24"/>
          <w:highlight w:val="none"/>
          <w:u w:val="single"/>
        </w:rPr>
        <w:t xml:space="preserve">                    </w:t>
      </w:r>
    </w:p>
    <w:p w14:paraId="34096FE4">
      <w:pPr>
        <w:pStyle w:val="13"/>
        <w:shd w:val="clear"/>
        <w:spacing w:before="56" w:line="500" w:lineRule="exact"/>
        <w:ind w:right="1808" w:firstLine="2400" w:firstLineChars="1000"/>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9164F20">
      <w:pPr>
        <w:shd w:val="clear"/>
        <w:spacing w:line="520" w:lineRule="exact"/>
        <w:jc w:val="left"/>
        <w:rPr>
          <w:rFonts w:hint="eastAsia"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7E65B8A">
      <w:pPr>
        <w:shd w:val="clear"/>
        <w:spacing w:line="360" w:lineRule="auto"/>
        <w:rPr>
          <w:rFonts w:hint="eastAsia" w:ascii="仿宋" w:hAnsi="仿宋" w:eastAsia="仿宋" w:cs="仿宋"/>
          <w:szCs w:val="21"/>
          <w:highlight w:val="none"/>
        </w:rPr>
      </w:pPr>
    </w:p>
    <w:p w14:paraId="7B527999">
      <w:pPr>
        <w:shd w:val="clear"/>
        <w:jc w:val="center"/>
        <w:rPr>
          <w:rFonts w:hint="eastAsia" w:ascii="仿宋" w:hAnsi="仿宋" w:eastAsia="仿宋" w:cs="仿宋"/>
          <w:b/>
          <w:sz w:val="44"/>
          <w:szCs w:val="44"/>
          <w:highlight w:val="none"/>
        </w:rPr>
      </w:pPr>
      <w:r>
        <w:rPr>
          <w:rFonts w:hint="eastAsia" w:ascii="仿宋" w:hAnsi="仿宋" w:eastAsia="仿宋" w:cs="仿宋"/>
          <w:sz w:val="24"/>
          <w:highlight w:val="none"/>
        </w:rPr>
        <w:br w:type="page"/>
      </w:r>
      <w:r>
        <w:rPr>
          <w:rFonts w:hint="eastAsia" w:ascii="仿宋" w:hAnsi="仿宋" w:eastAsia="仿宋" w:cs="仿宋"/>
          <w:b/>
          <w:sz w:val="44"/>
          <w:szCs w:val="44"/>
          <w:highlight w:val="none"/>
        </w:rPr>
        <w:t>残疾人福利性单位声明函</w:t>
      </w:r>
    </w:p>
    <w:p w14:paraId="260FD2D4">
      <w:pPr>
        <w:shd w:val="clear"/>
        <w:spacing w:line="360" w:lineRule="auto"/>
        <w:contextualSpacing/>
        <w:rPr>
          <w:rFonts w:hint="eastAsia" w:ascii="仿宋" w:hAnsi="仿宋" w:eastAsia="仿宋" w:cs="仿宋"/>
          <w:sz w:val="32"/>
          <w:szCs w:val="32"/>
          <w:highlight w:val="none"/>
        </w:rPr>
      </w:pPr>
    </w:p>
    <w:p w14:paraId="4817C663">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单位的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项目采购活动提供本单位制造的货物（由本单位承担工程/提供服务），或者提供其他残疾人福利性单位制造的货物（不包括使用非残疾人福利性单位注册商标的货物）。</w:t>
      </w:r>
    </w:p>
    <w:p w14:paraId="5322A6B8">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本单位对上述声明的真实性负责。如有虚假，将依法承担相应责任。</w:t>
      </w:r>
    </w:p>
    <w:p w14:paraId="7362CA1D">
      <w:pPr>
        <w:shd w:val="clear"/>
        <w:spacing w:line="360" w:lineRule="auto"/>
        <w:contextualSpacing/>
        <w:rPr>
          <w:rFonts w:hint="eastAsia" w:ascii="仿宋" w:hAnsi="仿宋" w:eastAsia="仿宋" w:cs="仿宋"/>
          <w:sz w:val="24"/>
          <w:highlight w:val="none"/>
        </w:rPr>
      </w:pPr>
    </w:p>
    <w:p w14:paraId="2FF0C29B">
      <w:pPr>
        <w:shd w:val="clear"/>
        <w:spacing w:line="360" w:lineRule="auto"/>
        <w:contextualSpacing/>
        <w:rPr>
          <w:rFonts w:hint="eastAsia" w:ascii="仿宋" w:hAnsi="仿宋" w:eastAsia="仿宋" w:cs="仿宋"/>
          <w:sz w:val="24"/>
          <w:highlight w:val="none"/>
        </w:rPr>
      </w:pPr>
    </w:p>
    <w:p w14:paraId="426688C1">
      <w:pPr>
        <w:shd w:val="clear"/>
        <w:spacing w:line="360" w:lineRule="auto"/>
        <w:contextualSpacing/>
        <w:rPr>
          <w:rFonts w:hint="eastAsia" w:ascii="仿宋" w:hAnsi="仿宋" w:eastAsia="仿宋" w:cs="仿宋"/>
          <w:sz w:val="24"/>
          <w:highlight w:val="none"/>
        </w:rPr>
      </w:pPr>
    </w:p>
    <w:p w14:paraId="729922C9">
      <w:pPr>
        <w:shd w:val="clear"/>
        <w:spacing w:line="360" w:lineRule="auto"/>
        <w:ind w:firstLine="2400" w:firstLineChars="1000"/>
        <w:contextualSpacing/>
        <w:rPr>
          <w:rFonts w:hint="eastAsia" w:ascii="仿宋" w:hAnsi="仿宋" w:eastAsia="仿宋" w:cs="仿宋"/>
          <w:sz w:val="24"/>
          <w:highlight w:val="none"/>
          <w:u w:val="single"/>
        </w:rPr>
      </w:pPr>
      <w:r>
        <w:rPr>
          <w:rFonts w:hint="eastAsia" w:ascii="仿宋" w:hAnsi="仿宋" w:eastAsia="仿宋" w:cs="仿宋"/>
          <w:sz w:val="24"/>
          <w:highlight w:val="none"/>
        </w:rPr>
        <w:t>单位名称（公章）：</w:t>
      </w:r>
      <w:r>
        <w:rPr>
          <w:rFonts w:hint="eastAsia" w:ascii="仿宋" w:hAnsi="仿宋" w:eastAsia="仿宋" w:cs="仿宋"/>
          <w:sz w:val="24"/>
          <w:highlight w:val="none"/>
          <w:u w:val="single"/>
        </w:rPr>
        <w:t xml:space="preserve">               </w:t>
      </w:r>
    </w:p>
    <w:p w14:paraId="77D86E94">
      <w:pPr>
        <w:shd w:val="clear"/>
        <w:spacing w:line="360" w:lineRule="auto"/>
        <w:ind w:firstLine="3600" w:firstLineChars="1500"/>
        <w:contextualSpacing/>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51723D1">
      <w:pPr>
        <w:shd w:val="clear"/>
        <w:spacing w:line="360" w:lineRule="auto"/>
        <w:contextualSpacing/>
        <w:rPr>
          <w:rFonts w:hint="eastAsia" w:ascii="仿宋" w:hAnsi="仿宋" w:eastAsia="仿宋" w:cs="仿宋"/>
          <w:sz w:val="24"/>
          <w:highlight w:val="none"/>
        </w:rPr>
      </w:pPr>
    </w:p>
    <w:p w14:paraId="23C5F31A">
      <w:pPr>
        <w:shd w:val="clear"/>
        <w:spacing w:line="360" w:lineRule="auto"/>
        <w:contextualSpacing/>
        <w:rPr>
          <w:rFonts w:hint="eastAsia" w:ascii="仿宋" w:hAnsi="仿宋" w:eastAsia="仿宋" w:cs="仿宋"/>
          <w:sz w:val="24"/>
          <w:highlight w:val="none"/>
        </w:rPr>
      </w:pPr>
    </w:p>
    <w:p w14:paraId="7C0BEEAE">
      <w:pPr>
        <w:shd w:val="clear"/>
        <w:spacing w:line="360" w:lineRule="auto"/>
        <w:contextualSpacing/>
        <w:rPr>
          <w:rFonts w:hint="eastAsia" w:ascii="仿宋" w:hAnsi="仿宋" w:eastAsia="仿宋" w:cs="仿宋"/>
          <w:sz w:val="24"/>
          <w:highlight w:val="none"/>
        </w:rPr>
      </w:pPr>
    </w:p>
    <w:p w14:paraId="70D078ED">
      <w:pPr>
        <w:shd w:val="clear"/>
        <w:spacing w:line="360" w:lineRule="auto"/>
        <w:contextualSpacing/>
        <w:rPr>
          <w:rFonts w:hint="eastAsia"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请根据自己的真实情况出具《残疾人福利性单位声明函》。依法享受中小企业优惠政策的，采购人或者采购代理机构在公告成交结果时，同时公告其《残疾人福利性单位声明函》，接受社会监督。</w:t>
      </w:r>
    </w:p>
    <w:p w14:paraId="08BC15B6">
      <w:pPr>
        <w:shd w:val="clear"/>
        <w:spacing w:before="312" w:beforeLines="100" w:after="156" w:afterLines="50"/>
        <w:ind w:left="540"/>
        <w:jc w:val="center"/>
        <w:rPr>
          <w:rFonts w:hint="eastAsia" w:ascii="仿宋" w:hAnsi="仿宋" w:eastAsia="仿宋" w:cs="仿宋"/>
          <w:b/>
          <w:sz w:val="32"/>
          <w:szCs w:val="32"/>
          <w:highlight w:val="none"/>
        </w:rPr>
      </w:pPr>
      <w:r>
        <w:rPr>
          <w:rFonts w:hint="eastAsia" w:ascii="仿宋" w:hAnsi="仿宋" w:eastAsia="仿宋" w:cs="仿宋"/>
          <w:sz w:val="24"/>
          <w:highlight w:val="none"/>
        </w:rPr>
        <w:br w:type="page"/>
      </w:r>
      <w:r>
        <w:rPr>
          <w:rFonts w:hint="eastAsia" w:ascii="仿宋" w:hAnsi="仿宋" w:eastAsia="仿宋" w:cs="仿宋"/>
          <w:b/>
          <w:bCs/>
          <w:sz w:val="44"/>
          <w:szCs w:val="44"/>
          <w:highlight w:val="none"/>
        </w:rPr>
        <w:t>法定代表人身份证明</w:t>
      </w:r>
    </w:p>
    <w:p w14:paraId="3299931A">
      <w:pPr>
        <w:shd w:val="clear"/>
        <w:spacing w:line="360" w:lineRule="auto"/>
        <w:ind w:left="540"/>
        <w:contextualSpacing/>
        <w:rPr>
          <w:rFonts w:hint="eastAsia" w:ascii="仿宋" w:hAnsi="仿宋" w:eastAsia="仿宋" w:cs="仿宋"/>
          <w:sz w:val="32"/>
          <w:szCs w:val="32"/>
          <w:highlight w:val="none"/>
        </w:rPr>
      </w:pPr>
    </w:p>
    <w:p w14:paraId="48AD17D3">
      <w:pPr>
        <w:shd w:val="clear"/>
        <w:spacing w:line="360" w:lineRule="auto"/>
        <w:ind w:left="540"/>
        <w:contextualSpacing/>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p>
    <w:p w14:paraId="3377C927">
      <w:pPr>
        <w:shd w:val="clear"/>
        <w:spacing w:line="360" w:lineRule="auto"/>
        <w:ind w:left="540"/>
        <w:contextualSpacing/>
        <w:rPr>
          <w:rFonts w:hint="eastAsia" w:ascii="仿宋" w:hAnsi="仿宋" w:eastAsia="仿宋" w:cs="仿宋"/>
          <w:sz w:val="24"/>
          <w:highlight w:val="non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156CAC4C">
      <w:pPr>
        <w:shd w:val="clear"/>
        <w:spacing w:line="360" w:lineRule="auto"/>
        <w:ind w:left="540"/>
        <w:contextualSpacing/>
        <w:rPr>
          <w:rFonts w:hint="eastAsia" w:ascii="仿宋" w:hAnsi="仿宋" w:eastAsia="仿宋" w:cs="仿宋"/>
          <w:sz w:val="24"/>
          <w:highlight w:val="none"/>
        </w:rPr>
      </w:pPr>
      <w:r>
        <w:rPr>
          <w:rFonts w:hint="eastAsia" w:ascii="仿宋" w:hAnsi="仿宋" w:eastAsia="仿宋" w:cs="仿宋"/>
          <w:sz w:val="24"/>
          <w:highlight w:val="none"/>
        </w:rPr>
        <w:t>姓    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性     别：</w:t>
      </w:r>
      <w:r>
        <w:rPr>
          <w:rFonts w:hint="eastAsia" w:ascii="仿宋" w:hAnsi="仿宋" w:eastAsia="仿宋" w:cs="仿宋"/>
          <w:sz w:val="24"/>
          <w:highlight w:val="none"/>
          <w:u w:val="single"/>
        </w:rPr>
        <w:t xml:space="preserve">                </w:t>
      </w:r>
    </w:p>
    <w:p w14:paraId="051A8BE5">
      <w:pPr>
        <w:shd w:val="clear"/>
        <w:spacing w:line="360" w:lineRule="auto"/>
        <w:ind w:left="540"/>
        <w:contextualSpacing/>
        <w:rPr>
          <w:rFonts w:hint="eastAsia" w:ascii="仿宋" w:hAnsi="仿宋" w:eastAsia="仿宋" w:cs="仿宋"/>
          <w:sz w:val="24"/>
          <w:highlight w:val="none"/>
          <w:u w:val="single"/>
        </w:rPr>
      </w:pPr>
      <w:r>
        <w:rPr>
          <w:rFonts w:hint="eastAsia" w:ascii="仿宋" w:hAnsi="仿宋" w:eastAsia="仿宋" w:cs="仿宋"/>
          <w:sz w:val="24"/>
          <w:highlight w:val="none"/>
        </w:rPr>
        <w:t>年    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     务：</w:t>
      </w:r>
      <w:r>
        <w:rPr>
          <w:rFonts w:hint="eastAsia" w:ascii="仿宋" w:hAnsi="仿宋" w:eastAsia="仿宋" w:cs="仿宋"/>
          <w:sz w:val="24"/>
          <w:highlight w:val="none"/>
          <w:u w:val="single"/>
        </w:rPr>
        <w:t xml:space="preserve">                </w:t>
      </w:r>
    </w:p>
    <w:p w14:paraId="66759114">
      <w:pPr>
        <w:shd w:val="clear"/>
        <w:spacing w:line="360" w:lineRule="auto"/>
        <w:ind w:left="540"/>
        <w:contextualSpacing/>
        <w:rPr>
          <w:rFonts w:hint="eastAsia" w:ascii="仿宋" w:hAnsi="仿宋" w:eastAsia="仿宋" w:cs="仿宋"/>
          <w:sz w:val="24"/>
          <w:highlight w:val="non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474B91A5">
      <w:pPr>
        <w:shd w:val="clea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（供应商名称）</w:t>
      </w:r>
      <w:r>
        <w:rPr>
          <w:rFonts w:hint="eastAsia" w:ascii="仿宋" w:hAnsi="仿宋" w:eastAsia="仿宋" w:cs="仿宋"/>
          <w:sz w:val="24"/>
          <w:highlight w:val="none"/>
        </w:rPr>
        <w:t>的法定代表人。</w:t>
      </w:r>
    </w:p>
    <w:p w14:paraId="391F3791">
      <w:pPr>
        <w:shd w:val="clear"/>
        <w:spacing w:line="360" w:lineRule="auto"/>
        <w:ind w:left="540"/>
        <w:contextualSpacing/>
        <w:rPr>
          <w:rFonts w:hint="eastAsia" w:ascii="仿宋" w:hAnsi="仿宋" w:eastAsia="仿宋" w:cs="仿宋"/>
          <w:sz w:val="24"/>
          <w:highlight w:val="none"/>
        </w:rPr>
      </w:pPr>
      <w:r>
        <w:rPr>
          <w:rFonts w:hint="eastAsia" w:ascii="仿宋" w:hAnsi="仿宋" w:eastAsia="仿宋" w:cs="仿宋"/>
          <w:sz w:val="24"/>
          <w:highlight w:val="none"/>
        </w:rPr>
        <w:t>特此证明。</w:t>
      </w:r>
    </w:p>
    <w:p w14:paraId="7DA37A3B">
      <w:pPr>
        <w:shd w:val="clear"/>
        <w:spacing w:line="360" w:lineRule="auto"/>
        <w:ind w:left="540"/>
        <w:contextualSpacing/>
        <w:rPr>
          <w:rFonts w:hint="eastAsia" w:ascii="仿宋" w:hAnsi="仿宋" w:eastAsia="仿宋" w:cs="仿宋"/>
          <w:sz w:val="24"/>
          <w:highlight w:val="none"/>
        </w:rPr>
      </w:pPr>
    </w:p>
    <w:p w14:paraId="0395315C">
      <w:pPr>
        <w:shd w:val="clear"/>
        <w:spacing w:line="360" w:lineRule="auto"/>
        <w:ind w:left="540"/>
        <w:contextualSpacing/>
        <w:rPr>
          <w:rFonts w:hint="eastAsia" w:ascii="仿宋" w:hAnsi="仿宋" w:eastAsia="仿宋" w:cs="仿宋"/>
          <w:sz w:val="24"/>
          <w:highlight w:val="none"/>
        </w:rPr>
      </w:pPr>
    </w:p>
    <w:p w14:paraId="0D9336B8">
      <w:pPr>
        <w:shd w:val="clear"/>
        <w:spacing w:line="360" w:lineRule="auto"/>
        <w:ind w:left="540"/>
        <w:contextualSpacing/>
        <w:rPr>
          <w:rFonts w:hint="eastAsia" w:ascii="仿宋" w:hAnsi="仿宋" w:eastAsia="仿宋" w:cs="仿宋"/>
          <w:sz w:val="24"/>
          <w:highlight w:val="none"/>
        </w:rPr>
      </w:pPr>
    </w:p>
    <w:p w14:paraId="63A6EF55">
      <w:pPr>
        <w:shd w:val="clear"/>
        <w:spacing w:line="360" w:lineRule="auto"/>
        <w:ind w:left="540"/>
        <w:contextualSpacing/>
        <w:rPr>
          <w:rFonts w:hint="eastAsia" w:ascii="仿宋" w:hAnsi="仿宋" w:eastAsia="仿宋" w:cs="仿宋"/>
          <w:sz w:val="24"/>
          <w:highlight w:val="none"/>
        </w:rPr>
      </w:pPr>
      <w:r>
        <w:rPr>
          <w:rFonts w:hint="eastAsia" w:ascii="仿宋" w:hAnsi="仿宋" w:eastAsia="仿宋" w:cs="仿宋"/>
          <w:sz w:val="24"/>
          <w:highlight w:val="none"/>
        </w:rPr>
        <w:t>附件：法定代表人有效身份证正反面复印件</w:t>
      </w:r>
    </w:p>
    <w:p w14:paraId="16387C74">
      <w:pPr>
        <w:shd w:val="clear"/>
        <w:spacing w:line="360" w:lineRule="auto"/>
        <w:ind w:left="540"/>
        <w:contextualSpacing/>
        <w:rPr>
          <w:rFonts w:hint="eastAsia" w:ascii="仿宋" w:hAnsi="仿宋" w:eastAsia="仿宋" w:cs="仿宋"/>
          <w:sz w:val="24"/>
          <w:highlight w:val="none"/>
        </w:rPr>
      </w:pPr>
    </w:p>
    <w:p w14:paraId="100B2930">
      <w:pPr>
        <w:shd w:val="clear"/>
        <w:spacing w:line="360" w:lineRule="auto"/>
        <w:ind w:right="960" w:firstLine="4080" w:firstLineChars="1700"/>
        <w:contextualSpacing/>
        <w:rPr>
          <w:rFonts w:hint="eastAsia" w:ascii="仿宋" w:hAnsi="仿宋" w:eastAsia="仿宋" w:cs="仿宋"/>
          <w:sz w:val="24"/>
          <w:highlight w:val="none"/>
          <w:u w:val="single"/>
        </w:rPr>
      </w:pPr>
      <w:r>
        <w:rPr>
          <w:rFonts w:hint="eastAsia" w:ascii="仿宋" w:hAnsi="仿宋" w:eastAsia="仿宋" w:cs="仿宋"/>
          <w:sz w:val="24"/>
          <w:highlight w:val="none"/>
        </w:rPr>
        <w:t>供应商（公章）：</w:t>
      </w:r>
      <w:r>
        <w:rPr>
          <w:rFonts w:hint="eastAsia" w:ascii="仿宋" w:hAnsi="仿宋" w:eastAsia="仿宋" w:cs="仿宋"/>
          <w:sz w:val="24"/>
          <w:highlight w:val="none"/>
          <w:u w:val="single"/>
        </w:rPr>
        <w:t xml:space="preserve">               </w:t>
      </w:r>
    </w:p>
    <w:p w14:paraId="1737CF03">
      <w:pPr>
        <w:pStyle w:val="23"/>
        <w:shd w:val="clear"/>
        <w:rPr>
          <w:rFonts w:hint="eastAsia" w:ascii="仿宋" w:hAnsi="仿宋" w:eastAsia="仿宋" w:cs="仿宋"/>
          <w:highlight w:val="none"/>
        </w:rPr>
      </w:pPr>
    </w:p>
    <w:p w14:paraId="530D5EE2">
      <w:pPr>
        <w:shd w:val="clear"/>
        <w:spacing w:line="360" w:lineRule="auto"/>
        <w:ind w:firstLine="4080" w:firstLineChars="1700"/>
        <w:contextualSpacing/>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42FDF82A">
      <w:pPr>
        <w:shd w:val="clear"/>
        <w:spacing w:line="360" w:lineRule="auto"/>
        <w:contextualSpacing/>
        <w:jc w:val="center"/>
        <w:rPr>
          <w:rFonts w:hint="eastAsia" w:ascii="仿宋" w:hAnsi="仿宋" w:eastAsia="仿宋" w:cs="仿宋"/>
          <w:b/>
          <w:sz w:val="24"/>
          <w:highlight w:val="none"/>
        </w:rPr>
      </w:pPr>
    </w:p>
    <w:p w14:paraId="24264AF6">
      <w:pPr>
        <w:shd w:val="clear"/>
        <w:spacing w:line="360" w:lineRule="auto"/>
        <w:contextualSpacing/>
        <w:jc w:val="left"/>
        <w:rPr>
          <w:rFonts w:hint="eastAsia" w:ascii="仿宋" w:hAnsi="仿宋" w:eastAsia="仿宋" w:cs="仿宋"/>
          <w:sz w:val="24"/>
          <w:highlight w:val="none"/>
        </w:rPr>
      </w:pPr>
    </w:p>
    <w:p w14:paraId="6C1681D4">
      <w:pPr>
        <w:shd w:val="clear"/>
        <w:spacing w:line="360" w:lineRule="auto"/>
        <w:contextualSpacing/>
        <w:jc w:val="left"/>
        <w:rPr>
          <w:rFonts w:hint="eastAsia"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自然人参与竞争性磋商的无需提供，联合体参与竞争性磋商的只需牵头人出具。</w:t>
      </w:r>
    </w:p>
    <w:p w14:paraId="367F8047">
      <w:pPr>
        <w:shd w:val="clear"/>
        <w:adjustRightInd w:val="0"/>
        <w:snapToGrid w:val="0"/>
        <w:spacing w:line="300" w:lineRule="auto"/>
        <w:jc w:val="left"/>
        <w:rPr>
          <w:rFonts w:hint="eastAsia" w:ascii="仿宋" w:hAnsi="仿宋" w:eastAsia="仿宋" w:cs="仿宋"/>
          <w:b/>
          <w:szCs w:val="21"/>
          <w:highlight w:val="none"/>
        </w:rPr>
      </w:pPr>
    </w:p>
    <w:p w14:paraId="5468EAC0">
      <w:pPr>
        <w:shd w:val="clear"/>
        <w:spacing w:line="500" w:lineRule="exact"/>
        <w:jc w:val="center"/>
        <w:rPr>
          <w:rFonts w:hint="eastAsia" w:ascii="仿宋" w:hAnsi="仿宋" w:eastAsia="仿宋" w:cs="仿宋"/>
          <w:sz w:val="44"/>
          <w:szCs w:val="44"/>
          <w:highlight w:val="none"/>
        </w:rPr>
      </w:pPr>
      <w:r>
        <w:rPr>
          <w:rFonts w:hint="eastAsia" w:ascii="仿宋" w:hAnsi="仿宋" w:eastAsia="仿宋" w:cs="仿宋"/>
          <w:sz w:val="44"/>
          <w:szCs w:val="44"/>
          <w:highlight w:val="none"/>
        </w:rPr>
        <w:br w:type="page"/>
      </w:r>
      <w:r>
        <w:rPr>
          <w:rFonts w:hint="eastAsia" w:ascii="仿宋" w:hAnsi="仿宋" w:eastAsia="仿宋" w:cs="仿宋"/>
          <w:sz w:val="44"/>
          <w:szCs w:val="44"/>
          <w:highlight w:val="none"/>
        </w:rPr>
        <w:t xml:space="preserve"> </w:t>
      </w:r>
    </w:p>
    <w:p w14:paraId="5802A21D">
      <w:pPr>
        <w:shd w:val="clear"/>
        <w:jc w:val="center"/>
        <w:rPr>
          <w:rFonts w:hint="eastAsia" w:ascii="仿宋" w:hAnsi="仿宋" w:eastAsia="仿宋" w:cs="仿宋"/>
          <w:b/>
          <w:sz w:val="44"/>
          <w:szCs w:val="44"/>
          <w:highlight w:val="none"/>
        </w:rPr>
      </w:pPr>
      <w:bookmarkStart w:id="44" w:name="_Hlk65853643"/>
      <w:r>
        <w:rPr>
          <w:rFonts w:hint="eastAsia" w:ascii="仿宋" w:hAnsi="仿宋" w:eastAsia="仿宋" w:cs="仿宋"/>
          <w:b/>
          <w:sz w:val="44"/>
          <w:szCs w:val="44"/>
          <w:highlight w:val="none"/>
        </w:rPr>
        <w:t>授权委托书</w:t>
      </w:r>
    </w:p>
    <w:p w14:paraId="78120E9E">
      <w:pPr>
        <w:shd w:val="clea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（非联合体参与竞争性磋商格式）</w:t>
      </w:r>
    </w:p>
    <w:p w14:paraId="67C7CCAA">
      <w:pPr>
        <w:shd w:val="clear"/>
        <w:jc w:val="center"/>
        <w:rPr>
          <w:rFonts w:hint="eastAsia" w:ascii="仿宋" w:hAnsi="仿宋" w:eastAsia="仿宋" w:cs="仿宋"/>
          <w:sz w:val="44"/>
          <w:szCs w:val="44"/>
          <w:highlight w:val="none"/>
        </w:rPr>
      </w:pPr>
      <w:r>
        <w:rPr>
          <w:rFonts w:hint="eastAsia" w:ascii="仿宋" w:hAnsi="仿宋" w:eastAsia="仿宋" w:cs="仿宋"/>
          <w:sz w:val="32"/>
          <w:szCs w:val="32"/>
          <w:highlight w:val="none"/>
        </w:rPr>
        <w:t>（如有委托时）</w:t>
      </w:r>
    </w:p>
    <w:p w14:paraId="77038CF7">
      <w:pPr>
        <w:shd w:val="clear"/>
        <w:spacing w:line="520" w:lineRule="exact"/>
        <w:rPr>
          <w:rFonts w:hint="eastAsia" w:ascii="仿宋" w:hAnsi="仿宋" w:eastAsia="仿宋" w:cs="仿宋"/>
          <w:sz w:val="32"/>
          <w:szCs w:val="32"/>
          <w:highlight w:val="none"/>
        </w:rPr>
      </w:pPr>
    </w:p>
    <w:p w14:paraId="5E43DF8E">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（采购人名称）</w:t>
      </w:r>
      <w:r>
        <w:rPr>
          <w:rFonts w:hint="eastAsia" w:ascii="仿宋" w:hAnsi="仿宋" w:eastAsia="仿宋" w:cs="仿宋"/>
          <w:sz w:val="24"/>
          <w:highlight w:val="none"/>
        </w:rPr>
        <w:t>：</w:t>
      </w:r>
    </w:p>
    <w:p w14:paraId="6CE4464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w:t>
      </w:r>
      <w:r>
        <w:rPr>
          <w:rFonts w:hint="eastAsia" w:ascii="仿宋" w:hAnsi="仿宋" w:eastAsia="仿宋" w:cs="仿宋"/>
          <w:sz w:val="24"/>
          <w:highlight w:val="none"/>
          <w:u w:val="single"/>
        </w:rPr>
        <w:t xml:space="preserve">  （姓名）  </w:t>
      </w: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（供应商名称）  </w:t>
      </w:r>
      <w:r>
        <w:rPr>
          <w:rFonts w:hint="eastAsia" w:ascii="仿宋" w:hAnsi="仿宋" w:eastAsia="仿宋" w:cs="仿宋"/>
          <w:sz w:val="24"/>
          <w:highlight w:val="none"/>
        </w:rPr>
        <w:t>的（</w:t>
      </w:r>
      <w:r>
        <w:rPr>
          <w:rFonts w:hint="eastAsia" w:ascii="仿宋" w:hAnsi="仿宋" w:eastAsia="仿宋" w:cs="仿宋"/>
          <w:sz w:val="24"/>
          <w:highlight w:val="none"/>
          <w:u w:val="single"/>
        </w:rPr>
        <w:t>法定代表人/负责人/自然人本人</w:t>
      </w:r>
      <w:r>
        <w:rPr>
          <w:rFonts w:hint="eastAsia" w:ascii="仿宋" w:hAnsi="仿宋" w:eastAsia="仿宋" w:cs="仿宋"/>
          <w:sz w:val="24"/>
          <w:highlight w:val="none"/>
        </w:rPr>
        <w:t>），现授权</w:t>
      </w:r>
      <w:r>
        <w:rPr>
          <w:rFonts w:hint="eastAsia" w:ascii="仿宋" w:hAnsi="仿宋" w:eastAsia="仿宋" w:cs="仿宋"/>
          <w:sz w:val="24"/>
          <w:highlight w:val="none"/>
          <w:u w:val="single"/>
        </w:rPr>
        <w:t xml:space="preserve"> （姓名） </w:t>
      </w:r>
      <w:r>
        <w:rPr>
          <w:rFonts w:hint="eastAsia" w:ascii="仿宋" w:hAnsi="仿宋" w:eastAsia="仿宋" w:cs="仿宋"/>
          <w:sz w:val="24"/>
          <w:highlight w:val="none"/>
        </w:rPr>
        <w:t>以我方的名义参加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项目的竞争性磋商活动，并代表我方全权办理针对上述项目的所有采购程序和环节的具体事务和签署相关文件。</w:t>
      </w:r>
    </w:p>
    <w:p w14:paraId="0C6980D1">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我方对委托代理人的签字事项负全部责任。</w:t>
      </w:r>
    </w:p>
    <w:p w14:paraId="467F962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本授权书自签署之日起生效，在撤销授权的书面通知以前，本授权书一直有效。委托代理人在授权书有效期内签署的所有文件不因授权的撤销而失效。</w:t>
      </w:r>
    </w:p>
    <w:p w14:paraId="27B1751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委托代理人无转委托权，特此委托。</w:t>
      </w:r>
    </w:p>
    <w:p w14:paraId="5DE6FD41">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附：委托代理人有效身份证正反面复印件</w:t>
      </w:r>
    </w:p>
    <w:p w14:paraId="018E7C09">
      <w:pPr>
        <w:shd w:val="clear"/>
        <w:spacing w:line="360" w:lineRule="auto"/>
        <w:rPr>
          <w:rFonts w:hint="eastAsia" w:ascii="仿宋" w:hAnsi="仿宋" w:eastAsia="仿宋" w:cs="仿宋"/>
          <w:sz w:val="24"/>
          <w:highlight w:val="none"/>
        </w:rPr>
      </w:pPr>
    </w:p>
    <w:p w14:paraId="52391B71">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委托代理人（签字）：</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法定代表人（签字）：</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73DEA467">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委托代理人身份证号码：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3F55ED5E">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5E8002FE">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供应商（公章）：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6FFFADED">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EC04D44">
      <w:pPr>
        <w:shd w:val="clear"/>
        <w:spacing w:line="360" w:lineRule="auto"/>
        <w:rPr>
          <w:rFonts w:hint="eastAsia" w:ascii="仿宋" w:hAnsi="仿宋" w:eastAsia="仿宋" w:cs="仿宋"/>
          <w:sz w:val="24"/>
          <w:highlight w:val="none"/>
        </w:rPr>
      </w:pPr>
    </w:p>
    <w:p w14:paraId="72610064">
      <w:pPr>
        <w:shd w:val="clear"/>
        <w:spacing w:line="360" w:lineRule="auto"/>
        <w:rPr>
          <w:rFonts w:hint="eastAsia"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1.法定代表人必须在授权委托书上亲笔签字，委托代理人必须在授权委托书上亲笔签字，</w:t>
      </w:r>
      <w:r>
        <w:rPr>
          <w:rFonts w:hint="eastAsia" w:ascii="仿宋" w:hAnsi="仿宋" w:eastAsia="仿宋" w:cs="仿宋"/>
          <w:b/>
          <w:sz w:val="24"/>
          <w:highlight w:val="none"/>
        </w:rPr>
        <w:t>否则其响应文件按无效响应处理。</w:t>
      </w:r>
    </w:p>
    <w:p w14:paraId="0E59029A">
      <w:pPr>
        <w:shd w:val="clea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w:t>
      </w:r>
      <w:bookmarkStart w:id="45" w:name="_Hlk65853109"/>
      <w:bookmarkStart w:id="46" w:name="_Hlk65853542"/>
      <w:r>
        <w:rPr>
          <w:rFonts w:hint="eastAsia" w:ascii="仿宋" w:hAnsi="仿宋" w:eastAsia="仿宋" w:cs="仿宋"/>
          <w:sz w:val="24"/>
          <w:highlight w:val="none"/>
        </w:rPr>
        <w:t>法人、其他组织参与竞争性磋商时“我方”是指“我单位”，自然人参与竞争性磋商时“我方”是指“本人”。</w:t>
      </w:r>
      <w:bookmarkEnd w:id="45"/>
    </w:p>
    <w:bookmarkEnd w:id="46"/>
    <w:p w14:paraId="07C5949B">
      <w:pPr>
        <w:shd w:val="clear"/>
        <w:spacing w:line="360" w:lineRule="auto"/>
        <w:ind w:firstLine="420" w:firstLineChars="200"/>
        <w:jc w:val="left"/>
        <w:rPr>
          <w:rFonts w:hint="eastAsia" w:ascii="仿宋" w:hAnsi="仿宋" w:eastAsia="仿宋" w:cs="仿宋"/>
          <w:szCs w:val="21"/>
          <w:highlight w:val="none"/>
        </w:rPr>
      </w:pPr>
    </w:p>
    <w:p w14:paraId="41E2BCCD">
      <w:pPr>
        <w:shd w:val="clear"/>
        <w:jc w:val="center"/>
        <w:rPr>
          <w:rFonts w:hint="eastAsia" w:ascii="仿宋" w:hAnsi="仿宋" w:eastAsia="仿宋" w:cs="仿宋"/>
          <w:b/>
          <w:sz w:val="44"/>
          <w:szCs w:val="44"/>
          <w:highlight w:val="none"/>
        </w:rPr>
      </w:pPr>
      <w:r>
        <w:rPr>
          <w:rFonts w:hint="eastAsia" w:ascii="仿宋" w:hAnsi="仿宋" w:eastAsia="仿宋" w:cs="仿宋"/>
          <w:szCs w:val="21"/>
          <w:highlight w:val="none"/>
        </w:rPr>
        <w:br w:type="page"/>
      </w:r>
      <w:r>
        <w:rPr>
          <w:rFonts w:hint="eastAsia" w:ascii="仿宋" w:hAnsi="仿宋" w:eastAsia="仿宋" w:cs="仿宋"/>
          <w:b/>
          <w:sz w:val="44"/>
          <w:szCs w:val="44"/>
          <w:highlight w:val="none"/>
        </w:rPr>
        <w:t>授权委托书</w:t>
      </w:r>
    </w:p>
    <w:p w14:paraId="3271CAAE">
      <w:pPr>
        <w:shd w:val="clea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（联合体参与竞争性磋商格式）</w:t>
      </w:r>
    </w:p>
    <w:p w14:paraId="5279569E">
      <w:pPr>
        <w:shd w:val="clear"/>
        <w:jc w:val="center"/>
        <w:rPr>
          <w:rFonts w:hint="eastAsia" w:ascii="仿宋" w:hAnsi="仿宋" w:eastAsia="仿宋" w:cs="仿宋"/>
          <w:sz w:val="44"/>
          <w:szCs w:val="44"/>
          <w:highlight w:val="none"/>
        </w:rPr>
      </w:pPr>
      <w:r>
        <w:rPr>
          <w:rFonts w:hint="eastAsia" w:ascii="仿宋" w:hAnsi="仿宋" w:eastAsia="仿宋" w:cs="仿宋"/>
          <w:sz w:val="32"/>
          <w:szCs w:val="32"/>
          <w:highlight w:val="none"/>
        </w:rPr>
        <w:t>（如有委托时）</w:t>
      </w:r>
    </w:p>
    <w:p w14:paraId="13FCCA56">
      <w:pPr>
        <w:shd w:val="clear"/>
        <w:spacing w:line="500" w:lineRule="exact"/>
        <w:jc w:val="center"/>
        <w:rPr>
          <w:rFonts w:hint="eastAsia" w:ascii="仿宋" w:hAnsi="仿宋" w:eastAsia="仿宋" w:cs="仿宋"/>
          <w:sz w:val="44"/>
          <w:szCs w:val="44"/>
          <w:highlight w:val="none"/>
        </w:rPr>
      </w:pPr>
    </w:p>
    <w:p w14:paraId="63EAFE09">
      <w:pPr>
        <w:shd w:val="clear"/>
        <w:spacing w:line="500" w:lineRule="exact"/>
        <w:jc w:val="center"/>
        <w:rPr>
          <w:rFonts w:hint="eastAsia" w:ascii="仿宋" w:hAnsi="仿宋" w:eastAsia="仿宋" w:cs="仿宋"/>
          <w:sz w:val="32"/>
          <w:szCs w:val="32"/>
          <w:highlight w:val="none"/>
        </w:rPr>
      </w:pPr>
    </w:p>
    <w:p w14:paraId="49209355">
      <w:pPr>
        <w:shd w:val="clea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本授权委托书声明：根据</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（牵头人名称）与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（联合体其他成员名称）签订的《联合体参与竞争性磋商协议书》的内容，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（牵头人名称）的法定代表人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（姓名）现授权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（姓名）为联合委托代理人，并代表我方全权办理针对上述项目的所有采购程序和环节的具体事务和签署相关文件。</w:t>
      </w:r>
    </w:p>
    <w:p w14:paraId="01C10B95">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我方对委托代理人的签字事项负全部责任。</w:t>
      </w:r>
    </w:p>
    <w:p w14:paraId="65E61597">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本授权书自签署之日起生效，在撤销授权的书面通知以前，本授权书一直有效。委托代理人在授权书有效期内签署的所有文件不因授权的撤销而失效。</w:t>
      </w:r>
    </w:p>
    <w:p w14:paraId="46D7201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委托代理人无转委托权，特此委托。</w:t>
      </w:r>
    </w:p>
    <w:p w14:paraId="45F7FCB5">
      <w:pPr>
        <w:shd w:val="clea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附：法定代表人身份证明及委托代理人有效身份证正反面复印件</w:t>
      </w:r>
    </w:p>
    <w:p w14:paraId="55A6957A">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牵头人法定代表人（签字或者盖章）：</w:t>
      </w:r>
    </w:p>
    <w:p w14:paraId="72C14E79">
      <w:pPr>
        <w:shd w:val="clear"/>
        <w:spacing w:line="360" w:lineRule="auto"/>
        <w:ind w:firstLine="3120" w:firstLineChars="1300"/>
        <w:rPr>
          <w:rFonts w:hint="eastAsia" w:ascii="仿宋" w:hAnsi="仿宋" w:eastAsia="仿宋" w:cs="仿宋"/>
          <w:sz w:val="24"/>
          <w:highlight w:val="none"/>
          <w:u w:val="single"/>
        </w:rPr>
      </w:pPr>
      <w:r>
        <w:rPr>
          <w:rFonts w:hint="eastAsia" w:ascii="仿宋" w:hAnsi="仿宋" w:eastAsia="仿宋" w:cs="仿宋"/>
          <w:sz w:val="24"/>
          <w:highlight w:val="none"/>
        </w:rPr>
        <w:t>牵头人（公章）：</w:t>
      </w:r>
      <w:r>
        <w:rPr>
          <w:rFonts w:hint="eastAsia" w:ascii="仿宋" w:hAnsi="仿宋" w:eastAsia="仿宋" w:cs="仿宋"/>
          <w:sz w:val="24"/>
          <w:highlight w:val="none"/>
          <w:u w:val="single"/>
        </w:rPr>
        <w:t xml:space="preserve">                </w:t>
      </w:r>
    </w:p>
    <w:p w14:paraId="7CEC5A09">
      <w:pPr>
        <w:shd w:val="clear"/>
        <w:spacing w:line="360" w:lineRule="auto"/>
        <w:ind w:firstLine="3840" w:firstLineChars="1600"/>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124702A2">
      <w:pPr>
        <w:shd w:val="clear"/>
        <w:spacing w:line="360" w:lineRule="auto"/>
        <w:rPr>
          <w:rFonts w:hint="eastAsia" w:ascii="仿宋" w:hAnsi="仿宋" w:eastAsia="仿宋" w:cs="仿宋"/>
          <w:sz w:val="24"/>
          <w:highlight w:val="none"/>
        </w:rPr>
      </w:pPr>
    </w:p>
    <w:p w14:paraId="493CC1F7">
      <w:pPr>
        <w:shd w:val="clear"/>
        <w:spacing w:line="360" w:lineRule="auto"/>
        <w:ind w:firstLine="3120" w:firstLineChars="1300"/>
        <w:rPr>
          <w:rFonts w:hint="eastAsia" w:ascii="仿宋" w:hAnsi="仿宋" w:eastAsia="仿宋" w:cs="仿宋"/>
          <w:sz w:val="24"/>
          <w:highlight w:val="none"/>
          <w:u w:val="single"/>
        </w:rPr>
      </w:pPr>
      <w:r>
        <w:rPr>
          <w:rFonts w:hint="eastAsia" w:ascii="仿宋" w:hAnsi="仿宋" w:eastAsia="仿宋" w:cs="仿宋"/>
          <w:sz w:val="24"/>
          <w:highlight w:val="none"/>
        </w:rPr>
        <w:t>被授权人（签字）：</w:t>
      </w:r>
      <w:r>
        <w:rPr>
          <w:rFonts w:hint="eastAsia" w:ascii="仿宋" w:hAnsi="仿宋" w:eastAsia="仿宋" w:cs="仿宋"/>
          <w:sz w:val="24"/>
          <w:highlight w:val="none"/>
          <w:u w:val="single"/>
        </w:rPr>
        <w:t xml:space="preserve">                   </w:t>
      </w:r>
    </w:p>
    <w:p w14:paraId="3AE9F4A7">
      <w:pPr>
        <w:shd w:val="clear"/>
        <w:spacing w:line="360" w:lineRule="auto"/>
        <w:ind w:firstLine="3840" w:firstLineChars="1600"/>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C5B6EEE">
      <w:pPr>
        <w:shd w:val="clear"/>
        <w:spacing w:line="360" w:lineRule="auto"/>
        <w:rPr>
          <w:rFonts w:hint="eastAsia" w:ascii="仿宋" w:hAnsi="仿宋" w:eastAsia="仿宋" w:cs="仿宋"/>
          <w:sz w:val="24"/>
          <w:highlight w:val="none"/>
        </w:rPr>
      </w:pPr>
    </w:p>
    <w:p w14:paraId="1ABB6626">
      <w:pPr>
        <w:shd w:val="clear"/>
        <w:spacing w:line="360" w:lineRule="auto"/>
        <w:rPr>
          <w:rFonts w:hint="eastAsia" w:ascii="仿宋" w:hAnsi="仿宋" w:eastAsia="仿宋" w:cs="仿宋"/>
          <w:sz w:val="24"/>
          <w:highlight w:val="none"/>
        </w:rPr>
      </w:pPr>
      <w:r>
        <w:rPr>
          <w:rFonts w:hint="eastAsia" w:ascii="仿宋" w:hAnsi="仿宋" w:eastAsia="仿宋" w:cs="仿宋"/>
          <w:b/>
          <w:sz w:val="24"/>
          <w:highlight w:val="none"/>
        </w:rPr>
        <w:t>注：</w:t>
      </w:r>
      <w:r>
        <w:rPr>
          <w:rFonts w:hint="eastAsia" w:ascii="仿宋" w:hAnsi="仿宋" w:eastAsia="仿宋" w:cs="仿宋"/>
          <w:sz w:val="24"/>
          <w:highlight w:val="none"/>
        </w:rPr>
        <w:t>1.法定代表人必须在授权委托书上亲笔签字，委托代理人必须在授权委托书上亲笔签字，</w:t>
      </w:r>
      <w:r>
        <w:rPr>
          <w:rFonts w:hint="eastAsia" w:ascii="仿宋" w:hAnsi="仿宋" w:eastAsia="仿宋" w:cs="仿宋"/>
          <w:b/>
          <w:sz w:val="24"/>
          <w:highlight w:val="none"/>
        </w:rPr>
        <w:t>否则其响应文件按无效响应处理。</w:t>
      </w:r>
    </w:p>
    <w:p w14:paraId="224A706F">
      <w:pPr>
        <w:shd w:val="clea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2.本授权委托书应由联合体牵头人的法定代表人按上述规定签署。</w:t>
      </w:r>
    </w:p>
    <w:p w14:paraId="1CC827BF">
      <w:pPr>
        <w:shd w:val="clear"/>
        <w:spacing w:line="360" w:lineRule="auto"/>
        <w:ind w:firstLine="480" w:firstLineChars="200"/>
        <w:jc w:val="left"/>
        <w:rPr>
          <w:rFonts w:hint="eastAsia" w:ascii="仿宋" w:hAnsi="仿宋" w:eastAsia="仿宋" w:cs="仿宋"/>
          <w:spacing w:val="-11"/>
          <w:sz w:val="24"/>
          <w:highlight w:val="none"/>
        </w:rPr>
      </w:pPr>
      <w:r>
        <w:rPr>
          <w:rFonts w:hint="eastAsia" w:ascii="仿宋" w:hAnsi="仿宋" w:eastAsia="仿宋" w:cs="仿宋"/>
          <w:sz w:val="24"/>
          <w:highlight w:val="none"/>
        </w:rPr>
        <w:t>3.</w:t>
      </w:r>
      <w:r>
        <w:rPr>
          <w:rFonts w:hint="eastAsia" w:ascii="仿宋" w:hAnsi="仿宋" w:eastAsia="仿宋" w:cs="仿宋"/>
          <w:spacing w:val="-11"/>
          <w:sz w:val="24"/>
          <w:highlight w:val="none"/>
        </w:rPr>
        <w:t>法人、其他组织</w:t>
      </w:r>
      <w:r>
        <w:rPr>
          <w:rFonts w:hint="eastAsia" w:ascii="仿宋" w:hAnsi="仿宋" w:eastAsia="仿宋" w:cs="仿宋"/>
          <w:sz w:val="24"/>
          <w:highlight w:val="none"/>
        </w:rPr>
        <w:t>参与竞争性磋商</w:t>
      </w:r>
      <w:r>
        <w:rPr>
          <w:rFonts w:hint="eastAsia" w:ascii="仿宋" w:hAnsi="仿宋" w:eastAsia="仿宋" w:cs="仿宋"/>
          <w:spacing w:val="-11"/>
          <w:sz w:val="24"/>
          <w:highlight w:val="none"/>
        </w:rPr>
        <w:t>时“我方”是指“我单位”，自然人</w:t>
      </w:r>
      <w:r>
        <w:rPr>
          <w:rFonts w:hint="eastAsia" w:ascii="仿宋" w:hAnsi="仿宋" w:eastAsia="仿宋" w:cs="仿宋"/>
          <w:sz w:val="24"/>
          <w:highlight w:val="none"/>
        </w:rPr>
        <w:t>参与竞争性磋商</w:t>
      </w:r>
      <w:r>
        <w:rPr>
          <w:rFonts w:hint="eastAsia" w:ascii="仿宋" w:hAnsi="仿宋" w:eastAsia="仿宋" w:cs="仿宋"/>
          <w:spacing w:val="-11"/>
          <w:sz w:val="24"/>
          <w:highlight w:val="none"/>
        </w:rPr>
        <w:t>时“我方”是指“本人”。</w:t>
      </w:r>
    </w:p>
    <w:bookmarkEnd w:id="44"/>
    <w:p w14:paraId="45A9808F">
      <w:pPr>
        <w:shd w:val="clear"/>
        <w:jc w:val="center"/>
        <w:rPr>
          <w:rFonts w:hint="eastAsia" w:ascii="仿宋" w:hAnsi="仿宋" w:eastAsia="仿宋" w:cs="仿宋"/>
          <w:bCs/>
          <w:sz w:val="44"/>
          <w:szCs w:val="44"/>
          <w:highlight w:val="none"/>
        </w:rPr>
      </w:pPr>
      <w:r>
        <w:rPr>
          <w:rFonts w:hint="eastAsia" w:ascii="仿宋" w:hAnsi="仿宋" w:eastAsia="仿宋" w:cs="仿宋"/>
          <w:sz w:val="32"/>
          <w:szCs w:val="32"/>
          <w:highlight w:val="none"/>
        </w:rPr>
        <w:br w:type="page"/>
      </w:r>
      <w:r>
        <w:rPr>
          <w:rFonts w:hint="eastAsia" w:ascii="仿宋" w:hAnsi="仿宋" w:eastAsia="仿宋" w:cs="仿宋"/>
          <w:b/>
          <w:bCs/>
          <w:sz w:val="44"/>
          <w:szCs w:val="44"/>
          <w:highlight w:val="none"/>
        </w:rPr>
        <w:t>商务要求偏离表</w:t>
      </w:r>
      <w:r>
        <w:rPr>
          <w:rFonts w:hint="eastAsia" w:ascii="仿宋" w:hAnsi="仿宋" w:eastAsia="仿宋" w:cs="仿宋"/>
          <w:bCs/>
          <w:sz w:val="44"/>
          <w:szCs w:val="44"/>
          <w:highlight w:val="none"/>
        </w:rPr>
        <w:t>（格式）</w:t>
      </w:r>
    </w:p>
    <w:p w14:paraId="12B5D44E">
      <w:pPr>
        <w:shd w:val="clear"/>
        <w:jc w:val="center"/>
        <w:rPr>
          <w:rFonts w:hint="eastAsia" w:ascii="仿宋" w:hAnsi="仿宋" w:eastAsia="仿宋" w:cs="仿宋"/>
          <w:bCs/>
          <w:sz w:val="36"/>
          <w:szCs w:val="36"/>
          <w:highlight w:val="none"/>
        </w:rPr>
      </w:pPr>
      <w:r>
        <w:rPr>
          <w:rFonts w:hint="eastAsia" w:ascii="仿宋" w:hAnsi="仿宋" w:eastAsia="仿宋" w:cs="仿宋"/>
          <w:bCs/>
          <w:sz w:val="36"/>
          <w:szCs w:val="36"/>
          <w:highlight w:val="none"/>
        </w:rPr>
        <w:t>（注：按采购需求具体条款修改）</w:t>
      </w:r>
    </w:p>
    <w:p w14:paraId="649E6C75">
      <w:pPr>
        <w:shd w:val="clear"/>
        <w:spacing w:line="360" w:lineRule="auto"/>
        <w:contextualSpacing/>
        <w:jc w:val="left"/>
        <w:rPr>
          <w:rFonts w:hint="eastAsia" w:ascii="仿宋" w:hAnsi="仿宋" w:eastAsia="仿宋" w:cs="仿宋"/>
          <w:sz w:val="24"/>
          <w:highlight w:val="none"/>
        </w:rPr>
      </w:pPr>
    </w:p>
    <w:p w14:paraId="2CB3A038">
      <w:pPr>
        <w:shd w:val="clear"/>
        <w:spacing w:line="360" w:lineRule="auto"/>
        <w:contextualSpacing/>
        <w:rPr>
          <w:rFonts w:hint="eastAsia" w:ascii="仿宋" w:hAnsi="仿宋" w:eastAsia="仿宋" w:cs="仿宋"/>
          <w:sz w:val="24"/>
          <w:highlight w:val="none"/>
          <w:u w:val="single"/>
        </w:rPr>
      </w:pPr>
      <w:r>
        <w:rPr>
          <w:rFonts w:hint="eastAsia" w:ascii="仿宋" w:hAnsi="仿宋" w:eastAsia="仿宋" w:cs="仿宋"/>
          <w:sz w:val="24"/>
          <w:highlight w:val="none"/>
        </w:rPr>
        <w:t>采购项目编号：</w:t>
      </w:r>
      <w:r>
        <w:rPr>
          <w:rFonts w:hint="eastAsia" w:ascii="仿宋" w:hAnsi="仿宋" w:eastAsia="仿宋" w:cs="仿宋"/>
          <w:sz w:val="24"/>
          <w:highlight w:val="none"/>
          <w:u w:val="single"/>
        </w:rPr>
        <w:t xml:space="preserve">                 </w:t>
      </w:r>
    </w:p>
    <w:p w14:paraId="02164469">
      <w:pPr>
        <w:shd w:val="clea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采购项目名称：</w:t>
      </w:r>
      <w:r>
        <w:rPr>
          <w:rFonts w:hint="eastAsia" w:ascii="仿宋" w:hAnsi="仿宋" w:eastAsia="仿宋" w:cs="仿宋"/>
          <w:sz w:val="24"/>
          <w:highlight w:val="none"/>
          <w:u w:val="single"/>
        </w:rPr>
        <w:t xml:space="preserve">                 </w:t>
      </w:r>
    </w:p>
    <w:p w14:paraId="2B4B2F3C">
      <w:pPr>
        <w:shd w:val="clea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分标号：</w:t>
      </w:r>
      <w:r>
        <w:rPr>
          <w:rFonts w:hint="eastAsia" w:ascii="仿宋" w:hAnsi="仿宋" w:eastAsia="仿宋" w:cs="仿宋"/>
          <w:sz w:val="24"/>
          <w:highlight w:val="none"/>
          <w:u w:val="single"/>
        </w:rPr>
        <w:t xml:space="preserve">                       </w:t>
      </w:r>
    </w:p>
    <w:p w14:paraId="7E5FE863">
      <w:pPr>
        <w:shd w:val="clear"/>
        <w:spacing w:line="360" w:lineRule="auto"/>
        <w:contextualSpacing/>
        <w:jc w:val="left"/>
        <w:rPr>
          <w:rFonts w:hint="eastAsia" w:ascii="仿宋" w:hAnsi="仿宋" w:eastAsia="仿宋" w:cs="仿宋"/>
          <w:sz w:val="24"/>
          <w:highlight w:val="none"/>
          <w:u w:val="single"/>
        </w:rPr>
      </w:pPr>
    </w:p>
    <w:tbl>
      <w:tblPr>
        <w:tblStyle w:val="29"/>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2474A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0631BC5">
            <w:pPr>
              <w:shd w:val="clear"/>
              <w:spacing w:line="360" w:lineRule="auto"/>
              <w:contextualSpacing/>
              <w:jc w:val="center"/>
              <w:rPr>
                <w:rFonts w:hint="eastAsia" w:ascii="仿宋" w:hAnsi="仿宋" w:eastAsia="仿宋" w:cs="仿宋"/>
                <w:sz w:val="24"/>
                <w:highlight w:val="none"/>
              </w:rPr>
            </w:pPr>
            <w:r>
              <w:rPr>
                <w:rFonts w:hint="eastAsia" w:ascii="仿宋" w:hAnsi="仿宋" w:eastAsia="仿宋" w:cs="仿宋"/>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52D2D82">
            <w:pPr>
              <w:shd w:val="clear"/>
              <w:spacing w:line="360" w:lineRule="auto"/>
              <w:contextualSpacing/>
              <w:jc w:val="center"/>
              <w:rPr>
                <w:rFonts w:hint="eastAsia" w:ascii="仿宋" w:hAnsi="仿宋" w:eastAsia="仿宋" w:cs="仿宋"/>
                <w:sz w:val="24"/>
                <w:highlight w:val="none"/>
              </w:rPr>
            </w:pPr>
            <w:r>
              <w:rPr>
                <w:rFonts w:hint="eastAsia" w:ascii="仿宋" w:hAnsi="仿宋" w:eastAsia="仿宋" w:cs="仿宋"/>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21379F02">
            <w:pPr>
              <w:shd w:val="clear"/>
              <w:spacing w:line="360" w:lineRule="auto"/>
              <w:contextualSpacing/>
              <w:jc w:val="center"/>
              <w:rPr>
                <w:rFonts w:hint="eastAsia" w:ascii="仿宋" w:hAnsi="仿宋" w:eastAsia="仿宋" w:cs="仿宋"/>
                <w:sz w:val="24"/>
                <w:highlight w:val="none"/>
              </w:rPr>
            </w:pPr>
            <w:r>
              <w:rPr>
                <w:rFonts w:hint="eastAsia" w:ascii="仿宋" w:hAnsi="仿宋" w:eastAsia="仿宋" w:cs="仿宋"/>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6DDBCDD7">
            <w:pPr>
              <w:shd w:val="clear"/>
              <w:spacing w:line="360" w:lineRule="auto"/>
              <w:contextualSpacing/>
              <w:jc w:val="center"/>
              <w:rPr>
                <w:rFonts w:hint="eastAsia" w:ascii="仿宋" w:hAnsi="仿宋" w:eastAsia="仿宋" w:cs="仿宋"/>
                <w:sz w:val="24"/>
                <w:highlight w:val="none"/>
              </w:rPr>
            </w:pPr>
            <w:r>
              <w:rPr>
                <w:rFonts w:hint="eastAsia" w:ascii="仿宋" w:hAnsi="仿宋" w:eastAsia="仿宋" w:cs="仿宋"/>
                <w:sz w:val="24"/>
                <w:highlight w:val="none"/>
              </w:rPr>
              <w:t>偏离说明</w:t>
            </w:r>
          </w:p>
        </w:tc>
      </w:tr>
      <w:tr w14:paraId="1469E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2958F12E">
            <w:pPr>
              <w:shd w:val="clear"/>
              <w:jc w:val="center"/>
              <w:rPr>
                <w:rFonts w:hint="eastAsia" w:ascii="仿宋" w:hAnsi="仿宋" w:eastAsia="仿宋" w:cs="仿宋"/>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54292868">
            <w:pPr>
              <w:shd w:val="clear"/>
              <w:spacing w:line="360" w:lineRule="auto"/>
              <w:contextualSpacing/>
              <w:jc w:val="center"/>
              <w:rPr>
                <w:rFonts w:hint="eastAsia" w:ascii="仿宋" w:hAnsi="仿宋" w:eastAsia="仿宋" w:cs="仿宋"/>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A000E8C">
            <w:pPr>
              <w:shd w:val="clear"/>
              <w:spacing w:line="360" w:lineRule="auto"/>
              <w:contextualSpacing/>
              <w:jc w:val="center"/>
              <w:rPr>
                <w:rFonts w:hint="eastAsia" w:ascii="仿宋" w:hAnsi="仿宋" w:eastAsia="仿宋" w:cs="仿宋"/>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7F3AF8DB">
            <w:pPr>
              <w:shd w:val="clear"/>
              <w:spacing w:line="360" w:lineRule="auto"/>
              <w:contextualSpacing/>
              <w:jc w:val="center"/>
              <w:rPr>
                <w:rFonts w:hint="eastAsia" w:ascii="仿宋" w:hAnsi="仿宋" w:eastAsia="仿宋" w:cs="仿宋"/>
                <w:sz w:val="24"/>
                <w:highlight w:val="none"/>
              </w:rPr>
            </w:pPr>
          </w:p>
        </w:tc>
      </w:tr>
      <w:tr w14:paraId="6F371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3EE627D4">
            <w:pPr>
              <w:shd w:val="clear"/>
              <w:jc w:val="center"/>
              <w:rPr>
                <w:rFonts w:hint="eastAsia" w:ascii="仿宋" w:hAnsi="仿宋" w:eastAsia="仿宋" w:cs="仿宋"/>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E92BF4B">
            <w:pPr>
              <w:shd w:val="clear"/>
              <w:spacing w:line="360" w:lineRule="auto"/>
              <w:contextualSpacing/>
              <w:jc w:val="center"/>
              <w:rPr>
                <w:rFonts w:hint="eastAsia" w:ascii="仿宋" w:hAnsi="仿宋" w:eastAsia="仿宋" w:cs="仿宋"/>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EC15A76">
            <w:pPr>
              <w:shd w:val="clear"/>
              <w:spacing w:line="360" w:lineRule="auto"/>
              <w:ind w:left="43"/>
              <w:contextualSpacing/>
              <w:jc w:val="center"/>
              <w:rPr>
                <w:rFonts w:hint="eastAsia" w:ascii="仿宋" w:hAnsi="仿宋" w:eastAsia="仿宋" w:cs="仿宋"/>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5AB8663D">
            <w:pPr>
              <w:shd w:val="clear"/>
              <w:spacing w:line="360" w:lineRule="auto"/>
              <w:ind w:left="43"/>
              <w:contextualSpacing/>
              <w:jc w:val="center"/>
              <w:rPr>
                <w:rFonts w:hint="eastAsia" w:ascii="仿宋" w:hAnsi="仿宋" w:eastAsia="仿宋" w:cs="仿宋"/>
                <w:sz w:val="24"/>
                <w:highlight w:val="none"/>
              </w:rPr>
            </w:pPr>
          </w:p>
        </w:tc>
      </w:tr>
      <w:tr w14:paraId="503D8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2FAB9877">
            <w:pPr>
              <w:shd w:val="clear"/>
              <w:spacing w:line="360" w:lineRule="auto"/>
              <w:contextualSpacing/>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6504CF17">
            <w:pPr>
              <w:shd w:val="clear"/>
              <w:spacing w:line="360" w:lineRule="auto"/>
              <w:contextualSpacing/>
              <w:jc w:val="center"/>
              <w:rPr>
                <w:rFonts w:hint="eastAsia" w:ascii="仿宋" w:hAnsi="仿宋" w:eastAsia="仿宋" w:cs="仿宋"/>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4899899">
            <w:pPr>
              <w:shd w:val="clear"/>
              <w:spacing w:line="360" w:lineRule="auto"/>
              <w:contextualSpacing/>
              <w:jc w:val="center"/>
              <w:rPr>
                <w:rFonts w:hint="eastAsia" w:ascii="仿宋" w:hAnsi="仿宋" w:eastAsia="仿宋" w:cs="仿宋"/>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2DAFE6FF">
            <w:pPr>
              <w:shd w:val="clear"/>
              <w:spacing w:line="360" w:lineRule="auto"/>
              <w:contextualSpacing/>
              <w:jc w:val="center"/>
              <w:rPr>
                <w:rFonts w:hint="eastAsia" w:ascii="仿宋" w:hAnsi="仿宋" w:eastAsia="仿宋" w:cs="仿宋"/>
                <w:sz w:val="24"/>
                <w:highlight w:val="none"/>
              </w:rPr>
            </w:pPr>
          </w:p>
        </w:tc>
      </w:tr>
    </w:tbl>
    <w:p w14:paraId="647FFC50">
      <w:pPr>
        <w:pStyle w:val="12"/>
        <w:shd w:val="clear"/>
        <w:spacing w:after="0" w:line="360" w:lineRule="auto"/>
        <w:contextualSpacing/>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w:t>
      </w:r>
    </w:p>
    <w:p w14:paraId="1CFF769C">
      <w:pPr>
        <w:pStyle w:val="12"/>
        <w:shd w:val="clear"/>
        <w:spacing w:after="0" w:line="360" w:lineRule="auto"/>
        <w:contextualSpacing/>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1.说明：应对照磋商文件“第三章 采购需求”中的商务要求逐条作出明确响应，并作出偏离说明。</w:t>
      </w:r>
    </w:p>
    <w:p w14:paraId="0F760795">
      <w:pPr>
        <w:shd w:val="clear"/>
        <w:spacing w:line="360" w:lineRule="auto"/>
        <w:contextualSpacing/>
        <w:jc w:val="left"/>
        <w:rPr>
          <w:rFonts w:hint="eastAsia" w:ascii="仿宋" w:hAnsi="仿宋" w:eastAsia="仿宋" w:cs="仿宋"/>
          <w:sz w:val="24"/>
          <w:highlight w:val="none"/>
          <w:u w:val="single"/>
        </w:rPr>
      </w:pPr>
      <w:r>
        <w:rPr>
          <w:rFonts w:hint="eastAsia" w:ascii="仿宋" w:hAnsi="仿宋" w:eastAsia="仿宋" w:cs="仿宋"/>
          <w:kern w:val="0"/>
          <w:sz w:val="24"/>
          <w:highlight w:val="none"/>
        </w:rPr>
        <w:t>2.供应商应根据自身的承诺，对照磋商文件要求在“偏离说明”中注明“正偏离”、“负偏离”或者“无偏离”。既不属于“正偏离”也不属于“负偏离”即为“无偏离”。</w:t>
      </w:r>
    </w:p>
    <w:p w14:paraId="3E0D887D">
      <w:pPr>
        <w:shd w:val="clear"/>
        <w:spacing w:line="360" w:lineRule="auto"/>
        <w:ind w:right="-817" w:rightChars="-389"/>
        <w:contextualSpacing/>
        <w:rPr>
          <w:rFonts w:hint="eastAsia" w:ascii="仿宋" w:hAnsi="仿宋" w:eastAsia="仿宋" w:cs="仿宋"/>
          <w:sz w:val="24"/>
          <w:highlight w:val="none"/>
        </w:rPr>
      </w:pPr>
    </w:p>
    <w:p w14:paraId="283A0771">
      <w:pPr>
        <w:shd w:val="clear"/>
        <w:spacing w:line="360" w:lineRule="auto"/>
        <w:ind w:right="-817" w:rightChars="-389" w:firstLine="960" w:firstLineChars="400"/>
        <w:contextualSpacing/>
        <w:rPr>
          <w:rFonts w:hint="eastAsia" w:ascii="仿宋" w:hAnsi="仿宋" w:eastAsia="仿宋" w:cs="仿宋"/>
          <w:sz w:val="24"/>
          <w:highlight w:val="none"/>
        </w:rPr>
      </w:pPr>
      <w:r>
        <w:rPr>
          <w:rFonts w:hint="eastAsia" w:ascii="仿宋" w:hAnsi="仿宋" w:eastAsia="仿宋" w:cs="仿宋"/>
          <w:sz w:val="24"/>
          <w:highlight w:val="none"/>
        </w:rPr>
        <w:t>法定代表人或者委托代理人（签字）：</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53C4055">
      <w:pPr>
        <w:shd w:val="clear"/>
        <w:spacing w:line="360" w:lineRule="auto"/>
        <w:ind w:right="-817" w:rightChars="-389" w:firstLine="2640" w:firstLineChars="1100"/>
        <w:contextualSpacing/>
        <w:rPr>
          <w:rFonts w:hint="eastAsia" w:ascii="仿宋" w:hAnsi="仿宋" w:eastAsia="仿宋" w:cs="仿宋"/>
          <w:sz w:val="24"/>
          <w:highlight w:val="none"/>
        </w:rPr>
      </w:pPr>
      <w:r>
        <w:rPr>
          <w:rFonts w:hint="eastAsia" w:ascii="仿宋" w:hAnsi="仿宋" w:eastAsia="仿宋" w:cs="仿宋"/>
          <w:sz w:val="24"/>
          <w:highlight w:val="none"/>
        </w:rPr>
        <w:t>供应商（公章）：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037CE542">
      <w:pPr>
        <w:shd w:val="clear"/>
        <w:spacing w:line="360" w:lineRule="auto"/>
        <w:ind w:right="-817" w:rightChars="-389" w:firstLine="4080" w:firstLineChars="1700"/>
        <w:contextualSpacing/>
        <w:rPr>
          <w:rFonts w:hint="eastAsia" w:ascii="仿宋" w:hAnsi="仿宋" w:eastAsia="仿宋" w:cs="仿宋"/>
          <w:b/>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973C96D">
      <w:pPr>
        <w:shd w:val="clear"/>
        <w:adjustRightInd w:val="0"/>
        <w:snapToGrid w:val="0"/>
        <w:spacing w:line="520" w:lineRule="exact"/>
        <w:ind w:firstLine="7040" w:firstLineChars="1600"/>
        <w:jc w:val="center"/>
        <w:rPr>
          <w:rFonts w:hint="eastAsia" w:ascii="仿宋" w:hAnsi="仿宋" w:eastAsia="仿宋" w:cs="仿宋"/>
          <w:bCs/>
          <w:sz w:val="44"/>
          <w:szCs w:val="44"/>
          <w:highlight w:val="none"/>
        </w:rPr>
      </w:pPr>
    </w:p>
    <w:p w14:paraId="1A033A22">
      <w:pPr>
        <w:shd w:val="clear"/>
        <w:adjustRightInd w:val="0"/>
        <w:snapToGrid w:val="0"/>
        <w:spacing w:line="520" w:lineRule="exact"/>
        <w:ind w:firstLine="7040" w:firstLineChars="1600"/>
        <w:jc w:val="center"/>
        <w:rPr>
          <w:rFonts w:hint="eastAsia" w:ascii="仿宋" w:hAnsi="仿宋" w:eastAsia="仿宋" w:cs="仿宋"/>
          <w:bCs/>
          <w:sz w:val="44"/>
          <w:szCs w:val="44"/>
          <w:highlight w:val="none"/>
        </w:rPr>
      </w:pPr>
    </w:p>
    <w:p w14:paraId="08D9F489">
      <w:pPr>
        <w:shd w:val="clear"/>
        <w:adjustRightInd w:val="0"/>
        <w:snapToGrid w:val="0"/>
        <w:spacing w:line="520" w:lineRule="exact"/>
        <w:ind w:firstLine="7040" w:firstLineChars="1600"/>
        <w:jc w:val="center"/>
        <w:rPr>
          <w:rFonts w:hint="eastAsia" w:ascii="仿宋" w:hAnsi="仿宋" w:eastAsia="仿宋" w:cs="仿宋"/>
          <w:bCs/>
          <w:sz w:val="44"/>
          <w:szCs w:val="44"/>
          <w:highlight w:val="none"/>
        </w:rPr>
      </w:pPr>
    </w:p>
    <w:p w14:paraId="2C86D881">
      <w:pPr>
        <w:shd w:val="clear"/>
        <w:adjustRightInd w:val="0"/>
        <w:snapToGrid w:val="0"/>
        <w:spacing w:line="520" w:lineRule="exact"/>
        <w:ind w:firstLine="7040" w:firstLineChars="1600"/>
        <w:jc w:val="center"/>
        <w:rPr>
          <w:rFonts w:hint="eastAsia" w:ascii="仿宋" w:hAnsi="仿宋" w:eastAsia="仿宋" w:cs="仿宋"/>
          <w:bCs/>
          <w:sz w:val="44"/>
          <w:szCs w:val="44"/>
          <w:highlight w:val="none"/>
        </w:rPr>
      </w:pPr>
    </w:p>
    <w:p w14:paraId="4C2C9133">
      <w:pPr>
        <w:shd w:val="clear"/>
        <w:adjustRightInd w:val="0"/>
        <w:snapToGrid w:val="0"/>
        <w:spacing w:line="520" w:lineRule="exact"/>
        <w:rPr>
          <w:rFonts w:hint="eastAsia" w:ascii="仿宋" w:hAnsi="仿宋" w:eastAsia="仿宋" w:cs="仿宋"/>
          <w:szCs w:val="21"/>
          <w:highlight w:val="none"/>
          <w:u w:val="single"/>
        </w:rPr>
      </w:pPr>
    </w:p>
    <w:p w14:paraId="64CB1E2D">
      <w:pPr>
        <w:shd w:val="clear"/>
        <w:adjustRightInd w:val="0"/>
        <w:snapToGrid w:val="0"/>
        <w:jc w:val="center"/>
        <w:rPr>
          <w:rFonts w:hint="eastAsia" w:ascii="仿宋" w:hAnsi="仿宋" w:eastAsia="仿宋" w:cs="仿宋"/>
          <w:bCs/>
          <w:sz w:val="44"/>
          <w:szCs w:val="44"/>
          <w:highlight w:val="none"/>
        </w:rPr>
      </w:pPr>
      <w:r>
        <w:rPr>
          <w:rFonts w:hint="eastAsia" w:ascii="仿宋" w:hAnsi="仿宋" w:eastAsia="仿宋" w:cs="仿宋"/>
          <w:bCs/>
          <w:sz w:val="44"/>
          <w:szCs w:val="44"/>
          <w:highlight w:val="none"/>
        </w:rPr>
        <w:br w:type="page"/>
      </w:r>
      <w:r>
        <w:rPr>
          <w:rFonts w:hint="eastAsia" w:ascii="仿宋" w:hAnsi="仿宋" w:eastAsia="仿宋" w:cs="仿宋"/>
          <w:b/>
          <w:bCs/>
          <w:sz w:val="44"/>
          <w:szCs w:val="44"/>
          <w:highlight w:val="none"/>
        </w:rPr>
        <w:t>服务要求偏离表</w:t>
      </w:r>
      <w:r>
        <w:rPr>
          <w:rFonts w:hint="eastAsia" w:ascii="仿宋" w:hAnsi="仿宋" w:eastAsia="仿宋" w:cs="仿宋"/>
          <w:bCs/>
          <w:sz w:val="44"/>
          <w:szCs w:val="44"/>
          <w:highlight w:val="none"/>
        </w:rPr>
        <w:t>（格式）</w:t>
      </w:r>
    </w:p>
    <w:p w14:paraId="5F519D94">
      <w:pPr>
        <w:shd w:val="clear"/>
        <w:jc w:val="center"/>
        <w:rPr>
          <w:rFonts w:hint="eastAsia" w:ascii="仿宋" w:hAnsi="仿宋" w:eastAsia="仿宋" w:cs="仿宋"/>
          <w:bCs/>
          <w:sz w:val="36"/>
          <w:szCs w:val="36"/>
          <w:highlight w:val="none"/>
        </w:rPr>
      </w:pPr>
      <w:r>
        <w:rPr>
          <w:rFonts w:hint="eastAsia" w:ascii="仿宋" w:hAnsi="仿宋" w:eastAsia="仿宋" w:cs="仿宋"/>
          <w:bCs/>
          <w:sz w:val="36"/>
          <w:szCs w:val="36"/>
          <w:highlight w:val="none"/>
        </w:rPr>
        <w:t>（注：按采购需求具体条款修改）</w:t>
      </w:r>
    </w:p>
    <w:p w14:paraId="3ACAD122">
      <w:pPr>
        <w:shd w:val="clea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采购项目名称：</w:t>
      </w:r>
      <w:r>
        <w:rPr>
          <w:rFonts w:hint="eastAsia" w:ascii="仿宋" w:hAnsi="仿宋" w:eastAsia="仿宋" w:cs="仿宋"/>
          <w:sz w:val="24"/>
          <w:highlight w:val="none"/>
          <w:u w:val="single"/>
        </w:rPr>
        <w:t xml:space="preserve">                 </w:t>
      </w:r>
    </w:p>
    <w:p w14:paraId="6A0960BF">
      <w:pPr>
        <w:shd w:val="clear"/>
        <w:spacing w:line="360" w:lineRule="auto"/>
        <w:contextualSpacing/>
        <w:rPr>
          <w:rFonts w:hint="eastAsia" w:ascii="仿宋" w:hAnsi="仿宋" w:eastAsia="仿宋" w:cs="仿宋"/>
          <w:sz w:val="24"/>
          <w:highlight w:val="none"/>
          <w:u w:val="single"/>
        </w:rPr>
      </w:pPr>
      <w:r>
        <w:rPr>
          <w:rFonts w:hint="eastAsia" w:ascii="仿宋" w:hAnsi="仿宋" w:eastAsia="仿宋" w:cs="仿宋"/>
          <w:sz w:val="24"/>
          <w:highlight w:val="none"/>
        </w:rPr>
        <w:t>采购项目编号：</w:t>
      </w:r>
      <w:r>
        <w:rPr>
          <w:rFonts w:hint="eastAsia" w:ascii="仿宋" w:hAnsi="仿宋" w:eastAsia="仿宋" w:cs="仿宋"/>
          <w:sz w:val="24"/>
          <w:highlight w:val="none"/>
          <w:u w:val="single"/>
        </w:rPr>
        <w:t xml:space="preserve">                 </w:t>
      </w:r>
    </w:p>
    <w:p w14:paraId="72E2237E">
      <w:pPr>
        <w:shd w:val="clear"/>
        <w:spacing w:line="360" w:lineRule="auto"/>
        <w:contextualSpacing/>
        <w:rPr>
          <w:rFonts w:hint="eastAsia" w:ascii="仿宋" w:hAnsi="仿宋" w:eastAsia="仿宋" w:cs="仿宋"/>
          <w:sz w:val="24"/>
          <w:highlight w:val="none"/>
          <w:u w:val="single"/>
        </w:rPr>
      </w:pPr>
      <w:r>
        <w:rPr>
          <w:rFonts w:hint="eastAsia" w:ascii="仿宋" w:hAnsi="仿宋" w:eastAsia="仿宋" w:cs="仿宋"/>
          <w:sz w:val="24"/>
          <w:highlight w:val="none"/>
        </w:rPr>
        <w:t>分标号：</w:t>
      </w:r>
      <w:r>
        <w:rPr>
          <w:rFonts w:hint="eastAsia" w:ascii="仿宋" w:hAnsi="仿宋" w:eastAsia="仿宋" w:cs="仿宋"/>
          <w:sz w:val="24"/>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3C060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878893D">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bookmarkStart w:id="47" w:name="_Toc254970729"/>
            <w:bookmarkStart w:id="48" w:name="_Toc173066401"/>
            <w:bookmarkStart w:id="49" w:name="_Toc373333689"/>
            <w:bookmarkStart w:id="50" w:name="_Toc383699906"/>
            <w:bookmarkStart w:id="51" w:name="_Toc254970588"/>
            <w:bookmarkStart w:id="52" w:name="_Toc173211900"/>
            <w:bookmarkStart w:id="53" w:name="_Toc301781611"/>
            <w:bookmarkStart w:id="54" w:name="_Toc297193185"/>
            <w:bookmarkStart w:id="55" w:name="_Toc295404981"/>
            <w:r>
              <w:rPr>
                <w:rFonts w:hint="eastAsia" w:ascii="仿宋" w:hAnsi="仿宋" w:eastAsia="仿宋" w:cs="仿宋"/>
                <w:kern w:val="2"/>
                <w:sz w:val="24"/>
                <w:szCs w:val="24"/>
                <w:highlight w:val="none"/>
              </w:rPr>
              <w:t>序号</w:t>
            </w:r>
            <w:bookmarkEnd w:id="47"/>
            <w:bookmarkEnd w:id="48"/>
            <w:bookmarkEnd w:id="49"/>
            <w:bookmarkEnd w:id="50"/>
            <w:bookmarkEnd w:id="51"/>
            <w:bookmarkEnd w:id="52"/>
            <w:bookmarkEnd w:id="53"/>
            <w:bookmarkEnd w:id="54"/>
            <w:bookmarkEnd w:id="55"/>
          </w:p>
        </w:tc>
        <w:tc>
          <w:tcPr>
            <w:tcW w:w="992" w:type="dxa"/>
            <w:tcBorders>
              <w:right w:val="single" w:color="auto" w:sz="4" w:space="0"/>
            </w:tcBorders>
            <w:vAlign w:val="center"/>
          </w:tcPr>
          <w:p w14:paraId="7335DBB9">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名称</w:t>
            </w:r>
          </w:p>
        </w:tc>
        <w:tc>
          <w:tcPr>
            <w:tcW w:w="3292" w:type="dxa"/>
            <w:tcBorders>
              <w:left w:val="single" w:color="auto" w:sz="4" w:space="0"/>
            </w:tcBorders>
            <w:vAlign w:val="center"/>
          </w:tcPr>
          <w:p w14:paraId="743B3DFE">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服务要求</w:t>
            </w:r>
          </w:p>
        </w:tc>
        <w:tc>
          <w:tcPr>
            <w:tcW w:w="2963" w:type="dxa"/>
            <w:vAlign w:val="center"/>
          </w:tcPr>
          <w:p w14:paraId="1FC627CC">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bookmarkStart w:id="56" w:name="_Toc254970731"/>
            <w:bookmarkStart w:id="57" w:name="_Toc173066403"/>
            <w:bookmarkStart w:id="58" w:name="_Toc301781613"/>
            <w:bookmarkStart w:id="59" w:name="_Toc295404983"/>
            <w:bookmarkStart w:id="60" w:name="_Toc383699908"/>
            <w:bookmarkStart w:id="61" w:name="_Toc297193187"/>
            <w:bookmarkStart w:id="62" w:name="_Toc254970590"/>
            <w:bookmarkStart w:id="63" w:name="_Toc173211902"/>
            <w:bookmarkStart w:id="64" w:name="_Toc373333691"/>
            <w:r>
              <w:rPr>
                <w:rFonts w:hint="eastAsia" w:ascii="仿宋" w:hAnsi="仿宋" w:eastAsia="仿宋" w:cs="仿宋"/>
                <w:kern w:val="2"/>
                <w:sz w:val="24"/>
                <w:szCs w:val="24"/>
                <w:highlight w:val="none"/>
              </w:rPr>
              <w:t>供应商的响应</w:t>
            </w:r>
            <w:bookmarkEnd w:id="56"/>
            <w:bookmarkEnd w:id="57"/>
            <w:bookmarkEnd w:id="58"/>
            <w:bookmarkEnd w:id="59"/>
            <w:bookmarkEnd w:id="60"/>
            <w:bookmarkEnd w:id="61"/>
            <w:bookmarkEnd w:id="62"/>
            <w:bookmarkEnd w:id="63"/>
            <w:bookmarkEnd w:id="64"/>
          </w:p>
        </w:tc>
        <w:tc>
          <w:tcPr>
            <w:tcW w:w="1616" w:type="dxa"/>
            <w:vAlign w:val="center"/>
          </w:tcPr>
          <w:p w14:paraId="0FF16D97">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bookmarkStart w:id="65" w:name="_Toc173066404"/>
            <w:bookmarkStart w:id="66" w:name="_Toc297193188"/>
            <w:bookmarkStart w:id="67" w:name="_Toc301781614"/>
            <w:bookmarkStart w:id="68" w:name="_Toc254970732"/>
            <w:bookmarkStart w:id="69" w:name="_Toc295404984"/>
            <w:bookmarkStart w:id="70" w:name="_Toc383699909"/>
            <w:bookmarkStart w:id="71" w:name="_Toc173211903"/>
            <w:bookmarkStart w:id="72" w:name="_Toc373333692"/>
            <w:bookmarkStart w:id="73" w:name="_Toc254970591"/>
            <w:r>
              <w:rPr>
                <w:rFonts w:hint="eastAsia" w:ascii="仿宋" w:hAnsi="仿宋" w:eastAsia="仿宋" w:cs="仿宋"/>
                <w:kern w:val="2"/>
                <w:sz w:val="24"/>
                <w:szCs w:val="24"/>
                <w:highlight w:val="none"/>
              </w:rPr>
              <w:t>偏离</w:t>
            </w:r>
            <w:bookmarkEnd w:id="65"/>
            <w:bookmarkEnd w:id="66"/>
            <w:bookmarkEnd w:id="67"/>
            <w:bookmarkEnd w:id="68"/>
            <w:bookmarkEnd w:id="69"/>
            <w:bookmarkEnd w:id="70"/>
            <w:bookmarkEnd w:id="71"/>
            <w:bookmarkEnd w:id="72"/>
            <w:bookmarkEnd w:id="73"/>
            <w:bookmarkStart w:id="74" w:name="_Toc297193189"/>
            <w:bookmarkStart w:id="75" w:name="_Toc254970733"/>
            <w:bookmarkStart w:id="76" w:name="_Toc254970592"/>
            <w:bookmarkStart w:id="77" w:name="_Toc173211904"/>
            <w:bookmarkStart w:id="78" w:name="_Toc173066405"/>
            <w:bookmarkStart w:id="79" w:name="_Toc373333693"/>
            <w:bookmarkStart w:id="80" w:name="_Toc295404985"/>
            <w:bookmarkStart w:id="81" w:name="_Toc383699910"/>
            <w:bookmarkStart w:id="82" w:name="_Toc301781615"/>
            <w:r>
              <w:rPr>
                <w:rFonts w:hint="eastAsia" w:ascii="仿宋" w:hAnsi="仿宋" w:eastAsia="仿宋" w:cs="仿宋"/>
                <w:kern w:val="2"/>
                <w:sz w:val="24"/>
                <w:szCs w:val="24"/>
                <w:highlight w:val="none"/>
              </w:rPr>
              <w:t>说明</w:t>
            </w:r>
            <w:bookmarkEnd w:id="74"/>
            <w:bookmarkEnd w:id="75"/>
            <w:bookmarkEnd w:id="76"/>
            <w:bookmarkEnd w:id="77"/>
            <w:bookmarkEnd w:id="78"/>
            <w:bookmarkEnd w:id="79"/>
            <w:bookmarkEnd w:id="80"/>
            <w:bookmarkEnd w:id="81"/>
            <w:bookmarkEnd w:id="82"/>
          </w:p>
        </w:tc>
      </w:tr>
      <w:tr w14:paraId="4109AE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D6E2505">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bookmarkStart w:id="83" w:name="_Toc383699911"/>
            <w:bookmarkStart w:id="84" w:name="_Toc173211905"/>
            <w:bookmarkStart w:id="85" w:name="_Toc373333694"/>
            <w:bookmarkStart w:id="86" w:name="_Toc254970734"/>
            <w:bookmarkStart w:id="87" w:name="_Toc295404986"/>
            <w:bookmarkStart w:id="88" w:name="_Toc301781616"/>
            <w:bookmarkStart w:id="89" w:name="_Toc254970593"/>
            <w:bookmarkStart w:id="90" w:name="_Toc297193190"/>
            <w:bookmarkStart w:id="91" w:name="_Toc173066406"/>
            <w:r>
              <w:rPr>
                <w:rFonts w:hint="eastAsia" w:ascii="仿宋" w:hAnsi="仿宋" w:eastAsia="仿宋" w:cs="仿宋"/>
                <w:kern w:val="2"/>
                <w:sz w:val="24"/>
                <w:szCs w:val="24"/>
                <w:highlight w:val="none"/>
              </w:rPr>
              <w:t>1</w:t>
            </w:r>
            <w:bookmarkEnd w:id="83"/>
            <w:bookmarkEnd w:id="84"/>
            <w:bookmarkEnd w:id="85"/>
            <w:bookmarkEnd w:id="86"/>
            <w:bookmarkEnd w:id="87"/>
            <w:bookmarkEnd w:id="88"/>
            <w:bookmarkEnd w:id="89"/>
            <w:bookmarkEnd w:id="90"/>
            <w:bookmarkEnd w:id="91"/>
          </w:p>
        </w:tc>
        <w:tc>
          <w:tcPr>
            <w:tcW w:w="992" w:type="dxa"/>
            <w:tcBorders>
              <w:right w:val="single" w:color="auto" w:sz="4" w:space="0"/>
            </w:tcBorders>
            <w:vAlign w:val="center"/>
          </w:tcPr>
          <w:p w14:paraId="158F166C">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3292" w:type="dxa"/>
            <w:tcBorders>
              <w:left w:val="single" w:color="auto" w:sz="4" w:space="0"/>
            </w:tcBorders>
            <w:vAlign w:val="center"/>
          </w:tcPr>
          <w:p w14:paraId="2D5BEC67">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2963" w:type="dxa"/>
            <w:vAlign w:val="center"/>
          </w:tcPr>
          <w:p w14:paraId="3A88E39D">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1616" w:type="dxa"/>
            <w:vAlign w:val="center"/>
          </w:tcPr>
          <w:p w14:paraId="3090E0B8">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r>
      <w:tr w14:paraId="71A9B7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2B833AD9">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bookmarkStart w:id="92" w:name="_Toc295404987"/>
            <w:bookmarkStart w:id="93" w:name="_Toc173211906"/>
            <w:bookmarkStart w:id="94" w:name="_Toc254970594"/>
            <w:bookmarkStart w:id="95" w:name="_Toc383699912"/>
            <w:bookmarkStart w:id="96" w:name="_Toc173066407"/>
            <w:bookmarkStart w:id="97" w:name="_Toc297193191"/>
            <w:bookmarkStart w:id="98" w:name="_Toc301781617"/>
            <w:bookmarkStart w:id="99" w:name="_Toc254970735"/>
            <w:bookmarkStart w:id="100" w:name="_Toc373333695"/>
            <w:r>
              <w:rPr>
                <w:rFonts w:hint="eastAsia" w:ascii="仿宋" w:hAnsi="仿宋" w:eastAsia="仿宋" w:cs="仿宋"/>
                <w:kern w:val="2"/>
                <w:sz w:val="24"/>
                <w:szCs w:val="24"/>
                <w:highlight w:val="none"/>
              </w:rPr>
              <w:t>2</w:t>
            </w:r>
            <w:bookmarkEnd w:id="92"/>
            <w:bookmarkEnd w:id="93"/>
            <w:bookmarkEnd w:id="94"/>
            <w:bookmarkEnd w:id="95"/>
            <w:bookmarkEnd w:id="96"/>
            <w:bookmarkEnd w:id="97"/>
            <w:bookmarkEnd w:id="98"/>
            <w:bookmarkEnd w:id="99"/>
            <w:bookmarkEnd w:id="100"/>
          </w:p>
        </w:tc>
        <w:tc>
          <w:tcPr>
            <w:tcW w:w="992" w:type="dxa"/>
            <w:tcBorders>
              <w:right w:val="single" w:color="auto" w:sz="4" w:space="0"/>
            </w:tcBorders>
            <w:vAlign w:val="center"/>
          </w:tcPr>
          <w:p w14:paraId="64756AE6">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3292" w:type="dxa"/>
            <w:tcBorders>
              <w:left w:val="single" w:color="auto" w:sz="4" w:space="0"/>
            </w:tcBorders>
            <w:vAlign w:val="center"/>
          </w:tcPr>
          <w:p w14:paraId="0792F21E">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2963" w:type="dxa"/>
            <w:vAlign w:val="center"/>
          </w:tcPr>
          <w:p w14:paraId="2B5F2657">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1616" w:type="dxa"/>
            <w:vAlign w:val="center"/>
          </w:tcPr>
          <w:p w14:paraId="7C4EAF58">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r>
      <w:tr w14:paraId="0E6A3F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6F97499">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bookmarkStart w:id="101" w:name="_Toc301781618"/>
            <w:bookmarkStart w:id="102" w:name="_Toc297193192"/>
            <w:bookmarkStart w:id="103" w:name="_Toc254970595"/>
            <w:bookmarkStart w:id="104" w:name="_Toc254970736"/>
            <w:bookmarkStart w:id="105" w:name="_Toc383699913"/>
            <w:bookmarkStart w:id="106" w:name="_Toc373333696"/>
            <w:bookmarkStart w:id="107" w:name="_Toc173066408"/>
            <w:bookmarkStart w:id="108" w:name="_Toc173211907"/>
            <w:bookmarkStart w:id="109" w:name="_Toc295404988"/>
            <w:r>
              <w:rPr>
                <w:rFonts w:hint="eastAsia" w:ascii="仿宋" w:hAnsi="仿宋" w:eastAsia="仿宋" w:cs="仿宋"/>
                <w:kern w:val="2"/>
                <w:sz w:val="24"/>
                <w:szCs w:val="24"/>
                <w:highlight w:val="none"/>
              </w:rPr>
              <w:t>3</w:t>
            </w:r>
            <w:bookmarkEnd w:id="101"/>
            <w:bookmarkEnd w:id="102"/>
            <w:bookmarkEnd w:id="103"/>
            <w:bookmarkEnd w:id="104"/>
            <w:bookmarkEnd w:id="105"/>
            <w:bookmarkEnd w:id="106"/>
            <w:bookmarkEnd w:id="107"/>
            <w:bookmarkEnd w:id="108"/>
            <w:bookmarkEnd w:id="109"/>
          </w:p>
        </w:tc>
        <w:tc>
          <w:tcPr>
            <w:tcW w:w="992" w:type="dxa"/>
            <w:tcBorders>
              <w:right w:val="single" w:color="auto" w:sz="4" w:space="0"/>
            </w:tcBorders>
            <w:vAlign w:val="center"/>
          </w:tcPr>
          <w:p w14:paraId="7AFABCF6">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3292" w:type="dxa"/>
            <w:tcBorders>
              <w:left w:val="single" w:color="auto" w:sz="4" w:space="0"/>
            </w:tcBorders>
            <w:vAlign w:val="center"/>
          </w:tcPr>
          <w:p w14:paraId="00303018">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2963" w:type="dxa"/>
            <w:vAlign w:val="center"/>
          </w:tcPr>
          <w:p w14:paraId="53B1AC9C">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1616" w:type="dxa"/>
            <w:vAlign w:val="center"/>
          </w:tcPr>
          <w:p w14:paraId="6237B6BC">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r>
      <w:tr w14:paraId="0713B7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D09B593">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bookmarkStart w:id="110" w:name="_Toc173066409"/>
            <w:bookmarkStart w:id="111" w:name="_Toc383699914"/>
            <w:bookmarkStart w:id="112" w:name="_Toc254970737"/>
            <w:bookmarkStart w:id="113" w:name="_Toc373333697"/>
            <w:bookmarkStart w:id="114" w:name="_Toc254970596"/>
            <w:bookmarkStart w:id="115" w:name="_Toc295404989"/>
            <w:bookmarkStart w:id="116" w:name="_Toc301781619"/>
            <w:bookmarkStart w:id="117" w:name="_Toc297193193"/>
            <w:bookmarkStart w:id="118" w:name="_Toc173211908"/>
            <w:r>
              <w:rPr>
                <w:rFonts w:hint="eastAsia" w:ascii="仿宋" w:hAnsi="仿宋" w:eastAsia="仿宋" w:cs="仿宋"/>
                <w:kern w:val="2"/>
                <w:sz w:val="24"/>
                <w:szCs w:val="24"/>
                <w:highlight w:val="none"/>
              </w:rPr>
              <w:t>4</w:t>
            </w:r>
            <w:bookmarkEnd w:id="110"/>
            <w:bookmarkEnd w:id="111"/>
            <w:bookmarkEnd w:id="112"/>
            <w:bookmarkEnd w:id="113"/>
            <w:bookmarkEnd w:id="114"/>
            <w:bookmarkEnd w:id="115"/>
            <w:bookmarkEnd w:id="116"/>
            <w:bookmarkEnd w:id="117"/>
            <w:bookmarkEnd w:id="118"/>
          </w:p>
        </w:tc>
        <w:tc>
          <w:tcPr>
            <w:tcW w:w="992" w:type="dxa"/>
            <w:tcBorders>
              <w:right w:val="single" w:color="auto" w:sz="4" w:space="0"/>
            </w:tcBorders>
            <w:vAlign w:val="center"/>
          </w:tcPr>
          <w:p w14:paraId="18877FC7">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3292" w:type="dxa"/>
            <w:tcBorders>
              <w:left w:val="single" w:color="auto" w:sz="4" w:space="0"/>
            </w:tcBorders>
            <w:vAlign w:val="center"/>
          </w:tcPr>
          <w:p w14:paraId="213DB1B0">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2963" w:type="dxa"/>
            <w:vAlign w:val="center"/>
          </w:tcPr>
          <w:p w14:paraId="56D66FD9">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1616" w:type="dxa"/>
            <w:vAlign w:val="center"/>
          </w:tcPr>
          <w:p w14:paraId="7B8DB989">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r>
      <w:tr w14:paraId="2A380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A767785">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bookmarkStart w:id="119" w:name="_Toc383699915"/>
            <w:bookmarkStart w:id="120" w:name="_Toc173211909"/>
            <w:bookmarkStart w:id="121" w:name="_Toc297193194"/>
            <w:bookmarkStart w:id="122" w:name="_Toc254970738"/>
            <w:bookmarkStart w:id="123" w:name="_Toc254970597"/>
            <w:bookmarkStart w:id="124" w:name="_Toc373333698"/>
            <w:bookmarkStart w:id="125" w:name="_Toc295404990"/>
            <w:bookmarkStart w:id="126" w:name="_Toc301781620"/>
            <w:bookmarkStart w:id="127" w:name="_Toc173066410"/>
            <w:r>
              <w:rPr>
                <w:rFonts w:hint="eastAsia" w:ascii="仿宋" w:hAnsi="仿宋" w:eastAsia="仿宋" w:cs="仿宋"/>
                <w:kern w:val="2"/>
                <w:sz w:val="24"/>
                <w:szCs w:val="24"/>
                <w:highlight w:val="none"/>
              </w:rPr>
              <w:t>5</w:t>
            </w:r>
            <w:bookmarkEnd w:id="119"/>
            <w:bookmarkEnd w:id="120"/>
            <w:bookmarkEnd w:id="121"/>
            <w:bookmarkEnd w:id="122"/>
            <w:bookmarkEnd w:id="123"/>
            <w:bookmarkEnd w:id="124"/>
            <w:bookmarkEnd w:id="125"/>
            <w:bookmarkEnd w:id="126"/>
            <w:bookmarkEnd w:id="127"/>
          </w:p>
        </w:tc>
        <w:tc>
          <w:tcPr>
            <w:tcW w:w="992" w:type="dxa"/>
            <w:tcBorders>
              <w:right w:val="single" w:color="auto" w:sz="4" w:space="0"/>
            </w:tcBorders>
            <w:vAlign w:val="center"/>
          </w:tcPr>
          <w:p w14:paraId="4DD3D91F">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3292" w:type="dxa"/>
            <w:tcBorders>
              <w:left w:val="single" w:color="auto" w:sz="4" w:space="0"/>
            </w:tcBorders>
            <w:vAlign w:val="center"/>
          </w:tcPr>
          <w:p w14:paraId="533D4FC1">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2963" w:type="dxa"/>
            <w:vAlign w:val="center"/>
          </w:tcPr>
          <w:p w14:paraId="7229829E">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1616" w:type="dxa"/>
            <w:vAlign w:val="center"/>
          </w:tcPr>
          <w:p w14:paraId="3D84C9A1">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r>
      <w:tr w14:paraId="12E641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420E8265">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bookmarkStart w:id="128" w:name="_Toc373333699"/>
            <w:bookmarkStart w:id="129" w:name="_Toc173066415"/>
            <w:bookmarkStart w:id="130" w:name="_Toc297193195"/>
            <w:bookmarkStart w:id="131" w:name="_Toc254970602"/>
            <w:bookmarkStart w:id="132" w:name="_Toc301781621"/>
            <w:bookmarkStart w:id="133" w:name="_Toc295404991"/>
            <w:bookmarkStart w:id="134" w:name="_Toc383699916"/>
            <w:bookmarkStart w:id="135" w:name="_Toc173211914"/>
            <w:bookmarkStart w:id="136" w:name="_Toc254970743"/>
            <w:r>
              <w:rPr>
                <w:rFonts w:hint="eastAsia" w:ascii="仿宋" w:hAnsi="仿宋" w:eastAsia="仿宋" w:cs="仿宋"/>
                <w:kern w:val="2"/>
                <w:sz w:val="24"/>
                <w:szCs w:val="24"/>
                <w:highlight w:val="none"/>
              </w:rPr>
              <w:t>…</w:t>
            </w:r>
            <w:bookmarkEnd w:id="128"/>
            <w:bookmarkEnd w:id="129"/>
            <w:bookmarkEnd w:id="130"/>
            <w:bookmarkEnd w:id="131"/>
            <w:bookmarkEnd w:id="132"/>
            <w:bookmarkEnd w:id="133"/>
            <w:bookmarkEnd w:id="134"/>
            <w:bookmarkEnd w:id="135"/>
            <w:bookmarkEnd w:id="136"/>
          </w:p>
        </w:tc>
        <w:tc>
          <w:tcPr>
            <w:tcW w:w="992" w:type="dxa"/>
            <w:tcBorders>
              <w:right w:val="single" w:color="auto" w:sz="4" w:space="0"/>
            </w:tcBorders>
            <w:vAlign w:val="center"/>
          </w:tcPr>
          <w:p w14:paraId="41AD2A64">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3292" w:type="dxa"/>
            <w:tcBorders>
              <w:left w:val="single" w:color="auto" w:sz="4" w:space="0"/>
            </w:tcBorders>
            <w:vAlign w:val="center"/>
          </w:tcPr>
          <w:p w14:paraId="2B402608">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2963" w:type="dxa"/>
            <w:vAlign w:val="center"/>
          </w:tcPr>
          <w:p w14:paraId="56FFC35E">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c>
          <w:tcPr>
            <w:tcW w:w="1616" w:type="dxa"/>
            <w:tcBorders>
              <w:right w:val="single" w:color="auto" w:sz="4" w:space="0"/>
            </w:tcBorders>
            <w:vAlign w:val="center"/>
          </w:tcPr>
          <w:p w14:paraId="2CF6CB69">
            <w:pPr>
              <w:pStyle w:val="15"/>
              <w:shd w:val="clear"/>
              <w:spacing w:line="360" w:lineRule="auto"/>
              <w:ind w:firstLine="0" w:firstLineChars="0"/>
              <w:contextualSpacing/>
              <w:jc w:val="center"/>
              <w:rPr>
                <w:rFonts w:hint="eastAsia" w:ascii="仿宋" w:hAnsi="仿宋" w:eastAsia="仿宋" w:cs="仿宋"/>
                <w:kern w:val="2"/>
                <w:sz w:val="24"/>
                <w:szCs w:val="24"/>
                <w:highlight w:val="none"/>
              </w:rPr>
            </w:pPr>
          </w:p>
        </w:tc>
      </w:tr>
    </w:tbl>
    <w:p w14:paraId="267CFA12">
      <w:pPr>
        <w:shd w:val="clear"/>
        <w:adjustRightInd w:val="0"/>
        <w:spacing w:line="360" w:lineRule="auto"/>
        <w:contextualSpacing/>
        <w:rPr>
          <w:rFonts w:hint="eastAsia" w:ascii="仿宋" w:hAnsi="仿宋" w:eastAsia="仿宋" w:cs="仿宋"/>
          <w:sz w:val="24"/>
          <w:highlight w:val="none"/>
        </w:rPr>
      </w:pPr>
    </w:p>
    <w:p w14:paraId="23924282">
      <w:pPr>
        <w:pStyle w:val="15"/>
        <w:shd w:val="clear"/>
        <w:spacing w:line="360" w:lineRule="auto"/>
        <w:ind w:firstLine="0" w:firstLineChars="0"/>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注：</w:t>
      </w:r>
    </w:p>
    <w:p w14:paraId="3D0E3105">
      <w:pPr>
        <w:pStyle w:val="15"/>
        <w:shd w:val="clear"/>
        <w:spacing w:line="360" w:lineRule="auto"/>
        <w:ind w:firstLine="0"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1.说明：应对照磋商文件“第三章 采购需求”中的服务要求逐条作出明确响应，并作出偏离说明。</w:t>
      </w:r>
    </w:p>
    <w:p w14:paraId="647B64B5">
      <w:pPr>
        <w:pStyle w:val="15"/>
        <w:shd w:val="clear"/>
        <w:spacing w:line="360" w:lineRule="auto"/>
        <w:ind w:firstLine="0" w:firstLineChars="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2.供应商应根据自身的承诺，对照磋商文件要求，在“偏离说明”中注明“正偏离”、“负偏离”或者“无偏离”。既不属于“正偏离”也不属于“负偏离”即为“无偏离”。</w:t>
      </w:r>
    </w:p>
    <w:p w14:paraId="6CD35010">
      <w:pPr>
        <w:shd w:val="clear"/>
        <w:spacing w:line="360" w:lineRule="auto"/>
        <w:ind w:right="-817" w:rightChars="-389"/>
        <w:contextualSpacing/>
        <w:rPr>
          <w:rFonts w:hint="eastAsia" w:ascii="仿宋" w:hAnsi="仿宋" w:eastAsia="仿宋" w:cs="仿宋"/>
          <w:sz w:val="24"/>
          <w:highlight w:val="none"/>
        </w:rPr>
      </w:pPr>
    </w:p>
    <w:p w14:paraId="01B36DA1">
      <w:pPr>
        <w:shd w:val="clear"/>
        <w:spacing w:line="360" w:lineRule="auto"/>
        <w:ind w:right="-817" w:rightChars="-389" w:firstLine="960" w:firstLineChars="400"/>
        <w:contextualSpacing/>
        <w:rPr>
          <w:rFonts w:hint="eastAsia" w:ascii="仿宋" w:hAnsi="仿宋" w:eastAsia="仿宋" w:cs="仿宋"/>
          <w:sz w:val="24"/>
          <w:highlight w:val="none"/>
        </w:rPr>
      </w:pPr>
      <w:r>
        <w:rPr>
          <w:rFonts w:hint="eastAsia" w:ascii="仿宋" w:hAnsi="仿宋" w:eastAsia="仿宋" w:cs="仿宋"/>
          <w:sz w:val="24"/>
          <w:highlight w:val="none"/>
        </w:rPr>
        <w:t>法定代表人或者委托代理人（签字）：</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8157AF">
      <w:pPr>
        <w:shd w:val="clear"/>
        <w:spacing w:line="360" w:lineRule="auto"/>
        <w:ind w:right="-817" w:rightChars="-389" w:firstLine="2640" w:firstLineChars="1100"/>
        <w:contextualSpacing/>
        <w:rPr>
          <w:rFonts w:hint="eastAsia" w:ascii="仿宋" w:hAnsi="仿宋" w:eastAsia="仿宋" w:cs="仿宋"/>
          <w:sz w:val="24"/>
          <w:highlight w:val="none"/>
        </w:rPr>
      </w:pPr>
      <w:r>
        <w:rPr>
          <w:rFonts w:hint="eastAsia" w:ascii="仿宋" w:hAnsi="仿宋" w:eastAsia="仿宋" w:cs="仿宋"/>
          <w:sz w:val="24"/>
          <w:highlight w:val="none"/>
        </w:rPr>
        <w:t>供应商（公章）：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0C0DB623">
      <w:pPr>
        <w:shd w:val="clear"/>
        <w:spacing w:line="360" w:lineRule="auto"/>
        <w:ind w:right="-817" w:rightChars="-389" w:firstLine="4080" w:firstLineChars="1700"/>
        <w:contextualSpacing/>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51113DE">
      <w:pPr>
        <w:shd w:val="clear"/>
        <w:snapToGrid w:val="0"/>
        <w:spacing w:before="156" w:beforeLines="50" w:after="50"/>
        <w:ind w:left="142"/>
        <w:jc w:val="left"/>
        <w:rPr>
          <w:rFonts w:hint="eastAsia" w:ascii="仿宋" w:hAnsi="仿宋" w:eastAsia="仿宋" w:cs="仿宋"/>
          <w:b/>
          <w:sz w:val="24"/>
          <w:highlight w:val="none"/>
        </w:rPr>
      </w:pPr>
      <w:r>
        <w:rPr>
          <w:rFonts w:hint="eastAsia" w:ascii="仿宋" w:hAnsi="仿宋" w:eastAsia="仿宋" w:cs="仿宋"/>
          <w:sz w:val="24"/>
          <w:highlight w:val="none"/>
        </w:rPr>
        <w:br w:type="page"/>
      </w:r>
      <w:r>
        <w:rPr>
          <w:rFonts w:hint="eastAsia" w:ascii="仿宋" w:hAnsi="仿宋" w:eastAsia="仿宋" w:cs="仿宋"/>
          <w:b/>
          <w:sz w:val="24"/>
          <w:highlight w:val="none"/>
        </w:rPr>
        <w:t>项目实施人员一览表格式</w:t>
      </w:r>
    </w:p>
    <w:p w14:paraId="7B33D322">
      <w:pPr>
        <w:shd w:val="clear"/>
        <w:snapToGrid w:val="0"/>
        <w:spacing w:before="156" w:beforeLines="50" w:after="50"/>
        <w:ind w:left="142"/>
        <w:jc w:val="left"/>
        <w:rPr>
          <w:rFonts w:hint="eastAsia" w:ascii="仿宋" w:hAnsi="仿宋" w:eastAsia="仿宋" w:cs="仿宋"/>
          <w:b/>
          <w:sz w:val="24"/>
          <w:highlight w:val="none"/>
        </w:rPr>
      </w:pPr>
    </w:p>
    <w:p w14:paraId="0E37B4FE">
      <w:pPr>
        <w:shd w:val="clear"/>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项目实施人员一览表</w:t>
      </w:r>
    </w:p>
    <w:p w14:paraId="7CF4E739">
      <w:pPr>
        <w:shd w:val="clear"/>
        <w:spacing w:line="360" w:lineRule="auto"/>
        <w:contextualSpacing/>
        <w:rPr>
          <w:rFonts w:hint="eastAsia" w:ascii="仿宋" w:hAnsi="仿宋" w:eastAsia="仿宋" w:cs="仿宋"/>
          <w:sz w:val="24"/>
          <w:highlight w:val="none"/>
        </w:rPr>
      </w:pPr>
      <w:r>
        <w:rPr>
          <w:rFonts w:hint="eastAsia" w:ascii="仿宋" w:hAnsi="仿宋" w:eastAsia="仿宋" w:cs="仿宋"/>
          <w:sz w:val="24"/>
          <w:highlight w:val="none"/>
        </w:rPr>
        <w:t>采购项目名称：</w:t>
      </w:r>
      <w:r>
        <w:rPr>
          <w:rFonts w:hint="eastAsia" w:ascii="仿宋" w:hAnsi="仿宋" w:eastAsia="仿宋" w:cs="仿宋"/>
          <w:sz w:val="24"/>
          <w:highlight w:val="none"/>
          <w:u w:val="single"/>
        </w:rPr>
        <w:t xml:space="preserve">                 </w:t>
      </w:r>
    </w:p>
    <w:p w14:paraId="0A272EA5">
      <w:pPr>
        <w:shd w:val="clear"/>
        <w:spacing w:line="360" w:lineRule="auto"/>
        <w:contextualSpacing/>
        <w:rPr>
          <w:rFonts w:hint="eastAsia" w:ascii="仿宋" w:hAnsi="仿宋" w:eastAsia="仿宋" w:cs="仿宋"/>
          <w:sz w:val="24"/>
          <w:highlight w:val="none"/>
          <w:u w:val="single"/>
        </w:rPr>
      </w:pPr>
      <w:r>
        <w:rPr>
          <w:rFonts w:hint="eastAsia" w:ascii="仿宋" w:hAnsi="仿宋" w:eastAsia="仿宋" w:cs="仿宋"/>
          <w:sz w:val="24"/>
          <w:highlight w:val="none"/>
        </w:rPr>
        <w:t>采购项目编号：</w:t>
      </w:r>
      <w:r>
        <w:rPr>
          <w:rFonts w:hint="eastAsia" w:ascii="仿宋" w:hAnsi="仿宋" w:eastAsia="仿宋" w:cs="仿宋"/>
          <w:sz w:val="24"/>
          <w:highlight w:val="none"/>
          <w:u w:val="single"/>
        </w:rPr>
        <w:t xml:space="preserve">                 </w:t>
      </w:r>
    </w:p>
    <w:p w14:paraId="40799091">
      <w:pPr>
        <w:pStyle w:val="17"/>
        <w:shd w:val="clear"/>
        <w:spacing w:line="360" w:lineRule="auto"/>
        <w:contextualSpacing/>
        <w:rPr>
          <w:rFonts w:hint="eastAsia" w:ascii="仿宋" w:hAnsi="仿宋" w:eastAsia="仿宋" w:cs="仿宋"/>
          <w:sz w:val="24"/>
          <w:szCs w:val="24"/>
          <w:highlight w:val="none"/>
        </w:rPr>
      </w:pPr>
    </w:p>
    <w:tbl>
      <w:tblPr>
        <w:tblStyle w:val="29"/>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915"/>
        <w:gridCol w:w="794"/>
        <w:gridCol w:w="1907"/>
        <w:gridCol w:w="1592"/>
        <w:gridCol w:w="1903"/>
        <w:gridCol w:w="979"/>
      </w:tblGrid>
      <w:tr w14:paraId="21E1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vAlign w:val="center"/>
          </w:tcPr>
          <w:p w14:paraId="679F2094">
            <w:pPr>
              <w:shd w:val="clear"/>
              <w:contextualSpacing/>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序号</w:t>
            </w:r>
          </w:p>
        </w:tc>
        <w:tc>
          <w:tcPr>
            <w:tcW w:w="915" w:type="dxa"/>
            <w:vAlign w:val="center"/>
          </w:tcPr>
          <w:p w14:paraId="12ABD502">
            <w:pPr>
              <w:shd w:val="clear"/>
              <w:contextualSpacing/>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姓名</w:t>
            </w:r>
          </w:p>
        </w:tc>
        <w:tc>
          <w:tcPr>
            <w:tcW w:w="794" w:type="dxa"/>
            <w:vAlign w:val="center"/>
          </w:tcPr>
          <w:p w14:paraId="65176865">
            <w:pPr>
              <w:shd w:val="clear"/>
              <w:contextualSpacing/>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职务</w:t>
            </w:r>
          </w:p>
        </w:tc>
        <w:tc>
          <w:tcPr>
            <w:tcW w:w="1907" w:type="dxa"/>
            <w:vAlign w:val="center"/>
          </w:tcPr>
          <w:p w14:paraId="4E0CCD26">
            <w:pPr>
              <w:shd w:val="clear"/>
              <w:contextualSpacing/>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专业技术资格（职称）或者职业资格或者执业资格证或者其他证书</w:t>
            </w:r>
          </w:p>
        </w:tc>
        <w:tc>
          <w:tcPr>
            <w:tcW w:w="1592" w:type="dxa"/>
            <w:vAlign w:val="center"/>
          </w:tcPr>
          <w:p w14:paraId="5C26F834">
            <w:pPr>
              <w:shd w:val="clear"/>
              <w:contextualSpacing/>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证书编号</w:t>
            </w:r>
          </w:p>
        </w:tc>
        <w:tc>
          <w:tcPr>
            <w:tcW w:w="1903" w:type="dxa"/>
            <w:vAlign w:val="center"/>
          </w:tcPr>
          <w:p w14:paraId="5E0CD514">
            <w:pPr>
              <w:shd w:val="clear"/>
              <w:contextualSpacing/>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参加本单位</w:t>
            </w:r>
          </w:p>
          <w:p w14:paraId="2D575993">
            <w:pPr>
              <w:shd w:val="clear"/>
              <w:contextualSpacing/>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工作时间</w:t>
            </w:r>
          </w:p>
        </w:tc>
        <w:tc>
          <w:tcPr>
            <w:tcW w:w="979" w:type="dxa"/>
            <w:vAlign w:val="center"/>
          </w:tcPr>
          <w:p w14:paraId="0B14392B">
            <w:pPr>
              <w:shd w:val="clear"/>
              <w:contextualSpacing/>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备注</w:t>
            </w:r>
          </w:p>
        </w:tc>
      </w:tr>
      <w:tr w14:paraId="1127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6FBB0B49">
            <w:pPr>
              <w:shd w:val="clear"/>
              <w:spacing w:line="360" w:lineRule="auto"/>
              <w:contextualSpacing/>
              <w:jc w:val="center"/>
              <w:rPr>
                <w:rFonts w:hint="eastAsia" w:ascii="仿宋" w:hAnsi="仿宋" w:eastAsia="仿宋" w:cs="仿宋"/>
                <w:sz w:val="24"/>
                <w:szCs w:val="20"/>
                <w:highlight w:val="none"/>
              </w:rPr>
            </w:pPr>
          </w:p>
        </w:tc>
        <w:tc>
          <w:tcPr>
            <w:tcW w:w="915" w:type="dxa"/>
            <w:vAlign w:val="center"/>
          </w:tcPr>
          <w:p w14:paraId="16B44DF3">
            <w:pPr>
              <w:shd w:val="clear"/>
              <w:spacing w:line="360" w:lineRule="auto"/>
              <w:contextualSpacing/>
              <w:jc w:val="center"/>
              <w:rPr>
                <w:rFonts w:hint="eastAsia" w:ascii="仿宋" w:hAnsi="仿宋" w:eastAsia="仿宋" w:cs="仿宋"/>
                <w:sz w:val="24"/>
                <w:szCs w:val="20"/>
                <w:highlight w:val="none"/>
              </w:rPr>
            </w:pPr>
          </w:p>
        </w:tc>
        <w:tc>
          <w:tcPr>
            <w:tcW w:w="794" w:type="dxa"/>
            <w:vAlign w:val="center"/>
          </w:tcPr>
          <w:p w14:paraId="75ACF2B7">
            <w:pPr>
              <w:shd w:val="clear"/>
              <w:spacing w:line="360" w:lineRule="auto"/>
              <w:contextualSpacing/>
              <w:jc w:val="center"/>
              <w:rPr>
                <w:rFonts w:hint="eastAsia" w:ascii="仿宋" w:hAnsi="仿宋" w:eastAsia="仿宋" w:cs="仿宋"/>
                <w:sz w:val="24"/>
                <w:szCs w:val="20"/>
                <w:highlight w:val="none"/>
              </w:rPr>
            </w:pPr>
          </w:p>
        </w:tc>
        <w:tc>
          <w:tcPr>
            <w:tcW w:w="1907" w:type="dxa"/>
            <w:vAlign w:val="center"/>
          </w:tcPr>
          <w:p w14:paraId="06E858C9">
            <w:pPr>
              <w:shd w:val="clear"/>
              <w:spacing w:line="360" w:lineRule="auto"/>
              <w:contextualSpacing/>
              <w:jc w:val="center"/>
              <w:rPr>
                <w:rFonts w:hint="eastAsia" w:ascii="仿宋" w:hAnsi="仿宋" w:eastAsia="仿宋" w:cs="仿宋"/>
                <w:sz w:val="24"/>
                <w:szCs w:val="20"/>
                <w:highlight w:val="none"/>
              </w:rPr>
            </w:pPr>
          </w:p>
        </w:tc>
        <w:tc>
          <w:tcPr>
            <w:tcW w:w="1592" w:type="dxa"/>
            <w:vAlign w:val="center"/>
          </w:tcPr>
          <w:p w14:paraId="1AA2C5B4">
            <w:pPr>
              <w:shd w:val="clear"/>
              <w:spacing w:line="360" w:lineRule="auto"/>
              <w:contextualSpacing/>
              <w:jc w:val="center"/>
              <w:rPr>
                <w:rFonts w:hint="eastAsia" w:ascii="仿宋" w:hAnsi="仿宋" w:eastAsia="仿宋" w:cs="仿宋"/>
                <w:sz w:val="24"/>
                <w:szCs w:val="20"/>
                <w:highlight w:val="none"/>
              </w:rPr>
            </w:pPr>
          </w:p>
        </w:tc>
        <w:tc>
          <w:tcPr>
            <w:tcW w:w="1903" w:type="dxa"/>
            <w:vAlign w:val="center"/>
          </w:tcPr>
          <w:p w14:paraId="71874415">
            <w:pPr>
              <w:shd w:val="clear"/>
              <w:spacing w:line="360" w:lineRule="auto"/>
              <w:contextualSpacing/>
              <w:jc w:val="center"/>
              <w:rPr>
                <w:rFonts w:hint="eastAsia" w:ascii="仿宋" w:hAnsi="仿宋" w:eastAsia="仿宋" w:cs="仿宋"/>
                <w:sz w:val="24"/>
                <w:szCs w:val="20"/>
                <w:highlight w:val="none"/>
              </w:rPr>
            </w:pPr>
          </w:p>
        </w:tc>
        <w:tc>
          <w:tcPr>
            <w:tcW w:w="979" w:type="dxa"/>
            <w:vAlign w:val="center"/>
          </w:tcPr>
          <w:p w14:paraId="6D4BD495">
            <w:pPr>
              <w:shd w:val="clear"/>
              <w:spacing w:line="360" w:lineRule="auto"/>
              <w:contextualSpacing/>
              <w:jc w:val="center"/>
              <w:rPr>
                <w:rFonts w:hint="eastAsia" w:ascii="仿宋" w:hAnsi="仿宋" w:eastAsia="仿宋" w:cs="仿宋"/>
                <w:sz w:val="24"/>
                <w:szCs w:val="20"/>
                <w:highlight w:val="none"/>
              </w:rPr>
            </w:pPr>
          </w:p>
        </w:tc>
      </w:tr>
      <w:tr w14:paraId="4D55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2DE1C1B6">
            <w:pPr>
              <w:shd w:val="clear"/>
              <w:spacing w:line="360" w:lineRule="auto"/>
              <w:contextualSpacing/>
              <w:jc w:val="center"/>
              <w:rPr>
                <w:rFonts w:hint="eastAsia" w:ascii="仿宋" w:hAnsi="仿宋" w:eastAsia="仿宋" w:cs="仿宋"/>
                <w:sz w:val="24"/>
                <w:szCs w:val="20"/>
                <w:highlight w:val="none"/>
              </w:rPr>
            </w:pPr>
          </w:p>
        </w:tc>
        <w:tc>
          <w:tcPr>
            <w:tcW w:w="915" w:type="dxa"/>
            <w:vAlign w:val="center"/>
          </w:tcPr>
          <w:p w14:paraId="221EA18E">
            <w:pPr>
              <w:shd w:val="clear"/>
              <w:spacing w:line="360" w:lineRule="auto"/>
              <w:contextualSpacing/>
              <w:jc w:val="center"/>
              <w:rPr>
                <w:rFonts w:hint="eastAsia" w:ascii="仿宋" w:hAnsi="仿宋" w:eastAsia="仿宋" w:cs="仿宋"/>
                <w:sz w:val="24"/>
                <w:szCs w:val="20"/>
                <w:highlight w:val="none"/>
              </w:rPr>
            </w:pPr>
          </w:p>
        </w:tc>
        <w:tc>
          <w:tcPr>
            <w:tcW w:w="794" w:type="dxa"/>
            <w:vAlign w:val="center"/>
          </w:tcPr>
          <w:p w14:paraId="48D14054">
            <w:pPr>
              <w:shd w:val="clear"/>
              <w:spacing w:line="360" w:lineRule="auto"/>
              <w:contextualSpacing/>
              <w:jc w:val="center"/>
              <w:rPr>
                <w:rFonts w:hint="eastAsia" w:ascii="仿宋" w:hAnsi="仿宋" w:eastAsia="仿宋" w:cs="仿宋"/>
                <w:sz w:val="24"/>
                <w:szCs w:val="20"/>
                <w:highlight w:val="none"/>
              </w:rPr>
            </w:pPr>
          </w:p>
        </w:tc>
        <w:tc>
          <w:tcPr>
            <w:tcW w:w="1907" w:type="dxa"/>
            <w:vAlign w:val="center"/>
          </w:tcPr>
          <w:p w14:paraId="1E9DAEDC">
            <w:pPr>
              <w:shd w:val="clear"/>
              <w:spacing w:line="360" w:lineRule="auto"/>
              <w:contextualSpacing/>
              <w:jc w:val="center"/>
              <w:rPr>
                <w:rFonts w:hint="eastAsia" w:ascii="仿宋" w:hAnsi="仿宋" w:eastAsia="仿宋" w:cs="仿宋"/>
                <w:sz w:val="24"/>
                <w:szCs w:val="20"/>
                <w:highlight w:val="none"/>
              </w:rPr>
            </w:pPr>
          </w:p>
        </w:tc>
        <w:tc>
          <w:tcPr>
            <w:tcW w:w="1592" w:type="dxa"/>
            <w:vAlign w:val="center"/>
          </w:tcPr>
          <w:p w14:paraId="2249E752">
            <w:pPr>
              <w:shd w:val="clear"/>
              <w:spacing w:line="360" w:lineRule="auto"/>
              <w:contextualSpacing/>
              <w:jc w:val="center"/>
              <w:rPr>
                <w:rFonts w:hint="eastAsia" w:ascii="仿宋" w:hAnsi="仿宋" w:eastAsia="仿宋" w:cs="仿宋"/>
                <w:sz w:val="24"/>
                <w:szCs w:val="20"/>
                <w:highlight w:val="none"/>
              </w:rPr>
            </w:pPr>
          </w:p>
        </w:tc>
        <w:tc>
          <w:tcPr>
            <w:tcW w:w="1903" w:type="dxa"/>
            <w:vAlign w:val="center"/>
          </w:tcPr>
          <w:p w14:paraId="083BED83">
            <w:pPr>
              <w:shd w:val="clear"/>
              <w:spacing w:line="360" w:lineRule="auto"/>
              <w:contextualSpacing/>
              <w:jc w:val="center"/>
              <w:rPr>
                <w:rFonts w:hint="eastAsia" w:ascii="仿宋" w:hAnsi="仿宋" w:eastAsia="仿宋" w:cs="仿宋"/>
                <w:sz w:val="24"/>
                <w:szCs w:val="20"/>
                <w:highlight w:val="none"/>
              </w:rPr>
            </w:pPr>
          </w:p>
        </w:tc>
        <w:tc>
          <w:tcPr>
            <w:tcW w:w="979" w:type="dxa"/>
            <w:vAlign w:val="center"/>
          </w:tcPr>
          <w:p w14:paraId="7E138152">
            <w:pPr>
              <w:shd w:val="clear"/>
              <w:spacing w:line="360" w:lineRule="auto"/>
              <w:contextualSpacing/>
              <w:jc w:val="center"/>
              <w:rPr>
                <w:rFonts w:hint="eastAsia" w:ascii="仿宋" w:hAnsi="仿宋" w:eastAsia="仿宋" w:cs="仿宋"/>
                <w:sz w:val="24"/>
                <w:szCs w:val="20"/>
                <w:highlight w:val="none"/>
              </w:rPr>
            </w:pPr>
          </w:p>
        </w:tc>
      </w:tr>
      <w:tr w14:paraId="6061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53B7D332">
            <w:pPr>
              <w:shd w:val="clear"/>
              <w:spacing w:line="360" w:lineRule="auto"/>
              <w:contextualSpacing/>
              <w:jc w:val="center"/>
              <w:rPr>
                <w:rFonts w:hint="eastAsia" w:ascii="仿宋" w:hAnsi="仿宋" w:eastAsia="仿宋" w:cs="仿宋"/>
                <w:sz w:val="24"/>
                <w:szCs w:val="20"/>
                <w:highlight w:val="none"/>
              </w:rPr>
            </w:pPr>
          </w:p>
        </w:tc>
        <w:tc>
          <w:tcPr>
            <w:tcW w:w="915" w:type="dxa"/>
            <w:vAlign w:val="center"/>
          </w:tcPr>
          <w:p w14:paraId="6B52439B">
            <w:pPr>
              <w:shd w:val="clear"/>
              <w:spacing w:line="360" w:lineRule="auto"/>
              <w:contextualSpacing/>
              <w:jc w:val="center"/>
              <w:rPr>
                <w:rFonts w:hint="eastAsia" w:ascii="仿宋" w:hAnsi="仿宋" w:eastAsia="仿宋" w:cs="仿宋"/>
                <w:sz w:val="24"/>
                <w:szCs w:val="20"/>
                <w:highlight w:val="none"/>
              </w:rPr>
            </w:pPr>
          </w:p>
        </w:tc>
        <w:tc>
          <w:tcPr>
            <w:tcW w:w="794" w:type="dxa"/>
            <w:vAlign w:val="center"/>
          </w:tcPr>
          <w:p w14:paraId="4E2E0DEA">
            <w:pPr>
              <w:shd w:val="clear"/>
              <w:spacing w:line="360" w:lineRule="auto"/>
              <w:contextualSpacing/>
              <w:jc w:val="center"/>
              <w:rPr>
                <w:rFonts w:hint="eastAsia" w:ascii="仿宋" w:hAnsi="仿宋" w:eastAsia="仿宋" w:cs="仿宋"/>
                <w:sz w:val="24"/>
                <w:szCs w:val="20"/>
                <w:highlight w:val="none"/>
              </w:rPr>
            </w:pPr>
          </w:p>
        </w:tc>
        <w:tc>
          <w:tcPr>
            <w:tcW w:w="1907" w:type="dxa"/>
            <w:vAlign w:val="center"/>
          </w:tcPr>
          <w:p w14:paraId="57D8A14C">
            <w:pPr>
              <w:shd w:val="clear"/>
              <w:spacing w:line="360" w:lineRule="auto"/>
              <w:contextualSpacing/>
              <w:jc w:val="center"/>
              <w:rPr>
                <w:rFonts w:hint="eastAsia" w:ascii="仿宋" w:hAnsi="仿宋" w:eastAsia="仿宋" w:cs="仿宋"/>
                <w:sz w:val="24"/>
                <w:szCs w:val="20"/>
                <w:highlight w:val="none"/>
              </w:rPr>
            </w:pPr>
          </w:p>
        </w:tc>
        <w:tc>
          <w:tcPr>
            <w:tcW w:w="1592" w:type="dxa"/>
            <w:vAlign w:val="center"/>
          </w:tcPr>
          <w:p w14:paraId="2CB0D1E7">
            <w:pPr>
              <w:shd w:val="clear"/>
              <w:spacing w:line="360" w:lineRule="auto"/>
              <w:contextualSpacing/>
              <w:jc w:val="center"/>
              <w:rPr>
                <w:rFonts w:hint="eastAsia" w:ascii="仿宋" w:hAnsi="仿宋" w:eastAsia="仿宋" w:cs="仿宋"/>
                <w:sz w:val="24"/>
                <w:szCs w:val="20"/>
                <w:highlight w:val="none"/>
              </w:rPr>
            </w:pPr>
          </w:p>
        </w:tc>
        <w:tc>
          <w:tcPr>
            <w:tcW w:w="1903" w:type="dxa"/>
            <w:vAlign w:val="center"/>
          </w:tcPr>
          <w:p w14:paraId="167156F9">
            <w:pPr>
              <w:shd w:val="clear"/>
              <w:spacing w:line="360" w:lineRule="auto"/>
              <w:contextualSpacing/>
              <w:jc w:val="center"/>
              <w:rPr>
                <w:rFonts w:hint="eastAsia" w:ascii="仿宋" w:hAnsi="仿宋" w:eastAsia="仿宋" w:cs="仿宋"/>
                <w:sz w:val="24"/>
                <w:szCs w:val="20"/>
                <w:highlight w:val="none"/>
              </w:rPr>
            </w:pPr>
          </w:p>
        </w:tc>
        <w:tc>
          <w:tcPr>
            <w:tcW w:w="979" w:type="dxa"/>
            <w:vAlign w:val="center"/>
          </w:tcPr>
          <w:p w14:paraId="15224FF3">
            <w:pPr>
              <w:shd w:val="clear"/>
              <w:spacing w:line="360" w:lineRule="auto"/>
              <w:contextualSpacing/>
              <w:jc w:val="center"/>
              <w:rPr>
                <w:rFonts w:hint="eastAsia" w:ascii="仿宋" w:hAnsi="仿宋" w:eastAsia="仿宋" w:cs="仿宋"/>
                <w:sz w:val="24"/>
                <w:szCs w:val="20"/>
                <w:highlight w:val="none"/>
              </w:rPr>
            </w:pPr>
          </w:p>
        </w:tc>
      </w:tr>
    </w:tbl>
    <w:p w14:paraId="22281E15">
      <w:pPr>
        <w:shd w:val="clear"/>
        <w:spacing w:line="360" w:lineRule="auto"/>
        <w:contextualSpacing/>
        <w:jc w:val="left"/>
        <w:rPr>
          <w:rFonts w:hint="eastAsia" w:ascii="仿宋" w:hAnsi="仿宋" w:eastAsia="仿宋" w:cs="仿宋"/>
          <w:b/>
          <w:sz w:val="24"/>
          <w:szCs w:val="20"/>
          <w:highlight w:val="none"/>
        </w:rPr>
      </w:pPr>
      <w:r>
        <w:rPr>
          <w:rFonts w:hint="eastAsia" w:ascii="仿宋" w:hAnsi="仿宋" w:eastAsia="仿宋" w:cs="仿宋"/>
          <w:b/>
          <w:sz w:val="24"/>
          <w:szCs w:val="20"/>
          <w:highlight w:val="none"/>
        </w:rPr>
        <w:t>注：</w:t>
      </w:r>
    </w:p>
    <w:p w14:paraId="7816D32F">
      <w:pPr>
        <w:shd w:val="clear"/>
        <w:spacing w:line="360" w:lineRule="auto"/>
        <w:contextualSpacing/>
        <w:jc w:val="left"/>
        <w:rPr>
          <w:rFonts w:hint="eastAsia" w:ascii="仿宋" w:hAnsi="仿宋" w:eastAsia="仿宋" w:cs="仿宋"/>
          <w:sz w:val="24"/>
          <w:szCs w:val="20"/>
          <w:highlight w:val="none"/>
        </w:rPr>
      </w:pPr>
      <w:r>
        <w:rPr>
          <w:rFonts w:hint="eastAsia" w:ascii="仿宋" w:hAnsi="仿宋" w:eastAsia="仿宋" w:cs="仿宋"/>
          <w:sz w:val="24"/>
          <w:szCs w:val="20"/>
          <w:highlight w:val="none"/>
        </w:rPr>
        <w:t>1.在填写时，如本表格不适合供应商的实际情况，可根据本表格式自行制表填写。</w:t>
      </w:r>
    </w:p>
    <w:p w14:paraId="1EB09DD3">
      <w:pPr>
        <w:shd w:val="clear"/>
        <w:spacing w:line="360" w:lineRule="auto"/>
        <w:contextualSpacing/>
        <w:jc w:val="left"/>
        <w:rPr>
          <w:rFonts w:hint="eastAsia" w:ascii="仿宋" w:hAnsi="仿宋" w:eastAsia="仿宋" w:cs="仿宋"/>
          <w:sz w:val="24"/>
          <w:szCs w:val="20"/>
          <w:highlight w:val="none"/>
        </w:rPr>
      </w:pPr>
      <w:r>
        <w:rPr>
          <w:rFonts w:hint="eastAsia" w:ascii="仿宋" w:hAnsi="仿宋" w:eastAsia="仿宋" w:cs="仿宋"/>
          <w:sz w:val="24"/>
          <w:szCs w:val="20"/>
          <w:highlight w:val="none"/>
        </w:rPr>
        <w:t>2.供应商应当附本表所列证书的复印件并加盖供应商公章。</w:t>
      </w:r>
    </w:p>
    <w:p w14:paraId="543F062D">
      <w:pPr>
        <w:pStyle w:val="13"/>
        <w:shd w:val="clear"/>
        <w:rPr>
          <w:rFonts w:hint="eastAsia" w:ascii="仿宋" w:hAnsi="仿宋" w:eastAsia="仿宋" w:cs="仿宋"/>
          <w:highlight w:val="none"/>
        </w:rPr>
      </w:pPr>
    </w:p>
    <w:p w14:paraId="78A362EB">
      <w:pPr>
        <w:shd w:val="clear"/>
        <w:spacing w:line="360" w:lineRule="auto"/>
        <w:ind w:firstLine="3120" w:firstLineChars="1300"/>
        <w:contextualSpacing/>
        <w:rPr>
          <w:rFonts w:hint="eastAsia" w:ascii="仿宋" w:hAnsi="仿宋" w:eastAsia="仿宋" w:cs="仿宋"/>
          <w:spacing w:val="20"/>
          <w:sz w:val="24"/>
          <w:szCs w:val="20"/>
          <w:highlight w:val="none"/>
          <w:u w:val="single"/>
        </w:rPr>
      </w:pPr>
      <w:r>
        <w:rPr>
          <w:rFonts w:hint="eastAsia" w:ascii="仿宋" w:hAnsi="仿宋" w:eastAsia="仿宋" w:cs="仿宋"/>
          <w:sz w:val="24"/>
          <w:highlight w:val="none"/>
        </w:rPr>
        <w:t>法定代表人或者委托代理人（</w:t>
      </w:r>
      <w:r>
        <w:rPr>
          <w:rFonts w:hint="eastAsia" w:ascii="仿宋" w:hAnsi="仿宋" w:eastAsia="仿宋" w:cs="仿宋"/>
          <w:spacing w:val="20"/>
          <w:sz w:val="24"/>
          <w:highlight w:val="none"/>
        </w:rPr>
        <w:t>签字</w:t>
      </w:r>
      <w:r>
        <w:rPr>
          <w:rFonts w:hint="eastAsia" w:ascii="仿宋" w:hAnsi="仿宋" w:eastAsia="仿宋" w:cs="仿宋"/>
          <w:sz w:val="24"/>
          <w:highlight w:val="none"/>
        </w:rPr>
        <w:t>）</w:t>
      </w:r>
      <w:r>
        <w:rPr>
          <w:rFonts w:hint="eastAsia" w:ascii="仿宋" w:hAnsi="仿宋" w:eastAsia="仿宋" w:cs="仿宋"/>
          <w:spacing w:val="20"/>
          <w:sz w:val="24"/>
          <w:highlight w:val="none"/>
        </w:rPr>
        <w:t>：</w:t>
      </w:r>
      <w:r>
        <w:rPr>
          <w:rFonts w:hint="eastAsia" w:ascii="仿宋" w:hAnsi="仿宋" w:eastAsia="仿宋" w:cs="仿宋"/>
          <w:spacing w:val="20"/>
          <w:sz w:val="24"/>
          <w:highlight w:val="none"/>
          <w:u w:val="single"/>
        </w:rPr>
        <w:t xml:space="preserve">        </w:t>
      </w:r>
    </w:p>
    <w:p w14:paraId="039330BD">
      <w:pPr>
        <w:shd w:val="clear"/>
        <w:spacing w:line="360" w:lineRule="auto"/>
        <w:ind w:firstLine="3080" w:firstLineChars="1100"/>
        <w:contextualSpacing/>
        <w:jc w:val="left"/>
        <w:rPr>
          <w:rFonts w:hint="eastAsia" w:ascii="仿宋" w:hAnsi="仿宋" w:eastAsia="仿宋" w:cs="仿宋"/>
          <w:spacing w:val="20"/>
          <w:sz w:val="24"/>
          <w:highlight w:val="none"/>
        </w:rPr>
      </w:pPr>
      <w:r>
        <w:rPr>
          <w:rFonts w:hint="eastAsia" w:ascii="仿宋" w:hAnsi="仿宋" w:eastAsia="仿宋" w:cs="仿宋"/>
          <w:spacing w:val="20"/>
          <w:sz w:val="24"/>
          <w:highlight w:val="none"/>
        </w:rPr>
        <w:t>供应商（公章）：</w:t>
      </w:r>
      <w:r>
        <w:rPr>
          <w:rFonts w:hint="eastAsia" w:ascii="仿宋" w:hAnsi="仿宋" w:eastAsia="仿宋" w:cs="仿宋"/>
          <w:spacing w:val="20"/>
          <w:sz w:val="24"/>
          <w:highlight w:val="none"/>
          <w:u w:val="single"/>
        </w:rPr>
        <w:t xml:space="preserve">            </w:t>
      </w:r>
      <w:r>
        <w:rPr>
          <w:rFonts w:hint="eastAsia" w:ascii="仿宋" w:hAnsi="仿宋" w:eastAsia="仿宋" w:cs="仿宋"/>
          <w:spacing w:val="20"/>
          <w:sz w:val="24"/>
          <w:highlight w:val="none"/>
        </w:rPr>
        <w:t xml:space="preserve">              </w:t>
      </w:r>
    </w:p>
    <w:p w14:paraId="2F16C536">
      <w:pPr>
        <w:shd w:val="clear"/>
        <w:spacing w:line="360" w:lineRule="auto"/>
        <w:ind w:firstLine="3080" w:firstLineChars="1100"/>
        <w:contextualSpacing/>
        <w:jc w:val="left"/>
        <w:rPr>
          <w:rFonts w:hint="eastAsia" w:ascii="仿宋" w:hAnsi="仿宋" w:eastAsia="仿宋" w:cs="仿宋"/>
          <w:sz w:val="24"/>
          <w:szCs w:val="20"/>
          <w:highlight w:val="none"/>
        </w:rPr>
      </w:pPr>
      <w:r>
        <w:rPr>
          <w:rFonts w:hint="eastAsia" w:ascii="仿宋" w:hAnsi="仿宋" w:eastAsia="仿宋" w:cs="仿宋"/>
          <w:spacing w:val="20"/>
          <w:sz w:val="24"/>
          <w:highlight w:val="none"/>
        </w:rPr>
        <w:t>日 期：年</w:t>
      </w:r>
      <w:r>
        <w:rPr>
          <w:rFonts w:hint="eastAsia" w:ascii="仿宋" w:hAnsi="仿宋" w:eastAsia="仿宋" w:cs="仿宋"/>
          <w:spacing w:val="20"/>
          <w:sz w:val="24"/>
          <w:highlight w:val="none"/>
          <w:u w:val="single"/>
        </w:rPr>
        <w:t xml:space="preserve">  </w:t>
      </w:r>
      <w:r>
        <w:rPr>
          <w:rFonts w:hint="eastAsia" w:ascii="仿宋" w:hAnsi="仿宋" w:eastAsia="仿宋" w:cs="仿宋"/>
          <w:spacing w:val="20"/>
          <w:sz w:val="24"/>
          <w:highlight w:val="none"/>
        </w:rPr>
        <w:t>月</w:t>
      </w:r>
      <w:r>
        <w:rPr>
          <w:rFonts w:hint="eastAsia" w:ascii="仿宋" w:hAnsi="仿宋" w:eastAsia="仿宋" w:cs="仿宋"/>
          <w:spacing w:val="20"/>
          <w:sz w:val="24"/>
          <w:highlight w:val="none"/>
          <w:u w:val="single"/>
        </w:rPr>
        <w:t xml:space="preserve">  </w:t>
      </w:r>
      <w:r>
        <w:rPr>
          <w:rFonts w:hint="eastAsia" w:ascii="仿宋" w:hAnsi="仿宋" w:eastAsia="仿宋" w:cs="仿宋"/>
          <w:spacing w:val="20"/>
          <w:sz w:val="24"/>
          <w:highlight w:val="none"/>
        </w:rPr>
        <w:t>日</w:t>
      </w:r>
    </w:p>
    <w:p w14:paraId="17987B91">
      <w:pPr>
        <w:shd w:val="clear"/>
        <w:snapToGrid w:val="0"/>
        <w:spacing w:before="50" w:after="156" w:afterLines="50"/>
        <w:jc w:val="left"/>
        <w:rPr>
          <w:rFonts w:hint="eastAsia" w:ascii="仿宋" w:hAnsi="仿宋" w:eastAsia="仿宋" w:cs="仿宋"/>
          <w:sz w:val="24"/>
          <w:szCs w:val="20"/>
          <w:highlight w:val="none"/>
        </w:rPr>
      </w:pPr>
    </w:p>
    <w:p w14:paraId="4FC92013">
      <w:pPr>
        <w:shd w:val="clear"/>
        <w:snapToGrid w:val="0"/>
        <w:spacing w:before="50" w:after="50" w:line="360" w:lineRule="auto"/>
        <w:ind w:right="-817" w:rightChars="-389" w:firstLine="5461" w:firstLineChars="1700"/>
        <w:rPr>
          <w:rFonts w:hint="eastAsia" w:ascii="仿宋" w:hAnsi="仿宋" w:eastAsia="仿宋" w:cs="仿宋"/>
          <w:b/>
          <w:sz w:val="32"/>
          <w:szCs w:val="32"/>
          <w:highlight w:val="none"/>
        </w:rPr>
      </w:pPr>
    </w:p>
    <w:p w14:paraId="71E04DCB">
      <w:pPr>
        <w:shd w:val="clear"/>
        <w:rPr>
          <w:rFonts w:hint="eastAsia" w:ascii="仿宋" w:hAnsi="仿宋" w:eastAsia="仿宋" w:cs="仿宋"/>
          <w:szCs w:val="21"/>
          <w:highlight w:val="none"/>
        </w:rPr>
      </w:pPr>
      <w:r>
        <w:rPr>
          <w:rFonts w:hint="eastAsia" w:ascii="仿宋" w:hAnsi="仿宋" w:eastAsia="仿宋" w:cs="仿宋"/>
          <w:b/>
          <w:bCs/>
          <w:sz w:val="24"/>
          <w:highlight w:val="none"/>
        </w:rPr>
        <w:br w:type="page"/>
      </w:r>
      <w:r>
        <w:rPr>
          <w:rFonts w:hint="eastAsia" w:ascii="仿宋" w:hAnsi="仿宋" w:eastAsia="仿宋" w:cs="仿宋"/>
          <w:b/>
          <w:bCs/>
          <w:sz w:val="24"/>
          <w:highlight w:val="none"/>
        </w:rPr>
        <w:t>其他文书、文件格式</w:t>
      </w:r>
    </w:p>
    <w:p w14:paraId="45155D3B">
      <w:pPr>
        <w:shd w:val="clear"/>
        <w:spacing w:line="360" w:lineRule="auto"/>
        <w:jc w:val="center"/>
        <w:rPr>
          <w:rFonts w:hint="eastAsia" w:ascii="仿宋" w:hAnsi="仿宋" w:eastAsia="仿宋" w:cs="仿宋"/>
          <w:b/>
          <w:bCs/>
          <w:sz w:val="32"/>
          <w:szCs w:val="32"/>
          <w:highlight w:val="none"/>
        </w:rPr>
      </w:pPr>
      <w:r>
        <w:rPr>
          <w:rFonts w:hint="eastAsia" w:ascii="仿宋" w:hAnsi="仿宋" w:eastAsia="仿宋" w:cs="仿宋"/>
          <w:b/>
          <w:sz w:val="44"/>
          <w:szCs w:val="44"/>
          <w:highlight w:val="none"/>
        </w:rPr>
        <w:t>质疑函</w:t>
      </w:r>
      <w:r>
        <w:rPr>
          <w:rFonts w:hint="eastAsia" w:ascii="仿宋" w:hAnsi="仿宋" w:eastAsia="仿宋" w:cs="仿宋"/>
          <w:sz w:val="28"/>
          <w:szCs w:val="28"/>
          <w:highlight w:val="none"/>
        </w:rPr>
        <w:t>（格式）</w:t>
      </w:r>
    </w:p>
    <w:p w14:paraId="5FA67D45">
      <w:pPr>
        <w:pStyle w:val="17"/>
        <w:shd w:val="clear"/>
        <w:spacing w:line="360" w:lineRule="auto"/>
        <w:ind w:firstLine="482" w:firstLineChars="200"/>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一、质疑供应商基本信息：</w:t>
      </w:r>
    </w:p>
    <w:p w14:paraId="11209BEF">
      <w:pPr>
        <w:pStyle w:val="17"/>
        <w:shd w:val="clear"/>
        <w:spacing w:line="360" w:lineRule="auto"/>
        <w:ind w:firstLine="480" w:firstLineChars="200"/>
        <w:contextualSpacing/>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质疑供应商：</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2B0AC777">
      <w:pPr>
        <w:pStyle w:val="17"/>
        <w:shd w:val="clear"/>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5792D714">
      <w:pPr>
        <w:pStyle w:val="17"/>
        <w:shd w:val="clear"/>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联系人：</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3751F29B">
      <w:pPr>
        <w:pStyle w:val="17"/>
        <w:shd w:val="clear"/>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授权代表：</w:t>
      </w:r>
      <w:r>
        <w:rPr>
          <w:rFonts w:hint="eastAsia" w:ascii="仿宋" w:hAnsi="仿宋" w:eastAsia="仿宋" w:cs="仿宋"/>
          <w:bCs/>
          <w:sz w:val="24"/>
          <w:szCs w:val="24"/>
          <w:highlight w:val="none"/>
          <w:u w:val="single"/>
        </w:rPr>
        <w:t xml:space="preserve">                      </w:t>
      </w:r>
    </w:p>
    <w:p w14:paraId="5DD50411">
      <w:pPr>
        <w:pStyle w:val="17"/>
        <w:shd w:val="clear"/>
        <w:spacing w:line="360" w:lineRule="auto"/>
        <w:ind w:firstLine="480" w:firstLineChars="200"/>
        <w:contextualSpacing/>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5009DF42">
      <w:pPr>
        <w:pStyle w:val="17"/>
        <w:shd w:val="clear"/>
        <w:spacing w:line="360" w:lineRule="auto"/>
        <w:ind w:firstLine="480" w:firstLineChars="200"/>
        <w:contextualSpacing/>
        <w:rPr>
          <w:rFonts w:hint="eastAsia" w:ascii="仿宋" w:hAnsi="仿宋" w:eastAsia="仿宋" w:cs="仿宋"/>
          <w:bCs/>
          <w:sz w:val="24"/>
          <w:szCs w:val="24"/>
          <w:highlight w:val="non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25C6D413">
      <w:pPr>
        <w:pStyle w:val="17"/>
        <w:shd w:val="clear"/>
        <w:spacing w:line="360" w:lineRule="auto"/>
        <w:ind w:firstLine="482" w:firstLineChars="200"/>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二、质疑项目基本情况：</w:t>
      </w:r>
    </w:p>
    <w:p w14:paraId="57C2A25C">
      <w:pPr>
        <w:pStyle w:val="17"/>
        <w:shd w:val="clear"/>
        <w:spacing w:line="360" w:lineRule="auto"/>
        <w:ind w:left="25" w:leftChars="12" w:firstLine="472" w:firstLineChars="197"/>
        <w:contextualSpacing/>
        <w:rPr>
          <w:rFonts w:hint="eastAsia" w:ascii="仿宋" w:hAnsi="仿宋" w:eastAsia="仿宋" w:cs="仿宋"/>
          <w:sz w:val="24"/>
          <w:szCs w:val="24"/>
          <w:highlight w:val="none"/>
        </w:rPr>
      </w:pPr>
      <w:r>
        <w:rPr>
          <w:rFonts w:hint="eastAsia" w:ascii="仿宋" w:hAnsi="仿宋" w:eastAsia="仿宋" w:cs="仿宋"/>
          <w:bCs/>
          <w:sz w:val="24"/>
          <w:szCs w:val="24"/>
          <w:highlight w:val="none"/>
        </w:rPr>
        <w:t>质疑</w:t>
      </w:r>
      <w:r>
        <w:rPr>
          <w:rFonts w:hint="eastAsia" w:ascii="仿宋" w:hAnsi="仿宋" w:eastAsia="仿宋" w:cs="仿宋"/>
          <w:sz w:val="24"/>
          <w:szCs w:val="24"/>
          <w:highlight w:val="none"/>
        </w:rPr>
        <w:t>项目的名称：</w:t>
      </w:r>
      <w:r>
        <w:rPr>
          <w:rFonts w:hint="eastAsia" w:ascii="仿宋" w:hAnsi="仿宋" w:eastAsia="仿宋" w:cs="仿宋"/>
          <w:bCs/>
          <w:sz w:val="24"/>
          <w:szCs w:val="24"/>
          <w:highlight w:val="none"/>
          <w:u w:val="single"/>
        </w:rPr>
        <w:t xml:space="preserve">                                     </w:t>
      </w:r>
    </w:p>
    <w:p w14:paraId="60DB8BDF">
      <w:pPr>
        <w:pStyle w:val="17"/>
        <w:shd w:val="clear"/>
        <w:spacing w:line="360" w:lineRule="auto"/>
        <w:ind w:left="25" w:leftChars="12" w:firstLine="472" w:firstLineChars="197"/>
        <w:contextualSpacing/>
        <w:rPr>
          <w:rFonts w:hint="eastAsia" w:ascii="仿宋" w:hAnsi="仿宋" w:eastAsia="仿宋" w:cs="仿宋"/>
          <w:sz w:val="24"/>
          <w:szCs w:val="24"/>
          <w:highlight w:val="none"/>
        </w:rPr>
      </w:pPr>
      <w:r>
        <w:rPr>
          <w:rFonts w:hint="eastAsia" w:ascii="仿宋" w:hAnsi="仿宋" w:eastAsia="仿宋" w:cs="仿宋"/>
          <w:bCs/>
          <w:sz w:val="24"/>
          <w:szCs w:val="24"/>
          <w:highlight w:val="none"/>
        </w:rPr>
        <w:t>质疑</w:t>
      </w:r>
      <w:r>
        <w:rPr>
          <w:rFonts w:hint="eastAsia" w:ascii="仿宋" w:hAnsi="仿宋" w:eastAsia="仿宋" w:cs="仿宋"/>
          <w:sz w:val="24"/>
          <w:szCs w:val="24"/>
          <w:highlight w:val="none"/>
        </w:rPr>
        <w:t>项目的编号：</w:t>
      </w:r>
      <w:r>
        <w:rPr>
          <w:rFonts w:hint="eastAsia" w:ascii="仿宋" w:hAnsi="仿宋" w:eastAsia="仿宋" w:cs="仿宋"/>
          <w:bCs/>
          <w:sz w:val="24"/>
          <w:szCs w:val="24"/>
          <w:highlight w:val="none"/>
          <w:u w:val="single"/>
        </w:rPr>
        <w:t xml:space="preserve">                                     </w:t>
      </w:r>
    </w:p>
    <w:p w14:paraId="6191CBCB">
      <w:pPr>
        <w:pStyle w:val="17"/>
        <w:shd w:val="clear"/>
        <w:spacing w:line="360" w:lineRule="auto"/>
        <w:ind w:left="25" w:leftChars="12" w:firstLine="472" w:firstLineChars="197"/>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采购人名称：</w:t>
      </w:r>
      <w:r>
        <w:rPr>
          <w:rFonts w:hint="eastAsia" w:ascii="仿宋" w:hAnsi="仿宋" w:eastAsia="仿宋" w:cs="仿宋"/>
          <w:bCs/>
          <w:sz w:val="24"/>
          <w:szCs w:val="24"/>
          <w:highlight w:val="none"/>
          <w:u w:val="single"/>
        </w:rPr>
        <w:t xml:space="preserve">                                         </w:t>
      </w:r>
    </w:p>
    <w:p w14:paraId="31440629">
      <w:pPr>
        <w:pStyle w:val="17"/>
        <w:shd w:val="clear"/>
        <w:spacing w:line="360" w:lineRule="auto"/>
        <w:ind w:left="25" w:leftChars="12" w:firstLine="472" w:firstLineChars="197"/>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质疑事项：</w:t>
      </w:r>
    </w:p>
    <w:p w14:paraId="19AD1D73">
      <w:pPr>
        <w:pStyle w:val="17"/>
        <w:shd w:val="clear"/>
        <w:spacing w:line="360" w:lineRule="auto"/>
        <w:ind w:left="25" w:leftChars="12" w:firstLine="352" w:firstLineChars="147"/>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□采购文件   采购文件获取日期：</w:t>
      </w:r>
      <w:r>
        <w:rPr>
          <w:rFonts w:hint="eastAsia" w:ascii="仿宋" w:hAnsi="仿宋" w:eastAsia="仿宋" w:cs="仿宋"/>
          <w:bCs/>
          <w:sz w:val="24"/>
          <w:szCs w:val="24"/>
          <w:highlight w:val="none"/>
          <w:u w:val="single"/>
        </w:rPr>
        <w:t xml:space="preserve">                                   </w:t>
      </w:r>
    </w:p>
    <w:p w14:paraId="214F945A">
      <w:pPr>
        <w:pStyle w:val="17"/>
        <w:shd w:val="clear"/>
        <w:spacing w:line="360" w:lineRule="auto"/>
        <w:ind w:left="25" w:leftChars="12" w:firstLine="352" w:firstLineChars="147"/>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□采购过程   </w:t>
      </w:r>
    </w:p>
    <w:p w14:paraId="04FB16CB">
      <w:pPr>
        <w:pStyle w:val="17"/>
        <w:shd w:val="clear"/>
        <w:spacing w:line="360" w:lineRule="auto"/>
        <w:ind w:left="25" w:leftChars="12" w:firstLine="352" w:firstLineChars="147"/>
        <w:contextualSpacing/>
        <w:rPr>
          <w:rFonts w:hint="eastAsia" w:ascii="仿宋" w:hAnsi="仿宋" w:eastAsia="仿宋" w:cs="仿宋"/>
          <w:bCs/>
          <w:sz w:val="24"/>
          <w:szCs w:val="24"/>
          <w:highlight w:val="none"/>
          <w:u w:val="single"/>
        </w:rPr>
      </w:pPr>
      <w:r>
        <w:rPr>
          <w:rFonts w:hint="eastAsia" w:ascii="仿宋" w:hAnsi="仿宋" w:eastAsia="仿宋" w:cs="仿宋"/>
          <w:sz w:val="24"/>
          <w:szCs w:val="24"/>
          <w:highlight w:val="none"/>
        </w:rPr>
        <w:t xml:space="preserve">□成交结果   </w:t>
      </w:r>
    </w:p>
    <w:p w14:paraId="2FA611E9">
      <w:pPr>
        <w:pStyle w:val="17"/>
        <w:shd w:val="clear"/>
        <w:spacing w:line="360" w:lineRule="auto"/>
        <w:ind w:left="25" w:leftChars="12" w:firstLine="472" w:firstLineChars="196"/>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三、质疑事项具体内容</w:t>
      </w:r>
    </w:p>
    <w:p w14:paraId="1109D8E9">
      <w:pPr>
        <w:pStyle w:val="17"/>
        <w:shd w:val="clear"/>
        <w:spacing w:line="360" w:lineRule="auto"/>
        <w:ind w:left="25" w:leftChars="12" w:firstLine="472" w:firstLineChars="197"/>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质疑事项1：</w:t>
      </w:r>
      <w:r>
        <w:rPr>
          <w:rFonts w:hint="eastAsia" w:ascii="仿宋" w:hAnsi="仿宋" w:eastAsia="仿宋" w:cs="仿宋"/>
          <w:bCs/>
          <w:sz w:val="24"/>
          <w:szCs w:val="24"/>
          <w:highlight w:val="none"/>
          <w:u w:val="single"/>
        </w:rPr>
        <w:t xml:space="preserve">                                                                    </w:t>
      </w:r>
    </w:p>
    <w:p w14:paraId="41D31E23">
      <w:pPr>
        <w:pStyle w:val="17"/>
        <w:shd w:val="clear"/>
        <w:spacing w:line="360" w:lineRule="auto"/>
        <w:ind w:left="25" w:leftChars="12" w:firstLine="472" w:firstLineChars="197"/>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r>
        <w:rPr>
          <w:rFonts w:hint="eastAsia" w:ascii="仿宋" w:hAnsi="仿宋" w:eastAsia="仿宋" w:cs="仿宋"/>
          <w:bCs/>
          <w:sz w:val="24"/>
          <w:szCs w:val="24"/>
          <w:highlight w:val="none"/>
          <w:u w:val="single"/>
        </w:rPr>
        <w:t xml:space="preserve">                                                                      </w:t>
      </w:r>
    </w:p>
    <w:p w14:paraId="5B380718">
      <w:pPr>
        <w:pStyle w:val="17"/>
        <w:shd w:val="clear"/>
        <w:spacing w:line="360" w:lineRule="auto"/>
        <w:ind w:left="25" w:leftChars="12" w:firstLine="472" w:firstLineChars="197"/>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single"/>
        </w:rPr>
        <w:t xml:space="preserve">                                                        </w:t>
      </w:r>
      <w:r>
        <w:rPr>
          <w:rFonts w:hint="eastAsia" w:ascii="仿宋" w:hAnsi="仿宋" w:eastAsia="仿宋" w:cs="仿宋"/>
          <w:bCs/>
          <w:sz w:val="24"/>
          <w:szCs w:val="24"/>
          <w:highlight w:val="none"/>
          <w:u w:val="single"/>
        </w:rPr>
        <w:t xml:space="preserve">               </w:t>
      </w:r>
    </w:p>
    <w:p w14:paraId="0F751085">
      <w:pPr>
        <w:pStyle w:val="17"/>
        <w:shd w:val="clear"/>
        <w:spacing w:line="360" w:lineRule="auto"/>
        <w:ind w:left="25" w:leftChars="12" w:firstLine="472" w:firstLineChars="197"/>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质疑事项2</w:t>
      </w:r>
    </w:p>
    <w:p w14:paraId="190767E8">
      <w:pPr>
        <w:pStyle w:val="17"/>
        <w:shd w:val="clear"/>
        <w:spacing w:line="360" w:lineRule="auto"/>
        <w:ind w:left="25" w:leftChars="12" w:firstLine="472" w:firstLineChars="197"/>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14:paraId="4C29DB7D">
      <w:pPr>
        <w:pStyle w:val="17"/>
        <w:shd w:val="clear"/>
        <w:spacing w:line="360" w:lineRule="auto"/>
        <w:ind w:left="25" w:leftChars="12" w:firstLine="472" w:firstLineChars="197"/>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四、与质疑事项相关的质疑请求：</w:t>
      </w:r>
    </w:p>
    <w:p w14:paraId="7CD62AB1">
      <w:pPr>
        <w:pStyle w:val="17"/>
        <w:shd w:val="clear"/>
        <w:spacing w:line="360" w:lineRule="auto"/>
        <w:ind w:left="25" w:leftChars="12" w:firstLine="472" w:firstLineChars="197"/>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请求：</w:t>
      </w:r>
      <w:r>
        <w:rPr>
          <w:rFonts w:hint="eastAsia" w:ascii="仿宋" w:hAnsi="仿宋" w:eastAsia="仿宋" w:cs="仿宋"/>
          <w:bCs/>
          <w:sz w:val="24"/>
          <w:szCs w:val="24"/>
          <w:highlight w:val="none"/>
          <w:u w:val="single"/>
        </w:rPr>
        <w:t xml:space="preserve">                                                                </w:t>
      </w:r>
    </w:p>
    <w:p w14:paraId="3F30B1CD">
      <w:pPr>
        <w:pStyle w:val="17"/>
        <w:shd w:val="clear"/>
        <w:spacing w:line="360" w:lineRule="auto"/>
        <w:ind w:left="25" w:leftChars="12" w:firstLine="352" w:firstLineChars="147"/>
        <w:contextualSpacing/>
        <w:rPr>
          <w:rFonts w:hint="eastAsia" w:ascii="仿宋" w:hAnsi="仿宋" w:eastAsia="仿宋" w:cs="仿宋"/>
          <w:sz w:val="24"/>
          <w:szCs w:val="24"/>
          <w:highlight w:val="none"/>
        </w:rPr>
      </w:pPr>
    </w:p>
    <w:p w14:paraId="4A21D5B8">
      <w:pPr>
        <w:pStyle w:val="17"/>
        <w:shd w:val="clear"/>
        <w:spacing w:line="360" w:lineRule="auto"/>
        <w:ind w:left="25" w:leftChars="12" w:firstLine="472" w:firstLineChars="197"/>
        <w:contextualSpacing/>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14:paraId="2CF3D58C">
      <w:pPr>
        <w:pStyle w:val="17"/>
        <w:shd w:val="clear"/>
        <w:spacing w:line="360" w:lineRule="auto"/>
        <w:ind w:firstLine="480" w:firstLineChars="200"/>
        <w:contextualSpacing/>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A7D448B">
      <w:pPr>
        <w:shd w:val="clear"/>
        <w:rPr>
          <w:rFonts w:hint="eastAsia" w:ascii="仿宋" w:hAnsi="仿宋" w:eastAsia="仿宋" w:cs="仿宋"/>
          <w:highlight w:val="none"/>
        </w:rPr>
      </w:pPr>
    </w:p>
    <w:p w14:paraId="5A24EB5D">
      <w:pPr>
        <w:pStyle w:val="13"/>
        <w:shd w:val="clear"/>
        <w:rPr>
          <w:rFonts w:hint="eastAsia" w:ascii="仿宋" w:hAnsi="仿宋" w:eastAsia="仿宋" w:cs="仿宋"/>
          <w:highlight w:val="none"/>
        </w:rPr>
      </w:pPr>
    </w:p>
    <w:p w14:paraId="15C600AF">
      <w:pPr>
        <w:pStyle w:val="17"/>
        <w:shd w:val="clear"/>
        <w:spacing w:line="360" w:lineRule="auto"/>
        <w:ind w:firstLine="482" w:firstLineChars="200"/>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p w14:paraId="6814FE35">
      <w:pPr>
        <w:pStyle w:val="17"/>
        <w:shd w:val="clear"/>
        <w:spacing w:line="360" w:lineRule="auto"/>
        <w:ind w:left="25" w:leftChars="12" w:firstLine="354" w:firstLineChars="147"/>
        <w:contextualSpacing/>
        <w:rPr>
          <w:rFonts w:hint="eastAsia" w:ascii="仿宋" w:hAnsi="仿宋" w:eastAsia="仿宋" w:cs="仿宋"/>
          <w:b/>
          <w:bCs/>
          <w:sz w:val="24"/>
          <w:szCs w:val="24"/>
          <w:highlight w:val="none"/>
        </w:rPr>
      </w:pPr>
      <w:r>
        <w:rPr>
          <w:rFonts w:hint="eastAsia" w:ascii="仿宋" w:hAnsi="仿宋" w:eastAsia="仿宋" w:cs="仿宋"/>
          <w:b/>
          <w:sz w:val="24"/>
          <w:szCs w:val="24"/>
          <w:highlight w:val="none"/>
        </w:rPr>
        <w:t>1.供应商提出质疑时，应提交质疑函和必要的证明材料</w:t>
      </w:r>
      <w:r>
        <w:rPr>
          <w:rFonts w:hint="eastAsia" w:ascii="仿宋" w:hAnsi="仿宋" w:eastAsia="仿宋" w:cs="仿宋"/>
          <w:b/>
          <w:bCs/>
          <w:sz w:val="24"/>
          <w:szCs w:val="24"/>
          <w:highlight w:val="none"/>
        </w:rPr>
        <w:t>。</w:t>
      </w:r>
    </w:p>
    <w:p w14:paraId="08691FC8">
      <w:pPr>
        <w:pStyle w:val="17"/>
        <w:shd w:val="clear"/>
        <w:spacing w:line="360" w:lineRule="auto"/>
        <w:ind w:left="25" w:leftChars="12" w:firstLine="354" w:firstLineChars="147"/>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3F4FE0B">
      <w:pPr>
        <w:pStyle w:val="17"/>
        <w:shd w:val="clear"/>
        <w:spacing w:line="360" w:lineRule="auto"/>
        <w:ind w:left="25" w:leftChars="12" w:firstLine="354" w:firstLineChars="147"/>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3.质疑函的质疑事项应具体、明确，并有必要的事实依据和法律依据。</w:t>
      </w:r>
    </w:p>
    <w:p w14:paraId="28C2C34A">
      <w:pPr>
        <w:pStyle w:val="17"/>
        <w:shd w:val="clear"/>
        <w:spacing w:line="360" w:lineRule="auto"/>
        <w:ind w:left="25" w:leftChars="12" w:firstLine="354" w:firstLineChars="147"/>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4.质疑函的质疑请求应与质疑事项相关。</w:t>
      </w:r>
    </w:p>
    <w:p w14:paraId="52CAB8CF">
      <w:pPr>
        <w:pStyle w:val="17"/>
        <w:shd w:val="clear"/>
        <w:spacing w:line="360" w:lineRule="auto"/>
        <w:ind w:left="25" w:leftChars="12" w:firstLine="354" w:firstLineChars="147"/>
        <w:contextualSpacing/>
        <w:rPr>
          <w:rFonts w:hint="eastAsia" w:ascii="仿宋" w:hAnsi="仿宋" w:eastAsia="仿宋" w:cs="仿宋"/>
          <w:b/>
          <w:sz w:val="24"/>
          <w:szCs w:val="24"/>
          <w:highlight w:val="none"/>
        </w:rPr>
      </w:pPr>
      <w:r>
        <w:rPr>
          <w:rFonts w:hint="eastAsia" w:ascii="仿宋" w:hAnsi="仿宋" w:eastAsia="仿宋" w:cs="仿宋"/>
          <w:b/>
          <w:sz w:val="24"/>
          <w:szCs w:val="24"/>
          <w:highlight w:val="none"/>
        </w:rPr>
        <w:t>5.质疑供应商为法人或者其他组织的，质疑函应由法定代表人、主要负责人，或者其授权代表签字或者盖章，并加盖公章。</w:t>
      </w:r>
    </w:p>
    <w:p w14:paraId="4620CF9D">
      <w:pPr>
        <w:pStyle w:val="17"/>
        <w:shd w:val="clear"/>
        <w:snapToGrid w:val="0"/>
        <w:rPr>
          <w:rFonts w:hint="eastAsia" w:ascii="仿宋" w:hAnsi="仿宋" w:eastAsia="仿宋" w:cs="仿宋"/>
          <w:b/>
          <w:sz w:val="24"/>
          <w:szCs w:val="24"/>
          <w:highlight w:val="none"/>
        </w:rPr>
      </w:pPr>
    </w:p>
    <w:p w14:paraId="73C9A1E2">
      <w:pPr>
        <w:shd w:val="clear"/>
        <w:rPr>
          <w:rFonts w:hint="eastAsia" w:ascii="仿宋" w:hAnsi="仿宋" w:eastAsia="仿宋" w:cs="仿宋"/>
          <w:sz w:val="32"/>
          <w:szCs w:val="40"/>
          <w:highlight w:val="none"/>
        </w:rPr>
      </w:pPr>
    </w:p>
    <w:p w14:paraId="195451DE">
      <w:pPr>
        <w:shd w:val="clear"/>
        <w:rPr>
          <w:rFonts w:hint="eastAsia" w:ascii="仿宋" w:hAnsi="仿宋" w:eastAsia="仿宋" w:cs="仿宋"/>
          <w:sz w:val="32"/>
          <w:szCs w:val="40"/>
          <w:highlight w:val="none"/>
        </w:rPr>
      </w:pPr>
    </w:p>
    <w:p w14:paraId="52D56160">
      <w:pPr>
        <w:shd w:val="clear"/>
        <w:rPr>
          <w:rFonts w:hint="eastAsia" w:ascii="仿宋" w:hAnsi="仿宋" w:eastAsia="仿宋" w:cs="仿宋"/>
          <w:sz w:val="32"/>
          <w:szCs w:val="40"/>
          <w:highlight w:val="none"/>
        </w:rPr>
      </w:pPr>
    </w:p>
    <w:p w14:paraId="5F0594C3">
      <w:pPr>
        <w:shd w:val="clear"/>
        <w:rPr>
          <w:rFonts w:hint="eastAsia" w:ascii="仿宋" w:hAnsi="仿宋" w:eastAsia="仿宋" w:cs="仿宋"/>
          <w:sz w:val="32"/>
          <w:szCs w:val="40"/>
          <w:highlight w:val="none"/>
        </w:rPr>
      </w:pPr>
    </w:p>
    <w:p w14:paraId="7428E476">
      <w:pPr>
        <w:shd w:val="clear"/>
        <w:rPr>
          <w:rFonts w:hint="eastAsia" w:ascii="仿宋" w:hAnsi="仿宋" w:eastAsia="仿宋" w:cs="仿宋"/>
          <w:sz w:val="32"/>
          <w:szCs w:val="40"/>
          <w:highlight w:val="none"/>
        </w:rPr>
      </w:pPr>
    </w:p>
    <w:p w14:paraId="5FD18B16">
      <w:pPr>
        <w:shd w:val="clear"/>
        <w:rPr>
          <w:rFonts w:hint="eastAsia" w:ascii="仿宋" w:hAnsi="仿宋" w:eastAsia="仿宋" w:cs="仿宋"/>
          <w:sz w:val="32"/>
          <w:szCs w:val="40"/>
          <w:highlight w:val="none"/>
        </w:rPr>
      </w:pPr>
    </w:p>
    <w:p w14:paraId="04D1AD87">
      <w:pPr>
        <w:shd w:val="clear"/>
        <w:rPr>
          <w:rFonts w:hint="eastAsia" w:ascii="仿宋" w:hAnsi="仿宋" w:eastAsia="仿宋" w:cs="仿宋"/>
          <w:sz w:val="32"/>
          <w:szCs w:val="40"/>
          <w:highlight w:val="none"/>
        </w:rPr>
      </w:pPr>
    </w:p>
    <w:p w14:paraId="7AFAC20C">
      <w:pPr>
        <w:shd w:val="clear"/>
        <w:rPr>
          <w:rFonts w:hint="eastAsia" w:ascii="仿宋" w:hAnsi="仿宋" w:eastAsia="仿宋" w:cs="仿宋"/>
          <w:sz w:val="32"/>
          <w:szCs w:val="40"/>
          <w:highlight w:val="none"/>
        </w:rPr>
      </w:pPr>
    </w:p>
    <w:p w14:paraId="00F3346F">
      <w:pPr>
        <w:shd w:val="clear"/>
        <w:rPr>
          <w:rFonts w:hint="eastAsia" w:ascii="仿宋" w:hAnsi="仿宋" w:eastAsia="仿宋" w:cs="仿宋"/>
          <w:sz w:val="32"/>
          <w:szCs w:val="40"/>
          <w:highlight w:val="none"/>
        </w:rPr>
      </w:pPr>
    </w:p>
    <w:p w14:paraId="0D2F335C">
      <w:pPr>
        <w:shd w:val="clear"/>
        <w:rPr>
          <w:rFonts w:hint="eastAsia" w:ascii="仿宋" w:hAnsi="仿宋" w:eastAsia="仿宋" w:cs="仿宋"/>
          <w:sz w:val="32"/>
          <w:szCs w:val="40"/>
          <w:highlight w:val="none"/>
        </w:rPr>
      </w:pPr>
    </w:p>
    <w:p w14:paraId="66D20A44">
      <w:pPr>
        <w:shd w:val="clear"/>
        <w:rPr>
          <w:rFonts w:hint="eastAsia" w:ascii="仿宋" w:hAnsi="仿宋" w:eastAsia="仿宋" w:cs="仿宋"/>
          <w:sz w:val="32"/>
          <w:szCs w:val="40"/>
          <w:highlight w:val="none"/>
        </w:rPr>
      </w:pPr>
    </w:p>
    <w:p w14:paraId="22E0C0BD">
      <w:pPr>
        <w:shd w:val="clear"/>
        <w:rPr>
          <w:rFonts w:hint="eastAsia" w:ascii="仿宋" w:hAnsi="仿宋" w:eastAsia="仿宋" w:cs="仿宋"/>
          <w:sz w:val="32"/>
          <w:szCs w:val="40"/>
          <w:highlight w:val="none"/>
        </w:rPr>
      </w:pPr>
    </w:p>
    <w:p w14:paraId="234ECF5B">
      <w:pPr>
        <w:shd w:val="clear"/>
        <w:rPr>
          <w:rFonts w:hint="eastAsia" w:ascii="仿宋" w:hAnsi="仿宋" w:eastAsia="仿宋" w:cs="仿宋"/>
          <w:sz w:val="32"/>
          <w:szCs w:val="40"/>
          <w:highlight w:val="none"/>
        </w:rPr>
      </w:pPr>
    </w:p>
    <w:p w14:paraId="21758E7B">
      <w:pPr>
        <w:shd w:val="clear"/>
        <w:rPr>
          <w:rFonts w:hint="eastAsia" w:ascii="仿宋" w:hAnsi="仿宋" w:eastAsia="仿宋" w:cs="仿宋"/>
          <w:sz w:val="32"/>
          <w:szCs w:val="40"/>
          <w:highlight w:val="none"/>
        </w:rPr>
      </w:pPr>
    </w:p>
    <w:p w14:paraId="35E7D5E8">
      <w:pPr>
        <w:shd w:val="clear"/>
        <w:spacing w:line="360" w:lineRule="auto"/>
        <w:jc w:val="center"/>
        <w:rPr>
          <w:rFonts w:hint="eastAsia" w:ascii="仿宋" w:hAnsi="仿宋" w:eastAsia="仿宋" w:cs="仿宋"/>
          <w:sz w:val="24"/>
          <w:highlight w:val="none"/>
        </w:rPr>
      </w:pPr>
      <w:r>
        <w:rPr>
          <w:rFonts w:hint="eastAsia" w:ascii="仿宋" w:hAnsi="仿宋" w:eastAsia="仿宋" w:cs="仿宋"/>
          <w:sz w:val="44"/>
          <w:szCs w:val="44"/>
          <w:highlight w:val="none"/>
        </w:rPr>
        <w:br w:type="page"/>
      </w:r>
      <w:r>
        <w:rPr>
          <w:rFonts w:hint="eastAsia" w:ascii="仿宋" w:hAnsi="仿宋" w:eastAsia="仿宋" w:cs="仿宋"/>
          <w:sz w:val="44"/>
          <w:szCs w:val="44"/>
          <w:highlight w:val="none"/>
        </w:rPr>
        <w:t>投诉书</w:t>
      </w:r>
      <w:r>
        <w:rPr>
          <w:rFonts w:hint="eastAsia" w:ascii="仿宋" w:hAnsi="仿宋" w:eastAsia="仿宋" w:cs="仿宋"/>
          <w:sz w:val="28"/>
          <w:szCs w:val="28"/>
          <w:highlight w:val="none"/>
        </w:rPr>
        <w:t>（格式）</w:t>
      </w:r>
    </w:p>
    <w:p w14:paraId="1A05FB3A">
      <w:pPr>
        <w:pStyle w:val="17"/>
        <w:shd w:val="clear"/>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一、投诉相关主体基本情况：</w:t>
      </w:r>
    </w:p>
    <w:p w14:paraId="7283A0A8">
      <w:pPr>
        <w:pStyle w:val="17"/>
        <w:shd w:val="clear"/>
        <w:snapToGrid w:val="0"/>
        <w:spacing w:line="360" w:lineRule="auto"/>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供应商：</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3EB73CE6">
      <w:pPr>
        <w:pStyle w:val="17"/>
        <w:shd w:val="clear"/>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16A824BD">
      <w:pPr>
        <w:pStyle w:val="17"/>
        <w:shd w:val="clear"/>
        <w:snapToGrid w:val="0"/>
        <w:spacing w:line="360" w:lineRule="auto"/>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法定代表人/主要负责人：</w:t>
      </w:r>
      <w:r>
        <w:rPr>
          <w:rFonts w:hint="eastAsia" w:ascii="仿宋" w:hAnsi="仿宋" w:eastAsia="仿宋" w:cs="仿宋"/>
          <w:bCs/>
          <w:sz w:val="24"/>
          <w:szCs w:val="24"/>
          <w:highlight w:val="none"/>
          <w:u w:val="single"/>
        </w:rPr>
        <w:t xml:space="preserve">                                                         </w:t>
      </w:r>
    </w:p>
    <w:p w14:paraId="4B9630B0">
      <w:pPr>
        <w:pStyle w:val="17"/>
        <w:shd w:val="clear"/>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5BD6BB75">
      <w:pPr>
        <w:pStyle w:val="17"/>
        <w:shd w:val="clear"/>
        <w:snapToGrid w:val="0"/>
        <w:spacing w:line="360" w:lineRule="auto"/>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授权代表：</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57E26A71">
      <w:pPr>
        <w:pStyle w:val="17"/>
        <w:shd w:val="clear"/>
        <w:snapToGrid w:val="0"/>
        <w:spacing w:line="360" w:lineRule="auto"/>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p>
    <w:p w14:paraId="241A6352">
      <w:pPr>
        <w:pStyle w:val="17"/>
        <w:shd w:val="clear"/>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2360F458">
      <w:pPr>
        <w:pStyle w:val="17"/>
        <w:shd w:val="clear"/>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被投诉人1：</w:t>
      </w:r>
    </w:p>
    <w:p w14:paraId="598A863F">
      <w:pPr>
        <w:pStyle w:val="17"/>
        <w:shd w:val="clear"/>
        <w:snapToGrid w:val="0"/>
        <w:spacing w:line="360" w:lineRule="auto"/>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p>
    <w:p w14:paraId="324CF428">
      <w:pPr>
        <w:pStyle w:val="17"/>
        <w:shd w:val="clear"/>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4D3F7121">
      <w:pPr>
        <w:pStyle w:val="17"/>
        <w:shd w:val="clear"/>
        <w:snapToGrid w:val="0"/>
        <w:spacing w:line="360" w:lineRule="auto"/>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联系人：</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p>
    <w:p w14:paraId="15E3ED96">
      <w:pPr>
        <w:pStyle w:val="17"/>
        <w:shd w:val="clear"/>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被投诉人2：</w:t>
      </w:r>
    </w:p>
    <w:p w14:paraId="641E4ADD">
      <w:pPr>
        <w:pStyle w:val="17"/>
        <w:shd w:val="clear"/>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w:t>
      </w:r>
    </w:p>
    <w:p w14:paraId="792AE30A">
      <w:pPr>
        <w:pStyle w:val="17"/>
        <w:shd w:val="clear"/>
        <w:snapToGrid w:val="0"/>
        <w:spacing w:line="360" w:lineRule="auto"/>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相关供应商：</w:t>
      </w:r>
      <w:r>
        <w:rPr>
          <w:rFonts w:hint="eastAsia" w:ascii="仿宋" w:hAnsi="仿宋" w:eastAsia="仿宋" w:cs="仿宋"/>
          <w:bCs/>
          <w:sz w:val="24"/>
          <w:szCs w:val="24"/>
          <w:highlight w:val="none"/>
          <w:u w:val="single"/>
        </w:rPr>
        <w:t xml:space="preserve">                                                                       </w:t>
      </w:r>
    </w:p>
    <w:p w14:paraId="7D54DFE7">
      <w:pPr>
        <w:pStyle w:val="17"/>
        <w:shd w:val="clear"/>
        <w:snapToGrid w:val="0"/>
        <w:spacing w:line="360" w:lineRule="auto"/>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地址：</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邮编：</w:t>
      </w:r>
      <w:r>
        <w:rPr>
          <w:rFonts w:hint="eastAsia" w:ascii="仿宋" w:hAnsi="仿宋" w:eastAsia="仿宋" w:cs="仿宋"/>
          <w:bCs/>
          <w:sz w:val="24"/>
          <w:szCs w:val="24"/>
          <w:highlight w:val="none"/>
          <w:u w:val="single"/>
        </w:rPr>
        <w:t xml:space="preserve">                         </w:t>
      </w:r>
    </w:p>
    <w:p w14:paraId="3C1EA910">
      <w:pPr>
        <w:pStyle w:val="17"/>
        <w:shd w:val="clear"/>
        <w:snapToGrid w:val="0"/>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联系人：</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联系电话：</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 xml:space="preserve">                </w:t>
      </w:r>
    </w:p>
    <w:p w14:paraId="7F48A64C">
      <w:pPr>
        <w:pStyle w:val="17"/>
        <w:shd w:val="clear"/>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二、投诉项目基本情况：</w:t>
      </w:r>
    </w:p>
    <w:p w14:paraId="2120A97F">
      <w:pPr>
        <w:pStyle w:val="17"/>
        <w:shd w:val="clear"/>
        <w:spacing w:line="360" w:lineRule="auto"/>
        <w:ind w:left="25" w:leftChars="12" w:firstLine="472" w:firstLineChars="197"/>
        <w:rPr>
          <w:rFonts w:hint="eastAsia" w:ascii="仿宋" w:hAnsi="仿宋" w:eastAsia="仿宋" w:cs="仿宋"/>
          <w:sz w:val="24"/>
          <w:szCs w:val="24"/>
          <w:highlight w:val="none"/>
        </w:rPr>
      </w:pPr>
      <w:r>
        <w:rPr>
          <w:rFonts w:hint="eastAsia" w:ascii="仿宋" w:hAnsi="仿宋" w:eastAsia="仿宋" w:cs="仿宋"/>
          <w:bCs/>
          <w:sz w:val="24"/>
          <w:szCs w:val="24"/>
          <w:highlight w:val="none"/>
        </w:rPr>
        <w:t>采购</w:t>
      </w:r>
      <w:r>
        <w:rPr>
          <w:rFonts w:hint="eastAsia" w:ascii="仿宋" w:hAnsi="仿宋" w:eastAsia="仿宋" w:cs="仿宋"/>
          <w:sz w:val="24"/>
          <w:szCs w:val="24"/>
          <w:highlight w:val="none"/>
        </w:rPr>
        <w:t>项目的名称：</w:t>
      </w:r>
      <w:r>
        <w:rPr>
          <w:rFonts w:hint="eastAsia" w:ascii="仿宋" w:hAnsi="仿宋" w:eastAsia="仿宋" w:cs="仿宋"/>
          <w:bCs/>
          <w:sz w:val="24"/>
          <w:szCs w:val="24"/>
          <w:highlight w:val="none"/>
          <w:u w:val="single"/>
        </w:rPr>
        <w:t xml:space="preserve">                                                                   </w:t>
      </w:r>
    </w:p>
    <w:p w14:paraId="7D133896">
      <w:pPr>
        <w:pStyle w:val="17"/>
        <w:shd w:val="clear"/>
        <w:spacing w:line="360" w:lineRule="auto"/>
        <w:ind w:left="25" w:leftChars="12" w:firstLine="472" w:firstLineChars="197"/>
        <w:rPr>
          <w:rFonts w:hint="eastAsia" w:ascii="仿宋" w:hAnsi="仿宋" w:eastAsia="仿宋" w:cs="仿宋"/>
          <w:sz w:val="24"/>
          <w:szCs w:val="24"/>
          <w:highlight w:val="none"/>
        </w:rPr>
      </w:pPr>
      <w:r>
        <w:rPr>
          <w:rFonts w:hint="eastAsia" w:ascii="仿宋" w:hAnsi="仿宋" w:eastAsia="仿宋" w:cs="仿宋"/>
          <w:bCs/>
          <w:sz w:val="24"/>
          <w:szCs w:val="24"/>
          <w:highlight w:val="none"/>
        </w:rPr>
        <w:t>采购</w:t>
      </w:r>
      <w:r>
        <w:rPr>
          <w:rFonts w:hint="eastAsia" w:ascii="仿宋" w:hAnsi="仿宋" w:eastAsia="仿宋" w:cs="仿宋"/>
          <w:sz w:val="24"/>
          <w:szCs w:val="24"/>
          <w:highlight w:val="none"/>
        </w:rPr>
        <w:t>项目的编号：</w:t>
      </w:r>
      <w:r>
        <w:rPr>
          <w:rFonts w:hint="eastAsia" w:ascii="仿宋" w:hAnsi="仿宋" w:eastAsia="仿宋" w:cs="仿宋"/>
          <w:bCs/>
          <w:sz w:val="24"/>
          <w:szCs w:val="24"/>
          <w:highlight w:val="none"/>
          <w:u w:val="single"/>
        </w:rPr>
        <w:t xml:space="preserve">                                          </w:t>
      </w:r>
    </w:p>
    <w:p w14:paraId="656ECF52">
      <w:pPr>
        <w:pStyle w:val="17"/>
        <w:shd w:val="clear"/>
        <w:spacing w:line="360" w:lineRule="auto"/>
        <w:ind w:left="25" w:leftChars="12" w:firstLine="472" w:firstLineChars="197"/>
        <w:rPr>
          <w:rFonts w:hint="eastAsia" w:ascii="仿宋" w:hAnsi="仿宋" w:eastAsia="仿宋" w:cs="仿宋"/>
          <w:bCs/>
          <w:sz w:val="24"/>
          <w:szCs w:val="24"/>
          <w:highlight w:val="none"/>
          <w:u w:val="single"/>
        </w:rPr>
      </w:pPr>
      <w:r>
        <w:rPr>
          <w:rFonts w:hint="eastAsia" w:ascii="仿宋" w:hAnsi="仿宋" w:eastAsia="仿宋" w:cs="仿宋"/>
          <w:sz w:val="24"/>
          <w:szCs w:val="24"/>
          <w:highlight w:val="none"/>
        </w:rPr>
        <w:t>采购人名称：</w:t>
      </w:r>
      <w:r>
        <w:rPr>
          <w:rFonts w:hint="eastAsia" w:ascii="仿宋" w:hAnsi="仿宋" w:eastAsia="仿宋" w:cs="仿宋"/>
          <w:bCs/>
          <w:sz w:val="24"/>
          <w:szCs w:val="24"/>
          <w:highlight w:val="none"/>
          <w:u w:val="single"/>
        </w:rPr>
        <w:t xml:space="preserve">                                                                        </w:t>
      </w:r>
    </w:p>
    <w:p w14:paraId="67146E4E">
      <w:pPr>
        <w:pStyle w:val="17"/>
        <w:shd w:val="clear"/>
        <w:spacing w:line="360" w:lineRule="auto"/>
        <w:ind w:left="25" w:leftChars="12" w:firstLine="472" w:firstLineChars="197"/>
        <w:rPr>
          <w:rFonts w:hint="eastAsia" w:ascii="仿宋" w:hAnsi="仿宋" w:eastAsia="仿宋" w:cs="仿宋"/>
          <w:bCs/>
          <w:sz w:val="24"/>
          <w:szCs w:val="24"/>
          <w:highlight w:val="none"/>
          <w:u w:val="single"/>
        </w:rPr>
      </w:pPr>
      <w:r>
        <w:rPr>
          <w:rFonts w:hint="eastAsia" w:ascii="仿宋" w:hAnsi="仿宋" w:eastAsia="仿宋" w:cs="仿宋"/>
          <w:sz w:val="24"/>
          <w:szCs w:val="24"/>
          <w:highlight w:val="none"/>
        </w:rPr>
        <w:t>代理机构名称：</w:t>
      </w:r>
      <w:r>
        <w:rPr>
          <w:rFonts w:hint="eastAsia" w:ascii="仿宋" w:hAnsi="仿宋" w:eastAsia="仿宋" w:cs="仿宋"/>
          <w:bCs/>
          <w:sz w:val="24"/>
          <w:szCs w:val="24"/>
          <w:highlight w:val="none"/>
          <w:u w:val="single"/>
        </w:rPr>
        <w:t xml:space="preserve">                                                                      </w:t>
      </w:r>
    </w:p>
    <w:p w14:paraId="15D8874C">
      <w:pPr>
        <w:pStyle w:val="17"/>
        <w:shd w:val="clear"/>
        <w:spacing w:line="360" w:lineRule="auto"/>
        <w:ind w:left="25" w:leftChars="12" w:firstLine="472" w:firstLineChars="197"/>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竞争性磋商文件公告：</w:t>
      </w:r>
      <w:r>
        <w:rPr>
          <w:rFonts w:hint="eastAsia" w:ascii="仿宋" w:hAnsi="仿宋" w:eastAsia="仿宋" w:cs="仿宋"/>
          <w:bCs/>
          <w:sz w:val="24"/>
          <w:szCs w:val="24"/>
          <w:highlight w:val="none"/>
          <w:u w:val="single"/>
        </w:rPr>
        <w:t>是/否</w:t>
      </w:r>
      <w:r>
        <w:rPr>
          <w:rFonts w:hint="eastAsia" w:ascii="仿宋" w:hAnsi="仿宋" w:eastAsia="仿宋" w:cs="仿宋"/>
          <w:bCs/>
          <w:sz w:val="24"/>
          <w:szCs w:val="24"/>
          <w:highlight w:val="none"/>
        </w:rPr>
        <w:t>公告期限：</w:t>
      </w:r>
      <w:r>
        <w:rPr>
          <w:rFonts w:hint="eastAsia" w:ascii="仿宋" w:hAnsi="仿宋" w:eastAsia="仿宋" w:cs="仿宋"/>
          <w:bCs/>
          <w:sz w:val="24"/>
          <w:szCs w:val="24"/>
          <w:highlight w:val="none"/>
          <w:u w:val="single"/>
        </w:rPr>
        <w:t xml:space="preserve">                                                       </w:t>
      </w:r>
    </w:p>
    <w:p w14:paraId="2ECB23BC">
      <w:pPr>
        <w:pStyle w:val="17"/>
        <w:shd w:val="clear"/>
        <w:spacing w:line="360" w:lineRule="auto"/>
        <w:ind w:left="25" w:leftChars="12" w:firstLine="472" w:firstLineChars="197"/>
        <w:rPr>
          <w:rFonts w:hint="eastAsia" w:ascii="仿宋" w:hAnsi="仿宋" w:eastAsia="仿宋" w:cs="仿宋"/>
          <w:b/>
          <w:sz w:val="24"/>
          <w:szCs w:val="24"/>
          <w:highlight w:val="none"/>
        </w:rPr>
      </w:pPr>
      <w:r>
        <w:rPr>
          <w:rFonts w:hint="eastAsia" w:ascii="仿宋" w:hAnsi="仿宋" w:eastAsia="仿宋" w:cs="仿宋"/>
          <w:bCs/>
          <w:sz w:val="24"/>
          <w:szCs w:val="24"/>
          <w:highlight w:val="none"/>
        </w:rPr>
        <w:t>采购结果公告：</w:t>
      </w:r>
      <w:r>
        <w:rPr>
          <w:rFonts w:hint="eastAsia" w:ascii="仿宋" w:hAnsi="仿宋" w:eastAsia="仿宋" w:cs="仿宋"/>
          <w:bCs/>
          <w:sz w:val="24"/>
          <w:szCs w:val="24"/>
          <w:highlight w:val="none"/>
          <w:u w:val="single"/>
        </w:rPr>
        <w:t>是/否</w:t>
      </w:r>
      <w:r>
        <w:rPr>
          <w:rFonts w:hint="eastAsia" w:ascii="仿宋" w:hAnsi="仿宋" w:eastAsia="仿宋" w:cs="仿宋"/>
          <w:bCs/>
          <w:sz w:val="24"/>
          <w:szCs w:val="24"/>
          <w:highlight w:val="none"/>
        </w:rPr>
        <w:t>公告期限：</w:t>
      </w:r>
      <w:r>
        <w:rPr>
          <w:rFonts w:hint="eastAsia" w:ascii="仿宋" w:hAnsi="仿宋" w:eastAsia="仿宋" w:cs="仿宋"/>
          <w:bCs/>
          <w:sz w:val="24"/>
          <w:szCs w:val="24"/>
          <w:highlight w:val="none"/>
          <w:u w:val="single"/>
        </w:rPr>
        <w:t xml:space="preserve">                                                       </w:t>
      </w:r>
    </w:p>
    <w:p w14:paraId="4226B4D2">
      <w:pPr>
        <w:pStyle w:val="17"/>
        <w:shd w:val="clear"/>
        <w:spacing w:line="360" w:lineRule="auto"/>
        <w:ind w:left="25" w:leftChars="12"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三、质疑基本情况</w:t>
      </w:r>
    </w:p>
    <w:p w14:paraId="61F3A7BD">
      <w:pPr>
        <w:pStyle w:val="17"/>
        <w:shd w:val="clea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投诉人于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日，向</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提出质疑，质疑事项为：</w:t>
      </w:r>
    </w:p>
    <w:p w14:paraId="5B76FA7D">
      <w:pPr>
        <w:pStyle w:val="17"/>
        <w:shd w:val="clear"/>
        <w:spacing w:line="360" w:lineRule="auto"/>
        <w:ind w:firstLine="241"/>
        <w:rPr>
          <w:rFonts w:hint="eastAsia" w:ascii="仿宋" w:hAnsi="仿宋" w:eastAsia="仿宋" w:cs="仿宋"/>
          <w:bCs/>
          <w:sz w:val="24"/>
          <w:szCs w:val="24"/>
          <w:highlight w:val="none"/>
          <w:u w:val="single"/>
        </w:rPr>
      </w:pP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u w:val="single"/>
        </w:rPr>
        <w:t xml:space="preserve">                                                                                      </w:t>
      </w:r>
    </w:p>
    <w:p w14:paraId="7E747EC6">
      <w:pPr>
        <w:pStyle w:val="17"/>
        <w:shd w:val="clear"/>
        <w:spacing w:line="360" w:lineRule="auto"/>
        <w:ind w:firstLine="241"/>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u w:val="single"/>
        </w:rPr>
        <w:t xml:space="preserve">                                                                                      </w:t>
      </w:r>
    </w:p>
    <w:p w14:paraId="56306B50">
      <w:pPr>
        <w:pStyle w:val="17"/>
        <w:shd w:val="clea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u w:val="single"/>
        </w:rPr>
        <w:t>采购人/代理机构</w:t>
      </w:r>
      <w:r>
        <w:rPr>
          <w:rFonts w:hint="eastAsia" w:ascii="仿宋" w:hAnsi="仿宋" w:eastAsia="仿宋" w:cs="仿宋"/>
          <w:bCs/>
          <w:sz w:val="24"/>
          <w:szCs w:val="24"/>
          <w:highlight w:val="none"/>
        </w:rPr>
        <w:t>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bCs/>
          <w:sz w:val="24"/>
          <w:szCs w:val="24"/>
          <w:highlight w:val="none"/>
        </w:rPr>
        <w:t xml:space="preserve">就质疑事项作出了答复/没有在法定期限内作出答复。                                                                                             </w:t>
      </w:r>
    </w:p>
    <w:p w14:paraId="1A91BFCB">
      <w:pPr>
        <w:pStyle w:val="17"/>
        <w:shd w:val="clear"/>
        <w:spacing w:line="360" w:lineRule="auto"/>
        <w:ind w:left="25" w:leftChars="12"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四、投诉事项具体内容</w:t>
      </w:r>
    </w:p>
    <w:p w14:paraId="64779F84">
      <w:pPr>
        <w:pStyle w:val="17"/>
        <w:shd w:val="clear"/>
        <w:spacing w:line="360" w:lineRule="auto"/>
        <w:ind w:left="25" w:leftChars="12" w:firstLine="472" w:firstLineChars="197"/>
        <w:rPr>
          <w:rFonts w:hint="eastAsia" w:ascii="仿宋" w:hAnsi="仿宋" w:eastAsia="仿宋" w:cs="仿宋"/>
          <w:bCs/>
          <w:sz w:val="24"/>
          <w:szCs w:val="24"/>
          <w:highlight w:val="none"/>
          <w:u w:val="single"/>
        </w:rPr>
      </w:pPr>
      <w:r>
        <w:rPr>
          <w:rFonts w:hint="eastAsia" w:ascii="仿宋" w:hAnsi="仿宋" w:eastAsia="仿宋" w:cs="仿宋"/>
          <w:sz w:val="24"/>
          <w:szCs w:val="24"/>
          <w:highlight w:val="none"/>
        </w:rPr>
        <w:t>投诉事项1：</w:t>
      </w:r>
      <w:r>
        <w:rPr>
          <w:rFonts w:hint="eastAsia" w:ascii="仿宋" w:hAnsi="仿宋" w:eastAsia="仿宋" w:cs="仿宋"/>
          <w:bCs/>
          <w:sz w:val="24"/>
          <w:szCs w:val="24"/>
          <w:highlight w:val="none"/>
          <w:u w:val="single"/>
        </w:rPr>
        <w:t xml:space="preserve">                                                                           </w:t>
      </w:r>
    </w:p>
    <w:p w14:paraId="5C2F83D0">
      <w:pPr>
        <w:pStyle w:val="17"/>
        <w:shd w:val="clear"/>
        <w:spacing w:line="360" w:lineRule="auto"/>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事实依据：</w:t>
      </w: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u w:val="single"/>
        </w:rPr>
        <w:t xml:space="preserve">                                                                                      </w:t>
      </w:r>
    </w:p>
    <w:p w14:paraId="25E09BE1">
      <w:pPr>
        <w:pStyle w:val="17"/>
        <w:shd w:val="clear"/>
        <w:spacing w:line="360" w:lineRule="auto"/>
        <w:ind w:left="25" w:leftChars="12" w:firstLine="472" w:firstLineChars="197"/>
        <w:rPr>
          <w:rFonts w:hint="eastAsia" w:ascii="仿宋" w:hAnsi="仿宋" w:eastAsia="仿宋" w:cs="仿宋"/>
          <w:sz w:val="24"/>
          <w:szCs w:val="24"/>
          <w:highlight w:val="none"/>
        </w:rPr>
      </w:pPr>
      <w:r>
        <w:rPr>
          <w:rFonts w:hint="eastAsia" w:ascii="仿宋" w:hAnsi="仿宋" w:eastAsia="仿宋" w:cs="仿宋"/>
          <w:bCs/>
          <w:sz w:val="24"/>
          <w:szCs w:val="24"/>
          <w:highlight w:val="none"/>
          <w:u w:val="single"/>
        </w:rPr>
        <w:t xml:space="preserve">                                                                                        </w:t>
      </w:r>
    </w:p>
    <w:p w14:paraId="34C8CDFF">
      <w:pPr>
        <w:pStyle w:val="17"/>
        <w:shd w:val="clear"/>
        <w:spacing w:line="360" w:lineRule="auto"/>
        <w:ind w:firstLine="480" w:firstLineChars="200"/>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法律依据：</w:t>
      </w: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u w:val="single"/>
        </w:rPr>
        <w:t xml:space="preserve">                                                                                      </w:t>
      </w:r>
    </w:p>
    <w:p w14:paraId="16937F83">
      <w:pPr>
        <w:pStyle w:val="17"/>
        <w:shd w:val="clear"/>
        <w:spacing w:line="360" w:lineRule="auto"/>
        <w:ind w:left="25" w:leftChars="12" w:firstLine="352" w:firstLineChars="147"/>
        <w:rPr>
          <w:rFonts w:hint="eastAsia" w:ascii="仿宋" w:hAnsi="仿宋" w:eastAsia="仿宋" w:cs="仿宋"/>
          <w:bCs/>
          <w:sz w:val="24"/>
          <w:szCs w:val="24"/>
          <w:highlight w:val="none"/>
          <w:u w:val="single"/>
        </w:rPr>
      </w:pP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u w:val="single"/>
        </w:rPr>
        <w:t xml:space="preserve">                                                                                        </w:t>
      </w:r>
    </w:p>
    <w:p w14:paraId="338F9032">
      <w:pPr>
        <w:pStyle w:val="17"/>
        <w:shd w:val="clear"/>
        <w:spacing w:line="360" w:lineRule="auto"/>
        <w:ind w:left="25" w:leftChars="12" w:firstLine="472" w:firstLineChars="197"/>
        <w:rPr>
          <w:rFonts w:hint="eastAsia" w:ascii="仿宋" w:hAnsi="仿宋" w:eastAsia="仿宋" w:cs="仿宋"/>
          <w:bCs/>
          <w:sz w:val="24"/>
          <w:szCs w:val="24"/>
          <w:highlight w:val="none"/>
        </w:rPr>
      </w:pPr>
      <w:r>
        <w:rPr>
          <w:rFonts w:hint="eastAsia" w:ascii="仿宋" w:hAnsi="仿宋" w:eastAsia="仿宋" w:cs="仿宋"/>
          <w:sz w:val="24"/>
          <w:szCs w:val="24"/>
          <w:highlight w:val="none"/>
        </w:rPr>
        <w:t xml:space="preserve">投诉事项2  </w:t>
      </w:r>
      <w:r>
        <w:rPr>
          <w:rFonts w:hint="eastAsia" w:ascii="仿宋" w:hAnsi="仿宋" w:eastAsia="仿宋" w:cs="仿宋"/>
          <w:bCs/>
          <w:sz w:val="24"/>
          <w:szCs w:val="24"/>
          <w:highlight w:val="none"/>
        </w:rPr>
        <w:t xml:space="preserve">   </w:t>
      </w:r>
    </w:p>
    <w:p w14:paraId="259B8C35">
      <w:pPr>
        <w:pStyle w:val="17"/>
        <w:shd w:val="clear"/>
        <w:spacing w:line="360" w:lineRule="auto"/>
        <w:ind w:left="25" w:leftChars="12" w:firstLine="472" w:firstLineChars="197"/>
        <w:rPr>
          <w:rFonts w:hint="eastAsia" w:ascii="仿宋" w:hAnsi="仿宋" w:eastAsia="仿宋" w:cs="仿宋"/>
          <w:bCs/>
          <w:sz w:val="24"/>
          <w:szCs w:val="24"/>
          <w:highlight w:val="none"/>
        </w:rPr>
      </w:pPr>
      <w:r>
        <w:rPr>
          <w:rFonts w:hint="eastAsia" w:ascii="仿宋" w:hAnsi="仿宋" w:eastAsia="仿宋" w:cs="仿宋"/>
          <w:bCs/>
          <w:sz w:val="24"/>
          <w:szCs w:val="24"/>
          <w:highlight w:val="none"/>
        </w:rPr>
        <w:t>……</w:t>
      </w:r>
    </w:p>
    <w:p w14:paraId="5B5E9004">
      <w:pPr>
        <w:pStyle w:val="17"/>
        <w:shd w:val="clear"/>
        <w:spacing w:line="360" w:lineRule="auto"/>
        <w:ind w:left="25" w:leftChars="12"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五、与投诉事项相关的投诉请求：</w:t>
      </w:r>
    </w:p>
    <w:p w14:paraId="55C7BD39">
      <w:pPr>
        <w:pStyle w:val="17"/>
        <w:shd w:val="clear"/>
        <w:spacing w:line="360" w:lineRule="auto"/>
        <w:ind w:left="25" w:leftChars="12" w:firstLine="472" w:firstLineChars="197"/>
        <w:rPr>
          <w:rFonts w:hint="eastAsia" w:ascii="仿宋" w:hAnsi="仿宋" w:eastAsia="仿宋" w:cs="仿宋"/>
          <w:sz w:val="24"/>
          <w:szCs w:val="24"/>
          <w:highlight w:val="none"/>
        </w:rPr>
      </w:pPr>
      <w:r>
        <w:rPr>
          <w:rFonts w:hint="eastAsia" w:ascii="仿宋" w:hAnsi="仿宋" w:eastAsia="仿宋" w:cs="仿宋"/>
          <w:sz w:val="24"/>
          <w:szCs w:val="24"/>
          <w:highlight w:val="none"/>
        </w:rPr>
        <w:t>请求：</w:t>
      </w:r>
      <w:r>
        <w:rPr>
          <w:rFonts w:hint="eastAsia" w:ascii="仿宋" w:hAnsi="仿宋" w:eastAsia="仿宋" w:cs="仿宋"/>
          <w:bCs/>
          <w:sz w:val="24"/>
          <w:szCs w:val="24"/>
          <w:highlight w:val="none"/>
          <w:u w:val="single"/>
        </w:rPr>
        <w:t xml:space="preserve">                                                                                 </w:t>
      </w:r>
    </w:p>
    <w:p w14:paraId="6AB31064">
      <w:pPr>
        <w:pStyle w:val="17"/>
        <w:shd w:val="clear"/>
        <w:spacing w:line="360" w:lineRule="auto"/>
        <w:ind w:left="25" w:leftChars="12" w:firstLine="352" w:firstLineChars="147"/>
        <w:rPr>
          <w:rFonts w:hint="eastAsia" w:ascii="仿宋" w:hAnsi="仿宋" w:eastAsia="仿宋" w:cs="仿宋"/>
          <w:sz w:val="24"/>
          <w:szCs w:val="24"/>
          <w:highlight w:val="none"/>
        </w:rPr>
      </w:pPr>
    </w:p>
    <w:p w14:paraId="7288C09D">
      <w:pPr>
        <w:pStyle w:val="17"/>
        <w:shd w:val="clear"/>
        <w:spacing w:line="360" w:lineRule="auto"/>
        <w:ind w:left="25" w:leftChars="12" w:firstLine="472" w:firstLineChars="197"/>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14:paraId="035243A5">
      <w:pPr>
        <w:pStyle w:val="17"/>
        <w:shd w:val="clear"/>
        <w:spacing w:line="360" w:lineRule="auto"/>
        <w:ind w:left="25" w:leftChars="12" w:firstLine="352" w:firstLineChars="147"/>
        <w:rPr>
          <w:rFonts w:hint="eastAsia" w:ascii="仿宋" w:hAnsi="仿宋" w:eastAsia="仿宋" w:cs="仿宋"/>
          <w:sz w:val="24"/>
          <w:szCs w:val="24"/>
          <w:highlight w:val="none"/>
        </w:rPr>
      </w:pPr>
    </w:p>
    <w:p w14:paraId="05F9C71E">
      <w:pPr>
        <w:pStyle w:val="17"/>
        <w:shd w:val="clear"/>
        <w:spacing w:line="360" w:lineRule="auto"/>
        <w:ind w:left="25" w:leftChars="12" w:firstLine="472" w:firstLineChars="197"/>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5A5889E3">
      <w:pPr>
        <w:pStyle w:val="17"/>
        <w:shd w:val="clear"/>
        <w:spacing w:line="360" w:lineRule="auto"/>
        <w:ind w:left="25" w:leftChars="12" w:firstLine="472" w:firstLineChars="197"/>
        <w:rPr>
          <w:rFonts w:hint="eastAsia" w:ascii="仿宋" w:hAnsi="仿宋" w:eastAsia="仿宋" w:cs="仿宋"/>
          <w:b/>
          <w:sz w:val="24"/>
          <w:szCs w:val="24"/>
          <w:highlight w:val="none"/>
        </w:rPr>
      </w:pPr>
      <w:r>
        <w:rPr>
          <w:rFonts w:hint="eastAsia" w:ascii="仿宋" w:hAnsi="仿宋" w:eastAsia="仿宋" w:cs="仿宋"/>
          <w:bCs/>
          <w:sz w:val="24"/>
          <w:szCs w:val="24"/>
          <w:highlight w:val="none"/>
        </w:rPr>
        <w:t xml:space="preserve">                                                                                 </w:t>
      </w:r>
    </w:p>
    <w:p w14:paraId="11AEBEF2">
      <w:pPr>
        <w:pStyle w:val="17"/>
        <w:shd w:val="clear"/>
        <w:snapToGrid w:val="0"/>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p w14:paraId="77E00D46">
      <w:pPr>
        <w:pStyle w:val="17"/>
        <w:shd w:val="clear"/>
        <w:spacing w:line="360" w:lineRule="auto"/>
        <w:ind w:left="25" w:leftChars="12" w:firstLine="354" w:firstLineChars="147"/>
        <w:rPr>
          <w:rFonts w:hint="eastAsia" w:ascii="仿宋" w:hAnsi="仿宋" w:eastAsia="仿宋" w:cs="仿宋"/>
          <w:b/>
          <w:bCs/>
          <w:sz w:val="24"/>
          <w:szCs w:val="24"/>
          <w:highlight w:val="none"/>
        </w:rPr>
      </w:pPr>
      <w:r>
        <w:rPr>
          <w:rFonts w:hint="eastAsia" w:ascii="仿宋" w:hAnsi="仿宋" w:eastAsia="仿宋" w:cs="仿宋"/>
          <w:b/>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sz w:val="24"/>
          <w:szCs w:val="24"/>
          <w:highlight w:val="none"/>
        </w:rPr>
        <w:t>。</w:t>
      </w:r>
    </w:p>
    <w:p w14:paraId="696A1B95">
      <w:pPr>
        <w:pStyle w:val="17"/>
        <w:shd w:val="clear"/>
        <w:spacing w:line="360" w:lineRule="auto"/>
        <w:ind w:left="25" w:leftChars="12" w:firstLine="354" w:firstLineChars="147"/>
        <w:rPr>
          <w:rFonts w:hint="eastAsia" w:ascii="仿宋" w:hAnsi="仿宋" w:eastAsia="仿宋" w:cs="仿宋"/>
          <w:b/>
          <w:sz w:val="24"/>
          <w:szCs w:val="24"/>
          <w:highlight w:val="none"/>
        </w:rPr>
      </w:pPr>
      <w:r>
        <w:rPr>
          <w:rFonts w:hint="eastAsia" w:ascii="仿宋" w:hAnsi="仿宋" w:eastAsia="仿宋" w:cs="仿宋"/>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6B1055D">
      <w:pPr>
        <w:pStyle w:val="17"/>
        <w:shd w:val="clear"/>
        <w:spacing w:line="360" w:lineRule="auto"/>
        <w:ind w:left="25" w:leftChars="12" w:firstLine="354" w:firstLineChars="147"/>
        <w:rPr>
          <w:rFonts w:hint="eastAsia" w:ascii="仿宋" w:hAnsi="仿宋" w:eastAsia="仿宋" w:cs="仿宋"/>
          <w:b/>
          <w:sz w:val="24"/>
          <w:szCs w:val="24"/>
          <w:highlight w:val="none"/>
        </w:rPr>
      </w:pPr>
      <w:r>
        <w:rPr>
          <w:rFonts w:hint="eastAsia" w:ascii="仿宋" w:hAnsi="仿宋" w:eastAsia="仿宋" w:cs="仿宋"/>
          <w:b/>
          <w:sz w:val="24"/>
          <w:szCs w:val="24"/>
          <w:highlight w:val="none"/>
        </w:rPr>
        <w:t>3.投诉书应简要列明质疑事项，质疑函、质疑答复等作为附件材料提供。</w:t>
      </w:r>
    </w:p>
    <w:p w14:paraId="70277947">
      <w:pPr>
        <w:pStyle w:val="17"/>
        <w:shd w:val="clear"/>
        <w:spacing w:line="360" w:lineRule="auto"/>
        <w:ind w:left="25" w:leftChars="12" w:firstLine="354" w:firstLineChars="147"/>
        <w:rPr>
          <w:rFonts w:hint="eastAsia" w:ascii="仿宋" w:hAnsi="仿宋" w:eastAsia="仿宋" w:cs="仿宋"/>
          <w:b/>
          <w:sz w:val="24"/>
          <w:szCs w:val="24"/>
          <w:highlight w:val="none"/>
        </w:rPr>
      </w:pPr>
      <w:r>
        <w:rPr>
          <w:rFonts w:hint="eastAsia" w:ascii="仿宋" w:hAnsi="仿宋" w:eastAsia="仿宋" w:cs="仿宋"/>
          <w:b/>
          <w:sz w:val="24"/>
          <w:szCs w:val="24"/>
          <w:highlight w:val="none"/>
        </w:rPr>
        <w:t>4.投诉书的投诉事项应具体、明确，并有必要的事实依据和法律依据。</w:t>
      </w:r>
    </w:p>
    <w:p w14:paraId="35649759">
      <w:pPr>
        <w:pStyle w:val="17"/>
        <w:shd w:val="clear"/>
        <w:spacing w:line="360" w:lineRule="auto"/>
        <w:ind w:left="25" w:leftChars="12" w:firstLine="354" w:firstLineChars="147"/>
        <w:rPr>
          <w:rFonts w:hint="eastAsia" w:ascii="仿宋" w:hAnsi="仿宋" w:eastAsia="仿宋" w:cs="仿宋"/>
          <w:b/>
          <w:sz w:val="24"/>
          <w:szCs w:val="24"/>
          <w:highlight w:val="none"/>
        </w:rPr>
      </w:pPr>
      <w:r>
        <w:rPr>
          <w:rFonts w:hint="eastAsia" w:ascii="仿宋" w:hAnsi="仿宋" w:eastAsia="仿宋" w:cs="仿宋"/>
          <w:b/>
          <w:sz w:val="24"/>
          <w:szCs w:val="24"/>
          <w:highlight w:val="none"/>
        </w:rPr>
        <w:t>5.投诉书的投诉请求应与投诉事项相关。</w:t>
      </w:r>
    </w:p>
    <w:p w14:paraId="6F0F033A">
      <w:pPr>
        <w:pStyle w:val="17"/>
        <w:shd w:val="clear"/>
        <w:spacing w:line="360" w:lineRule="auto"/>
        <w:ind w:left="25" w:leftChars="12" w:firstLine="354" w:firstLineChars="147"/>
        <w:rPr>
          <w:rFonts w:hint="eastAsia" w:ascii="仿宋" w:hAnsi="仿宋" w:eastAsia="仿宋" w:cs="仿宋"/>
          <w:b/>
          <w:sz w:val="24"/>
          <w:szCs w:val="24"/>
          <w:highlight w:val="none"/>
        </w:rPr>
      </w:pPr>
      <w:r>
        <w:rPr>
          <w:rFonts w:hint="eastAsia" w:ascii="仿宋" w:hAnsi="仿宋" w:eastAsia="仿宋" w:cs="仿宋"/>
          <w:b/>
          <w:sz w:val="24"/>
          <w:szCs w:val="24"/>
          <w:highlight w:val="none"/>
        </w:rPr>
        <w:t>6.投诉人为法人或者其他组织的，投诉书应由法定代表人、主要负责人，或者其授权代表签字或者盖章，并加盖公章。</w:t>
      </w:r>
    </w:p>
    <w:p w14:paraId="2DFBB65E">
      <w:pPr>
        <w:pStyle w:val="17"/>
        <w:shd w:val="clear"/>
        <w:spacing w:line="360" w:lineRule="auto"/>
        <w:ind w:left="25" w:leftChars="12" w:firstLine="352" w:firstLineChars="147"/>
        <w:rPr>
          <w:rFonts w:hint="eastAsia" w:ascii="仿宋" w:hAnsi="仿宋" w:eastAsia="仿宋" w:cs="仿宋"/>
          <w:sz w:val="24"/>
          <w:szCs w:val="24"/>
          <w:highlight w:val="none"/>
        </w:rPr>
      </w:pPr>
    </w:p>
    <w:p w14:paraId="2C8FF603">
      <w:pPr>
        <w:pStyle w:val="2"/>
        <w:shd w:val="clear"/>
        <w:rPr>
          <w:highlight w:val="none"/>
        </w:rPr>
      </w:pPr>
      <w:bookmarkStart w:id="137" w:name="_Toc2903"/>
      <w:r>
        <w:rPr>
          <w:rFonts w:hint="eastAsia"/>
          <w:highlight w:val="none"/>
        </w:rPr>
        <w:t>第六章 拟签订的合同文本</w:t>
      </w:r>
      <w:bookmarkEnd w:id="137"/>
    </w:p>
    <w:p w14:paraId="4D36BC7D">
      <w:pPr>
        <w:shd w:val="clear"/>
        <w:jc w:val="center"/>
        <w:rPr>
          <w:rFonts w:hint="eastAsia" w:ascii="仿宋" w:hAnsi="仿宋" w:eastAsia="仿宋" w:cs="仿宋"/>
          <w:b/>
          <w:bCs/>
          <w:kern w:val="44"/>
          <w:sz w:val="44"/>
          <w:szCs w:val="44"/>
          <w:highlight w:val="none"/>
        </w:rPr>
      </w:pPr>
    </w:p>
    <w:p w14:paraId="7A815793">
      <w:pPr>
        <w:shd w:val="clear"/>
        <w:jc w:val="center"/>
        <w:rPr>
          <w:rFonts w:hint="eastAsia" w:ascii="仿宋" w:hAnsi="仿宋" w:eastAsia="仿宋" w:cs="仿宋"/>
          <w:sz w:val="32"/>
          <w:szCs w:val="32"/>
          <w:highlight w:val="none"/>
        </w:rPr>
      </w:pPr>
      <w:r>
        <w:rPr>
          <w:rFonts w:hint="eastAsia" w:ascii="仿宋" w:hAnsi="仿宋" w:eastAsia="仿宋" w:cs="仿宋"/>
          <w:b/>
          <w:bCs/>
          <w:kern w:val="44"/>
          <w:sz w:val="44"/>
          <w:szCs w:val="44"/>
          <w:highlight w:val="none"/>
        </w:rPr>
        <w:t>合同文本</w:t>
      </w:r>
    </w:p>
    <w:p w14:paraId="156DA2BD">
      <w:pPr>
        <w:shd w:val="clear"/>
        <w:spacing w:line="520" w:lineRule="exact"/>
        <w:rPr>
          <w:rFonts w:hint="eastAsia" w:ascii="仿宋" w:hAnsi="仿宋" w:eastAsia="仿宋" w:cs="仿宋"/>
          <w:b/>
          <w:sz w:val="32"/>
          <w:szCs w:val="32"/>
          <w:highlight w:val="none"/>
        </w:rPr>
      </w:pPr>
      <w:r>
        <w:rPr>
          <w:rFonts w:hint="eastAsia" w:ascii="仿宋" w:hAnsi="仿宋" w:eastAsia="仿宋" w:cs="仿宋"/>
          <w:sz w:val="24"/>
          <w:highlight w:val="none"/>
        </w:rPr>
        <w:t>项目名称：</w:t>
      </w:r>
    </w:p>
    <w:p w14:paraId="7D776200">
      <w:pPr>
        <w:shd w:val="clear"/>
        <w:spacing w:line="360" w:lineRule="auto"/>
        <w:rPr>
          <w:rFonts w:hint="eastAsia" w:ascii="仿宋" w:hAnsi="仿宋" w:eastAsia="仿宋" w:cs="仿宋"/>
          <w:sz w:val="24"/>
          <w:szCs w:val="32"/>
          <w:highlight w:val="none"/>
        </w:rPr>
      </w:pPr>
      <w:r>
        <w:rPr>
          <w:rFonts w:hint="eastAsia" w:ascii="仿宋" w:hAnsi="仿宋" w:eastAsia="仿宋" w:cs="仿宋"/>
          <w:sz w:val="24"/>
          <w:szCs w:val="32"/>
          <w:highlight w:val="none"/>
        </w:rPr>
        <w:t>合同编号：</w:t>
      </w:r>
    </w:p>
    <w:p w14:paraId="67F7993A">
      <w:pPr>
        <w:shd w:val="clear"/>
        <w:spacing w:line="360" w:lineRule="auto"/>
        <w:rPr>
          <w:rFonts w:hint="eastAsia" w:ascii="仿宋" w:hAnsi="仿宋" w:eastAsia="仿宋" w:cs="仿宋"/>
          <w:sz w:val="24"/>
          <w:szCs w:val="32"/>
          <w:highlight w:val="none"/>
        </w:rPr>
      </w:pPr>
      <w:r>
        <w:rPr>
          <w:rFonts w:hint="eastAsia" w:ascii="仿宋" w:hAnsi="仿宋" w:eastAsia="仿宋" w:cs="仿宋"/>
          <w:sz w:val="24"/>
          <w:szCs w:val="32"/>
          <w:highlight w:val="none"/>
        </w:rPr>
        <w:t xml:space="preserve">采购人（甲方）：广西大学                      </w:t>
      </w:r>
    </w:p>
    <w:p w14:paraId="20BE3065">
      <w:pPr>
        <w:shd w:val="clear"/>
        <w:spacing w:line="360" w:lineRule="auto"/>
        <w:rPr>
          <w:rFonts w:hint="eastAsia" w:ascii="仿宋" w:hAnsi="仿宋" w:eastAsia="仿宋" w:cs="仿宋"/>
          <w:sz w:val="24"/>
          <w:szCs w:val="32"/>
          <w:highlight w:val="none"/>
        </w:rPr>
      </w:pPr>
      <w:r>
        <w:rPr>
          <w:rFonts w:hint="eastAsia" w:ascii="仿宋" w:hAnsi="仿宋" w:eastAsia="仿宋" w:cs="仿宋"/>
          <w:sz w:val="24"/>
          <w:szCs w:val="32"/>
          <w:highlight w:val="none"/>
        </w:rPr>
        <w:t xml:space="preserve">供应商（乙方）：          </w:t>
      </w:r>
    </w:p>
    <w:p w14:paraId="0F915B46">
      <w:pPr>
        <w:shd w:val="clear"/>
        <w:spacing w:line="360" w:lineRule="auto"/>
        <w:rPr>
          <w:rFonts w:hint="eastAsia" w:ascii="仿宋" w:hAnsi="仿宋" w:eastAsia="仿宋" w:cs="仿宋"/>
          <w:sz w:val="24"/>
          <w:szCs w:val="32"/>
          <w:highlight w:val="none"/>
          <w:u w:val="single"/>
        </w:rPr>
      </w:pPr>
      <w:r>
        <w:rPr>
          <w:rFonts w:hint="eastAsia" w:ascii="仿宋" w:hAnsi="仿宋" w:eastAsia="仿宋" w:cs="仿宋"/>
          <w:sz w:val="24"/>
          <w:szCs w:val="32"/>
          <w:highlight w:val="none"/>
        </w:rPr>
        <w:t>签订地点：广西壮族自治区南宁市西乡塘区</w:t>
      </w:r>
    </w:p>
    <w:p w14:paraId="13679147">
      <w:pPr>
        <w:shd w:val="clear"/>
        <w:spacing w:line="360" w:lineRule="auto"/>
        <w:ind w:firstLine="480" w:firstLineChars="200"/>
        <w:rPr>
          <w:rFonts w:hint="eastAsia" w:ascii="仿宋" w:hAnsi="仿宋" w:eastAsia="仿宋" w:cs="仿宋"/>
          <w:sz w:val="24"/>
          <w:szCs w:val="32"/>
          <w:highlight w:val="none"/>
        </w:rPr>
      </w:pPr>
    </w:p>
    <w:p w14:paraId="56673D5B">
      <w:pPr>
        <w:shd w:val="clear"/>
        <w:spacing w:line="360" w:lineRule="auto"/>
        <w:ind w:firstLine="480" w:firstLineChars="200"/>
        <w:rPr>
          <w:rFonts w:hint="eastAsia" w:ascii="仿宋" w:hAnsi="仿宋" w:eastAsia="仿宋" w:cs="仿宋"/>
          <w:sz w:val="24"/>
          <w:szCs w:val="32"/>
          <w:highlight w:val="none"/>
        </w:rPr>
      </w:pPr>
      <w:r>
        <w:rPr>
          <w:rFonts w:hint="eastAsia" w:ascii="仿宋" w:hAnsi="仿宋" w:eastAsia="仿宋" w:cs="仿宋"/>
          <w:sz w:val="24"/>
          <w:szCs w:val="32"/>
          <w:highlight w:val="none"/>
        </w:rPr>
        <w:t>根据《中华人民共和国民法典》《中华人民共和国政府采购法》等法律、法规规定，按照磋商文件规定条款和成交供应商响应文件及其承诺，</w:t>
      </w:r>
      <w:bookmarkStart w:id="138" w:name="_Hlk206110632"/>
      <w:r>
        <w:rPr>
          <w:rFonts w:hint="eastAsia" w:ascii="仿宋" w:hAnsi="仿宋" w:eastAsia="仿宋" w:cs="仿宋"/>
          <w:sz w:val="24"/>
          <w:szCs w:val="32"/>
          <w:highlight w:val="none"/>
        </w:rPr>
        <w:t>双方协商</w:t>
      </w:r>
      <w:bookmarkEnd w:id="138"/>
      <w:r>
        <w:rPr>
          <w:rFonts w:hint="eastAsia" w:ascii="仿宋" w:hAnsi="仿宋" w:eastAsia="仿宋" w:cs="仿宋"/>
          <w:sz w:val="24"/>
          <w:szCs w:val="32"/>
          <w:highlight w:val="none"/>
        </w:rPr>
        <w:t>签订本合同。</w:t>
      </w:r>
    </w:p>
    <w:p w14:paraId="51A9BD59">
      <w:pPr>
        <w:shd w:val="clear"/>
        <w:spacing w:line="360" w:lineRule="auto"/>
        <w:ind w:firstLine="482" w:firstLineChars="200"/>
        <w:rPr>
          <w:rFonts w:hint="eastAsia" w:ascii="仿宋" w:hAnsi="仿宋" w:eastAsia="仿宋" w:cs="仿宋"/>
          <w:b/>
          <w:sz w:val="24"/>
          <w:szCs w:val="32"/>
          <w:highlight w:val="none"/>
        </w:rPr>
      </w:pPr>
      <w:r>
        <w:rPr>
          <w:rFonts w:hint="eastAsia" w:ascii="仿宋" w:hAnsi="仿宋" w:eastAsia="仿宋" w:cs="仿宋"/>
          <w:b/>
          <w:sz w:val="24"/>
          <w:szCs w:val="32"/>
          <w:highlight w:val="none"/>
        </w:rPr>
        <w:t>第一条 合同标的</w:t>
      </w:r>
    </w:p>
    <w:p w14:paraId="77D1F1BF">
      <w:pPr>
        <w:shd w:val="clear"/>
        <w:spacing w:line="360" w:lineRule="auto"/>
        <w:ind w:firstLine="480" w:firstLineChars="200"/>
        <w:rPr>
          <w:rFonts w:hint="eastAsia" w:ascii="仿宋" w:hAnsi="仿宋" w:eastAsia="仿宋" w:cs="仿宋"/>
          <w:sz w:val="24"/>
          <w:szCs w:val="32"/>
          <w:highlight w:val="none"/>
        </w:rPr>
      </w:pPr>
      <w:r>
        <w:rPr>
          <w:rFonts w:hint="eastAsia" w:ascii="仿宋" w:hAnsi="仿宋" w:eastAsia="仿宋" w:cs="仿宋"/>
          <w:sz w:val="24"/>
          <w:szCs w:val="32"/>
          <w:highlight w:val="none"/>
        </w:rPr>
        <w:t>1.项目清单一览表</w:t>
      </w:r>
    </w:p>
    <w:tbl>
      <w:tblPr>
        <w:tblStyle w:val="29"/>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817"/>
        <w:gridCol w:w="669"/>
        <w:gridCol w:w="3541"/>
      </w:tblGrid>
      <w:tr w14:paraId="69FD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l2br w:val="nil"/>
              <w:tr2bl w:val="nil"/>
            </w:tcBorders>
            <w:vAlign w:val="center"/>
          </w:tcPr>
          <w:p w14:paraId="22B698F7">
            <w:pPr>
              <w:shd w:val="clear"/>
              <w:jc w:val="center"/>
              <w:rPr>
                <w:rFonts w:hint="eastAsia" w:ascii="仿宋" w:hAnsi="仿宋" w:eastAsia="仿宋" w:cs="仿宋"/>
                <w:b/>
                <w:szCs w:val="21"/>
                <w:highlight w:val="none"/>
              </w:rPr>
            </w:pPr>
            <w:r>
              <w:rPr>
                <w:rFonts w:hint="eastAsia" w:ascii="仿宋" w:hAnsi="仿宋" w:eastAsia="仿宋" w:cs="仿宋"/>
                <w:b/>
                <w:szCs w:val="21"/>
                <w:highlight w:val="none"/>
              </w:rPr>
              <w:t>序号</w:t>
            </w:r>
          </w:p>
        </w:tc>
        <w:tc>
          <w:tcPr>
            <w:tcW w:w="1213" w:type="dxa"/>
            <w:tcBorders>
              <w:top w:val="single" w:color="auto" w:sz="4" w:space="0"/>
              <w:left w:val="single" w:color="auto" w:sz="4" w:space="0"/>
              <w:bottom w:val="single" w:color="auto" w:sz="4" w:space="0"/>
              <w:right w:val="single" w:color="auto" w:sz="4" w:space="0"/>
              <w:tl2br w:val="nil"/>
              <w:tr2bl w:val="nil"/>
            </w:tcBorders>
            <w:vAlign w:val="center"/>
          </w:tcPr>
          <w:p w14:paraId="035FD31D">
            <w:pPr>
              <w:shd w:val="clear"/>
              <w:jc w:val="center"/>
              <w:rPr>
                <w:rFonts w:hint="eastAsia" w:ascii="仿宋" w:hAnsi="仿宋" w:eastAsia="仿宋" w:cs="仿宋"/>
                <w:b/>
                <w:szCs w:val="21"/>
                <w:highlight w:val="none"/>
              </w:rPr>
            </w:pPr>
            <w:r>
              <w:rPr>
                <w:rFonts w:hint="eastAsia" w:ascii="仿宋" w:hAnsi="仿宋" w:eastAsia="仿宋" w:cs="仿宋"/>
                <w:b/>
                <w:szCs w:val="21"/>
                <w:highlight w:val="none"/>
              </w:rPr>
              <w:t>标的名称</w:t>
            </w:r>
          </w:p>
        </w:tc>
        <w:tc>
          <w:tcPr>
            <w:tcW w:w="2400" w:type="dxa"/>
            <w:tcBorders>
              <w:top w:val="single" w:color="auto" w:sz="4" w:space="0"/>
              <w:left w:val="single" w:color="auto" w:sz="4" w:space="0"/>
              <w:bottom w:val="single" w:color="auto" w:sz="4" w:space="0"/>
              <w:right w:val="single" w:color="auto" w:sz="4" w:space="0"/>
              <w:tl2br w:val="nil"/>
              <w:tr2bl w:val="nil"/>
            </w:tcBorders>
            <w:vAlign w:val="center"/>
          </w:tcPr>
          <w:p w14:paraId="47F3B779">
            <w:pPr>
              <w:shd w:val="clear"/>
              <w:jc w:val="center"/>
              <w:rPr>
                <w:rFonts w:hint="eastAsia" w:ascii="仿宋" w:hAnsi="仿宋" w:eastAsia="仿宋" w:cs="仿宋"/>
                <w:b/>
                <w:szCs w:val="21"/>
                <w:highlight w:val="none"/>
              </w:rPr>
            </w:pPr>
            <w:r>
              <w:rPr>
                <w:rFonts w:hint="eastAsia" w:ascii="仿宋" w:hAnsi="仿宋" w:eastAsia="仿宋" w:cs="仿宋"/>
                <w:b/>
                <w:szCs w:val="21"/>
                <w:highlight w:val="none"/>
              </w:rPr>
              <w:t>服务要求</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14:paraId="15550112">
            <w:pPr>
              <w:shd w:val="clear"/>
              <w:jc w:val="center"/>
              <w:rPr>
                <w:rFonts w:hint="eastAsia" w:ascii="仿宋" w:hAnsi="仿宋" w:eastAsia="仿宋" w:cs="仿宋"/>
                <w:b/>
                <w:szCs w:val="21"/>
                <w:highlight w:val="none"/>
              </w:rPr>
            </w:pPr>
            <w:r>
              <w:rPr>
                <w:rFonts w:hint="eastAsia" w:ascii="仿宋" w:hAnsi="仿宋" w:eastAsia="仿宋" w:cs="仿宋"/>
                <w:b/>
                <w:szCs w:val="21"/>
                <w:highlight w:val="none"/>
              </w:rPr>
              <w:t>数量</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14:paraId="091D4F93">
            <w:pPr>
              <w:shd w:val="clear"/>
              <w:jc w:val="center"/>
              <w:rPr>
                <w:rFonts w:hint="eastAsia" w:ascii="仿宋" w:hAnsi="仿宋" w:eastAsia="仿宋" w:cs="仿宋"/>
                <w:b/>
                <w:szCs w:val="21"/>
                <w:highlight w:val="none"/>
              </w:rPr>
            </w:pPr>
            <w:r>
              <w:rPr>
                <w:rFonts w:hint="eastAsia" w:ascii="仿宋" w:hAnsi="仿宋" w:eastAsia="仿宋" w:cs="仿宋"/>
                <w:b/>
                <w:szCs w:val="21"/>
                <w:highlight w:val="none"/>
              </w:rPr>
              <w:t>单位</w:t>
            </w:r>
          </w:p>
        </w:tc>
        <w:tc>
          <w:tcPr>
            <w:tcW w:w="3541" w:type="dxa"/>
            <w:tcBorders>
              <w:top w:val="single" w:color="auto" w:sz="4" w:space="0"/>
              <w:left w:val="single" w:color="auto" w:sz="4" w:space="0"/>
              <w:bottom w:val="single" w:color="auto" w:sz="4" w:space="0"/>
              <w:right w:val="single" w:color="auto" w:sz="4" w:space="0"/>
              <w:tl2br w:val="nil"/>
              <w:tr2bl w:val="nil"/>
            </w:tcBorders>
            <w:vAlign w:val="center"/>
          </w:tcPr>
          <w:p w14:paraId="40779D00">
            <w:pPr>
              <w:shd w:val="clear"/>
              <w:jc w:val="center"/>
              <w:rPr>
                <w:rFonts w:hint="eastAsia" w:ascii="仿宋" w:hAnsi="仿宋" w:eastAsia="仿宋" w:cs="仿宋"/>
                <w:b/>
                <w:szCs w:val="21"/>
                <w:highlight w:val="none"/>
              </w:rPr>
            </w:pPr>
            <w:r>
              <w:rPr>
                <w:rFonts w:hint="eastAsia" w:ascii="仿宋" w:hAnsi="仿宋" w:eastAsia="仿宋" w:cs="仿宋"/>
                <w:b/>
                <w:szCs w:val="21"/>
                <w:highlight w:val="none"/>
              </w:rPr>
              <w:t>下浮系数%（合同暂定价）</w:t>
            </w:r>
          </w:p>
        </w:tc>
      </w:tr>
      <w:tr w14:paraId="1464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l2br w:val="nil"/>
              <w:tr2bl w:val="nil"/>
            </w:tcBorders>
            <w:vAlign w:val="center"/>
          </w:tcPr>
          <w:p w14:paraId="10284614">
            <w:pPr>
              <w:shd w:val="clear"/>
              <w:spacing w:line="360" w:lineRule="auto"/>
              <w:jc w:val="center"/>
              <w:rPr>
                <w:rFonts w:hint="eastAsia" w:ascii="仿宋" w:hAnsi="仿宋" w:eastAsia="仿宋" w:cs="仿宋"/>
                <w:szCs w:val="21"/>
                <w:highlight w:val="none"/>
              </w:rPr>
            </w:pPr>
          </w:p>
        </w:tc>
        <w:tc>
          <w:tcPr>
            <w:tcW w:w="1213" w:type="dxa"/>
            <w:tcBorders>
              <w:top w:val="single" w:color="auto" w:sz="4" w:space="0"/>
              <w:left w:val="single" w:color="auto" w:sz="4" w:space="0"/>
              <w:bottom w:val="single" w:color="auto" w:sz="4" w:space="0"/>
              <w:right w:val="single" w:color="auto" w:sz="4" w:space="0"/>
              <w:tl2br w:val="nil"/>
              <w:tr2bl w:val="nil"/>
            </w:tcBorders>
            <w:vAlign w:val="center"/>
          </w:tcPr>
          <w:p w14:paraId="4F840973">
            <w:pPr>
              <w:shd w:val="clear"/>
              <w:spacing w:line="360" w:lineRule="auto"/>
              <w:jc w:val="center"/>
              <w:rPr>
                <w:rFonts w:hint="eastAsia" w:ascii="仿宋" w:hAnsi="仿宋" w:eastAsia="仿宋" w:cs="仿宋"/>
                <w:szCs w:val="21"/>
                <w:highlight w:val="none"/>
              </w:rPr>
            </w:pPr>
          </w:p>
        </w:tc>
        <w:tc>
          <w:tcPr>
            <w:tcW w:w="2400" w:type="dxa"/>
            <w:tcBorders>
              <w:top w:val="single" w:color="auto" w:sz="4" w:space="0"/>
              <w:left w:val="single" w:color="auto" w:sz="4" w:space="0"/>
              <w:bottom w:val="single" w:color="auto" w:sz="4" w:space="0"/>
              <w:right w:val="single" w:color="auto" w:sz="4" w:space="0"/>
              <w:tl2br w:val="nil"/>
              <w:tr2bl w:val="nil"/>
            </w:tcBorders>
            <w:vAlign w:val="center"/>
          </w:tcPr>
          <w:p w14:paraId="596F1AB4">
            <w:pPr>
              <w:shd w:val="clear"/>
              <w:spacing w:line="360" w:lineRule="auto"/>
              <w:jc w:val="center"/>
              <w:rPr>
                <w:rFonts w:hint="eastAsia" w:ascii="仿宋" w:hAnsi="仿宋" w:eastAsia="仿宋" w:cs="仿宋"/>
                <w:szCs w:val="21"/>
                <w:highlight w:val="none"/>
              </w:rPr>
            </w:pP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14:paraId="35C00C26">
            <w:pPr>
              <w:shd w:val="clear"/>
              <w:spacing w:line="360" w:lineRule="auto"/>
              <w:jc w:val="center"/>
              <w:rPr>
                <w:rFonts w:hint="eastAsia" w:ascii="仿宋" w:hAnsi="仿宋" w:eastAsia="仿宋" w:cs="仿宋"/>
                <w:szCs w:val="21"/>
                <w:highlight w:val="none"/>
              </w:rPr>
            </w:pP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14:paraId="6D449055">
            <w:pPr>
              <w:shd w:val="clear"/>
              <w:spacing w:line="360" w:lineRule="auto"/>
              <w:jc w:val="center"/>
              <w:rPr>
                <w:rFonts w:hint="eastAsia" w:ascii="仿宋" w:hAnsi="仿宋" w:eastAsia="仿宋" w:cs="仿宋"/>
                <w:szCs w:val="21"/>
                <w:highlight w:val="none"/>
              </w:rPr>
            </w:pPr>
          </w:p>
        </w:tc>
        <w:tc>
          <w:tcPr>
            <w:tcW w:w="3541" w:type="dxa"/>
            <w:tcBorders>
              <w:top w:val="single" w:color="auto" w:sz="4" w:space="0"/>
              <w:left w:val="single" w:color="auto" w:sz="4" w:space="0"/>
              <w:bottom w:val="single" w:color="auto" w:sz="4" w:space="0"/>
              <w:right w:val="single" w:color="auto" w:sz="4" w:space="0"/>
              <w:tl2br w:val="nil"/>
              <w:tr2bl w:val="nil"/>
            </w:tcBorders>
            <w:vAlign w:val="center"/>
          </w:tcPr>
          <w:p w14:paraId="1B26731B">
            <w:pPr>
              <w:shd w:val="clear"/>
              <w:spacing w:line="360" w:lineRule="auto"/>
              <w:jc w:val="center"/>
              <w:rPr>
                <w:rFonts w:hint="eastAsia" w:ascii="仿宋" w:hAnsi="仿宋" w:eastAsia="仿宋" w:cs="仿宋"/>
                <w:szCs w:val="21"/>
                <w:highlight w:val="none"/>
              </w:rPr>
            </w:pPr>
          </w:p>
        </w:tc>
      </w:tr>
      <w:tr w14:paraId="76F6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360" w:type="dxa"/>
            <w:gridSpan w:val="6"/>
            <w:tcBorders>
              <w:top w:val="single" w:color="auto" w:sz="4" w:space="0"/>
              <w:left w:val="single" w:color="auto" w:sz="4" w:space="0"/>
              <w:bottom w:val="single" w:color="auto" w:sz="4" w:space="0"/>
              <w:right w:val="single" w:color="auto" w:sz="4" w:space="0"/>
              <w:tl2br w:val="nil"/>
              <w:tr2bl w:val="nil"/>
            </w:tcBorders>
            <w:vAlign w:val="center"/>
          </w:tcPr>
          <w:p w14:paraId="103E1C8A">
            <w:pPr>
              <w:shd w:val="clear"/>
              <w:spacing w:line="360" w:lineRule="auto"/>
              <w:rPr>
                <w:rFonts w:hint="eastAsia" w:ascii="仿宋" w:hAnsi="仿宋" w:eastAsia="仿宋" w:cs="仿宋"/>
                <w:szCs w:val="21"/>
                <w:highlight w:val="none"/>
              </w:rPr>
            </w:pPr>
            <w:r>
              <w:rPr>
                <w:rFonts w:hint="eastAsia" w:ascii="仿宋" w:hAnsi="仿宋" w:eastAsia="仿宋" w:cs="仿宋"/>
                <w:szCs w:val="21"/>
                <w:highlight w:val="none"/>
              </w:rPr>
              <w:t>合同期内，下浮系数不再调整。</w:t>
            </w:r>
          </w:p>
        </w:tc>
      </w:tr>
    </w:tbl>
    <w:p w14:paraId="12334ACE">
      <w:pPr>
        <w:shd w:val="clear"/>
        <w:spacing w:line="360" w:lineRule="auto"/>
        <w:ind w:firstLine="420"/>
        <w:rPr>
          <w:rFonts w:hint="eastAsia" w:ascii="仿宋" w:hAnsi="仿宋" w:eastAsia="仿宋" w:cs="仿宋"/>
          <w:sz w:val="24"/>
          <w:highlight w:val="none"/>
        </w:rPr>
      </w:pPr>
    </w:p>
    <w:p w14:paraId="052620F1">
      <w:pPr>
        <w:shd w:val="clear"/>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2.合同合计金额包括但不限于满足本次响应全部采购需求所应提供的服务，以及伴随的货物和工程（如有）的价格；包含磋商服务</w:t>
      </w:r>
      <w:bookmarkStart w:id="139" w:name="_Hlk205803081"/>
      <w:r>
        <w:rPr>
          <w:rFonts w:hint="eastAsia" w:ascii="仿宋" w:hAnsi="仿宋" w:eastAsia="仿宋" w:cs="仿宋"/>
          <w:sz w:val="24"/>
          <w:highlight w:val="none"/>
        </w:rPr>
        <w:t>、劳务费、软硬件设备、机具材料费、交通费、数据处理、安装、调试、检验、技术服务、成果文件编制印刷、质量检查、检测、培训、预验收及履约验收、售后服务、税费及其它所有成本费用的总和</w:t>
      </w:r>
      <w:bookmarkEnd w:id="139"/>
      <w:r>
        <w:rPr>
          <w:rFonts w:hint="eastAsia" w:ascii="仿宋" w:hAnsi="仿宋" w:eastAsia="仿宋" w:cs="仿宋"/>
          <w:sz w:val="24"/>
          <w:highlight w:val="none"/>
        </w:rPr>
        <w:t>。国家规定的相关调整系数自行考虑在内。合同期内，下浮系数不再调整。甲方不再支付合同合计金额以外的其他费用。</w:t>
      </w:r>
    </w:p>
    <w:p w14:paraId="7346D3F2">
      <w:pPr>
        <w:shd w:val="clear"/>
        <w:spacing w:line="360" w:lineRule="auto"/>
        <w:ind w:firstLine="420"/>
        <w:rPr>
          <w:rFonts w:hint="eastAsia" w:ascii="仿宋" w:hAnsi="仿宋" w:eastAsia="仿宋" w:cs="仿宋"/>
          <w:b/>
          <w:sz w:val="24"/>
          <w:highlight w:val="none"/>
        </w:rPr>
      </w:pPr>
      <w:r>
        <w:rPr>
          <w:rFonts w:hint="eastAsia" w:ascii="仿宋" w:hAnsi="仿宋" w:eastAsia="仿宋" w:cs="仿宋"/>
          <w:b/>
          <w:sz w:val="24"/>
          <w:highlight w:val="none"/>
        </w:rPr>
        <w:t>第二条 质量要求</w:t>
      </w:r>
    </w:p>
    <w:p w14:paraId="7F3DF142">
      <w:pPr>
        <w:shd w:val="clea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乙方所提供的服务及服务内容必须与响应文件承诺相一致，有国家强制性标准的，必须符合国家强制性标准的规定；没有国家强制性标准但有其他强制性标准的，必须符合其他强制性标准的规定。</w:t>
      </w:r>
    </w:p>
    <w:p w14:paraId="065D650B">
      <w:pPr>
        <w:shd w:val="clea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第三条 权利保证</w:t>
      </w:r>
    </w:p>
    <w:p w14:paraId="47FA1869">
      <w:pPr>
        <w:shd w:val="clea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1.乙方应保证所提供服务在使用时不会侵犯任何第三方的专利权、商标权、工业设计权等知识产权及其他合法权利，且所有权、处分权等没有受到任何限制。</w:t>
      </w:r>
    </w:p>
    <w:p w14:paraId="60873D93">
      <w:pPr>
        <w:shd w:val="clea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F520A8B">
      <w:pPr>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第四条 交付和验收等</w:t>
      </w:r>
    </w:p>
    <w:p w14:paraId="67330378">
      <w:pPr>
        <w:shd w:val="clea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1.交付时间：</w:t>
      </w:r>
      <w:r>
        <w:rPr>
          <w:rFonts w:hint="eastAsia" w:ascii="仿宋" w:hAnsi="仿宋" w:eastAsia="仿宋" w:cs="仿宋"/>
          <w:sz w:val="24"/>
          <w:highlight w:val="none"/>
          <w:u w:val="single"/>
        </w:rPr>
        <w:t>自合同签订之日起至本工程竣工验收合格之日止。</w:t>
      </w:r>
    </w:p>
    <w:p w14:paraId="60110942">
      <w:pPr>
        <w:shd w:val="clear"/>
        <w:snapToGrid w:val="0"/>
        <w:spacing w:line="360" w:lineRule="auto"/>
        <w:ind w:firstLine="480" w:firstLineChars="200"/>
        <w:rPr>
          <w:rFonts w:hint="eastAsia" w:ascii="仿宋" w:hAnsi="仿宋" w:eastAsia="仿宋" w:cs="仿宋"/>
          <w:b w:val="0"/>
          <w:bCs/>
          <w:sz w:val="24"/>
          <w:highlight w:val="none"/>
          <w:u w:val="single"/>
          <w:lang w:eastAsia="zh-CN"/>
        </w:rPr>
      </w:pPr>
      <w:r>
        <w:rPr>
          <w:rFonts w:hint="eastAsia" w:ascii="仿宋" w:hAnsi="仿宋" w:eastAsia="仿宋" w:cs="仿宋"/>
          <w:b w:val="0"/>
          <w:bCs/>
          <w:sz w:val="24"/>
          <w:highlight w:val="none"/>
        </w:rPr>
        <w:t>设计工期：</w:t>
      </w:r>
      <w:r>
        <w:rPr>
          <w:rFonts w:hint="eastAsia" w:ascii="仿宋" w:hAnsi="仿宋" w:eastAsia="仿宋" w:cs="仿宋"/>
          <w:b w:val="0"/>
          <w:bCs/>
          <w:sz w:val="24"/>
          <w:highlight w:val="none"/>
          <w:u w:val="single"/>
        </w:rPr>
        <w:t>30日历天(初步设计周期5天，施工图设计、概算、技术参数25天)</w:t>
      </w:r>
      <w:r>
        <w:rPr>
          <w:rFonts w:hint="eastAsia" w:ascii="仿宋" w:hAnsi="仿宋" w:eastAsia="仿宋" w:cs="仿宋"/>
          <w:b w:val="0"/>
          <w:bCs/>
          <w:sz w:val="24"/>
          <w:highlight w:val="none"/>
          <w:u w:val="single"/>
          <w:lang w:eastAsia="zh-CN"/>
        </w:rPr>
        <w:t>。</w:t>
      </w:r>
    </w:p>
    <w:p w14:paraId="322A051E">
      <w:pPr>
        <w:shd w:val="clear"/>
        <w:snapToGrid w:val="0"/>
        <w:spacing w:line="360" w:lineRule="auto"/>
        <w:ind w:firstLine="480" w:firstLineChars="200"/>
        <w:rPr>
          <w:rFonts w:hint="eastAsia" w:ascii="仿宋" w:hAnsi="仿宋" w:eastAsia="仿宋" w:cs="仿宋"/>
          <w:b w:val="0"/>
          <w:bCs/>
          <w:sz w:val="24"/>
          <w:highlight w:val="none"/>
        </w:rPr>
      </w:pPr>
      <w:r>
        <w:rPr>
          <w:rFonts w:hint="eastAsia" w:ascii="仿宋" w:hAnsi="仿宋" w:eastAsia="仿宋" w:cs="仿宋"/>
          <w:b w:val="0"/>
          <w:bCs/>
          <w:sz w:val="24"/>
          <w:highlight w:val="none"/>
        </w:rPr>
        <w:t>交付地点：</w:t>
      </w:r>
      <w:r>
        <w:rPr>
          <w:rFonts w:hint="eastAsia" w:ascii="仿宋" w:hAnsi="仿宋" w:eastAsia="仿宋" w:cs="仿宋"/>
          <w:b w:val="0"/>
          <w:bCs/>
          <w:sz w:val="24"/>
          <w:highlight w:val="none"/>
          <w:u w:val="single"/>
        </w:rPr>
        <w:t>南宁市甲方指定地点。</w:t>
      </w:r>
    </w:p>
    <w:p w14:paraId="11131FA0">
      <w:pPr>
        <w:shd w:val="clea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2.乙方应按响应文件的承诺向甲方提供相应的服务，并提供所服务内容的相关技术资料。</w:t>
      </w:r>
    </w:p>
    <w:p w14:paraId="5FFCA040">
      <w:pPr>
        <w:shd w:val="clear"/>
        <w:spacing w:line="360" w:lineRule="auto"/>
        <w:ind w:firstLine="480" w:firstLineChars="200"/>
        <w:rPr>
          <w:rFonts w:hint="eastAsia" w:ascii="仿宋" w:hAnsi="仿宋" w:eastAsia="仿宋" w:cs="仿宋"/>
          <w:sz w:val="24"/>
          <w:highlight w:val="none"/>
        </w:rPr>
      </w:pPr>
      <w:bookmarkStart w:id="140" w:name="_Hlk205805125"/>
      <w:r>
        <w:rPr>
          <w:rFonts w:hint="eastAsia" w:ascii="仿宋" w:hAnsi="仿宋" w:eastAsia="仿宋" w:cs="仿宋"/>
          <w:sz w:val="24"/>
          <w:highlight w:val="none"/>
        </w:rPr>
        <w:t>3.乙方提供不符合响应文件和本合同规定的服务成果，或者提供虚假承诺、虚假检测报告等虚假材料的，甲方有权拒绝验收并认定乙方违约，甲方有权单方面解除合同，乙方承担所有责任和费用，甲方保留进一步追究责任的权利。</w:t>
      </w:r>
    </w:p>
    <w:p w14:paraId="799CA577">
      <w:pPr>
        <w:shd w:val="clea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4.乙方应对产品作出全面检查，对验收文件进行整理，并列出清单，作为甲方验收和使用的技术条件依据，检验的结果应随货物交甲方。</w:t>
      </w:r>
    </w:p>
    <w:p w14:paraId="0984CDDB">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5.乙方完成服务达到验收条件后，应及时以书面形式提请甲方进行验收，甲方应在收到乙方书面验收请求后5个工作日内组织开展履约验收。验收合格后由甲乙双方签署货物验收单（验收报告）</w:t>
      </w:r>
      <w:bookmarkStart w:id="141" w:name="_Hlk206519525"/>
      <w:r>
        <w:rPr>
          <w:rFonts w:hint="eastAsia" w:ascii="仿宋" w:hAnsi="仿宋" w:eastAsia="仿宋" w:cs="仿宋"/>
          <w:sz w:val="24"/>
          <w:highlight w:val="none"/>
        </w:rPr>
        <w:t>，</w:t>
      </w:r>
      <w:bookmarkStart w:id="142" w:name="_Hlk206519504"/>
      <w:r>
        <w:rPr>
          <w:rFonts w:hint="eastAsia" w:ascii="仿宋" w:hAnsi="仿宋" w:eastAsia="仿宋" w:cs="仿宋"/>
          <w:sz w:val="24"/>
          <w:highlight w:val="none"/>
        </w:rPr>
        <w:t>履约验收材料一式三份，甲方执两份，乙方执一份。</w:t>
      </w:r>
    </w:p>
    <w:bookmarkEnd w:id="140"/>
    <w:bookmarkEnd w:id="141"/>
    <w:bookmarkEnd w:id="142"/>
    <w:p w14:paraId="0FB0DEDB">
      <w:pPr>
        <w:shd w:val="clear"/>
        <w:spacing w:line="360" w:lineRule="auto"/>
        <w:ind w:firstLine="480" w:firstLineChars="200"/>
        <w:rPr>
          <w:rFonts w:hint="eastAsia" w:ascii="仿宋" w:hAnsi="仿宋" w:eastAsia="仿宋" w:cs="仿宋"/>
          <w:spacing w:val="-6"/>
          <w:sz w:val="24"/>
          <w:highlight w:val="none"/>
        </w:rPr>
      </w:pPr>
      <w:r>
        <w:rPr>
          <w:rFonts w:hint="eastAsia" w:ascii="仿宋" w:hAnsi="仿宋" w:eastAsia="仿宋" w:cs="仿宋"/>
          <w:sz w:val="24"/>
          <w:highlight w:val="none"/>
        </w:rPr>
        <w:t>6.甲乙双方应按照《广西壮族自治区政府采购项目履约验收管理办法》《广西大学采购合同履约验收管理办法（试行）》、</w:t>
      </w:r>
      <w:r>
        <w:rPr>
          <w:rFonts w:hint="eastAsia" w:ascii="仿宋" w:hAnsi="仿宋" w:eastAsia="仿宋" w:cs="仿宋"/>
          <w:spacing w:val="-6"/>
          <w:sz w:val="24"/>
          <w:highlight w:val="none"/>
        </w:rPr>
        <w:t>合同、磋商响应文件验收。</w:t>
      </w:r>
    </w:p>
    <w:p w14:paraId="0F62202C">
      <w:pPr>
        <w:pStyle w:val="17"/>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7.</w:t>
      </w:r>
      <w:bookmarkStart w:id="143" w:name="_Hlk206503466"/>
      <w:r>
        <w:rPr>
          <w:rFonts w:hint="eastAsia" w:ascii="仿宋" w:hAnsi="仿宋" w:eastAsia="仿宋" w:cs="仿宋"/>
          <w:sz w:val="24"/>
          <w:highlight w:val="none"/>
        </w:rPr>
        <w:t>预验收未通过或者</w:t>
      </w:r>
      <w:r>
        <w:rPr>
          <w:rFonts w:hint="eastAsia" w:ascii="仿宋" w:hAnsi="仿宋" w:eastAsia="仿宋" w:cs="仿宋"/>
          <w:sz w:val="24"/>
          <w:szCs w:val="24"/>
          <w:highlight w:val="none"/>
        </w:rPr>
        <w:t>履约验收未通过的，应限期整改或进行退换货处理，整改完成后重新组织履约验收。整改后仍不能通过验收的</w:t>
      </w:r>
      <w:bookmarkStart w:id="144" w:name="_Hlk207649097"/>
      <w:r>
        <w:rPr>
          <w:rFonts w:hint="eastAsia" w:ascii="仿宋" w:hAnsi="仿宋" w:eastAsia="仿宋" w:cs="仿宋"/>
          <w:sz w:val="24"/>
          <w:szCs w:val="24"/>
          <w:highlight w:val="none"/>
        </w:rPr>
        <w:t>，</w:t>
      </w:r>
      <w:r>
        <w:rPr>
          <w:rFonts w:hint="eastAsia" w:ascii="仿宋" w:hAnsi="仿宋" w:eastAsia="仿宋" w:cs="仿宋"/>
          <w:sz w:val="24"/>
          <w:highlight w:val="none"/>
        </w:rPr>
        <w:t>甲方将有权解除合同，并</w:t>
      </w:r>
      <w:r>
        <w:rPr>
          <w:rFonts w:hint="eastAsia" w:ascii="仿宋" w:hAnsi="仿宋" w:eastAsia="仿宋" w:cs="仿宋"/>
          <w:sz w:val="24"/>
          <w:szCs w:val="24"/>
          <w:highlight w:val="none"/>
        </w:rPr>
        <w:t>依法追究相关责任。详细</w:t>
      </w:r>
      <w:r>
        <w:rPr>
          <w:rFonts w:hint="eastAsia" w:ascii="仿宋" w:hAnsi="仿宋" w:eastAsia="仿宋" w:cs="仿宋"/>
          <w:sz w:val="24"/>
          <w:highlight w:val="none"/>
        </w:rPr>
        <w:t>履约</w:t>
      </w:r>
      <w:r>
        <w:rPr>
          <w:rFonts w:hint="eastAsia" w:ascii="仿宋" w:hAnsi="仿宋" w:eastAsia="仿宋" w:cs="仿宋"/>
          <w:sz w:val="24"/>
          <w:szCs w:val="24"/>
          <w:highlight w:val="none"/>
        </w:rPr>
        <w:t>验收程序按《广西大学采购合同履约验收管理办法（试行）》执行</w:t>
      </w:r>
      <w:bookmarkEnd w:id="143"/>
      <w:r>
        <w:rPr>
          <w:rFonts w:hint="eastAsia" w:ascii="仿宋" w:hAnsi="仿宋" w:eastAsia="仿宋" w:cs="仿宋"/>
          <w:sz w:val="24"/>
          <w:szCs w:val="24"/>
          <w:highlight w:val="none"/>
        </w:rPr>
        <w:t>。</w:t>
      </w:r>
    </w:p>
    <w:bookmarkEnd w:id="144"/>
    <w:p w14:paraId="4278FCB2">
      <w:pPr>
        <w:shd w:val="clear"/>
        <w:spacing w:line="360" w:lineRule="auto"/>
        <w:ind w:firstLine="480" w:firstLineChars="200"/>
        <w:rPr>
          <w:rFonts w:hint="eastAsia" w:ascii="仿宋" w:hAnsi="仿宋" w:eastAsia="仿宋" w:cs="仿宋"/>
          <w:spacing w:val="-6"/>
          <w:sz w:val="24"/>
          <w:highlight w:val="none"/>
        </w:rPr>
      </w:pPr>
      <w:r>
        <w:rPr>
          <w:rFonts w:hint="eastAsia" w:ascii="仿宋" w:hAnsi="仿宋" w:eastAsia="仿宋" w:cs="仿宋"/>
          <w:sz w:val="24"/>
          <w:highlight w:val="none"/>
        </w:rPr>
        <w:t>8.甲方在初步验收或者最终验收过程中如发现乙方提供的服务成果不满足</w:t>
      </w:r>
      <w:r>
        <w:rPr>
          <w:rFonts w:hint="eastAsia" w:ascii="仿宋" w:hAnsi="仿宋" w:eastAsia="仿宋" w:cs="仿宋"/>
          <w:spacing w:val="-6"/>
          <w:sz w:val="24"/>
          <w:highlight w:val="none"/>
        </w:rPr>
        <w:t>本合同规定的可暂缓向乙方付款，直到乙方及时完善并提交相应的服务成果且经甲方验收合格后，方可办理付款。</w:t>
      </w:r>
    </w:p>
    <w:p w14:paraId="368301CC">
      <w:pPr>
        <w:shd w:val="clear"/>
        <w:spacing w:line="360" w:lineRule="auto"/>
        <w:ind w:firstLine="456" w:firstLineChars="200"/>
        <w:rPr>
          <w:rFonts w:hint="eastAsia" w:ascii="仿宋" w:hAnsi="仿宋" w:eastAsia="仿宋" w:cs="仿宋"/>
          <w:sz w:val="24"/>
          <w:highlight w:val="none"/>
        </w:rPr>
      </w:pPr>
      <w:r>
        <w:rPr>
          <w:rFonts w:hint="eastAsia" w:ascii="仿宋" w:hAnsi="仿宋" w:eastAsia="仿宋" w:cs="仿宋"/>
          <w:spacing w:val="-6"/>
          <w:sz w:val="24"/>
          <w:highlight w:val="none"/>
        </w:rPr>
        <w:t>9.</w:t>
      </w:r>
      <w:bookmarkStart w:id="145" w:name="_Hlk207649182"/>
      <w:r>
        <w:rPr>
          <w:rFonts w:hint="eastAsia" w:ascii="仿宋" w:hAnsi="仿宋" w:eastAsia="仿宋" w:cs="仿宋"/>
          <w:sz w:val="24"/>
          <w:highlight w:val="none"/>
        </w:rPr>
        <w:t>甲方对验收有异议的，在验收后5个工作日内以书面形式向乙方提出，乙方应自收到甲方书面异议后7日内及时予以解决，否则甲方有权不出具服务验收合格单。</w:t>
      </w:r>
    </w:p>
    <w:bookmarkEnd w:id="145"/>
    <w:p w14:paraId="5AE8AD60">
      <w:pPr>
        <w:shd w:val="clear"/>
        <w:snapToGrid w:val="0"/>
        <w:spacing w:line="360" w:lineRule="auto"/>
        <w:ind w:left="-61" w:firstLine="514"/>
        <w:rPr>
          <w:rFonts w:hint="eastAsia" w:ascii="仿宋" w:hAnsi="仿宋" w:eastAsia="仿宋" w:cs="仿宋"/>
          <w:sz w:val="24"/>
          <w:highlight w:val="none"/>
        </w:rPr>
      </w:pPr>
      <w:bookmarkStart w:id="146" w:name="_Hlk207649192"/>
      <w:r>
        <w:rPr>
          <w:rFonts w:hint="eastAsia" w:ascii="仿宋" w:hAnsi="仿宋" w:eastAsia="仿宋" w:cs="仿宋"/>
          <w:sz w:val="24"/>
          <w:highlight w:val="none"/>
        </w:rPr>
        <w:t>10.验收时乙方可在现场参与，验收完毕后作出验收结果报告；甲方使用单位预验收及甲方履约验收过程中所产生的一切验收费用均由乙方承担。</w:t>
      </w:r>
    </w:p>
    <w:p w14:paraId="2B50138B">
      <w:pPr>
        <w:shd w:val="clear"/>
        <w:spacing w:after="120"/>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11.本合同的验收条款与采购需求中的验收要求互为补充。</w:t>
      </w:r>
    </w:p>
    <w:p w14:paraId="3A0A82E7">
      <w:pPr>
        <w:shd w:val="clear"/>
        <w:snapToGrid w:val="0"/>
        <w:spacing w:line="360" w:lineRule="auto"/>
        <w:ind w:firstLine="514"/>
        <w:rPr>
          <w:rFonts w:hint="eastAsia" w:ascii="仿宋" w:hAnsi="仿宋" w:eastAsia="仿宋" w:cs="仿宋"/>
          <w:sz w:val="24"/>
          <w:highlight w:val="none"/>
        </w:rPr>
      </w:pPr>
      <w:r>
        <w:rPr>
          <w:rFonts w:hint="eastAsia" w:ascii="仿宋" w:hAnsi="仿宋" w:eastAsia="仿宋" w:cs="仿宋"/>
          <w:sz w:val="24"/>
          <w:highlight w:val="none"/>
        </w:rPr>
        <w:t>12.在验收合格交付甲方前发生的风险均由乙方负责。</w:t>
      </w:r>
    </w:p>
    <w:bookmarkEnd w:id="146"/>
    <w:p w14:paraId="4BDB56DA">
      <w:pPr>
        <w:shd w:val="clear"/>
        <w:snapToGrid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第五条  售后服务及培训</w:t>
      </w:r>
    </w:p>
    <w:p w14:paraId="389FBC71">
      <w:pPr>
        <w:shd w:val="clear"/>
        <w:spacing w:line="360" w:lineRule="auto"/>
        <w:ind w:firstLine="456"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1.乙方应按照国家有关法律法规和本合同所附的《服务方案》要求为甲方提供相应的售后服务。</w:t>
      </w:r>
    </w:p>
    <w:p w14:paraId="630D0D5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2.甲方应提供必要测试条件（如场地、电源、水源等）。</w:t>
      </w:r>
    </w:p>
    <w:p w14:paraId="06C4ED91">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3.乙方负责甲方有关人员的培训。培训时间、地点：</w:t>
      </w:r>
      <w:r>
        <w:rPr>
          <w:rFonts w:hint="eastAsia" w:ascii="仿宋" w:hAnsi="仿宋" w:eastAsia="仿宋" w:cs="仿宋"/>
          <w:sz w:val="24"/>
          <w:highlight w:val="none"/>
          <w:u w:val="single"/>
        </w:rPr>
        <w:t>按照甲方需求和通知</w:t>
      </w:r>
      <w:r>
        <w:rPr>
          <w:rFonts w:hint="eastAsia" w:ascii="仿宋" w:hAnsi="仿宋" w:eastAsia="仿宋" w:cs="仿宋"/>
          <w:sz w:val="24"/>
          <w:highlight w:val="none"/>
        </w:rPr>
        <w:t>。</w:t>
      </w:r>
    </w:p>
    <w:p w14:paraId="4BDA80EF">
      <w:pPr>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第六条 付款方式</w:t>
      </w:r>
    </w:p>
    <w:p w14:paraId="6943676E">
      <w:pPr>
        <w:shd w:val="clea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rPr>
        <w:t>1.结算方式：</w:t>
      </w:r>
    </w:p>
    <w:p w14:paraId="560D7076">
      <w:pPr>
        <w:shd w:val="clea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rPr>
        <w:t>（1）收费标准：按《广西壮族自治区工程建设其他费用定额》（桂建标〔2018〕37号）并考虑专业调整系数取1.0，工程复杂程度调整系数取1.15，附加调整系数取0.5。</w:t>
      </w:r>
    </w:p>
    <w:p w14:paraId="2C99BF25">
      <w:pPr>
        <w:shd w:val="clea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rPr>
        <w:t>（2）设计费结算金额按以下计算：按财政评审审定的或审计部门审定的招标控制价作为基数，按收费标准计算基准价进行计算，即设计费结算金额=基准价×（1-中标下浮系数）。若财政审定的设计费低于设计费结算金额的，按财政审定的设计费金额进行结算。</w:t>
      </w:r>
    </w:p>
    <w:p w14:paraId="00D0E9A5">
      <w:pPr>
        <w:shd w:val="clea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rPr>
        <w:t>2.付款方式：</w:t>
      </w:r>
    </w:p>
    <w:p w14:paraId="021964F7">
      <w:pPr>
        <w:shd w:val="clea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rPr>
        <w:t>（1）设计成果完成以及具备项目工程招标条件后7个工作日内，甲方向乙方支付合同总价的70%进度款。</w:t>
      </w:r>
    </w:p>
    <w:p w14:paraId="7BF747B8">
      <w:pPr>
        <w:shd w:val="clear"/>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rPr>
        <w:t>（2）本工程竣工验收合格7个工作日内支付剩余合同尾款。</w:t>
      </w:r>
    </w:p>
    <w:p w14:paraId="6DF1CE2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（3）每次付款前乙方应向甲方开具等额的增值税专用发票。</w:t>
      </w:r>
    </w:p>
    <w:p w14:paraId="326F5689">
      <w:pPr>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第七条 履约保证金</w:t>
      </w:r>
    </w:p>
    <w:p w14:paraId="41CE28C2">
      <w:pPr>
        <w:shd w:val="clear"/>
        <w:snapToGrid w:val="0"/>
        <w:spacing w:line="4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u w:val="single"/>
        </w:rPr>
        <w:t>1.履约保证金金额：</w:t>
      </w:r>
      <w:r>
        <w:rPr>
          <w:rFonts w:hint="eastAsia" w:ascii="仿宋" w:hAnsi="仿宋" w:eastAsia="仿宋" w:cs="仿宋"/>
          <w:sz w:val="24"/>
          <w:highlight w:val="none"/>
          <w:u w:val="single"/>
          <w:lang w:eastAsia="zh-Hans"/>
        </w:rPr>
        <w:t>合同</w:t>
      </w:r>
      <w:r>
        <w:rPr>
          <w:rFonts w:hint="eastAsia" w:ascii="仿宋" w:hAnsi="仿宋" w:eastAsia="仿宋" w:cs="仿宋"/>
          <w:sz w:val="24"/>
          <w:highlight w:val="none"/>
          <w:u w:val="single"/>
        </w:rPr>
        <w:t>总</w:t>
      </w:r>
      <w:r>
        <w:rPr>
          <w:rFonts w:hint="eastAsia" w:ascii="仿宋" w:hAnsi="仿宋" w:eastAsia="仿宋" w:cs="仿宋"/>
          <w:sz w:val="24"/>
          <w:highlight w:val="none"/>
          <w:u w:val="single"/>
          <w:lang w:eastAsia="zh-Hans"/>
        </w:rPr>
        <w:t>金额的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Hans"/>
        </w:rPr>
        <w:t>%</w:t>
      </w:r>
      <w:r>
        <w:rPr>
          <w:rFonts w:hint="eastAsia" w:ascii="仿宋" w:hAnsi="仿宋" w:eastAsia="仿宋" w:cs="仿宋"/>
          <w:sz w:val="24"/>
          <w:highlight w:val="none"/>
          <w:u w:val="single"/>
        </w:rPr>
        <w:t>（</w:t>
      </w:r>
      <w:r>
        <w:rPr>
          <w:rFonts w:hint="eastAsia" w:ascii="仿宋" w:hAnsi="仿宋" w:eastAsia="仿宋" w:cs="仿宋"/>
          <w:b/>
          <w:bCs/>
          <w:sz w:val="24"/>
          <w:highlight w:val="none"/>
          <w:u w:val="single"/>
        </w:rPr>
        <w:t>¥      .</w:t>
      </w:r>
      <w:r>
        <w:rPr>
          <w:rFonts w:hint="eastAsia" w:ascii="仿宋" w:hAnsi="仿宋" w:eastAsia="仿宋" w:cs="仿宋"/>
          <w:sz w:val="24"/>
          <w:highlight w:val="none"/>
          <w:u w:val="single"/>
        </w:rPr>
        <w:t>），即人民币（大写）        ；</w:t>
      </w:r>
      <w:r>
        <w:rPr>
          <w:rFonts w:hint="eastAsia" w:ascii="仿宋" w:hAnsi="仿宋" w:eastAsia="仿宋" w:cs="仿宋"/>
          <w:sz w:val="24"/>
          <w:highlight w:val="none"/>
        </w:rPr>
        <w:t>乙方在签订合同时交至指定账户（履约保证金缴纳时须备注</w:t>
      </w:r>
      <w:r>
        <w:rPr>
          <w:rFonts w:hint="eastAsia" w:ascii="仿宋" w:hAnsi="仿宋" w:eastAsia="仿宋" w:cs="仿宋"/>
          <w:sz w:val="24"/>
          <w:highlight w:val="none"/>
          <w:u w:val="single"/>
        </w:rPr>
        <w:t>广西大学机械教学实验中心大楼实验室工艺建设项目施工图设计服务（重）（GXZC2026-C3-000069-KWZB）</w:t>
      </w:r>
      <w:r>
        <w:rPr>
          <w:rFonts w:hint="eastAsia" w:ascii="仿宋" w:hAnsi="仿宋" w:eastAsia="仿宋" w:cs="仿宋"/>
          <w:sz w:val="24"/>
          <w:highlight w:val="none"/>
        </w:rPr>
        <w:t>履约保证金）</w:t>
      </w:r>
    </w:p>
    <w:p w14:paraId="1CFE6CFA">
      <w:pPr>
        <w:shd w:val="clear"/>
        <w:snapToGrid w:val="0"/>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2.履约保证金递交方式：银行转账、保函等非现金方式。由乙方在签订合同时按规定的金额直接缴入以下甲方账户或将保函原件交给甲方。</w:t>
      </w:r>
    </w:p>
    <w:p w14:paraId="6FEDB1D0">
      <w:pPr>
        <w:shd w:val="clear"/>
        <w:snapToGrid w:val="0"/>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履约保证金退付方式、时间及条件：乙方若不能完全履行合同，履约保证金不予退还；乙方若完全履行合同，服务验收合格后，乙方凭履约保证金缴款凭证、退付意见书到采购人财务部门办理无息退还手续。由乙方向甲方提供《广西壮族自治区政府采购项目合同验收书》或甲方的验收报告（甲方提供格式）、《政府采购项目履约保证金退付意见书》，甲方在收到合格材料后办理退还手续（不计利息）。</w:t>
      </w:r>
    </w:p>
    <w:p w14:paraId="1BF82430">
      <w:pPr>
        <w:shd w:val="clear"/>
        <w:snapToGrid w:val="0"/>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4.备注：</w:t>
      </w:r>
    </w:p>
    <w:p w14:paraId="49E410CA">
      <w:pPr>
        <w:shd w:val="clear"/>
        <w:snapToGrid w:val="0"/>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（1）履约保证金必须足额缴纳，或出具的保函额度必须足额且保函有效期不能低于合同履行期限（即签订采购合同之日起至履行完合同约定的权利及义务之日止），否则视为无效履约保证金</w:t>
      </w:r>
    </w:p>
    <w:p w14:paraId="6DEB69AA">
      <w:pPr>
        <w:shd w:val="clear"/>
        <w:snapToGrid w:val="0"/>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（2）采用保函的，必须为无条件保函，否则视为无效履约保证金</w:t>
      </w:r>
    </w:p>
    <w:p w14:paraId="7B418329">
      <w:pPr>
        <w:shd w:val="clear"/>
        <w:snapToGrid w:val="0"/>
        <w:spacing w:line="4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（3）履约保证金缴纳时须明确备注</w:t>
      </w:r>
      <w:r>
        <w:rPr>
          <w:rFonts w:hint="eastAsia" w:ascii="仿宋" w:hAnsi="仿宋" w:eastAsia="仿宋" w:cs="仿宋"/>
          <w:b/>
          <w:sz w:val="24"/>
          <w:highlight w:val="none"/>
          <w:u w:val="single"/>
        </w:rPr>
        <w:t>广西大学机械教学实验中心大楼实验室工艺建设项目施工图设计服务（重）（GXZC2026-C3-000069-KWZB）</w:t>
      </w:r>
      <w:r>
        <w:rPr>
          <w:rFonts w:hint="eastAsia" w:ascii="仿宋" w:hAnsi="仿宋" w:eastAsia="仿宋" w:cs="仿宋"/>
          <w:b/>
          <w:sz w:val="24"/>
          <w:highlight w:val="none"/>
        </w:rPr>
        <w:t>履约保证金。</w:t>
      </w:r>
    </w:p>
    <w:p w14:paraId="1B51A506">
      <w:pPr>
        <w:shd w:val="clear"/>
        <w:snapToGrid w:val="0"/>
        <w:spacing w:line="4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（4）甲方账户信息如下：</w:t>
      </w:r>
    </w:p>
    <w:p w14:paraId="263484AA">
      <w:pPr>
        <w:shd w:val="clear"/>
        <w:snapToGrid w:val="0"/>
        <w:spacing w:line="4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统一社会信用代码：124500004985009929</w:t>
      </w:r>
    </w:p>
    <w:p w14:paraId="47D22B0D">
      <w:pPr>
        <w:shd w:val="clear"/>
        <w:snapToGrid w:val="0"/>
        <w:spacing w:line="4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户名： 广西大学</w:t>
      </w:r>
    </w:p>
    <w:p w14:paraId="64CA5B86">
      <w:pPr>
        <w:shd w:val="clear"/>
        <w:snapToGrid w:val="0"/>
        <w:spacing w:line="4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开户行：中国银行广西南宁市西大支行（行号：104611010324）</w:t>
      </w:r>
    </w:p>
    <w:p w14:paraId="422620A9">
      <w:pPr>
        <w:shd w:val="clear"/>
        <w:snapToGrid w:val="0"/>
        <w:spacing w:line="4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账号： 618 457 484 938</w:t>
      </w:r>
    </w:p>
    <w:p w14:paraId="4BBFCC56">
      <w:pPr>
        <w:shd w:val="clear"/>
        <w:snapToGrid w:val="0"/>
        <w:spacing w:line="4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地址：广西壮族自治区南宁市大学东路100号  联系电话：3232888</w:t>
      </w:r>
    </w:p>
    <w:p w14:paraId="180ECA06">
      <w:pPr>
        <w:shd w:val="clear"/>
        <w:snapToGrid w:val="0"/>
        <w:spacing w:line="4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签订合同后，如乙方不按双方签订的合同规定履约，则其全部履约保证金甲方不予退还；履约保证金不足以赔偿甲方损失的，按实际损失赔偿。</w:t>
      </w:r>
    </w:p>
    <w:p w14:paraId="28F2BCF6">
      <w:pPr>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第八条  税费</w:t>
      </w:r>
    </w:p>
    <w:p w14:paraId="0347F280">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本合同执行中相关的一切税费均由乙方负担，合同另有约定的除外。合同执行期间税费发生变化的，由乙方承担。</w:t>
      </w:r>
    </w:p>
    <w:p w14:paraId="7A2ED6C3">
      <w:pPr>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第九条 违约责任</w:t>
      </w:r>
    </w:p>
    <w:p w14:paraId="35026151">
      <w:pPr>
        <w:pStyle w:val="17"/>
        <w:shd w:val="clea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1.合同一方不履行合同义务、履行合同义务不符合约定或者违反合同项下所作保证的， 应向对方承担继续履行、采取改进、更换等补救措施或者赔偿损失等违约责任。</w:t>
      </w:r>
    </w:p>
    <w:p w14:paraId="375C1FD1">
      <w:pPr>
        <w:pStyle w:val="17"/>
        <w:shd w:val="clear"/>
        <w:snapToGrid w:val="0"/>
        <w:spacing w:line="460" w:lineRule="exact"/>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2.乙方提供的服务如侵犯了第三方合法权益而引发的任何纠纷或者诉讼，均由乙方负责交涉并承担全部责任。</w:t>
      </w:r>
    </w:p>
    <w:p w14:paraId="643D6206">
      <w:pPr>
        <w:pStyle w:val="17"/>
        <w:shd w:val="clear"/>
        <w:snapToGri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3.乙方未能按时交付服务的，应向甲方支付迟延交付违约金。迟延交付违约金的计算方法如下：</w:t>
      </w:r>
    </w:p>
    <w:p w14:paraId="21E67CDD">
      <w:pPr>
        <w:pStyle w:val="17"/>
        <w:shd w:val="clear"/>
        <w:snapToGri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（1）从迟交的第1日到第30日，每日迟延交付违约金为合同总价的 1.5‰；</w:t>
      </w:r>
    </w:p>
    <w:p w14:paraId="2250E75B">
      <w:pPr>
        <w:pStyle w:val="17"/>
        <w:shd w:val="clear"/>
        <w:snapToGri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（2）从迟交的第31日到第60日，每日迟延交付违约金为合同总价的 3‰；</w:t>
      </w:r>
    </w:p>
    <w:p w14:paraId="14C842F6">
      <w:pPr>
        <w:pStyle w:val="17"/>
        <w:shd w:val="clear"/>
        <w:snapToGri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（3）从迟交的第61日起，每日迟延交付违约金为合同总价的 5‰。</w:t>
      </w:r>
    </w:p>
    <w:p w14:paraId="61BD93FC">
      <w:pPr>
        <w:pStyle w:val="17"/>
        <w:shd w:val="clear"/>
        <w:snapToGri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迟延交付违约金的总额不得超过合同总价的30%。迟延交付违约金的支付不能免除乙方继续完成相关合同约定的服务的义务，但如迟延交付必然导致验收等工作推迟的，相关工作应相应顺延。</w:t>
      </w:r>
    </w:p>
    <w:p w14:paraId="40E3025D">
      <w:pPr>
        <w:pStyle w:val="17"/>
        <w:shd w:val="clear"/>
        <w:snapToGri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4.甲方未能按合同约定支付合同价款的，应向乙方支付延迟付款违约金。迟延付款违约金的计算方法如下：</w:t>
      </w:r>
    </w:p>
    <w:p w14:paraId="5FDE7F20">
      <w:pPr>
        <w:pStyle w:val="17"/>
        <w:shd w:val="clear"/>
        <w:snapToGri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（1）从迟交的第1日到第30日，每日迟延付款违约金为迟延付款金额的1.5‰；</w:t>
      </w:r>
    </w:p>
    <w:p w14:paraId="75BFEA8E">
      <w:pPr>
        <w:pStyle w:val="17"/>
        <w:shd w:val="clear"/>
        <w:snapToGri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（2）从迟交的第31日到第60日，每日迟延付款违约金为迟延付款金额的3‰；</w:t>
      </w:r>
    </w:p>
    <w:p w14:paraId="5E96340F">
      <w:pPr>
        <w:pStyle w:val="17"/>
        <w:shd w:val="clear"/>
        <w:snapToGri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（3）从迟交的第61日起，每日迟延付款违约金为迟延付款金额的‰。</w:t>
      </w:r>
    </w:p>
    <w:p w14:paraId="435801A2">
      <w:pPr>
        <w:pStyle w:val="17"/>
        <w:shd w:val="clear"/>
        <w:snapToGri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迟延付款违约金的总额不得超过迟延付款金额的30% 。</w:t>
      </w:r>
    </w:p>
    <w:p w14:paraId="22438A0E">
      <w:pPr>
        <w:pStyle w:val="17"/>
        <w:shd w:val="clear"/>
        <w:snapToGri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5.乙方未按本合同和投标文件承诺提供售后服务的，乙方应按本合同总价的5%向甲方支付违约金。</w:t>
      </w:r>
    </w:p>
    <w:p w14:paraId="14140BA3">
      <w:pPr>
        <w:pStyle w:val="17"/>
        <w:shd w:val="clear"/>
        <w:snapToGri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6.</w:t>
      </w:r>
      <w:r>
        <w:rPr>
          <w:rFonts w:hint="eastAsia" w:ascii="仿宋" w:hAnsi="仿宋" w:eastAsia="仿宋" w:cs="仿宋"/>
          <w:sz w:val="24"/>
          <w:highlight w:val="none"/>
        </w:rPr>
        <w:t>乙方违约，甲方对本合同享有单方解除权。</w:t>
      </w:r>
    </w:p>
    <w:p w14:paraId="74C17BB9">
      <w:pPr>
        <w:pStyle w:val="17"/>
        <w:shd w:val="clear"/>
        <w:snapToGri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highlight w:val="none"/>
        </w:rPr>
        <w:t>7.</w:t>
      </w:r>
      <w:r>
        <w:rPr>
          <w:rFonts w:hint="eastAsia" w:ascii="仿宋" w:hAnsi="仿宋" w:eastAsia="仿宋" w:cs="仿宋"/>
          <w:sz w:val="24"/>
          <w:szCs w:val="24"/>
          <w:highlight w:val="none"/>
        </w:rPr>
        <w:t>因某一方原因导致变更、中止或者终止本合同的，该方应当对另一方受到的损失予以赔偿或者补偿。</w:t>
      </w:r>
    </w:p>
    <w:p w14:paraId="2D4AF316">
      <w:pPr>
        <w:pStyle w:val="17"/>
        <w:shd w:val="clear"/>
        <w:snapToGrid w:val="0"/>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8.乙方提供的服务在质量保证期内造成质量问题的，由乙方负责，费用从余款或者履约保证金中扣除，不足另补。</w:t>
      </w:r>
    </w:p>
    <w:p w14:paraId="2F5C6D6F">
      <w:pPr>
        <w:pStyle w:val="17"/>
        <w:shd w:val="clea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9.甲乙双方有其他违约行为的，由违约方向对方支付违约货款额的5%，违约货款额的5%不足以赔偿经济损失的，须按实际损失作出赔偿。若</w:t>
      </w:r>
      <w:r>
        <w:rPr>
          <w:rFonts w:hint="eastAsia" w:ascii="仿宋" w:hAnsi="仿宋" w:eastAsia="仿宋" w:cs="仿宋"/>
          <w:sz w:val="24"/>
          <w:szCs w:val="24"/>
          <w:highlight w:val="none"/>
        </w:rPr>
        <w:t>双方通过诉讼解决合同纠纷，败诉方还应承担胜诉方在诉讼期间支出的相关费用（包括但不限于诉讼费、律师费、诉讼期间差旅费、鉴定费、执行费、保全费、保全保险费等）。</w:t>
      </w:r>
    </w:p>
    <w:p w14:paraId="0FDD903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10.其他违约责任按《中华人民共和国民法典》处理。</w:t>
      </w:r>
    </w:p>
    <w:p w14:paraId="0F97EEE8">
      <w:pPr>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第十条  不可抗力事件处理</w:t>
      </w:r>
    </w:p>
    <w:p w14:paraId="52B4E943">
      <w:pPr>
        <w:shd w:val="clear"/>
        <w:spacing w:line="360" w:lineRule="auto"/>
        <w:ind w:firstLine="480" w:firstLineChars="200"/>
        <w:rPr>
          <w:rFonts w:hint="eastAsia" w:ascii="仿宋" w:hAnsi="仿宋" w:eastAsia="仿宋" w:cs="仿宋"/>
          <w:b/>
          <w:sz w:val="24"/>
          <w:highlight w:val="none"/>
        </w:rPr>
      </w:pPr>
      <w:r>
        <w:rPr>
          <w:rFonts w:hint="eastAsia" w:ascii="仿宋" w:hAnsi="仿宋" w:eastAsia="仿宋" w:cs="仿宋"/>
          <w:kern w:val="0"/>
          <w:sz w:val="24"/>
          <w:highlight w:val="none"/>
        </w:rPr>
        <w:t>1.在合同有效期内，任何一方因不可抗力事件导致不能履行合同，则合同履行期可延长，其延长期与不可抗力影响期相同。</w:t>
      </w:r>
    </w:p>
    <w:p w14:paraId="016584E9">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2.不可抗力事件发生后，应立即通知对方，并寄送有关权威机构出具的证明。</w:t>
      </w:r>
    </w:p>
    <w:p w14:paraId="2EA8A2C1">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3.不可抗力事件延续60天以上，双方应通过友好协商，确定是否继续履行合同。</w:t>
      </w:r>
    </w:p>
    <w:p w14:paraId="1678A43A">
      <w:pPr>
        <w:shd w:val="clea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第十一条  合同争议解决</w:t>
      </w:r>
    </w:p>
    <w:p w14:paraId="2D41097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1.因服务质量问题发生争议的，应邀请国家认可的质量检测机构进行鉴定。服务符合标准的，鉴定费由甲方承担；服务不符合标准的，鉴定费由乙方承担。</w:t>
      </w:r>
    </w:p>
    <w:p w14:paraId="3314175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2.因履行本合同引起的或者与本合同有关的争议，甲乙双方应首先通过友好协商解决，如果协商不能解决，任何一方可向甲方所在地有管辖权的人民法院提起诉讼。</w:t>
      </w:r>
    </w:p>
    <w:p w14:paraId="24D1552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3.诉讼期间，本合同无争议部分须继续履行。</w:t>
      </w:r>
    </w:p>
    <w:p w14:paraId="0DBC1C10">
      <w:pPr>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第十二条  合同生效及其他</w:t>
      </w:r>
    </w:p>
    <w:p w14:paraId="048D42B5">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1.合同自双方法定代表人或者授权代表签字并加盖单位公章或合同专用章之日起生效（委托代理人签字的须后附授权委托书，格式自拟）。</w:t>
      </w:r>
    </w:p>
    <w:p w14:paraId="1A5FEAA2">
      <w:pPr>
        <w:pStyle w:val="17"/>
        <w:shd w:val="clear"/>
        <w:snapToGrid w:val="0"/>
        <w:spacing w:line="460" w:lineRule="exact"/>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2.本合同未尽事宜，遵照《中华人民共和国民法典》有关条文执行。</w:t>
      </w:r>
    </w:p>
    <w:p w14:paraId="12262C22">
      <w:pPr>
        <w:shd w:val="clear"/>
        <w:snapToGrid w:val="0"/>
        <w:spacing w:line="460" w:lineRule="exact"/>
        <w:ind w:firstLine="480" w:firstLineChars="200"/>
        <w:rPr>
          <w:rFonts w:hint="eastAsia" w:ascii="仿宋" w:hAnsi="仿宋" w:eastAsia="仿宋" w:cs="仿宋"/>
          <w:kern w:val="0"/>
          <w:sz w:val="24"/>
          <w:highlight w:val="none"/>
          <w:lang w:val="zh-CN"/>
        </w:rPr>
      </w:pPr>
      <w:bookmarkStart w:id="147" w:name="_Hlk207649275"/>
      <w:r>
        <w:rPr>
          <w:rFonts w:hint="eastAsia" w:ascii="仿宋" w:hAnsi="仿宋" w:eastAsia="仿宋" w:cs="仿宋"/>
          <w:sz w:val="24"/>
          <w:highlight w:val="none"/>
        </w:rPr>
        <w:t>3.双方确认本合同落款通讯地址作为文书送达地址，该通讯地址适用于包括双方合同履行过程中的各类通知、补充协议</w:t>
      </w:r>
      <w:bookmarkStart w:id="148" w:name="_Hlk206521711"/>
      <w:r>
        <w:rPr>
          <w:rFonts w:hint="eastAsia" w:ascii="仿宋" w:hAnsi="仿宋" w:eastAsia="仿宋" w:cs="仿宋"/>
          <w:sz w:val="24"/>
          <w:highlight w:val="none"/>
        </w:rPr>
        <w:t>、整改函</w:t>
      </w:r>
      <w:bookmarkEnd w:id="148"/>
      <w:r>
        <w:rPr>
          <w:rFonts w:hint="eastAsia" w:ascii="仿宋" w:hAnsi="仿宋" w:eastAsia="仿宋" w:cs="仿宋"/>
          <w:sz w:val="24"/>
          <w:highlight w:val="none"/>
        </w:rPr>
        <w:t>等文件，以及因履行合同发生争议进入民事诉讼程序后的一审、二审、再审和执行程序等阶段法律文书的送达。通讯地址需要变更时应当提前15个工作日书面通知对方。</w:t>
      </w:r>
      <w:bookmarkStart w:id="149" w:name="_Hlk207649404"/>
      <w:r>
        <w:rPr>
          <w:rFonts w:hint="eastAsia" w:ascii="仿宋" w:hAnsi="仿宋" w:eastAsia="仿宋" w:cs="仿宋"/>
          <w:sz w:val="24"/>
          <w:highlight w:val="none"/>
        </w:rPr>
        <w:t>因提供或者确认的通讯地址不准确、通讯地址变更后未及时依程序告知对方，或按合同落款通讯地址寄送，受送达方拒绝签收或拒绝接听快递员投递电话等原因，导致文书未能被实际接收的，邮寄文书被退回之日视为送达之日。</w:t>
      </w:r>
    </w:p>
    <w:bookmarkEnd w:id="147"/>
    <w:bookmarkEnd w:id="149"/>
    <w:p w14:paraId="2D469717">
      <w:pPr>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第十三条 合同的变更、终止与转让</w:t>
      </w:r>
    </w:p>
    <w:p w14:paraId="081F0FD2">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1.除《中华人民共和国政府采购法》第五十条规定的情形外，本合同一经签订，甲乙双方不得擅自变更、中止或者终止。</w:t>
      </w:r>
    </w:p>
    <w:p w14:paraId="2AAEA330">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2.乙方不得擅自转让其应履行的合同义务。</w:t>
      </w:r>
    </w:p>
    <w:p w14:paraId="08B72F40">
      <w:pPr>
        <w:shd w:val="clear"/>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第十四条 签订本合同依据</w:t>
      </w:r>
    </w:p>
    <w:p w14:paraId="769C5050">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1.成交通知书</w:t>
      </w:r>
    </w:p>
    <w:p w14:paraId="553F0AB7">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2.采购需求</w:t>
      </w:r>
    </w:p>
    <w:p w14:paraId="65C1F16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3.竞争性磋商报价表</w:t>
      </w:r>
    </w:p>
    <w:p w14:paraId="5C566B8F">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4.商务要求偏离表和服务需求偏离表</w:t>
      </w:r>
    </w:p>
    <w:p w14:paraId="7A692BCE">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5.服务方案</w:t>
      </w:r>
    </w:p>
    <w:p w14:paraId="2FC27C64">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6.响应文件中的其他相关文件</w:t>
      </w:r>
    </w:p>
    <w:p w14:paraId="532ADA39">
      <w:pPr>
        <w:shd w:val="clea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上述合同文件互相补充和解释。如果合同文件之间存在矛盾或者不一致之处，以上述文件的排列顺序在先者为准。</w:t>
      </w:r>
    </w:p>
    <w:p w14:paraId="2E02AB01">
      <w:pPr>
        <w:shd w:val="clea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 xml:space="preserve">第十五条 </w:t>
      </w:r>
      <w:r>
        <w:rPr>
          <w:rFonts w:hint="eastAsia" w:ascii="仿宋" w:hAnsi="仿宋" w:eastAsia="仿宋" w:cs="仿宋"/>
          <w:sz w:val="24"/>
          <w:highlight w:val="none"/>
        </w:rPr>
        <w:t>本合同一式柒份，具有同等法律效力，甲方伍份，乙方壹份，采购代理机构壹份。</w:t>
      </w:r>
    </w:p>
    <w:p w14:paraId="73915E84">
      <w:pPr>
        <w:shd w:val="clea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以下无正文。</w:t>
      </w:r>
    </w:p>
    <w:p w14:paraId="5C8479BC">
      <w:pPr>
        <w:pStyle w:val="13"/>
        <w:shd w:val="clear"/>
        <w:rPr>
          <w:rFonts w:hint="eastAsia" w:ascii="仿宋" w:hAnsi="仿宋" w:eastAsia="仿宋" w:cs="仿宋"/>
          <w:highlight w:val="none"/>
        </w:rPr>
      </w:pPr>
    </w:p>
    <w:tbl>
      <w:tblPr>
        <w:tblStyle w:val="2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580"/>
      </w:tblGrid>
      <w:tr w14:paraId="5274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068D08F3">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甲方：</w:t>
            </w:r>
            <w:bookmarkStart w:id="150" w:name="OLE_LINK1"/>
            <w:r>
              <w:rPr>
                <w:rFonts w:hint="eastAsia" w:ascii="仿宋" w:hAnsi="仿宋" w:eastAsia="仿宋" w:cs="仿宋"/>
                <w:kern w:val="0"/>
                <w:sz w:val="24"/>
                <w:highlight w:val="none"/>
              </w:rPr>
              <w:t>（盖章）</w:t>
            </w:r>
            <w:bookmarkEnd w:id="150"/>
          </w:p>
          <w:p w14:paraId="6B9D13B0">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广西大学</w:t>
            </w:r>
          </w:p>
          <w:p w14:paraId="040936BC">
            <w:pPr>
              <w:shd w:val="clear"/>
              <w:snapToGrid w:val="0"/>
              <w:spacing w:line="360" w:lineRule="auto"/>
              <w:ind w:firstLine="1080" w:firstLineChars="450"/>
              <w:jc w:val="righ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年   月   日</w:t>
            </w:r>
          </w:p>
        </w:tc>
        <w:tc>
          <w:tcPr>
            <w:tcW w:w="4580" w:type="dxa"/>
            <w:tcBorders>
              <w:top w:val="single" w:color="auto" w:sz="4" w:space="0"/>
              <w:left w:val="single" w:color="auto" w:sz="4" w:space="0"/>
              <w:bottom w:val="single" w:color="auto" w:sz="4" w:space="0"/>
              <w:right w:val="single" w:color="auto" w:sz="4" w:space="0"/>
            </w:tcBorders>
            <w:vAlign w:val="center"/>
          </w:tcPr>
          <w:p w14:paraId="70857E12">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乙方：   （盖章）              </w:t>
            </w:r>
          </w:p>
          <w:p w14:paraId="4C426615">
            <w:pPr>
              <w:shd w:val="clear"/>
              <w:snapToGrid w:val="0"/>
              <w:spacing w:line="360" w:lineRule="auto"/>
              <w:rPr>
                <w:rFonts w:hint="eastAsia" w:ascii="仿宋" w:hAnsi="仿宋" w:eastAsia="仿宋" w:cs="仿宋"/>
                <w:kern w:val="0"/>
                <w:sz w:val="24"/>
                <w:highlight w:val="none"/>
              </w:rPr>
            </w:pPr>
          </w:p>
          <w:p w14:paraId="2A53230D">
            <w:pPr>
              <w:shd w:val="clear"/>
              <w:snapToGrid w:val="0"/>
              <w:spacing w:line="360" w:lineRule="auto"/>
              <w:jc w:val="righ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年   月   日</w:t>
            </w:r>
          </w:p>
        </w:tc>
      </w:tr>
      <w:tr w14:paraId="387F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5BAD89A">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单位地址：广西壮族自治区南宁市大学东路100号</w:t>
            </w:r>
          </w:p>
        </w:tc>
        <w:tc>
          <w:tcPr>
            <w:tcW w:w="4580" w:type="dxa"/>
            <w:tcBorders>
              <w:top w:val="single" w:color="auto" w:sz="4" w:space="0"/>
              <w:left w:val="single" w:color="auto" w:sz="4" w:space="0"/>
              <w:bottom w:val="single" w:color="auto" w:sz="4" w:space="0"/>
              <w:right w:val="single" w:color="auto" w:sz="4" w:space="0"/>
            </w:tcBorders>
            <w:vAlign w:val="center"/>
          </w:tcPr>
          <w:p w14:paraId="7C147956">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单位地址： </w:t>
            </w:r>
          </w:p>
        </w:tc>
      </w:tr>
      <w:tr w14:paraId="47D1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1CBED23B">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法定代表人（签字）：</w:t>
            </w:r>
          </w:p>
        </w:tc>
        <w:tc>
          <w:tcPr>
            <w:tcW w:w="4580" w:type="dxa"/>
            <w:tcBorders>
              <w:top w:val="single" w:color="auto" w:sz="4" w:space="0"/>
              <w:left w:val="single" w:color="auto" w:sz="4" w:space="0"/>
              <w:bottom w:val="single" w:color="auto" w:sz="4" w:space="0"/>
              <w:right w:val="single" w:color="auto" w:sz="4" w:space="0"/>
            </w:tcBorders>
            <w:vAlign w:val="center"/>
          </w:tcPr>
          <w:p w14:paraId="5F93E551">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法定代表人（签字）：</w:t>
            </w:r>
          </w:p>
        </w:tc>
      </w:tr>
      <w:tr w14:paraId="37E7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422A52DF">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委托代理人（签字）：</w:t>
            </w:r>
          </w:p>
        </w:tc>
        <w:tc>
          <w:tcPr>
            <w:tcW w:w="4580" w:type="dxa"/>
            <w:tcBorders>
              <w:top w:val="single" w:color="auto" w:sz="4" w:space="0"/>
              <w:left w:val="single" w:color="auto" w:sz="4" w:space="0"/>
              <w:bottom w:val="single" w:color="auto" w:sz="4" w:space="0"/>
              <w:right w:val="single" w:color="auto" w:sz="4" w:space="0"/>
            </w:tcBorders>
            <w:vAlign w:val="center"/>
          </w:tcPr>
          <w:p w14:paraId="6CBA088E">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委托代理人（签字）:</w:t>
            </w:r>
          </w:p>
        </w:tc>
      </w:tr>
      <w:tr w14:paraId="283A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386C695F">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办公电话：</w:t>
            </w:r>
          </w:p>
        </w:tc>
        <w:tc>
          <w:tcPr>
            <w:tcW w:w="4580" w:type="dxa"/>
            <w:tcBorders>
              <w:top w:val="single" w:color="auto" w:sz="4" w:space="0"/>
              <w:left w:val="single" w:color="auto" w:sz="4" w:space="0"/>
              <w:bottom w:val="single" w:color="auto" w:sz="4" w:space="0"/>
              <w:right w:val="single" w:color="auto" w:sz="4" w:space="0"/>
            </w:tcBorders>
            <w:vAlign w:val="center"/>
          </w:tcPr>
          <w:p w14:paraId="32134491">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办公电话：</w:t>
            </w:r>
          </w:p>
        </w:tc>
      </w:tr>
      <w:tr w14:paraId="05D9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37832161">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联系手机：</w:t>
            </w:r>
          </w:p>
        </w:tc>
        <w:tc>
          <w:tcPr>
            <w:tcW w:w="4580" w:type="dxa"/>
            <w:tcBorders>
              <w:top w:val="single" w:color="auto" w:sz="4" w:space="0"/>
              <w:left w:val="single" w:color="auto" w:sz="4" w:space="0"/>
              <w:bottom w:val="single" w:color="auto" w:sz="4" w:space="0"/>
              <w:right w:val="single" w:color="auto" w:sz="4" w:space="0"/>
            </w:tcBorders>
            <w:vAlign w:val="center"/>
          </w:tcPr>
          <w:p w14:paraId="3CA44AE0">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联系手机： </w:t>
            </w:r>
          </w:p>
        </w:tc>
      </w:tr>
      <w:tr w14:paraId="7670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FBA7916">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邮箱：gxdxsbk@163.com</w:t>
            </w:r>
          </w:p>
        </w:tc>
        <w:tc>
          <w:tcPr>
            <w:tcW w:w="4580" w:type="dxa"/>
            <w:tcBorders>
              <w:top w:val="single" w:color="auto" w:sz="4" w:space="0"/>
              <w:left w:val="single" w:color="auto" w:sz="4" w:space="0"/>
              <w:bottom w:val="single" w:color="auto" w:sz="4" w:space="0"/>
              <w:right w:val="single" w:color="auto" w:sz="4" w:space="0"/>
            </w:tcBorders>
            <w:vAlign w:val="center"/>
          </w:tcPr>
          <w:p w14:paraId="0FC43D4D">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邮箱： </w:t>
            </w:r>
          </w:p>
        </w:tc>
      </w:tr>
      <w:tr w14:paraId="0C5F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30E24D1">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开户银行：中国银行广西南宁市西大支行</w:t>
            </w:r>
          </w:p>
        </w:tc>
        <w:tc>
          <w:tcPr>
            <w:tcW w:w="4580" w:type="dxa"/>
            <w:tcBorders>
              <w:top w:val="single" w:color="auto" w:sz="4" w:space="0"/>
              <w:left w:val="single" w:color="auto" w:sz="4" w:space="0"/>
              <w:bottom w:val="single" w:color="auto" w:sz="4" w:space="0"/>
              <w:right w:val="single" w:color="auto" w:sz="4" w:space="0"/>
            </w:tcBorders>
            <w:vAlign w:val="center"/>
          </w:tcPr>
          <w:p w14:paraId="60A7471B">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开户银行： </w:t>
            </w:r>
          </w:p>
        </w:tc>
      </w:tr>
      <w:tr w14:paraId="1799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169DB0C">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账号：618 457 484 938</w:t>
            </w:r>
          </w:p>
        </w:tc>
        <w:tc>
          <w:tcPr>
            <w:tcW w:w="4580" w:type="dxa"/>
            <w:tcBorders>
              <w:top w:val="single" w:color="auto" w:sz="4" w:space="0"/>
              <w:left w:val="single" w:color="auto" w:sz="4" w:space="0"/>
              <w:bottom w:val="single" w:color="auto" w:sz="4" w:space="0"/>
              <w:right w:val="single" w:color="auto" w:sz="4" w:space="0"/>
            </w:tcBorders>
            <w:vAlign w:val="center"/>
          </w:tcPr>
          <w:p w14:paraId="65054E4C">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账号：</w:t>
            </w:r>
          </w:p>
        </w:tc>
      </w:tr>
      <w:tr w14:paraId="6656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7D638A49">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邮政编码：530004</w:t>
            </w:r>
          </w:p>
        </w:tc>
        <w:tc>
          <w:tcPr>
            <w:tcW w:w="4580" w:type="dxa"/>
            <w:tcBorders>
              <w:top w:val="single" w:color="auto" w:sz="4" w:space="0"/>
              <w:left w:val="single" w:color="auto" w:sz="4" w:space="0"/>
              <w:bottom w:val="single" w:color="auto" w:sz="4" w:space="0"/>
              <w:right w:val="single" w:color="auto" w:sz="4" w:space="0"/>
            </w:tcBorders>
            <w:vAlign w:val="center"/>
          </w:tcPr>
          <w:p w14:paraId="6EBD1185">
            <w:pPr>
              <w:shd w:val="clear"/>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邮政编码： </w:t>
            </w:r>
          </w:p>
        </w:tc>
      </w:tr>
    </w:tbl>
    <w:p w14:paraId="6F35AB54">
      <w:pPr>
        <w:shd w:val="clear"/>
        <w:jc w:val="center"/>
        <w:rPr>
          <w:rFonts w:hint="eastAsia" w:ascii="仿宋" w:hAnsi="仿宋" w:eastAsia="仿宋" w:cs="仿宋"/>
          <w:b/>
          <w:bCs/>
          <w:kern w:val="0"/>
          <w:sz w:val="32"/>
          <w:szCs w:val="32"/>
          <w:highlight w:val="none"/>
        </w:rPr>
      </w:pPr>
    </w:p>
    <w:p w14:paraId="61E69CB7">
      <w:pPr>
        <w:shd w:val="clear"/>
        <w:rPr>
          <w:rFonts w:hint="eastAsia" w:ascii="仿宋" w:hAnsi="仿宋" w:eastAsia="仿宋" w:cs="仿宋"/>
          <w:b/>
          <w:bCs/>
          <w:kern w:val="0"/>
          <w:sz w:val="32"/>
          <w:szCs w:val="32"/>
          <w:highlight w:val="none"/>
        </w:rPr>
      </w:pPr>
      <w:r>
        <w:rPr>
          <w:rFonts w:hint="eastAsia" w:ascii="仿宋" w:hAnsi="仿宋" w:eastAsia="仿宋" w:cs="仿宋"/>
          <w:b/>
          <w:bCs/>
          <w:kern w:val="0"/>
          <w:sz w:val="32"/>
          <w:szCs w:val="32"/>
          <w:highlight w:val="none"/>
        </w:rPr>
        <w:br w:type="page"/>
      </w:r>
    </w:p>
    <w:p w14:paraId="550F7BF6">
      <w:pPr>
        <w:shd w:val="clear"/>
        <w:jc w:val="center"/>
        <w:rPr>
          <w:rFonts w:hint="eastAsia" w:ascii="仿宋" w:hAnsi="仿宋" w:eastAsia="仿宋" w:cs="仿宋"/>
          <w:sz w:val="32"/>
          <w:szCs w:val="32"/>
          <w:highlight w:val="none"/>
        </w:rPr>
      </w:pPr>
      <w:r>
        <w:rPr>
          <w:rFonts w:hint="eastAsia" w:ascii="仿宋" w:hAnsi="仿宋" w:eastAsia="仿宋" w:cs="仿宋"/>
          <w:b/>
          <w:bCs/>
          <w:kern w:val="0"/>
          <w:sz w:val="32"/>
          <w:szCs w:val="32"/>
          <w:highlight w:val="none"/>
        </w:rPr>
        <w:t>广西大学政府采购项目履约保证金退付意见书</w:t>
      </w:r>
    </w:p>
    <w:tbl>
      <w:tblPr>
        <w:tblStyle w:val="29"/>
        <w:tblW w:w="9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462"/>
      </w:tblGrid>
      <w:tr w14:paraId="1A76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vMerge w:val="restart"/>
            <w:vAlign w:val="center"/>
          </w:tcPr>
          <w:p w14:paraId="4E137857">
            <w:pPr>
              <w:shd w:val="clear"/>
              <w:jc w:val="center"/>
              <w:rPr>
                <w:rFonts w:hint="eastAsia" w:ascii="仿宋" w:hAnsi="仿宋" w:eastAsia="仿宋" w:cs="仿宋"/>
                <w:sz w:val="24"/>
                <w:highlight w:val="none"/>
              </w:rPr>
            </w:pPr>
            <w:r>
              <w:rPr>
                <w:rFonts w:hint="eastAsia" w:ascii="仿宋" w:hAnsi="仿宋" w:eastAsia="仿宋" w:cs="仿宋"/>
                <w:sz w:val="24"/>
                <w:highlight w:val="none"/>
              </w:rPr>
              <w:t>供</w:t>
            </w:r>
          </w:p>
          <w:p w14:paraId="5BFC71A1">
            <w:pPr>
              <w:shd w:val="clear"/>
              <w:jc w:val="center"/>
              <w:rPr>
                <w:rFonts w:hint="eastAsia" w:ascii="仿宋" w:hAnsi="仿宋" w:eastAsia="仿宋" w:cs="仿宋"/>
                <w:sz w:val="24"/>
                <w:highlight w:val="none"/>
              </w:rPr>
            </w:pPr>
            <w:r>
              <w:rPr>
                <w:rFonts w:hint="eastAsia" w:ascii="仿宋" w:hAnsi="仿宋" w:eastAsia="仿宋" w:cs="仿宋"/>
                <w:sz w:val="24"/>
                <w:highlight w:val="none"/>
              </w:rPr>
              <w:t>应</w:t>
            </w:r>
          </w:p>
          <w:p w14:paraId="7EA00706">
            <w:pPr>
              <w:shd w:val="clear"/>
              <w:jc w:val="center"/>
              <w:rPr>
                <w:rFonts w:hint="eastAsia" w:ascii="仿宋" w:hAnsi="仿宋" w:eastAsia="仿宋" w:cs="仿宋"/>
                <w:sz w:val="24"/>
                <w:highlight w:val="none"/>
              </w:rPr>
            </w:pPr>
            <w:r>
              <w:rPr>
                <w:rFonts w:hint="eastAsia" w:ascii="仿宋" w:hAnsi="仿宋" w:eastAsia="仿宋" w:cs="仿宋"/>
                <w:sz w:val="24"/>
                <w:highlight w:val="none"/>
              </w:rPr>
              <w:t>商</w:t>
            </w:r>
          </w:p>
          <w:p w14:paraId="5C3A73B4">
            <w:pPr>
              <w:shd w:val="clear"/>
              <w:jc w:val="center"/>
              <w:rPr>
                <w:rFonts w:hint="eastAsia" w:ascii="仿宋" w:hAnsi="仿宋" w:eastAsia="仿宋" w:cs="仿宋"/>
                <w:sz w:val="24"/>
                <w:highlight w:val="none"/>
              </w:rPr>
            </w:pPr>
            <w:r>
              <w:rPr>
                <w:rFonts w:hint="eastAsia" w:ascii="仿宋" w:hAnsi="仿宋" w:eastAsia="仿宋" w:cs="仿宋"/>
                <w:sz w:val="24"/>
                <w:highlight w:val="none"/>
              </w:rPr>
              <w:t>申</w:t>
            </w:r>
          </w:p>
          <w:p w14:paraId="4975AA6A">
            <w:pPr>
              <w:shd w:val="clear"/>
              <w:jc w:val="center"/>
              <w:rPr>
                <w:rFonts w:hint="eastAsia" w:ascii="仿宋" w:hAnsi="仿宋" w:eastAsia="仿宋" w:cs="仿宋"/>
                <w:sz w:val="24"/>
                <w:highlight w:val="none"/>
              </w:rPr>
            </w:pPr>
            <w:r>
              <w:rPr>
                <w:rFonts w:hint="eastAsia" w:ascii="仿宋" w:hAnsi="仿宋" w:eastAsia="仿宋" w:cs="仿宋"/>
                <w:sz w:val="24"/>
                <w:highlight w:val="none"/>
              </w:rPr>
              <w:t>请</w:t>
            </w:r>
          </w:p>
        </w:tc>
        <w:tc>
          <w:tcPr>
            <w:tcW w:w="7462" w:type="dxa"/>
            <w:vAlign w:val="center"/>
          </w:tcPr>
          <w:p w14:paraId="42177F2C">
            <w:pPr>
              <w:shd w:val="clear"/>
              <w:rPr>
                <w:rFonts w:hint="eastAsia" w:ascii="仿宋" w:hAnsi="仿宋" w:eastAsia="仿宋" w:cs="仿宋"/>
                <w:sz w:val="24"/>
                <w:highlight w:val="none"/>
              </w:rPr>
            </w:pPr>
            <w:r>
              <w:rPr>
                <w:rFonts w:hint="eastAsia" w:ascii="仿宋" w:hAnsi="仿宋" w:eastAsia="仿宋" w:cs="仿宋"/>
                <w:sz w:val="24"/>
                <w:highlight w:val="none"/>
              </w:rPr>
              <w:t>项目名称：</w:t>
            </w:r>
          </w:p>
        </w:tc>
      </w:tr>
      <w:tr w14:paraId="21E1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88" w:type="dxa"/>
            <w:vMerge w:val="continue"/>
          </w:tcPr>
          <w:p w14:paraId="50FC028D">
            <w:pPr>
              <w:shd w:val="clear"/>
              <w:rPr>
                <w:rFonts w:hint="eastAsia" w:ascii="仿宋" w:hAnsi="仿宋" w:eastAsia="仿宋" w:cs="仿宋"/>
                <w:sz w:val="24"/>
                <w:highlight w:val="none"/>
              </w:rPr>
            </w:pPr>
          </w:p>
        </w:tc>
        <w:tc>
          <w:tcPr>
            <w:tcW w:w="7462" w:type="dxa"/>
            <w:vAlign w:val="center"/>
          </w:tcPr>
          <w:p w14:paraId="6EFAAD91">
            <w:pPr>
              <w:shd w:val="clear"/>
              <w:rPr>
                <w:rFonts w:hint="eastAsia" w:ascii="仿宋" w:hAnsi="仿宋" w:eastAsia="仿宋" w:cs="仿宋"/>
                <w:sz w:val="24"/>
                <w:highlight w:val="none"/>
              </w:rPr>
            </w:pPr>
            <w:r>
              <w:rPr>
                <w:rFonts w:hint="eastAsia" w:ascii="仿宋" w:hAnsi="仿宋" w:eastAsia="仿宋" w:cs="仿宋"/>
                <w:sz w:val="24"/>
                <w:highlight w:val="none"/>
              </w:rPr>
              <w:t>合同编号：</w:t>
            </w:r>
          </w:p>
        </w:tc>
      </w:tr>
      <w:tr w14:paraId="0E1D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1588" w:type="dxa"/>
            <w:vMerge w:val="continue"/>
          </w:tcPr>
          <w:p w14:paraId="63C82985">
            <w:pPr>
              <w:shd w:val="clear"/>
              <w:rPr>
                <w:rFonts w:hint="eastAsia" w:ascii="仿宋" w:hAnsi="仿宋" w:eastAsia="仿宋" w:cs="仿宋"/>
                <w:sz w:val="24"/>
                <w:highlight w:val="none"/>
              </w:rPr>
            </w:pPr>
          </w:p>
        </w:tc>
        <w:tc>
          <w:tcPr>
            <w:tcW w:w="7462" w:type="dxa"/>
          </w:tcPr>
          <w:p w14:paraId="10EDB061">
            <w:pPr>
              <w:shd w:val="clear"/>
              <w:rPr>
                <w:rFonts w:hint="eastAsia" w:ascii="仿宋" w:hAnsi="仿宋" w:eastAsia="仿宋" w:cs="仿宋"/>
                <w:sz w:val="24"/>
                <w:highlight w:val="none"/>
              </w:rPr>
            </w:pPr>
          </w:p>
          <w:p w14:paraId="099443A5">
            <w:pPr>
              <w:shd w:val="clear"/>
              <w:ind w:firstLine="600" w:firstLineChars="250"/>
              <w:rPr>
                <w:rFonts w:hint="eastAsia" w:ascii="仿宋" w:hAnsi="仿宋" w:eastAsia="仿宋" w:cs="仿宋"/>
                <w:sz w:val="24"/>
                <w:highlight w:val="none"/>
              </w:rPr>
            </w:pPr>
            <w:r>
              <w:rPr>
                <w:rFonts w:hint="eastAsia" w:ascii="仿宋" w:hAnsi="仿宋" w:eastAsia="仿宋" w:cs="仿宋"/>
                <w:sz w:val="24"/>
                <w:highlight w:val="none"/>
              </w:rPr>
              <w:t>该项目已于</w:t>
            </w:r>
            <w:r>
              <w:rPr>
                <w:rFonts w:hint="eastAsia" w:ascii="仿宋" w:hAnsi="仿宋" w:eastAsia="仿宋" w:cs="仿宋"/>
                <w:sz w:val="24"/>
                <w:highlight w:val="none"/>
                <w:u w:val="single"/>
              </w:rPr>
              <w:t xml:space="preserve">   年    月   日</w:t>
            </w:r>
            <w:r>
              <w:rPr>
                <w:rFonts w:hint="eastAsia" w:ascii="仿宋" w:hAnsi="仿宋" w:eastAsia="仿宋" w:cs="仿宋"/>
                <w:sz w:val="24"/>
                <w:highlight w:val="none"/>
              </w:rPr>
              <w:t xml:space="preserve">按合同要求履约完成。根据合同规定，可将履约保证金（大写）人民币 </w:t>
            </w:r>
            <w:r>
              <w:rPr>
                <w:rFonts w:hint="eastAsia" w:ascii="仿宋" w:hAnsi="仿宋" w:eastAsia="仿宋" w:cs="仿宋"/>
                <w:sz w:val="24"/>
                <w:highlight w:val="none"/>
                <w:u w:val="single"/>
              </w:rPr>
              <w:t xml:space="preserve">                 （小写）￥              .00</w:t>
            </w:r>
            <w:r>
              <w:rPr>
                <w:rFonts w:hint="eastAsia" w:ascii="仿宋" w:hAnsi="仿宋" w:eastAsia="仿宋" w:cs="仿宋"/>
                <w:sz w:val="24"/>
                <w:highlight w:val="none"/>
              </w:rPr>
              <w:t>退付到达以下帐户：</w:t>
            </w:r>
          </w:p>
          <w:p w14:paraId="17F3D295">
            <w:pPr>
              <w:shd w:val="clear"/>
              <w:rPr>
                <w:rFonts w:hint="eastAsia" w:ascii="仿宋" w:hAnsi="仿宋" w:eastAsia="仿宋" w:cs="仿宋"/>
                <w:sz w:val="24"/>
                <w:highlight w:val="none"/>
              </w:rPr>
            </w:pPr>
          </w:p>
          <w:p w14:paraId="7FE25619">
            <w:pPr>
              <w:shd w:val="clear"/>
              <w:spacing w:line="420" w:lineRule="exact"/>
              <w:rPr>
                <w:rFonts w:hint="eastAsia" w:ascii="仿宋" w:hAnsi="仿宋" w:eastAsia="仿宋" w:cs="仿宋"/>
                <w:sz w:val="24"/>
                <w:highlight w:val="none"/>
              </w:rPr>
            </w:pPr>
            <w:r>
              <w:rPr>
                <w:rFonts w:hint="eastAsia" w:ascii="仿宋" w:hAnsi="仿宋" w:eastAsia="仿宋" w:cs="仿宋"/>
                <w:sz w:val="24"/>
                <w:highlight w:val="none"/>
              </w:rPr>
              <w:t>单位名称：</w:t>
            </w:r>
          </w:p>
          <w:p w14:paraId="290DF139">
            <w:pPr>
              <w:shd w:val="clear"/>
              <w:spacing w:line="420" w:lineRule="exact"/>
              <w:rPr>
                <w:rFonts w:hint="eastAsia" w:ascii="仿宋" w:hAnsi="仿宋" w:eastAsia="仿宋" w:cs="仿宋"/>
                <w:sz w:val="24"/>
                <w:highlight w:val="none"/>
              </w:rPr>
            </w:pPr>
            <w:r>
              <w:rPr>
                <w:rFonts w:hint="eastAsia" w:ascii="仿宋" w:hAnsi="仿宋" w:eastAsia="仿宋" w:cs="仿宋"/>
                <w:sz w:val="24"/>
                <w:highlight w:val="none"/>
              </w:rPr>
              <w:t>开户银行：</w:t>
            </w:r>
          </w:p>
          <w:p w14:paraId="16EBE02A">
            <w:pPr>
              <w:shd w:val="clear"/>
              <w:spacing w:line="420" w:lineRule="exact"/>
              <w:rPr>
                <w:rFonts w:hint="eastAsia" w:ascii="仿宋" w:hAnsi="仿宋" w:eastAsia="仿宋" w:cs="仿宋"/>
                <w:sz w:val="24"/>
                <w:highlight w:val="none"/>
              </w:rPr>
            </w:pPr>
            <w:r>
              <w:rPr>
                <w:rFonts w:hint="eastAsia" w:ascii="仿宋" w:hAnsi="仿宋" w:eastAsia="仿宋" w:cs="仿宋"/>
                <w:sz w:val="24"/>
                <w:highlight w:val="none"/>
              </w:rPr>
              <w:t>银行帐号：</w:t>
            </w:r>
          </w:p>
          <w:p w14:paraId="72037788">
            <w:pPr>
              <w:shd w:val="clear"/>
              <w:rPr>
                <w:rFonts w:hint="eastAsia" w:ascii="仿宋" w:hAnsi="仿宋" w:eastAsia="仿宋" w:cs="仿宋"/>
                <w:sz w:val="24"/>
                <w:highlight w:val="none"/>
              </w:rPr>
            </w:pPr>
          </w:p>
          <w:p w14:paraId="0A0D992A">
            <w:pPr>
              <w:shd w:val="clear"/>
              <w:spacing w:line="420" w:lineRule="exact"/>
              <w:rPr>
                <w:rFonts w:hint="eastAsia" w:ascii="仿宋" w:hAnsi="仿宋" w:eastAsia="仿宋" w:cs="仿宋"/>
                <w:sz w:val="24"/>
                <w:highlight w:val="none"/>
              </w:rPr>
            </w:pPr>
            <w:r>
              <w:rPr>
                <w:rFonts w:hint="eastAsia" w:ascii="仿宋" w:hAnsi="仿宋" w:eastAsia="仿宋" w:cs="仿宋"/>
                <w:sz w:val="24"/>
                <w:highlight w:val="none"/>
              </w:rPr>
              <w:t>联系人：</w:t>
            </w:r>
          </w:p>
          <w:p w14:paraId="46B9A45E">
            <w:pPr>
              <w:shd w:val="clear"/>
              <w:spacing w:line="420" w:lineRule="exact"/>
              <w:rPr>
                <w:rFonts w:hint="eastAsia" w:ascii="仿宋" w:hAnsi="仿宋" w:eastAsia="仿宋" w:cs="仿宋"/>
                <w:sz w:val="24"/>
                <w:highlight w:val="none"/>
              </w:rPr>
            </w:pPr>
            <w:r>
              <w:rPr>
                <w:rFonts w:hint="eastAsia" w:ascii="仿宋" w:hAnsi="仿宋" w:eastAsia="仿宋" w:cs="仿宋"/>
                <w:sz w:val="24"/>
                <w:highlight w:val="none"/>
              </w:rPr>
              <w:t>联系电话：</w:t>
            </w:r>
          </w:p>
          <w:p w14:paraId="5AE38842">
            <w:pPr>
              <w:shd w:val="clear"/>
              <w:rPr>
                <w:rFonts w:hint="eastAsia" w:ascii="仿宋" w:hAnsi="仿宋" w:eastAsia="仿宋" w:cs="仿宋"/>
                <w:sz w:val="24"/>
                <w:highlight w:val="none"/>
              </w:rPr>
            </w:pPr>
          </w:p>
          <w:p w14:paraId="65EF2B35">
            <w:pPr>
              <w:shd w:val="clear"/>
              <w:spacing w:line="420" w:lineRule="exact"/>
              <w:rPr>
                <w:rFonts w:hint="eastAsia" w:ascii="仿宋" w:hAnsi="仿宋" w:eastAsia="仿宋" w:cs="仿宋"/>
                <w:sz w:val="24"/>
                <w:highlight w:val="none"/>
              </w:rPr>
            </w:pPr>
            <w:r>
              <w:rPr>
                <w:rFonts w:hint="eastAsia" w:ascii="仿宋" w:hAnsi="仿宋" w:eastAsia="仿宋" w:cs="仿宋"/>
                <w:sz w:val="24"/>
                <w:highlight w:val="none"/>
              </w:rPr>
              <w:t xml:space="preserve">                               供应商（签章）：</w:t>
            </w:r>
          </w:p>
          <w:p w14:paraId="23598B4A">
            <w:pPr>
              <w:shd w:val="clear"/>
              <w:spacing w:line="420" w:lineRule="exact"/>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D41531A">
            <w:pPr>
              <w:shd w:val="clear"/>
              <w:rPr>
                <w:rFonts w:hint="eastAsia" w:ascii="仿宋" w:hAnsi="仿宋" w:eastAsia="仿宋" w:cs="仿宋"/>
                <w:sz w:val="24"/>
                <w:highlight w:val="none"/>
              </w:rPr>
            </w:pPr>
          </w:p>
        </w:tc>
      </w:tr>
      <w:tr w14:paraId="7C49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588" w:type="dxa"/>
            <w:vAlign w:val="center"/>
          </w:tcPr>
          <w:p w14:paraId="28A5D7E5">
            <w:pPr>
              <w:shd w:val="clear"/>
              <w:jc w:val="center"/>
              <w:rPr>
                <w:rFonts w:hint="eastAsia" w:ascii="仿宋" w:hAnsi="仿宋" w:eastAsia="仿宋" w:cs="仿宋"/>
                <w:sz w:val="24"/>
                <w:highlight w:val="none"/>
              </w:rPr>
            </w:pPr>
            <w:r>
              <w:rPr>
                <w:rFonts w:hint="eastAsia" w:ascii="仿宋" w:hAnsi="仿宋" w:eastAsia="仿宋" w:cs="仿宋"/>
                <w:sz w:val="24"/>
                <w:highlight w:val="none"/>
              </w:rPr>
              <w:t>使</w:t>
            </w:r>
          </w:p>
          <w:p w14:paraId="7D5844C1">
            <w:pPr>
              <w:shd w:val="clear"/>
              <w:jc w:val="center"/>
              <w:rPr>
                <w:rFonts w:hint="eastAsia" w:ascii="仿宋" w:hAnsi="仿宋" w:eastAsia="仿宋" w:cs="仿宋"/>
                <w:sz w:val="24"/>
                <w:highlight w:val="none"/>
              </w:rPr>
            </w:pPr>
            <w:r>
              <w:rPr>
                <w:rFonts w:hint="eastAsia" w:ascii="仿宋" w:hAnsi="仿宋" w:eastAsia="仿宋" w:cs="仿宋"/>
                <w:sz w:val="24"/>
                <w:highlight w:val="none"/>
              </w:rPr>
              <w:t>用</w:t>
            </w:r>
          </w:p>
          <w:p w14:paraId="3E5294C7">
            <w:pPr>
              <w:shd w:val="clear"/>
              <w:jc w:val="center"/>
              <w:rPr>
                <w:rFonts w:hint="eastAsia" w:ascii="仿宋" w:hAnsi="仿宋" w:eastAsia="仿宋" w:cs="仿宋"/>
                <w:sz w:val="24"/>
                <w:highlight w:val="none"/>
              </w:rPr>
            </w:pPr>
            <w:r>
              <w:rPr>
                <w:rFonts w:hint="eastAsia" w:ascii="仿宋" w:hAnsi="仿宋" w:eastAsia="仿宋" w:cs="仿宋"/>
                <w:sz w:val="24"/>
                <w:highlight w:val="none"/>
              </w:rPr>
              <w:t>单</w:t>
            </w:r>
          </w:p>
          <w:p w14:paraId="01226918">
            <w:pPr>
              <w:shd w:val="clear"/>
              <w:jc w:val="center"/>
              <w:rPr>
                <w:rFonts w:hint="eastAsia" w:ascii="仿宋" w:hAnsi="仿宋" w:eastAsia="仿宋" w:cs="仿宋"/>
                <w:sz w:val="24"/>
                <w:highlight w:val="none"/>
              </w:rPr>
            </w:pPr>
            <w:r>
              <w:rPr>
                <w:rFonts w:hint="eastAsia" w:ascii="仿宋" w:hAnsi="仿宋" w:eastAsia="仿宋" w:cs="仿宋"/>
                <w:sz w:val="24"/>
                <w:highlight w:val="none"/>
              </w:rPr>
              <w:t>位</w:t>
            </w:r>
          </w:p>
          <w:p w14:paraId="2026662F">
            <w:pPr>
              <w:shd w:val="clear"/>
              <w:jc w:val="center"/>
              <w:rPr>
                <w:rFonts w:hint="eastAsia" w:ascii="仿宋" w:hAnsi="仿宋" w:eastAsia="仿宋" w:cs="仿宋"/>
                <w:sz w:val="24"/>
                <w:highlight w:val="none"/>
              </w:rPr>
            </w:pPr>
            <w:r>
              <w:rPr>
                <w:rFonts w:hint="eastAsia" w:ascii="仿宋" w:hAnsi="仿宋" w:eastAsia="仿宋" w:cs="仿宋"/>
                <w:sz w:val="24"/>
                <w:highlight w:val="none"/>
              </w:rPr>
              <w:t>意</w:t>
            </w:r>
          </w:p>
          <w:p w14:paraId="7C2ACFD8">
            <w:pPr>
              <w:shd w:val="clear"/>
              <w:jc w:val="center"/>
              <w:rPr>
                <w:rFonts w:hint="eastAsia" w:ascii="仿宋" w:hAnsi="仿宋" w:eastAsia="仿宋" w:cs="仿宋"/>
                <w:sz w:val="24"/>
                <w:highlight w:val="none"/>
              </w:rPr>
            </w:pPr>
            <w:r>
              <w:rPr>
                <w:rFonts w:hint="eastAsia" w:ascii="仿宋" w:hAnsi="仿宋" w:eastAsia="仿宋" w:cs="仿宋"/>
                <w:sz w:val="24"/>
                <w:highlight w:val="none"/>
              </w:rPr>
              <w:t>见</w:t>
            </w:r>
          </w:p>
        </w:tc>
        <w:tc>
          <w:tcPr>
            <w:tcW w:w="7462" w:type="dxa"/>
          </w:tcPr>
          <w:p w14:paraId="117494B5">
            <w:pPr>
              <w:shd w:val="clear"/>
              <w:rPr>
                <w:rFonts w:hint="eastAsia" w:ascii="仿宋" w:hAnsi="仿宋" w:eastAsia="仿宋" w:cs="仿宋"/>
                <w:sz w:val="24"/>
                <w:highlight w:val="none"/>
              </w:rPr>
            </w:pPr>
            <w:r>
              <w:rPr>
                <w:rFonts w:hint="eastAsia" w:ascii="仿宋" w:hAnsi="仿宋" w:eastAsia="仿宋" w:cs="仿宋"/>
                <w:sz w:val="24"/>
                <w:highlight w:val="none"/>
              </w:rPr>
              <w:t>（退付意见：是否同意退付履约保证金）</w:t>
            </w:r>
          </w:p>
          <w:p w14:paraId="4079AFF5">
            <w:pPr>
              <w:shd w:val="clear"/>
              <w:spacing w:line="420" w:lineRule="exact"/>
              <w:rPr>
                <w:rFonts w:hint="eastAsia" w:ascii="仿宋" w:hAnsi="仿宋" w:eastAsia="仿宋" w:cs="仿宋"/>
                <w:sz w:val="24"/>
                <w:highlight w:val="none"/>
              </w:rPr>
            </w:pPr>
          </w:p>
          <w:p w14:paraId="1760196E">
            <w:pPr>
              <w:shd w:val="clear"/>
              <w:spacing w:line="420" w:lineRule="exact"/>
              <w:rPr>
                <w:rFonts w:hint="eastAsia" w:ascii="仿宋" w:hAnsi="仿宋" w:eastAsia="仿宋" w:cs="仿宋"/>
                <w:sz w:val="24"/>
                <w:highlight w:val="none"/>
              </w:rPr>
            </w:pPr>
            <w:r>
              <w:rPr>
                <w:rFonts w:hint="eastAsia" w:ascii="仿宋" w:hAnsi="仿宋" w:eastAsia="仿宋" w:cs="仿宋"/>
                <w:sz w:val="24"/>
                <w:highlight w:val="none"/>
              </w:rPr>
              <w:t>项目负责人意见：</w:t>
            </w:r>
          </w:p>
          <w:p w14:paraId="5CBC591E">
            <w:pPr>
              <w:shd w:val="clear"/>
              <w:spacing w:line="420" w:lineRule="exact"/>
              <w:rPr>
                <w:rFonts w:hint="eastAsia" w:ascii="仿宋" w:hAnsi="仿宋" w:eastAsia="仿宋" w:cs="仿宋"/>
                <w:sz w:val="24"/>
                <w:highlight w:val="none"/>
              </w:rPr>
            </w:pPr>
          </w:p>
          <w:p w14:paraId="40B3AAAA">
            <w:pPr>
              <w:shd w:val="clear"/>
              <w:spacing w:line="420" w:lineRule="exact"/>
              <w:rPr>
                <w:rFonts w:hint="eastAsia" w:ascii="仿宋" w:hAnsi="仿宋" w:eastAsia="仿宋" w:cs="仿宋"/>
                <w:sz w:val="24"/>
                <w:highlight w:val="none"/>
              </w:rPr>
            </w:pPr>
            <w:r>
              <w:rPr>
                <w:rFonts w:hint="eastAsia" w:ascii="仿宋" w:hAnsi="仿宋" w:eastAsia="仿宋" w:cs="仿宋"/>
                <w:sz w:val="24"/>
                <w:highlight w:val="none"/>
              </w:rPr>
              <w:t>联系人及电话：</w:t>
            </w:r>
          </w:p>
          <w:p w14:paraId="47A722A2">
            <w:pPr>
              <w:shd w:val="clear"/>
              <w:rPr>
                <w:rFonts w:hint="eastAsia" w:ascii="仿宋" w:hAnsi="仿宋" w:eastAsia="仿宋" w:cs="仿宋"/>
                <w:sz w:val="24"/>
                <w:highlight w:val="none"/>
              </w:rPr>
            </w:pPr>
          </w:p>
          <w:p w14:paraId="71E889C0">
            <w:pPr>
              <w:shd w:val="clear"/>
              <w:rPr>
                <w:rFonts w:hint="eastAsia" w:ascii="仿宋" w:hAnsi="仿宋" w:eastAsia="仿宋" w:cs="仿宋"/>
                <w:sz w:val="24"/>
                <w:highlight w:val="none"/>
              </w:rPr>
            </w:pPr>
            <w:r>
              <w:rPr>
                <w:rFonts w:hint="eastAsia" w:ascii="仿宋" w:hAnsi="仿宋" w:eastAsia="仿宋" w:cs="仿宋"/>
                <w:sz w:val="24"/>
                <w:highlight w:val="none"/>
              </w:rPr>
              <w:t xml:space="preserve">                                单位（签章）：</w:t>
            </w:r>
          </w:p>
          <w:p w14:paraId="00F96FFB">
            <w:pPr>
              <w:shd w:val="clear"/>
              <w:spacing w:line="420" w:lineRule="exact"/>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tc>
      </w:tr>
      <w:tr w14:paraId="1D56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588" w:type="dxa"/>
            <w:vAlign w:val="center"/>
          </w:tcPr>
          <w:p w14:paraId="3262C1B0">
            <w:pPr>
              <w:shd w:val="clear"/>
              <w:jc w:val="center"/>
              <w:rPr>
                <w:rFonts w:hint="eastAsia" w:ascii="仿宋" w:hAnsi="仿宋" w:eastAsia="仿宋" w:cs="仿宋"/>
                <w:sz w:val="24"/>
                <w:highlight w:val="none"/>
              </w:rPr>
            </w:pPr>
            <w:r>
              <w:rPr>
                <w:rFonts w:hint="eastAsia" w:ascii="仿宋" w:hAnsi="仿宋" w:eastAsia="仿宋" w:cs="仿宋"/>
                <w:sz w:val="24"/>
                <w:highlight w:val="none"/>
              </w:rPr>
              <w:t>国有资产与实验室管理处(招标与采购管理中心)意见</w:t>
            </w:r>
          </w:p>
        </w:tc>
        <w:tc>
          <w:tcPr>
            <w:tcW w:w="7462" w:type="dxa"/>
          </w:tcPr>
          <w:p w14:paraId="11AD3ECD">
            <w:pPr>
              <w:shd w:val="clear"/>
              <w:rPr>
                <w:rFonts w:hint="eastAsia" w:ascii="仿宋" w:hAnsi="仿宋" w:eastAsia="仿宋" w:cs="仿宋"/>
                <w:sz w:val="24"/>
                <w:highlight w:val="none"/>
              </w:rPr>
            </w:pPr>
          </w:p>
          <w:p w14:paraId="3E4F0B59">
            <w:pPr>
              <w:shd w:val="clear"/>
              <w:rPr>
                <w:rFonts w:hint="eastAsia" w:ascii="仿宋" w:hAnsi="仿宋" w:eastAsia="仿宋" w:cs="仿宋"/>
                <w:sz w:val="24"/>
                <w:highlight w:val="none"/>
              </w:rPr>
            </w:pPr>
          </w:p>
          <w:p w14:paraId="79733D1B">
            <w:pPr>
              <w:shd w:val="clear"/>
              <w:rPr>
                <w:rFonts w:hint="eastAsia" w:ascii="仿宋" w:hAnsi="仿宋" w:eastAsia="仿宋" w:cs="仿宋"/>
                <w:sz w:val="24"/>
                <w:highlight w:val="none"/>
              </w:rPr>
            </w:pPr>
          </w:p>
          <w:p w14:paraId="54FC249A">
            <w:pPr>
              <w:shd w:val="clear"/>
              <w:rPr>
                <w:rFonts w:hint="eastAsia" w:ascii="仿宋" w:hAnsi="仿宋" w:eastAsia="仿宋" w:cs="仿宋"/>
                <w:sz w:val="24"/>
                <w:highlight w:val="none"/>
              </w:rPr>
            </w:pPr>
          </w:p>
          <w:p w14:paraId="68150215">
            <w:pPr>
              <w:shd w:val="clea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08FDCD2E">
            <w:pPr>
              <w:shd w:val="clear"/>
              <w:rPr>
                <w:rFonts w:hint="eastAsia" w:ascii="仿宋" w:hAnsi="仿宋" w:eastAsia="仿宋" w:cs="仿宋"/>
                <w:sz w:val="24"/>
                <w:highlight w:val="none"/>
              </w:rPr>
            </w:pPr>
          </w:p>
          <w:p w14:paraId="0BB50042">
            <w:pPr>
              <w:shd w:val="clear"/>
              <w:ind w:firstLine="3840" w:firstLineChars="1600"/>
              <w:rPr>
                <w:rFonts w:hint="eastAsia" w:ascii="仿宋" w:hAnsi="仿宋" w:eastAsia="仿宋" w:cs="仿宋"/>
                <w:sz w:val="24"/>
                <w:highlight w:val="none"/>
              </w:rPr>
            </w:pPr>
            <w:r>
              <w:rPr>
                <w:rFonts w:hint="eastAsia" w:ascii="仿宋" w:hAnsi="仿宋" w:eastAsia="仿宋" w:cs="仿宋"/>
                <w:sz w:val="24"/>
                <w:highlight w:val="none"/>
              </w:rPr>
              <w:t>单位（签章）：</w:t>
            </w:r>
          </w:p>
          <w:p w14:paraId="39D78D56">
            <w:pPr>
              <w:shd w:val="clea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tc>
      </w:tr>
    </w:tbl>
    <w:p w14:paraId="075543B7">
      <w:pPr>
        <w:shd w:val="clear"/>
        <w:snapToGrid w:val="0"/>
        <w:jc w:val="center"/>
        <w:rPr>
          <w:rFonts w:hint="eastAsia" w:ascii="仿宋" w:hAnsi="仿宋" w:eastAsia="仿宋" w:cs="仿宋"/>
          <w:bCs/>
          <w:sz w:val="32"/>
          <w:szCs w:val="32"/>
          <w:highlight w:val="none"/>
        </w:rPr>
      </w:pPr>
    </w:p>
    <w:p w14:paraId="2D425B50">
      <w:pPr>
        <w:shd w:val="clear"/>
        <w:rPr>
          <w:rFonts w:hint="eastAsia" w:ascii="仿宋" w:hAnsi="仿宋" w:eastAsia="仿宋" w:cs="仿宋"/>
          <w:highlight w:val="none"/>
        </w:rPr>
      </w:pPr>
      <w:r>
        <w:rPr>
          <w:rFonts w:hint="eastAsia" w:ascii="仿宋" w:hAnsi="仿宋" w:eastAsia="仿宋" w:cs="仿宋"/>
          <w:highlight w:val="none"/>
        </w:rPr>
        <w:br w:type="page"/>
      </w:r>
    </w:p>
    <w:p w14:paraId="34832833">
      <w:pPr>
        <w:shd w:val="clear"/>
        <w:jc w:val="center"/>
        <w:rPr>
          <w:rFonts w:hint="default"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广西大学货物和服务采购合同</w:t>
      </w:r>
    </w:p>
    <w:p w14:paraId="1CD4846F">
      <w:pPr>
        <w:shd w:val="clear"/>
        <w:jc w:val="center"/>
        <w:rPr>
          <w:rFonts w:hint="default"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履约验收管理办法</w:t>
      </w:r>
    </w:p>
    <w:p w14:paraId="28029C96">
      <w:pPr>
        <w:pStyle w:val="26"/>
        <w:shd w:val="clear"/>
        <w:spacing w:before="0" w:beforeLines="0" w:beforeAutospacing="0" w:after="0" w:afterLines="0" w:afterAutospacing="0" w:line="360" w:lineRule="auto"/>
        <w:jc w:val="center"/>
        <w:rPr>
          <w:rFonts w:hint="default" w:ascii="Times New Roman" w:hAnsi="Times New Roman" w:cs="Times New Roman"/>
          <w:color w:val="000000"/>
          <w:sz w:val="24"/>
          <w:szCs w:val="24"/>
          <w:highlight w:val="none"/>
        </w:rPr>
      </w:pPr>
      <w:r>
        <w:rPr>
          <w:rFonts w:hint="eastAsia" w:ascii="楷体" w:hAnsi="楷体" w:eastAsia="楷体" w:cs="Times New Roman"/>
          <w:color w:val="000000"/>
          <w:sz w:val="24"/>
          <w:szCs w:val="24"/>
          <w:highlight w:val="none"/>
        </w:rPr>
        <w:t>（试行）</w:t>
      </w:r>
    </w:p>
    <w:p w14:paraId="60D7B55D">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default" w:ascii="Calibri" w:hAnsi="Calibri" w:eastAsia="仿宋" w:cs="Calibri"/>
          <w:color w:val="000000"/>
          <w:sz w:val="24"/>
          <w:szCs w:val="24"/>
          <w:highlight w:val="none"/>
        </w:rPr>
        <w:t> </w:t>
      </w:r>
    </w:p>
    <w:p w14:paraId="4A7E1249">
      <w:pPr>
        <w:pStyle w:val="26"/>
        <w:shd w:val="clear"/>
        <w:spacing w:before="0" w:beforeLines="0" w:beforeAutospacing="0" w:after="0" w:afterLines="0" w:afterAutospacing="0" w:line="360" w:lineRule="auto"/>
        <w:jc w:val="center"/>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第一章</w:t>
      </w:r>
      <w:r>
        <w:rPr>
          <w:rFonts w:hint="eastAsia" w:cs="Times New Roman"/>
          <w:color w:val="000000"/>
          <w:sz w:val="24"/>
          <w:szCs w:val="24"/>
          <w:highlight w:val="none"/>
        </w:rPr>
        <w:t>　</w:t>
      </w:r>
      <w:r>
        <w:rPr>
          <w:rFonts w:hint="eastAsia" w:ascii="黑体" w:hAnsi="黑体" w:eastAsia="黑体" w:cs="Times New Roman"/>
          <w:color w:val="000000"/>
          <w:sz w:val="24"/>
          <w:szCs w:val="24"/>
          <w:highlight w:val="none"/>
        </w:rPr>
        <w:t>总则</w:t>
      </w:r>
    </w:p>
    <w:p w14:paraId="60ECEF3E">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default" w:ascii="Calibri" w:hAnsi="Calibri" w:eastAsia="仿宋" w:cs="Calibri"/>
          <w:color w:val="000000"/>
          <w:sz w:val="24"/>
          <w:szCs w:val="24"/>
          <w:highlight w:val="none"/>
        </w:rPr>
        <w:t> </w:t>
      </w:r>
    </w:p>
    <w:p w14:paraId="6C7EC48B">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第一条　</w:t>
      </w:r>
      <w:r>
        <w:rPr>
          <w:rFonts w:hint="eastAsia" w:ascii="仿宋" w:hAnsi="仿宋" w:eastAsia="仿宋" w:cs="Times New Roman"/>
          <w:color w:val="000000"/>
          <w:sz w:val="24"/>
          <w:szCs w:val="24"/>
          <w:highlight w:val="none"/>
        </w:rPr>
        <w:t>为加强采购合同的履约管理，进一步规范学校货物、服务等采购项目履约验收工作，提高履约验收管理的科学化、规范化水平，保证采购项目质量，维护学校合法权益，根据《财政部关于进一步加强政府采购需求和履约验收管理的指导意见》（财库〔2016〕205号）、《广西壮族自治区政府采购项目履约验收管理办法》（桂财采〔2015〕22号）、《广西大学项目采购和建设关键环节“1+15责任人”监督管理办法》等相关规定，结合学校实际，制定本办法。</w:t>
      </w:r>
    </w:p>
    <w:p w14:paraId="7A7F604F">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第二条　</w:t>
      </w:r>
      <w:r>
        <w:rPr>
          <w:rFonts w:hint="eastAsia" w:ascii="仿宋" w:hAnsi="仿宋" w:eastAsia="仿宋" w:cs="Times New Roman"/>
          <w:color w:val="000000"/>
          <w:sz w:val="24"/>
          <w:szCs w:val="24"/>
          <w:highlight w:val="none"/>
        </w:rPr>
        <w:t>本办法适用于纳入学校管理的资金采购的货物、服务项目的履约验收管理工作。</w:t>
      </w:r>
    </w:p>
    <w:p w14:paraId="0EE54354">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本办法所称采购合同履约验收，是指学校对中标或成交供应商（以下简称“供应商”）提供的货物、服务进行现场检验和评估，以确认其是否符合采购合同约定的标准和参数要求。</w:t>
      </w:r>
    </w:p>
    <w:p w14:paraId="300766C7">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第三条　</w:t>
      </w:r>
      <w:r>
        <w:rPr>
          <w:rFonts w:hint="eastAsia" w:ascii="仿宋" w:hAnsi="仿宋" w:eastAsia="仿宋" w:cs="Times New Roman"/>
          <w:color w:val="000000"/>
          <w:sz w:val="24"/>
          <w:szCs w:val="24"/>
          <w:highlight w:val="none"/>
        </w:rPr>
        <w:t>学校履约验收工作坚持统一管理、权责明确、多方参与、信息公开、相互监督的原则。</w:t>
      </w:r>
    </w:p>
    <w:p w14:paraId="5E08F0C1">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第四条　</w:t>
      </w:r>
      <w:r>
        <w:rPr>
          <w:rFonts w:hint="eastAsia" w:ascii="仿宋" w:hAnsi="仿宋" w:eastAsia="仿宋" w:cs="Times New Roman"/>
          <w:color w:val="000000"/>
          <w:sz w:val="24"/>
          <w:szCs w:val="24"/>
          <w:highlight w:val="none"/>
        </w:rPr>
        <w:t>履约验收工作的直接依据是采购合同。项目申购单位和供应商应完全履行采购合同，任何一方不得擅自变更、中止或终止合同履行；确需变更、中止或终止合同的，按照国家相关法规和程序办理。</w:t>
      </w:r>
    </w:p>
    <w:p w14:paraId="23722B04">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第五条　</w:t>
      </w:r>
      <w:r>
        <w:rPr>
          <w:rFonts w:hint="eastAsia" w:ascii="仿宋" w:hAnsi="仿宋" w:eastAsia="仿宋" w:cs="Times New Roman"/>
          <w:color w:val="000000"/>
          <w:sz w:val="24"/>
          <w:szCs w:val="24"/>
          <w:highlight w:val="none"/>
        </w:rPr>
        <w:t>标的额100万元以上的货物、服务采购项目，履约验收由国有资产与实验室管理处（以下简称国实处）按《广西大学项目采购和建设关键环节“1+15责任人”监督管理办法》组织开展。</w:t>
      </w:r>
    </w:p>
    <w:p w14:paraId="3BF3EECF">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第六条　</w:t>
      </w:r>
      <w:r>
        <w:rPr>
          <w:rFonts w:hint="eastAsia" w:ascii="仿宋" w:hAnsi="仿宋" w:eastAsia="仿宋" w:cs="Times New Roman"/>
          <w:color w:val="000000"/>
          <w:sz w:val="24"/>
          <w:szCs w:val="24"/>
          <w:highlight w:val="none"/>
        </w:rPr>
        <w:t>国家有强制性检验标准和要求的项目，按国家有关规定执行。</w:t>
      </w:r>
    </w:p>
    <w:p w14:paraId="3675E660">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default" w:ascii="Calibri" w:hAnsi="Calibri" w:eastAsia="仿宋" w:cs="Calibri"/>
          <w:color w:val="000000"/>
          <w:sz w:val="24"/>
          <w:szCs w:val="24"/>
          <w:highlight w:val="none"/>
        </w:rPr>
        <w:t> </w:t>
      </w:r>
    </w:p>
    <w:p w14:paraId="3FDF2C6D">
      <w:pPr>
        <w:pStyle w:val="26"/>
        <w:shd w:val="clear"/>
        <w:spacing w:before="0" w:beforeLines="0" w:beforeAutospacing="0" w:after="0" w:afterLines="0" w:afterAutospacing="0" w:line="360" w:lineRule="auto"/>
        <w:jc w:val="center"/>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第二章　履约验收组织方式</w:t>
      </w:r>
    </w:p>
    <w:p w14:paraId="2FE44CB6">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default" w:ascii="Calibri" w:hAnsi="Calibri" w:eastAsia="仿宋" w:cs="Calibri"/>
          <w:color w:val="000000"/>
          <w:sz w:val="24"/>
          <w:szCs w:val="24"/>
          <w:highlight w:val="none"/>
        </w:rPr>
        <w:t> </w:t>
      </w:r>
    </w:p>
    <w:p w14:paraId="3290A7DA">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第七条　</w:t>
      </w:r>
      <w:r>
        <w:rPr>
          <w:rFonts w:hint="eastAsia" w:ascii="仿宋" w:hAnsi="仿宋" w:eastAsia="仿宋" w:cs="Times New Roman"/>
          <w:color w:val="000000"/>
          <w:sz w:val="24"/>
          <w:szCs w:val="24"/>
          <w:highlight w:val="none"/>
        </w:rPr>
        <w:t>履约验收组织方式分为部门自行验收和学校组织验收。</w:t>
      </w:r>
    </w:p>
    <w:p w14:paraId="3213894B">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（一）部门自行验收，是指由项目申购单位自行组建验收小组对标的额100万元以下的项目进行履约验收。</w:t>
      </w:r>
    </w:p>
    <w:p w14:paraId="387A0C64">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（二）学校组织验收，是指由国实处组建验收小组，对标的额100万元以上的项目进行履约验收。</w:t>
      </w:r>
    </w:p>
    <w:p w14:paraId="730A5384">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三）特殊仪器设备和技术复杂项目，国实处可委托国家认可的质量检测机构进行履约验收。受委托的专业机构应在受托事项范围内开展验收工作、协调解决验收中出现的问题，供应商履约若有异常或失信行为，应及时向国实处反映。</w:t>
      </w:r>
    </w:p>
    <w:p w14:paraId="7F054A3E">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第八条　</w:t>
      </w:r>
      <w:r>
        <w:rPr>
          <w:rFonts w:hint="eastAsia" w:ascii="仿宋" w:hAnsi="仿宋" w:eastAsia="仿宋" w:cs="Times New Roman"/>
          <w:color w:val="000000"/>
          <w:sz w:val="24"/>
          <w:szCs w:val="24"/>
          <w:highlight w:val="none"/>
        </w:rPr>
        <w:t>验收小组成员构成</w:t>
      </w:r>
    </w:p>
    <w:p w14:paraId="1BE32C59">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（一）部门自行验收</w:t>
      </w:r>
    </w:p>
    <w:p w14:paraId="51D03293">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1.标的额10万元以下的货物、服务项目，验收小组由项目申购单位负责资产管理、项目使用、监督的3名工作人员组成。</w:t>
      </w:r>
    </w:p>
    <w:p w14:paraId="3A45644E">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2.标的额10万元以上40万元以下的货物、服务项目，验收小组由3名项目相关专业具有副高以上职称人员组成，必要时可邀请校外同业公司或同一项目未中标公司专业技术人员参加。</w:t>
      </w:r>
    </w:p>
    <w:p w14:paraId="24298539">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3.标的额40万元以上100万元以下的货物、服务项目，验收小组由2名本单位副高以上职称人员和3名非本单位专家组成（必要时可请校外同业公司或同一项目未中标公司1名具有中级以上职称的专业技术人员参与验收，其余专家要求具有副高以上职称）。</w:t>
      </w:r>
    </w:p>
    <w:p w14:paraId="40AC5D4C">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（二）学校组织验收</w:t>
      </w:r>
    </w:p>
    <w:p w14:paraId="5A6252EF">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1.验收小组成员不少于5人，其中熟悉掌握该项目技术的专家不少于2人，且具有副高以上职称；必要时可请校外同业公司或同一项目未中标公司1名具有中级以上职称的专业技术人员参与验收；</w:t>
      </w:r>
    </w:p>
    <w:p w14:paraId="2941BF93">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2.验收小组成员中，项目申购单位人员不少于2人，且具有副高以上职称；</w:t>
      </w:r>
    </w:p>
    <w:p w14:paraId="2FEA0F59">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3.医疗器械类项目应邀请至少1名医疗专家参与验收；</w:t>
      </w:r>
    </w:p>
    <w:p w14:paraId="1B441433">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4.数据库、图书教材、学生学习生活用货物、教职工教学生活及福利类货物项目，应邀请本校教职工或学生代表参与验收；</w:t>
      </w:r>
    </w:p>
    <w:p w14:paraId="0A4EB287">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5.实验室改造项目，应邀请后勤基建处、保卫处参与验收；</w:t>
      </w:r>
    </w:p>
    <w:p w14:paraId="2F518445">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6.公共服务类项目，应邀请服务对象参与验收。</w:t>
      </w:r>
    </w:p>
    <w:p w14:paraId="6A66B5ED">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default" w:ascii="Calibri" w:hAnsi="Calibri" w:eastAsia="仿宋" w:cs="Calibri"/>
          <w:color w:val="000000"/>
          <w:sz w:val="24"/>
          <w:szCs w:val="24"/>
          <w:highlight w:val="none"/>
        </w:rPr>
        <w:t> </w:t>
      </w:r>
    </w:p>
    <w:p w14:paraId="375526E6">
      <w:pPr>
        <w:pStyle w:val="26"/>
        <w:shd w:val="clear"/>
        <w:spacing w:before="0" w:beforeLines="0" w:beforeAutospacing="0" w:after="0" w:afterLines="0" w:afterAutospacing="0" w:line="360" w:lineRule="auto"/>
        <w:jc w:val="center"/>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第三章　履约验收工作职责</w:t>
      </w:r>
    </w:p>
    <w:p w14:paraId="6FFABD28">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default" w:ascii="Calibri" w:hAnsi="Calibri" w:eastAsia="仿宋" w:cs="Calibri"/>
          <w:color w:val="000000"/>
          <w:sz w:val="24"/>
          <w:szCs w:val="24"/>
          <w:highlight w:val="none"/>
        </w:rPr>
        <w:t> </w:t>
      </w:r>
    </w:p>
    <w:p w14:paraId="6740B377">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第九条　</w:t>
      </w:r>
      <w:r>
        <w:rPr>
          <w:rFonts w:hint="eastAsia" w:ascii="仿宋" w:hAnsi="仿宋" w:eastAsia="仿宋" w:cs="Times New Roman"/>
          <w:color w:val="000000"/>
          <w:sz w:val="24"/>
          <w:szCs w:val="24"/>
          <w:highlight w:val="none"/>
        </w:rPr>
        <w:t>国实处作为学校采购项目履约验收的归口管理部门，履行如下职责</w:t>
      </w:r>
    </w:p>
    <w:p w14:paraId="3ECD2C46">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（一）贯彻国家和地方政府履约验收相关法律法规，建立健全学校履约验收管理规章制度和工作流程；对学校履约验收工作进行管理和监督。</w:t>
      </w:r>
    </w:p>
    <w:p w14:paraId="4250A1E6">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（二）编制履约验收材料模板，组织标的额100万元以上项目履约验收工作。</w:t>
      </w:r>
    </w:p>
    <w:p w14:paraId="27C18071">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（三）指导、协助项目申购单位做好履约验收工作，审核验收前各单位提供的履约验收材料。</w:t>
      </w:r>
    </w:p>
    <w:p w14:paraId="124EF306">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（四）归集、整理、存档学校组织验收项目的相关验收材料。</w:t>
      </w:r>
    </w:p>
    <w:p w14:paraId="3C41C85E">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（五）履约验收专家库的建设与管理。</w:t>
      </w:r>
    </w:p>
    <w:p w14:paraId="53F16216">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（六）对部门自行验收的项目，采用抽查等方式进行监督复核。</w:t>
      </w:r>
    </w:p>
    <w:p w14:paraId="6A459EB2">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（七）向校监督部门及招采中心反映供应商的违约失信行为。</w:t>
      </w:r>
    </w:p>
    <w:p w14:paraId="403E6F9B">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第十条　</w:t>
      </w:r>
      <w:r>
        <w:rPr>
          <w:rFonts w:hint="eastAsia" w:ascii="仿宋" w:hAnsi="仿宋" w:eastAsia="仿宋" w:cs="Times New Roman"/>
          <w:color w:val="000000"/>
          <w:sz w:val="24"/>
          <w:szCs w:val="24"/>
          <w:highlight w:val="none"/>
        </w:rPr>
        <w:t>项目申购单位作为采购项目履约验收的主要责任部门，履行如下职责</w:t>
      </w:r>
    </w:p>
    <w:p w14:paraId="0DBB5AE5">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（一）负责组织本单位标的额100万元以下的货物、服务项目验收工作，按照采购合同要求，对采购标的、供应商履约等情况进行全面验收。并将验收结果及时报国实处备案。</w:t>
      </w:r>
    </w:p>
    <w:p w14:paraId="7C656DA9">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（二）负责组织本单位标的额100万元以上的货物、服务项目预验收工作，将预验收结果、相关验收材料报国实处审核。</w:t>
      </w:r>
    </w:p>
    <w:p w14:paraId="6D419F6F">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（三）配合国实处组织履约验收小组开展履约验收工作，配合做好验收整改工作（若有）。</w:t>
      </w:r>
    </w:p>
    <w:p w14:paraId="7942669F">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（四）负责整理、归档本单位履约验收材料，按规定及时办理资产入库登记、报账审计、支付合同款请款、报账等后续工作。</w:t>
      </w:r>
    </w:p>
    <w:p w14:paraId="0CB20F4C">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第十一条　</w:t>
      </w:r>
      <w:r>
        <w:rPr>
          <w:rFonts w:hint="eastAsia" w:ascii="仿宋" w:hAnsi="仿宋" w:eastAsia="仿宋" w:cs="Times New Roman"/>
          <w:color w:val="000000"/>
          <w:sz w:val="24"/>
          <w:szCs w:val="24"/>
          <w:highlight w:val="none"/>
        </w:rPr>
        <w:t>履约验收小组作为履约验收工作执行主体，履行如下职责</w:t>
      </w:r>
    </w:p>
    <w:p w14:paraId="741FB212">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（一）坚持秉公办事、廉洁自律的原则，独立、客观、公正地提出履约验收意见。</w:t>
      </w:r>
    </w:p>
    <w:p w14:paraId="22761414">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（二）对供应商提供的货物、服务按照采购合同所列清单、参数逐条核对，并做好合同约定的各项质量、技术、服务、安全标准和履约情况的验收记录。</w:t>
      </w:r>
    </w:p>
    <w:p w14:paraId="793BFF1B">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（三）在验收中发现存在不符合合同约定情形的，应在验收报告中注明具体违约情形，并告知项目申购单位。供应商整改后，重新开展验收。</w:t>
      </w:r>
    </w:p>
    <w:p w14:paraId="335D47FE">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（四）在验收过程中发现供应商存在违法违规、违约失信行为的，应及时向国实处及招采中心报告。</w:t>
      </w:r>
    </w:p>
    <w:p w14:paraId="4A6AFDD4">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第十二条　</w:t>
      </w:r>
      <w:r>
        <w:rPr>
          <w:rFonts w:hint="eastAsia" w:ascii="仿宋" w:hAnsi="仿宋" w:eastAsia="仿宋" w:cs="Times New Roman"/>
          <w:color w:val="000000"/>
          <w:sz w:val="24"/>
          <w:szCs w:val="24"/>
          <w:highlight w:val="none"/>
        </w:rPr>
        <w:t>校务督查办公室（以下简称督查办）依法对学校采购项目验收工作进行监督。</w:t>
      </w:r>
    </w:p>
    <w:p w14:paraId="63810D6B">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default" w:ascii="Calibri" w:hAnsi="Calibri" w:eastAsia="仿宋" w:cs="Calibri"/>
          <w:color w:val="000000"/>
          <w:sz w:val="24"/>
          <w:szCs w:val="24"/>
          <w:highlight w:val="none"/>
        </w:rPr>
        <w:t> </w:t>
      </w:r>
    </w:p>
    <w:p w14:paraId="3215BADD">
      <w:pPr>
        <w:pStyle w:val="26"/>
        <w:shd w:val="clear"/>
        <w:spacing w:before="0" w:beforeLines="0" w:beforeAutospacing="0" w:after="0" w:afterLines="0" w:afterAutospacing="0" w:line="360" w:lineRule="auto"/>
        <w:jc w:val="center"/>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第四章　履约验收流程</w:t>
      </w:r>
    </w:p>
    <w:p w14:paraId="41AC1D9D">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default" w:ascii="Calibri" w:hAnsi="Calibri" w:eastAsia="仿宋" w:cs="Calibri"/>
          <w:color w:val="000000"/>
          <w:sz w:val="24"/>
          <w:szCs w:val="24"/>
          <w:highlight w:val="none"/>
        </w:rPr>
        <w:t> </w:t>
      </w:r>
    </w:p>
    <w:p w14:paraId="775C8EBE">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第十三条　</w:t>
      </w:r>
      <w:r>
        <w:rPr>
          <w:rFonts w:hint="eastAsia" w:ascii="仿宋" w:hAnsi="仿宋" w:eastAsia="仿宋" w:cs="Times New Roman"/>
          <w:color w:val="000000"/>
          <w:sz w:val="24"/>
          <w:szCs w:val="24"/>
          <w:highlight w:val="none"/>
        </w:rPr>
        <w:t>部门自行验收按以下程序和要求执行</w:t>
      </w:r>
    </w:p>
    <w:p w14:paraId="0457E8CD">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（一）供应商履约完成后，书面向申购单位提出验收申请。项目申购单位应在五个工作日内组建验收小组按合同要求对标的进行验收。</w:t>
      </w:r>
    </w:p>
    <w:p w14:paraId="46F80F79">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二）验收未通过的，项目申购单位应及时对接供应商，并根据实际情况出具书面整改告知函，要求供应商限期整改，整改完成后重新组织履约验收。整改后仍不能通过验收的，申购单位两个工作日内将验收报告上报国实处，国实处依合同相关规定处理；合同没有规定的，申购单位商国实处和法务办依法依规处理。</w:t>
      </w:r>
    </w:p>
    <w:p w14:paraId="3B5B8751">
      <w:pPr>
        <w:pStyle w:val="26"/>
        <w:shd w:val="clear"/>
        <w:spacing w:before="0" w:beforeLines="0" w:beforeAutospacing="0" w:after="0" w:afterLines="0" w:afterAutospacing="0" w:line="360" w:lineRule="auto"/>
        <w:ind w:firstLine="640"/>
        <w:jc w:val="both"/>
        <w:rPr>
          <w:rFonts w:hint="eastAsia" w:ascii="仿宋" w:hAnsi="仿宋" w:eastAsia="仿宋"/>
          <w:color w:val="000000"/>
          <w:sz w:val="24"/>
          <w:szCs w:val="24"/>
          <w:highlight w:val="none"/>
        </w:rPr>
      </w:pPr>
      <w:r>
        <w:rPr>
          <w:rFonts w:hint="eastAsia" w:ascii="仿宋" w:hAnsi="仿宋" w:eastAsia="仿宋"/>
          <w:color w:val="000000"/>
          <w:sz w:val="24"/>
          <w:szCs w:val="24"/>
          <w:highlight w:val="none"/>
        </w:rPr>
        <w:t>（三）验收通过后，货物资产和无形资产须在学校资产管理系统上登记，单台套10万元以下的资产填写验收单，单台套10万元以上的资产填写验收报告，由验收小组全体成员及使用单位分管领导签字确认并加盖公章后，上传学校资产管理系统公示。</w:t>
      </w:r>
    </w:p>
    <w:p w14:paraId="706DE33F">
      <w:pPr>
        <w:pStyle w:val="26"/>
        <w:shd w:val="clear"/>
        <w:spacing w:before="0" w:beforeLines="0" w:beforeAutospacing="0" w:after="0" w:afterLines="0" w:afterAutospacing="0" w:line="360" w:lineRule="auto"/>
        <w:ind w:firstLine="640"/>
        <w:jc w:val="both"/>
        <w:rPr>
          <w:rFonts w:hint="eastAsia" w:ascii="仿宋" w:hAnsi="仿宋" w:eastAsia="仿宋"/>
          <w:color w:val="000000"/>
          <w:sz w:val="24"/>
          <w:szCs w:val="24"/>
          <w:highlight w:val="none"/>
        </w:rPr>
      </w:pPr>
      <w:r>
        <w:rPr>
          <w:rFonts w:hint="eastAsia" w:ascii="仿宋" w:hAnsi="仿宋" w:eastAsia="仿宋"/>
          <w:color w:val="000000"/>
          <w:sz w:val="24"/>
          <w:szCs w:val="24"/>
          <w:highlight w:val="none"/>
        </w:rPr>
        <w:t>（四）项目履约验收完成后，项目申购单位须在七个工作日内凭项目合同、履约验收报告、发票等材料到国实处办理资产入库手续。</w:t>
      </w:r>
    </w:p>
    <w:p w14:paraId="4B9CFD76">
      <w:pPr>
        <w:pStyle w:val="26"/>
        <w:shd w:val="clear"/>
        <w:spacing w:before="0" w:beforeLines="0" w:beforeAutospacing="0" w:after="0" w:afterLines="0" w:afterAutospacing="0" w:line="360" w:lineRule="auto"/>
        <w:ind w:firstLine="640"/>
        <w:jc w:val="both"/>
        <w:rPr>
          <w:rFonts w:hint="eastAsia"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第十四条　</w:t>
      </w:r>
      <w:r>
        <w:rPr>
          <w:rFonts w:hint="eastAsia" w:ascii="仿宋" w:hAnsi="仿宋" w:eastAsia="仿宋" w:cs="Times New Roman"/>
          <w:color w:val="000000"/>
          <w:sz w:val="24"/>
          <w:szCs w:val="24"/>
          <w:highlight w:val="none"/>
        </w:rPr>
        <w:t>学校组织验收按以下程序和要求执行</w:t>
      </w:r>
    </w:p>
    <w:p w14:paraId="003AAC27">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（一）供应商履约完成后，书面向申购单位提出验收申请。项目申购单位组建验收小组，并对标合同要求进行预验收。</w:t>
      </w:r>
    </w:p>
    <w:p w14:paraId="24C038A2">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二）预验收如不通过或供应商不履约的，项目申购单位应在两个工作日内将预验收报告及不履约情况反馈供应商，责令其限期整改。若双方协调不一致的，将情况及时上报国实处，国实处组织专家组验收。如验收不通过，国实处依合同相关规定处理；合同没有规定的，国实处商法务办依法依规处理。</w:t>
      </w:r>
    </w:p>
    <w:p w14:paraId="5032B62E">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（三）项目申购单位预验收通过后</w:t>
      </w:r>
    </w:p>
    <w:p w14:paraId="410DE69A">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1.货物资产和无形资产须在学校资产管理系统上登记，单台套10万元以下的仪器设备填写验收单；对单台套10万元以上的仪器设备填写验收报告，验收小组全体成员签字确认后，由使用单位主要领导签字盖章。</w:t>
      </w:r>
    </w:p>
    <w:p w14:paraId="702CE30D">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2.七个工作日内通过学校文件管理系统向国实处提交项目履约验收申请，并附上相关申请资料，包括但不限于“1+15责任人”签名表、合同、项目预验收清单、单位分管资产领导签字并加盖单位公章的验收单和验收报告等。</w:t>
      </w:r>
    </w:p>
    <w:p w14:paraId="270E43F0">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（四）国实处检查项目申购单位的验收资料，组建验收小组，召集项目申购单位、履约验收小组、督查办及供应商等相关人员参会，对整个项目进行履约验收。</w:t>
      </w:r>
    </w:p>
    <w:p w14:paraId="1648AD21">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（五）履约验收小组制定验收方案，对验收资料进行核实并现场核验，填写验收结论，验收小组全体成员在履约验收报告上签字确认后上传学校资产管理系统公示。</w:t>
      </w:r>
    </w:p>
    <w:p w14:paraId="2590B26E">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六）履约验收未通过的，国实处召集验收小组、项目申购单位、供应商协商，根据实际情况出具整改告知函，要求供应商限期整改，整改完成后重新组织验收。整改后仍不能通过验收的，依照合同相关约定处理；合同没有约定的，国实处商法务办依法依规处理。</w:t>
      </w:r>
    </w:p>
    <w:p w14:paraId="6AAEA253">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（七）项目履约验收完成后，项目申购单位应及时凭项目合同、履约验收报告、发票等材料到国实处办理资产入库手续。</w:t>
      </w:r>
    </w:p>
    <w:p w14:paraId="4B5A48B7">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第十五条　</w:t>
      </w:r>
      <w:r>
        <w:rPr>
          <w:rFonts w:hint="eastAsia" w:ascii="仿宋" w:hAnsi="仿宋" w:eastAsia="仿宋" w:cs="Times New Roman"/>
          <w:color w:val="000000"/>
          <w:sz w:val="24"/>
          <w:szCs w:val="24"/>
          <w:highlight w:val="none"/>
        </w:rPr>
        <w:t>项目申购单位应在合同约定期限内完成验收工作，如不能按时验收的，应及时向国实处提交延期验收说明。</w:t>
      </w:r>
    </w:p>
    <w:p w14:paraId="4CEF8370">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default" w:ascii="Calibri" w:hAnsi="Calibri" w:eastAsia="仿宋" w:cs="Calibri"/>
          <w:color w:val="000000"/>
          <w:sz w:val="24"/>
          <w:szCs w:val="24"/>
          <w:highlight w:val="none"/>
        </w:rPr>
        <w:t> </w:t>
      </w:r>
    </w:p>
    <w:p w14:paraId="7B16AEEA">
      <w:pPr>
        <w:pStyle w:val="26"/>
        <w:shd w:val="clear"/>
        <w:spacing w:before="0" w:beforeLines="0" w:beforeAutospacing="0" w:after="0" w:afterLines="0" w:afterAutospacing="0" w:line="360" w:lineRule="auto"/>
        <w:jc w:val="center"/>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第五章　履约验收工作要求</w:t>
      </w:r>
    </w:p>
    <w:p w14:paraId="2484A267">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default" w:ascii="Calibri" w:hAnsi="Calibri" w:eastAsia="仿宋" w:cs="Calibri"/>
          <w:color w:val="000000"/>
          <w:sz w:val="24"/>
          <w:szCs w:val="24"/>
          <w:highlight w:val="none"/>
        </w:rPr>
        <w:t> </w:t>
      </w:r>
    </w:p>
    <w:p w14:paraId="2C13B488">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第十六条　</w:t>
      </w:r>
      <w:r>
        <w:rPr>
          <w:rFonts w:hint="eastAsia" w:ascii="仿宋" w:hAnsi="仿宋" w:eastAsia="仿宋" w:cs="Times New Roman"/>
          <w:color w:val="000000"/>
          <w:sz w:val="24"/>
          <w:szCs w:val="24"/>
          <w:highlight w:val="none"/>
        </w:rPr>
        <w:t>货物类项目履约验收工作要求</w:t>
      </w:r>
    </w:p>
    <w:p w14:paraId="36103235">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（一）数量验收。核对采购标的清单数量、品牌、型号是否与合同相符。</w:t>
      </w:r>
    </w:p>
    <w:p w14:paraId="59DCDB8C">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（二）技术参数验收。对照采购合同清单，逐条核对采购参数，并通过设备调试（包括功能调试、技术指标调试、整机统调等）和仪器检测等方法，检查仪器设备的技术性能指标、技术质量是否满足合同要求。</w:t>
      </w:r>
    </w:p>
    <w:p w14:paraId="647F0A92">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（三）服务验收。核实供应商是否履行培训服务，培训材料和培训记录是否完备。</w:t>
      </w:r>
    </w:p>
    <w:p w14:paraId="12F90840">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（四）材料验收。检查产品合格证、说明书、保修单等是否齐备，合同中要求提供的第三方检测报告、国家强制性检验报告是否完整。</w:t>
      </w:r>
    </w:p>
    <w:p w14:paraId="681FDCEF">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第十七条　</w:t>
      </w:r>
      <w:r>
        <w:rPr>
          <w:rFonts w:hint="eastAsia" w:ascii="仿宋" w:hAnsi="仿宋" w:eastAsia="仿宋" w:cs="Times New Roman"/>
          <w:color w:val="000000"/>
          <w:sz w:val="24"/>
          <w:szCs w:val="24"/>
          <w:highlight w:val="none"/>
        </w:rPr>
        <w:t>服务类项目履约验收工作要求</w:t>
      </w:r>
    </w:p>
    <w:p w14:paraId="37D0DB52">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（一）服务质量验收。对标合同，逐条核查供应商的全部服务，不得缺失任何功能或内容。</w:t>
      </w:r>
    </w:p>
    <w:p w14:paraId="4D2B28BB">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（二）培训内容验收：核查供应商提供的培训内容，确保用户能够熟练使用。</w:t>
      </w:r>
    </w:p>
    <w:p w14:paraId="4443D2A2">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仿宋" w:hAnsi="仿宋" w:eastAsia="仿宋" w:cs="Times New Roman"/>
          <w:color w:val="000000"/>
          <w:sz w:val="24"/>
          <w:szCs w:val="24"/>
          <w:highlight w:val="none"/>
        </w:rPr>
        <w:t>（三）物业和维保服务类项目验收由项目申购单位根据项目特点对服务期内的实施情况进行考核，按季度将考核履约情况报国实处备案，国实处牵头成立履约验收小组不定时进行抽检。</w:t>
      </w:r>
    </w:p>
    <w:p w14:paraId="0CF38045">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default" w:ascii="Calibri" w:hAnsi="Calibri" w:eastAsia="仿宋" w:cs="Calibri"/>
          <w:color w:val="000000"/>
          <w:sz w:val="24"/>
          <w:szCs w:val="24"/>
          <w:highlight w:val="none"/>
        </w:rPr>
        <w:t> </w:t>
      </w:r>
    </w:p>
    <w:p w14:paraId="54B044E1">
      <w:pPr>
        <w:pStyle w:val="26"/>
        <w:shd w:val="clear"/>
        <w:spacing w:before="0" w:beforeLines="0" w:beforeAutospacing="0" w:after="0" w:afterLines="0" w:afterAutospacing="0" w:line="360" w:lineRule="auto"/>
        <w:jc w:val="center"/>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第六章　其他规定</w:t>
      </w:r>
    </w:p>
    <w:p w14:paraId="7A87488F">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default" w:ascii="Calibri" w:hAnsi="Calibri" w:eastAsia="仿宋" w:cs="Calibri"/>
          <w:color w:val="000000"/>
          <w:sz w:val="24"/>
          <w:szCs w:val="24"/>
          <w:highlight w:val="none"/>
        </w:rPr>
        <w:t> </w:t>
      </w:r>
    </w:p>
    <w:p w14:paraId="0D1064A7">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第十八条　</w:t>
      </w:r>
      <w:r>
        <w:rPr>
          <w:rFonts w:hint="eastAsia" w:ascii="仿宋" w:hAnsi="仿宋" w:eastAsia="仿宋" w:cs="Times New Roman"/>
          <w:color w:val="000000"/>
          <w:sz w:val="24"/>
          <w:szCs w:val="24"/>
          <w:highlight w:val="none"/>
        </w:rPr>
        <w:t>合同履约过程中，因客观原因确需变更的，应报学校审批通过后签订补充协议，履约验收小组按签订的补充协议予以验收。</w:t>
      </w:r>
    </w:p>
    <w:p w14:paraId="4F5FE29A">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第十九条　</w:t>
      </w:r>
      <w:r>
        <w:rPr>
          <w:rFonts w:hint="eastAsia" w:ascii="仿宋" w:hAnsi="仿宋" w:eastAsia="仿宋" w:cs="Times New Roman"/>
          <w:color w:val="000000"/>
          <w:sz w:val="24"/>
          <w:szCs w:val="24"/>
          <w:highlight w:val="none"/>
        </w:rPr>
        <w:t>国实处将验收结果（履约验收报告）在学校网站进行公示，公示期不得少于5个工作日。</w:t>
      </w:r>
    </w:p>
    <w:p w14:paraId="79EB0F83">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第二十条　</w:t>
      </w:r>
      <w:r>
        <w:rPr>
          <w:rFonts w:hint="eastAsia" w:ascii="仿宋" w:hAnsi="仿宋" w:eastAsia="仿宋" w:cs="Times New Roman"/>
          <w:color w:val="000000"/>
          <w:sz w:val="24"/>
          <w:szCs w:val="24"/>
          <w:highlight w:val="none"/>
        </w:rPr>
        <w:t>履约验收材料一式三份，项目申购单位、供应商、国实处各一份。项目申购单位、国实处将验收材料作为档案进行妥善保管，不得伪造、变造、隐匿或者销毁，履约验收材料保存期为采购结束之日起至少保存15年。</w:t>
      </w:r>
    </w:p>
    <w:p w14:paraId="6F92ADEE">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第二十一条　</w:t>
      </w:r>
      <w:r>
        <w:rPr>
          <w:rFonts w:hint="eastAsia" w:ascii="仿宋" w:hAnsi="仿宋" w:eastAsia="仿宋" w:cs="Times New Roman"/>
          <w:color w:val="000000"/>
          <w:sz w:val="24"/>
          <w:szCs w:val="24"/>
          <w:highlight w:val="none"/>
        </w:rPr>
        <w:t>履约验收费用。采购合同有约定的按照合同执行；合同无约定的，邀请专家及相关人员及检验等所产生的费用由学校承担，费用标准参照国家或自治区有关规定执行。国实处及督查办、项目申购单位等部门的工作人员不得获取劳务报酬。</w:t>
      </w:r>
    </w:p>
    <w:p w14:paraId="15B18F95">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第二十二条　</w:t>
      </w:r>
      <w:r>
        <w:rPr>
          <w:rFonts w:hint="eastAsia" w:ascii="仿宋" w:hAnsi="仿宋" w:eastAsia="仿宋" w:cs="Times New Roman"/>
          <w:color w:val="000000"/>
          <w:sz w:val="24"/>
          <w:szCs w:val="24"/>
          <w:highlight w:val="none"/>
        </w:rPr>
        <w:t>履约情况考核运用。采购项目验收结果及供应商履约情况的评价结论，是对供应商履约和诚信评价以及实施处罚的主要依据，履约验收材料应如实反映履约验收情况。</w:t>
      </w:r>
    </w:p>
    <w:p w14:paraId="53EEA029">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第二十三条　</w:t>
      </w:r>
      <w:r>
        <w:rPr>
          <w:rFonts w:hint="eastAsia" w:ascii="仿宋" w:hAnsi="仿宋" w:eastAsia="仿宋" w:cs="Times New Roman"/>
          <w:color w:val="000000"/>
          <w:sz w:val="24"/>
          <w:szCs w:val="24"/>
          <w:highlight w:val="none"/>
        </w:rPr>
        <w:t>采购合同、补充协议（若有）、验收材料等是申请支付合同款项的必备资料；验收合格后项目申购单位在15个工作日内完成资产入库登记，报账审计等工作，在收到发票后30个工作日内完成报账手续，按照合同约定支付合同款到合同约定的供应商账户。</w:t>
      </w:r>
    </w:p>
    <w:p w14:paraId="0B891D1A">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第二十四条　</w:t>
      </w:r>
      <w:r>
        <w:rPr>
          <w:rFonts w:hint="eastAsia" w:ascii="仿宋" w:hAnsi="仿宋" w:eastAsia="仿宋" w:cs="Times New Roman"/>
          <w:color w:val="000000"/>
          <w:sz w:val="24"/>
          <w:szCs w:val="24"/>
          <w:highlight w:val="none"/>
        </w:rPr>
        <w:t>办理资产验收、入库和报账等手续的人员必须是本校在编人员。报账凭据（含验收单、发票、报销凭证、固定资产入库单）必须由本校在编人员亲笔签名。</w:t>
      </w:r>
    </w:p>
    <w:p w14:paraId="4C04DB3B">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第二十五条　</w:t>
      </w:r>
      <w:r>
        <w:rPr>
          <w:rFonts w:hint="eastAsia" w:ascii="仿宋" w:hAnsi="仿宋" w:eastAsia="仿宋" w:cs="Times New Roman"/>
          <w:color w:val="000000"/>
          <w:sz w:val="24"/>
          <w:szCs w:val="24"/>
          <w:highlight w:val="none"/>
        </w:rPr>
        <w:t>在履约验收过程中，采购双方如果发生争议，经协商无效的，合同有约定的，按照合同约定的方式解决；合同未作约定的，按照《中华人民共和国民法典》规定处理。</w:t>
      </w:r>
    </w:p>
    <w:p w14:paraId="6DB3C170">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第二十六条　</w:t>
      </w:r>
      <w:r>
        <w:rPr>
          <w:rFonts w:hint="eastAsia" w:ascii="仿宋" w:hAnsi="仿宋" w:eastAsia="仿宋" w:cs="Times New Roman"/>
          <w:color w:val="000000"/>
          <w:sz w:val="24"/>
          <w:szCs w:val="24"/>
          <w:highlight w:val="none"/>
        </w:rPr>
        <w:t>履约验收小组成员、项目申购单位、国实处以及督查办等部门工作人员在验收过程中存在滥用职权、徇私舞弊、玩忽职守、出具虚假报告等违法违规行为的，依照有关规定追究相应责任。违反党纪政纪的，由相关部门给予党纪政务处分；涉嫌犯罪的，移送司法机关处理。</w:t>
      </w:r>
    </w:p>
    <w:p w14:paraId="4D4E58DE">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default" w:ascii="Calibri" w:hAnsi="Calibri" w:eastAsia="仿宋" w:cs="Calibri"/>
          <w:color w:val="000000"/>
          <w:sz w:val="24"/>
          <w:szCs w:val="24"/>
          <w:highlight w:val="none"/>
        </w:rPr>
        <w:t> </w:t>
      </w:r>
    </w:p>
    <w:p w14:paraId="6669F17D">
      <w:pPr>
        <w:pStyle w:val="26"/>
        <w:shd w:val="clear"/>
        <w:spacing w:before="0" w:beforeLines="0" w:beforeAutospacing="0" w:after="0" w:afterLines="0" w:afterAutospacing="0" w:line="360" w:lineRule="auto"/>
        <w:jc w:val="center"/>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第七章　附则</w:t>
      </w:r>
    </w:p>
    <w:p w14:paraId="44AD40FB">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default" w:ascii="Calibri" w:hAnsi="Calibri" w:eastAsia="仿宋" w:cs="Calibri"/>
          <w:color w:val="000000"/>
          <w:sz w:val="24"/>
          <w:szCs w:val="24"/>
          <w:highlight w:val="none"/>
        </w:rPr>
        <w:t> </w:t>
      </w:r>
    </w:p>
    <w:p w14:paraId="43B3A1B9">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第二十七条　</w:t>
      </w:r>
      <w:r>
        <w:rPr>
          <w:rFonts w:hint="eastAsia" w:ascii="仿宋" w:hAnsi="仿宋" w:eastAsia="仿宋" w:cs="Times New Roman"/>
          <w:color w:val="000000"/>
          <w:sz w:val="24"/>
          <w:szCs w:val="24"/>
          <w:highlight w:val="none"/>
        </w:rPr>
        <w:t>本办法所称的“以上”，包括本数；所称的“以下”不包括本数。</w:t>
      </w:r>
    </w:p>
    <w:p w14:paraId="217E56D8">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第二十八条　</w:t>
      </w:r>
      <w:r>
        <w:rPr>
          <w:rFonts w:hint="eastAsia" w:ascii="仿宋" w:hAnsi="仿宋" w:eastAsia="仿宋" w:cs="Times New Roman"/>
          <w:color w:val="000000"/>
          <w:sz w:val="24"/>
          <w:szCs w:val="24"/>
          <w:highlight w:val="none"/>
        </w:rPr>
        <w:t>本办法施行后，相关规定若与新的法律法规规章或上位规范性文件不一致的，以后者规定为准。</w:t>
      </w:r>
    </w:p>
    <w:p w14:paraId="0AE7683C">
      <w:pPr>
        <w:pStyle w:val="26"/>
        <w:shd w:val="clear"/>
        <w:spacing w:before="0" w:beforeLines="0" w:beforeAutospacing="0" w:after="0" w:afterLines="0" w:afterAutospacing="0" w:line="360" w:lineRule="auto"/>
        <w:ind w:firstLine="640"/>
        <w:jc w:val="both"/>
        <w:rPr>
          <w:rFonts w:hint="default" w:ascii="Times New Roman" w:hAnsi="Times New Roman" w:cs="Times New Roman"/>
          <w:color w:val="000000"/>
          <w:sz w:val="24"/>
          <w:szCs w:val="24"/>
          <w:highlight w:val="none"/>
        </w:rPr>
      </w:pPr>
      <w:r>
        <w:rPr>
          <w:rFonts w:hint="eastAsia" w:ascii="黑体" w:hAnsi="黑体" w:eastAsia="黑体" w:cs="Times New Roman"/>
          <w:color w:val="000000"/>
          <w:sz w:val="24"/>
          <w:szCs w:val="24"/>
          <w:highlight w:val="none"/>
        </w:rPr>
        <w:t>第二十九条　</w:t>
      </w:r>
      <w:r>
        <w:rPr>
          <w:rFonts w:hint="eastAsia" w:ascii="仿宋" w:hAnsi="仿宋" w:eastAsia="仿宋" w:cs="Times New Roman"/>
          <w:color w:val="000000"/>
          <w:sz w:val="24"/>
          <w:szCs w:val="24"/>
          <w:highlight w:val="none"/>
        </w:rPr>
        <w:t>本办法自发布之日起施行。本办法由国实处负责解释。</w:t>
      </w:r>
    </w:p>
    <w:p w14:paraId="17B96D4B">
      <w:pPr>
        <w:shd w:val="clear"/>
        <w:spacing w:beforeLines="0" w:afterLines="0" w:line="360" w:lineRule="auto"/>
        <w:rPr>
          <w:rFonts w:hint="eastAsia"/>
          <w:sz w:val="24"/>
          <w:szCs w:val="24"/>
          <w:highlight w:val="none"/>
        </w:rPr>
      </w:pPr>
    </w:p>
    <w:p w14:paraId="4E468844">
      <w:pPr>
        <w:pStyle w:val="13"/>
        <w:shd w:val="clear"/>
        <w:rPr>
          <w:rFonts w:hint="eastAsia"/>
          <w:highlight w:val="none"/>
        </w:rPr>
      </w:pPr>
    </w:p>
    <w:sectPr>
      <w:headerReference r:id="rId8" w:type="first"/>
      <w:footerReference r:id="rId10" w:type="first"/>
      <w:headerReference r:id="rId7" w:type="default"/>
      <w:footerReference r:id="rId9" w:type="default"/>
      <w:pgSz w:w="11906" w:h="16838"/>
      <w:pgMar w:top="1417" w:right="1417" w:bottom="1417" w:left="1417"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DEDE1">
    <w:pPr>
      <w:pStyle w:val="21"/>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D8B57B2">
                          <w:pPr>
                            <w:pStyle w:val="2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3YFN4QsCAAABBAAADgAAAAAAAAABACAAAAAfAQAA&#10;ZHJzL2Uyb0RvYy54bWxQSwUGAAAAAAYABgBZAQAAnAUAAAAA&#10;">
              <v:fill on="f" focussize="0,0"/>
              <v:stroke on="f"/>
              <v:imagedata o:title=""/>
              <o:lock v:ext="edit" aspectratio="f"/>
              <v:textbox inset="0mm,0mm,0mm,0mm" style="mso-fit-shape-to-text:t;">
                <w:txbxContent>
                  <w:p w14:paraId="1D8B57B2">
                    <w:pPr>
                      <w:pStyle w:val="21"/>
                    </w:pPr>
                    <w:r>
                      <w:fldChar w:fldCharType="begin"/>
                    </w:r>
                    <w:r>
                      <w:instrText xml:space="preserve"> PAGE  \* MERGEFORMAT </w:instrText>
                    </w:r>
                    <w:r>
                      <w:fldChar w:fldCharType="separate"/>
                    </w:r>
                    <w:r>
                      <w:t>1</w:t>
                    </w:r>
                    <w:r>
                      <w:fldChar w:fldCharType="end"/>
                    </w:r>
                  </w:p>
                </w:txbxContent>
              </v:textbox>
            </v:shape>
          </w:pict>
        </mc:Fallback>
      </mc:AlternateContent>
    </w:r>
  </w:p>
  <w:p w14:paraId="0C5BA4EC">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7110">
    <w:pPr>
      <w:pStyle w:val="21"/>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63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4C08BCD3"/>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BU+a0AAAAAMBAAAPAAAAAAAAAAEAIAAAACIAAABkcnMvZG93&#10;bnJldi54bWxQSwECFAAUAAAACACHTuJAFydTEAgCAAACBAAADgAAAAAAAAABACAAAAAfAQAAZHJz&#10;L2Uyb0RvYy54bWxQSwUGAAAAAAYABgBZAQAAmQUAAAAA&#10;">
              <v:fill on="f" focussize="0,0"/>
              <v:stroke on="f"/>
              <v:imagedata o:title=""/>
              <o:lock v:ext="edit" aspectratio="f"/>
              <v:textbox inset="0mm,0mm,0mm,0mm" style="mso-fit-shape-to-text:t;">
                <w:txbxContent>
                  <w:p w14:paraId="4C08BCD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C22A">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30244F75">
                          <w:pPr>
                            <w:pStyle w:val="21"/>
                            <w:jc w:val="center"/>
                          </w:pPr>
                          <w:r>
                            <w:fldChar w:fldCharType="begin"/>
                          </w:r>
                          <w:r>
                            <w:instrText xml:space="preserve"> PAGE  \* MERGEFORMAT </w:instrText>
                          </w:r>
                          <w:r>
                            <w:fldChar w:fldCharType="separate"/>
                          </w:r>
                          <w:r>
                            <w:t>72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fill on="f" focussize="0,0"/>
              <v:stroke on="f"/>
              <v:imagedata o:title=""/>
              <o:lock v:ext="edit" aspectratio="f"/>
              <v:textbox inset="0mm,0mm,0mm,0mm" style="mso-fit-shape-to-text:t;">
                <w:txbxContent>
                  <w:p w14:paraId="30244F75">
                    <w:pPr>
                      <w:pStyle w:val="21"/>
                      <w:jc w:val="center"/>
                    </w:pPr>
                    <w:r>
                      <w:fldChar w:fldCharType="begin"/>
                    </w:r>
                    <w:r>
                      <w:instrText xml:space="preserve"> PAGE  \* MERGEFORMAT </w:instrText>
                    </w:r>
                    <w:r>
                      <w:fldChar w:fldCharType="separate"/>
                    </w:r>
                    <w:r>
                      <w:t>72</w:t>
                    </w:r>
                    <w:r>
                      <w:fldChar w:fldCharType="end"/>
                    </w:r>
                  </w:p>
                </w:txbxContent>
              </v:textbox>
            </v:shape>
          </w:pict>
        </mc:Fallback>
      </mc:AlternateContent>
    </w:r>
  </w:p>
  <w:p w14:paraId="2DA3A0E6">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51E9">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635" b="25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000EB20">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01psPAgAADwQAAA4AAABkcnMvZTJvRG9jLnhtbK1TS27bMBDdF+gd&#10;CO5r2XHc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c86sMLTw4/dvxx+/&#10;jj+/snmUp3U+p6w7R3mhewUdmSZR9e4W5GfPLNzUwu7UNSK0tRIljTeLldmD0h7HR5Bt+xZK6iP2&#10;ARJQV6GJ2pEajNBpNfen1aguMEmHi4uLywVnkm5m89n5+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u01psPAgAADwQAAA4AAAAAAAAAAQAgAAAA&#10;HwEAAGRycy9lMm9Eb2MueG1sUEsFBgAAAAAGAAYAWQEAAKAFAAAAAA==&#10;">
              <v:fill on="f" focussize="0,0"/>
              <v:stroke on="f"/>
              <v:imagedata o:title=""/>
              <o:lock v:ext="edit" aspectratio="f"/>
              <v:textbox inset="0mm,0mm,0mm,0mm" style="mso-fit-shape-to-text:t;">
                <w:txbxContent>
                  <w:p w14:paraId="0000EB20">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EE14C">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31465">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436BB">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2D9E0">
    <w:pPr>
      <w:pStyle w:val="2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2F5"/>
    <w:rsid w:val="0003117E"/>
    <w:rsid w:val="0003179F"/>
    <w:rsid w:val="000420F1"/>
    <w:rsid w:val="000442B2"/>
    <w:rsid w:val="00045203"/>
    <w:rsid w:val="000457AC"/>
    <w:rsid w:val="000578CA"/>
    <w:rsid w:val="00060B6C"/>
    <w:rsid w:val="00081C9B"/>
    <w:rsid w:val="00094D9C"/>
    <w:rsid w:val="00094DA1"/>
    <w:rsid w:val="000C509F"/>
    <w:rsid w:val="000C5B27"/>
    <w:rsid w:val="000D047C"/>
    <w:rsid w:val="000D0979"/>
    <w:rsid w:val="0010086F"/>
    <w:rsid w:val="001129BA"/>
    <w:rsid w:val="001205C9"/>
    <w:rsid w:val="0012137C"/>
    <w:rsid w:val="00142117"/>
    <w:rsid w:val="001469F3"/>
    <w:rsid w:val="00152D06"/>
    <w:rsid w:val="00153135"/>
    <w:rsid w:val="001539B0"/>
    <w:rsid w:val="00157C13"/>
    <w:rsid w:val="0016042A"/>
    <w:rsid w:val="00172A27"/>
    <w:rsid w:val="00173BFA"/>
    <w:rsid w:val="00173D29"/>
    <w:rsid w:val="0017572B"/>
    <w:rsid w:val="001934CD"/>
    <w:rsid w:val="00195EA5"/>
    <w:rsid w:val="001A2F05"/>
    <w:rsid w:val="001B3836"/>
    <w:rsid w:val="001D4FF9"/>
    <w:rsid w:val="001F2E23"/>
    <w:rsid w:val="002061DC"/>
    <w:rsid w:val="0020630A"/>
    <w:rsid w:val="00231BE2"/>
    <w:rsid w:val="00263E0B"/>
    <w:rsid w:val="00267E08"/>
    <w:rsid w:val="0027471E"/>
    <w:rsid w:val="00291BA7"/>
    <w:rsid w:val="00293C5F"/>
    <w:rsid w:val="002968F2"/>
    <w:rsid w:val="00297AB2"/>
    <w:rsid w:val="002C267F"/>
    <w:rsid w:val="002C27BE"/>
    <w:rsid w:val="002E107C"/>
    <w:rsid w:val="002E70B1"/>
    <w:rsid w:val="002F045B"/>
    <w:rsid w:val="002F2376"/>
    <w:rsid w:val="002F38FC"/>
    <w:rsid w:val="002F44F7"/>
    <w:rsid w:val="003254D5"/>
    <w:rsid w:val="0033163E"/>
    <w:rsid w:val="00334216"/>
    <w:rsid w:val="00334AF5"/>
    <w:rsid w:val="00345BE0"/>
    <w:rsid w:val="00351793"/>
    <w:rsid w:val="00380705"/>
    <w:rsid w:val="00384653"/>
    <w:rsid w:val="00385ADE"/>
    <w:rsid w:val="00391FCC"/>
    <w:rsid w:val="00393306"/>
    <w:rsid w:val="00394C62"/>
    <w:rsid w:val="003A0ED5"/>
    <w:rsid w:val="003A2F9D"/>
    <w:rsid w:val="003A62B3"/>
    <w:rsid w:val="003B459D"/>
    <w:rsid w:val="003B6402"/>
    <w:rsid w:val="003B6F63"/>
    <w:rsid w:val="003B7C96"/>
    <w:rsid w:val="003C7126"/>
    <w:rsid w:val="003D4494"/>
    <w:rsid w:val="003D7AA9"/>
    <w:rsid w:val="003F18CC"/>
    <w:rsid w:val="00403082"/>
    <w:rsid w:val="00404036"/>
    <w:rsid w:val="004178E4"/>
    <w:rsid w:val="00422A3F"/>
    <w:rsid w:val="00441E5D"/>
    <w:rsid w:val="00443F38"/>
    <w:rsid w:val="004501C2"/>
    <w:rsid w:val="00460538"/>
    <w:rsid w:val="00460B41"/>
    <w:rsid w:val="004621D7"/>
    <w:rsid w:val="00474FE8"/>
    <w:rsid w:val="00477D0E"/>
    <w:rsid w:val="00493A57"/>
    <w:rsid w:val="004A3C75"/>
    <w:rsid w:val="004A40F1"/>
    <w:rsid w:val="004A47A4"/>
    <w:rsid w:val="004A4DD3"/>
    <w:rsid w:val="004B1B49"/>
    <w:rsid w:val="004B580B"/>
    <w:rsid w:val="004C2FCF"/>
    <w:rsid w:val="004C53C1"/>
    <w:rsid w:val="004D0060"/>
    <w:rsid w:val="004D29DE"/>
    <w:rsid w:val="004D7EE2"/>
    <w:rsid w:val="004E29A5"/>
    <w:rsid w:val="004F1291"/>
    <w:rsid w:val="004F3669"/>
    <w:rsid w:val="004F40EC"/>
    <w:rsid w:val="004F551F"/>
    <w:rsid w:val="004F7C58"/>
    <w:rsid w:val="0051048D"/>
    <w:rsid w:val="005109A1"/>
    <w:rsid w:val="00510FE4"/>
    <w:rsid w:val="00515EBE"/>
    <w:rsid w:val="005316F1"/>
    <w:rsid w:val="005631DB"/>
    <w:rsid w:val="005667A8"/>
    <w:rsid w:val="005848D8"/>
    <w:rsid w:val="00595C3E"/>
    <w:rsid w:val="005A703B"/>
    <w:rsid w:val="005C4037"/>
    <w:rsid w:val="005C50D8"/>
    <w:rsid w:val="005D793E"/>
    <w:rsid w:val="005E0B09"/>
    <w:rsid w:val="005E358E"/>
    <w:rsid w:val="005F186A"/>
    <w:rsid w:val="00602F64"/>
    <w:rsid w:val="00607ACF"/>
    <w:rsid w:val="006103CF"/>
    <w:rsid w:val="00631F41"/>
    <w:rsid w:val="00634D55"/>
    <w:rsid w:val="00651A8D"/>
    <w:rsid w:val="00662702"/>
    <w:rsid w:val="00686B94"/>
    <w:rsid w:val="00690F7A"/>
    <w:rsid w:val="006B1B34"/>
    <w:rsid w:val="006C49C6"/>
    <w:rsid w:val="006C5D12"/>
    <w:rsid w:val="006C7F9A"/>
    <w:rsid w:val="006D0252"/>
    <w:rsid w:val="006D684C"/>
    <w:rsid w:val="006F0B25"/>
    <w:rsid w:val="007117C0"/>
    <w:rsid w:val="007337EE"/>
    <w:rsid w:val="00740D49"/>
    <w:rsid w:val="00747F79"/>
    <w:rsid w:val="00753BC2"/>
    <w:rsid w:val="00754D96"/>
    <w:rsid w:val="007801C8"/>
    <w:rsid w:val="007878EF"/>
    <w:rsid w:val="00794272"/>
    <w:rsid w:val="007A0403"/>
    <w:rsid w:val="007B496E"/>
    <w:rsid w:val="007B49F9"/>
    <w:rsid w:val="007B7BDB"/>
    <w:rsid w:val="007B7D09"/>
    <w:rsid w:val="007C079F"/>
    <w:rsid w:val="007C1337"/>
    <w:rsid w:val="007C65FB"/>
    <w:rsid w:val="007D0550"/>
    <w:rsid w:val="007D3C00"/>
    <w:rsid w:val="007D7DD1"/>
    <w:rsid w:val="007E5E29"/>
    <w:rsid w:val="007F6E4B"/>
    <w:rsid w:val="0080016A"/>
    <w:rsid w:val="008002FC"/>
    <w:rsid w:val="0082505C"/>
    <w:rsid w:val="00844347"/>
    <w:rsid w:val="008501B1"/>
    <w:rsid w:val="00866E66"/>
    <w:rsid w:val="00866F98"/>
    <w:rsid w:val="0087375F"/>
    <w:rsid w:val="00884A9F"/>
    <w:rsid w:val="008A3DE0"/>
    <w:rsid w:val="008B2231"/>
    <w:rsid w:val="008D484B"/>
    <w:rsid w:val="008E55CC"/>
    <w:rsid w:val="008E67E5"/>
    <w:rsid w:val="008F4C27"/>
    <w:rsid w:val="008F7ED2"/>
    <w:rsid w:val="00904C99"/>
    <w:rsid w:val="009064F3"/>
    <w:rsid w:val="00921552"/>
    <w:rsid w:val="00927668"/>
    <w:rsid w:val="00931421"/>
    <w:rsid w:val="0094048F"/>
    <w:rsid w:val="0094129E"/>
    <w:rsid w:val="00943B3A"/>
    <w:rsid w:val="00952222"/>
    <w:rsid w:val="00953F4B"/>
    <w:rsid w:val="00970EA2"/>
    <w:rsid w:val="00977A1B"/>
    <w:rsid w:val="009818D3"/>
    <w:rsid w:val="00982078"/>
    <w:rsid w:val="00985C0D"/>
    <w:rsid w:val="00991454"/>
    <w:rsid w:val="009A415F"/>
    <w:rsid w:val="009A5299"/>
    <w:rsid w:val="009A56AB"/>
    <w:rsid w:val="009B2CDD"/>
    <w:rsid w:val="009D38FD"/>
    <w:rsid w:val="009F1EC5"/>
    <w:rsid w:val="00A02FD8"/>
    <w:rsid w:val="00A156CE"/>
    <w:rsid w:val="00A35716"/>
    <w:rsid w:val="00A60E40"/>
    <w:rsid w:val="00A613B3"/>
    <w:rsid w:val="00A61526"/>
    <w:rsid w:val="00A64ADF"/>
    <w:rsid w:val="00A64C47"/>
    <w:rsid w:val="00A74E39"/>
    <w:rsid w:val="00A832C6"/>
    <w:rsid w:val="00A835EA"/>
    <w:rsid w:val="00A87624"/>
    <w:rsid w:val="00A96DE4"/>
    <w:rsid w:val="00AB0ADF"/>
    <w:rsid w:val="00AB6EDD"/>
    <w:rsid w:val="00AF0270"/>
    <w:rsid w:val="00AF4F86"/>
    <w:rsid w:val="00AF58FE"/>
    <w:rsid w:val="00B005E9"/>
    <w:rsid w:val="00B0462D"/>
    <w:rsid w:val="00B04EE2"/>
    <w:rsid w:val="00B079C7"/>
    <w:rsid w:val="00B144BD"/>
    <w:rsid w:val="00B24C49"/>
    <w:rsid w:val="00B36033"/>
    <w:rsid w:val="00B409A4"/>
    <w:rsid w:val="00B64E15"/>
    <w:rsid w:val="00B83EF6"/>
    <w:rsid w:val="00B92192"/>
    <w:rsid w:val="00BA4700"/>
    <w:rsid w:val="00BA4D5C"/>
    <w:rsid w:val="00BB2CB9"/>
    <w:rsid w:val="00BC01AC"/>
    <w:rsid w:val="00BE0B56"/>
    <w:rsid w:val="00BE3E5C"/>
    <w:rsid w:val="00BF2089"/>
    <w:rsid w:val="00C0189B"/>
    <w:rsid w:val="00C079C0"/>
    <w:rsid w:val="00C07EA8"/>
    <w:rsid w:val="00C07FBD"/>
    <w:rsid w:val="00C22AB7"/>
    <w:rsid w:val="00C31789"/>
    <w:rsid w:val="00C32BBF"/>
    <w:rsid w:val="00C420F1"/>
    <w:rsid w:val="00C476EB"/>
    <w:rsid w:val="00C54288"/>
    <w:rsid w:val="00C71884"/>
    <w:rsid w:val="00C73234"/>
    <w:rsid w:val="00C75246"/>
    <w:rsid w:val="00C75F53"/>
    <w:rsid w:val="00C765AF"/>
    <w:rsid w:val="00C81DBB"/>
    <w:rsid w:val="00C93EB7"/>
    <w:rsid w:val="00C95168"/>
    <w:rsid w:val="00CB1FAB"/>
    <w:rsid w:val="00CB22E9"/>
    <w:rsid w:val="00CD4088"/>
    <w:rsid w:val="00CE2C5B"/>
    <w:rsid w:val="00D01D5F"/>
    <w:rsid w:val="00D03049"/>
    <w:rsid w:val="00D208C5"/>
    <w:rsid w:val="00D22E16"/>
    <w:rsid w:val="00D32121"/>
    <w:rsid w:val="00D33AC2"/>
    <w:rsid w:val="00D355A7"/>
    <w:rsid w:val="00D35C7C"/>
    <w:rsid w:val="00D4584F"/>
    <w:rsid w:val="00D5541A"/>
    <w:rsid w:val="00D62EDF"/>
    <w:rsid w:val="00D6600A"/>
    <w:rsid w:val="00D72960"/>
    <w:rsid w:val="00D739AB"/>
    <w:rsid w:val="00D8326F"/>
    <w:rsid w:val="00D861D2"/>
    <w:rsid w:val="00D86669"/>
    <w:rsid w:val="00D97F07"/>
    <w:rsid w:val="00DA0395"/>
    <w:rsid w:val="00DA7057"/>
    <w:rsid w:val="00DB3B9B"/>
    <w:rsid w:val="00DC0480"/>
    <w:rsid w:val="00DC423D"/>
    <w:rsid w:val="00DD7BED"/>
    <w:rsid w:val="00DE3FFD"/>
    <w:rsid w:val="00DE68E0"/>
    <w:rsid w:val="00DF13CA"/>
    <w:rsid w:val="00DF7D9E"/>
    <w:rsid w:val="00E06115"/>
    <w:rsid w:val="00E169C5"/>
    <w:rsid w:val="00E34CE1"/>
    <w:rsid w:val="00E460F5"/>
    <w:rsid w:val="00E50738"/>
    <w:rsid w:val="00E913B1"/>
    <w:rsid w:val="00EA0422"/>
    <w:rsid w:val="00EA4104"/>
    <w:rsid w:val="00EA5DFD"/>
    <w:rsid w:val="00EB4AE1"/>
    <w:rsid w:val="00EC575C"/>
    <w:rsid w:val="00ED49C5"/>
    <w:rsid w:val="00ED6F5F"/>
    <w:rsid w:val="00EE765E"/>
    <w:rsid w:val="00F049E0"/>
    <w:rsid w:val="00F07501"/>
    <w:rsid w:val="00F22140"/>
    <w:rsid w:val="00F34120"/>
    <w:rsid w:val="00F365C1"/>
    <w:rsid w:val="00F42F1E"/>
    <w:rsid w:val="00F5113C"/>
    <w:rsid w:val="00F521F0"/>
    <w:rsid w:val="00F61B4E"/>
    <w:rsid w:val="00F7304C"/>
    <w:rsid w:val="00F805AC"/>
    <w:rsid w:val="00F86199"/>
    <w:rsid w:val="00FD6FD5"/>
    <w:rsid w:val="00FE00D4"/>
    <w:rsid w:val="00FF3755"/>
    <w:rsid w:val="0D6B0B8F"/>
    <w:rsid w:val="10FA64FF"/>
    <w:rsid w:val="1DED7378"/>
    <w:rsid w:val="2E073C7C"/>
    <w:rsid w:val="2F257BE7"/>
    <w:rsid w:val="31F847C9"/>
    <w:rsid w:val="357212CC"/>
    <w:rsid w:val="35D04A89"/>
    <w:rsid w:val="4971160B"/>
    <w:rsid w:val="4F484B6D"/>
    <w:rsid w:val="5914693B"/>
    <w:rsid w:val="6CEE4B95"/>
    <w:rsid w:val="6EF15B11"/>
    <w:rsid w:val="754E2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jc w:val="center"/>
      <w:outlineLvl w:val="0"/>
    </w:pPr>
    <w:rPr>
      <w:rFonts w:eastAsia="仿宋"/>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link w:val="39"/>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link w:val="40"/>
    <w:qFormat/>
    <w:uiPriority w:val="9"/>
    <w:pPr>
      <w:keepNext/>
      <w:keepLines/>
      <w:spacing w:before="280" w:after="290" w:line="376" w:lineRule="auto"/>
      <w:outlineLvl w:val="4"/>
    </w:pPr>
    <w:rPr>
      <w:b/>
      <w:bCs/>
      <w:sz w:val="28"/>
      <w:szCs w:val="28"/>
    </w:rPr>
  </w:style>
  <w:style w:type="paragraph" w:styleId="7">
    <w:name w:val="heading 7"/>
    <w:basedOn w:val="1"/>
    <w:next w:val="1"/>
    <w:link w:val="41"/>
    <w:qFormat/>
    <w:uiPriority w:val="0"/>
    <w:pPr>
      <w:keepNext/>
      <w:keepLines/>
      <w:spacing w:before="240" w:after="64" w:line="320" w:lineRule="auto"/>
      <w:outlineLvl w:val="6"/>
    </w:pPr>
    <w:rPr>
      <w:b/>
      <w:bCs/>
      <w:sz w:val="24"/>
    </w:rPr>
  </w:style>
  <w:style w:type="paragraph" w:styleId="8">
    <w:name w:val="heading 8"/>
    <w:basedOn w:val="1"/>
    <w:next w:val="1"/>
    <w:link w:val="42"/>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7"/>
    <w:qFormat/>
    <w:uiPriority w:val="0"/>
    <w:pPr>
      <w:jc w:val="left"/>
    </w:pPr>
  </w:style>
  <w:style w:type="paragraph" w:styleId="12">
    <w:name w:val="Body Text 3"/>
    <w:basedOn w:val="1"/>
    <w:link w:val="48"/>
    <w:unhideWhenUsed/>
    <w:qFormat/>
    <w:uiPriority w:val="99"/>
    <w:pPr>
      <w:spacing w:after="120"/>
    </w:pPr>
    <w:rPr>
      <w:sz w:val="16"/>
      <w:szCs w:val="16"/>
    </w:rPr>
  </w:style>
  <w:style w:type="paragraph" w:styleId="13">
    <w:name w:val="Body Text"/>
    <w:basedOn w:val="1"/>
    <w:next w:val="14"/>
    <w:link w:val="44"/>
    <w:unhideWhenUsed/>
    <w:qFormat/>
    <w:uiPriority w:val="0"/>
    <w:pPr>
      <w:spacing w:after="120"/>
    </w:pPr>
  </w:style>
  <w:style w:type="paragraph" w:styleId="14">
    <w:name w:val="Title"/>
    <w:basedOn w:val="1"/>
    <w:next w:val="1"/>
    <w:link w:val="45"/>
    <w:qFormat/>
    <w:uiPriority w:val="0"/>
    <w:pPr>
      <w:spacing w:before="240" w:after="60"/>
      <w:jc w:val="center"/>
      <w:outlineLvl w:val="0"/>
    </w:pPr>
    <w:rPr>
      <w:rFonts w:ascii="Arial" w:hAnsi="Arial" w:cs="Arial"/>
      <w:b/>
      <w:bCs/>
      <w:sz w:val="32"/>
      <w:szCs w:val="32"/>
    </w:rPr>
  </w:style>
  <w:style w:type="paragraph" w:styleId="15">
    <w:name w:val="Body Text Indent"/>
    <w:basedOn w:val="1"/>
    <w:link w:val="49"/>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Plain Text"/>
    <w:basedOn w:val="1"/>
    <w:next w:val="1"/>
    <w:link w:val="51"/>
    <w:qFormat/>
    <w:uiPriority w:val="0"/>
    <w:rPr>
      <w:rFonts w:ascii="宋体" w:hAnsi="Courier New"/>
      <w:kern w:val="0"/>
      <w:sz w:val="20"/>
      <w:szCs w:val="21"/>
    </w:rPr>
  </w:style>
  <w:style w:type="paragraph" w:styleId="18">
    <w:name w:val="Date"/>
    <w:basedOn w:val="1"/>
    <w:next w:val="1"/>
    <w:link w:val="52"/>
    <w:unhideWhenUsed/>
    <w:qFormat/>
    <w:uiPriority w:val="99"/>
    <w:pPr>
      <w:ind w:left="100" w:leftChars="2500"/>
    </w:pPr>
  </w:style>
  <w:style w:type="paragraph" w:styleId="19">
    <w:name w:val="Body Text Indent 2"/>
    <w:basedOn w:val="1"/>
    <w:link w:val="83"/>
    <w:semiHidden/>
    <w:unhideWhenUsed/>
    <w:qFormat/>
    <w:uiPriority w:val="99"/>
    <w:pPr>
      <w:spacing w:after="120" w:line="480" w:lineRule="auto"/>
      <w:ind w:left="420" w:leftChars="200"/>
    </w:pPr>
  </w:style>
  <w:style w:type="paragraph" w:styleId="20">
    <w:name w:val="Balloon Text"/>
    <w:basedOn w:val="1"/>
    <w:link w:val="53"/>
    <w:semiHidden/>
    <w:qFormat/>
    <w:uiPriority w:val="0"/>
    <w:rPr>
      <w:sz w:val="18"/>
      <w:szCs w:val="18"/>
    </w:rPr>
  </w:style>
  <w:style w:type="paragraph" w:styleId="21">
    <w:name w:val="footer"/>
    <w:basedOn w:val="1"/>
    <w:link w:val="3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2">
    <w:name w:val="header"/>
    <w:basedOn w:val="1"/>
    <w:link w:val="3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3">
    <w:name w:val="toc 1"/>
    <w:basedOn w:val="1"/>
    <w:next w:val="1"/>
    <w:unhideWhenUsed/>
    <w:qFormat/>
    <w:uiPriority w:val="39"/>
  </w:style>
  <w:style w:type="paragraph" w:styleId="24">
    <w:name w:val="footnote text"/>
    <w:basedOn w:val="1"/>
    <w:link w:val="82"/>
    <w:unhideWhenUsed/>
    <w:qFormat/>
    <w:uiPriority w:val="99"/>
    <w:pPr>
      <w:snapToGrid w:val="0"/>
      <w:jc w:val="left"/>
    </w:pPr>
    <w:rPr>
      <w:sz w:val="18"/>
      <w:szCs w:val="18"/>
    </w:r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rPr>
      <w:rFonts w:ascii="Calibri" w:hAnsi="Calibri"/>
      <w:kern w:val="0"/>
      <w:sz w:val="24"/>
    </w:rPr>
  </w:style>
  <w:style w:type="paragraph" w:styleId="27">
    <w:name w:val="annotation subject"/>
    <w:basedOn w:val="11"/>
    <w:next w:val="11"/>
    <w:link w:val="54"/>
    <w:qFormat/>
    <w:uiPriority w:val="99"/>
    <w:rPr>
      <w:b/>
      <w:bCs/>
    </w:rPr>
  </w:style>
  <w:style w:type="paragraph" w:styleId="28">
    <w:name w:val="Body Text First Indent 2"/>
    <w:basedOn w:val="15"/>
    <w:next w:val="1"/>
    <w:link w:val="55"/>
    <w:qFormat/>
    <w:uiPriority w:val="99"/>
    <w:pPr>
      <w:ind w:firstLine="420" w:firstLineChars="200"/>
    </w:pPr>
    <w:rPr>
      <w:rFonts w:ascii="宋体" w:hAnsi="Courier New"/>
      <w:spacing w:val="-4"/>
      <w:sz w:val="18"/>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unhideWhenUsed/>
    <w:qFormat/>
    <w:uiPriority w:val="99"/>
    <w:rPr>
      <w:vertAlign w:val="superscript"/>
    </w:rPr>
  </w:style>
  <w:style w:type="character" w:styleId="33">
    <w:name w:val="Hyperlink"/>
    <w:unhideWhenUsed/>
    <w:qFormat/>
    <w:uiPriority w:val="99"/>
    <w:rPr>
      <w:color w:val="0000FF"/>
      <w:u w:val="single"/>
    </w:rPr>
  </w:style>
  <w:style w:type="character" w:styleId="34">
    <w:name w:val="annotation reference"/>
    <w:qFormat/>
    <w:uiPriority w:val="0"/>
    <w:rPr>
      <w:sz w:val="21"/>
      <w:szCs w:val="21"/>
    </w:rPr>
  </w:style>
  <w:style w:type="character" w:customStyle="1" w:styleId="35">
    <w:name w:val="页眉 字符"/>
    <w:basedOn w:val="31"/>
    <w:link w:val="22"/>
    <w:qFormat/>
    <w:uiPriority w:val="99"/>
    <w:rPr>
      <w:sz w:val="18"/>
      <w:szCs w:val="18"/>
    </w:rPr>
  </w:style>
  <w:style w:type="character" w:customStyle="1" w:styleId="36">
    <w:name w:val="页脚 字符"/>
    <w:basedOn w:val="31"/>
    <w:link w:val="21"/>
    <w:qFormat/>
    <w:uiPriority w:val="99"/>
    <w:rPr>
      <w:sz w:val="18"/>
      <w:szCs w:val="18"/>
    </w:rPr>
  </w:style>
  <w:style w:type="character" w:customStyle="1" w:styleId="37">
    <w:name w:val="标题 1 字符"/>
    <w:basedOn w:val="31"/>
    <w:link w:val="2"/>
    <w:qFormat/>
    <w:uiPriority w:val="9"/>
    <w:rPr>
      <w:rFonts w:ascii="Times New Roman" w:hAnsi="Times New Roman" w:eastAsia="仿宋" w:cs="Times New Roman"/>
      <w:b/>
      <w:bCs/>
      <w:kern w:val="44"/>
      <w:sz w:val="44"/>
      <w:szCs w:val="44"/>
    </w:rPr>
  </w:style>
  <w:style w:type="character" w:customStyle="1" w:styleId="38">
    <w:name w:val="标题 2 字符"/>
    <w:basedOn w:val="31"/>
    <w:link w:val="3"/>
    <w:qFormat/>
    <w:uiPriority w:val="0"/>
    <w:rPr>
      <w:rFonts w:ascii="Cambria" w:hAnsi="Cambria" w:eastAsia="宋体" w:cs="Times New Roman"/>
      <w:b/>
      <w:bCs/>
      <w:sz w:val="32"/>
      <w:szCs w:val="32"/>
    </w:rPr>
  </w:style>
  <w:style w:type="character" w:customStyle="1" w:styleId="39">
    <w:name w:val="标题 4 字符"/>
    <w:basedOn w:val="31"/>
    <w:link w:val="4"/>
    <w:qFormat/>
    <w:uiPriority w:val="0"/>
    <w:rPr>
      <w:rFonts w:ascii="Arial" w:hAnsi="Times New Roman" w:eastAsia="黑体" w:cs="Times New Roman"/>
      <w:kern w:val="0"/>
      <w:sz w:val="28"/>
      <w:szCs w:val="20"/>
    </w:rPr>
  </w:style>
  <w:style w:type="character" w:customStyle="1" w:styleId="40">
    <w:name w:val="标题 5 字符"/>
    <w:basedOn w:val="31"/>
    <w:link w:val="5"/>
    <w:qFormat/>
    <w:uiPriority w:val="9"/>
    <w:rPr>
      <w:rFonts w:ascii="Times New Roman" w:hAnsi="Times New Roman" w:eastAsia="宋体" w:cs="Times New Roman"/>
      <w:b/>
      <w:bCs/>
      <w:sz w:val="28"/>
      <w:szCs w:val="28"/>
    </w:rPr>
  </w:style>
  <w:style w:type="character" w:customStyle="1" w:styleId="41">
    <w:name w:val="标题 7 字符"/>
    <w:basedOn w:val="31"/>
    <w:link w:val="7"/>
    <w:qFormat/>
    <w:uiPriority w:val="0"/>
    <w:rPr>
      <w:rFonts w:ascii="Times New Roman" w:hAnsi="Times New Roman" w:eastAsia="宋体" w:cs="Times New Roman"/>
      <w:b/>
      <w:bCs/>
      <w:sz w:val="24"/>
      <w:szCs w:val="24"/>
    </w:rPr>
  </w:style>
  <w:style w:type="character" w:customStyle="1" w:styleId="42">
    <w:name w:val="标题 8 字符"/>
    <w:basedOn w:val="31"/>
    <w:link w:val="8"/>
    <w:qFormat/>
    <w:uiPriority w:val="9"/>
    <w:rPr>
      <w:rFonts w:ascii="等线 Light" w:hAnsi="等线 Light" w:eastAsia="等线 Light" w:cs="Times New Roman"/>
      <w:sz w:val="24"/>
      <w:szCs w:val="24"/>
    </w:rPr>
  </w:style>
  <w:style w:type="character" w:customStyle="1" w:styleId="43">
    <w:name w:val="正文文本 字符"/>
    <w:basedOn w:val="31"/>
    <w:qFormat/>
    <w:uiPriority w:val="0"/>
    <w:rPr>
      <w:rFonts w:ascii="Times New Roman" w:hAnsi="Times New Roman" w:eastAsia="宋体" w:cs="Times New Roman"/>
      <w:szCs w:val="24"/>
    </w:rPr>
  </w:style>
  <w:style w:type="character" w:customStyle="1" w:styleId="44">
    <w:name w:val="正文文本 字符1"/>
    <w:link w:val="13"/>
    <w:qFormat/>
    <w:uiPriority w:val="0"/>
    <w:rPr>
      <w:rFonts w:ascii="Times New Roman" w:hAnsi="Times New Roman" w:eastAsia="宋体" w:cs="Times New Roman"/>
      <w:szCs w:val="24"/>
    </w:rPr>
  </w:style>
  <w:style w:type="character" w:customStyle="1" w:styleId="45">
    <w:name w:val="标题 字符"/>
    <w:basedOn w:val="31"/>
    <w:link w:val="14"/>
    <w:qFormat/>
    <w:uiPriority w:val="0"/>
    <w:rPr>
      <w:rFonts w:ascii="Arial" w:hAnsi="Arial" w:eastAsia="宋体" w:cs="Arial"/>
      <w:b/>
      <w:bCs/>
      <w:sz w:val="32"/>
      <w:szCs w:val="32"/>
    </w:rPr>
  </w:style>
  <w:style w:type="character" w:customStyle="1" w:styleId="46">
    <w:name w:val="批注文字 字符"/>
    <w:basedOn w:val="31"/>
    <w:qFormat/>
    <w:uiPriority w:val="0"/>
    <w:rPr>
      <w:rFonts w:ascii="Times New Roman" w:hAnsi="Times New Roman" w:eastAsia="宋体" w:cs="Times New Roman"/>
      <w:szCs w:val="24"/>
    </w:rPr>
  </w:style>
  <w:style w:type="character" w:customStyle="1" w:styleId="47">
    <w:name w:val="批注文字 字符2"/>
    <w:link w:val="11"/>
    <w:qFormat/>
    <w:uiPriority w:val="0"/>
    <w:rPr>
      <w:rFonts w:ascii="Times New Roman" w:hAnsi="Times New Roman" w:eastAsia="宋体" w:cs="Times New Roman"/>
      <w:szCs w:val="24"/>
    </w:rPr>
  </w:style>
  <w:style w:type="character" w:customStyle="1" w:styleId="48">
    <w:name w:val="正文文本 3 字符"/>
    <w:basedOn w:val="31"/>
    <w:link w:val="12"/>
    <w:qFormat/>
    <w:uiPriority w:val="99"/>
    <w:rPr>
      <w:rFonts w:ascii="Times New Roman" w:hAnsi="Times New Roman" w:eastAsia="宋体" w:cs="Times New Roman"/>
      <w:sz w:val="16"/>
      <w:szCs w:val="16"/>
    </w:rPr>
  </w:style>
  <w:style w:type="character" w:customStyle="1" w:styleId="49">
    <w:name w:val="正文文本缩进 字符"/>
    <w:basedOn w:val="31"/>
    <w:link w:val="15"/>
    <w:qFormat/>
    <w:uiPriority w:val="0"/>
    <w:rPr>
      <w:rFonts w:ascii="仿宋_GB2312" w:hAnsi="Times New Roman" w:eastAsia="仿宋_GB2312" w:cs="Times New Roman"/>
      <w:kern w:val="0"/>
      <w:sz w:val="32"/>
      <w:szCs w:val="20"/>
    </w:rPr>
  </w:style>
  <w:style w:type="character" w:customStyle="1" w:styleId="50">
    <w:name w:val="纯文本 字符"/>
    <w:basedOn w:val="31"/>
    <w:qFormat/>
    <w:uiPriority w:val="0"/>
    <w:rPr>
      <w:rFonts w:hAnsi="Courier New" w:cs="Courier New" w:asciiTheme="minorEastAsia"/>
      <w:szCs w:val="24"/>
    </w:rPr>
  </w:style>
  <w:style w:type="character" w:customStyle="1" w:styleId="51">
    <w:name w:val="纯文本 字符3"/>
    <w:link w:val="17"/>
    <w:qFormat/>
    <w:uiPriority w:val="0"/>
    <w:rPr>
      <w:rFonts w:ascii="宋体" w:hAnsi="Courier New" w:eastAsia="宋体" w:cs="Times New Roman"/>
      <w:kern w:val="0"/>
      <w:sz w:val="20"/>
      <w:szCs w:val="21"/>
    </w:rPr>
  </w:style>
  <w:style w:type="character" w:customStyle="1" w:styleId="52">
    <w:name w:val="日期 字符"/>
    <w:basedOn w:val="31"/>
    <w:link w:val="18"/>
    <w:qFormat/>
    <w:uiPriority w:val="99"/>
    <w:rPr>
      <w:rFonts w:ascii="Times New Roman" w:hAnsi="Times New Roman" w:eastAsia="宋体" w:cs="Times New Roman"/>
      <w:szCs w:val="24"/>
    </w:rPr>
  </w:style>
  <w:style w:type="character" w:customStyle="1" w:styleId="53">
    <w:name w:val="批注框文本 字符"/>
    <w:basedOn w:val="31"/>
    <w:link w:val="20"/>
    <w:semiHidden/>
    <w:qFormat/>
    <w:uiPriority w:val="0"/>
    <w:rPr>
      <w:rFonts w:ascii="Times New Roman" w:hAnsi="Times New Roman" w:eastAsia="宋体" w:cs="Times New Roman"/>
      <w:sz w:val="18"/>
      <w:szCs w:val="18"/>
    </w:rPr>
  </w:style>
  <w:style w:type="character" w:customStyle="1" w:styleId="54">
    <w:name w:val="批注主题 字符"/>
    <w:basedOn w:val="46"/>
    <w:link w:val="27"/>
    <w:qFormat/>
    <w:uiPriority w:val="99"/>
    <w:rPr>
      <w:rFonts w:ascii="Times New Roman" w:hAnsi="Times New Roman" w:eastAsia="宋体" w:cs="Times New Roman"/>
      <w:b/>
      <w:bCs/>
      <w:szCs w:val="24"/>
    </w:rPr>
  </w:style>
  <w:style w:type="character" w:customStyle="1" w:styleId="55">
    <w:name w:val="正文文本首行缩进 2 字符"/>
    <w:basedOn w:val="49"/>
    <w:link w:val="28"/>
    <w:qFormat/>
    <w:uiPriority w:val="99"/>
    <w:rPr>
      <w:rFonts w:ascii="宋体" w:hAnsi="Courier New" w:eastAsia="仿宋_GB2312" w:cs="Times New Roman"/>
      <w:spacing w:val="-4"/>
      <w:kern w:val="0"/>
      <w:sz w:val="18"/>
      <w:szCs w:val="20"/>
    </w:rPr>
  </w:style>
  <w:style w:type="character" w:customStyle="1" w:styleId="56">
    <w:name w:val="纯文本 字符1"/>
    <w:qFormat/>
    <w:uiPriority w:val="0"/>
    <w:rPr>
      <w:rFonts w:ascii="宋体" w:hAnsi="Courier New"/>
    </w:rPr>
  </w:style>
  <w:style w:type="character" w:customStyle="1" w:styleId="57">
    <w:name w:val="正文文本 Char"/>
    <w:qFormat/>
    <w:uiPriority w:val="0"/>
    <w:rPr>
      <w:rFonts w:ascii="Times New Roman" w:hAnsi="Times New Roman"/>
      <w:kern w:val="2"/>
      <w:sz w:val="21"/>
      <w:szCs w:val="24"/>
    </w:rPr>
  </w:style>
  <w:style w:type="character" w:customStyle="1" w:styleId="58">
    <w:name w:val="纯文本 字符2"/>
    <w:qFormat/>
    <w:uiPriority w:val="0"/>
    <w:rPr>
      <w:rFonts w:ascii="宋体" w:hAnsi="Courier New" w:eastAsia="宋体" w:cs="Courier New"/>
      <w:szCs w:val="21"/>
    </w:rPr>
  </w:style>
  <w:style w:type="character" w:customStyle="1" w:styleId="59">
    <w:name w:val="apple-style-span"/>
    <w:qFormat/>
    <w:uiPriority w:val="0"/>
  </w:style>
  <w:style w:type="character" w:customStyle="1" w:styleId="60">
    <w:name w:val="批注文字 Char"/>
    <w:qFormat/>
    <w:uiPriority w:val="0"/>
    <w:rPr>
      <w:rFonts w:ascii="Times New Roman" w:hAnsi="Times New Roman"/>
      <w:kern w:val="2"/>
      <w:sz w:val="21"/>
      <w:szCs w:val="24"/>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textcontents"/>
    <w:qFormat/>
    <w:uiPriority w:val="0"/>
  </w:style>
  <w:style w:type="character" w:customStyle="1" w:styleId="63">
    <w:name w:val="标题 1 字符1"/>
    <w:qFormat/>
    <w:uiPriority w:val="0"/>
    <w:rPr>
      <w:b/>
      <w:bCs/>
      <w:kern w:val="44"/>
      <w:sz w:val="44"/>
      <w:szCs w:val="44"/>
    </w:rPr>
  </w:style>
  <w:style w:type="character" w:customStyle="1" w:styleId="64">
    <w:name w:val="批注文字 Char2"/>
    <w:qFormat/>
    <w:uiPriority w:val="0"/>
    <w:rPr>
      <w:rFonts w:ascii="Times New Roman" w:hAnsi="Times New Roman"/>
      <w:kern w:val="2"/>
      <w:sz w:val="21"/>
      <w:szCs w:val="24"/>
    </w:rPr>
  </w:style>
  <w:style w:type="character" w:customStyle="1" w:styleId="65">
    <w:name w:val="标题 2 Char"/>
    <w:qFormat/>
    <w:uiPriority w:val="0"/>
    <w:rPr>
      <w:rFonts w:ascii="Cambria" w:hAnsi="Cambria" w:eastAsia="宋体" w:cs="Times New Roman"/>
      <w:b/>
      <w:bCs/>
      <w:kern w:val="2"/>
      <w:sz w:val="32"/>
      <w:szCs w:val="32"/>
    </w:rPr>
  </w:style>
  <w:style w:type="character" w:customStyle="1" w:styleId="66">
    <w:name w:val="纯文本 Char"/>
    <w:qFormat/>
    <w:uiPriority w:val="0"/>
    <w:rPr>
      <w:rFonts w:ascii="宋体" w:hAnsi="Courier New" w:eastAsia="宋体" w:cs="Courier New"/>
      <w:szCs w:val="21"/>
    </w:rPr>
  </w:style>
  <w:style w:type="character" w:customStyle="1" w:styleId="67">
    <w:name w:val="标题 8 Char"/>
    <w:qFormat/>
    <w:uiPriority w:val="0"/>
    <w:rPr>
      <w:rFonts w:ascii="Arial" w:hAnsi="Arial" w:eastAsia="黑体"/>
      <w:kern w:val="2"/>
      <w:sz w:val="24"/>
      <w:szCs w:val="24"/>
    </w:rPr>
  </w:style>
  <w:style w:type="character" w:customStyle="1" w:styleId="68">
    <w:name w:val="font51"/>
    <w:qFormat/>
    <w:uiPriority w:val="0"/>
    <w:rPr>
      <w:rFonts w:hint="default" w:ascii="Times New Roman" w:hAnsi="Times New Roman" w:cs="Times New Roman"/>
      <w:b/>
      <w:color w:val="000000"/>
      <w:sz w:val="18"/>
      <w:szCs w:val="18"/>
      <w:u w:val="none"/>
    </w:rPr>
  </w:style>
  <w:style w:type="character" w:customStyle="1" w:styleId="69">
    <w:name w:val="批注文字 字符1"/>
    <w:qFormat/>
    <w:uiPriority w:val="0"/>
    <w:rPr>
      <w:rFonts w:ascii="Times New Roman" w:hAnsi="Times New Roman"/>
      <w:kern w:val="2"/>
      <w:sz w:val="21"/>
      <w:szCs w:val="24"/>
    </w:rPr>
  </w:style>
  <w:style w:type="paragraph" w:customStyle="1" w:styleId="7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1">
    <w:name w:val="List Paragraph"/>
    <w:basedOn w:val="1"/>
    <w:qFormat/>
    <w:uiPriority w:val="34"/>
    <w:pPr>
      <w:ind w:firstLine="420" w:firstLineChars="200"/>
    </w:pPr>
  </w:style>
  <w:style w:type="paragraph" w:customStyle="1" w:styleId="7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3">
    <w:name w:val="Title1"/>
    <w:basedOn w:val="1"/>
    <w:next w:val="1"/>
    <w:qFormat/>
    <w:uiPriority w:val="0"/>
    <w:pPr>
      <w:jc w:val="center"/>
      <w:outlineLvl w:val="0"/>
    </w:pPr>
    <w:rPr>
      <w:rFonts w:ascii="Calibri Light" w:hAnsi="Calibri Light" w:eastAsia="Arial Unicode MS"/>
      <w:b/>
    </w:rPr>
  </w:style>
  <w:style w:type="paragraph" w:customStyle="1" w:styleId="74">
    <w:name w:val="默认段落字体 Para Char Char Char Char Char Char Char Char Char1 Char Char Char Char"/>
    <w:basedOn w:val="1"/>
    <w:qFormat/>
    <w:uiPriority w:val="0"/>
    <w:rPr>
      <w:rFonts w:ascii="Tahoma" w:hAnsi="Tahoma"/>
      <w:sz w:val="24"/>
      <w:szCs w:val="20"/>
    </w:rPr>
  </w:style>
  <w:style w:type="paragraph" w:customStyle="1" w:styleId="75">
    <w:name w:val="样式 0正文 + 首行缩进:  2 字符1"/>
    <w:basedOn w:val="1"/>
    <w:qFormat/>
    <w:uiPriority w:val="99"/>
    <w:pPr>
      <w:spacing w:line="360" w:lineRule="auto"/>
      <w:ind w:firstLine="200" w:firstLineChars="200"/>
    </w:pPr>
    <w:rPr>
      <w:szCs w:val="20"/>
    </w:rPr>
  </w:style>
  <w:style w:type="paragraph" w:customStyle="1" w:styleId="76">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正文-公11"/>
    <w:basedOn w:val="1"/>
    <w:qFormat/>
    <w:uiPriority w:val="0"/>
    <w:pPr>
      <w:ind w:firstLine="200" w:firstLineChars="200"/>
      <w:jc w:val="left"/>
    </w:pPr>
    <w:rPr>
      <w:rFonts w:eastAsia="仿宋_GB2312"/>
    </w:rPr>
  </w:style>
  <w:style w:type="paragraph" w:customStyle="1" w:styleId="79">
    <w:name w:val="my正文"/>
    <w:basedOn w:val="1"/>
    <w:link w:val="80"/>
    <w:qFormat/>
    <w:uiPriority w:val="0"/>
    <w:pPr>
      <w:spacing w:line="360" w:lineRule="auto"/>
      <w:ind w:firstLine="480" w:firstLineChars="200"/>
    </w:pPr>
    <w:rPr>
      <w:sz w:val="24"/>
      <w:lang w:val="zh-CN"/>
    </w:rPr>
  </w:style>
  <w:style w:type="character" w:customStyle="1" w:styleId="80">
    <w:name w:val="my正文 Char"/>
    <w:link w:val="79"/>
    <w:qFormat/>
    <w:uiPriority w:val="0"/>
    <w:rPr>
      <w:rFonts w:ascii="Times New Roman" w:hAnsi="Times New Roman" w:eastAsia="宋体" w:cs="Times New Roman"/>
      <w:sz w:val="24"/>
      <w:szCs w:val="24"/>
      <w:lang w:val="zh-CN"/>
    </w:rPr>
  </w:style>
  <w:style w:type="character" w:customStyle="1" w:styleId="81">
    <w:name w:val="纯文本 Char2"/>
    <w:qFormat/>
    <w:uiPriority w:val="0"/>
    <w:rPr>
      <w:rFonts w:ascii="宋体" w:hAnsi="Courier New" w:eastAsia="宋体" w:cs="Courier New"/>
      <w:szCs w:val="21"/>
    </w:rPr>
  </w:style>
  <w:style w:type="character" w:customStyle="1" w:styleId="82">
    <w:name w:val="脚注文本 字符"/>
    <w:basedOn w:val="31"/>
    <w:link w:val="24"/>
    <w:qFormat/>
    <w:uiPriority w:val="99"/>
    <w:rPr>
      <w:rFonts w:ascii="Times New Roman" w:hAnsi="Times New Roman" w:eastAsia="宋体" w:cs="Times New Roman"/>
      <w:sz w:val="18"/>
      <w:szCs w:val="18"/>
    </w:rPr>
  </w:style>
  <w:style w:type="character" w:customStyle="1" w:styleId="83">
    <w:name w:val="正文文本缩进 2 字符"/>
    <w:basedOn w:val="31"/>
    <w:link w:val="19"/>
    <w:semiHidden/>
    <w:qFormat/>
    <w:uiPriority w:val="99"/>
    <w:rPr>
      <w:rFonts w:ascii="Times New Roman" w:hAnsi="Times New Roman" w:eastAsia="宋体" w:cs="Times New Roman"/>
      <w:szCs w:val="24"/>
    </w:rPr>
  </w:style>
  <w:style w:type="paragraph" w:customStyle="1" w:styleId="8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B94FE-A93E-4CE8-A27F-B323C4A5B7DC}">
  <ds:schemaRefs/>
</ds:datastoreItem>
</file>

<file path=docProps/app.xml><?xml version="1.0" encoding="utf-8"?>
<Properties xmlns="http://schemas.openxmlformats.org/officeDocument/2006/extended-properties" xmlns:vt="http://schemas.openxmlformats.org/officeDocument/2006/docPropsVTypes">
  <Template>Normal</Template>
  <Pages>105</Pages>
  <Words>7226</Words>
  <Characters>7983</Characters>
  <Lines>444</Lines>
  <Paragraphs>125</Paragraphs>
  <TotalTime>23</TotalTime>
  <ScaleCrop>false</ScaleCrop>
  <LinksUpToDate>false</LinksUpToDate>
  <CharactersWithSpaces>8122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2025-04-08T01:07:00Z</dcterms:created>
  <dc:creator>Dell</dc:creator>
  <cp:lastModifiedBy>FROM</cp:lastModifiedBy>
  <dcterms:modified xsi:type="dcterms:W3CDTF">2026-01-21T00:25:35Z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eyJoZGlkIjoiY2NmYmNhODQxOWNkODc0ZjYxNTI4MThkY2UxMGM3NzYiLCJ1c2VySWQiOiIyNDM4MzE4OSJ9</vt:lpwstr>
  </property>
  <property fmtid="{D5CDD505-2E9C-101B-9397-08002B2CF9AE}" pid="3" name="KSOProductBuildVer">
    <vt:lpwstr>2052-12.1.0.24657</vt:lpwstr>
  </property>
  <property fmtid="{D5CDD505-2E9C-101B-9397-08002B2CF9AE}" pid="4" name="ICV">
    <vt:lpwstr>3FBF06EB58FD43EEA19137A0FE89E3EF_13</vt:lpwstr>
  </property>
</Properties>
</file>