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0D98B">
      <w:pPr>
        <w:jc w:val="center"/>
        <w:rPr>
          <w:rFonts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899160" cy="932815"/>
            <wp:effectExtent l="0" t="0" r="15240" b="635"/>
            <wp:docPr id="1" name="图片 2"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文名片"/>
                    <pic:cNvPicPr>
                      <a:picLocks noChangeAspect="1"/>
                    </pic:cNvPicPr>
                  </pic:nvPicPr>
                  <pic:blipFill>
                    <a:blip r:embed="rId12"/>
                    <a:stretch>
                      <a:fillRect/>
                    </a:stretch>
                  </pic:blipFill>
                  <pic:spPr>
                    <a:xfrm>
                      <a:off x="0" y="0"/>
                      <a:ext cx="899160" cy="932815"/>
                    </a:xfrm>
                    <a:prstGeom prst="rect">
                      <a:avLst/>
                    </a:prstGeom>
                    <a:noFill/>
                    <a:ln>
                      <a:noFill/>
                    </a:ln>
                  </pic:spPr>
                </pic:pic>
              </a:graphicData>
            </a:graphic>
          </wp:inline>
        </w:drawing>
      </w:r>
    </w:p>
    <w:p w14:paraId="4E9141BB">
      <w:pPr>
        <w:jc w:val="center"/>
        <w:rPr>
          <w:rFonts w:ascii="仿宋" w:hAnsi="仿宋" w:eastAsia="仿宋" w:cs="仿宋"/>
          <w:color w:val="auto"/>
          <w:kern w:val="0"/>
          <w:sz w:val="52"/>
          <w:szCs w:val="21"/>
          <w:highlight w:val="none"/>
        </w:rPr>
      </w:pPr>
      <w:r>
        <w:rPr>
          <w:rFonts w:hint="eastAsia" w:ascii="仿宋" w:hAnsi="仿宋" w:eastAsia="仿宋" w:cs="仿宋"/>
          <w:color w:val="auto"/>
          <w:kern w:val="0"/>
          <w:sz w:val="52"/>
          <w:szCs w:val="21"/>
          <w:highlight w:val="none"/>
        </w:rPr>
        <w:t>广 西 科 文 招 标 有 限 公 司</w:t>
      </w:r>
    </w:p>
    <w:p w14:paraId="2DC29D4F">
      <w:pPr>
        <w:jc w:val="center"/>
        <w:rPr>
          <w:rFonts w:ascii="仿宋" w:hAnsi="仿宋" w:eastAsia="仿宋" w:cs="仿宋"/>
          <w:b/>
          <w:color w:val="auto"/>
          <w:kern w:val="0"/>
          <w:sz w:val="44"/>
          <w:szCs w:val="44"/>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99060</wp:posOffset>
                </wp:positionV>
                <wp:extent cx="5486400" cy="0"/>
                <wp:effectExtent l="0" t="6350" r="0" b="6350"/>
                <wp:wrapNone/>
                <wp:docPr id="2" name="直接连接符 8"/>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接连接符 8" o:spid="_x0000_s1026" o:spt="20" style="position:absolute;left:0pt;margin-left:9pt;margin-top:7.8pt;height:0pt;width:432pt;z-index:251661312;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awUM&#10;1AAAAAgBAAAPAAAAAAAAAAEAIAAAACIAAABkcnMvZG93bnJldi54bWxQSwECFAAUAAAACACHTuJA&#10;cbV4d+wBAADZAwAADgAAAAAAAAABACAAAAAjAQAAZHJzL2Uyb0RvYy54bWxQSwUGAAAAAAYABgBZ&#10;AQAAgQUAAAAA&#10;">
                <v:fill on="f" focussize="0,0"/>
                <v:stroke weight="1pt" color="#000000" joinstyle="round"/>
                <v:imagedata o:title=""/>
                <o:lock v:ext="edit" aspectratio="f"/>
              </v:line>
            </w:pict>
          </mc:Fallback>
        </mc:AlternateContent>
      </w:r>
    </w:p>
    <w:p w14:paraId="550D5630">
      <w:pPr>
        <w:pStyle w:val="18"/>
        <w:tabs>
          <w:tab w:val="center" w:pos="4536"/>
          <w:tab w:val="right" w:pos="9072"/>
        </w:tabs>
        <w:jc w:val="left"/>
        <w:rPr>
          <w:rFonts w:ascii="仿宋" w:hAnsi="仿宋" w:eastAsia="仿宋" w:cs="仿宋"/>
          <w:b/>
          <w:color w:val="auto"/>
          <w:sz w:val="44"/>
          <w:szCs w:val="44"/>
          <w:highlight w:val="none"/>
        </w:rPr>
      </w:pPr>
    </w:p>
    <w:p w14:paraId="388D76F0">
      <w:pPr>
        <w:snapToGrid w:val="0"/>
        <w:spacing w:before="156" w:beforeLines="50" w:line="360" w:lineRule="auto"/>
        <w:jc w:val="center"/>
        <w:rPr>
          <w:rFonts w:ascii="仿宋" w:hAnsi="仿宋" w:eastAsia="仿宋" w:cs="仿宋"/>
          <w:color w:val="auto"/>
          <w:sz w:val="120"/>
          <w:szCs w:val="120"/>
          <w:highlight w:val="none"/>
        </w:rPr>
      </w:pPr>
      <w:r>
        <w:rPr>
          <w:rFonts w:hint="eastAsia" w:ascii="仿宋" w:hAnsi="仿宋" w:eastAsia="仿宋" w:cs="仿宋"/>
          <w:color w:val="auto"/>
          <w:sz w:val="96"/>
          <w:szCs w:val="96"/>
          <w:highlight w:val="none"/>
        </w:rPr>
        <w:t>竞争性磋商文件</w:t>
      </w:r>
    </w:p>
    <w:p w14:paraId="0D4E4DDD">
      <w:pPr>
        <w:snapToGrid w:val="0"/>
        <w:spacing w:before="156" w:beforeLines="50" w:line="360" w:lineRule="auto"/>
        <w:jc w:val="center"/>
        <w:rPr>
          <w:rFonts w:ascii="仿宋" w:hAnsi="仿宋" w:eastAsia="仿宋" w:cs="仿宋"/>
          <w:b/>
          <w:color w:val="auto"/>
          <w:sz w:val="48"/>
          <w:szCs w:val="48"/>
          <w:highlight w:val="none"/>
        </w:rPr>
      </w:pPr>
      <w:r>
        <w:rPr>
          <w:rFonts w:hint="eastAsia" w:ascii="仿宋" w:hAnsi="仿宋" w:eastAsia="仿宋" w:cs="仿宋"/>
          <w:color w:val="auto"/>
          <w:sz w:val="20"/>
          <w:szCs w:val="20"/>
          <w:highlight w:val="none"/>
        </w:rPr>
        <w:t>（全流程电子化采购）</w:t>
      </w:r>
    </w:p>
    <w:p w14:paraId="54F1A531">
      <w:pPr>
        <w:pStyle w:val="18"/>
        <w:snapToGrid w:val="0"/>
        <w:spacing w:line="360" w:lineRule="auto"/>
        <w:jc w:val="center"/>
        <w:rPr>
          <w:rFonts w:ascii="仿宋" w:hAnsi="仿宋" w:eastAsia="仿宋" w:cs="仿宋"/>
          <w:b/>
          <w:bCs/>
          <w:color w:val="auto"/>
          <w:sz w:val="30"/>
          <w:szCs w:val="30"/>
          <w:highlight w:val="none"/>
        </w:rPr>
      </w:pPr>
    </w:p>
    <w:p w14:paraId="10E94605">
      <w:pPr>
        <w:pStyle w:val="18"/>
        <w:snapToGrid w:val="0"/>
        <w:spacing w:line="360" w:lineRule="auto"/>
        <w:jc w:val="center"/>
        <w:rPr>
          <w:rFonts w:hint="eastAsia" w:ascii="仿宋" w:hAnsi="仿宋" w:eastAsia="仿宋" w:cs="仿宋"/>
          <w:b/>
          <w:bCs/>
          <w:color w:val="auto"/>
          <w:kern w:val="44"/>
          <w:sz w:val="32"/>
          <w:szCs w:val="32"/>
          <w:highlight w:val="none"/>
          <w:lang w:eastAsia="zh-CN"/>
        </w:rPr>
      </w:pPr>
      <w:r>
        <w:rPr>
          <w:rFonts w:hint="eastAsia" w:ascii="仿宋" w:hAnsi="仿宋" w:eastAsia="仿宋" w:cs="仿宋"/>
          <w:b/>
          <w:bCs/>
          <w:color w:val="auto"/>
          <w:kern w:val="44"/>
          <w:sz w:val="32"/>
          <w:szCs w:val="32"/>
          <w:highlight w:val="none"/>
        </w:rPr>
        <w:t>项目名称：</w:t>
      </w:r>
      <w:r>
        <w:rPr>
          <w:rFonts w:hint="eastAsia" w:ascii="仿宋" w:hAnsi="仿宋" w:eastAsia="仿宋" w:cs="仿宋"/>
          <w:b/>
          <w:bCs/>
          <w:color w:val="auto"/>
          <w:kern w:val="44"/>
          <w:sz w:val="32"/>
          <w:szCs w:val="32"/>
          <w:highlight w:val="none"/>
          <w:lang w:eastAsia="zh-CN"/>
        </w:rPr>
        <w:t>区外（华北华东华中等）机场媒体投放</w:t>
      </w:r>
    </w:p>
    <w:p w14:paraId="05615547">
      <w:pPr>
        <w:pStyle w:val="18"/>
        <w:snapToGrid w:val="0"/>
        <w:spacing w:line="360" w:lineRule="auto"/>
        <w:jc w:val="center"/>
        <w:rPr>
          <w:rFonts w:hint="eastAsia" w:ascii="仿宋" w:hAnsi="仿宋" w:eastAsia="仿宋" w:cs="仿宋"/>
          <w:b/>
          <w:bCs/>
          <w:color w:val="auto"/>
          <w:kern w:val="44"/>
          <w:sz w:val="36"/>
          <w:szCs w:val="36"/>
          <w:highlight w:val="none"/>
          <w:lang w:eastAsia="zh-CN"/>
        </w:rPr>
      </w:pPr>
      <w:r>
        <w:rPr>
          <w:rFonts w:hint="eastAsia" w:ascii="仿宋" w:hAnsi="仿宋" w:eastAsia="仿宋" w:cs="仿宋"/>
          <w:b/>
          <w:bCs/>
          <w:color w:val="auto"/>
          <w:kern w:val="44"/>
          <w:sz w:val="32"/>
          <w:szCs w:val="32"/>
          <w:highlight w:val="none"/>
        </w:rPr>
        <w:t>项目编号：</w:t>
      </w:r>
      <w:r>
        <w:rPr>
          <w:rFonts w:hint="eastAsia" w:ascii="仿宋" w:hAnsi="仿宋" w:eastAsia="仿宋" w:cs="仿宋"/>
          <w:b/>
          <w:bCs/>
          <w:color w:val="auto"/>
          <w:kern w:val="44"/>
          <w:sz w:val="36"/>
          <w:szCs w:val="36"/>
          <w:highlight w:val="none"/>
          <w:lang w:eastAsia="zh-CN"/>
        </w:rPr>
        <w:t>GXZC2026-C3-000556-KWZB</w:t>
      </w:r>
    </w:p>
    <w:p w14:paraId="50F95919">
      <w:pPr>
        <w:pStyle w:val="18"/>
        <w:snapToGrid w:val="0"/>
        <w:spacing w:line="360" w:lineRule="auto"/>
        <w:ind w:firstLine="1205" w:firstLineChars="400"/>
        <w:rPr>
          <w:rFonts w:ascii="仿宋" w:hAnsi="仿宋" w:eastAsia="仿宋" w:cs="仿宋"/>
          <w:b/>
          <w:bCs/>
          <w:color w:val="auto"/>
          <w:sz w:val="30"/>
          <w:szCs w:val="30"/>
          <w:highlight w:val="none"/>
        </w:rPr>
      </w:pPr>
    </w:p>
    <w:p w14:paraId="53050689">
      <w:pPr>
        <w:snapToGrid w:val="0"/>
        <w:spacing w:line="360" w:lineRule="auto"/>
        <w:ind w:firstLine="1145" w:firstLineChars="400"/>
        <w:rPr>
          <w:rFonts w:ascii="仿宋" w:hAnsi="仿宋" w:eastAsia="仿宋" w:cs="仿宋"/>
          <w:b/>
          <w:bCs/>
          <w:color w:val="auto"/>
          <w:w w:val="95"/>
          <w:sz w:val="30"/>
          <w:szCs w:val="30"/>
          <w:highlight w:val="none"/>
        </w:rPr>
      </w:pPr>
    </w:p>
    <w:p w14:paraId="75714F38">
      <w:pPr>
        <w:snapToGrid w:val="0"/>
        <w:spacing w:line="360" w:lineRule="auto"/>
        <w:ind w:firstLine="1145" w:firstLineChars="400"/>
        <w:rPr>
          <w:rFonts w:ascii="仿宋" w:hAnsi="仿宋" w:eastAsia="仿宋" w:cs="仿宋"/>
          <w:b/>
          <w:bCs/>
          <w:color w:val="auto"/>
          <w:w w:val="95"/>
          <w:sz w:val="30"/>
          <w:szCs w:val="30"/>
          <w:highlight w:val="none"/>
        </w:rPr>
      </w:pPr>
    </w:p>
    <w:p w14:paraId="4976FE37">
      <w:pPr>
        <w:snapToGrid w:val="0"/>
        <w:spacing w:line="360" w:lineRule="auto"/>
        <w:ind w:firstLine="1205" w:firstLineChars="400"/>
        <w:rPr>
          <w:rFonts w:ascii="仿宋" w:hAnsi="仿宋" w:eastAsia="仿宋" w:cs="仿宋"/>
          <w:color w:val="auto"/>
          <w:sz w:val="30"/>
          <w:szCs w:val="72"/>
          <w:highlight w:val="none"/>
        </w:rPr>
      </w:pPr>
      <w:r>
        <w:rPr>
          <w:rFonts w:hint="eastAsia" w:ascii="仿宋" w:hAnsi="仿宋" w:eastAsia="仿宋" w:cs="仿宋"/>
          <w:b/>
          <w:color w:val="auto"/>
          <w:sz w:val="30"/>
          <w:szCs w:val="48"/>
          <w:highlight w:val="none"/>
        </w:rPr>
        <w:t xml:space="preserve"> </w:t>
      </w:r>
    </w:p>
    <w:p w14:paraId="13B11555">
      <w:pPr>
        <w:pStyle w:val="18"/>
        <w:snapToGrid w:val="0"/>
        <w:spacing w:line="360" w:lineRule="auto"/>
        <w:jc w:val="center"/>
        <w:rPr>
          <w:rFonts w:hint="eastAsia" w:ascii="仿宋" w:hAnsi="仿宋" w:eastAsia="仿宋" w:cs="仿宋"/>
          <w:b/>
          <w:bCs/>
          <w:color w:val="auto"/>
          <w:w w:val="95"/>
          <w:sz w:val="30"/>
          <w:szCs w:val="30"/>
          <w:highlight w:val="none"/>
          <w:lang w:eastAsia="zh-CN"/>
        </w:rPr>
      </w:pPr>
      <w:r>
        <w:rPr>
          <w:rFonts w:hint="eastAsia" w:ascii="仿宋" w:hAnsi="仿宋" w:eastAsia="仿宋" w:cs="仿宋"/>
          <w:b/>
          <w:bCs/>
          <w:color w:val="auto"/>
          <w:w w:val="95"/>
          <w:sz w:val="30"/>
          <w:szCs w:val="30"/>
          <w:highlight w:val="none"/>
        </w:rPr>
        <w:t>采 购 人：</w:t>
      </w:r>
      <w:r>
        <w:rPr>
          <w:rFonts w:hint="eastAsia" w:ascii="仿宋" w:hAnsi="仿宋" w:eastAsia="仿宋" w:cs="仿宋"/>
          <w:b/>
          <w:color w:val="auto"/>
          <w:sz w:val="32"/>
          <w:szCs w:val="32"/>
          <w:highlight w:val="none"/>
          <w:lang w:eastAsia="zh-CN"/>
        </w:rPr>
        <w:t>广西壮族自治区文化和旅游厅</w:t>
      </w:r>
    </w:p>
    <w:p w14:paraId="1577F8A2">
      <w:pPr>
        <w:pStyle w:val="18"/>
        <w:snapToGrid w:val="0"/>
        <w:spacing w:line="360" w:lineRule="auto"/>
        <w:jc w:val="center"/>
        <w:rPr>
          <w:rFonts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采购代理机构：</w:t>
      </w:r>
      <w:r>
        <w:rPr>
          <w:rFonts w:hint="eastAsia" w:ascii="仿宋" w:hAnsi="仿宋" w:eastAsia="仿宋" w:cs="仿宋"/>
          <w:b/>
          <w:color w:val="auto"/>
          <w:sz w:val="32"/>
          <w:szCs w:val="32"/>
          <w:highlight w:val="none"/>
        </w:rPr>
        <w:t>广西科文招标有限公司</w:t>
      </w:r>
    </w:p>
    <w:p w14:paraId="64D2EFC5">
      <w:pPr>
        <w:pStyle w:val="18"/>
        <w:snapToGrid w:val="0"/>
        <w:spacing w:line="360" w:lineRule="auto"/>
        <w:ind w:left="420"/>
        <w:jc w:val="center"/>
        <w:rPr>
          <w:rFonts w:ascii="仿宋" w:hAnsi="仿宋" w:eastAsia="仿宋" w:cs="仿宋"/>
          <w:b/>
          <w:bCs/>
          <w:color w:val="auto"/>
          <w:w w:val="95"/>
          <w:sz w:val="30"/>
          <w:szCs w:val="30"/>
          <w:highlight w:val="none"/>
        </w:rPr>
      </w:pPr>
      <w:r>
        <w:rPr>
          <w:rFonts w:hint="eastAsia" w:ascii="仿宋" w:hAnsi="仿宋" w:eastAsia="仿宋" w:cs="仿宋"/>
          <w:b/>
          <w:bCs/>
          <w:color w:val="auto"/>
          <w:w w:val="95"/>
          <w:sz w:val="30"/>
          <w:szCs w:val="30"/>
          <w:highlight w:val="none"/>
        </w:rPr>
        <w:t>2026年</w:t>
      </w:r>
      <w:r>
        <w:rPr>
          <w:rFonts w:hint="eastAsia" w:ascii="仿宋" w:hAnsi="仿宋" w:eastAsia="仿宋" w:cs="仿宋"/>
          <w:b/>
          <w:bCs/>
          <w:color w:val="auto"/>
          <w:w w:val="95"/>
          <w:sz w:val="30"/>
          <w:szCs w:val="30"/>
          <w:highlight w:val="none"/>
          <w:lang w:val="en-US" w:eastAsia="zh-CN"/>
        </w:rPr>
        <w:t>3</w:t>
      </w:r>
      <w:r>
        <w:rPr>
          <w:rFonts w:hint="eastAsia" w:ascii="仿宋" w:hAnsi="仿宋" w:eastAsia="仿宋" w:cs="仿宋"/>
          <w:b/>
          <w:bCs/>
          <w:color w:val="auto"/>
          <w:w w:val="95"/>
          <w:sz w:val="30"/>
          <w:szCs w:val="30"/>
          <w:highlight w:val="none"/>
        </w:rPr>
        <w:t>月</w:t>
      </w:r>
      <w:r>
        <w:rPr>
          <w:rFonts w:hint="eastAsia" w:ascii="仿宋" w:hAnsi="仿宋" w:eastAsia="仿宋" w:cs="仿宋"/>
          <w:b/>
          <w:bCs/>
          <w:color w:val="auto"/>
          <w:w w:val="95"/>
          <w:sz w:val="30"/>
          <w:szCs w:val="30"/>
          <w:highlight w:val="none"/>
          <w:lang w:val="en-US" w:eastAsia="zh-CN"/>
        </w:rPr>
        <w:t>20</w:t>
      </w:r>
      <w:r>
        <w:rPr>
          <w:rFonts w:hint="eastAsia" w:ascii="仿宋" w:hAnsi="仿宋" w:eastAsia="仿宋" w:cs="仿宋"/>
          <w:b/>
          <w:bCs/>
          <w:color w:val="auto"/>
          <w:w w:val="95"/>
          <w:sz w:val="30"/>
          <w:szCs w:val="30"/>
          <w:highlight w:val="none"/>
        </w:rPr>
        <w:t>日</w:t>
      </w:r>
    </w:p>
    <w:p w14:paraId="2AFBA44F">
      <w:pPr>
        <w:spacing w:line="360" w:lineRule="auto"/>
        <w:jc w:val="center"/>
        <w:rPr>
          <w:rFonts w:ascii="仿宋" w:hAnsi="仿宋" w:eastAsia="仿宋" w:cs="仿宋"/>
          <w:b/>
          <w:bCs/>
          <w:color w:val="auto"/>
          <w:kern w:val="0"/>
          <w:sz w:val="32"/>
          <w:szCs w:val="32"/>
          <w:highlight w:val="none"/>
        </w:rPr>
      </w:pPr>
    </w:p>
    <w:p w14:paraId="4900BA28">
      <w:pPr>
        <w:widowControl/>
        <w:jc w:val="left"/>
        <w:rPr>
          <w:rFonts w:ascii="仿宋" w:hAnsi="仿宋" w:eastAsia="仿宋" w:cs="仿宋"/>
          <w:b/>
          <w:color w:val="auto"/>
          <w:sz w:val="44"/>
          <w:szCs w:val="44"/>
          <w:highlight w:val="none"/>
        </w:rPr>
      </w:pPr>
    </w:p>
    <w:p w14:paraId="51F70939">
      <w:pPr>
        <w:spacing w:line="360" w:lineRule="auto"/>
        <w:jc w:val="center"/>
        <w:rPr>
          <w:rFonts w:ascii="仿宋" w:hAnsi="仿宋" w:eastAsia="仿宋" w:cs="仿宋"/>
          <w:b/>
          <w:color w:val="auto"/>
          <w:sz w:val="44"/>
          <w:szCs w:val="44"/>
          <w:highlight w:val="none"/>
        </w:rPr>
      </w:pPr>
    </w:p>
    <w:p w14:paraId="5C37B97C">
      <w:pPr>
        <w:spacing w:line="360" w:lineRule="auto"/>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bookmarkStart w:id="149" w:name="_GoBack"/>
      <w:bookmarkEnd w:id="149"/>
    </w:p>
    <w:p w14:paraId="3B48E61E">
      <w:pPr>
        <w:spacing w:line="400" w:lineRule="exact"/>
        <w:jc w:val="center"/>
        <w:rPr>
          <w:rFonts w:ascii="仿宋" w:hAnsi="仿宋" w:eastAsia="仿宋" w:cs="仿宋"/>
          <w:b/>
          <w:color w:val="auto"/>
          <w:sz w:val="44"/>
          <w:szCs w:val="44"/>
          <w:highlight w:val="none"/>
        </w:rPr>
      </w:pPr>
    </w:p>
    <w:p w14:paraId="0D90CB7D">
      <w:pPr>
        <w:pStyle w:val="24"/>
        <w:tabs>
          <w:tab w:val="right" w:leader="dot" w:pos="9072"/>
        </w:tabs>
        <w:rPr>
          <w:rFonts w:ascii="仿宋" w:hAnsi="仿宋" w:eastAsia="仿宋" w:cs="仿宋"/>
          <w:color w:val="auto"/>
          <w:sz w:val="28"/>
          <w:szCs w:val="36"/>
          <w:highlight w:val="none"/>
        </w:rPr>
      </w:pPr>
      <w:r>
        <w:rPr>
          <w:rFonts w:hint="eastAsia" w:ascii="仿宋" w:hAnsi="仿宋" w:eastAsia="仿宋" w:cs="仿宋"/>
          <w:b/>
          <w:bCs/>
          <w:caps/>
          <w:color w:val="auto"/>
          <w:sz w:val="24"/>
          <w:highlight w:val="none"/>
        </w:rPr>
        <w:fldChar w:fldCharType="begin"/>
      </w:r>
      <w:r>
        <w:rPr>
          <w:rFonts w:hint="eastAsia" w:ascii="仿宋" w:hAnsi="仿宋" w:eastAsia="仿宋" w:cs="仿宋"/>
          <w:b/>
          <w:bCs/>
          <w:caps/>
          <w:color w:val="auto"/>
          <w:sz w:val="24"/>
          <w:highlight w:val="none"/>
        </w:rPr>
        <w:instrText xml:space="preserve"> TOC \o "1-3" \h \z \u </w:instrText>
      </w:r>
      <w:r>
        <w:rPr>
          <w:rFonts w:hint="eastAsia" w:ascii="仿宋" w:hAnsi="仿宋" w:eastAsia="仿宋" w:cs="仿宋"/>
          <w:b/>
          <w:bCs/>
          <w:caps/>
          <w:color w:val="auto"/>
          <w:sz w:val="24"/>
          <w:highlight w:val="none"/>
        </w:rPr>
        <w:fldChar w:fldCharType="separate"/>
      </w:r>
      <w:r>
        <w:rPr>
          <w:color w:val="auto"/>
          <w:highlight w:val="none"/>
        </w:rPr>
        <w:fldChar w:fldCharType="begin"/>
      </w:r>
      <w:r>
        <w:rPr>
          <w:color w:val="auto"/>
          <w:highlight w:val="none"/>
        </w:rPr>
        <w:instrText xml:space="preserve"> HYPERLINK \l "_Toc29415" </w:instrText>
      </w:r>
      <w:r>
        <w:rPr>
          <w:color w:val="auto"/>
          <w:highlight w:val="none"/>
        </w:rPr>
        <w:fldChar w:fldCharType="separate"/>
      </w:r>
      <w:r>
        <w:rPr>
          <w:rFonts w:hint="eastAsia" w:ascii="仿宋" w:hAnsi="仿宋" w:eastAsia="仿宋" w:cs="仿宋"/>
          <w:color w:val="auto"/>
          <w:sz w:val="28"/>
          <w:szCs w:val="36"/>
          <w:highlight w:val="none"/>
        </w:rPr>
        <w:t>第一章 竞争性磋商公告</w:t>
      </w:r>
      <w:r>
        <w:rPr>
          <w:rFonts w:hint="eastAsia" w:ascii="仿宋" w:hAnsi="仿宋" w:eastAsia="仿宋" w:cs="仿宋"/>
          <w:color w:val="auto"/>
          <w:sz w:val="28"/>
          <w:szCs w:val="36"/>
          <w:highlight w:val="none"/>
        </w:rPr>
        <w:tab/>
      </w:r>
      <w:r>
        <w:rPr>
          <w:rFonts w:hint="eastAsia" w:ascii="仿宋" w:hAnsi="仿宋" w:eastAsia="仿宋" w:cs="仿宋"/>
          <w:color w:val="auto"/>
          <w:sz w:val="28"/>
          <w:szCs w:val="36"/>
          <w:highlight w:val="none"/>
        </w:rPr>
        <w:fldChar w:fldCharType="begin"/>
      </w:r>
      <w:r>
        <w:rPr>
          <w:rFonts w:hint="eastAsia" w:ascii="仿宋" w:hAnsi="仿宋" w:eastAsia="仿宋" w:cs="仿宋"/>
          <w:color w:val="auto"/>
          <w:sz w:val="28"/>
          <w:szCs w:val="36"/>
          <w:highlight w:val="none"/>
        </w:rPr>
        <w:instrText xml:space="preserve"> PAGEREF _Toc29415 \h </w:instrText>
      </w:r>
      <w:r>
        <w:rPr>
          <w:rFonts w:hint="eastAsia" w:ascii="仿宋" w:hAnsi="仿宋" w:eastAsia="仿宋" w:cs="仿宋"/>
          <w:color w:val="auto"/>
          <w:sz w:val="28"/>
          <w:szCs w:val="36"/>
          <w:highlight w:val="none"/>
        </w:rPr>
        <w:fldChar w:fldCharType="separate"/>
      </w:r>
      <w:r>
        <w:rPr>
          <w:rFonts w:hint="eastAsia" w:ascii="仿宋" w:hAnsi="仿宋" w:eastAsia="仿宋" w:cs="仿宋"/>
          <w:color w:val="auto"/>
          <w:sz w:val="28"/>
          <w:szCs w:val="36"/>
          <w:highlight w:val="none"/>
        </w:rPr>
        <w:t>2</w:t>
      </w:r>
      <w:r>
        <w:rPr>
          <w:rFonts w:hint="eastAsia" w:ascii="仿宋" w:hAnsi="仿宋" w:eastAsia="仿宋" w:cs="仿宋"/>
          <w:color w:val="auto"/>
          <w:sz w:val="28"/>
          <w:szCs w:val="36"/>
          <w:highlight w:val="none"/>
        </w:rPr>
        <w:fldChar w:fldCharType="end"/>
      </w:r>
      <w:r>
        <w:rPr>
          <w:rFonts w:hint="eastAsia" w:ascii="仿宋" w:hAnsi="仿宋" w:eastAsia="仿宋" w:cs="仿宋"/>
          <w:color w:val="auto"/>
          <w:sz w:val="28"/>
          <w:szCs w:val="36"/>
          <w:highlight w:val="none"/>
        </w:rPr>
        <w:fldChar w:fldCharType="end"/>
      </w:r>
    </w:p>
    <w:p w14:paraId="2E72D007">
      <w:pPr>
        <w:pStyle w:val="24"/>
        <w:tabs>
          <w:tab w:val="right" w:leader="dot" w:pos="9072"/>
        </w:tabs>
        <w:rPr>
          <w:rFonts w:ascii="仿宋" w:hAnsi="仿宋" w:eastAsia="仿宋" w:cs="仿宋"/>
          <w:color w:val="auto"/>
          <w:sz w:val="28"/>
          <w:szCs w:val="36"/>
          <w:highlight w:val="none"/>
        </w:rPr>
      </w:pPr>
      <w:r>
        <w:rPr>
          <w:color w:val="auto"/>
          <w:highlight w:val="none"/>
        </w:rPr>
        <w:fldChar w:fldCharType="begin"/>
      </w:r>
      <w:r>
        <w:rPr>
          <w:color w:val="auto"/>
          <w:highlight w:val="none"/>
        </w:rPr>
        <w:instrText xml:space="preserve"> HYPERLINK \l "_Toc30495" </w:instrText>
      </w:r>
      <w:r>
        <w:rPr>
          <w:color w:val="auto"/>
          <w:highlight w:val="none"/>
        </w:rPr>
        <w:fldChar w:fldCharType="separate"/>
      </w:r>
      <w:r>
        <w:rPr>
          <w:rFonts w:hint="eastAsia" w:ascii="仿宋" w:hAnsi="仿宋" w:eastAsia="仿宋" w:cs="仿宋"/>
          <w:color w:val="auto"/>
          <w:sz w:val="28"/>
          <w:szCs w:val="36"/>
          <w:highlight w:val="none"/>
        </w:rPr>
        <w:t>第二章 供应商须知</w:t>
      </w:r>
      <w:r>
        <w:rPr>
          <w:rFonts w:hint="eastAsia" w:ascii="仿宋" w:hAnsi="仿宋" w:eastAsia="仿宋" w:cs="仿宋"/>
          <w:color w:val="auto"/>
          <w:sz w:val="28"/>
          <w:szCs w:val="36"/>
          <w:highlight w:val="none"/>
        </w:rPr>
        <w:tab/>
      </w:r>
      <w:r>
        <w:rPr>
          <w:rFonts w:hint="eastAsia" w:ascii="仿宋" w:hAnsi="仿宋" w:eastAsia="仿宋" w:cs="仿宋"/>
          <w:color w:val="auto"/>
          <w:sz w:val="28"/>
          <w:szCs w:val="36"/>
          <w:highlight w:val="none"/>
        </w:rPr>
        <w:fldChar w:fldCharType="begin"/>
      </w:r>
      <w:r>
        <w:rPr>
          <w:rFonts w:hint="eastAsia" w:ascii="仿宋" w:hAnsi="仿宋" w:eastAsia="仿宋" w:cs="仿宋"/>
          <w:color w:val="auto"/>
          <w:sz w:val="28"/>
          <w:szCs w:val="36"/>
          <w:highlight w:val="none"/>
        </w:rPr>
        <w:instrText xml:space="preserve"> PAGEREF _Toc30495 \h </w:instrText>
      </w:r>
      <w:r>
        <w:rPr>
          <w:rFonts w:hint="eastAsia" w:ascii="仿宋" w:hAnsi="仿宋" w:eastAsia="仿宋" w:cs="仿宋"/>
          <w:color w:val="auto"/>
          <w:sz w:val="28"/>
          <w:szCs w:val="36"/>
          <w:highlight w:val="none"/>
        </w:rPr>
        <w:fldChar w:fldCharType="separate"/>
      </w:r>
      <w:r>
        <w:rPr>
          <w:rFonts w:hint="eastAsia" w:ascii="仿宋" w:hAnsi="仿宋" w:eastAsia="仿宋" w:cs="仿宋"/>
          <w:color w:val="auto"/>
          <w:sz w:val="28"/>
          <w:szCs w:val="36"/>
          <w:highlight w:val="none"/>
        </w:rPr>
        <w:t>6</w:t>
      </w:r>
      <w:r>
        <w:rPr>
          <w:rFonts w:hint="eastAsia" w:ascii="仿宋" w:hAnsi="仿宋" w:eastAsia="仿宋" w:cs="仿宋"/>
          <w:color w:val="auto"/>
          <w:sz w:val="28"/>
          <w:szCs w:val="36"/>
          <w:highlight w:val="none"/>
        </w:rPr>
        <w:fldChar w:fldCharType="end"/>
      </w:r>
      <w:r>
        <w:rPr>
          <w:rFonts w:hint="eastAsia" w:ascii="仿宋" w:hAnsi="仿宋" w:eastAsia="仿宋" w:cs="仿宋"/>
          <w:color w:val="auto"/>
          <w:sz w:val="28"/>
          <w:szCs w:val="36"/>
          <w:highlight w:val="none"/>
        </w:rPr>
        <w:fldChar w:fldCharType="end"/>
      </w:r>
    </w:p>
    <w:p w14:paraId="10048716">
      <w:pPr>
        <w:pStyle w:val="24"/>
        <w:tabs>
          <w:tab w:val="right" w:leader="dot" w:pos="9072"/>
        </w:tabs>
        <w:rPr>
          <w:rFonts w:ascii="仿宋" w:hAnsi="仿宋" w:eastAsia="仿宋" w:cs="仿宋"/>
          <w:color w:val="auto"/>
          <w:sz w:val="28"/>
          <w:szCs w:val="36"/>
          <w:highlight w:val="none"/>
        </w:rPr>
      </w:pPr>
      <w:r>
        <w:rPr>
          <w:color w:val="auto"/>
          <w:highlight w:val="none"/>
        </w:rPr>
        <w:fldChar w:fldCharType="begin"/>
      </w:r>
      <w:r>
        <w:rPr>
          <w:color w:val="auto"/>
          <w:highlight w:val="none"/>
        </w:rPr>
        <w:instrText xml:space="preserve"> HYPERLINK \l "_Toc10635" </w:instrText>
      </w:r>
      <w:r>
        <w:rPr>
          <w:color w:val="auto"/>
          <w:highlight w:val="none"/>
        </w:rPr>
        <w:fldChar w:fldCharType="separate"/>
      </w:r>
      <w:r>
        <w:rPr>
          <w:rFonts w:hint="eastAsia" w:ascii="仿宋" w:hAnsi="仿宋" w:eastAsia="仿宋" w:cs="仿宋"/>
          <w:bCs/>
          <w:color w:val="auto"/>
          <w:sz w:val="28"/>
          <w:szCs w:val="56"/>
          <w:highlight w:val="none"/>
        </w:rPr>
        <w:t>第三章 采购需求</w:t>
      </w:r>
      <w:r>
        <w:rPr>
          <w:rFonts w:hint="eastAsia" w:ascii="仿宋" w:hAnsi="仿宋" w:eastAsia="仿宋" w:cs="仿宋"/>
          <w:color w:val="auto"/>
          <w:sz w:val="28"/>
          <w:szCs w:val="36"/>
          <w:highlight w:val="none"/>
        </w:rPr>
        <w:tab/>
      </w:r>
      <w:r>
        <w:rPr>
          <w:rFonts w:hint="eastAsia" w:ascii="仿宋" w:hAnsi="仿宋" w:eastAsia="仿宋" w:cs="仿宋"/>
          <w:color w:val="auto"/>
          <w:sz w:val="28"/>
          <w:szCs w:val="36"/>
          <w:highlight w:val="none"/>
        </w:rPr>
        <w:fldChar w:fldCharType="begin"/>
      </w:r>
      <w:r>
        <w:rPr>
          <w:rFonts w:hint="eastAsia" w:ascii="仿宋" w:hAnsi="仿宋" w:eastAsia="仿宋" w:cs="仿宋"/>
          <w:color w:val="auto"/>
          <w:sz w:val="28"/>
          <w:szCs w:val="36"/>
          <w:highlight w:val="none"/>
        </w:rPr>
        <w:instrText xml:space="preserve"> PAGEREF _Toc10635 \h </w:instrText>
      </w:r>
      <w:r>
        <w:rPr>
          <w:rFonts w:hint="eastAsia" w:ascii="仿宋" w:hAnsi="仿宋" w:eastAsia="仿宋" w:cs="仿宋"/>
          <w:color w:val="auto"/>
          <w:sz w:val="28"/>
          <w:szCs w:val="36"/>
          <w:highlight w:val="none"/>
        </w:rPr>
        <w:fldChar w:fldCharType="separate"/>
      </w:r>
      <w:r>
        <w:rPr>
          <w:rFonts w:hint="eastAsia" w:ascii="仿宋" w:hAnsi="仿宋" w:eastAsia="仿宋" w:cs="仿宋"/>
          <w:color w:val="auto"/>
          <w:sz w:val="28"/>
          <w:szCs w:val="36"/>
          <w:highlight w:val="none"/>
        </w:rPr>
        <w:t>28</w:t>
      </w:r>
      <w:r>
        <w:rPr>
          <w:rFonts w:hint="eastAsia" w:ascii="仿宋" w:hAnsi="仿宋" w:eastAsia="仿宋" w:cs="仿宋"/>
          <w:color w:val="auto"/>
          <w:sz w:val="28"/>
          <w:szCs w:val="36"/>
          <w:highlight w:val="none"/>
        </w:rPr>
        <w:fldChar w:fldCharType="end"/>
      </w:r>
      <w:r>
        <w:rPr>
          <w:rFonts w:hint="eastAsia" w:ascii="仿宋" w:hAnsi="仿宋" w:eastAsia="仿宋" w:cs="仿宋"/>
          <w:color w:val="auto"/>
          <w:sz w:val="28"/>
          <w:szCs w:val="36"/>
          <w:highlight w:val="none"/>
        </w:rPr>
        <w:fldChar w:fldCharType="end"/>
      </w:r>
    </w:p>
    <w:p w14:paraId="3205ABD5">
      <w:pPr>
        <w:pStyle w:val="24"/>
        <w:tabs>
          <w:tab w:val="right" w:leader="dot" w:pos="9072"/>
        </w:tabs>
        <w:rPr>
          <w:rFonts w:ascii="仿宋" w:hAnsi="仿宋" w:eastAsia="仿宋" w:cs="仿宋"/>
          <w:color w:val="auto"/>
          <w:sz w:val="28"/>
          <w:szCs w:val="36"/>
          <w:highlight w:val="none"/>
        </w:rPr>
      </w:pPr>
      <w:r>
        <w:rPr>
          <w:color w:val="auto"/>
          <w:highlight w:val="none"/>
        </w:rPr>
        <w:fldChar w:fldCharType="begin"/>
      </w:r>
      <w:r>
        <w:rPr>
          <w:color w:val="auto"/>
          <w:highlight w:val="none"/>
        </w:rPr>
        <w:instrText xml:space="preserve"> HYPERLINK \l "_Toc16830" </w:instrText>
      </w:r>
      <w:r>
        <w:rPr>
          <w:color w:val="auto"/>
          <w:highlight w:val="none"/>
        </w:rPr>
        <w:fldChar w:fldCharType="separate"/>
      </w:r>
      <w:r>
        <w:rPr>
          <w:rFonts w:hint="eastAsia" w:ascii="仿宋" w:hAnsi="仿宋" w:eastAsia="仿宋" w:cs="仿宋"/>
          <w:color w:val="auto"/>
          <w:sz w:val="28"/>
          <w:szCs w:val="36"/>
          <w:highlight w:val="none"/>
        </w:rPr>
        <w:t>第四章 评审程序、评审方法和评审标准</w:t>
      </w:r>
      <w:r>
        <w:rPr>
          <w:rFonts w:hint="eastAsia" w:ascii="仿宋" w:hAnsi="仿宋" w:eastAsia="仿宋" w:cs="仿宋"/>
          <w:color w:val="auto"/>
          <w:sz w:val="28"/>
          <w:szCs w:val="36"/>
          <w:highlight w:val="none"/>
        </w:rPr>
        <w:tab/>
      </w:r>
      <w:r>
        <w:rPr>
          <w:rFonts w:hint="eastAsia" w:ascii="仿宋" w:hAnsi="仿宋" w:eastAsia="仿宋" w:cs="仿宋"/>
          <w:color w:val="auto"/>
          <w:sz w:val="28"/>
          <w:szCs w:val="36"/>
          <w:highlight w:val="none"/>
        </w:rPr>
        <w:fldChar w:fldCharType="begin"/>
      </w:r>
      <w:r>
        <w:rPr>
          <w:rFonts w:hint="eastAsia" w:ascii="仿宋" w:hAnsi="仿宋" w:eastAsia="仿宋" w:cs="仿宋"/>
          <w:color w:val="auto"/>
          <w:sz w:val="28"/>
          <w:szCs w:val="36"/>
          <w:highlight w:val="none"/>
        </w:rPr>
        <w:instrText xml:space="preserve"> PAGEREF _Toc16830 \h </w:instrText>
      </w:r>
      <w:r>
        <w:rPr>
          <w:rFonts w:hint="eastAsia" w:ascii="仿宋" w:hAnsi="仿宋" w:eastAsia="仿宋" w:cs="仿宋"/>
          <w:color w:val="auto"/>
          <w:sz w:val="28"/>
          <w:szCs w:val="36"/>
          <w:highlight w:val="none"/>
        </w:rPr>
        <w:fldChar w:fldCharType="separate"/>
      </w:r>
      <w:r>
        <w:rPr>
          <w:rFonts w:hint="eastAsia" w:ascii="仿宋" w:hAnsi="仿宋" w:eastAsia="仿宋" w:cs="仿宋"/>
          <w:color w:val="auto"/>
          <w:sz w:val="28"/>
          <w:szCs w:val="36"/>
          <w:highlight w:val="none"/>
        </w:rPr>
        <w:t>34</w:t>
      </w:r>
      <w:r>
        <w:rPr>
          <w:rFonts w:hint="eastAsia" w:ascii="仿宋" w:hAnsi="仿宋" w:eastAsia="仿宋" w:cs="仿宋"/>
          <w:color w:val="auto"/>
          <w:sz w:val="28"/>
          <w:szCs w:val="36"/>
          <w:highlight w:val="none"/>
        </w:rPr>
        <w:fldChar w:fldCharType="end"/>
      </w:r>
      <w:r>
        <w:rPr>
          <w:rFonts w:hint="eastAsia" w:ascii="仿宋" w:hAnsi="仿宋" w:eastAsia="仿宋" w:cs="仿宋"/>
          <w:color w:val="auto"/>
          <w:sz w:val="28"/>
          <w:szCs w:val="36"/>
          <w:highlight w:val="none"/>
        </w:rPr>
        <w:fldChar w:fldCharType="end"/>
      </w:r>
    </w:p>
    <w:p w14:paraId="7218BCD5">
      <w:pPr>
        <w:pStyle w:val="24"/>
        <w:tabs>
          <w:tab w:val="right" w:leader="dot" w:pos="9072"/>
        </w:tabs>
        <w:rPr>
          <w:rFonts w:ascii="仿宋" w:hAnsi="仿宋" w:eastAsia="仿宋" w:cs="仿宋"/>
          <w:color w:val="auto"/>
          <w:sz w:val="28"/>
          <w:szCs w:val="36"/>
          <w:highlight w:val="none"/>
        </w:rPr>
      </w:pPr>
      <w:r>
        <w:rPr>
          <w:color w:val="auto"/>
          <w:highlight w:val="none"/>
        </w:rPr>
        <w:fldChar w:fldCharType="begin"/>
      </w:r>
      <w:r>
        <w:rPr>
          <w:color w:val="auto"/>
          <w:highlight w:val="none"/>
        </w:rPr>
        <w:instrText xml:space="preserve"> HYPERLINK \l "_Toc25779" </w:instrText>
      </w:r>
      <w:r>
        <w:rPr>
          <w:color w:val="auto"/>
          <w:highlight w:val="none"/>
        </w:rPr>
        <w:fldChar w:fldCharType="separate"/>
      </w:r>
      <w:r>
        <w:rPr>
          <w:rFonts w:hint="eastAsia" w:ascii="仿宋" w:hAnsi="仿宋" w:eastAsia="仿宋" w:cs="仿宋"/>
          <w:color w:val="auto"/>
          <w:sz w:val="28"/>
          <w:szCs w:val="36"/>
          <w:highlight w:val="none"/>
        </w:rPr>
        <w:t>第五章 响应文件格式</w:t>
      </w:r>
      <w:r>
        <w:rPr>
          <w:rFonts w:hint="eastAsia" w:ascii="仿宋" w:hAnsi="仿宋" w:eastAsia="仿宋" w:cs="仿宋"/>
          <w:color w:val="auto"/>
          <w:sz w:val="28"/>
          <w:szCs w:val="36"/>
          <w:highlight w:val="none"/>
        </w:rPr>
        <w:tab/>
      </w:r>
      <w:r>
        <w:rPr>
          <w:rFonts w:hint="eastAsia" w:ascii="仿宋" w:hAnsi="仿宋" w:eastAsia="仿宋" w:cs="仿宋"/>
          <w:color w:val="auto"/>
          <w:sz w:val="28"/>
          <w:szCs w:val="36"/>
          <w:highlight w:val="none"/>
        </w:rPr>
        <w:fldChar w:fldCharType="begin"/>
      </w:r>
      <w:r>
        <w:rPr>
          <w:rFonts w:hint="eastAsia" w:ascii="仿宋" w:hAnsi="仿宋" w:eastAsia="仿宋" w:cs="仿宋"/>
          <w:color w:val="auto"/>
          <w:sz w:val="28"/>
          <w:szCs w:val="36"/>
          <w:highlight w:val="none"/>
        </w:rPr>
        <w:instrText xml:space="preserve"> PAGEREF _Toc25779 \h </w:instrText>
      </w:r>
      <w:r>
        <w:rPr>
          <w:rFonts w:hint="eastAsia" w:ascii="仿宋" w:hAnsi="仿宋" w:eastAsia="仿宋" w:cs="仿宋"/>
          <w:color w:val="auto"/>
          <w:sz w:val="28"/>
          <w:szCs w:val="36"/>
          <w:highlight w:val="none"/>
        </w:rPr>
        <w:fldChar w:fldCharType="separate"/>
      </w:r>
      <w:r>
        <w:rPr>
          <w:rFonts w:hint="eastAsia" w:ascii="仿宋" w:hAnsi="仿宋" w:eastAsia="仿宋" w:cs="仿宋"/>
          <w:color w:val="auto"/>
          <w:sz w:val="28"/>
          <w:szCs w:val="36"/>
          <w:highlight w:val="none"/>
        </w:rPr>
        <w:t>44</w:t>
      </w:r>
      <w:r>
        <w:rPr>
          <w:rFonts w:hint="eastAsia" w:ascii="仿宋" w:hAnsi="仿宋" w:eastAsia="仿宋" w:cs="仿宋"/>
          <w:color w:val="auto"/>
          <w:sz w:val="28"/>
          <w:szCs w:val="36"/>
          <w:highlight w:val="none"/>
        </w:rPr>
        <w:fldChar w:fldCharType="end"/>
      </w:r>
      <w:r>
        <w:rPr>
          <w:rFonts w:hint="eastAsia" w:ascii="仿宋" w:hAnsi="仿宋" w:eastAsia="仿宋" w:cs="仿宋"/>
          <w:color w:val="auto"/>
          <w:sz w:val="28"/>
          <w:szCs w:val="36"/>
          <w:highlight w:val="none"/>
        </w:rPr>
        <w:fldChar w:fldCharType="end"/>
      </w:r>
    </w:p>
    <w:p w14:paraId="123EE3AA">
      <w:pPr>
        <w:pStyle w:val="24"/>
        <w:tabs>
          <w:tab w:val="right" w:leader="dot" w:pos="9072"/>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"_Toc2903" </w:instrText>
      </w:r>
      <w:r>
        <w:rPr>
          <w:color w:val="auto"/>
          <w:highlight w:val="none"/>
        </w:rPr>
        <w:fldChar w:fldCharType="separate"/>
      </w:r>
      <w:r>
        <w:rPr>
          <w:rFonts w:hint="eastAsia" w:ascii="仿宋" w:hAnsi="仿宋" w:eastAsia="仿宋" w:cs="仿宋"/>
          <w:color w:val="auto"/>
          <w:sz w:val="28"/>
          <w:szCs w:val="36"/>
          <w:highlight w:val="none"/>
        </w:rPr>
        <w:t>第六章 合同文本</w:t>
      </w:r>
      <w:r>
        <w:rPr>
          <w:rFonts w:hint="eastAsia" w:ascii="仿宋" w:hAnsi="仿宋" w:eastAsia="仿宋" w:cs="仿宋"/>
          <w:color w:val="auto"/>
          <w:sz w:val="28"/>
          <w:szCs w:val="36"/>
          <w:highlight w:val="none"/>
        </w:rPr>
        <w:tab/>
      </w:r>
      <w:r>
        <w:rPr>
          <w:rFonts w:hint="eastAsia" w:ascii="仿宋" w:hAnsi="仿宋" w:eastAsia="仿宋" w:cs="仿宋"/>
          <w:color w:val="auto"/>
          <w:sz w:val="28"/>
          <w:szCs w:val="36"/>
          <w:highlight w:val="none"/>
        </w:rPr>
        <w:fldChar w:fldCharType="begin"/>
      </w:r>
      <w:r>
        <w:rPr>
          <w:rFonts w:hint="eastAsia" w:ascii="仿宋" w:hAnsi="仿宋" w:eastAsia="仿宋" w:cs="仿宋"/>
          <w:color w:val="auto"/>
          <w:sz w:val="28"/>
          <w:szCs w:val="36"/>
          <w:highlight w:val="none"/>
        </w:rPr>
        <w:instrText xml:space="preserve"> PAGEREF _Toc2903 \h </w:instrText>
      </w:r>
      <w:r>
        <w:rPr>
          <w:rFonts w:hint="eastAsia" w:ascii="仿宋" w:hAnsi="仿宋" w:eastAsia="仿宋" w:cs="仿宋"/>
          <w:color w:val="auto"/>
          <w:sz w:val="28"/>
          <w:szCs w:val="36"/>
          <w:highlight w:val="none"/>
        </w:rPr>
        <w:fldChar w:fldCharType="separate"/>
      </w:r>
      <w:r>
        <w:rPr>
          <w:rFonts w:hint="eastAsia" w:ascii="仿宋" w:hAnsi="仿宋" w:eastAsia="仿宋" w:cs="仿宋"/>
          <w:color w:val="auto"/>
          <w:sz w:val="28"/>
          <w:szCs w:val="36"/>
          <w:highlight w:val="none"/>
        </w:rPr>
        <w:t>67</w:t>
      </w:r>
      <w:r>
        <w:rPr>
          <w:rFonts w:hint="eastAsia" w:ascii="仿宋" w:hAnsi="仿宋" w:eastAsia="仿宋" w:cs="仿宋"/>
          <w:color w:val="auto"/>
          <w:sz w:val="28"/>
          <w:szCs w:val="36"/>
          <w:highlight w:val="none"/>
        </w:rPr>
        <w:fldChar w:fldCharType="end"/>
      </w:r>
      <w:r>
        <w:rPr>
          <w:rFonts w:hint="eastAsia" w:ascii="仿宋" w:hAnsi="仿宋" w:eastAsia="仿宋" w:cs="仿宋"/>
          <w:color w:val="auto"/>
          <w:sz w:val="28"/>
          <w:szCs w:val="36"/>
          <w:highlight w:val="none"/>
        </w:rPr>
        <w:fldChar w:fldCharType="end"/>
      </w:r>
    </w:p>
    <w:p w14:paraId="407C39D0">
      <w:pPr>
        <w:pStyle w:val="24"/>
        <w:tabs>
          <w:tab w:val="right" w:leader="dot" w:pos="8730"/>
        </w:tabs>
        <w:spacing w:before="120" w:after="120"/>
        <w:ind w:firstLine="210" w:firstLineChars="100"/>
        <w:jc w:val="left"/>
        <w:rPr>
          <w:rFonts w:ascii="仿宋" w:hAnsi="仿宋" w:eastAsia="仿宋" w:cs="仿宋"/>
          <w:b/>
          <w:color w:val="auto"/>
          <w:sz w:val="24"/>
          <w:highlight w:val="none"/>
        </w:rPr>
      </w:pPr>
      <w:r>
        <w:rPr>
          <w:rFonts w:hint="eastAsia" w:ascii="仿宋" w:hAnsi="仿宋" w:eastAsia="仿宋" w:cs="仿宋"/>
          <w:bCs/>
          <w:caps/>
          <w:color w:val="auto"/>
          <w:highlight w:val="none"/>
        </w:rPr>
        <w:fldChar w:fldCharType="end"/>
      </w:r>
    </w:p>
    <w:p w14:paraId="0884713B">
      <w:pPr>
        <w:spacing w:line="400" w:lineRule="exact"/>
        <w:jc w:val="left"/>
        <w:rPr>
          <w:rFonts w:ascii="仿宋" w:hAnsi="仿宋" w:eastAsia="仿宋" w:cs="仿宋"/>
          <w:b/>
          <w:color w:val="auto"/>
          <w:sz w:val="32"/>
          <w:szCs w:val="32"/>
          <w:highlight w:val="none"/>
        </w:rPr>
      </w:pPr>
    </w:p>
    <w:p w14:paraId="417F59EB">
      <w:pPr>
        <w:spacing w:line="400" w:lineRule="exact"/>
        <w:jc w:val="center"/>
        <w:rPr>
          <w:rFonts w:ascii="仿宋" w:hAnsi="仿宋" w:eastAsia="仿宋" w:cs="仿宋"/>
          <w:b/>
          <w:color w:val="auto"/>
          <w:sz w:val="32"/>
          <w:szCs w:val="32"/>
          <w:highlight w:val="none"/>
        </w:rPr>
      </w:pPr>
    </w:p>
    <w:p w14:paraId="2FA92DE4">
      <w:pPr>
        <w:spacing w:line="400" w:lineRule="exact"/>
        <w:jc w:val="center"/>
        <w:rPr>
          <w:rFonts w:ascii="仿宋" w:hAnsi="仿宋" w:eastAsia="仿宋" w:cs="仿宋"/>
          <w:b/>
          <w:color w:val="auto"/>
          <w:sz w:val="32"/>
          <w:szCs w:val="32"/>
          <w:highlight w:val="none"/>
        </w:rPr>
      </w:pPr>
    </w:p>
    <w:p w14:paraId="2CE7C2C8">
      <w:pPr>
        <w:spacing w:line="400" w:lineRule="exact"/>
        <w:jc w:val="center"/>
        <w:rPr>
          <w:rFonts w:ascii="仿宋" w:hAnsi="仿宋" w:eastAsia="仿宋" w:cs="仿宋"/>
          <w:b/>
          <w:color w:val="auto"/>
          <w:sz w:val="32"/>
          <w:szCs w:val="32"/>
          <w:highlight w:val="none"/>
        </w:rPr>
      </w:pPr>
    </w:p>
    <w:p w14:paraId="3D7B34CD">
      <w:pPr>
        <w:pStyle w:val="26"/>
        <w:tabs>
          <w:tab w:val="right" w:leader="dot" w:pos="8931"/>
          <w:tab w:val="clear" w:pos="8296"/>
        </w:tabs>
        <w:snapToGrid w:val="0"/>
        <w:spacing w:line="500" w:lineRule="atLeast"/>
        <w:ind w:left="0" w:leftChars="0"/>
        <w:rPr>
          <w:rFonts w:ascii="仿宋" w:hAnsi="仿宋" w:eastAsia="仿宋" w:cs="仿宋"/>
          <w:b/>
          <w:color w:val="auto"/>
          <w:sz w:val="24"/>
          <w:highlight w:val="none"/>
        </w:rPr>
      </w:pPr>
    </w:p>
    <w:p w14:paraId="1AE394E7">
      <w:pPr>
        <w:spacing w:line="400" w:lineRule="exact"/>
        <w:jc w:val="left"/>
        <w:rPr>
          <w:rFonts w:ascii="仿宋" w:hAnsi="仿宋" w:eastAsia="仿宋" w:cs="仿宋"/>
          <w:b/>
          <w:color w:val="auto"/>
          <w:sz w:val="32"/>
          <w:szCs w:val="32"/>
          <w:highlight w:val="none"/>
        </w:rPr>
      </w:pPr>
    </w:p>
    <w:p w14:paraId="5642FD0F">
      <w:pPr>
        <w:spacing w:line="400" w:lineRule="exact"/>
        <w:jc w:val="center"/>
        <w:rPr>
          <w:rFonts w:ascii="仿宋" w:hAnsi="仿宋" w:eastAsia="仿宋" w:cs="仿宋"/>
          <w:b/>
          <w:color w:val="auto"/>
          <w:sz w:val="32"/>
          <w:szCs w:val="32"/>
          <w:highlight w:val="none"/>
        </w:rPr>
      </w:pPr>
    </w:p>
    <w:p w14:paraId="3C8348FF">
      <w:pPr>
        <w:spacing w:line="400" w:lineRule="exact"/>
        <w:jc w:val="center"/>
        <w:rPr>
          <w:rFonts w:ascii="仿宋" w:hAnsi="仿宋" w:eastAsia="仿宋" w:cs="仿宋"/>
          <w:b/>
          <w:color w:val="auto"/>
          <w:sz w:val="32"/>
          <w:szCs w:val="32"/>
          <w:highlight w:val="none"/>
        </w:rPr>
      </w:pPr>
    </w:p>
    <w:p w14:paraId="094629A2">
      <w:pPr>
        <w:spacing w:line="400" w:lineRule="exact"/>
        <w:jc w:val="center"/>
        <w:rPr>
          <w:rFonts w:ascii="仿宋" w:hAnsi="仿宋" w:eastAsia="仿宋" w:cs="仿宋"/>
          <w:b/>
          <w:color w:val="auto"/>
          <w:sz w:val="32"/>
          <w:szCs w:val="32"/>
          <w:highlight w:val="none"/>
        </w:rPr>
      </w:pPr>
    </w:p>
    <w:p w14:paraId="66AD58C0">
      <w:pPr>
        <w:spacing w:line="400" w:lineRule="exact"/>
        <w:jc w:val="center"/>
        <w:rPr>
          <w:rFonts w:ascii="仿宋" w:hAnsi="仿宋" w:eastAsia="仿宋" w:cs="仿宋"/>
          <w:b/>
          <w:color w:val="auto"/>
          <w:sz w:val="32"/>
          <w:szCs w:val="32"/>
          <w:highlight w:val="none"/>
        </w:rPr>
      </w:pPr>
    </w:p>
    <w:p w14:paraId="47FFE478">
      <w:pPr>
        <w:spacing w:line="400" w:lineRule="exact"/>
        <w:rPr>
          <w:rFonts w:ascii="仿宋" w:hAnsi="仿宋" w:eastAsia="仿宋" w:cs="仿宋"/>
          <w:b/>
          <w:color w:val="auto"/>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5EE22EB8">
      <w:pPr>
        <w:pStyle w:val="4"/>
        <w:rPr>
          <w:rFonts w:ascii="仿宋" w:hAnsi="仿宋" w:cs="仿宋"/>
          <w:color w:val="auto"/>
          <w:highlight w:val="none"/>
        </w:rPr>
      </w:pPr>
      <w:bookmarkStart w:id="0" w:name="_Toc29415"/>
      <w:r>
        <w:rPr>
          <w:rFonts w:hint="eastAsia" w:ascii="仿宋" w:hAnsi="仿宋" w:cs="仿宋"/>
          <w:color w:val="auto"/>
          <w:highlight w:val="none"/>
        </w:rPr>
        <w:t>第一章 竞争性磋商公告</w:t>
      </w:r>
      <w:bookmarkEnd w:id="0"/>
    </w:p>
    <w:p w14:paraId="04C717E4">
      <w:pPr>
        <w:spacing w:line="360" w:lineRule="auto"/>
        <w:jc w:val="center"/>
        <w:rPr>
          <w:rFonts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rPr>
        <w:t>广西科文招标有限公司</w:t>
      </w:r>
    </w:p>
    <w:p w14:paraId="6435EB14">
      <w:pPr>
        <w:spacing w:line="360" w:lineRule="auto"/>
        <w:jc w:val="center"/>
        <w:rPr>
          <w:rFonts w:ascii="仿宋" w:hAnsi="仿宋" w:eastAsia="仿宋" w:cs="仿宋"/>
          <w:b/>
          <w:bCs/>
          <w:color w:val="auto"/>
          <w:kern w:val="44"/>
          <w:sz w:val="36"/>
          <w:szCs w:val="36"/>
          <w:highlight w:val="none"/>
        </w:rPr>
      </w:pPr>
      <w:r>
        <w:rPr>
          <w:rFonts w:hint="eastAsia" w:ascii="仿宋" w:hAnsi="仿宋" w:eastAsia="仿宋" w:cs="仿宋"/>
          <w:b/>
          <w:bCs/>
          <w:color w:val="auto"/>
          <w:kern w:val="44"/>
          <w:sz w:val="36"/>
          <w:szCs w:val="36"/>
          <w:highlight w:val="none"/>
          <w:lang w:eastAsia="zh-CN"/>
        </w:rPr>
        <w:t>区外（华北华东华中等）机场媒体投放</w:t>
      </w:r>
      <w:r>
        <w:rPr>
          <w:rFonts w:hint="eastAsia" w:ascii="仿宋" w:hAnsi="仿宋" w:eastAsia="仿宋" w:cs="仿宋"/>
          <w:b/>
          <w:bCs/>
          <w:color w:val="auto"/>
          <w:kern w:val="44"/>
          <w:sz w:val="36"/>
          <w:szCs w:val="36"/>
          <w:highlight w:val="none"/>
        </w:rPr>
        <w:t>（</w:t>
      </w:r>
      <w:r>
        <w:rPr>
          <w:rFonts w:hint="eastAsia" w:ascii="仿宋" w:hAnsi="仿宋" w:eastAsia="仿宋" w:cs="仿宋"/>
          <w:b/>
          <w:bCs/>
          <w:color w:val="auto"/>
          <w:kern w:val="44"/>
          <w:sz w:val="36"/>
          <w:szCs w:val="36"/>
          <w:highlight w:val="none"/>
          <w:lang w:eastAsia="zh-CN"/>
        </w:rPr>
        <w:t>GXZC2026-C3-000556-KWZB</w:t>
      </w:r>
      <w:r>
        <w:rPr>
          <w:rFonts w:hint="eastAsia" w:ascii="仿宋" w:hAnsi="仿宋" w:eastAsia="仿宋" w:cs="仿宋"/>
          <w:b/>
          <w:bCs/>
          <w:color w:val="auto"/>
          <w:kern w:val="44"/>
          <w:sz w:val="36"/>
          <w:szCs w:val="36"/>
          <w:highlight w:val="none"/>
        </w:rPr>
        <w:t>）</w:t>
      </w:r>
    </w:p>
    <w:p w14:paraId="746D0AF2">
      <w:pPr>
        <w:spacing w:line="360" w:lineRule="auto"/>
        <w:jc w:val="center"/>
        <w:rPr>
          <w:rFonts w:ascii="仿宋" w:hAnsi="仿宋" w:eastAsia="仿宋" w:cs="仿宋"/>
          <w:color w:val="auto"/>
          <w:sz w:val="24"/>
          <w:highlight w:val="none"/>
        </w:rPr>
      </w:pPr>
      <w:r>
        <w:rPr>
          <w:rFonts w:hint="eastAsia" w:ascii="仿宋" w:hAnsi="仿宋" w:eastAsia="仿宋" w:cs="仿宋"/>
          <w:b/>
          <w:bCs/>
          <w:color w:val="auto"/>
          <w:kern w:val="44"/>
          <w:sz w:val="36"/>
          <w:szCs w:val="36"/>
          <w:highlight w:val="none"/>
        </w:rPr>
        <w:t>竞争性磋商公告</w:t>
      </w:r>
    </w:p>
    <w:p w14:paraId="4CFAF029">
      <w:pPr>
        <w:pBdr>
          <w:top w:val="single" w:color="auto" w:sz="4" w:space="1"/>
          <w:left w:val="single" w:color="auto" w:sz="4" w:space="4"/>
          <w:bottom w:val="single" w:color="auto" w:sz="4" w:space="1"/>
          <w:right w:val="single" w:color="auto" w:sz="4" w:space="4"/>
        </w:pBdr>
        <w:spacing w:line="360" w:lineRule="auto"/>
        <w:rPr>
          <w:rFonts w:ascii="仿宋" w:hAnsi="仿宋" w:eastAsia="仿宋" w:cs="仿宋"/>
          <w:b/>
          <w:bCs/>
          <w:color w:val="auto"/>
          <w:sz w:val="24"/>
          <w:highlight w:val="none"/>
        </w:rPr>
      </w:pPr>
      <w:bookmarkStart w:id="1" w:name="_Hlk37430271"/>
      <w:r>
        <w:rPr>
          <w:rFonts w:hint="eastAsia" w:ascii="仿宋" w:hAnsi="仿宋" w:eastAsia="仿宋" w:cs="仿宋"/>
          <w:b/>
          <w:bCs/>
          <w:color w:val="auto"/>
          <w:sz w:val="24"/>
          <w:highlight w:val="none"/>
        </w:rPr>
        <w:t>项目概况：</w:t>
      </w:r>
    </w:p>
    <w:p w14:paraId="379ABA66">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lang w:eastAsia="zh-CN"/>
        </w:rPr>
        <w:t>区外（华北华东华中等）机场媒体投放</w:t>
      </w:r>
      <w:r>
        <w:rPr>
          <w:rFonts w:hint="eastAsia" w:ascii="仿宋" w:hAnsi="仿宋" w:eastAsia="仿宋" w:cs="仿宋"/>
          <w:color w:val="auto"/>
          <w:sz w:val="24"/>
          <w:highlight w:val="none"/>
        </w:rPr>
        <w:t>的潜在供应商应在广西政府采购云平台（https</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//www.gcy.zfcg.gxzf.gov.cn/）获取（下载）竞争性磋商文件，并于</w:t>
      </w:r>
      <w:r>
        <w:rPr>
          <w:rFonts w:hint="eastAsia" w:ascii="仿宋" w:hAnsi="仿宋" w:eastAsia="仿宋" w:cs="仿宋"/>
          <w:color w:val="auto"/>
          <w:sz w:val="24"/>
          <w:highlight w:val="none"/>
          <w:lang w:eastAsia="zh-CN"/>
        </w:rPr>
        <w:t>2026年3月31日09时30分</w:t>
      </w:r>
      <w:r>
        <w:rPr>
          <w:rFonts w:hint="eastAsia" w:ascii="仿宋" w:hAnsi="仿宋" w:eastAsia="仿宋" w:cs="仿宋"/>
          <w:bCs/>
          <w:color w:val="auto"/>
          <w:sz w:val="24"/>
          <w:highlight w:val="none"/>
        </w:rPr>
        <w:t>（北京时间）前提交响应文件</w:t>
      </w:r>
      <w:r>
        <w:rPr>
          <w:rFonts w:hint="eastAsia" w:ascii="仿宋" w:hAnsi="仿宋" w:eastAsia="仿宋" w:cs="仿宋"/>
          <w:color w:val="auto"/>
          <w:sz w:val="24"/>
          <w:highlight w:val="none"/>
        </w:rPr>
        <w:t>。</w:t>
      </w:r>
    </w:p>
    <w:p w14:paraId="05DB21E6">
      <w:pPr>
        <w:widowControl/>
        <w:spacing w:line="360" w:lineRule="auto"/>
        <w:ind w:firstLine="482" w:firstLineChars="200"/>
        <w:rPr>
          <w:rFonts w:ascii="仿宋" w:hAnsi="仿宋" w:eastAsia="仿宋" w:cs="仿宋"/>
          <w:b/>
          <w:color w:val="auto"/>
          <w:sz w:val="24"/>
          <w:highlight w:val="none"/>
        </w:rPr>
      </w:pPr>
      <w:bookmarkStart w:id="2" w:name="_Hlk37429674"/>
      <w:bookmarkStart w:id="3" w:name="_Toc35393636"/>
      <w:bookmarkStart w:id="4" w:name="_Toc44229885"/>
      <w:bookmarkStart w:id="5" w:name="_Toc28359095"/>
      <w:bookmarkStart w:id="6" w:name="_Toc28359018"/>
      <w:bookmarkStart w:id="7" w:name="_Toc35393805"/>
    </w:p>
    <w:p w14:paraId="2F5163C6">
      <w:pPr>
        <w:widowControl/>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一、项目基本情况</w:t>
      </w:r>
    </w:p>
    <w:p w14:paraId="00F4F22F">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区外（华北华东华中等）机场媒体投放</w:t>
      </w:r>
    </w:p>
    <w:p w14:paraId="64D4BFED">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lang w:eastAsia="zh-CN"/>
        </w:rPr>
        <w:t>GXZC2026-C3-000556-KWZB</w:t>
      </w:r>
    </w:p>
    <w:p w14:paraId="7A44BD8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预算金额（人民币）：</w:t>
      </w:r>
      <w:r>
        <w:rPr>
          <w:rFonts w:hint="eastAsia" w:ascii="仿宋" w:hAnsi="仿宋" w:eastAsia="仿宋" w:cs="仿宋"/>
          <w:color w:val="auto"/>
          <w:sz w:val="24"/>
          <w:highlight w:val="none"/>
          <w:u w:val="single"/>
          <w:lang w:val="en-US" w:eastAsia="zh-CN"/>
        </w:rPr>
        <w:t>贰佰伍拾万元整</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2500000.00</w:t>
      </w:r>
      <w:r>
        <w:rPr>
          <w:rFonts w:hint="eastAsia" w:ascii="仿宋" w:hAnsi="仿宋" w:eastAsia="仿宋" w:cs="仿宋"/>
          <w:color w:val="auto"/>
          <w:sz w:val="24"/>
          <w:highlight w:val="none"/>
        </w:rPr>
        <w:t>）</w:t>
      </w:r>
    </w:p>
    <w:p w14:paraId="21E30EBD">
      <w:pPr>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最高限价（如有/人民币）：</w:t>
      </w:r>
      <w:r>
        <w:rPr>
          <w:rFonts w:hint="eastAsia" w:ascii="仿宋" w:hAnsi="仿宋" w:eastAsia="仿宋" w:cs="仿宋"/>
          <w:color w:val="auto"/>
          <w:sz w:val="24"/>
          <w:highlight w:val="none"/>
          <w:lang w:val="en-US" w:eastAsia="zh-CN"/>
        </w:rPr>
        <w:t>同采购预算</w:t>
      </w:r>
    </w:p>
    <w:p w14:paraId="78C26DB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以</w:t>
      </w:r>
      <w:r>
        <w:rPr>
          <w:rFonts w:hint="eastAsia" w:ascii="仿宋" w:hAnsi="仿宋" w:eastAsia="仿宋" w:cs="仿宋"/>
          <w:color w:val="auto"/>
          <w:sz w:val="24"/>
          <w:highlight w:val="none"/>
          <w:u w:val="none"/>
          <w:lang w:eastAsia="zh-CN"/>
        </w:rPr>
        <w:t>区外（华北华东华中等）机场</w:t>
      </w:r>
      <w:r>
        <w:rPr>
          <w:rFonts w:hint="eastAsia" w:ascii="仿宋" w:hAnsi="仿宋" w:eastAsia="仿宋" w:cs="仿宋"/>
          <w:color w:val="auto"/>
          <w:sz w:val="24"/>
          <w:highlight w:val="none"/>
          <w:lang w:val="en-US" w:eastAsia="zh-CN"/>
        </w:rPr>
        <w:t>广告传播为载体，全方位、立体化展现广西文旅魅力，精准触达全国重点客源城市客群，持续擦亮“秀甲天下壮美广西”文旅品牌，提升广西文旅品牌声量、美誉度与影响力，为引客入桂注入长效动力，推动广西文化旅游事业高质量发展。具体要求</w:t>
      </w:r>
      <w:r>
        <w:rPr>
          <w:rFonts w:hint="eastAsia" w:ascii="仿宋" w:hAnsi="仿宋" w:eastAsia="仿宋" w:cs="仿宋"/>
          <w:color w:val="auto"/>
          <w:sz w:val="24"/>
          <w:highlight w:val="none"/>
        </w:rPr>
        <w:t>详见第三章采购需求表。</w:t>
      </w:r>
    </w:p>
    <w:p w14:paraId="78B5A39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合同履行期限：自合同生效之日起</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日内完成</w:t>
      </w:r>
      <w:r>
        <w:rPr>
          <w:rFonts w:hint="eastAsia" w:ascii="仿宋" w:hAnsi="仿宋" w:eastAsia="仿宋" w:cs="仿宋"/>
          <w:color w:val="auto"/>
          <w:sz w:val="24"/>
          <w:highlight w:val="none"/>
          <w:lang w:val="en-US" w:eastAsia="zh-CN"/>
        </w:rPr>
        <w:t>投放素材与投放准备，自收到采购人投放通知之日起3个工作日内投放成功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投放周期为4月-9月，整体投放时长不少于12周</w:t>
      </w:r>
      <w:r>
        <w:rPr>
          <w:rFonts w:hint="eastAsia" w:ascii="仿宋" w:hAnsi="仿宋" w:eastAsia="仿宋" w:cs="仿宋"/>
          <w:color w:val="auto"/>
          <w:sz w:val="24"/>
          <w:highlight w:val="none"/>
        </w:rPr>
        <w:t>。</w:t>
      </w:r>
    </w:p>
    <w:p w14:paraId="73F9CCAF">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b/>
          <w:color w:val="auto"/>
          <w:sz w:val="24"/>
          <w:highlight w:val="none"/>
        </w:rPr>
        <w:t>是否</w:t>
      </w:r>
      <w:r>
        <w:rPr>
          <w:rFonts w:hint="eastAsia" w:ascii="仿宋" w:hAnsi="仿宋" w:eastAsia="仿宋" w:cs="仿宋"/>
          <w:color w:val="auto"/>
          <w:sz w:val="24"/>
          <w:highlight w:val="none"/>
        </w:rPr>
        <w:t>接受联合体</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w:t>
      </w:r>
      <w:r>
        <w:rPr>
          <w:rFonts w:hint="eastAsia" w:ascii="仿宋" w:hAnsi="仿宋" w:eastAsia="仿宋" w:cs="仿宋"/>
          <w:color w:val="auto"/>
          <w:sz w:val="24"/>
          <w:highlight w:val="none"/>
          <w:lang w:eastAsia="zh-CN"/>
        </w:rPr>
        <w:t>。</w:t>
      </w:r>
    </w:p>
    <w:p w14:paraId="527B13A2">
      <w:pPr>
        <w:widowControl/>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二、申请人的资格条件</w:t>
      </w:r>
    </w:p>
    <w:p w14:paraId="18AFE48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满足《中华人民共和国政府采购法》第二十二条规定；</w:t>
      </w:r>
    </w:p>
    <w:p w14:paraId="093858A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落实政府采购政策需满足的资格要求：专门面向</w:t>
      </w:r>
      <w:r>
        <w:rPr>
          <w:rFonts w:hint="eastAsia" w:ascii="仿宋" w:hAnsi="仿宋" w:eastAsia="仿宋" w:cs="仿宋"/>
          <w:color w:val="auto"/>
          <w:sz w:val="24"/>
          <w:highlight w:val="none"/>
          <w:lang w:val="en-US" w:eastAsia="zh-CN"/>
        </w:rPr>
        <w:t>小微</w:t>
      </w:r>
      <w:r>
        <w:rPr>
          <w:rFonts w:hint="eastAsia" w:ascii="仿宋" w:hAnsi="仿宋" w:eastAsia="仿宋" w:cs="仿宋"/>
          <w:color w:val="auto"/>
          <w:sz w:val="24"/>
          <w:highlight w:val="none"/>
        </w:rPr>
        <w:t>企业采购；</w:t>
      </w:r>
    </w:p>
    <w:p w14:paraId="6E2A43E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本项目的特定资格要求：无</w:t>
      </w:r>
    </w:p>
    <w:p w14:paraId="5CCBFC67">
      <w:pPr>
        <w:widowControl/>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三、获取竞争性磋商文件</w:t>
      </w:r>
    </w:p>
    <w:p w14:paraId="23D3D5AE">
      <w:pPr>
        <w:spacing w:line="360" w:lineRule="auto"/>
        <w:ind w:firstLine="480" w:firstLineChars="20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时间：</w:t>
      </w:r>
      <w:r>
        <w:rPr>
          <w:rFonts w:hint="eastAsia" w:ascii="仿宋" w:hAnsi="仿宋" w:eastAsia="仿宋" w:cs="仿宋"/>
          <w:color w:val="auto"/>
          <w:sz w:val="24"/>
          <w:highlight w:val="none"/>
        </w:rPr>
        <w:t>2026年</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日至2026年</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27</w:t>
      </w:r>
      <w:r>
        <w:rPr>
          <w:rFonts w:hint="eastAsia" w:ascii="仿宋" w:hAnsi="仿宋" w:eastAsia="仿宋" w:cs="仿宋"/>
          <w:color w:val="auto"/>
          <w:sz w:val="24"/>
          <w:highlight w:val="none"/>
        </w:rPr>
        <w:t>日，每天上午00:00-12:00，下午12:00-23:59（北京时间，法定节假日除外）</w:t>
      </w:r>
      <w:r>
        <w:rPr>
          <w:rFonts w:hint="eastAsia" w:ascii="仿宋" w:hAnsi="仿宋" w:eastAsia="仿宋" w:cs="仿宋"/>
          <w:bCs/>
          <w:color w:val="auto"/>
          <w:kern w:val="0"/>
          <w:sz w:val="24"/>
          <w:highlight w:val="none"/>
        </w:rPr>
        <w:t>。</w:t>
      </w:r>
    </w:p>
    <w:p w14:paraId="1BD47148">
      <w:pPr>
        <w:spacing w:line="360" w:lineRule="auto"/>
        <w:ind w:firstLine="480" w:firstLineChars="20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地点：广西政府采购云平台（https://www.gcy.zfcg.gxzf.gov.cn/）</w:t>
      </w:r>
    </w:p>
    <w:p w14:paraId="2E430262">
      <w:pPr>
        <w:spacing w:line="360" w:lineRule="auto"/>
        <w:ind w:firstLine="480" w:firstLineChars="20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仿宋" w:hAnsi="仿宋" w:eastAsia="仿宋" w:cs="仿宋"/>
          <w:bCs/>
          <w:color w:val="auto"/>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30E93A4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bCs/>
          <w:color w:val="auto"/>
          <w:kern w:val="0"/>
          <w:sz w:val="24"/>
          <w:highlight w:val="none"/>
        </w:rPr>
        <w:t>售价：0元。</w:t>
      </w:r>
    </w:p>
    <w:p w14:paraId="18F95695">
      <w:pPr>
        <w:widowControl/>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四、响应文件提交</w:t>
      </w:r>
    </w:p>
    <w:p w14:paraId="752A592E">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首次响应文件提交截止时间：</w:t>
      </w:r>
      <w:r>
        <w:rPr>
          <w:rFonts w:hint="eastAsia" w:ascii="仿宋" w:hAnsi="仿宋" w:eastAsia="仿宋" w:cs="仿宋"/>
          <w:bCs/>
          <w:color w:val="auto"/>
          <w:kern w:val="0"/>
          <w:sz w:val="24"/>
          <w:highlight w:val="none"/>
          <w:lang w:eastAsia="zh-CN"/>
        </w:rPr>
        <w:t>2026年3月31日09时30分</w:t>
      </w:r>
      <w:r>
        <w:rPr>
          <w:rFonts w:hint="eastAsia" w:ascii="仿宋" w:hAnsi="仿宋" w:eastAsia="仿宋" w:cs="仿宋"/>
          <w:bCs/>
          <w:color w:val="auto"/>
          <w:kern w:val="0"/>
          <w:sz w:val="24"/>
          <w:highlight w:val="none"/>
        </w:rPr>
        <w:t>（北京时间）</w:t>
      </w:r>
    </w:p>
    <w:p w14:paraId="22B3E95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bidi="ar"/>
        </w:rPr>
        <w:t>通过广西政府采购云平台在线提交。</w:t>
      </w:r>
    </w:p>
    <w:p w14:paraId="501D80E6">
      <w:pPr>
        <w:widowControl/>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五、开启</w:t>
      </w:r>
    </w:p>
    <w:p w14:paraId="479AB34F">
      <w:pPr>
        <w:spacing w:line="360" w:lineRule="auto"/>
        <w:ind w:firstLine="480" w:firstLineChars="200"/>
        <w:rPr>
          <w:rFonts w:ascii="仿宋" w:hAnsi="仿宋" w:eastAsia="仿宋" w:cs="仿宋"/>
          <w:bCs/>
          <w:color w:val="auto"/>
          <w:sz w:val="24"/>
          <w:highlight w:val="none"/>
          <w:u w:val="singl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首次响应文件开启时间：</w:t>
      </w:r>
      <w:r>
        <w:rPr>
          <w:rFonts w:hint="eastAsia" w:ascii="仿宋" w:hAnsi="仿宋" w:eastAsia="仿宋" w:cs="仿宋"/>
          <w:bCs/>
          <w:color w:val="auto"/>
          <w:kern w:val="0"/>
          <w:sz w:val="24"/>
          <w:highlight w:val="none"/>
          <w:lang w:eastAsia="zh-CN"/>
        </w:rPr>
        <w:t>2026年3月31日09时30分</w:t>
      </w:r>
      <w:r>
        <w:rPr>
          <w:rFonts w:hint="eastAsia" w:ascii="仿宋" w:hAnsi="仿宋" w:eastAsia="仿宋" w:cs="仿宋"/>
          <w:bCs/>
          <w:color w:val="auto"/>
          <w:kern w:val="0"/>
          <w:sz w:val="24"/>
          <w:highlight w:val="none"/>
        </w:rPr>
        <w:t>（北京时间）</w:t>
      </w:r>
    </w:p>
    <w:p w14:paraId="385643B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bidi="ar"/>
        </w:rPr>
        <w:t>本项目将在广西政府采购云平台电子开标大厅解密、开启。</w:t>
      </w:r>
    </w:p>
    <w:p w14:paraId="63486895">
      <w:pPr>
        <w:widowControl/>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六、公告期限</w:t>
      </w:r>
    </w:p>
    <w:p w14:paraId="435817AB">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自本公告发布之日起3个工作日。</w:t>
      </w:r>
    </w:p>
    <w:p w14:paraId="7C2E557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bidi="ar"/>
        </w:rPr>
        <w:t>七、</w:t>
      </w:r>
      <w:r>
        <w:rPr>
          <w:rFonts w:hint="eastAsia" w:ascii="仿宋" w:hAnsi="仿宋" w:eastAsia="仿宋" w:cs="仿宋"/>
          <w:b/>
          <w:color w:val="auto"/>
          <w:sz w:val="24"/>
          <w:highlight w:val="none"/>
        </w:rPr>
        <w:t>其他补充事宜</w:t>
      </w:r>
    </w:p>
    <w:p w14:paraId="68D46F95">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A32040">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2.根据财政部《关于在政府采购活动中查询及使用信用记录有关问题的通知》（财库〔2016〕125号）的规定，对在“信用中国”网站(www.creditchina.gov.cn) 、中国政府采购网(www.ccgp.gov.cn)被列入失信被执行人、</w:t>
      </w:r>
      <w:r>
        <w:rPr>
          <w:rFonts w:hint="eastAsia" w:ascii="仿宋" w:hAnsi="仿宋" w:eastAsia="仿宋" w:cs="仿宋"/>
          <w:color w:val="auto"/>
          <w:sz w:val="24"/>
          <w:highlight w:val="none"/>
        </w:rPr>
        <w:t>重大税收违法失信主体</w:t>
      </w:r>
      <w:r>
        <w:rPr>
          <w:rFonts w:hint="eastAsia" w:ascii="仿宋" w:hAnsi="仿宋" w:eastAsia="仿宋" w:cs="仿宋"/>
          <w:color w:val="auto"/>
          <w:sz w:val="24"/>
          <w:highlight w:val="none"/>
          <w:lang w:bidi="ar"/>
        </w:rPr>
        <w:t>、政府采购严重违法失信行为记录名单及其他不符合《中华人民共和国政府采购法》第二十二条规定条件的供应商，不得参与政府采购活动。</w:t>
      </w:r>
    </w:p>
    <w:p w14:paraId="4632719A">
      <w:pPr>
        <w:spacing w:line="360" w:lineRule="auto"/>
        <w:ind w:left="420" w:left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3.网上查询地址：</w:t>
      </w:r>
    </w:p>
    <w:p w14:paraId="3589A9D1">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（1）中国政府采购网（</w:t>
      </w:r>
      <w:r>
        <w:rPr>
          <w:rFonts w:hint="eastAsia"/>
          <w:color w:val="auto"/>
          <w:highlight w:val="none"/>
        </w:rPr>
        <w:fldChar w:fldCharType="begin"/>
      </w:r>
      <w:r>
        <w:rPr>
          <w:color w:val="auto"/>
          <w:highlight w:val="none"/>
        </w:rPr>
        <w:instrText xml:space="preserve"> HYPERLINK "http://www.ccgp.gov.cn" </w:instrText>
      </w:r>
      <w:r>
        <w:rPr>
          <w:rFonts w:hint="eastAsia"/>
          <w:color w:val="auto"/>
          <w:highlight w:val="none"/>
        </w:rPr>
        <w:fldChar w:fldCharType="separate"/>
      </w:r>
      <w:r>
        <w:rPr>
          <w:rStyle w:val="34"/>
          <w:rFonts w:hint="eastAsia" w:ascii="仿宋" w:hAnsi="仿宋" w:eastAsia="仿宋" w:cs="仿宋"/>
          <w:color w:val="auto"/>
          <w:sz w:val="24"/>
          <w:highlight w:val="none"/>
        </w:rPr>
        <w:t>www.ccgp.gov.cn</w:t>
      </w:r>
      <w:r>
        <w:rPr>
          <w:rStyle w:val="34"/>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3DAFDA6B">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（2）广西政府采购网（zfcg.gxzf.gov.cn）</w:t>
      </w:r>
    </w:p>
    <w:p w14:paraId="2A161535">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4.本项目需要落实的政府采购政策：</w:t>
      </w:r>
    </w:p>
    <w:p w14:paraId="4798E1DA">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（1）政府采购促进中小企业发展。</w:t>
      </w:r>
    </w:p>
    <w:p w14:paraId="4F145D8D">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（2）政府采购促进残疾人就业政策。</w:t>
      </w:r>
    </w:p>
    <w:p w14:paraId="1F909B46">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bidi="ar"/>
        </w:rPr>
        <w:t>）政府采购支持监狱企业发展。</w:t>
      </w:r>
    </w:p>
    <w:p w14:paraId="33E73E86">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）扶持不发达地区和少数民族地区政策</w:t>
      </w:r>
    </w:p>
    <w:p w14:paraId="4832C7CA">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5.磋商注意事项：</w:t>
      </w:r>
    </w:p>
    <w:p w14:paraId="01622A46">
      <w:pPr>
        <w:widowControl/>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color w:val="auto"/>
          <w:sz w:val="24"/>
          <w:highlight w:val="none"/>
          <w:lang w:bidi="ar"/>
        </w:rPr>
        <w:t>（1）</w:t>
      </w:r>
      <w:r>
        <w:rPr>
          <w:rFonts w:hint="eastAsia" w:ascii="仿宋" w:hAnsi="仿宋" w:eastAsia="仿宋" w:cs="仿宋"/>
          <w:color w:val="auto"/>
          <w:sz w:val="24"/>
          <w:highlight w:val="none"/>
        </w:rPr>
        <w:t>响应文件</w:t>
      </w:r>
      <w:r>
        <w:rPr>
          <w:rFonts w:hint="eastAsia" w:ascii="仿宋" w:hAnsi="仿宋" w:eastAsia="仿宋" w:cs="仿宋"/>
          <w:color w:val="auto"/>
          <w:sz w:val="24"/>
          <w:highlight w:val="none"/>
          <w:lang w:bidi="ar"/>
        </w:rPr>
        <w:t>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w:t>
      </w:r>
      <w:r>
        <w:rPr>
          <w:rFonts w:hint="eastAsia" w:ascii="仿宋" w:hAnsi="仿宋" w:eastAsia="仿宋" w:cs="仿宋"/>
          <w:color w:val="auto"/>
          <w:sz w:val="24"/>
          <w:highlight w:val="none"/>
        </w:rPr>
        <w:t>首次响应文件提交截止时间</w:t>
      </w:r>
      <w:r>
        <w:rPr>
          <w:rFonts w:hint="eastAsia" w:ascii="仿宋" w:hAnsi="仿宋" w:eastAsia="仿宋" w:cs="仿宋"/>
          <w:color w:val="auto"/>
          <w:sz w:val="24"/>
          <w:highlight w:val="none"/>
          <w:lang w:bidi="ar"/>
        </w:rPr>
        <w:t>前通过网络上传至广西政府采购云平台，</w:t>
      </w:r>
      <w:r>
        <w:rPr>
          <w:rFonts w:hint="eastAsia" w:ascii="仿宋" w:hAnsi="仿宋" w:eastAsia="仿宋" w:cs="仿宋"/>
          <w:b/>
          <w:color w:val="auto"/>
          <w:sz w:val="24"/>
          <w:highlight w:val="none"/>
          <w:lang w:bidi="ar"/>
        </w:rPr>
        <w:t>供应商在广西政府采购云平台提交电子版响应文件时，请填写参加远程开标活动经办人联系方式。</w:t>
      </w:r>
    </w:p>
    <w:p w14:paraId="6D789F17">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应及时熟悉掌握电子标系统操作指南（见广西政府采购云平台电子卖场首页右上角—服务中心—帮助文档—项目采购）：https://helpcenter.zcygov.cn/document/#/document/dashboard?siteCode=gx；及时完成CA申领和绑定（见广西壮族自治区政府采购网—办事服务—下载专区-广西政府采购云平台CA证书办理操作指南）。</w:t>
      </w:r>
    </w:p>
    <w:p w14:paraId="45E2FF48">
      <w:pPr>
        <w:widowControl/>
        <w:spacing w:line="360" w:lineRule="auto"/>
        <w:ind w:firstLine="480" w:firstLineChars="200"/>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（3）未进行网上注册并办理数字证书（CA认证）的供应商将无法参与本项目政府采购活动，潜在供应商应当在</w:t>
      </w:r>
      <w:r>
        <w:rPr>
          <w:rFonts w:hint="eastAsia" w:ascii="仿宋" w:hAnsi="仿宋" w:eastAsia="仿宋" w:cs="仿宋"/>
          <w:color w:val="auto"/>
          <w:sz w:val="24"/>
          <w:highlight w:val="none"/>
        </w:rPr>
        <w:t>首次响应文件提交截止时间</w:t>
      </w:r>
      <w:r>
        <w:rPr>
          <w:rFonts w:hint="eastAsia" w:ascii="仿宋" w:hAnsi="仿宋" w:eastAsia="仿宋" w:cs="仿宋"/>
          <w:color w:val="auto"/>
          <w:sz w:val="24"/>
          <w:highlight w:val="none"/>
          <w:lang w:bidi="ar"/>
        </w:rPr>
        <w:t>前，完成电子交易平台上的CA数字证书办理及响应文件的提交。完成CA数字证书办理预计7日左右，供应商只需办理其中一家CA数字证书及签章，建议各供应商抓紧时间办理。</w:t>
      </w:r>
    </w:p>
    <w:p w14:paraId="46C8ED58">
      <w:pPr>
        <w:widowControl/>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bidi="ar"/>
        </w:rPr>
        <w:t>（4）为确保网上操作合法、有效和安全，请供应商确保在电子竞争性磋商过程中能够对相关数据电文进行加密和使用电子签章，妥善保管CA数字证书并使用有效的CA数字证书参与整个采购活动。</w:t>
      </w:r>
    </w:p>
    <w:p w14:paraId="29F6630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注：供应商应当在首次响应文件提交截止时间前完成电子响应文件的上传、提交，</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前可以补充、修改或者撤回响应文件。补充或者修改响应文件的，应当先行撤回原文件，补充、修改后重新上传、提交。</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前未完成上传、提交的，视为撤回响应文件。</w:t>
      </w:r>
      <w:r>
        <w:rPr>
          <w:rFonts w:hint="eastAsia" w:ascii="仿宋" w:hAnsi="仿宋" w:eastAsia="仿宋" w:cs="仿宋"/>
          <w:b/>
          <w:color w:val="auto"/>
          <w:sz w:val="24"/>
          <w:highlight w:val="none"/>
        </w:rPr>
        <w:t>首次响应文件提交截止时间</w:t>
      </w:r>
      <w:r>
        <w:rPr>
          <w:rFonts w:hint="eastAsia" w:ascii="仿宋" w:hAnsi="仿宋" w:eastAsia="仿宋" w:cs="仿宋"/>
          <w:b/>
          <w:bCs/>
          <w:color w:val="auto"/>
          <w:sz w:val="24"/>
          <w:highlight w:val="none"/>
          <w:lang w:bidi="ar"/>
        </w:rPr>
        <w:t>以后上传递交的响应文件，广西政府采购云平台将予以拒收。</w:t>
      </w:r>
    </w:p>
    <w:p w14:paraId="206A1F1A">
      <w:pPr>
        <w:widowControl/>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kern w:val="0"/>
          <w:sz w:val="24"/>
          <w:highlight w:val="none"/>
          <w:lang w:bidi="ar"/>
        </w:rPr>
        <w:t>6.</w:t>
      </w:r>
      <w:r>
        <w:rPr>
          <w:rFonts w:hint="eastAsia" w:ascii="仿宋" w:hAnsi="仿宋" w:eastAsia="仿宋" w:cs="仿宋"/>
          <w:color w:val="auto"/>
          <w:sz w:val="24"/>
          <w:highlight w:val="none"/>
          <w:lang w:bidi="ar"/>
        </w:rPr>
        <w:t>CA证书在线解密：首次响应文件开启时，</w:t>
      </w:r>
      <w:r>
        <w:rPr>
          <w:rFonts w:hint="eastAsia" w:ascii="仿宋" w:hAnsi="仿宋" w:eastAsia="仿宋" w:cs="仿宋"/>
          <w:color w:val="auto"/>
          <w:sz w:val="24"/>
          <w:highlight w:val="none"/>
          <w:lang w:eastAsia="zh-CN" w:bidi="ar"/>
        </w:rPr>
        <w:t>需要</w:t>
      </w:r>
      <w:r>
        <w:rPr>
          <w:rFonts w:hint="eastAsia" w:ascii="仿宋" w:hAnsi="仿宋" w:eastAsia="仿宋" w:cs="仿宋"/>
          <w:color w:val="auto"/>
          <w:sz w:val="24"/>
          <w:highlight w:val="none"/>
          <w:lang w:bidi="ar"/>
        </w:rPr>
        <w:t>供应商携带制作响应文件时用来加密的有效数字证书（CA认证）登录广西政府采购云平台电子开标大厅现场按规定时间对加密的响应文件进行解密，否则后果自负。</w:t>
      </w:r>
    </w:p>
    <w:p w14:paraId="72B755E3">
      <w:pPr>
        <w:widowControl/>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lang w:bidi="ar"/>
        </w:rPr>
        <w:t>7.供应商需要在具备有摄像头及语音功能且互联网网络状况良好的电脑登录广西政府采购云平台远程开标大厅参与本次磋商，否则后果自负。</w:t>
      </w:r>
    </w:p>
    <w:p w14:paraId="0927A203">
      <w:pPr>
        <w:widowControl/>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lang w:bidi="ar"/>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2"/>
    <w:p w14:paraId="4FB55B00">
      <w:pPr>
        <w:widowControl/>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八、凡对本次采购提出询问，请按以下方式联系</w:t>
      </w:r>
      <w:bookmarkEnd w:id="3"/>
      <w:bookmarkEnd w:id="4"/>
      <w:bookmarkEnd w:id="5"/>
      <w:bookmarkEnd w:id="6"/>
      <w:bookmarkEnd w:id="7"/>
    </w:p>
    <w:p w14:paraId="65928B7A">
      <w:pPr>
        <w:spacing w:line="360" w:lineRule="auto"/>
        <w:ind w:firstLine="648" w:firstLineChars="270"/>
        <w:jc w:val="left"/>
        <w:rPr>
          <w:rFonts w:ascii="仿宋" w:hAnsi="仿宋" w:eastAsia="仿宋" w:cs="仿宋"/>
          <w:color w:val="auto"/>
          <w:sz w:val="24"/>
          <w:highlight w:val="none"/>
        </w:rPr>
      </w:pPr>
      <w:bookmarkStart w:id="8" w:name="_Toc35393806"/>
      <w:bookmarkStart w:id="9" w:name="_Toc35393637"/>
      <w:bookmarkStart w:id="10" w:name="_Toc28359019"/>
      <w:bookmarkStart w:id="11" w:name="_Toc28359096"/>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采购人信息</w:t>
      </w:r>
    </w:p>
    <w:p w14:paraId="2BDED4AD">
      <w:pPr>
        <w:spacing w:line="360" w:lineRule="auto"/>
        <w:ind w:firstLine="648" w:firstLineChars="27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广西壮族自治区文化和旅游厅</w:t>
      </w:r>
    </w:p>
    <w:p w14:paraId="61D31F31">
      <w:pPr>
        <w:spacing w:line="360" w:lineRule="auto"/>
        <w:ind w:firstLine="648" w:firstLineChars="270"/>
        <w:jc w:val="left"/>
        <w:rPr>
          <w:rFonts w:hint="eastAsia" w:ascii="仿宋" w:hAnsi="仿宋" w:eastAsia="仿宋" w:cs="仿宋"/>
          <w:color w:val="auto"/>
          <w:sz w:val="24"/>
          <w:highlight w:val="none"/>
          <w:lang w:eastAsia="zh-CN"/>
        </w:rPr>
      </w:pPr>
      <w:bookmarkStart w:id="12" w:name="_Toc28359009"/>
      <w:bookmarkStart w:id="13" w:name="_Toc28359086"/>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广西壮族自治区南宁市青秀区金湖路24号</w:t>
      </w:r>
    </w:p>
    <w:p w14:paraId="13661B41">
      <w:pPr>
        <w:spacing w:line="360" w:lineRule="auto"/>
        <w:ind w:firstLine="648" w:firstLineChars="270"/>
        <w:jc w:val="left"/>
        <w:rPr>
          <w:rFonts w:hint="default" w:ascii="仿宋" w:hAnsi="仿宋" w:eastAsia="宋体"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 xml:space="preserve">涂工 </w:t>
      </w:r>
      <w:r>
        <w:rPr>
          <w:rFonts w:hint="eastAsia" w:ascii="仿宋" w:hAnsi="仿宋" w:eastAsia="仿宋" w:cs="仿宋"/>
          <w:color w:val="auto"/>
          <w:sz w:val="24"/>
          <w:highlight w:val="none"/>
        </w:rPr>
        <w:t xml:space="preserve">   联系方式：0771-</w:t>
      </w:r>
      <w:r>
        <w:rPr>
          <w:rFonts w:hint="eastAsia" w:ascii="仿宋" w:hAnsi="仿宋" w:eastAsia="仿宋" w:cs="仿宋"/>
          <w:color w:val="auto"/>
          <w:sz w:val="24"/>
          <w:highlight w:val="none"/>
          <w:lang w:val="en-US" w:eastAsia="zh-CN"/>
        </w:rPr>
        <w:t>5530513</w:t>
      </w:r>
    </w:p>
    <w:p w14:paraId="79DAFB0C">
      <w:pPr>
        <w:spacing w:line="360" w:lineRule="auto"/>
        <w:ind w:firstLine="648" w:firstLineChars="270"/>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采购代理机构信息</w:t>
      </w:r>
      <w:bookmarkEnd w:id="12"/>
      <w:bookmarkEnd w:id="13"/>
    </w:p>
    <w:p w14:paraId="681655D4">
      <w:pPr>
        <w:spacing w:line="360" w:lineRule="auto"/>
        <w:ind w:firstLine="648" w:firstLineChars="270"/>
        <w:rPr>
          <w:rFonts w:ascii="仿宋" w:hAnsi="仿宋" w:eastAsia="仿宋" w:cs="仿宋"/>
          <w:color w:val="auto"/>
          <w:sz w:val="24"/>
          <w:highlight w:val="none"/>
        </w:rPr>
      </w:pPr>
      <w:r>
        <w:rPr>
          <w:rFonts w:hint="eastAsia" w:ascii="仿宋" w:hAnsi="仿宋" w:eastAsia="仿宋" w:cs="仿宋"/>
          <w:color w:val="auto"/>
          <w:sz w:val="24"/>
          <w:highlight w:val="none"/>
        </w:rPr>
        <w:t>名称：广西科文招标有限公司</w:t>
      </w:r>
    </w:p>
    <w:p w14:paraId="472938F4">
      <w:pPr>
        <w:spacing w:line="360" w:lineRule="auto"/>
        <w:ind w:firstLine="648" w:firstLineChars="270"/>
        <w:rPr>
          <w:rFonts w:ascii="仿宋" w:hAnsi="仿宋" w:eastAsia="仿宋" w:cs="仿宋"/>
          <w:color w:val="auto"/>
          <w:sz w:val="24"/>
          <w:highlight w:val="none"/>
        </w:rPr>
      </w:pPr>
      <w:r>
        <w:rPr>
          <w:rFonts w:hint="eastAsia" w:ascii="仿宋" w:hAnsi="仿宋" w:eastAsia="仿宋" w:cs="仿宋"/>
          <w:color w:val="auto"/>
          <w:sz w:val="24"/>
          <w:highlight w:val="none"/>
        </w:rPr>
        <w:t>地址：广西南宁市民族大道141号中鼎万象东方D区五层</w:t>
      </w:r>
    </w:p>
    <w:p w14:paraId="741D7907">
      <w:pPr>
        <w:spacing w:line="360" w:lineRule="auto"/>
        <w:ind w:firstLine="648" w:firstLineChars="270"/>
        <w:rPr>
          <w:rFonts w:ascii="仿宋" w:hAnsi="仿宋" w:eastAsia="仿宋" w:cs="仿宋"/>
          <w:color w:val="auto"/>
          <w:sz w:val="24"/>
          <w:highlight w:val="none"/>
        </w:rPr>
      </w:pPr>
      <w:r>
        <w:rPr>
          <w:rFonts w:hint="eastAsia" w:ascii="仿宋" w:hAnsi="仿宋" w:eastAsia="仿宋" w:cs="仿宋"/>
          <w:color w:val="auto"/>
          <w:sz w:val="24"/>
          <w:highlight w:val="none"/>
        </w:rPr>
        <w:t>联系方式：</w:t>
      </w:r>
      <w:bookmarkStart w:id="14" w:name="_Toc28359087"/>
      <w:bookmarkStart w:id="15" w:name="_Toc28359010"/>
      <w:r>
        <w:rPr>
          <w:rFonts w:hint="eastAsia" w:ascii="仿宋" w:hAnsi="仿宋" w:eastAsia="仿宋" w:cs="仿宋"/>
          <w:color w:val="auto"/>
          <w:sz w:val="24"/>
          <w:highlight w:val="none"/>
        </w:rPr>
        <w:t>0771-2023650</w:t>
      </w:r>
    </w:p>
    <w:p w14:paraId="75B82DC4">
      <w:pPr>
        <w:spacing w:line="360" w:lineRule="auto"/>
        <w:ind w:firstLine="648" w:firstLineChars="270"/>
        <w:rPr>
          <w:rFonts w:ascii="仿宋" w:hAnsi="仿宋" w:eastAsia="仿宋" w:cs="仿宋"/>
          <w:color w:val="auto"/>
          <w:sz w:val="24"/>
          <w:highlight w:val="none"/>
          <w:u w:val="singl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项目联系方式</w:t>
      </w:r>
      <w:bookmarkEnd w:id="14"/>
      <w:bookmarkEnd w:id="15"/>
    </w:p>
    <w:p w14:paraId="35F3EA76">
      <w:pPr>
        <w:spacing w:line="360" w:lineRule="auto"/>
        <w:ind w:firstLine="648" w:firstLineChars="270"/>
        <w:jc w:val="left"/>
        <w:rPr>
          <w:rFonts w:ascii="仿宋" w:hAnsi="仿宋" w:eastAsia="仿宋" w:cs="仿宋"/>
          <w:color w:val="auto"/>
          <w:sz w:val="24"/>
          <w:highlight w:val="none"/>
        </w:rPr>
      </w:pPr>
      <w:r>
        <w:rPr>
          <w:rFonts w:hint="eastAsia" w:ascii="仿宋" w:hAnsi="仿宋" w:eastAsia="仿宋" w:cs="仿宋"/>
          <w:color w:val="auto"/>
          <w:sz w:val="24"/>
          <w:highlight w:val="none"/>
        </w:rPr>
        <w:t>项目联系人：梁伟贞 严广廷   电　话：0771-2023650</w:t>
      </w:r>
    </w:p>
    <w:p w14:paraId="3BA362C1">
      <w:pPr>
        <w:spacing w:line="360" w:lineRule="auto"/>
        <w:ind w:firstLine="648" w:firstLineChars="270"/>
        <w:jc w:val="left"/>
        <w:rPr>
          <w:rFonts w:ascii="仿宋" w:hAnsi="仿宋" w:eastAsia="仿宋" w:cs="仿宋"/>
          <w:color w:val="auto"/>
          <w:sz w:val="24"/>
          <w:highlight w:val="none"/>
        </w:rPr>
      </w:pPr>
    </w:p>
    <w:bookmarkEnd w:id="1"/>
    <w:bookmarkEnd w:id="8"/>
    <w:bookmarkEnd w:id="9"/>
    <w:bookmarkEnd w:id="10"/>
    <w:bookmarkEnd w:id="11"/>
    <w:p w14:paraId="5EB4658D">
      <w:pPr>
        <w:spacing w:line="360" w:lineRule="auto"/>
        <w:ind w:firstLine="648" w:firstLineChars="270"/>
        <w:jc w:val="right"/>
        <w:rPr>
          <w:rFonts w:ascii="仿宋" w:hAnsi="仿宋" w:eastAsia="仿宋" w:cs="仿宋"/>
          <w:color w:val="auto"/>
          <w:sz w:val="24"/>
          <w:highlight w:val="none"/>
        </w:rPr>
      </w:pPr>
      <w:r>
        <w:rPr>
          <w:rFonts w:hint="eastAsia" w:ascii="仿宋" w:hAnsi="仿宋" w:eastAsia="仿宋" w:cs="仿宋"/>
          <w:color w:val="auto"/>
          <w:sz w:val="24"/>
          <w:highlight w:val="none"/>
        </w:rPr>
        <w:t>代理机构：广西科文招标有限公司</w:t>
      </w:r>
    </w:p>
    <w:p w14:paraId="37174C72">
      <w:pPr>
        <w:spacing w:line="360" w:lineRule="auto"/>
        <w:ind w:firstLine="648" w:firstLineChars="270"/>
        <w:jc w:val="right"/>
        <w:rPr>
          <w:rFonts w:ascii="仿宋" w:hAnsi="仿宋" w:eastAsia="仿宋" w:cs="仿宋"/>
          <w:color w:val="auto"/>
          <w:sz w:val="24"/>
          <w:highlight w:val="none"/>
        </w:rPr>
      </w:pPr>
      <w:r>
        <w:rPr>
          <w:rFonts w:hint="eastAsia" w:ascii="仿宋" w:hAnsi="仿宋" w:eastAsia="仿宋" w:cs="仿宋"/>
          <w:color w:val="auto"/>
          <w:sz w:val="24"/>
          <w:highlight w:val="none"/>
        </w:rPr>
        <w:t>2026年</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w:t>
      </w:r>
    </w:p>
    <w:p w14:paraId="71A8A8D6">
      <w:pPr>
        <w:pStyle w:val="4"/>
        <w:rPr>
          <w:rFonts w:ascii="仿宋" w:hAnsi="仿宋" w:cs="仿宋"/>
          <w:color w:val="auto"/>
          <w:highlight w:val="none"/>
        </w:rPr>
      </w:pPr>
      <w:r>
        <w:rPr>
          <w:rFonts w:hint="eastAsia" w:ascii="仿宋" w:hAnsi="仿宋" w:cs="仿宋"/>
          <w:color w:val="auto"/>
          <w:sz w:val="24"/>
          <w:highlight w:val="none"/>
        </w:rPr>
        <w:br w:type="page"/>
      </w:r>
      <w:bookmarkStart w:id="16" w:name="_Toc30495"/>
      <w:r>
        <w:rPr>
          <w:rFonts w:hint="eastAsia" w:ascii="仿宋" w:hAnsi="仿宋" w:cs="仿宋"/>
          <w:color w:val="auto"/>
          <w:highlight w:val="none"/>
        </w:rPr>
        <w:t>第二章 供应商须知</w:t>
      </w:r>
      <w:bookmarkEnd w:id="16"/>
    </w:p>
    <w:p w14:paraId="3DAC9527">
      <w:pPr>
        <w:spacing w:line="40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供应商须知前附表</w:t>
      </w:r>
    </w:p>
    <w:p w14:paraId="4446F8F3">
      <w:pPr>
        <w:spacing w:line="400" w:lineRule="exact"/>
        <w:jc w:val="center"/>
        <w:rPr>
          <w:rFonts w:ascii="仿宋" w:hAnsi="仿宋" w:eastAsia="仿宋" w:cs="仿宋"/>
          <w:b/>
          <w:color w:val="auto"/>
          <w:sz w:val="32"/>
          <w:szCs w:val="32"/>
          <w:highlight w:val="none"/>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3ECCD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E7EA747">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8627" w:type="dxa"/>
          </w:tcPr>
          <w:p w14:paraId="1189E81C">
            <w:pPr>
              <w:spacing w:line="36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内    容</w:t>
            </w:r>
          </w:p>
        </w:tc>
      </w:tr>
      <w:tr w14:paraId="45CBA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F1C6F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7" w:type="dxa"/>
            <w:vAlign w:val="center"/>
          </w:tcPr>
          <w:p w14:paraId="60CC4680">
            <w:pPr>
              <w:spacing w:line="360" w:lineRule="auto"/>
              <w:rPr>
                <w:rFonts w:ascii="仿宋" w:hAnsi="仿宋" w:eastAsia="仿宋" w:cs="仿宋"/>
                <w:color w:val="auto"/>
                <w:sz w:val="24"/>
                <w:highlight w:val="none"/>
              </w:rPr>
            </w:pPr>
            <w:r>
              <w:rPr>
                <w:rFonts w:hint="eastAsia" w:ascii="仿宋" w:hAnsi="仿宋" w:eastAsia="仿宋" w:cs="仿宋"/>
                <w:bCs/>
                <w:color w:val="auto"/>
                <w:sz w:val="24"/>
                <w:highlight w:val="none"/>
              </w:rPr>
              <w:t>供应商的资格条件</w:t>
            </w:r>
            <w:r>
              <w:rPr>
                <w:rFonts w:hint="eastAsia" w:ascii="仿宋" w:hAnsi="仿宋" w:eastAsia="仿宋" w:cs="仿宋"/>
                <w:color w:val="auto"/>
                <w:sz w:val="24"/>
                <w:highlight w:val="none"/>
              </w:rPr>
              <w:t>：详见竞争性磋商公告</w:t>
            </w:r>
          </w:p>
        </w:tc>
      </w:tr>
      <w:tr w14:paraId="4119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735AC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5.1</w:t>
            </w:r>
          </w:p>
        </w:tc>
        <w:tc>
          <w:tcPr>
            <w:tcW w:w="8627" w:type="dxa"/>
            <w:vAlign w:val="center"/>
          </w:tcPr>
          <w:p w14:paraId="2F02FA37">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是否接受</w:t>
            </w:r>
            <w:r>
              <w:rPr>
                <w:rFonts w:hint="eastAsia" w:ascii="仿宋" w:hAnsi="仿宋" w:eastAsia="仿宋" w:cs="仿宋"/>
                <w:color w:val="auto"/>
                <w:sz w:val="24"/>
                <w:highlight w:val="none"/>
                <w:lang w:eastAsia="zh-CN"/>
              </w:rPr>
              <w:t>联合体磋商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否。</w:t>
            </w:r>
          </w:p>
        </w:tc>
      </w:tr>
      <w:tr w14:paraId="76300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C4359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5.2</w:t>
            </w:r>
          </w:p>
        </w:tc>
        <w:tc>
          <w:tcPr>
            <w:tcW w:w="8627" w:type="dxa"/>
            <w:vAlign w:val="center"/>
          </w:tcPr>
          <w:p w14:paraId="0ADB0E90">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如接受</w:t>
            </w:r>
            <w:r>
              <w:rPr>
                <w:rFonts w:hint="eastAsia" w:ascii="仿宋" w:hAnsi="仿宋" w:eastAsia="仿宋" w:cs="仿宋"/>
                <w:color w:val="auto"/>
                <w:sz w:val="24"/>
                <w:highlight w:val="none"/>
                <w:lang w:eastAsia="zh-CN"/>
              </w:rPr>
              <w:t>联合体磋商</w:t>
            </w:r>
            <w:r>
              <w:rPr>
                <w:rFonts w:hint="eastAsia" w:ascii="仿宋" w:hAnsi="仿宋" w:eastAsia="仿宋" w:cs="仿宋"/>
                <w:color w:val="auto"/>
                <w:sz w:val="24"/>
                <w:highlight w:val="none"/>
              </w:rPr>
              <w:t>，要求如下：</w:t>
            </w:r>
          </w:p>
          <w:p w14:paraId="15A4F52B">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1.两个以上供应商可以组成一个竞争性磋商联合体，以一个供应商的身份共同</w:t>
            </w:r>
            <w:r>
              <w:rPr>
                <w:rFonts w:hint="eastAsia" w:ascii="仿宋" w:hAnsi="仿宋" w:eastAsia="仿宋" w:cs="仿宋"/>
                <w:color w:val="auto"/>
                <w:sz w:val="24"/>
                <w:highlight w:val="none"/>
                <w:lang w:eastAsia="zh-CN"/>
              </w:rPr>
              <w:t>参与磋商</w:t>
            </w:r>
            <w:r>
              <w:rPr>
                <w:rFonts w:hint="eastAsia" w:ascii="仿宋" w:hAnsi="仿宋" w:eastAsia="仿宋" w:cs="仿宋"/>
                <w:color w:val="auto"/>
                <w:sz w:val="24"/>
                <w:highlight w:val="none"/>
              </w:rPr>
              <w:t>，联合体供应商的名称应统一按“XXX 公司与 XXX 公司的联合体”的规则填写。</w:t>
            </w:r>
            <w:r>
              <w:rPr>
                <w:rFonts w:hint="eastAsia" w:ascii="仿宋" w:hAnsi="仿宋" w:eastAsia="仿宋" w:cs="仿宋"/>
                <w:color w:val="auto"/>
                <w:sz w:val="24"/>
                <w:highlight w:val="none"/>
              </w:rPr>
              <w:tab/>
            </w:r>
          </w:p>
          <w:p w14:paraId="7B36DC49">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2.以联合体形式</w:t>
            </w:r>
            <w:r>
              <w:rPr>
                <w:rFonts w:hint="eastAsia" w:ascii="仿宋" w:hAnsi="仿宋" w:eastAsia="仿宋" w:cs="仿宋"/>
                <w:color w:val="auto"/>
                <w:sz w:val="24"/>
                <w:highlight w:val="none"/>
                <w:lang w:eastAsia="zh-CN"/>
              </w:rPr>
              <w:t>参与磋商</w:t>
            </w:r>
            <w:r>
              <w:rPr>
                <w:rFonts w:hint="eastAsia" w:ascii="仿宋" w:hAnsi="仿宋" w:eastAsia="仿宋" w:cs="仿宋"/>
                <w:color w:val="auto"/>
                <w:sz w:val="24"/>
                <w:highlight w:val="none"/>
              </w:rPr>
              <w:t>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7EE15FE8">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联合体磋商</w:t>
            </w:r>
            <w:r>
              <w:rPr>
                <w:rFonts w:hint="eastAsia" w:ascii="仿宋" w:hAnsi="仿宋" w:eastAsia="仿宋" w:cs="仿宋"/>
                <w:color w:val="auto"/>
                <w:sz w:val="24"/>
                <w:highlight w:val="none"/>
              </w:rPr>
              <w:t>的，须提供《</w:t>
            </w:r>
            <w:r>
              <w:rPr>
                <w:rFonts w:hint="eastAsia" w:ascii="仿宋" w:hAnsi="仿宋" w:eastAsia="仿宋" w:cs="仿宋"/>
                <w:color w:val="auto"/>
                <w:sz w:val="24"/>
                <w:highlight w:val="none"/>
                <w:lang w:eastAsia="zh-CN"/>
              </w:rPr>
              <w:t>联合体磋商</w:t>
            </w:r>
            <w:r>
              <w:rPr>
                <w:rFonts w:hint="eastAsia" w:ascii="仿宋" w:hAnsi="仿宋" w:eastAsia="仿宋" w:cs="仿宋"/>
                <w:color w:val="auto"/>
                <w:sz w:val="24"/>
                <w:highlight w:val="none"/>
              </w:rPr>
              <w:t>协议书》（格式后附），协议书必须明确主体方（或者牵头方）并明确约定联合体各方承担的工作和相应的责任（各方承担责任与义务的分工必须符合采购需求，否则，联合体响应无效），并将联合</w:t>
            </w:r>
            <w:r>
              <w:rPr>
                <w:rFonts w:hint="eastAsia" w:ascii="仿宋" w:hAnsi="仿宋" w:eastAsia="仿宋" w:cs="仿宋"/>
                <w:color w:val="auto"/>
                <w:sz w:val="24"/>
                <w:highlight w:val="none"/>
                <w:lang w:eastAsia="zh-CN"/>
              </w:rPr>
              <w:t>参与磋商</w:t>
            </w:r>
            <w:r>
              <w:rPr>
                <w:rFonts w:hint="eastAsia" w:ascii="仿宋" w:hAnsi="仿宋" w:eastAsia="仿宋" w:cs="仿宋"/>
                <w:color w:val="auto"/>
                <w:sz w:val="24"/>
                <w:highlight w:val="none"/>
              </w:rPr>
              <w:t>协议放入响应文件。联合体各方必须共同与采购人签订采购合同，就采购合同约定的事项对采购人承担连带责任。</w:t>
            </w:r>
            <w:r>
              <w:rPr>
                <w:rFonts w:hint="eastAsia" w:ascii="仿宋" w:hAnsi="仿宋" w:eastAsia="仿宋" w:cs="仿宋"/>
                <w:color w:val="auto"/>
                <w:sz w:val="24"/>
                <w:highlight w:val="none"/>
              </w:rPr>
              <w:tab/>
            </w:r>
          </w:p>
          <w:p w14:paraId="553A609F">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61F2ED45">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5.联合体中有同类资质的供应商按照联合体分工承担相同工作的，应当按照资质等级较低的供应商确定资质等级。</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6A1540C0">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联合体磋商</w:t>
            </w:r>
            <w:r>
              <w:rPr>
                <w:rFonts w:hint="eastAsia" w:ascii="仿宋" w:hAnsi="仿宋" w:eastAsia="仿宋" w:cs="仿宋"/>
                <w:color w:val="auto"/>
                <w:sz w:val="24"/>
                <w:highlight w:val="none"/>
              </w:rPr>
              <w:t>的业绩、履约能力按照联合体各方其中较高的一方认定并计算（竞争性磋商文件另有规定的除外）。</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4D5203E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7.联合体各方均应按照竞争性磋商文件的规定提交资格证明文件。</w:t>
            </w:r>
          </w:p>
        </w:tc>
      </w:tr>
      <w:tr w14:paraId="0F1C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21C54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6.2</w:t>
            </w:r>
          </w:p>
        </w:tc>
        <w:tc>
          <w:tcPr>
            <w:tcW w:w="8627" w:type="dxa"/>
            <w:vAlign w:val="center"/>
          </w:tcPr>
          <w:p w14:paraId="6EA5D9C3">
            <w:pPr>
              <w:pStyle w:val="13"/>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sym w:font="Wingdings" w:char="00FE"/>
            </w:r>
            <w:r>
              <w:rPr>
                <w:rFonts w:hint="eastAsia" w:ascii="仿宋" w:hAnsi="仿宋" w:eastAsia="仿宋" w:cs="仿宋"/>
                <w:b/>
                <w:color w:val="auto"/>
                <w:sz w:val="24"/>
                <w:highlight w:val="none"/>
              </w:rPr>
              <w:t>本项目不允许分包。</w:t>
            </w:r>
          </w:p>
          <w:p w14:paraId="2A01895E">
            <w:pPr>
              <w:pStyle w:val="13"/>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本项目允许分包：</w:t>
            </w:r>
          </w:p>
          <w:p w14:paraId="7F87BAB5">
            <w:pPr>
              <w:pStyle w:val="13"/>
              <w:spacing w:line="360"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lang w:val="en-US" w:eastAsia="zh-CN"/>
              </w:rPr>
              <w:t>/</w:t>
            </w:r>
          </w:p>
          <w:p w14:paraId="0827B540">
            <w:pPr>
              <w:pStyle w:val="13"/>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分包金额或者比例：</w:t>
            </w:r>
            <w:r>
              <w:rPr>
                <w:rFonts w:hint="eastAsia" w:ascii="仿宋" w:hAnsi="仿宋" w:eastAsia="仿宋" w:cs="仿宋"/>
                <w:color w:val="auto"/>
                <w:sz w:val="24"/>
                <w:highlight w:val="none"/>
                <w:u w:val="single"/>
                <w:lang w:val="en-US" w:eastAsia="zh-CN"/>
              </w:rPr>
              <w:t>/</w:t>
            </w:r>
          </w:p>
        </w:tc>
      </w:tr>
      <w:tr w14:paraId="1BF13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98E7C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12.1.1</w:t>
            </w:r>
          </w:p>
        </w:tc>
        <w:tc>
          <w:tcPr>
            <w:tcW w:w="8627" w:type="dxa"/>
            <w:vAlign w:val="center"/>
          </w:tcPr>
          <w:p w14:paraId="509D74FB">
            <w:pPr>
              <w:snapToGrid w:val="0"/>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t>资格证明文件</w:t>
            </w:r>
          </w:p>
          <w:p w14:paraId="66B920D4">
            <w:pPr>
              <w:pStyle w:val="13"/>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6C26708E">
            <w:pPr>
              <w:spacing w:line="360" w:lineRule="auto"/>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2.供应商依法缴纳税收的相关材料（截至</w:t>
            </w:r>
            <w:r>
              <w:rPr>
                <w:rFonts w:hint="eastAsia" w:ascii="仿宋" w:hAnsi="仿宋" w:eastAsia="仿宋" w:cs="仿宋"/>
                <w:color w:val="auto"/>
                <w:sz w:val="24"/>
                <w:highlight w:val="none"/>
                <w:u w:val="single"/>
              </w:rPr>
              <w:t>首次响应文件提交截止之日半年内连续三个月</w:t>
            </w:r>
            <w:r>
              <w:rPr>
                <w:rFonts w:hint="eastAsia" w:ascii="仿宋" w:hAnsi="仿宋" w:eastAsia="仿宋" w:cs="仿宋"/>
                <w:color w:val="auto"/>
                <w:sz w:val="24"/>
                <w:highlight w:val="none"/>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6B50FE8E">
            <w:pPr>
              <w:spacing w:line="360" w:lineRule="auto"/>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3.供应商依法缴纳社会保障资金的相关材料[截至</w:t>
            </w:r>
            <w:r>
              <w:rPr>
                <w:rFonts w:hint="eastAsia" w:ascii="仿宋" w:hAnsi="仿宋" w:eastAsia="仿宋" w:cs="仿宋"/>
                <w:color w:val="auto"/>
                <w:sz w:val="24"/>
                <w:highlight w:val="none"/>
                <w:u w:val="single"/>
              </w:rPr>
              <w:t>首次响应文件提交截止之日半年内连续三个月</w:t>
            </w:r>
            <w:r>
              <w:rPr>
                <w:rFonts w:hint="eastAsia" w:ascii="仿宋" w:hAnsi="仿宋" w:eastAsia="仿宋" w:cs="仿宋"/>
                <w:color w:val="auto"/>
                <w:sz w:val="24"/>
                <w:highlight w:val="none"/>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AA3E29F">
            <w:pPr>
              <w:spacing w:line="360" w:lineRule="auto"/>
              <w:contextualSpacing/>
              <w:jc w:val="left"/>
              <w:rPr>
                <w:rFonts w:ascii="仿宋" w:hAnsi="仿宋" w:eastAsia="仿宋" w:cs="仿宋"/>
                <w:b/>
                <w:color w:val="auto"/>
                <w:sz w:val="24"/>
                <w:highlight w:val="none"/>
              </w:rPr>
            </w:pPr>
            <w:r>
              <w:rPr>
                <w:rFonts w:hint="eastAsia" w:ascii="仿宋" w:hAnsi="仿宋" w:eastAsia="仿宋" w:cs="仿宋"/>
                <w:color w:val="auto"/>
                <w:sz w:val="24"/>
                <w:highlight w:val="none"/>
              </w:rPr>
              <w:t>4.供应商财务状况报告（提供2024年或2025年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仿宋" w:hAnsi="仿宋" w:eastAsia="仿宋" w:cs="仿宋"/>
                <w:bCs/>
                <w:color w:val="auto"/>
                <w:sz w:val="24"/>
                <w:highlight w:val="none"/>
              </w:rPr>
              <w:t>（</w:t>
            </w:r>
            <w:r>
              <w:rPr>
                <w:rFonts w:hint="eastAsia" w:ascii="仿宋" w:hAnsi="仿宋" w:eastAsia="仿宋" w:cs="仿宋"/>
                <w:b/>
                <w:color w:val="auto"/>
                <w:sz w:val="24"/>
                <w:highlight w:val="none"/>
              </w:rPr>
              <w:t>除自然人外必须提供，否则响应文件按无效响应处理</w:t>
            </w:r>
            <w:r>
              <w:rPr>
                <w:rFonts w:hint="eastAsia" w:ascii="仿宋" w:hAnsi="仿宋" w:eastAsia="仿宋" w:cs="仿宋"/>
                <w:bCs/>
                <w:color w:val="auto"/>
                <w:sz w:val="24"/>
                <w:highlight w:val="none"/>
              </w:rPr>
              <w:t>）</w:t>
            </w:r>
          </w:p>
          <w:p w14:paraId="12904DC6">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5.供应商直接控股、管理关系信息表（格式后附）；（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6EAE8C5F">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eastAsia="zh-CN"/>
              </w:rPr>
              <w:t>磋商声明</w:t>
            </w:r>
            <w:r>
              <w:rPr>
                <w:rFonts w:hint="eastAsia" w:ascii="仿宋" w:hAnsi="仿宋" w:eastAsia="仿宋" w:cs="仿宋"/>
                <w:color w:val="auto"/>
                <w:sz w:val="24"/>
                <w:highlight w:val="none"/>
              </w:rPr>
              <w:t>（格式后附）；（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D17AE64">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小微</w:t>
            </w:r>
            <w:r>
              <w:rPr>
                <w:rFonts w:hint="eastAsia" w:ascii="仿宋" w:hAnsi="仿宋" w:eastAsia="仿宋" w:cs="仿宋"/>
                <w:color w:val="auto"/>
                <w:sz w:val="24"/>
                <w:highlight w:val="none"/>
              </w:rPr>
              <w:t>企业声明函（或残疾人福利性单位声明函或监狱企业声明函，残疾人福利性单位或监狱企业视同小微企业）（格式后附）；</w:t>
            </w:r>
            <w:r>
              <w:rPr>
                <w:rFonts w:hint="eastAsia" w:ascii="仿宋" w:hAnsi="仿宋" w:eastAsia="仿宋" w:cs="仿宋"/>
                <w:b/>
                <w:bCs/>
                <w:color w:val="auto"/>
                <w:sz w:val="24"/>
                <w:highlight w:val="none"/>
              </w:rPr>
              <w:t>（必须提供，否则响应文件按无效响应处理</w:t>
            </w:r>
            <w:r>
              <w:rPr>
                <w:rFonts w:hint="eastAsia" w:ascii="仿宋" w:hAnsi="仿宋" w:eastAsia="仿宋" w:cs="仿宋"/>
                <w:color w:val="auto"/>
                <w:sz w:val="24"/>
                <w:highlight w:val="none"/>
              </w:rPr>
              <w:t>）</w:t>
            </w:r>
          </w:p>
          <w:p w14:paraId="41AB7B86">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.除磋商文件规定必须提供以外，供应商认为需要提供的其他证明材料；</w:t>
            </w:r>
          </w:p>
          <w:p w14:paraId="1B49C57F">
            <w:pPr>
              <w:snapToGrid w:val="0"/>
              <w:spacing w:line="360" w:lineRule="auto"/>
              <w:jc w:val="left"/>
              <w:rPr>
                <w:rFonts w:ascii="仿宋" w:hAnsi="仿宋" w:eastAsia="仿宋" w:cs="仿宋"/>
                <w:b/>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
                <w:color w:val="auto"/>
                <w:sz w:val="24"/>
                <w:highlight w:val="none"/>
              </w:rPr>
              <w:t>1.以上标明“必须提供”的材料属于复印件的，必须加盖供应商公章，否则响应文件按无效响应处理。</w:t>
            </w:r>
          </w:p>
          <w:p w14:paraId="5EC76693">
            <w:pPr>
              <w:snapToGrid w:val="0"/>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eastAsia="zh-CN"/>
              </w:rPr>
              <w:t>磋商声明</w:t>
            </w:r>
            <w:r>
              <w:rPr>
                <w:rFonts w:hint="eastAsia" w:ascii="仿宋" w:hAnsi="仿宋" w:eastAsia="仿宋" w:cs="仿宋"/>
                <w:b/>
                <w:color w:val="auto"/>
                <w:sz w:val="24"/>
                <w:highlight w:val="none"/>
              </w:rPr>
              <w:t>必须由法定代表人在规定签章处签字并加盖供应商公章，否则响应文件按无效响应处理。</w:t>
            </w:r>
          </w:p>
          <w:p w14:paraId="42A2F595">
            <w:pPr>
              <w:snapToGrid w:val="0"/>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t>3.供应商直接控股、管理关系信息表必须由法定代表人或者委托代理人在规定签章处签字并加盖供应商公章，否则响应文件按无效响应处理。</w:t>
            </w:r>
          </w:p>
          <w:p w14:paraId="4358A32E">
            <w:pPr>
              <w:pStyle w:val="13"/>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4.</w:t>
            </w:r>
            <w:r>
              <w:rPr>
                <w:rFonts w:hint="eastAsia" w:ascii="仿宋" w:hAnsi="仿宋" w:eastAsia="仿宋" w:cs="仿宋"/>
                <w:b/>
                <w:color w:val="auto"/>
                <w:sz w:val="24"/>
                <w:highlight w:val="none"/>
                <w:lang w:eastAsia="zh-CN"/>
              </w:rPr>
              <w:t>联合体磋商</w:t>
            </w:r>
            <w:r>
              <w:rPr>
                <w:rFonts w:hint="eastAsia" w:ascii="仿宋" w:hAnsi="仿宋" w:eastAsia="仿宋" w:cs="仿宋"/>
                <w:b/>
                <w:color w:val="auto"/>
                <w:sz w:val="24"/>
                <w:highlight w:val="none"/>
              </w:rPr>
              <w:t>时，第1-5项和第8项资格证明文件联合体各方均必须分别提供，联合体各方分别盖章，否则响应文件按无效响应处理。</w:t>
            </w:r>
          </w:p>
          <w:p w14:paraId="5F1B3325">
            <w:pPr>
              <w:pStyle w:val="13"/>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5.分公司</w:t>
            </w:r>
            <w:r>
              <w:rPr>
                <w:rFonts w:hint="eastAsia" w:ascii="仿宋" w:hAnsi="仿宋" w:eastAsia="仿宋" w:cs="仿宋"/>
                <w:b/>
                <w:color w:val="auto"/>
                <w:sz w:val="24"/>
                <w:highlight w:val="none"/>
                <w:lang w:eastAsia="zh-CN"/>
              </w:rPr>
              <w:t>参与磋商</w:t>
            </w:r>
            <w:r>
              <w:rPr>
                <w:rFonts w:hint="eastAsia" w:ascii="仿宋" w:hAnsi="仿宋" w:eastAsia="仿宋" w:cs="仿宋"/>
                <w:b/>
                <w:bCs/>
                <w:color w:val="auto"/>
                <w:sz w:val="24"/>
                <w:highlight w:val="none"/>
              </w:rPr>
              <w:t>的，应当取得总公司授权</w:t>
            </w:r>
            <w:r>
              <w:rPr>
                <w:rFonts w:hint="eastAsia" w:ascii="仿宋" w:hAnsi="仿宋" w:eastAsia="仿宋" w:cs="仿宋"/>
                <w:b/>
                <w:color w:val="auto"/>
                <w:sz w:val="24"/>
                <w:highlight w:val="none"/>
              </w:rPr>
              <w:t>，否则响应文件按无效响应处理。</w:t>
            </w:r>
          </w:p>
        </w:tc>
      </w:tr>
      <w:tr w14:paraId="005C2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8" w:hRule="atLeast"/>
          <w:jc w:val="center"/>
        </w:trPr>
        <w:tc>
          <w:tcPr>
            <w:tcW w:w="992" w:type="dxa"/>
            <w:vMerge w:val="restart"/>
            <w:vAlign w:val="center"/>
          </w:tcPr>
          <w:p w14:paraId="5E6671D6">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12.1.2</w:t>
            </w:r>
          </w:p>
          <w:p w14:paraId="3E788BBC">
            <w:pPr>
              <w:spacing w:line="360" w:lineRule="auto"/>
              <w:jc w:val="center"/>
              <w:rPr>
                <w:rFonts w:ascii="仿宋" w:hAnsi="仿宋" w:eastAsia="仿宋" w:cs="仿宋"/>
                <w:color w:val="auto"/>
                <w:sz w:val="24"/>
                <w:highlight w:val="none"/>
              </w:rPr>
            </w:pPr>
          </w:p>
        </w:tc>
        <w:tc>
          <w:tcPr>
            <w:tcW w:w="8627" w:type="dxa"/>
            <w:vAlign w:val="center"/>
          </w:tcPr>
          <w:p w14:paraId="5B227166">
            <w:pPr>
              <w:spacing w:line="360" w:lineRule="auto"/>
              <w:rPr>
                <w:rFonts w:ascii="仿宋" w:hAnsi="仿宋" w:eastAsia="仿宋" w:cs="仿宋"/>
                <w:b/>
                <w:bCs/>
                <w:color w:val="auto"/>
                <w:sz w:val="24"/>
                <w:highlight w:val="none"/>
              </w:rPr>
            </w:pPr>
            <w:r>
              <w:rPr>
                <w:rFonts w:hint="eastAsia" w:ascii="仿宋" w:hAnsi="仿宋" w:eastAsia="仿宋" w:cs="仿宋"/>
                <w:b/>
                <w:bCs/>
                <w:color w:val="auto"/>
                <w:sz w:val="24"/>
                <w:highlight w:val="none"/>
              </w:rPr>
              <w:t>报价文件</w:t>
            </w:r>
          </w:p>
          <w:p w14:paraId="574713F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无串通磋商行为的承诺函</w:t>
            </w:r>
            <w:r>
              <w:rPr>
                <w:rFonts w:hint="eastAsia" w:ascii="仿宋" w:hAnsi="仿宋" w:eastAsia="仿宋" w:cs="仿宋"/>
                <w:color w:val="auto"/>
                <w:sz w:val="24"/>
                <w:highlight w:val="none"/>
              </w:rPr>
              <w:t>（格式后附）；（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5B8CA21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2.竞争性磋商报价表（格式后附）；（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3D0F9260">
            <w:pPr>
              <w:spacing w:line="360" w:lineRule="auto"/>
              <w:rPr>
                <w:rFonts w:ascii="仿宋" w:hAnsi="仿宋" w:eastAsia="仿宋" w:cs="仿宋"/>
                <w:b/>
                <w:bCs/>
                <w:color w:val="auto"/>
                <w:sz w:val="24"/>
                <w:highlight w:val="none"/>
              </w:rPr>
            </w:pPr>
            <w:r>
              <w:rPr>
                <w:rFonts w:hint="eastAsia" w:ascii="仿宋" w:hAnsi="仿宋" w:eastAsia="仿宋" w:cs="仿宋"/>
                <w:b/>
                <w:color w:val="auto"/>
                <w:sz w:val="24"/>
                <w:highlight w:val="none"/>
              </w:rPr>
              <w:t>注：以上标明“必须提供”的材料属于复印件的，必须加盖供应商公章，否则响应文件按无效响应处理。</w:t>
            </w:r>
          </w:p>
        </w:tc>
      </w:tr>
      <w:tr w14:paraId="3D6E7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463F06F">
            <w:pPr>
              <w:spacing w:line="360" w:lineRule="auto"/>
              <w:jc w:val="center"/>
              <w:rPr>
                <w:rFonts w:ascii="仿宋" w:hAnsi="仿宋" w:eastAsia="仿宋" w:cs="仿宋"/>
                <w:color w:val="auto"/>
                <w:sz w:val="24"/>
                <w:highlight w:val="none"/>
              </w:rPr>
            </w:pPr>
          </w:p>
        </w:tc>
        <w:tc>
          <w:tcPr>
            <w:tcW w:w="8627" w:type="dxa"/>
            <w:vAlign w:val="center"/>
          </w:tcPr>
          <w:p w14:paraId="0322930D">
            <w:pPr>
              <w:spacing w:line="360" w:lineRule="auto"/>
              <w:rPr>
                <w:rFonts w:ascii="仿宋" w:hAnsi="仿宋" w:eastAsia="仿宋" w:cs="仿宋"/>
                <w:color w:val="auto"/>
                <w:sz w:val="24"/>
                <w:highlight w:val="none"/>
              </w:rPr>
            </w:pPr>
            <w:r>
              <w:rPr>
                <w:rFonts w:hint="eastAsia" w:ascii="仿宋" w:hAnsi="仿宋" w:eastAsia="仿宋" w:cs="仿宋"/>
                <w:b/>
                <w:bCs/>
                <w:color w:val="auto"/>
                <w:sz w:val="24"/>
                <w:highlight w:val="none"/>
              </w:rPr>
              <w:t>商务、服务文件</w:t>
            </w:r>
          </w:p>
          <w:p w14:paraId="535C8D3D">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1.法定代表人身份证明及法定代表人有效身份证正反面复印件（格式后附）；（</w:t>
            </w:r>
            <w:r>
              <w:rPr>
                <w:rFonts w:hint="eastAsia" w:ascii="仿宋" w:hAnsi="仿宋" w:eastAsia="仿宋" w:cs="仿宋"/>
                <w:b/>
                <w:bCs/>
                <w:color w:val="auto"/>
                <w:sz w:val="24"/>
                <w:highlight w:val="none"/>
              </w:rPr>
              <w:t>除自然人</w:t>
            </w:r>
            <w:r>
              <w:rPr>
                <w:rFonts w:hint="eastAsia" w:ascii="仿宋" w:hAnsi="仿宋" w:eastAsia="仿宋" w:cs="仿宋"/>
                <w:b/>
                <w:bCs/>
                <w:color w:val="auto"/>
                <w:sz w:val="24"/>
                <w:highlight w:val="none"/>
                <w:lang w:eastAsia="zh-CN"/>
              </w:rPr>
              <w:t>参与磋商</w:t>
            </w:r>
            <w:r>
              <w:rPr>
                <w:rFonts w:hint="eastAsia" w:ascii="仿宋" w:hAnsi="仿宋" w:eastAsia="仿宋" w:cs="仿宋"/>
                <w:b/>
                <w:bCs/>
                <w:color w:val="auto"/>
                <w:sz w:val="24"/>
                <w:highlight w:val="none"/>
              </w:rPr>
              <w:t>外</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5C42C762">
            <w:pPr>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rPr>
              <w:t>2.授权委托书及委托代理人有效身份证正反面复印件（格式后附）；（</w:t>
            </w:r>
            <w:r>
              <w:rPr>
                <w:rFonts w:hint="eastAsia" w:ascii="仿宋" w:hAnsi="仿宋" w:eastAsia="仿宋" w:cs="仿宋"/>
                <w:b/>
                <w:color w:val="auto"/>
                <w:sz w:val="24"/>
                <w:highlight w:val="none"/>
              </w:rPr>
              <w:t>委托时必须提供，否则响应文件按无效响应处理</w:t>
            </w:r>
            <w:r>
              <w:rPr>
                <w:rFonts w:hint="eastAsia" w:ascii="仿宋" w:hAnsi="仿宋" w:eastAsia="仿宋" w:cs="仿宋"/>
                <w:color w:val="auto"/>
                <w:sz w:val="24"/>
                <w:highlight w:val="none"/>
              </w:rPr>
              <w:t>）</w:t>
            </w:r>
          </w:p>
          <w:p w14:paraId="1C28A38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3.磋商保证金提交凭证复印件；（</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049427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4.商务要求偏离表（格式后附）；（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1E0B652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eastAsia="zh-CN"/>
              </w:rPr>
              <w:t>技术要求</w:t>
            </w:r>
            <w:r>
              <w:rPr>
                <w:rFonts w:hint="eastAsia" w:ascii="仿宋" w:hAnsi="仿宋" w:eastAsia="仿宋" w:cs="仿宋"/>
                <w:color w:val="auto"/>
                <w:sz w:val="24"/>
                <w:highlight w:val="none"/>
              </w:rPr>
              <w:t>偏离表（格式后附）；（</w:t>
            </w:r>
            <w:r>
              <w:rPr>
                <w:rFonts w:hint="eastAsia" w:ascii="仿宋" w:hAnsi="仿宋" w:eastAsia="仿宋" w:cs="仿宋"/>
                <w:b/>
                <w:color w:val="auto"/>
                <w:sz w:val="24"/>
                <w:highlight w:val="none"/>
              </w:rPr>
              <w:t>必须提供，否则响应文件按无效响应处理</w:t>
            </w:r>
            <w:r>
              <w:rPr>
                <w:rFonts w:hint="eastAsia" w:ascii="仿宋" w:hAnsi="仿宋" w:eastAsia="仿宋" w:cs="仿宋"/>
                <w:color w:val="auto"/>
                <w:sz w:val="24"/>
                <w:highlight w:val="none"/>
              </w:rPr>
              <w:t>）</w:t>
            </w:r>
          </w:p>
          <w:p w14:paraId="5EE4B83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6.服务方案（格式自拟）；</w:t>
            </w:r>
          </w:p>
          <w:p w14:paraId="63253B0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7.项目实施人员一览表（格式自拟）； </w:t>
            </w:r>
          </w:p>
          <w:p w14:paraId="783E7C23">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8.对应采购需求的技术要求、商务要求提供的其他文件资料（格式自拟）；</w:t>
            </w:r>
          </w:p>
          <w:p w14:paraId="4C819A9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9.供应商认为需要提供的其他有关资料。</w:t>
            </w:r>
          </w:p>
          <w:p w14:paraId="08DFA51A">
            <w:pPr>
              <w:snapToGrid w:val="0"/>
              <w:spacing w:line="360" w:lineRule="auto"/>
              <w:jc w:val="left"/>
              <w:rPr>
                <w:rFonts w:ascii="仿宋" w:hAnsi="仿宋" w:eastAsia="仿宋" w:cs="仿宋"/>
                <w:b/>
                <w:color w:val="auto"/>
                <w:sz w:val="24"/>
                <w:highlight w:val="none"/>
              </w:rPr>
            </w:pPr>
            <w:r>
              <w:rPr>
                <w:rFonts w:hint="eastAsia" w:ascii="仿宋" w:hAnsi="仿宋" w:eastAsia="仿宋" w:cs="仿宋"/>
                <w:b/>
                <w:color w:val="auto"/>
                <w:sz w:val="24"/>
                <w:highlight w:val="none"/>
              </w:rPr>
              <w:t>注：以上标明“必须提供”的材料属于复印件的，必须加盖供应商公章，否则响应文件按无效响应处理。</w:t>
            </w:r>
          </w:p>
        </w:tc>
      </w:tr>
      <w:tr w14:paraId="04841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1B407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15.2</w:t>
            </w:r>
          </w:p>
        </w:tc>
        <w:tc>
          <w:tcPr>
            <w:tcW w:w="8627" w:type="dxa"/>
            <w:vAlign w:val="center"/>
          </w:tcPr>
          <w:p w14:paraId="60C551A6">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竞争性磋商报价合计金额包括但不限于满足本次响应全部采购需求所应提供的服务，以及伴随的货物和工程（如有）的价格；税费因政策等原因发生变化的，由成交供应商承担。合同履行过程中，采购人不再支付合同以外的其他费用。（采购需求另有约定的，从其约定）</w:t>
            </w:r>
          </w:p>
        </w:tc>
      </w:tr>
      <w:tr w14:paraId="5D5A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128BED">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16.2</w:t>
            </w:r>
          </w:p>
        </w:tc>
        <w:tc>
          <w:tcPr>
            <w:tcW w:w="8627" w:type="dxa"/>
            <w:vAlign w:val="center"/>
          </w:tcPr>
          <w:p w14:paraId="2769165E">
            <w:pPr>
              <w:snapToGrid w:val="0"/>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竞争性磋商有效期：首次响应文件提交截止之日起60天内。</w:t>
            </w:r>
          </w:p>
        </w:tc>
      </w:tr>
      <w:tr w14:paraId="75CDC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E2A0E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17.1</w:t>
            </w:r>
          </w:p>
        </w:tc>
        <w:tc>
          <w:tcPr>
            <w:tcW w:w="8627" w:type="dxa"/>
            <w:vAlign w:val="center"/>
          </w:tcPr>
          <w:p w14:paraId="40D771AD">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本项目不收取磋商保证金。</w:t>
            </w:r>
          </w:p>
          <w:p w14:paraId="4C76CBC5">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本项目收取磋商保证金。</w:t>
            </w:r>
          </w:p>
          <w:p w14:paraId="47C07E2A">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磋商保证金</w:t>
            </w:r>
            <w:r>
              <w:rPr>
                <w:rFonts w:hint="eastAsia" w:ascii="仿宋" w:hAnsi="仿宋" w:eastAsia="仿宋" w:cs="仿宋"/>
                <w:color w:val="auto"/>
                <w:kern w:val="0"/>
                <w:sz w:val="24"/>
                <w:highlight w:val="none"/>
                <w:lang w:val="en-US" w:eastAsia="zh-CN"/>
              </w:rPr>
              <w:t>金额</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¥25</w:t>
            </w:r>
            <w:r>
              <w:rPr>
                <w:rFonts w:hint="eastAsia" w:ascii="仿宋" w:hAnsi="仿宋" w:eastAsia="仿宋" w:cs="仿宋"/>
                <w:color w:val="auto"/>
                <w:kern w:val="0"/>
                <w:sz w:val="24"/>
                <w:highlight w:val="none"/>
              </w:rPr>
              <w:t>000.00</w:t>
            </w:r>
          </w:p>
          <w:p w14:paraId="454598BC">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保证金专用银行账号信息如下：</w:t>
            </w:r>
          </w:p>
          <w:p w14:paraId="171EFB07">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开户名称：广西科文招标有限公司</w:t>
            </w:r>
          </w:p>
          <w:p w14:paraId="20AD446E">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开户银行：广西北部湾银行南宁分行营业部</w:t>
            </w:r>
          </w:p>
          <w:p w14:paraId="5DA4E107">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银行账号：0101012090615689</w:t>
            </w:r>
          </w:p>
          <w:p w14:paraId="38340152">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磋商保证金的交纳方式：银行转账、支票、汇票、本票或者金融、担保金融、担保机构出具的保函，禁止采用现钞方式。</w:t>
            </w:r>
          </w:p>
          <w:p w14:paraId="5917A8DF">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采用银行转账方式的，在响应文件提交截止时间前交至指定账户并且到账；采用支票、汇票、本票或者保函等方式的，在响应文件提交截止时间前，供应商必须提交支票、汇票、本票或者保函原件</w:t>
            </w:r>
            <w:r>
              <w:rPr>
                <w:rFonts w:hint="eastAsia" w:ascii="仿宋" w:hAnsi="仿宋" w:eastAsia="仿宋" w:cs="仿宋"/>
                <w:b w:val="0"/>
                <w:bCs/>
                <w:color w:val="auto"/>
                <w:sz w:val="24"/>
                <w:highlight w:val="none"/>
              </w:rPr>
              <w:t>提交给采购代理机构，由采购代理机构向供应商出具回执，并妥善保管</w:t>
            </w:r>
            <w:r>
              <w:rPr>
                <w:rFonts w:hint="eastAsia" w:ascii="仿宋" w:hAnsi="仿宋" w:eastAsia="仿宋" w:cs="仿宋"/>
                <w:color w:val="auto"/>
                <w:kern w:val="0"/>
                <w:sz w:val="24"/>
                <w:highlight w:val="none"/>
              </w:rPr>
              <w:t>。否则视为无效磋商保证金。</w:t>
            </w:r>
          </w:p>
          <w:p w14:paraId="5FBB4A38">
            <w:pPr>
              <w:snapToGrid w:val="0"/>
              <w:spacing w:line="360" w:lineRule="auto"/>
              <w:rPr>
                <w:rFonts w:ascii="仿宋" w:hAnsi="仿宋" w:eastAsia="仿宋" w:cs="仿宋"/>
                <w:b w:val="0"/>
                <w:bCs w:val="0"/>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供应商应将银行转账底单的复印件</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rPr>
              <w:t>支票、汇票、本票或者金融、担保机构出具的保函的复印件作为磋商保证金提交凭证，放置于报价商务</w:t>
            </w:r>
            <w:r>
              <w:rPr>
                <w:rFonts w:hint="eastAsia" w:ascii="仿宋" w:hAnsi="仿宋" w:eastAsia="仿宋" w:cs="仿宋"/>
                <w:b w:val="0"/>
                <w:bCs w:val="0"/>
                <w:color w:val="auto"/>
                <w:sz w:val="24"/>
                <w:highlight w:val="none"/>
              </w:rPr>
              <w:t>技术文件中，否则响应文件按无效响应处理。</w:t>
            </w:r>
          </w:p>
          <w:p w14:paraId="39707092">
            <w:pPr>
              <w:snapToGrid w:val="0"/>
              <w:spacing w:line="360" w:lineRule="auto"/>
              <w:rPr>
                <w:rFonts w:ascii="仿宋" w:hAnsi="仿宋" w:eastAsia="仿宋" w:cs="仿宋"/>
                <w:b/>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.供应商为联合体的，可以由联合体中的一方或者多方共同交纳磋商保证金，其交纳的保证金对联合体各方均具有约束力。</w:t>
            </w:r>
          </w:p>
          <w:p w14:paraId="7897122C">
            <w:pPr>
              <w:snapToGrid w:val="0"/>
              <w:spacing w:line="360" w:lineRule="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磋商保证金</w:t>
            </w:r>
            <w:r>
              <w:rPr>
                <w:rFonts w:hint="eastAsia" w:ascii="仿宋" w:hAnsi="仿宋" w:eastAsia="仿宋" w:cs="仿宋"/>
                <w:b/>
                <w:color w:val="auto"/>
                <w:sz w:val="24"/>
                <w:highlight w:val="none"/>
                <w:lang w:val="en-US" w:eastAsia="zh-CN"/>
              </w:rPr>
              <w:t>无效的情形：</w:t>
            </w:r>
          </w:p>
          <w:p w14:paraId="3E02F378">
            <w:pPr>
              <w:snapToGrid w:val="0"/>
              <w:spacing w:line="360" w:lineRule="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在响应文件提交截止时间后提交的，或者不按规定交纳方式交纳的，或者未足额交纳的（包含保函额度不足的）</w:t>
            </w:r>
            <w:r>
              <w:rPr>
                <w:rFonts w:hint="eastAsia" w:ascii="仿宋" w:hAnsi="仿宋" w:eastAsia="仿宋" w:cs="仿宋"/>
                <w:b/>
                <w:color w:val="auto"/>
                <w:sz w:val="24"/>
                <w:highlight w:val="none"/>
                <w:lang w:eastAsia="zh-CN"/>
              </w:rPr>
              <w:t>；</w:t>
            </w:r>
          </w:p>
          <w:p w14:paraId="397F62AD">
            <w:pPr>
              <w:snapToGrid w:val="0"/>
              <w:spacing w:line="360" w:lineRule="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供应商采用现钞方式或者从个人账户（自然人</w:t>
            </w:r>
            <w:r>
              <w:rPr>
                <w:rFonts w:hint="eastAsia" w:ascii="仿宋" w:hAnsi="仿宋" w:eastAsia="仿宋" w:cs="仿宋"/>
                <w:b/>
                <w:color w:val="auto"/>
                <w:sz w:val="24"/>
                <w:highlight w:val="none"/>
                <w:lang w:eastAsia="zh-CN"/>
              </w:rPr>
              <w:t>参与磋商</w:t>
            </w:r>
            <w:r>
              <w:rPr>
                <w:rFonts w:hint="eastAsia" w:ascii="仿宋" w:hAnsi="仿宋" w:eastAsia="仿宋" w:cs="仿宋"/>
                <w:b/>
                <w:color w:val="auto"/>
                <w:sz w:val="24"/>
                <w:highlight w:val="none"/>
              </w:rPr>
              <w:t>除外）转出的</w:t>
            </w:r>
            <w:r>
              <w:rPr>
                <w:rFonts w:hint="eastAsia" w:ascii="仿宋" w:hAnsi="仿宋" w:eastAsia="仿宋" w:cs="仿宋"/>
                <w:b/>
                <w:color w:val="auto"/>
                <w:sz w:val="24"/>
                <w:highlight w:val="none"/>
                <w:lang w:eastAsia="zh-CN"/>
              </w:rPr>
              <w:t>；</w:t>
            </w:r>
          </w:p>
          <w:p w14:paraId="06B20892">
            <w:pPr>
              <w:snapToGrid w:val="0"/>
              <w:spacing w:line="360" w:lineRule="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3.支票、汇票或者本票出现无效或者背书情形的</w:t>
            </w:r>
            <w:r>
              <w:rPr>
                <w:rFonts w:hint="eastAsia" w:ascii="仿宋" w:hAnsi="仿宋" w:eastAsia="仿宋" w:cs="仿宋"/>
                <w:b/>
                <w:color w:val="auto"/>
                <w:sz w:val="24"/>
                <w:highlight w:val="none"/>
                <w:lang w:eastAsia="zh-CN"/>
              </w:rPr>
              <w:t>；</w:t>
            </w:r>
          </w:p>
          <w:p w14:paraId="1CFC9D37">
            <w:pPr>
              <w:snapToGrid w:val="0"/>
              <w:spacing w:line="360" w:lineRule="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4.保函有效期短于竞争性磋商有效期的</w:t>
            </w:r>
            <w:r>
              <w:rPr>
                <w:rFonts w:hint="eastAsia" w:ascii="仿宋" w:hAnsi="仿宋" w:eastAsia="仿宋" w:cs="仿宋"/>
                <w:b/>
                <w:color w:val="auto"/>
                <w:sz w:val="24"/>
                <w:highlight w:val="none"/>
                <w:lang w:eastAsia="zh-CN"/>
              </w:rPr>
              <w:t>；</w:t>
            </w:r>
          </w:p>
          <w:p w14:paraId="3186AF97">
            <w:pPr>
              <w:snapToGrid w:val="0"/>
              <w:spacing w:line="360" w:lineRule="auto"/>
              <w:rPr>
                <w:rFonts w:ascii="仿宋" w:hAnsi="仿宋" w:eastAsia="仿宋" w:cs="仿宋"/>
                <w:color w:val="auto"/>
                <w:sz w:val="24"/>
                <w:highlight w:val="none"/>
              </w:rPr>
            </w:pPr>
            <w:r>
              <w:rPr>
                <w:rFonts w:hint="eastAsia" w:ascii="仿宋" w:hAnsi="仿宋" w:eastAsia="仿宋" w:cs="仿宋"/>
                <w:b/>
                <w:color w:val="auto"/>
                <w:sz w:val="24"/>
                <w:highlight w:val="none"/>
              </w:rPr>
              <w:t>5.采用保函的，必须为无条件保函，否则视为无效磋商保证金。</w:t>
            </w:r>
          </w:p>
        </w:tc>
      </w:tr>
      <w:tr w14:paraId="280F4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DCD789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18.2</w:t>
            </w:r>
          </w:p>
        </w:tc>
        <w:tc>
          <w:tcPr>
            <w:tcW w:w="8627" w:type="dxa"/>
            <w:vAlign w:val="center"/>
          </w:tcPr>
          <w:p w14:paraId="35F60B8B">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响应文件应按资格证明文件、报价文件、商务技术文件分别编制，</w:t>
            </w:r>
            <w:r>
              <w:rPr>
                <w:rFonts w:hint="eastAsia" w:ascii="仿宋" w:hAnsi="仿宋" w:eastAsia="仿宋" w:cs="仿宋"/>
                <w:color w:val="auto"/>
                <w:sz w:val="24"/>
                <w:highlight w:val="none"/>
                <w:lang w:bidi="ar"/>
              </w:rPr>
              <w:t>并按广西政府采购云平台的要求编制、加密、上传。</w:t>
            </w:r>
          </w:p>
        </w:tc>
      </w:tr>
      <w:tr w14:paraId="538C6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3980195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19.2</w:t>
            </w:r>
          </w:p>
        </w:tc>
        <w:tc>
          <w:tcPr>
            <w:tcW w:w="8627" w:type="dxa"/>
            <w:vAlign w:val="center"/>
          </w:tcPr>
          <w:p w14:paraId="5B134721">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本项目不接受电子备份响应文件</w:t>
            </w:r>
            <w:r>
              <w:rPr>
                <w:rFonts w:hint="eastAsia" w:ascii="仿宋" w:hAnsi="仿宋" w:eastAsia="仿宋" w:cs="仿宋"/>
                <w:color w:val="auto"/>
                <w:sz w:val="24"/>
                <w:highlight w:val="none"/>
                <w:lang w:eastAsia="zh-CN"/>
              </w:rPr>
              <w:t>。</w:t>
            </w:r>
          </w:p>
        </w:tc>
      </w:tr>
      <w:tr w14:paraId="23B5E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5B4A3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20.1</w:t>
            </w:r>
          </w:p>
        </w:tc>
        <w:tc>
          <w:tcPr>
            <w:tcW w:w="8627" w:type="dxa"/>
            <w:vAlign w:val="center"/>
          </w:tcPr>
          <w:p w14:paraId="52CA57DD">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首次响应文件提交截止时间：详见竞争性磋商公告。</w:t>
            </w:r>
          </w:p>
          <w:p w14:paraId="4F7C0208">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首次响应文件提交地点：详见竞争性磋商公告。</w:t>
            </w:r>
          </w:p>
        </w:tc>
      </w:tr>
      <w:tr w14:paraId="491C3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96C55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24.1</w:t>
            </w:r>
          </w:p>
        </w:tc>
        <w:tc>
          <w:tcPr>
            <w:tcW w:w="8627" w:type="dxa"/>
            <w:vAlign w:val="center"/>
          </w:tcPr>
          <w:p w14:paraId="79E2A42D">
            <w:pPr>
              <w:snapToGrid w:val="0"/>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磋商小组的人数：3人或以上单数。</w:t>
            </w:r>
          </w:p>
        </w:tc>
      </w:tr>
      <w:tr w14:paraId="22838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63E92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25.2</w:t>
            </w:r>
          </w:p>
        </w:tc>
        <w:tc>
          <w:tcPr>
            <w:tcW w:w="8627" w:type="dxa"/>
            <w:vAlign w:val="center"/>
          </w:tcPr>
          <w:p w14:paraId="61846B09">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采购代理机构将依托电子交易平台发起开始解密指令，</w:t>
            </w:r>
            <w:r>
              <w:rPr>
                <w:rFonts w:hint="eastAsia" w:ascii="仿宋" w:hAnsi="仿宋" w:eastAsia="仿宋" w:cs="仿宋"/>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color w:val="auto"/>
                <w:sz w:val="24"/>
                <w:highlight w:val="none"/>
              </w:rPr>
              <w:t>响应文件未按时解密的，</w:t>
            </w:r>
            <w:r>
              <w:rPr>
                <w:rFonts w:hint="eastAsia" w:ascii="仿宋" w:hAnsi="仿宋" w:eastAsia="仿宋" w:cs="仿宋"/>
                <w:b/>
                <w:color w:val="auto"/>
                <w:sz w:val="24"/>
                <w:highlight w:val="none"/>
              </w:rPr>
              <w:t>视为响应</w:t>
            </w:r>
            <w:r>
              <w:rPr>
                <w:rFonts w:hint="eastAsia" w:ascii="仿宋" w:hAnsi="仿宋" w:eastAsia="仿宋" w:cs="仿宋"/>
                <w:b/>
                <w:bCs/>
                <w:color w:val="auto"/>
                <w:sz w:val="24"/>
                <w:highlight w:val="none"/>
              </w:rPr>
              <w:t>文件无效。</w:t>
            </w:r>
          </w:p>
        </w:tc>
      </w:tr>
      <w:tr w14:paraId="1706A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4D07839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26</w:t>
            </w:r>
          </w:p>
        </w:tc>
        <w:tc>
          <w:tcPr>
            <w:tcW w:w="8627" w:type="dxa"/>
            <w:vAlign w:val="center"/>
          </w:tcPr>
          <w:p w14:paraId="730D2508">
            <w:pPr>
              <w:pStyle w:val="13"/>
              <w:spacing w:line="360" w:lineRule="auto"/>
              <w:jc w:val="both"/>
              <w:rPr>
                <w:rFonts w:ascii="仿宋" w:hAnsi="仿宋" w:eastAsia="仿宋" w:cs="仿宋"/>
                <w:color w:val="auto"/>
                <w:sz w:val="24"/>
                <w:highlight w:val="none"/>
              </w:rPr>
            </w:pPr>
            <w:r>
              <w:rPr>
                <w:rFonts w:hint="eastAsia" w:ascii="仿宋" w:hAnsi="仿宋" w:eastAsia="仿宋" w:cs="仿宋"/>
                <w:color w:val="auto"/>
                <w:sz w:val="24"/>
                <w:highlight w:val="none"/>
              </w:rPr>
              <w:t>磋商的顺序：按“广西政府采购云平台”系统的编号顺序。</w:t>
            </w:r>
          </w:p>
          <w:p w14:paraId="3BFC56D9">
            <w:pPr>
              <w:pStyle w:val="13"/>
              <w:spacing w:line="360" w:lineRule="auto"/>
              <w:jc w:val="both"/>
              <w:rPr>
                <w:rFonts w:ascii="仿宋" w:hAnsi="仿宋" w:eastAsia="仿宋" w:cs="仿宋"/>
                <w:b/>
                <w:color w:val="auto"/>
                <w:sz w:val="24"/>
                <w:highlight w:val="none"/>
              </w:rPr>
            </w:pPr>
            <w:r>
              <w:rPr>
                <w:rFonts w:hint="eastAsia" w:ascii="仿宋" w:hAnsi="仿宋" w:eastAsia="仿宋" w:cs="仿宋"/>
                <w:b/>
                <w:color w:val="auto"/>
                <w:sz w:val="24"/>
                <w:highlight w:val="none"/>
              </w:rPr>
              <w:t>符合磋商资格的供应商必须在接到磋商通知后规定时间内参加磋商，未在规定时间内参加磋商的视同放弃参加磋商权利，其响应文件按无效响应处理。</w:t>
            </w:r>
          </w:p>
          <w:p w14:paraId="17BF2D41">
            <w:pPr>
              <w:snapToGrid w:val="0"/>
              <w:spacing w:line="360" w:lineRule="auto"/>
              <w:rPr>
                <w:rFonts w:ascii="仿宋" w:hAnsi="仿宋" w:eastAsia="仿宋" w:cs="仿宋"/>
                <w:color w:val="auto"/>
                <w:sz w:val="24"/>
                <w:highlight w:val="none"/>
              </w:rPr>
            </w:pPr>
            <w:r>
              <w:rPr>
                <w:rFonts w:hint="eastAsia" w:ascii="仿宋" w:hAnsi="仿宋" w:eastAsia="仿宋" w:cs="仿宋"/>
                <w:b/>
                <w:color w:val="auto"/>
                <w:sz w:val="24"/>
                <w:highlight w:val="none"/>
              </w:rPr>
              <w:t>注：参与磋商前，供应商法定代表人或者委托代理人向磋商小组出示本人有效证件原件（有效证件可以是身份证（含临时身份证明）或者护照的其中一项）。</w:t>
            </w:r>
          </w:p>
        </w:tc>
      </w:tr>
      <w:tr w14:paraId="110C7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7F497FCC">
            <w:pPr>
              <w:spacing w:line="360" w:lineRule="auto"/>
              <w:jc w:val="center"/>
              <w:rPr>
                <w:rFonts w:ascii="仿宋" w:hAnsi="仿宋" w:eastAsia="仿宋" w:cs="仿宋"/>
                <w:color w:val="auto"/>
                <w:sz w:val="24"/>
                <w:highlight w:val="none"/>
              </w:rPr>
            </w:pPr>
          </w:p>
        </w:tc>
        <w:tc>
          <w:tcPr>
            <w:tcW w:w="8627" w:type="dxa"/>
            <w:vAlign w:val="center"/>
          </w:tcPr>
          <w:p w14:paraId="6DFA871E">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商务要求评审中允许负偏离的条款数为：0项</w:t>
            </w:r>
          </w:p>
          <w:p w14:paraId="6EB2E266">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技术要求</w:t>
            </w:r>
            <w:r>
              <w:rPr>
                <w:rFonts w:hint="eastAsia" w:ascii="仿宋" w:hAnsi="仿宋" w:eastAsia="仿宋" w:cs="仿宋"/>
                <w:color w:val="auto"/>
                <w:sz w:val="24"/>
                <w:highlight w:val="none"/>
              </w:rPr>
              <w:t>评审中允许负偏离的条款数为：0项</w:t>
            </w:r>
          </w:p>
        </w:tc>
      </w:tr>
      <w:tr w14:paraId="0A6F5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F20545">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28.1</w:t>
            </w:r>
          </w:p>
        </w:tc>
        <w:tc>
          <w:tcPr>
            <w:tcW w:w="8627" w:type="dxa"/>
            <w:vAlign w:val="center"/>
          </w:tcPr>
          <w:p w14:paraId="5A9F8EAE">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00FE"/>
            </w:r>
            <w:r>
              <w:rPr>
                <w:rFonts w:hint="eastAsia" w:ascii="仿宋" w:hAnsi="仿宋" w:eastAsia="仿宋" w:cs="仿宋"/>
                <w:color w:val="auto"/>
                <w:sz w:val="24"/>
                <w:highlight w:val="none"/>
              </w:rPr>
              <w:t>本项目不收取履约保证金。</w:t>
            </w:r>
          </w:p>
          <w:p w14:paraId="79044FE6">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sym w:font="Wingdings" w:char="00A8"/>
            </w:r>
            <w:r>
              <w:rPr>
                <w:rFonts w:hint="eastAsia" w:ascii="仿宋" w:hAnsi="仿宋" w:eastAsia="仿宋" w:cs="仿宋"/>
                <w:color w:val="auto"/>
                <w:sz w:val="24"/>
                <w:highlight w:val="none"/>
              </w:rPr>
              <w:t>本项目收取履约保证金：详见商务条款。</w:t>
            </w:r>
          </w:p>
          <w:p w14:paraId="7803233A">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履约保证金递交方式：详见商务条款</w:t>
            </w:r>
          </w:p>
          <w:p w14:paraId="0627B308">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履约保证金退付方式、时间及条件详见商务条款。</w:t>
            </w:r>
          </w:p>
          <w:p w14:paraId="15648AB5">
            <w:pPr>
              <w:spacing w:line="360" w:lineRule="auto"/>
              <w:contextualSpacing/>
              <w:rPr>
                <w:rFonts w:ascii="仿宋" w:hAnsi="仿宋" w:eastAsia="仿宋" w:cs="仿宋"/>
                <w:b/>
                <w:color w:val="auto"/>
                <w:sz w:val="24"/>
                <w:highlight w:val="none"/>
              </w:rPr>
            </w:pPr>
            <w:r>
              <w:rPr>
                <w:rFonts w:hint="eastAsia" w:ascii="仿宋" w:hAnsi="仿宋" w:eastAsia="仿宋" w:cs="仿宋"/>
                <w:b/>
                <w:color w:val="auto"/>
                <w:sz w:val="24"/>
                <w:highlight w:val="none"/>
              </w:rPr>
              <w:t>【备注】</w:t>
            </w:r>
          </w:p>
          <w:p w14:paraId="6D9343CD">
            <w:pPr>
              <w:spacing w:line="360" w:lineRule="auto"/>
              <w:contextualSpacing/>
              <w:rPr>
                <w:rFonts w:ascii="仿宋" w:hAnsi="仿宋" w:eastAsia="仿宋" w:cs="仿宋"/>
                <w:b/>
                <w:color w:val="auto"/>
                <w:sz w:val="24"/>
                <w:highlight w:val="none"/>
              </w:rPr>
            </w:pPr>
            <w:r>
              <w:rPr>
                <w:rFonts w:hint="eastAsia" w:ascii="仿宋" w:hAnsi="仿宋" w:eastAsia="仿宋" w:cs="仿宋"/>
                <w:b/>
                <w:color w:val="auto"/>
                <w:sz w:val="24"/>
                <w:highlight w:val="none"/>
              </w:rPr>
              <w:t>1.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48B5C1DB">
            <w:pPr>
              <w:spacing w:line="360" w:lineRule="auto"/>
              <w:contextualSpacing/>
              <w:rPr>
                <w:rFonts w:ascii="仿宋" w:hAnsi="仿宋" w:eastAsia="仿宋" w:cs="仿宋"/>
                <w:b/>
                <w:color w:val="auto"/>
                <w:sz w:val="24"/>
                <w:highlight w:val="none"/>
              </w:rPr>
            </w:pPr>
            <w:r>
              <w:rPr>
                <w:rFonts w:hint="eastAsia" w:ascii="仿宋" w:hAnsi="仿宋" w:eastAsia="仿宋" w:cs="仿宋"/>
                <w:b/>
                <w:color w:val="auto"/>
                <w:sz w:val="24"/>
                <w:highlight w:val="none"/>
              </w:rPr>
              <w:t>2.履约保证金必须足额缴纳，或出具的保函额度必须足额且保函有效期不能低于合同履行期限（即签订采购合同之日起至履行完合同约定的权利及义务之日止），否则视为无效履约保证金。</w:t>
            </w:r>
          </w:p>
          <w:p w14:paraId="429E3B16">
            <w:pPr>
              <w:autoSpaceDE w:val="0"/>
              <w:autoSpaceDN w:val="0"/>
              <w:snapToGrid w:val="0"/>
              <w:spacing w:line="360" w:lineRule="auto"/>
              <w:textAlignment w:val="bottom"/>
              <w:rPr>
                <w:rFonts w:ascii="仿宋" w:hAnsi="仿宋" w:eastAsia="仿宋" w:cs="仿宋"/>
                <w:b/>
                <w:color w:val="auto"/>
                <w:sz w:val="24"/>
                <w:highlight w:val="none"/>
              </w:rPr>
            </w:pPr>
            <w:r>
              <w:rPr>
                <w:rFonts w:hint="eastAsia" w:ascii="仿宋" w:hAnsi="仿宋" w:eastAsia="仿宋" w:cs="仿宋"/>
                <w:b/>
                <w:color w:val="auto"/>
                <w:sz w:val="24"/>
                <w:highlight w:val="none"/>
              </w:rPr>
              <w:t>3.采用保函的，必须为无条件保函，否则视为无效履约保证金。</w:t>
            </w:r>
          </w:p>
          <w:p w14:paraId="16EA1419">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b/>
                <w:color w:val="auto"/>
                <w:sz w:val="24"/>
                <w:highlight w:val="none"/>
              </w:rPr>
              <w:t>4.供应商为联合体的，由联合体其中一方按规定提交的履约保证金，视为有效履约保证金。</w:t>
            </w:r>
          </w:p>
        </w:tc>
      </w:tr>
      <w:tr w14:paraId="3718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25FFC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29.1</w:t>
            </w:r>
          </w:p>
        </w:tc>
        <w:tc>
          <w:tcPr>
            <w:tcW w:w="8627" w:type="dxa"/>
            <w:vAlign w:val="center"/>
          </w:tcPr>
          <w:p w14:paraId="06F06B10">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 xml:space="preserve">签订合同携带的证明材料： </w:t>
            </w:r>
          </w:p>
          <w:p w14:paraId="47D54FBA">
            <w:pPr>
              <w:autoSpaceDE w:val="0"/>
              <w:autoSpaceDN w:val="0"/>
              <w:snapToGrid w:val="0"/>
              <w:spacing w:line="360" w:lineRule="auto"/>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1.委托代理人负责签订合同的，须携带授权委托书及委托代理人身份证原件等其他资格证件。</w:t>
            </w:r>
          </w:p>
          <w:p w14:paraId="7C034B94">
            <w:pPr>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2.法定代表人负责签订合同的，须携带法定代表人身份证明原件及身份证原件等其他证明材料。</w:t>
            </w:r>
          </w:p>
        </w:tc>
      </w:tr>
      <w:tr w14:paraId="1710C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A790B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31.2</w:t>
            </w:r>
          </w:p>
        </w:tc>
        <w:tc>
          <w:tcPr>
            <w:tcW w:w="8627" w:type="dxa"/>
            <w:vAlign w:val="center"/>
          </w:tcPr>
          <w:p w14:paraId="054762CF">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接收质疑函方式：以纸质书面形式。</w:t>
            </w:r>
          </w:p>
          <w:p w14:paraId="776C46E2">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质疑联系部门及联系方式：广西科文招标有限公司</w:t>
            </w:r>
          </w:p>
          <w:p w14:paraId="4027B0BE">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质疑联系人：梁伟贞   联系电话：0771-2023650</w:t>
            </w:r>
          </w:p>
          <w:p w14:paraId="6E1E2E3A">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通讯地址：广西南宁市民族大道141号中鼎万象东方D区五层</w:t>
            </w:r>
          </w:p>
          <w:p w14:paraId="57E6AA21">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业务时间：工作日，上午8:00-12:00；下午15:00-18:00（北京时间）</w:t>
            </w:r>
          </w:p>
        </w:tc>
      </w:tr>
      <w:tr w14:paraId="177C7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6A631B9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32.1</w:t>
            </w:r>
          </w:p>
        </w:tc>
        <w:tc>
          <w:tcPr>
            <w:tcW w:w="8627" w:type="dxa"/>
            <w:vAlign w:val="center"/>
          </w:tcPr>
          <w:p w14:paraId="2D11AE37">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lang w:bidi="ar"/>
              </w:rPr>
              <w:t>.</w:t>
            </w:r>
            <w:r>
              <w:rPr>
                <w:rFonts w:hint="eastAsia" w:ascii="仿宋" w:hAnsi="仿宋" w:eastAsia="仿宋" w:cs="仿宋"/>
                <w:color w:val="auto"/>
                <w:sz w:val="24"/>
                <w:szCs w:val="24"/>
                <w:highlight w:val="none"/>
              </w:rPr>
              <w:t>采购代理服务费支付方式：本项目的招标代理服务费按以下收费标准向成交供应商收取。</w:t>
            </w:r>
          </w:p>
          <w:p w14:paraId="54B046A4">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highlight w:val="none"/>
                <w:lang w:bidi="ar"/>
              </w:rPr>
              <w:t>.</w:t>
            </w:r>
            <w:r>
              <w:rPr>
                <w:rFonts w:hint="eastAsia" w:ascii="仿宋" w:hAnsi="仿宋" w:eastAsia="仿宋" w:cs="仿宋"/>
                <w:color w:val="auto"/>
                <w:sz w:val="24"/>
                <w:szCs w:val="24"/>
                <w:highlight w:val="none"/>
              </w:rPr>
              <w:t>采购代理服务费收取标准：</w:t>
            </w:r>
          </w:p>
          <w:p w14:paraId="5DBE3BD0">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以分标成交金额为计费额，按本磋商文件之《供应商须知正文》第32.2条规定的收费计算标准服务类采用差额定率累进法计算出收费基准价格，采购代理服务费收费以收费基准价格</w:t>
            </w:r>
            <w:r>
              <w:rPr>
                <w:rFonts w:hint="eastAsia" w:ascii="仿宋" w:hAnsi="仿宋" w:eastAsia="仿宋" w:cs="仿宋"/>
                <w:color w:val="auto"/>
                <w:sz w:val="24"/>
                <w:szCs w:val="24"/>
                <w:highlight w:val="none"/>
                <w:lang w:val="en-US" w:eastAsia="zh-CN"/>
              </w:rPr>
              <w:t>下浮40%</w:t>
            </w:r>
            <w:r>
              <w:rPr>
                <w:rFonts w:hint="eastAsia" w:ascii="仿宋" w:hAnsi="仿宋" w:eastAsia="仿宋" w:cs="仿宋"/>
                <w:color w:val="auto"/>
                <w:sz w:val="24"/>
                <w:szCs w:val="24"/>
                <w:highlight w:val="none"/>
              </w:rPr>
              <w:t>收取。</w:t>
            </w:r>
          </w:p>
          <w:p w14:paraId="69DC52B4">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highlight w:val="none"/>
                <w:lang w:bidi="ar"/>
              </w:rPr>
              <w:t>.</w:t>
            </w:r>
            <w:r>
              <w:rPr>
                <w:rFonts w:hint="eastAsia" w:ascii="仿宋" w:hAnsi="仿宋" w:eastAsia="仿宋" w:cs="仿宋"/>
                <w:color w:val="auto"/>
                <w:sz w:val="24"/>
                <w:szCs w:val="24"/>
                <w:highlight w:val="none"/>
              </w:rPr>
              <w:t>采购代理服务费收取银行账号：</w:t>
            </w:r>
          </w:p>
          <w:p w14:paraId="1EB4496B">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开户名称：广西科文招标有限公司南宁咨询一分公司</w:t>
            </w:r>
          </w:p>
          <w:p w14:paraId="0E835BA2">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开户银行：广西北部湾银行股份有限公司南宁市云景支行</w:t>
            </w:r>
          </w:p>
          <w:p w14:paraId="71C649BD">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银行账号：805030137000001</w:t>
            </w:r>
          </w:p>
        </w:tc>
      </w:tr>
      <w:tr w14:paraId="03B69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0F7976">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33.1</w:t>
            </w:r>
          </w:p>
        </w:tc>
        <w:tc>
          <w:tcPr>
            <w:tcW w:w="8627" w:type="dxa"/>
            <w:vAlign w:val="center"/>
          </w:tcPr>
          <w:p w14:paraId="5C5D26DA">
            <w:pPr>
              <w:pStyle w:val="18"/>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7543FB2">
            <w:pPr>
              <w:pStyle w:val="18"/>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4C9F895A">
            <w:pPr>
              <w:pStyle w:val="18"/>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（2）在工程采购项目中，工程由中小企业承建，即工程施工单位为中小企业，不对其中涉及的货物的制造商和服务的承接商作出要求；</w:t>
            </w:r>
          </w:p>
          <w:p w14:paraId="56F979B0">
            <w:pPr>
              <w:pStyle w:val="18"/>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2D28EFD">
            <w:pPr>
              <w:pStyle w:val="18"/>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1F906E1">
            <w:pPr>
              <w:pStyle w:val="18"/>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依据本磋商文件规定享受扶持政策获得政府采购合同的，小微企业不得将合同分包给大中型企业，中型企业不得将合同分包给大型企业。</w:t>
            </w:r>
          </w:p>
        </w:tc>
      </w:tr>
      <w:tr w14:paraId="44E4E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8FEAEE">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33.</w:t>
            </w:r>
            <w:r>
              <w:rPr>
                <w:rFonts w:hint="eastAsia" w:ascii="仿宋" w:hAnsi="仿宋" w:eastAsia="仿宋" w:cs="仿宋"/>
                <w:color w:val="auto"/>
                <w:sz w:val="24"/>
                <w:highlight w:val="none"/>
                <w:lang w:val="en-US" w:eastAsia="zh-CN"/>
              </w:rPr>
              <w:t>2</w:t>
            </w:r>
          </w:p>
        </w:tc>
        <w:tc>
          <w:tcPr>
            <w:tcW w:w="8627" w:type="dxa"/>
            <w:vAlign w:val="center"/>
          </w:tcPr>
          <w:p w14:paraId="7CE88C01">
            <w:pPr>
              <w:pStyle w:val="18"/>
              <w:snapToGrid w:val="0"/>
              <w:spacing w:line="360" w:lineRule="auto"/>
              <w:rPr>
                <w:rFonts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F930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79F17B">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33.</w:t>
            </w:r>
            <w:r>
              <w:rPr>
                <w:rFonts w:hint="eastAsia" w:ascii="仿宋" w:hAnsi="仿宋" w:eastAsia="仿宋" w:cs="仿宋"/>
                <w:color w:val="auto"/>
                <w:sz w:val="24"/>
                <w:highlight w:val="none"/>
                <w:lang w:val="en-US" w:eastAsia="zh-CN"/>
              </w:rPr>
              <w:t>3</w:t>
            </w:r>
          </w:p>
        </w:tc>
        <w:tc>
          <w:tcPr>
            <w:tcW w:w="8627" w:type="dxa"/>
            <w:vAlign w:val="center"/>
          </w:tcPr>
          <w:p w14:paraId="738D44F4">
            <w:pPr>
              <w:pStyle w:val="18"/>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1.本磋商文件中描述供应商的“公章”是指根据我国对公章的管理规定，用供应商法定主体名称制作的印章</w:t>
            </w:r>
            <w:r>
              <w:rPr>
                <w:rFonts w:hint="eastAsia" w:ascii="仿宋" w:hAnsi="仿宋" w:eastAsia="仿宋" w:cs="仿宋"/>
                <w:color w:val="auto"/>
                <w:sz w:val="24"/>
                <w:szCs w:val="24"/>
                <w:highlight w:val="none"/>
              </w:rPr>
              <w:t>或供应商通过指定电子化政府采购平台办理数字证书（CA认证）获得的以法定主体名称制作的电子印章。</w:t>
            </w:r>
            <w:r>
              <w:rPr>
                <w:rFonts w:hint="eastAsia" w:ascii="仿宋" w:hAnsi="仿宋" w:eastAsia="仿宋" w:cs="仿宋"/>
                <w:bCs/>
                <w:color w:val="auto"/>
                <w:sz w:val="24"/>
                <w:szCs w:val="24"/>
                <w:highlight w:val="none"/>
              </w:rPr>
              <w:t>除本磋商文件有特殊规定外，供应商的财务章、部门章、分公司章、工会章、合同章、投标专用章、业务专用章及银行的转账章、现金收讫章、现金付讫章等其他形式印章均不能代替公章。</w:t>
            </w:r>
          </w:p>
          <w:p w14:paraId="050C65E4">
            <w:pPr>
              <w:pStyle w:val="18"/>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2.供应商为其他组织或者自然人时，本磋商文件规定的法定代表人指负责人或者自然人。本磋商文件所称负责人是指</w:t>
            </w:r>
            <w:r>
              <w:rPr>
                <w:rFonts w:hint="eastAsia" w:ascii="仿宋" w:hAnsi="仿宋" w:eastAsia="仿宋" w:cs="仿宋"/>
                <w:bCs/>
                <w:color w:val="auto"/>
                <w:sz w:val="24"/>
                <w:szCs w:val="24"/>
                <w:highlight w:val="none"/>
                <w:lang w:eastAsia="zh-CN"/>
              </w:rPr>
              <w:t>参与磋商</w:t>
            </w:r>
            <w:r>
              <w:rPr>
                <w:rFonts w:hint="eastAsia" w:ascii="仿宋" w:hAnsi="仿宋" w:eastAsia="仿宋" w:cs="仿宋"/>
                <w:bCs/>
                <w:color w:val="auto"/>
                <w:sz w:val="24"/>
                <w:szCs w:val="24"/>
                <w:highlight w:val="none"/>
              </w:rPr>
              <w:t>的其他组织营业执照或者执业许可证等证照上的负责人，本磋商文件所称自然人指参与</w:t>
            </w:r>
            <w:r>
              <w:rPr>
                <w:rFonts w:hint="eastAsia" w:ascii="仿宋" w:hAnsi="仿宋" w:eastAsia="仿宋" w:cs="仿宋"/>
                <w:color w:val="auto"/>
                <w:sz w:val="24"/>
                <w:szCs w:val="24"/>
                <w:highlight w:val="none"/>
              </w:rPr>
              <w:t>竞争性磋商</w:t>
            </w:r>
            <w:r>
              <w:rPr>
                <w:rFonts w:hint="eastAsia" w:ascii="仿宋" w:hAnsi="仿宋" w:eastAsia="仿宋" w:cs="仿宋"/>
                <w:bCs/>
                <w:color w:val="auto"/>
                <w:sz w:val="24"/>
                <w:szCs w:val="24"/>
                <w:highlight w:val="none"/>
              </w:rPr>
              <w:t>的自然人本人，且应具备独立承担民事责任能力，自然人应当为年满18岁以上成年人（十六周岁以上的未成年人，以自己的劳动收入为主要生活来源的，视为完全民事行为能力人）。</w:t>
            </w:r>
          </w:p>
          <w:p w14:paraId="2CB3F9C6">
            <w:pPr>
              <w:pStyle w:val="18"/>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3.本磋商文件中描述供应商的“签字”是指供应商的法定代表人或者委托代理人</w:t>
            </w:r>
            <w:r>
              <w:rPr>
                <w:rFonts w:hint="eastAsia" w:ascii="仿宋" w:hAnsi="仿宋" w:eastAsia="仿宋" w:cs="仿宋"/>
                <w:color w:val="auto"/>
                <w:sz w:val="24"/>
                <w:szCs w:val="24"/>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ascii="仿宋" w:hAnsi="仿宋" w:eastAsia="仿宋" w:cs="仿宋"/>
                <w:bCs/>
                <w:color w:val="auto"/>
                <w:sz w:val="24"/>
                <w:szCs w:val="24"/>
                <w:highlight w:val="none"/>
              </w:rPr>
              <w:t>。</w:t>
            </w:r>
          </w:p>
          <w:p w14:paraId="5206790C">
            <w:pPr>
              <w:pStyle w:val="18"/>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6933EE7D">
            <w:pPr>
              <w:pStyle w:val="18"/>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5.自然人</w:t>
            </w:r>
            <w:r>
              <w:rPr>
                <w:rFonts w:hint="eastAsia" w:ascii="仿宋" w:hAnsi="仿宋" w:eastAsia="仿宋" w:cs="仿宋"/>
                <w:bCs/>
                <w:color w:val="auto"/>
                <w:sz w:val="24"/>
                <w:szCs w:val="24"/>
                <w:highlight w:val="none"/>
                <w:lang w:eastAsia="zh-CN"/>
              </w:rPr>
              <w:t>参与磋商</w:t>
            </w:r>
            <w:r>
              <w:rPr>
                <w:rFonts w:hint="eastAsia" w:ascii="仿宋" w:hAnsi="仿宋" w:eastAsia="仿宋" w:cs="仿宋"/>
                <w:bCs/>
                <w:color w:val="auto"/>
                <w:sz w:val="24"/>
                <w:szCs w:val="24"/>
                <w:highlight w:val="none"/>
              </w:rPr>
              <w:t>的，磋商文件规定盖公章处由自然人摁手指指印。</w:t>
            </w:r>
          </w:p>
          <w:p w14:paraId="259F89E5">
            <w:pPr>
              <w:pStyle w:val="18"/>
              <w:snapToGrid w:val="0"/>
              <w:spacing w:line="360" w:lineRule="auto"/>
              <w:rPr>
                <w:rFonts w:ascii="仿宋" w:hAnsi="仿宋" w:eastAsia="仿宋" w:cs="仿宋"/>
                <w:color w:val="auto"/>
                <w:sz w:val="24"/>
                <w:szCs w:val="24"/>
                <w:highlight w:val="none"/>
              </w:rPr>
            </w:pPr>
            <w:r>
              <w:rPr>
                <w:rFonts w:hint="eastAsia" w:ascii="仿宋" w:hAnsi="仿宋" w:eastAsia="仿宋" w:cs="仿宋"/>
                <w:bCs/>
                <w:color w:val="auto"/>
                <w:sz w:val="24"/>
                <w:highlight w:val="none"/>
              </w:rPr>
              <w:t>6.本磋商文件所称的“以上”“以下”“以内”“届满”，包括本数；所称的“不满”“超过”“以外”，不包括本数。</w:t>
            </w:r>
          </w:p>
        </w:tc>
      </w:tr>
    </w:tbl>
    <w:p w14:paraId="5538D98B">
      <w:pPr>
        <w:spacing w:line="40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供应商须知正文</w:t>
      </w:r>
    </w:p>
    <w:p w14:paraId="4C135637">
      <w:pPr>
        <w:spacing w:line="400" w:lineRule="exact"/>
        <w:jc w:val="center"/>
        <w:rPr>
          <w:rFonts w:ascii="仿宋" w:hAnsi="仿宋" w:eastAsia="仿宋" w:cs="仿宋"/>
          <w:b/>
          <w:color w:val="auto"/>
          <w:sz w:val="32"/>
          <w:szCs w:val="32"/>
          <w:highlight w:val="none"/>
        </w:rPr>
      </w:pPr>
    </w:p>
    <w:p w14:paraId="4D2FF988">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一、总则</w:t>
      </w:r>
    </w:p>
    <w:p w14:paraId="2C954FA5">
      <w:pPr>
        <w:spacing w:line="400" w:lineRule="exact"/>
        <w:rPr>
          <w:rFonts w:ascii="仿宋" w:hAnsi="仿宋" w:eastAsia="仿宋" w:cs="仿宋"/>
          <w:color w:val="auto"/>
          <w:szCs w:val="21"/>
          <w:highlight w:val="none"/>
        </w:rPr>
      </w:pPr>
    </w:p>
    <w:p w14:paraId="2DE9C538">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1.适用范围</w:t>
      </w:r>
    </w:p>
    <w:p w14:paraId="13CE214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01923A8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pacing w:val="-6"/>
          <w:sz w:val="24"/>
          <w:highlight w:val="none"/>
        </w:rPr>
        <w:t>本竞争性磋商文件（以下简称磋商文件）适用于本项目的所有采购程序和环节（</w:t>
      </w:r>
      <w:r>
        <w:rPr>
          <w:rFonts w:hint="eastAsia" w:ascii="仿宋" w:hAnsi="仿宋" w:eastAsia="仿宋" w:cs="仿宋"/>
          <w:color w:val="auto"/>
          <w:spacing w:val="-6"/>
          <w:sz w:val="24"/>
          <w:highlight w:val="none"/>
          <w:lang w:eastAsia="zh-CN"/>
        </w:rPr>
        <w:t>法律法规</w:t>
      </w:r>
      <w:r>
        <w:rPr>
          <w:rFonts w:hint="eastAsia" w:ascii="仿宋" w:hAnsi="仿宋" w:eastAsia="仿宋" w:cs="仿宋"/>
          <w:color w:val="auto"/>
          <w:spacing w:val="-6"/>
          <w:sz w:val="24"/>
          <w:highlight w:val="none"/>
        </w:rPr>
        <w:t>另有规定的，从其规定）。</w:t>
      </w:r>
    </w:p>
    <w:p w14:paraId="696AC5F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2.定义</w:t>
      </w:r>
    </w:p>
    <w:p w14:paraId="7B9F77F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2.1“采购人”是指依法进行政府采购的国家机关、事业单位、团体组织。</w:t>
      </w:r>
    </w:p>
    <w:p w14:paraId="3462808A">
      <w:pPr>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2.2“采购代理机构”是指政府采购集中采购机构和集中采购机构以外的采购代理机构。</w:t>
      </w:r>
    </w:p>
    <w:p w14:paraId="4C9572A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2.3“供应商”是指向采购人提供货物、工程或者服务的法人、其他组织或者自然人。</w:t>
      </w:r>
    </w:p>
    <w:p w14:paraId="04D9CC1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2.4“服务”是指除货物和工程以外的其他政府采购对象。</w:t>
      </w:r>
    </w:p>
    <w:p w14:paraId="6C015BF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2.5“竞争性磋商”是指供应商按照本项目竞争性磋商公告或者邀请函规定的方式获取磋商文件、提交响应文件并希望获得标的的行为。</w:t>
      </w:r>
    </w:p>
    <w:p w14:paraId="0E910F08">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2.6“书面形式”是指合同书、信件和数据电文（包括电报、电传、传真、电子数据交换和电子邮件）等可以有形地表现所载内容的形式。</w:t>
      </w:r>
    </w:p>
    <w:p w14:paraId="0092BDD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2.7“响应文件”</w:t>
      </w:r>
      <w:r>
        <w:rPr>
          <w:rFonts w:hint="eastAsia" w:ascii="仿宋" w:hAnsi="仿宋" w:eastAsia="仿宋" w:cs="仿宋"/>
          <w:color w:val="auto"/>
          <w:spacing w:val="-6"/>
          <w:sz w:val="24"/>
          <w:highlight w:val="none"/>
        </w:rPr>
        <w:t>是指：供应商根据本磋商文件要求，编制包含资格证明、报价商务技术等所有内容的文件。</w:t>
      </w:r>
    </w:p>
    <w:p w14:paraId="7FBD1A1D">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2.8“实质性要求”是指磋商文件中已经指明不满足则响应文件按无效响应处理的条款，或者不能负偏离的条款，或者采购需求中带“▲”的条款。</w:t>
      </w:r>
    </w:p>
    <w:p w14:paraId="7164DDCA">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2.9“正偏离”，是指响应文件对磋商文件“采购需求”中有关条款作出的响应优于条款要求并有利于采购人的情形。</w:t>
      </w:r>
    </w:p>
    <w:p w14:paraId="0822BDD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2.10“负偏离”，是指响应文件对磋商文件“采购需求”中有关条款作出的响应不满足条款要求，导致采购人要求不能得到满足的情形。</w:t>
      </w:r>
    </w:p>
    <w:p w14:paraId="45C35D6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2.11“允许负偏离的条款”是指采购需求中的不属于“实质性要求”的条款。</w:t>
      </w:r>
    </w:p>
    <w:p w14:paraId="0CE0703E">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2.12“首次报价”是指供应商提交的首次响应文件中的报价。</w:t>
      </w:r>
    </w:p>
    <w:p w14:paraId="2EBF282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3.供应商的资格条件</w:t>
      </w:r>
    </w:p>
    <w:p w14:paraId="31C3CC4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供应商的资格条件详见“供应商须知前附表”。</w:t>
      </w:r>
    </w:p>
    <w:p w14:paraId="515044F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b/>
          <w:color w:val="auto"/>
          <w:sz w:val="24"/>
          <w:highlight w:val="none"/>
        </w:rPr>
        <w:t>竞争性磋商</w:t>
      </w:r>
      <w:r>
        <w:rPr>
          <w:rFonts w:hint="eastAsia" w:ascii="仿宋" w:hAnsi="仿宋" w:eastAsia="仿宋" w:cs="仿宋"/>
          <w:b/>
          <w:bCs/>
          <w:color w:val="auto"/>
          <w:sz w:val="24"/>
          <w:highlight w:val="none"/>
        </w:rPr>
        <w:t>费用</w:t>
      </w:r>
    </w:p>
    <w:p w14:paraId="3F6FED2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供应商应承担参与本次采购活动有关的所有费用，包括但不限于获取磋商文件、勘查现场、编制和提交响应文件、参加磋商与应答、签订合同等，不论竞争性磋商结果如何，均应自行承担。</w:t>
      </w:r>
    </w:p>
    <w:p w14:paraId="0158254B">
      <w:pPr>
        <w:spacing w:line="360" w:lineRule="auto"/>
        <w:ind w:firstLine="482" w:firstLineChars="20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5.</w:t>
      </w:r>
      <w:r>
        <w:rPr>
          <w:rFonts w:hint="eastAsia" w:ascii="仿宋" w:hAnsi="仿宋" w:eastAsia="仿宋" w:cs="仿宋"/>
          <w:b/>
          <w:bCs/>
          <w:color w:val="auto"/>
          <w:sz w:val="24"/>
          <w:highlight w:val="none"/>
          <w:lang w:eastAsia="zh-CN"/>
        </w:rPr>
        <w:t>联合体磋商</w:t>
      </w:r>
    </w:p>
    <w:p w14:paraId="2045F1B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5.1本项目是否接受</w:t>
      </w:r>
      <w:r>
        <w:rPr>
          <w:rFonts w:hint="eastAsia" w:ascii="仿宋" w:hAnsi="仿宋" w:eastAsia="仿宋" w:cs="仿宋"/>
          <w:color w:val="auto"/>
          <w:sz w:val="24"/>
          <w:highlight w:val="none"/>
          <w:lang w:eastAsia="zh-CN"/>
        </w:rPr>
        <w:t>联合体磋商</w:t>
      </w:r>
      <w:r>
        <w:rPr>
          <w:rFonts w:hint="eastAsia" w:ascii="仿宋" w:hAnsi="仿宋" w:eastAsia="仿宋" w:cs="仿宋"/>
          <w:color w:val="auto"/>
          <w:sz w:val="24"/>
          <w:highlight w:val="none"/>
        </w:rPr>
        <w:t>，详见“供应商须知前附表”。</w:t>
      </w:r>
    </w:p>
    <w:p w14:paraId="1E6488B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5.2如接受</w:t>
      </w:r>
      <w:r>
        <w:rPr>
          <w:rFonts w:hint="eastAsia" w:ascii="仿宋" w:hAnsi="仿宋" w:eastAsia="仿宋" w:cs="仿宋"/>
          <w:color w:val="auto"/>
          <w:sz w:val="24"/>
          <w:highlight w:val="none"/>
          <w:lang w:eastAsia="zh-CN"/>
        </w:rPr>
        <w:t>联合体磋商</w:t>
      </w:r>
      <w:r>
        <w:rPr>
          <w:rFonts w:hint="eastAsia" w:ascii="仿宋" w:hAnsi="仿宋" w:eastAsia="仿宋" w:cs="仿宋"/>
          <w:color w:val="auto"/>
          <w:sz w:val="24"/>
          <w:highlight w:val="none"/>
        </w:rPr>
        <w:t>，相关要求详见“供应商须知前附表”。</w:t>
      </w:r>
    </w:p>
    <w:p w14:paraId="7176315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w:t>
      </w:r>
      <w:bookmarkStart w:id="17" w:name="_Hlk66782192"/>
      <w:r>
        <w:rPr>
          <w:rFonts w:hint="eastAsia" w:ascii="仿宋" w:hAnsi="仿宋" w:eastAsia="仿宋" w:cs="仿宋"/>
          <w:color w:val="auto"/>
          <w:sz w:val="24"/>
          <w:highlight w:val="none"/>
        </w:rPr>
        <w:t>根据《政府采购促进中小企业发展管理办法》（财库〔2020〕46号）及《关于进一步加大政府采购支持中小企业力度的通知》（财库〔2022〕19号 ）调整对小微企业的价格评审优惠幅度。货物服务采购项目给予小微企业的价格扣除优惠20%。大中型企业与小微企业组成联合体或者大中型企业向小微企业分包的，对于联合协议约定小微企业的合同份额占到合同总金额 30%以上的，评审优惠6%，用扣除后的价格参加评审。</w:t>
      </w:r>
      <w:bookmarkEnd w:id="17"/>
    </w:p>
    <w:p w14:paraId="16384738">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6.转包与分包             </w:t>
      </w:r>
    </w:p>
    <w:p w14:paraId="26AD531D">
      <w:pPr>
        <w:pStyle w:val="7"/>
        <w:keepNext w:val="0"/>
        <w:keepLines w:val="0"/>
        <w:spacing w:before="0" w:after="0" w:line="360" w:lineRule="auto"/>
        <w:ind w:left="420" w:leftChars="200"/>
        <w:rPr>
          <w:rFonts w:ascii="仿宋" w:hAnsi="仿宋" w:eastAsia="仿宋" w:cs="仿宋"/>
          <w:b w:val="0"/>
          <w:color w:val="auto"/>
          <w:sz w:val="24"/>
          <w:szCs w:val="24"/>
          <w:highlight w:val="none"/>
        </w:rPr>
      </w:pPr>
      <w:bookmarkStart w:id="18" w:name="_Toc254970532"/>
      <w:bookmarkStart w:id="19" w:name="_Toc254970673"/>
      <w:r>
        <w:rPr>
          <w:rFonts w:hint="eastAsia" w:ascii="仿宋" w:hAnsi="仿宋" w:eastAsia="仿宋" w:cs="仿宋"/>
          <w:b w:val="0"/>
          <w:color w:val="auto"/>
          <w:sz w:val="24"/>
          <w:szCs w:val="24"/>
          <w:highlight w:val="none"/>
        </w:rPr>
        <w:t>6.1本项目不允许转包。</w:t>
      </w:r>
    </w:p>
    <w:p w14:paraId="34ECF429">
      <w:pPr>
        <w:pStyle w:val="7"/>
        <w:keepNext w:val="0"/>
        <w:keepLines w:val="0"/>
        <w:spacing w:before="0" w:after="0" w:line="360" w:lineRule="auto"/>
        <w:ind w:firstLine="360" w:firstLineChars="15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7433DB8">
      <w:pPr>
        <w:pStyle w:val="7"/>
        <w:keepNext w:val="0"/>
        <w:keepLines w:val="0"/>
        <w:spacing w:before="0" w:after="0" w:line="360" w:lineRule="auto"/>
        <w:ind w:firstLine="360" w:firstLineChars="150"/>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83CBE69">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7.特别说明</w:t>
      </w:r>
      <w:bookmarkEnd w:id="18"/>
      <w:bookmarkEnd w:id="19"/>
    </w:p>
    <w:p w14:paraId="67432B89">
      <w:pPr>
        <w:spacing w:line="360" w:lineRule="auto"/>
        <w:ind w:firstLine="480" w:firstLineChars="200"/>
        <w:rPr>
          <w:rFonts w:ascii="仿宋" w:hAnsi="仿宋" w:eastAsia="仿宋" w:cs="仿宋"/>
          <w:color w:val="auto"/>
          <w:sz w:val="24"/>
          <w:highlight w:val="none"/>
        </w:rPr>
      </w:pPr>
      <w:bookmarkStart w:id="20" w:name="_8.1提供相同品牌产品且通过资格审查、符合性审查的不同投标人参加同一合"/>
      <w:bookmarkEnd w:id="20"/>
      <w:r>
        <w:rPr>
          <w:rFonts w:hint="eastAsia" w:ascii="仿宋" w:hAnsi="仿宋" w:eastAsia="仿宋" w:cs="仿宋"/>
          <w:color w:val="auto"/>
          <w:sz w:val="24"/>
          <w:highlight w:val="none"/>
        </w:rPr>
        <w:t>7.1</w:t>
      </w:r>
      <w:bookmarkStart w:id="21" w:name="_Hlk65832145"/>
      <w:r>
        <w:rPr>
          <w:rFonts w:hint="eastAsia" w:ascii="仿宋" w:hAnsi="仿宋" w:eastAsia="仿宋" w:cs="仿宋"/>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21"/>
    <w:p w14:paraId="2069B21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7.2供应商应仔细阅读磋商文件的所有内容，按照磋商文件的要求提交响应文件，并对所提供的全部资料的真实性承担法律责任。</w:t>
      </w:r>
    </w:p>
    <w:p w14:paraId="79B7B77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7.3供应商在参与竞争性磋商活动中提供任何疑似虚假材料，将报监管部门查处；签订合同后发现的，成交供应商须依法赔偿采购人，且民事赔偿并不免除违法供应商的行政与刑事责任。</w:t>
      </w:r>
    </w:p>
    <w:p w14:paraId="7898B42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7.4在政府采购活动中，采购人员及相关人员与供应商有下列利害关系之一的，应当回避：</w:t>
      </w:r>
    </w:p>
    <w:p w14:paraId="6371EB9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（1）参加采购活动前3年内与供应商存在劳动关系；</w:t>
      </w:r>
    </w:p>
    <w:p w14:paraId="0ED715D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（2）参加采购活动前3年内担任供应商的董事、监事；</w:t>
      </w:r>
    </w:p>
    <w:p w14:paraId="1983F79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（3）参加采购活动前3年内是供应商的控股股东或者实际控制人；</w:t>
      </w:r>
    </w:p>
    <w:p w14:paraId="344F38C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（4）与供应商的法定代表人或者负责人有夫妻、直系血亲、三代以内旁系血亲或者近姻亲关系；</w:t>
      </w:r>
    </w:p>
    <w:p w14:paraId="337D875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（5）与供应商有其他可能影响政府采购活动公平、公正进行的关系。</w:t>
      </w:r>
    </w:p>
    <w:p w14:paraId="18AC1B7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F58F05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7.5有下列情形之一的视为供应商相互串通参与竞争性磋商，响应文件将被视为无效：</w:t>
      </w:r>
    </w:p>
    <w:p w14:paraId="6D557D4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 </w:t>
      </w:r>
    </w:p>
    <w:p w14:paraId="56C4D33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（2）不同供应商委托同一单位或者个人办理竞争性磋商事宜；</w:t>
      </w:r>
    </w:p>
    <w:p w14:paraId="6F097BD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（3）不同的供应商的响应文件载明的项目管理员为同一个人；</w:t>
      </w:r>
    </w:p>
    <w:p w14:paraId="58473A3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（4）不同供应商的响应文件异常一致或者报价呈规律性差异；</w:t>
      </w:r>
    </w:p>
    <w:p w14:paraId="59C6A6B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6A480A32">
      <w:pPr>
        <w:tabs>
          <w:tab w:val="left" w:pos="6931"/>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r>
        <w:rPr>
          <w:rFonts w:hint="eastAsia" w:ascii="仿宋" w:hAnsi="仿宋" w:eastAsia="仿宋" w:cs="仿宋"/>
          <w:color w:val="auto"/>
          <w:sz w:val="24"/>
          <w:highlight w:val="none"/>
        </w:rPr>
        <w:tab/>
      </w:r>
    </w:p>
    <w:p w14:paraId="636C4C8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（7）供应商之间协商报价等响应文件的实质性内容；</w:t>
      </w:r>
    </w:p>
    <w:p w14:paraId="6601E33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（8）供应商之间约定成交供应商；</w:t>
      </w:r>
    </w:p>
    <w:p w14:paraId="39BD6F6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（9）供应商之间约定部分供应商放弃参与竞争性磋商或者成交；</w:t>
      </w:r>
    </w:p>
    <w:p w14:paraId="3FDC4FB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（10）属于同一集团、协会、商会等组织成员的供应商按照该组织要求协同参与竞争性磋商；</w:t>
      </w:r>
    </w:p>
    <w:p w14:paraId="38948D45">
      <w:pPr>
        <w:pStyle w:val="15"/>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（11）供应商之间为谋取成交或者排斥特定供应商而采取的其他联合行动。</w:t>
      </w:r>
    </w:p>
    <w:p w14:paraId="53D9191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7.6供应商有下列情形之一的，属于恶意串通行为，将报同级监督管理部门：</w:t>
      </w:r>
    </w:p>
    <w:p w14:paraId="3248663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3C9717E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3A927A8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（3）供应商之间协商报价、技术方案等响应文件或者响应文件的实质性内容；</w:t>
      </w:r>
    </w:p>
    <w:p w14:paraId="585A99C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1C80169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（5）供应商之间事先约定一致抬高或者压低报价，或者在政府采购活动中事先约定轮流以高价位或者低价位成交，或者事先约定由某一特定供应商成交，然后再</w:t>
      </w:r>
      <w:r>
        <w:rPr>
          <w:rFonts w:hint="eastAsia" w:ascii="仿宋" w:hAnsi="仿宋" w:eastAsia="仿宋" w:cs="仿宋"/>
          <w:color w:val="auto"/>
          <w:sz w:val="24"/>
          <w:highlight w:val="none"/>
          <w:lang w:eastAsia="zh-CN"/>
        </w:rPr>
        <w:t>参与磋商</w:t>
      </w:r>
      <w:r>
        <w:rPr>
          <w:rFonts w:hint="eastAsia" w:ascii="仿宋" w:hAnsi="仿宋" w:eastAsia="仿宋" w:cs="仿宋"/>
          <w:color w:val="auto"/>
          <w:sz w:val="24"/>
          <w:highlight w:val="none"/>
        </w:rPr>
        <w:t>；</w:t>
      </w:r>
    </w:p>
    <w:p w14:paraId="01D0C48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604070A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（7）供应商与采购人或者采购代理机构之间、供应商相互之间，为谋求特定供应商成交或者排斥其他供应商的其他串通行为。</w:t>
      </w:r>
    </w:p>
    <w:p w14:paraId="081CE4D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7.7竞争性磋商委托</w:t>
      </w:r>
    </w:p>
    <w:p w14:paraId="5752DE6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供应商代表</w:t>
      </w:r>
      <w:r>
        <w:rPr>
          <w:rFonts w:hint="eastAsia" w:ascii="仿宋" w:hAnsi="仿宋" w:eastAsia="仿宋" w:cs="仿宋"/>
          <w:color w:val="auto"/>
          <w:sz w:val="24"/>
          <w:highlight w:val="none"/>
          <w:lang w:eastAsia="zh-CN"/>
        </w:rPr>
        <w:t>参与磋商</w:t>
      </w:r>
      <w:r>
        <w:rPr>
          <w:rFonts w:hint="eastAsia" w:ascii="仿宋" w:hAnsi="仿宋" w:eastAsia="仿宋" w:cs="仿宋"/>
          <w:color w:val="auto"/>
          <w:sz w:val="24"/>
          <w:highlight w:val="none"/>
        </w:rPr>
        <w:t>活动过程中必须携带个人有效身份证件。如供应商代表不是法定代表人，须持有授权委托书（按第五章要求格式填写）。</w:t>
      </w:r>
    </w:p>
    <w:p w14:paraId="26A2D88F">
      <w:pPr>
        <w:pStyle w:val="15"/>
        <w:ind w:firstLine="420"/>
        <w:rPr>
          <w:rFonts w:ascii="仿宋" w:hAnsi="仿宋" w:eastAsia="仿宋" w:cs="仿宋"/>
          <w:color w:val="auto"/>
          <w:highlight w:val="none"/>
        </w:rPr>
      </w:pPr>
    </w:p>
    <w:p w14:paraId="77835442">
      <w:pPr>
        <w:spacing w:line="360" w:lineRule="auto"/>
        <w:ind w:firstLine="480" w:firstLineChars="200"/>
        <w:rPr>
          <w:rFonts w:ascii="仿宋" w:hAnsi="仿宋" w:eastAsia="仿宋" w:cs="仿宋"/>
          <w:color w:val="auto"/>
          <w:sz w:val="24"/>
          <w:highlight w:val="none"/>
        </w:rPr>
      </w:pPr>
    </w:p>
    <w:p w14:paraId="00C93D43">
      <w:pPr>
        <w:spacing w:line="360" w:lineRule="auto"/>
        <w:jc w:val="center"/>
        <w:rPr>
          <w:rFonts w:ascii="仿宋" w:hAnsi="仿宋" w:eastAsia="仿宋" w:cs="仿宋"/>
          <w:b/>
          <w:bCs/>
          <w:color w:val="auto"/>
          <w:sz w:val="24"/>
          <w:highlight w:val="none"/>
        </w:rPr>
      </w:pPr>
      <w:bookmarkStart w:id="22" w:name="_Toc254970675"/>
      <w:bookmarkStart w:id="23" w:name="_Toc254970534"/>
      <w:r>
        <w:rPr>
          <w:rFonts w:hint="eastAsia" w:ascii="仿宋" w:hAnsi="仿宋" w:eastAsia="仿宋" w:cs="仿宋"/>
          <w:b/>
          <w:bCs/>
          <w:color w:val="auto"/>
          <w:sz w:val="24"/>
          <w:highlight w:val="none"/>
        </w:rPr>
        <w:t>二、磋商文件</w:t>
      </w:r>
      <w:bookmarkEnd w:id="22"/>
      <w:bookmarkEnd w:id="23"/>
    </w:p>
    <w:p w14:paraId="6F7D5E80">
      <w:pPr>
        <w:spacing w:line="360" w:lineRule="auto"/>
        <w:ind w:firstLine="482" w:firstLineChars="200"/>
        <w:rPr>
          <w:rFonts w:ascii="仿宋" w:hAnsi="仿宋" w:eastAsia="仿宋" w:cs="仿宋"/>
          <w:b/>
          <w:bCs/>
          <w:color w:val="auto"/>
          <w:sz w:val="24"/>
          <w:highlight w:val="none"/>
        </w:rPr>
      </w:pPr>
    </w:p>
    <w:p w14:paraId="549496A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8.磋商文件的构成</w:t>
      </w:r>
    </w:p>
    <w:p w14:paraId="565CF6BE">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（1）竞争性磋商公告；</w:t>
      </w:r>
    </w:p>
    <w:p w14:paraId="6FF59B99">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（2）供应商须知； </w:t>
      </w:r>
    </w:p>
    <w:p w14:paraId="0AA118CC">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（3）采购需求；</w:t>
      </w:r>
    </w:p>
    <w:p w14:paraId="5B776AF1">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（4）评审程序、评审方法和评审标准；</w:t>
      </w:r>
    </w:p>
    <w:p w14:paraId="1E4A45C3">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（5）响应文件格式；</w:t>
      </w:r>
    </w:p>
    <w:p w14:paraId="46BB9161">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（6）拟签订的合同文本。</w:t>
      </w:r>
    </w:p>
    <w:p w14:paraId="7F6CF2B8">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9.供应商的询问</w:t>
      </w:r>
    </w:p>
    <w:p w14:paraId="37F06D5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46FE24D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10.磋商文件的澄清和修改</w:t>
      </w:r>
    </w:p>
    <w:p w14:paraId="3C29DEA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16902A2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10.2采购人和采购代理机构可以视采购具体情况，变更首次响应文件提交截止时间和开启时间，并在原公告发布媒体上发布更正公告。</w:t>
      </w:r>
    </w:p>
    <w:p w14:paraId="71A0678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10.3磋商文件澄清、答复、修改、补充的内容为磋商文件的组成部分。</w:t>
      </w:r>
      <w:r>
        <w:rPr>
          <w:rFonts w:hint="eastAsia" w:ascii="仿宋" w:hAnsi="仿宋" w:eastAsia="仿宋" w:cs="仿宋"/>
          <w:b/>
          <w:color w:val="auto"/>
          <w:sz w:val="24"/>
          <w:highlight w:val="none"/>
        </w:rPr>
        <w:t>当磋商文件与磋商文件的澄清、答复、修改、补充通知就同一内容的表述不一致时，以最后发出的文件为准。</w:t>
      </w:r>
    </w:p>
    <w:p w14:paraId="0C8547E5">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10.4响应文件未按磋商文件的澄清、修改后的内容编制的，其响应文件作无效响应处理。</w:t>
      </w:r>
    </w:p>
    <w:p w14:paraId="7B4D6927">
      <w:pPr>
        <w:spacing w:line="360" w:lineRule="auto"/>
        <w:ind w:firstLine="482" w:firstLineChars="200"/>
        <w:rPr>
          <w:rFonts w:ascii="仿宋" w:hAnsi="仿宋" w:eastAsia="仿宋" w:cs="仿宋"/>
          <w:b/>
          <w:color w:val="auto"/>
          <w:sz w:val="24"/>
          <w:highlight w:val="none"/>
        </w:rPr>
      </w:pPr>
    </w:p>
    <w:p w14:paraId="03094456">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三、响应文件的编制</w:t>
      </w:r>
    </w:p>
    <w:p w14:paraId="6D82CD65">
      <w:pPr>
        <w:spacing w:line="360" w:lineRule="auto"/>
        <w:ind w:firstLine="482" w:firstLineChars="200"/>
        <w:rPr>
          <w:rFonts w:ascii="仿宋" w:hAnsi="仿宋" w:eastAsia="仿宋" w:cs="仿宋"/>
          <w:b/>
          <w:bCs/>
          <w:color w:val="auto"/>
          <w:sz w:val="24"/>
          <w:highlight w:val="none"/>
        </w:rPr>
      </w:pPr>
    </w:p>
    <w:p w14:paraId="0CD4765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11.响应文件的编制原则</w:t>
      </w:r>
    </w:p>
    <w:p w14:paraId="2419F4C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供应商必须按照磋商文件的要求编制响应文件，并对其提交的响应文件的真实性、合法性承担法律责任。响应文件必须对磋商文件做出实质性响应。</w:t>
      </w:r>
    </w:p>
    <w:p w14:paraId="4490AC20">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12.响应文件的组成</w:t>
      </w:r>
    </w:p>
    <w:p w14:paraId="6868786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12.1响应文件由资格证明文件、报价</w:t>
      </w:r>
      <w:r>
        <w:rPr>
          <w:rFonts w:hint="eastAsia" w:ascii="仿宋" w:hAnsi="仿宋" w:eastAsia="仿宋" w:cs="仿宋"/>
          <w:color w:val="auto"/>
          <w:sz w:val="24"/>
          <w:highlight w:val="none"/>
          <w:lang w:eastAsia="zh-CN"/>
        </w:rPr>
        <w:t>商务技术</w:t>
      </w:r>
      <w:r>
        <w:rPr>
          <w:rFonts w:hint="eastAsia" w:ascii="仿宋" w:hAnsi="仿宋" w:eastAsia="仿宋" w:cs="仿宋"/>
          <w:color w:val="auto"/>
          <w:sz w:val="24"/>
          <w:highlight w:val="none"/>
        </w:rPr>
        <w:t>文件两部分组成。</w:t>
      </w:r>
    </w:p>
    <w:p w14:paraId="671A4D17">
      <w:pPr>
        <w:spacing w:line="360" w:lineRule="auto"/>
        <w:ind w:left="900" w:leftChars="200" w:hanging="480" w:hangingChars="200"/>
        <w:rPr>
          <w:rFonts w:ascii="仿宋" w:hAnsi="仿宋" w:eastAsia="仿宋" w:cs="仿宋"/>
          <w:color w:val="auto"/>
          <w:sz w:val="24"/>
          <w:highlight w:val="none"/>
        </w:rPr>
      </w:pPr>
      <w:r>
        <w:rPr>
          <w:rFonts w:hint="eastAsia" w:ascii="仿宋" w:hAnsi="仿宋" w:eastAsia="仿宋" w:cs="仿宋"/>
          <w:color w:val="auto"/>
          <w:sz w:val="24"/>
          <w:highlight w:val="none"/>
        </w:rPr>
        <w:t>12.1.1资格证明文件：详见须知前附表</w:t>
      </w:r>
    </w:p>
    <w:p w14:paraId="2DAF9BB5">
      <w:pPr>
        <w:spacing w:line="360" w:lineRule="auto"/>
        <w:ind w:left="900" w:leftChars="200" w:hanging="480" w:hangingChars="200"/>
        <w:rPr>
          <w:rFonts w:ascii="仿宋" w:hAnsi="仿宋" w:eastAsia="仿宋" w:cs="仿宋"/>
          <w:color w:val="auto"/>
          <w:sz w:val="24"/>
          <w:highlight w:val="none"/>
        </w:rPr>
      </w:pPr>
      <w:r>
        <w:rPr>
          <w:rFonts w:hint="eastAsia" w:ascii="仿宋" w:hAnsi="仿宋" w:eastAsia="仿宋" w:cs="仿宋"/>
          <w:color w:val="auto"/>
          <w:sz w:val="24"/>
          <w:highlight w:val="none"/>
        </w:rPr>
        <w:t>12.1.2报价</w:t>
      </w:r>
      <w:r>
        <w:rPr>
          <w:rFonts w:hint="eastAsia" w:ascii="仿宋" w:hAnsi="仿宋" w:eastAsia="仿宋" w:cs="仿宋"/>
          <w:color w:val="auto"/>
          <w:sz w:val="24"/>
          <w:highlight w:val="none"/>
          <w:lang w:eastAsia="zh-CN"/>
        </w:rPr>
        <w:t>商务技术</w:t>
      </w:r>
      <w:r>
        <w:rPr>
          <w:rFonts w:hint="eastAsia" w:ascii="仿宋" w:hAnsi="仿宋" w:eastAsia="仿宋" w:cs="仿宋"/>
          <w:color w:val="auto"/>
          <w:sz w:val="24"/>
          <w:highlight w:val="none"/>
        </w:rPr>
        <w:t>文件：详见须知前附表</w:t>
      </w:r>
    </w:p>
    <w:p w14:paraId="1164C91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13.计量单位</w:t>
      </w:r>
    </w:p>
    <w:p w14:paraId="55E6BE6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磋商文件已有明确规定的，使用磋商文件规定的计量单位；磋商文件没有规定的，应采用中华人民共和国法定计量单位，货币种类为人民币，否则视同未响应。</w:t>
      </w:r>
    </w:p>
    <w:p w14:paraId="7B4B2A7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14.竞争性磋商的风险</w:t>
      </w:r>
    </w:p>
    <w:p w14:paraId="53AD1E5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供应商没有按照磋商文件要求提供全部资料，或者供应商没有对磋商文件在各方面做出实质性响应可能导致其响应无效，是供应商应当考虑的风险。</w:t>
      </w:r>
    </w:p>
    <w:p w14:paraId="54E42A78">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15.竞争性磋商报价</w:t>
      </w:r>
    </w:p>
    <w:p w14:paraId="55F0417C">
      <w:pPr>
        <w:tabs>
          <w:tab w:val="left" w:pos="2492"/>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15.1竞争性磋商报价应按磋商文件中“竞争性磋商报价表”格式填写。</w:t>
      </w:r>
    </w:p>
    <w:p w14:paraId="3617B9E6">
      <w:pPr>
        <w:tabs>
          <w:tab w:val="left" w:pos="2492"/>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15.2竞争性磋商报价的内容见“供应商须知前附表”。</w:t>
      </w:r>
    </w:p>
    <w:p w14:paraId="79BD7D0E">
      <w:pPr>
        <w:spacing w:line="360" w:lineRule="auto"/>
        <w:ind w:left="426" w:leftChars="203"/>
        <w:rPr>
          <w:rFonts w:ascii="仿宋" w:hAnsi="仿宋" w:eastAsia="仿宋" w:cs="仿宋"/>
          <w:color w:val="auto"/>
          <w:sz w:val="24"/>
          <w:highlight w:val="none"/>
        </w:rPr>
      </w:pPr>
      <w:r>
        <w:rPr>
          <w:rFonts w:hint="eastAsia" w:ascii="仿宋" w:hAnsi="仿宋" w:eastAsia="仿宋" w:cs="仿宋"/>
          <w:color w:val="auto"/>
          <w:sz w:val="24"/>
          <w:highlight w:val="none"/>
        </w:rPr>
        <w:t>15.3竞争性磋商报价要求</w:t>
      </w:r>
    </w:p>
    <w:p w14:paraId="07462DE3">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15.3.1供应商的竞争性磋商报价应符合以下要求，否则响应文件按无效响应处理：</w:t>
      </w:r>
    </w:p>
    <w:p w14:paraId="6885406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（1）供应商必须就“采购需求”中所竞标的每个分标的全部内容分别作完整唯一总价报价，不得存在漏项报价；</w:t>
      </w:r>
    </w:p>
    <w:p w14:paraId="78F5C6E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（2）供应商必须就所竞标的分标的单项内容作唯一报价。</w:t>
      </w:r>
    </w:p>
    <w:p w14:paraId="133790A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15.3.2竞争性磋商报价（包含首次报价、最后报价）超过所开展竞争性磋商分标规定的采购预算金额或者最高限价的，其响应文件将按无效响应处理。</w:t>
      </w:r>
      <w:bookmarkStart w:id="24" w:name="_Hlk42592874"/>
    </w:p>
    <w:p w14:paraId="541FCBD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15.3.3竞争性磋商报价（包含首次报价、最后报价）超过分项采购预算金额或者最高限价的，其响应文件将按无效处理。</w:t>
      </w:r>
    </w:p>
    <w:bookmarkEnd w:id="24"/>
    <w:p w14:paraId="2A2207A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16.竞争性磋商有效期</w:t>
      </w:r>
    </w:p>
    <w:p w14:paraId="020EFE0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16.1竞争性磋商有效期是指为保证采购人有足够的时间在提交响应文件后完成评审、确定成交供应商、合同签订等工作而要求供应商提交的响应文件在一定时间内保持有效的期限。</w:t>
      </w:r>
    </w:p>
    <w:p w14:paraId="5175078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16.2 竞争性磋商有效期应由供应商按“供应商须知前附表”规定的期限作出响应。</w:t>
      </w:r>
    </w:p>
    <w:p w14:paraId="6EDE06D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16.3供应商的响应文件在竞争性磋商有效期内均保持有效。</w:t>
      </w:r>
    </w:p>
    <w:p w14:paraId="6FA29A2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17.磋商保证金</w:t>
      </w:r>
    </w:p>
    <w:p w14:paraId="10B18B03">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17.1供应商须按“供应商须知前附表”的规定提交磋商保证金。</w:t>
      </w:r>
    </w:p>
    <w:p w14:paraId="10A65F82">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17.2磋商保证金的退还</w:t>
      </w:r>
    </w:p>
    <w:p w14:paraId="17638A05">
      <w:pPr>
        <w:spacing w:line="360" w:lineRule="auto"/>
        <w:ind w:firstLine="480" w:firstLineChars="200"/>
        <w:rPr>
          <w:rFonts w:ascii="仿宋" w:hAnsi="仿宋" w:eastAsia="仿宋" w:cs="仿宋"/>
          <w:color w:val="auto"/>
          <w:sz w:val="24"/>
          <w:highlight w:val="none"/>
        </w:rPr>
      </w:pPr>
      <w:bookmarkStart w:id="25" w:name="_Hlk66782243"/>
      <w:r>
        <w:rPr>
          <w:rFonts w:hint="eastAsia" w:ascii="仿宋" w:hAnsi="仿宋" w:eastAsia="仿宋" w:cs="仿宋"/>
          <w:color w:val="auto"/>
          <w:sz w:val="24"/>
          <w:highlight w:val="none"/>
        </w:rPr>
        <w:t>未</w:t>
      </w:r>
      <w:r>
        <w:rPr>
          <w:rFonts w:hint="eastAsia" w:ascii="仿宋" w:hAnsi="仿宋" w:eastAsia="仿宋" w:cs="仿宋"/>
          <w:color w:val="auto"/>
          <w:spacing w:val="-6"/>
          <w:sz w:val="24"/>
          <w:highlight w:val="none"/>
        </w:rPr>
        <w:t>成交供应商的磋商保证金自成交通知书发出之日起5个工作日内退还；</w:t>
      </w:r>
      <w:r>
        <w:rPr>
          <w:rFonts w:hint="eastAsia" w:ascii="仿宋" w:hAnsi="仿宋" w:eastAsia="仿宋" w:cs="仿宋"/>
          <w:color w:val="auto"/>
          <w:sz w:val="24"/>
          <w:highlight w:val="none"/>
        </w:rPr>
        <w:t>成交供应商的磋商保证金自签订合同之日起5个工作日内退还。</w:t>
      </w:r>
      <w:bookmarkEnd w:id="25"/>
      <w:r>
        <w:rPr>
          <w:rFonts w:hint="eastAsia" w:ascii="仿宋" w:hAnsi="仿宋" w:eastAsia="仿宋" w:cs="仿宋"/>
          <w:color w:val="auto"/>
          <w:sz w:val="24"/>
          <w:highlight w:val="none"/>
        </w:rPr>
        <w:t xml:space="preserve"> </w:t>
      </w:r>
    </w:p>
    <w:p w14:paraId="4EA3EA40">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17.3磋商保证金不计息。</w:t>
      </w:r>
    </w:p>
    <w:p w14:paraId="2019B42D">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17.4供应商有下列情形之一的，磋商保证金将不予退还： </w:t>
      </w:r>
    </w:p>
    <w:p w14:paraId="11DCBE8A">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（1）供应商在提交首次响应文件截止时间后撤回响应文件的；</w:t>
      </w:r>
    </w:p>
    <w:p w14:paraId="04006700">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（2）未按规定提交履约保证金的；</w:t>
      </w:r>
    </w:p>
    <w:p w14:paraId="3D4B8781">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（3）供应商在响应文件中提供虚假材料的；</w:t>
      </w:r>
    </w:p>
    <w:p w14:paraId="01D45BED">
      <w:pPr>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（4）除因不可抗力或者磋商文件认可的情形以外，成交供应商不与采购人签订合同的；</w:t>
      </w:r>
    </w:p>
    <w:p w14:paraId="506A1631">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（5）供应商与采购人、其他供应商或者采购代理机构恶意串通的；</w:t>
      </w:r>
    </w:p>
    <w:p w14:paraId="3B94F7A9">
      <w:pPr>
        <w:spacing w:line="360" w:lineRule="auto"/>
        <w:ind w:left="420" w:leftChars="200"/>
        <w:rPr>
          <w:rFonts w:ascii="仿宋" w:hAnsi="仿宋" w:eastAsia="仿宋" w:cs="仿宋"/>
          <w:color w:val="auto"/>
          <w:sz w:val="24"/>
          <w:highlight w:val="none"/>
        </w:rPr>
      </w:pPr>
      <w:r>
        <w:rPr>
          <w:rFonts w:hint="eastAsia" w:ascii="仿宋" w:hAnsi="仿宋" w:eastAsia="仿宋" w:cs="仿宋"/>
          <w:color w:val="auto"/>
          <w:sz w:val="24"/>
          <w:highlight w:val="none"/>
        </w:rPr>
        <w:t>（6）法律法规规定的其他情形。</w:t>
      </w:r>
    </w:p>
    <w:p w14:paraId="47409A14">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18.响应文件编制的要求</w:t>
      </w:r>
    </w:p>
    <w:p w14:paraId="23AF7B03">
      <w:pPr>
        <w:spacing w:line="360" w:lineRule="auto"/>
        <w:ind w:firstLine="480" w:firstLineChars="200"/>
        <w:rPr>
          <w:rFonts w:ascii="仿宋" w:hAnsi="仿宋" w:eastAsia="仿宋" w:cs="仿宋"/>
          <w:color w:val="auto"/>
          <w:spacing w:val="-6"/>
          <w:sz w:val="24"/>
          <w:highlight w:val="none"/>
        </w:rPr>
      </w:pPr>
      <w:r>
        <w:rPr>
          <w:rFonts w:hint="eastAsia" w:ascii="仿宋" w:hAnsi="仿宋" w:eastAsia="仿宋" w:cs="仿宋"/>
          <w:color w:val="auto"/>
          <w:sz w:val="24"/>
          <w:highlight w:val="none"/>
        </w:rPr>
        <w:t>18.1供应商应按本磋商文件规定的格式和顺序编制响应文件并标注页码，响应文件内容</w:t>
      </w:r>
      <w:r>
        <w:rPr>
          <w:rFonts w:hint="eastAsia" w:ascii="仿宋" w:hAnsi="仿宋" w:eastAsia="仿宋" w:cs="仿宋"/>
          <w:color w:val="auto"/>
          <w:spacing w:val="-6"/>
          <w:sz w:val="24"/>
          <w:highlight w:val="none"/>
        </w:rPr>
        <w:t>不完整、编排混乱导致响应文件被误读、漏读或者查找不到相关内容的，</w:t>
      </w:r>
      <w:r>
        <w:rPr>
          <w:rFonts w:hint="eastAsia" w:ascii="仿宋" w:hAnsi="仿宋" w:eastAsia="仿宋" w:cs="仿宋"/>
          <w:color w:val="auto"/>
          <w:sz w:val="24"/>
          <w:highlight w:val="none"/>
        </w:rPr>
        <w:t>由此引发的</w:t>
      </w:r>
      <w:r>
        <w:rPr>
          <w:rFonts w:hint="eastAsia" w:ascii="仿宋" w:hAnsi="仿宋" w:eastAsia="仿宋" w:cs="仿宋"/>
          <w:color w:val="auto"/>
          <w:spacing w:val="-6"/>
          <w:sz w:val="24"/>
          <w:highlight w:val="none"/>
        </w:rPr>
        <w:t>后果由供应商承担。</w:t>
      </w:r>
    </w:p>
    <w:p w14:paraId="58C47A4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18.2响应文件应按资格证明文件、报价</w:t>
      </w:r>
      <w:r>
        <w:rPr>
          <w:rFonts w:hint="eastAsia" w:ascii="仿宋" w:hAnsi="仿宋" w:eastAsia="仿宋" w:cs="仿宋"/>
          <w:color w:val="auto"/>
          <w:sz w:val="24"/>
          <w:highlight w:val="none"/>
          <w:lang w:eastAsia="zh-CN"/>
        </w:rPr>
        <w:t>商务技术</w:t>
      </w:r>
      <w:r>
        <w:rPr>
          <w:rFonts w:hint="eastAsia" w:ascii="仿宋" w:hAnsi="仿宋" w:eastAsia="仿宋" w:cs="仿宋"/>
          <w:color w:val="auto"/>
          <w:sz w:val="24"/>
          <w:highlight w:val="none"/>
        </w:rPr>
        <w:t>文件分别编制电子文件，</w:t>
      </w:r>
      <w:r>
        <w:rPr>
          <w:rFonts w:hint="eastAsia" w:ascii="仿宋" w:hAnsi="仿宋" w:eastAsia="仿宋" w:cs="仿宋"/>
          <w:color w:val="auto"/>
          <w:sz w:val="24"/>
          <w:highlight w:val="none"/>
          <w:lang w:bidi="ar"/>
        </w:rPr>
        <w:t>并按广西政府采购云平台的要求编制、加密、上传。</w:t>
      </w:r>
    </w:p>
    <w:p w14:paraId="333D39C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w:t>
      </w:r>
      <w:bookmarkStart w:id="26" w:name="_Hlk65832699"/>
      <w:r>
        <w:rPr>
          <w:rFonts w:hint="eastAsia" w:ascii="仿宋" w:hAnsi="仿宋" w:eastAsia="仿宋" w:cs="仿宋"/>
          <w:color w:val="auto"/>
          <w:sz w:val="24"/>
          <w:highlight w:val="none"/>
        </w:rPr>
        <w:t>3响应文件须由供应商在规定位置盖公章并签字</w:t>
      </w:r>
      <w:bookmarkStart w:id="27" w:name="_Hlk65832569"/>
      <w:r>
        <w:rPr>
          <w:rFonts w:hint="eastAsia" w:ascii="仿宋" w:hAnsi="仿宋" w:eastAsia="仿宋" w:cs="仿宋"/>
          <w:color w:val="auto"/>
          <w:sz w:val="24"/>
          <w:highlight w:val="none"/>
        </w:rPr>
        <w:t>（具体以供应商须知前附表或响应文件格式规定为准）</w:t>
      </w:r>
      <w:bookmarkEnd w:id="26"/>
      <w:bookmarkEnd w:id="27"/>
      <w:r>
        <w:rPr>
          <w:rFonts w:hint="eastAsia" w:ascii="仿宋" w:hAnsi="仿宋" w:eastAsia="仿宋" w:cs="仿宋"/>
          <w:color w:val="auto"/>
          <w:sz w:val="24"/>
          <w:highlight w:val="none"/>
        </w:rPr>
        <w:t>，否则其响应文件按无效响应处理。</w:t>
      </w:r>
    </w:p>
    <w:p w14:paraId="2AAE64B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18.4响应文件中标注的供应商名称应与营业执照（事业单位法人证书、执业许可证、自然人身份证）及公章一致，否则其响应文件按无效响应处理。</w:t>
      </w:r>
    </w:p>
    <w:p w14:paraId="37769F7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ED7D51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19.响应文件的加密、解密及电子备份响应文件</w:t>
      </w:r>
    </w:p>
    <w:p w14:paraId="7072DDF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19.1电子响应文件编制完成后，供应商应按广西政府采购云平台的要求进行加密，并在规定时间内解密，否则，由此产生的后果由供应商自行负责。</w:t>
      </w:r>
    </w:p>
    <w:p w14:paraId="3746AA08">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19.2电子备份响应文件是指通过“广西政府采购云平台电子投标客户端”在线编制生成且后缀名为“bfbs”的文件，是否接受电子备份响应文件</w:t>
      </w:r>
      <w:r>
        <w:rPr>
          <w:rFonts w:hint="eastAsia" w:ascii="仿宋" w:hAnsi="仿宋" w:eastAsia="仿宋" w:cs="仿宋"/>
          <w:color w:val="auto"/>
          <w:sz w:val="24"/>
          <w:highlight w:val="none"/>
          <w:lang w:eastAsia="zh-CN"/>
        </w:rPr>
        <w:t>详见</w:t>
      </w:r>
      <w:r>
        <w:rPr>
          <w:rFonts w:hint="eastAsia" w:ascii="仿宋" w:hAnsi="仿宋" w:eastAsia="仿宋" w:cs="仿宋"/>
          <w:color w:val="auto"/>
          <w:sz w:val="24"/>
          <w:highlight w:val="none"/>
        </w:rPr>
        <w:t>“供应商须知前附表”。</w:t>
      </w:r>
    </w:p>
    <w:p w14:paraId="62C22234">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20.响应文件的提交</w:t>
      </w:r>
    </w:p>
    <w:p w14:paraId="1C72D2D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20.1供应商必须在“供应商须知前附表”规定的时间和地点提交响应文件。</w:t>
      </w:r>
    </w:p>
    <w:p w14:paraId="579D53FC">
      <w:pPr>
        <w:widowControl/>
        <w:spacing w:line="360" w:lineRule="auto"/>
        <w:ind w:firstLine="480" w:firstLineChars="200"/>
        <w:rPr>
          <w:rFonts w:ascii="仿宋" w:hAnsi="仿宋" w:eastAsia="仿宋" w:cs="仿宋"/>
          <w:b/>
          <w:color w:val="auto"/>
          <w:sz w:val="24"/>
          <w:highlight w:val="none"/>
          <w:lang w:bidi="ar"/>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bidi="ar"/>
        </w:rPr>
        <w:t>本项目为全流程电子化政府采购项目，通过广西政府采购云平台（https</w:t>
      </w:r>
      <w:r>
        <w:rPr>
          <w:rFonts w:hint="eastAsia" w:ascii="宋体" w:hAnsi="宋体" w:cs="宋体"/>
          <w:color w:val="auto"/>
          <w:sz w:val="24"/>
          <w:highlight w:val="none"/>
          <w:lang w:bidi="ar"/>
        </w:rPr>
        <w:t>:</w:t>
      </w:r>
      <w:r>
        <w:rPr>
          <w:rFonts w:hint="eastAsia" w:ascii="仿宋" w:hAnsi="仿宋" w:eastAsia="仿宋" w:cs="仿宋"/>
          <w:color w:val="auto"/>
          <w:sz w:val="24"/>
          <w:highlight w:val="none"/>
          <w:lang w:bidi="ar"/>
        </w:rPr>
        <w:t>//www.gcy.zfcg.gxzf.gov.cn/）实行在线电子</w:t>
      </w:r>
      <w:r>
        <w:rPr>
          <w:rFonts w:hint="eastAsia" w:ascii="仿宋" w:hAnsi="仿宋" w:eastAsia="仿宋" w:cs="仿宋"/>
          <w:color w:val="auto"/>
          <w:sz w:val="24"/>
          <w:highlight w:val="none"/>
        </w:rPr>
        <w:t>竞争性磋商</w:t>
      </w:r>
      <w:r>
        <w:rPr>
          <w:rFonts w:hint="eastAsia" w:ascii="仿宋" w:hAnsi="仿宋" w:eastAsia="仿宋" w:cs="仿宋"/>
          <w:color w:val="auto"/>
          <w:sz w:val="24"/>
          <w:highlight w:val="none"/>
          <w:lang w:bidi="ar"/>
        </w:rPr>
        <w:t>，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仿宋" w:hAnsi="仿宋" w:eastAsia="仿宋" w:cs="仿宋"/>
          <w:b/>
          <w:color w:val="auto"/>
          <w:sz w:val="24"/>
          <w:highlight w:val="none"/>
          <w:lang w:bidi="ar"/>
        </w:rPr>
        <w:t>供应商在广西政府采购云平台提交电子版响应文件时，请填写参加远程开标活动经办人联系方式。</w:t>
      </w:r>
    </w:p>
    <w:p w14:paraId="6D8A5E59">
      <w:pPr>
        <w:pStyle w:val="7"/>
        <w:keepNext w:val="0"/>
        <w:keepLines w:val="0"/>
        <w:spacing w:before="0" w:after="0" w:line="360" w:lineRule="auto"/>
        <w:ind w:firstLine="480" w:firstLineChars="200"/>
        <w:jc w:val="left"/>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20.3未在规定时间内上传或者未按广西政府采购云平台的要求编制、加密的电子响应文件，广西政府采购云平台将拒收。</w:t>
      </w:r>
    </w:p>
    <w:p w14:paraId="1A24F613">
      <w:pPr>
        <w:pStyle w:val="8"/>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20.4电子响应文件提交方</w:t>
      </w:r>
      <w:r>
        <w:rPr>
          <w:rFonts w:hint="eastAsia" w:ascii="仿宋" w:hAnsi="仿宋" w:eastAsia="仿宋" w:cs="仿宋"/>
          <w:bCs/>
          <w:color w:val="auto"/>
          <w:sz w:val="24"/>
          <w:szCs w:val="24"/>
          <w:highlight w:val="none"/>
        </w:rPr>
        <w:t>式见“竞争性磋商公告”</w:t>
      </w:r>
      <w:r>
        <w:rPr>
          <w:rFonts w:hint="eastAsia" w:ascii="仿宋" w:hAnsi="仿宋" w:eastAsia="仿宋" w:cs="仿宋"/>
          <w:color w:val="auto"/>
          <w:sz w:val="24"/>
          <w:szCs w:val="24"/>
          <w:highlight w:val="none"/>
        </w:rPr>
        <w:t>中“四、响应文件提交”。</w:t>
      </w:r>
    </w:p>
    <w:p w14:paraId="025E3543">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21.首次响应文件的补充、修改与撤回</w:t>
      </w:r>
    </w:p>
    <w:p w14:paraId="640CFC9A">
      <w:pPr>
        <w:spacing w:line="360" w:lineRule="auto"/>
        <w:ind w:firstLine="480" w:firstLineChars="200"/>
        <w:rPr>
          <w:rFonts w:ascii="仿宋" w:hAnsi="仿宋" w:eastAsia="仿宋" w:cs="仿宋"/>
          <w:bCs/>
          <w:color w:val="auto"/>
          <w:sz w:val="24"/>
          <w:highlight w:val="none"/>
          <w:lang w:bidi="ar"/>
        </w:rPr>
      </w:pPr>
      <w:r>
        <w:rPr>
          <w:rFonts w:hint="eastAsia" w:ascii="仿宋" w:hAnsi="仿宋" w:eastAsia="仿宋" w:cs="仿宋"/>
          <w:bCs/>
          <w:color w:val="auto"/>
          <w:sz w:val="24"/>
          <w:highlight w:val="none"/>
          <w:lang w:bidi="ar"/>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0B886AE1">
      <w:pPr>
        <w:spacing w:line="360" w:lineRule="auto"/>
        <w:ind w:firstLine="482" w:firstLineChars="200"/>
        <w:rPr>
          <w:rFonts w:ascii="仿宋" w:hAnsi="仿宋" w:eastAsia="仿宋" w:cs="仿宋"/>
          <w:b/>
          <w:bCs/>
          <w:color w:val="auto"/>
          <w:sz w:val="24"/>
          <w:highlight w:val="none"/>
        </w:rPr>
      </w:pPr>
      <w:bookmarkStart w:id="28" w:name="_Hlk45702405"/>
      <w:r>
        <w:rPr>
          <w:rFonts w:hint="eastAsia" w:ascii="仿宋" w:hAnsi="仿宋" w:eastAsia="仿宋" w:cs="仿宋"/>
          <w:b/>
          <w:bCs/>
          <w:color w:val="auto"/>
          <w:sz w:val="24"/>
          <w:highlight w:val="none"/>
        </w:rPr>
        <w:t>22.首次响应文件的退回</w:t>
      </w:r>
    </w:p>
    <w:p w14:paraId="528987B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21865FD1">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23.截止时间后的撤回</w:t>
      </w:r>
    </w:p>
    <w:p w14:paraId="34A41B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23.1供应商在首次响应文件提交截止时间后书面通知采购人、采购代理机构书面撤回响应文件的，将根据本磋商文件《供应商须知正文》第17.4条的规定不予退还其磋商保证金。</w:t>
      </w:r>
    </w:p>
    <w:bookmarkEnd w:id="28"/>
    <w:p w14:paraId="39956A5F">
      <w:pPr>
        <w:spacing w:line="360" w:lineRule="auto"/>
        <w:rPr>
          <w:rFonts w:ascii="仿宋" w:hAnsi="仿宋" w:eastAsia="仿宋" w:cs="仿宋"/>
          <w:color w:val="auto"/>
          <w:sz w:val="24"/>
          <w:highlight w:val="none"/>
        </w:rPr>
      </w:pPr>
    </w:p>
    <w:p w14:paraId="3F0D270C">
      <w:pPr>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四、评审及磋商</w:t>
      </w:r>
    </w:p>
    <w:p w14:paraId="5D0DA622">
      <w:pPr>
        <w:spacing w:line="360" w:lineRule="auto"/>
        <w:ind w:firstLine="482" w:firstLineChars="200"/>
        <w:rPr>
          <w:rFonts w:ascii="仿宋" w:hAnsi="仿宋" w:eastAsia="仿宋" w:cs="仿宋"/>
          <w:b/>
          <w:bCs/>
          <w:color w:val="auto"/>
          <w:sz w:val="24"/>
          <w:highlight w:val="none"/>
        </w:rPr>
      </w:pPr>
    </w:p>
    <w:p w14:paraId="256DADA2">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24.磋商小组成立</w:t>
      </w:r>
    </w:p>
    <w:p w14:paraId="002CE5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C342BE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77416A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25.首次响应文件的开启</w:t>
      </w:r>
    </w:p>
    <w:p w14:paraId="2514F04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25.1首次响应文件由磋商小组或者采购代理机构在“供应商须知前附表”规定的时间开启。</w:t>
      </w:r>
    </w:p>
    <w:p w14:paraId="2722DD0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仿宋" w:hAnsi="仿宋" w:eastAsia="仿宋" w:cs="仿宋"/>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仿宋" w:hAnsi="仿宋" w:eastAsia="仿宋" w:cs="仿宋"/>
          <w:b/>
          <w:bCs/>
          <w:color w:val="auto"/>
          <w:sz w:val="24"/>
          <w:highlight w:val="none"/>
        </w:rPr>
        <w:t>响应文件未按时解密的，</w:t>
      </w:r>
      <w:r>
        <w:rPr>
          <w:rFonts w:hint="eastAsia" w:ascii="仿宋" w:hAnsi="仿宋" w:eastAsia="仿宋" w:cs="仿宋"/>
          <w:b/>
          <w:color w:val="auto"/>
          <w:sz w:val="24"/>
          <w:highlight w:val="none"/>
        </w:rPr>
        <w:t>视为响应</w:t>
      </w:r>
      <w:r>
        <w:rPr>
          <w:rFonts w:hint="eastAsia" w:ascii="仿宋" w:hAnsi="仿宋" w:eastAsia="仿宋" w:cs="仿宋"/>
          <w:b/>
          <w:bCs/>
          <w:color w:val="auto"/>
          <w:sz w:val="24"/>
          <w:highlight w:val="none"/>
        </w:rPr>
        <w:t>文件无效。</w:t>
      </w:r>
      <w:r>
        <w:rPr>
          <w:rFonts w:hint="eastAsia" w:ascii="仿宋" w:hAnsi="仿宋" w:eastAsia="仿宋" w:cs="仿宋"/>
          <w:color w:val="auto"/>
          <w:sz w:val="24"/>
          <w:highlight w:val="none"/>
        </w:rPr>
        <w:t>（解密异常情况处理：详见本章26.3电子交易活动的中止。）</w:t>
      </w:r>
    </w:p>
    <w:p w14:paraId="128194E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25.3成功解密响应文件的供应商不足3家的，不得磋商。</w:t>
      </w:r>
    </w:p>
    <w:p w14:paraId="03480CF1">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26.评审程序、评审方法和评审标准</w:t>
      </w:r>
    </w:p>
    <w:p w14:paraId="29A83F3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26.1磋商小组按照“第四章 评审程序、评审方法和评审标准”规定的方法、评审因素、标准和程序对响应文件进行评审。</w:t>
      </w:r>
    </w:p>
    <w:p w14:paraId="237F6D5F">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26.2磋商小组成员要依法独立评审，并对评审意见承担个人责任。磋商小组成员对需要共同认定的事项存在争议的，按照少数服从多数的原则</w:t>
      </w:r>
      <w:r>
        <w:rPr>
          <w:rFonts w:hint="eastAsia" w:ascii="仿宋" w:hAnsi="仿宋" w:eastAsia="仿宋" w:cs="仿宋"/>
          <w:color w:val="auto"/>
          <w:sz w:val="24"/>
          <w:highlight w:val="none"/>
          <w:lang w:eastAsia="zh-CN"/>
        </w:rPr>
        <w:t>作出</w:t>
      </w:r>
      <w:r>
        <w:rPr>
          <w:rFonts w:hint="eastAsia" w:ascii="仿宋" w:hAnsi="仿宋" w:eastAsia="仿宋" w:cs="仿宋"/>
          <w:color w:val="auto"/>
          <w:sz w:val="24"/>
          <w:highlight w:val="none"/>
        </w:rPr>
        <w:t>结论。持不同意见的磋商小组成员应当在评审报告上签署不同意见并说明理由，否则视为同意。</w:t>
      </w:r>
    </w:p>
    <w:p w14:paraId="2D7404F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26.3电子交易活动的中止。采购过程中出现以下情形，导致电子交易平台无法正常运行，或者无法保证电子交易的公平、公正和安全时，采购机构可中止电子交易活动：</w:t>
      </w:r>
    </w:p>
    <w:p w14:paraId="0300567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（1）电子交易平台发生故障而无法登录访问的； </w:t>
      </w:r>
    </w:p>
    <w:p w14:paraId="42ACBBA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（2）电子交易平台应用或数据库出现错误，不能进行正常操作的；</w:t>
      </w:r>
    </w:p>
    <w:p w14:paraId="75476DD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（3）电子交易平台发现严重安全漏洞，有潜在泄密危险的；</w:t>
      </w:r>
    </w:p>
    <w:p w14:paraId="3AEFC3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（4）病毒发作导致不能进行正常操作的； </w:t>
      </w:r>
    </w:p>
    <w:p w14:paraId="05C8A92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（5）其他无法保证电子交易的公平、公正和安全的情况。</w:t>
      </w:r>
    </w:p>
    <w:p w14:paraId="462ABD2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26.4出现以上情形，不影响采购公平、公正性的，采购代理机构可以待上述情形消除后继续组织电子交易活动；影响或可能影响采购公平、公正性的，经采购代理机构确认后，应当重新采购。</w:t>
      </w:r>
    </w:p>
    <w:p w14:paraId="108DC05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27.确定成交供应商及结果公告</w:t>
      </w:r>
    </w:p>
    <w:p w14:paraId="7E1D2B4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27.1</w:t>
      </w:r>
      <w:r>
        <w:rPr>
          <w:rFonts w:hint="eastAsia" w:ascii="仿宋" w:hAnsi="仿宋" w:eastAsia="仿宋" w:cs="仿宋"/>
          <w:color w:val="auto"/>
          <w:kern w:val="0"/>
          <w:sz w:val="24"/>
          <w:highlight w:val="none"/>
        </w:rPr>
        <w:t xml:space="preserve"> </w:t>
      </w:r>
      <w:r>
        <w:rPr>
          <w:rFonts w:hint="eastAsia" w:ascii="仿宋" w:hAnsi="仿宋" w:eastAsia="仿宋" w:cs="仿宋"/>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62073C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27.2采购代理机构应当在</w:t>
      </w:r>
      <w:r>
        <w:rPr>
          <w:rFonts w:hint="eastAsia" w:ascii="仿宋" w:hAnsi="仿宋" w:eastAsia="仿宋" w:cs="仿宋"/>
          <w:color w:val="auto"/>
          <w:kern w:val="0"/>
          <w:sz w:val="24"/>
          <w:highlight w:val="none"/>
        </w:rPr>
        <w:t>成交</w:t>
      </w:r>
      <w:r>
        <w:rPr>
          <w:rFonts w:hint="eastAsia" w:ascii="仿宋" w:hAnsi="仿宋" w:eastAsia="仿宋" w:cs="仿宋"/>
          <w:color w:val="auto"/>
          <w:sz w:val="24"/>
          <w:highlight w:val="none"/>
        </w:rPr>
        <w:t>供应商确定后2个工作日内，在省级以上财政部门指定的媒体上公告成交结果，同时向成交供应商发出成交通知书。</w:t>
      </w:r>
      <w:r>
        <w:rPr>
          <w:rFonts w:hint="eastAsia" w:ascii="仿宋" w:hAnsi="仿宋" w:eastAsia="仿宋" w:cs="仿宋"/>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仿宋" w:hAnsi="仿宋" w:eastAsia="仿宋" w:cs="仿宋"/>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9" w:name="_Hlk66782294"/>
      <w:r>
        <w:rPr>
          <w:rFonts w:hint="eastAsia" w:ascii="仿宋" w:hAnsi="仿宋" w:eastAsia="仿宋" w:cs="仿宋"/>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9"/>
    </w:p>
    <w:p w14:paraId="60D2509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2A8A42E">
      <w:pPr>
        <w:pStyle w:val="13"/>
        <w:spacing w:line="360" w:lineRule="auto"/>
        <w:ind w:firstLine="482" w:firstLineChars="200"/>
        <w:rPr>
          <w:rFonts w:ascii="仿宋" w:hAnsi="仿宋" w:eastAsia="仿宋" w:cs="仿宋"/>
          <w:b/>
          <w:color w:val="auto"/>
          <w:highlight w:val="none"/>
        </w:rPr>
      </w:pPr>
      <w:r>
        <w:rPr>
          <w:rFonts w:hint="eastAsia" w:ascii="仿宋" w:hAnsi="仿宋" w:eastAsia="仿宋" w:cs="仿宋"/>
          <w:b/>
          <w:color w:val="auto"/>
          <w:sz w:val="24"/>
          <w:highlight w:val="none"/>
        </w:rPr>
        <w:t>成交供应商拒绝与采购人签订合同的，其</w:t>
      </w:r>
      <w:r>
        <w:rPr>
          <w:rFonts w:hint="eastAsia" w:ascii="仿宋" w:hAnsi="仿宋" w:eastAsia="仿宋" w:cs="仿宋"/>
          <w:b/>
          <w:color w:val="auto"/>
          <w:sz w:val="24"/>
          <w:highlight w:val="none"/>
          <w:lang w:val="en-US" w:eastAsia="zh-CN"/>
        </w:rPr>
        <w:t>磋商</w:t>
      </w:r>
      <w:r>
        <w:rPr>
          <w:rFonts w:hint="eastAsia" w:ascii="仿宋" w:hAnsi="仿宋" w:eastAsia="仿宋" w:cs="仿宋"/>
          <w:b/>
          <w:color w:val="auto"/>
          <w:sz w:val="24"/>
          <w:highlight w:val="none"/>
        </w:rPr>
        <w:t>保证金不予退还，并上缴国库。给采购人造成损失，或（并）因此延误采购人</w:t>
      </w:r>
      <w:r>
        <w:rPr>
          <w:rFonts w:hint="eastAsia" w:ascii="仿宋" w:hAnsi="仿宋" w:eastAsia="仿宋" w:cs="仿宋"/>
          <w:b/>
          <w:color w:val="auto"/>
          <w:sz w:val="24"/>
          <w:highlight w:val="none"/>
          <w:lang w:eastAsia="zh-CN"/>
        </w:rPr>
        <w:t>工作</w:t>
      </w:r>
      <w:r>
        <w:rPr>
          <w:rFonts w:hint="eastAsia" w:ascii="仿宋" w:hAnsi="仿宋" w:eastAsia="仿宋" w:cs="仿宋"/>
          <w:b/>
          <w:color w:val="auto"/>
          <w:sz w:val="24"/>
          <w:highlight w:val="none"/>
        </w:rPr>
        <w:t>计划的，须依据《中华人民共和国民法典》第五百条、《政府采购非招标采购方式管理办法（财政部令第74号）》第二十二条、第五十四条规定承担赔偿损失等法律责任，采购人有权将成交供应商的失信行为报财政部门记入诚信档案，以示惩戒。</w:t>
      </w:r>
    </w:p>
    <w:p w14:paraId="5C9B793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27.4出现下列情形之一的，采购人或者采购代理机构应当终止竞争性磋商采购活动，发布项目终止公告并说明原因，重新开展采购活动：</w:t>
      </w:r>
    </w:p>
    <w:p w14:paraId="4688825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（1）因情况变化，不再符合规定的竞争性磋商采购方式适用情形的；</w:t>
      </w:r>
    </w:p>
    <w:p w14:paraId="7BDD067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772BD84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（3）除“第四章 评审程序、评审方法和评审标准”第4.3条规定的情形外，在采购过程中符合要求的供应商或者报价未超过采购预算的供应商不足3家的。</w:t>
      </w:r>
    </w:p>
    <w:p w14:paraId="16A4BC8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27.5 在采购活动中因重大变故，采购任务取消的，采购人或者采购代理机构应当终止采购活动，通知所有参加采购活动的供应商，并将项目实施情况和采购任务取消原因报送本级财政部门。</w:t>
      </w:r>
    </w:p>
    <w:p w14:paraId="00BD66D6">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28.履约保证金</w:t>
      </w:r>
    </w:p>
    <w:p w14:paraId="7B10D238">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28.1 履约保证金的金额、提交方式、退付的时间和条件详见 “供应商须知前附表”。</w:t>
      </w:r>
    </w:p>
    <w:p w14:paraId="17DA76C1">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28.2在履约保证金退还日期前，若成交供应商的开户名称、开户银行、</w:t>
      </w: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有变动的，请以书面形式通知履约保证金收取单位，否则由此产生的后果由成交供应商自行承担。</w:t>
      </w:r>
    </w:p>
    <w:p w14:paraId="688A941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29.签订合同</w:t>
      </w:r>
    </w:p>
    <w:p w14:paraId="754E2426">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6E41C082">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29.2签订合同时间：按成交通知书规定的时间与采购人签订政府采购合同（最长不能超过25日）。</w:t>
      </w:r>
    </w:p>
    <w:p w14:paraId="198E7C07">
      <w:pPr>
        <w:spacing w:line="360" w:lineRule="auto"/>
        <w:ind w:firstLine="487" w:firstLineChars="202"/>
        <w:rPr>
          <w:rFonts w:ascii="仿宋" w:hAnsi="仿宋" w:eastAsia="仿宋" w:cs="仿宋"/>
          <w:b/>
          <w:color w:val="auto"/>
          <w:sz w:val="24"/>
          <w:highlight w:val="none"/>
        </w:rPr>
      </w:pPr>
      <w:r>
        <w:rPr>
          <w:rFonts w:hint="eastAsia" w:ascii="仿宋" w:hAnsi="仿宋" w:eastAsia="仿宋" w:cs="仿宋"/>
          <w:b/>
          <w:color w:val="auto"/>
          <w:sz w:val="24"/>
          <w:highlight w:val="none"/>
        </w:rPr>
        <w:t>29.3成交供应商拒绝与采购人签订合同的，按照本磋商文件之《供应商须知正文》第27.3条的规定执行。</w:t>
      </w:r>
    </w:p>
    <w:p w14:paraId="4CD6D28F">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35D87FA">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EC525F3">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29.6如签订合同并生效后，供应商无故拒绝或延期，除按照合同条款处理外，将承担相应的法律责任。</w:t>
      </w:r>
    </w:p>
    <w:p w14:paraId="66071DAB">
      <w:pPr>
        <w:spacing w:line="360" w:lineRule="auto"/>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475587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30.政府采购合同公告</w:t>
      </w:r>
    </w:p>
    <w:p w14:paraId="2721A71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07E72B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31.询问、质疑和投诉</w:t>
      </w:r>
    </w:p>
    <w:p w14:paraId="6BD006A9">
      <w:pPr>
        <w:pStyle w:val="8"/>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31.1供应商对政府采购活动事项有疑问的，可以向采购人、采购代理机构提出询问，采购人或者采购代理机构应当在3个工作日内对供应商依法提出的询问</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答复，但答复的内容不得涉及商业秘密。</w:t>
      </w:r>
    </w:p>
    <w:p w14:paraId="5BF9A1F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513239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（1）对可以质疑的磋商文件提出质疑的，为收到磋商文件之日或者竞争性磋商公告期限届满之日；</w:t>
      </w:r>
    </w:p>
    <w:p w14:paraId="7C41D93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（2）对采购过程提出质疑的，为各采购程序环节结束之日；</w:t>
      </w:r>
    </w:p>
    <w:p w14:paraId="4291005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（3）对成交结果提出质疑的，为成交结果公告期限届满之日。</w:t>
      </w:r>
    </w:p>
    <w:p w14:paraId="66E617F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83F833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31.4供应商提出质疑应当提交质疑函和必要的证明材料，针对同一采购程序环节的质疑必须在法定质疑期内一次性提出。质疑函应当包括下列内容</w:t>
      </w:r>
      <w:r>
        <w:rPr>
          <w:rFonts w:hint="eastAsia" w:ascii="仿宋" w:hAnsi="仿宋" w:eastAsia="仿宋" w:cs="仿宋"/>
          <w:bCs/>
          <w:color w:val="auto"/>
          <w:sz w:val="24"/>
          <w:highlight w:val="none"/>
        </w:rPr>
        <w:t>（质疑函格式后附）</w:t>
      </w:r>
      <w:r>
        <w:rPr>
          <w:rFonts w:hint="eastAsia" w:ascii="仿宋" w:hAnsi="仿宋" w:eastAsia="仿宋" w:cs="仿宋"/>
          <w:color w:val="auto"/>
          <w:sz w:val="24"/>
          <w:highlight w:val="none"/>
        </w:rPr>
        <w:t>：</w:t>
      </w:r>
    </w:p>
    <w:p w14:paraId="597F9FF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14:paraId="1201928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14:paraId="0E512E0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14:paraId="1E25F1E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（4）事实依据；</w:t>
      </w:r>
    </w:p>
    <w:p w14:paraId="3459DEB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14:paraId="010117E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14:paraId="4E0AF92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供应商为自然人的，应当由本人签字；供应商为法人或者其他组织的，应当由法定代表人、主要负责人，或者其委托代理人签字或者盖章，并加盖公章。</w:t>
      </w:r>
    </w:p>
    <w:p w14:paraId="6CFA21E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22FFF2A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10DFFF3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429BD5A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质疑答复导致成交结果改变的，采购人或者采购代理机构应当将有关情况书面报告本级财政部门。</w:t>
      </w:r>
    </w:p>
    <w:p w14:paraId="187D76A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520E2E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32.其他内容</w:t>
      </w:r>
    </w:p>
    <w:p w14:paraId="1BDB0773">
      <w:pPr>
        <w:tabs>
          <w:tab w:val="left" w:pos="283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32.1代理服务费：代理服</w:t>
      </w:r>
      <w:r>
        <w:rPr>
          <w:rFonts w:hint="eastAsia" w:ascii="仿宋" w:hAnsi="仿宋" w:eastAsia="仿宋" w:cs="仿宋"/>
          <w:color w:val="auto"/>
          <w:sz w:val="24"/>
          <w:highlight w:val="none"/>
          <w:lang w:eastAsia="zh-CN"/>
        </w:rPr>
        <w:t>务费</w:t>
      </w:r>
      <w:r>
        <w:rPr>
          <w:rFonts w:hint="eastAsia" w:ascii="仿宋" w:hAnsi="仿宋" w:eastAsia="仿宋" w:cs="仿宋"/>
          <w:color w:val="auto"/>
          <w:sz w:val="24"/>
          <w:highlight w:val="none"/>
        </w:rPr>
        <w:t>收取标准及缴费账户详见“供应商须知前附表”，供应商为联合体的，可以由联合体中的一方或者多方共同交纳代理服务费。</w:t>
      </w:r>
    </w:p>
    <w:p w14:paraId="042D3822">
      <w:pPr>
        <w:tabs>
          <w:tab w:val="left" w:pos="283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32.2代理服务费收费计算标准：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39C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2312026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费率</w:t>
            </w:r>
          </w:p>
          <w:p w14:paraId="242C7C1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金额（人民币）</w:t>
            </w:r>
          </w:p>
        </w:tc>
        <w:tc>
          <w:tcPr>
            <w:tcW w:w="1659" w:type="dxa"/>
            <w:vAlign w:val="center"/>
          </w:tcPr>
          <w:p w14:paraId="350E730B">
            <w:pPr>
              <w:spacing w:line="360" w:lineRule="auto"/>
              <w:ind w:firstLine="120" w:firstLineChars="50"/>
              <w:jc w:val="center"/>
              <w:rPr>
                <w:rFonts w:ascii="仿宋" w:hAnsi="仿宋" w:eastAsia="仿宋" w:cs="仿宋"/>
                <w:color w:val="auto"/>
                <w:sz w:val="24"/>
                <w:highlight w:val="none"/>
              </w:rPr>
            </w:pPr>
            <w:r>
              <w:rPr>
                <w:rFonts w:hint="eastAsia" w:ascii="仿宋" w:hAnsi="仿宋" w:eastAsia="仿宋" w:cs="仿宋"/>
                <w:color w:val="auto"/>
                <w:sz w:val="24"/>
                <w:highlight w:val="none"/>
              </w:rPr>
              <w:t>货物类</w:t>
            </w:r>
          </w:p>
        </w:tc>
        <w:tc>
          <w:tcPr>
            <w:tcW w:w="1532" w:type="dxa"/>
            <w:vAlign w:val="center"/>
          </w:tcPr>
          <w:p w14:paraId="06593C9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服务类</w:t>
            </w:r>
          </w:p>
        </w:tc>
        <w:tc>
          <w:tcPr>
            <w:tcW w:w="1546" w:type="dxa"/>
            <w:vAlign w:val="center"/>
          </w:tcPr>
          <w:p w14:paraId="2ED2735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工程类</w:t>
            </w:r>
          </w:p>
        </w:tc>
      </w:tr>
      <w:tr w14:paraId="5F84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FFD612B">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100万元以下</w:t>
            </w:r>
          </w:p>
        </w:tc>
        <w:tc>
          <w:tcPr>
            <w:tcW w:w="1659" w:type="dxa"/>
          </w:tcPr>
          <w:p w14:paraId="078BF90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1532" w:type="dxa"/>
          </w:tcPr>
          <w:p w14:paraId="0F9BF52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w:t>
            </w:r>
          </w:p>
        </w:tc>
        <w:tc>
          <w:tcPr>
            <w:tcW w:w="1546" w:type="dxa"/>
          </w:tcPr>
          <w:p w14:paraId="2F245E73">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w:t>
            </w:r>
          </w:p>
        </w:tc>
      </w:tr>
      <w:tr w14:paraId="0FF6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EDFA90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100～500万元</w:t>
            </w:r>
          </w:p>
        </w:tc>
        <w:tc>
          <w:tcPr>
            <w:tcW w:w="1659" w:type="dxa"/>
          </w:tcPr>
          <w:p w14:paraId="4729129D">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w:t>
            </w:r>
          </w:p>
        </w:tc>
        <w:tc>
          <w:tcPr>
            <w:tcW w:w="1532" w:type="dxa"/>
          </w:tcPr>
          <w:p w14:paraId="71613CA2">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0.8%</w:t>
            </w:r>
          </w:p>
        </w:tc>
        <w:tc>
          <w:tcPr>
            <w:tcW w:w="1546" w:type="dxa"/>
          </w:tcPr>
          <w:p w14:paraId="4A365A3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0.7%</w:t>
            </w:r>
          </w:p>
        </w:tc>
      </w:tr>
      <w:tr w14:paraId="75FE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57BF502">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500～1000万元</w:t>
            </w:r>
          </w:p>
        </w:tc>
        <w:tc>
          <w:tcPr>
            <w:tcW w:w="1659" w:type="dxa"/>
          </w:tcPr>
          <w:p w14:paraId="3E534287">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0.8%</w:t>
            </w:r>
          </w:p>
        </w:tc>
        <w:tc>
          <w:tcPr>
            <w:tcW w:w="1532" w:type="dxa"/>
          </w:tcPr>
          <w:p w14:paraId="2A06804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0.45%</w:t>
            </w:r>
          </w:p>
        </w:tc>
        <w:tc>
          <w:tcPr>
            <w:tcW w:w="1546" w:type="dxa"/>
          </w:tcPr>
          <w:p w14:paraId="4032414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0.55%</w:t>
            </w:r>
          </w:p>
        </w:tc>
      </w:tr>
      <w:tr w14:paraId="0D6F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9BFAE3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1000～5000万元</w:t>
            </w:r>
          </w:p>
        </w:tc>
        <w:tc>
          <w:tcPr>
            <w:tcW w:w="1659" w:type="dxa"/>
          </w:tcPr>
          <w:p w14:paraId="70981867">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0.5%</w:t>
            </w:r>
          </w:p>
        </w:tc>
        <w:tc>
          <w:tcPr>
            <w:tcW w:w="1532" w:type="dxa"/>
          </w:tcPr>
          <w:p w14:paraId="660F4EF5">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0.25%</w:t>
            </w:r>
          </w:p>
        </w:tc>
        <w:tc>
          <w:tcPr>
            <w:tcW w:w="1546" w:type="dxa"/>
          </w:tcPr>
          <w:p w14:paraId="15E3FF84">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0.35%</w:t>
            </w:r>
          </w:p>
        </w:tc>
      </w:tr>
      <w:tr w14:paraId="661C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59494EA">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5000万元～1亿元</w:t>
            </w:r>
          </w:p>
        </w:tc>
        <w:tc>
          <w:tcPr>
            <w:tcW w:w="1659" w:type="dxa"/>
          </w:tcPr>
          <w:p w14:paraId="0589C2C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0.25%</w:t>
            </w:r>
          </w:p>
        </w:tc>
        <w:tc>
          <w:tcPr>
            <w:tcW w:w="1532" w:type="dxa"/>
          </w:tcPr>
          <w:p w14:paraId="6676AB2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0.1%</w:t>
            </w:r>
          </w:p>
        </w:tc>
        <w:tc>
          <w:tcPr>
            <w:tcW w:w="1546" w:type="dxa"/>
          </w:tcPr>
          <w:p w14:paraId="76685553">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0.2%</w:t>
            </w:r>
          </w:p>
        </w:tc>
      </w:tr>
      <w:tr w14:paraId="07B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58A5B1">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1～5亿元</w:t>
            </w:r>
          </w:p>
        </w:tc>
        <w:tc>
          <w:tcPr>
            <w:tcW w:w="1659" w:type="dxa"/>
          </w:tcPr>
          <w:p w14:paraId="07888C53">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0.05%</w:t>
            </w:r>
          </w:p>
        </w:tc>
        <w:tc>
          <w:tcPr>
            <w:tcW w:w="1532" w:type="dxa"/>
          </w:tcPr>
          <w:p w14:paraId="0D54396D">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0.05%</w:t>
            </w:r>
          </w:p>
        </w:tc>
        <w:tc>
          <w:tcPr>
            <w:tcW w:w="1546" w:type="dxa"/>
          </w:tcPr>
          <w:p w14:paraId="31AB9DC7">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0.05%</w:t>
            </w:r>
          </w:p>
        </w:tc>
      </w:tr>
      <w:tr w14:paraId="3171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6799E1F">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5～10亿元</w:t>
            </w:r>
          </w:p>
        </w:tc>
        <w:tc>
          <w:tcPr>
            <w:tcW w:w="1659" w:type="dxa"/>
          </w:tcPr>
          <w:p w14:paraId="599C0C08">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0.035%</w:t>
            </w:r>
          </w:p>
        </w:tc>
        <w:tc>
          <w:tcPr>
            <w:tcW w:w="1532" w:type="dxa"/>
          </w:tcPr>
          <w:p w14:paraId="4F9DD332">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0.035%</w:t>
            </w:r>
          </w:p>
        </w:tc>
        <w:tc>
          <w:tcPr>
            <w:tcW w:w="1546" w:type="dxa"/>
          </w:tcPr>
          <w:p w14:paraId="337D53D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0.035%</w:t>
            </w:r>
          </w:p>
        </w:tc>
      </w:tr>
      <w:tr w14:paraId="06D7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FDA1B0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10～50亿元</w:t>
            </w:r>
          </w:p>
        </w:tc>
        <w:tc>
          <w:tcPr>
            <w:tcW w:w="1659" w:type="dxa"/>
          </w:tcPr>
          <w:p w14:paraId="70783C97">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0.008%</w:t>
            </w:r>
          </w:p>
        </w:tc>
        <w:tc>
          <w:tcPr>
            <w:tcW w:w="1532" w:type="dxa"/>
          </w:tcPr>
          <w:p w14:paraId="4AE0F1C2">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0.008%</w:t>
            </w:r>
          </w:p>
        </w:tc>
        <w:tc>
          <w:tcPr>
            <w:tcW w:w="1546" w:type="dxa"/>
          </w:tcPr>
          <w:p w14:paraId="6F23429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0.008%</w:t>
            </w:r>
          </w:p>
        </w:tc>
      </w:tr>
      <w:tr w14:paraId="66C5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150AF4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50～100亿元</w:t>
            </w:r>
          </w:p>
        </w:tc>
        <w:tc>
          <w:tcPr>
            <w:tcW w:w="1659" w:type="dxa"/>
          </w:tcPr>
          <w:p w14:paraId="2780329F">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0.006%</w:t>
            </w:r>
          </w:p>
        </w:tc>
        <w:tc>
          <w:tcPr>
            <w:tcW w:w="1532" w:type="dxa"/>
          </w:tcPr>
          <w:p w14:paraId="384ADF8F">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0.006%</w:t>
            </w:r>
          </w:p>
        </w:tc>
        <w:tc>
          <w:tcPr>
            <w:tcW w:w="1546" w:type="dxa"/>
          </w:tcPr>
          <w:p w14:paraId="30289708">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0.006%</w:t>
            </w:r>
          </w:p>
        </w:tc>
      </w:tr>
      <w:tr w14:paraId="70DF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6949F0F">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100亿元以上</w:t>
            </w:r>
          </w:p>
        </w:tc>
        <w:tc>
          <w:tcPr>
            <w:tcW w:w="1659" w:type="dxa"/>
          </w:tcPr>
          <w:p w14:paraId="35103368">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0.004%</w:t>
            </w:r>
          </w:p>
        </w:tc>
        <w:tc>
          <w:tcPr>
            <w:tcW w:w="1532" w:type="dxa"/>
          </w:tcPr>
          <w:p w14:paraId="6D4CB51E">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0.004%</w:t>
            </w:r>
          </w:p>
        </w:tc>
        <w:tc>
          <w:tcPr>
            <w:tcW w:w="1546" w:type="dxa"/>
          </w:tcPr>
          <w:p w14:paraId="0E5AAA9F">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0.004%</w:t>
            </w:r>
          </w:p>
        </w:tc>
      </w:tr>
    </w:tbl>
    <w:p w14:paraId="03C07F9F">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注：</w:t>
      </w:r>
    </w:p>
    <w:p w14:paraId="55B6E50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（1）按本表费率计算的收费标准</w:t>
      </w:r>
      <w:r>
        <w:rPr>
          <w:rFonts w:hint="eastAsia" w:ascii="仿宋" w:hAnsi="仿宋" w:eastAsia="仿宋" w:cs="仿宋"/>
          <w:color w:val="auto"/>
          <w:sz w:val="24"/>
          <w:highlight w:val="none"/>
          <w:lang w:val="en-US" w:eastAsia="zh-CN"/>
        </w:rPr>
        <w:t>下浮40%</w:t>
      </w:r>
      <w:r>
        <w:rPr>
          <w:rFonts w:hint="eastAsia" w:ascii="仿宋" w:hAnsi="仿宋" w:eastAsia="仿宋" w:cs="仿宋"/>
          <w:color w:val="auto"/>
          <w:sz w:val="24"/>
          <w:highlight w:val="none"/>
        </w:rPr>
        <w:t>为采购代理的收费价格；</w:t>
      </w:r>
    </w:p>
    <w:p w14:paraId="1254486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（2）采购代理收费按差额定率累进法计算。</w:t>
      </w:r>
    </w:p>
    <w:p w14:paraId="61C0B2A5">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32.3 代理服务费交纳</w:t>
      </w:r>
      <w:r>
        <w:rPr>
          <w:rFonts w:hint="eastAsia" w:ascii="仿宋" w:hAnsi="仿宋" w:eastAsia="仿宋" w:cs="仿宋"/>
          <w:b/>
          <w:color w:val="auto"/>
          <w:sz w:val="24"/>
          <w:highlight w:val="none"/>
          <w:lang w:eastAsia="zh-CN"/>
        </w:rPr>
        <w:t>银行账号</w:t>
      </w:r>
      <w:r>
        <w:rPr>
          <w:rFonts w:hint="eastAsia" w:ascii="仿宋" w:hAnsi="仿宋" w:eastAsia="仿宋" w:cs="仿宋"/>
          <w:b/>
          <w:color w:val="auto"/>
          <w:sz w:val="24"/>
          <w:highlight w:val="none"/>
        </w:rPr>
        <w:t>信息</w:t>
      </w:r>
    </w:p>
    <w:p w14:paraId="2D0EB32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开户名称：广西科文招标有限公司南宁咨询一分公司</w:t>
      </w:r>
    </w:p>
    <w:p w14:paraId="6FAB1CC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开户银行：广西北部湾银行股份有限公司南宁市云景支行；</w:t>
      </w:r>
    </w:p>
    <w:p w14:paraId="5394457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银行账号：805030137000001</w:t>
      </w:r>
    </w:p>
    <w:p w14:paraId="116AE3B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33.需要补充的其他内容</w:t>
      </w:r>
    </w:p>
    <w:p w14:paraId="5C00FB32">
      <w:pPr>
        <w:pStyle w:val="18"/>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w:t>
      </w:r>
      <w:r>
        <w:rPr>
          <w:rFonts w:hint="eastAsia" w:ascii="仿宋" w:hAnsi="仿宋" w:eastAsia="仿宋" w:cs="仿宋"/>
          <w:color w:val="auto"/>
          <w:kern w:val="2"/>
          <w:sz w:val="24"/>
          <w:szCs w:val="24"/>
          <w:highlight w:val="none"/>
          <w:lang w:val="en-US" w:eastAsia="zh-CN"/>
        </w:rPr>
        <w:t>1</w:t>
      </w:r>
      <w:r>
        <w:rPr>
          <w:rFonts w:hint="eastAsia" w:ascii="仿宋" w:hAnsi="仿宋" w:eastAsia="仿宋" w:cs="仿宋"/>
          <w:color w:val="auto"/>
          <w:kern w:val="2"/>
          <w:sz w:val="24"/>
          <w:szCs w:val="24"/>
          <w:highlight w:val="none"/>
        </w:rPr>
        <w:t>本磋商文件所称“中小企业”</w:t>
      </w:r>
      <w:r>
        <w:rPr>
          <w:rFonts w:hint="eastAsia" w:ascii="仿宋" w:hAnsi="仿宋" w:eastAsia="仿宋" w:cs="仿宋"/>
          <w:color w:val="auto"/>
          <w:kern w:val="2"/>
          <w:sz w:val="24"/>
          <w:szCs w:val="24"/>
          <w:highlight w:val="none"/>
          <w:lang w:val="en-US" w:eastAsia="zh-CN"/>
        </w:rPr>
        <w:t>政策要求</w:t>
      </w:r>
      <w:r>
        <w:rPr>
          <w:rFonts w:hint="eastAsia" w:ascii="仿宋" w:hAnsi="仿宋" w:eastAsia="仿宋" w:cs="仿宋"/>
          <w:color w:val="auto"/>
          <w:kern w:val="2"/>
          <w:sz w:val="24"/>
          <w:szCs w:val="24"/>
          <w:highlight w:val="none"/>
        </w:rPr>
        <w:t>详见“供应商须知前附表”。</w:t>
      </w:r>
    </w:p>
    <w:p w14:paraId="6D06EE9E">
      <w:pPr>
        <w:pStyle w:val="18"/>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rPr>
        <w:t>本磋商文件解释规则详见“供应商须知前附表”。</w:t>
      </w:r>
    </w:p>
    <w:p w14:paraId="1A2C6362">
      <w:pPr>
        <w:pStyle w:val="18"/>
        <w:spacing w:line="360" w:lineRule="auto"/>
        <w:ind w:firstLine="480" w:firstLineChars="200"/>
        <w:textAlignment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33.</w:t>
      </w:r>
      <w:r>
        <w:rPr>
          <w:rFonts w:hint="eastAsia" w:ascii="仿宋" w:hAnsi="仿宋" w:eastAsia="仿宋" w:cs="仿宋"/>
          <w:color w:val="auto"/>
          <w:kern w:val="2"/>
          <w:sz w:val="24"/>
          <w:szCs w:val="24"/>
          <w:highlight w:val="none"/>
          <w:lang w:val="en-US" w:eastAsia="zh-CN"/>
        </w:rPr>
        <w:t>3</w:t>
      </w:r>
      <w:r>
        <w:rPr>
          <w:rFonts w:hint="eastAsia" w:ascii="仿宋" w:hAnsi="仿宋" w:eastAsia="仿宋" w:cs="仿宋"/>
          <w:color w:val="auto"/>
          <w:kern w:val="2"/>
          <w:sz w:val="24"/>
          <w:szCs w:val="24"/>
          <w:highlight w:val="none"/>
        </w:rPr>
        <w:t xml:space="preserve"> 其他事项详见“供应商须知前附表”。</w:t>
      </w:r>
    </w:p>
    <w:p w14:paraId="48945BA2">
      <w:pPr>
        <w:pStyle w:val="18"/>
        <w:spacing w:line="360" w:lineRule="auto"/>
        <w:ind w:firstLine="643" w:firstLineChars="200"/>
        <w:textAlignment w:val="center"/>
        <w:rPr>
          <w:rFonts w:ascii="仿宋" w:hAnsi="仿宋" w:eastAsia="仿宋" w:cs="仿宋"/>
          <w:b/>
          <w:color w:val="auto"/>
          <w:sz w:val="32"/>
          <w:szCs w:val="32"/>
          <w:highlight w:val="none"/>
        </w:rPr>
      </w:pPr>
    </w:p>
    <w:p w14:paraId="22A72DAC">
      <w:pPr>
        <w:rPr>
          <w:rFonts w:hint="eastAsia" w:ascii="仿宋" w:hAnsi="仿宋" w:cs="仿宋"/>
          <w:color w:val="auto"/>
          <w:highlight w:val="none"/>
        </w:rPr>
      </w:pPr>
      <w:r>
        <w:rPr>
          <w:rFonts w:hint="eastAsia" w:ascii="仿宋" w:hAnsi="仿宋" w:cs="仿宋"/>
          <w:color w:val="auto"/>
          <w:highlight w:val="none"/>
        </w:rPr>
        <w:br w:type="page"/>
      </w:r>
    </w:p>
    <w:p w14:paraId="78B4FE20">
      <w:pPr>
        <w:pStyle w:val="4"/>
        <w:rPr>
          <w:rFonts w:ascii="仿宋" w:hAnsi="仿宋" w:cs="仿宋"/>
          <w:color w:val="auto"/>
          <w:highlight w:val="none"/>
        </w:rPr>
      </w:pPr>
      <w:bookmarkStart w:id="30" w:name="_Toc10635"/>
      <w:r>
        <w:rPr>
          <w:rFonts w:hint="eastAsia" w:ascii="仿宋" w:hAnsi="仿宋" w:cs="仿宋"/>
          <w:color w:val="auto"/>
          <w:highlight w:val="none"/>
        </w:rPr>
        <w:t>第三章 采购需求</w:t>
      </w:r>
      <w:bookmarkEnd w:id="30"/>
    </w:p>
    <w:p w14:paraId="6630117A">
      <w:pPr>
        <w:spacing w:line="440" w:lineRule="exact"/>
        <w:jc w:val="center"/>
        <w:rPr>
          <w:rFonts w:ascii="仿宋" w:hAnsi="仿宋" w:eastAsia="仿宋" w:cs="仿宋"/>
          <w:b/>
          <w:color w:val="auto"/>
          <w:sz w:val="32"/>
          <w:szCs w:val="32"/>
          <w:highlight w:val="none"/>
        </w:rPr>
      </w:pPr>
    </w:p>
    <w:p w14:paraId="2D8C081A">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说明：</w:t>
      </w:r>
    </w:p>
    <w:p w14:paraId="780E29D9">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1.为落实政府采购政策需满足的要求：</w:t>
      </w:r>
    </w:p>
    <w:p w14:paraId="73294762">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本竞争性磋商采购文件所称中小企业必须符合《政府采购促进中小企业发展管理办法》（财库〔2020〕46号）的规定。</w:t>
      </w:r>
    </w:p>
    <w:p w14:paraId="4ADE116C">
      <w:pPr>
        <w:spacing w:line="360" w:lineRule="auto"/>
        <w:ind w:firstLine="484" w:firstLineChars="202"/>
        <w:jc w:val="left"/>
        <w:rPr>
          <w:rFonts w:ascii="仿宋" w:hAnsi="仿宋" w:eastAsia="仿宋" w:cs="仿宋"/>
          <w:color w:val="auto"/>
          <w:sz w:val="24"/>
          <w:highlight w:val="none"/>
        </w:rPr>
      </w:pPr>
      <w:r>
        <w:rPr>
          <w:rFonts w:hint="eastAsia" w:ascii="仿宋" w:hAnsi="仿宋" w:eastAsia="仿宋" w:cs="仿宋"/>
          <w:color w:val="auto"/>
          <w:sz w:val="24"/>
          <w:highlight w:val="none"/>
        </w:rPr>
        <w:t>2.供应商应根据自身实际情况如实响应磋商文件。对于重要技术条款或技术参数应当在响应文件中提供技术支持资料，技术支持资料以磋商文件中规定的形式为准，否则将视为无效技术支持资料。</w:t>
      </w:r>
    </w:p>
    <w:p w14:paraId="202DA8C1">
      <w:pPr>
        <w:spacing w:line="360" w:lineRule="auto"/>
        <w:ind w:firstLine="484" w:firstLineChars="202"/>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3.供应商必须自行为其</w:t>
      </w:r>
      <w:r>
        <w:rPr>
          <w:rFonts w:hint="eastAsia" w:ascii="仿宋" w:hAnsi="仿宋" w:eastAsia="仿宋" w:cs="仿宋"/>
          <w:color w:val="auto"/>
          <w:sz w:val="24"/>
          <w:highlight w:val="none"/>
          <w:lang w:eastAsia="zh-CN"/>
        </w:rPr>
        <w:t>参与磋商</w:t>
      </w:r>
      <w:r>
        <w:rPr>
          <w:rFonts w:hint="eastAsia" w:ascii="仿宋" w:hAnsi="仿宋" w:eastAsia="仿宋" w:cs="仿宋"/>
          <w:color w:val="auto"/>
          <w:sz w:val="24"/>
          <w:highlight w:val="none"/>
        </w:rPr>
        <w:t>的产品侵犯他人的知识产权或者专利成果的行为承担相应法律责任。</w:t>
      </w:r>
    </w:p>
    <w:p w14:paraId="18AB457C">
      <w:pPr>
        <w:spacing w:line="360" w:lineRule="auto"/>
        <w:ind w:left="-10" w:leftChars="-5" w:right="2" w:rightChars="1" w:firstLine="480" w:firstLineChars="200"/>
        <w:rPr>
          <w:rFonts w:ascii="仿宋" w:hAnsi="仿宋" w:eastAsia="仿宋" w:cs="仿宋"/>
          <w:color w:val="auto"/>
          <w:highlight w:val="none"/>
        </w:rPr>
      </w:pPr>
      <w:r>
        <w:rPr>
          <w:rFonts w:hint="eastAsia" w:ascii="仿宋" w:hAnsi="仿宋" w:eastAsia="仿宋" w:cs="仿宋"/>
          <w:bCs/>
          <w:color w:val="auto"/>
          <w:sz w:val="24"/>
          <w:highlight w:val="none"/>
          <w:lang w:eastAsia="zh-CN"/>
        </w:rPr>
        <w:t>4.</w:t>
      </w:r>
      <w:r>
        <w:rPr>
          <w:rFonts w:hint="eastAsia" w:ascii="仿宋" w:hAnsi="仿宋" w:eastAsia="仿宋" w:cs="仿宋"/>
          <w:bCs/>
          <w:color w:val="auto"/>
          <w:sz w:val="24"/>
          <w:highlight w:val="none"/>
        </w:rPr>
        <w:t>“实质性要求”是指采购文件中已经指明不满足则</w:t>
      </w:r>
      <w:r>
        <w:rPr>
          <w:rFonts w:hint="eastAsia" w:ascii="仿宋" w:hAnsi="仿宋" w:eastAsia="仿宋" w:cs="仿宋"/>
          <w:color w:val="auto"/>
          <w:sz w:val="24"/>
          <w:highlight w:val="none"/>
        </w:rPr>
        <w:t>竞争性磋商</w:t>
      </w:r>
      <w:r>
        <w:rPr>
          <w:rFonts w:hint="eastAsia" w:ascii="仿宋" w:hAnsi="仿宋" w:eastAsia="仿宋" w:cs="仿宋"/>
          <w:bCs/>
          <w:color w:val="auto"/>
          <w:sz w:val="24"/>
          <w:highlight w:val="none"/>
        </w:rPr>
        <w:t>无效的条款，或者不能负偏离的条款，或者采购需求中带“▲”的条款。本项目</w:t>
      </w:r>
      <w:r>
        <w:rPr>
          <w:rFonts w:hint="eastAsia" w:ascii="仿宋" w:hAnsi="仿宋" w:eastAsia="仿宋" w:cs="仿宋"/>
          <w:bCs/>
          <w:color w:val="auto"/>
          <w:sz w:val="24"/>
          <w:highlight w:val="none"/>
          <w:lang w:eastAsia="zh-CN"/>
        </w:rPr>
        <w:t>技术要求</w:t>
      </w:r>
      <w:r>
        <w:rPr>
          <w:rFonts w:hint="eastAsia" w:ascii="仿宋" w:hAnsi="仿宋" w:eastAsia="仿宋" w:cs="仿宋"/>
          <w:bCs/>
          <w:color w:val="auto"/>
          <w:sz w:val="24"/>
          <w:highlight w:val="none"/>
        </w:rPr>
        <w:t>及商务条款允许0项负偏离，有1项或以上负偏离的</w:t>
      </w:r>
      <w:r>
        <w:rPr>
          <w:rFonts w:hint="eastAsia" w:ascii="仿宋" w:hAnsi="仿宋" w:eastAsia="仿宋" w:cs="仿宋"/>
          <w:color w:val="auto"/>
          <w:sz w:val="24"/>
          <w:highlight w:val="none"/>
        </w:rPr>
        <w:t>竞争性磋商</w:t>
      </w:r>
      <w:r>
        <w:rPr>
          <w:rFonts w:hint="eastAsia" w:ascii="仿宋" w:hAnsi="仿宋" w:eastAsia="仿宋" w:cs="仿宋"/>
          <w:bCs/>
          <w:color w:val="auto"/>
          <w:sz w:val="24"/>
          <w:highlight w:val="none"/>
        </w:rPr>
        <w:t>无效。</w:t>
      </w:r>
    </w:p>
    <w:p w14:paraId="5252A059">
      <w:pPr>
        <w:spacing w:line="360" w:lineRule="auto"/>
        <w:ind w:left="-10" w:leftChars="-5" w:right="2" w:rightChars="1" w:firstLine="480" w:firstLineChars="200"/>
        <w:rPr>
          <w:rFonts w:ascii="仿宋" w:hAnsi="仿宋" w:eastAsia="仿宋" w:cs="仿宋"/>
          <w:color w:val="auto"/>
          <w:sz w:val="24"/>
          <w:highlight w:val="none"/>
          <w:u w:val="single"/>
        </w:rPr>
      </w:pPr>
      <w:r>
        <w:rPr>
          <w:rFonts w:hint="eastAsia" w:ascii="仿宋" w:hAnsi="仿宋" w:eastAsia="仿宋" w:cs="仿宋"/>
          <w:bCs/>
          <w:color w:val="auto"/>
          <w:sz w:val="24"/>
          <w:highlight w:val="none"/>
          <w:lang w:val="en-US" w:eastAsia="zh-CN"/>
        </w:rPr>
        <w:t>5.本项目</w:t>
      </w:r>
      <w:r>
        <w:rPr>
          <w:rFonts w:hint="eastAsia" w:ascii="仿宋" w:hAnsi="仿宋" w:eastAsia="仿宋" w:cs="仿宋"/>
          <w:color w:val="auto"/>
          <w:sz w:val="24"/>
          <w:highlight w:val="none"/>
        </w:rPr>
        <w:t>所属行业：</w:t>
      </w:r>
      <w:r>
        <w:rPr>
          <w:rFonts w:hint="eastAsia" w:ascii="仿宋" w:hAnsi="仿宋" w:eastAsia="仿宋" w:cs="仿宋"/>
          <w:color w:val="auto"/>
          <w:sz w:val="24"/>
          <w:highlight w:val="none"/>
          <w:u w:val="single"/>
        </w:rPr>
        <w:t>其他未列明行业</w:t>
      </w:r>
    </w:p>
    <w:tbl>
      <w:tblPr>
        <w:tblStyle w:val="29"/>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9"/>
        <w:gridCol w:w="776"/>
        <w:gridCol w:w="7195"/>
      </w:tblGrid>
      <w:tr w14:paraId="4562A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49" w:type="dxa"/>
            <w:tcBorders>
              <w:top w:val="single" w:color="000000" w:sz="4" w:space="0"/>
              <w:left w:val="single" w:color="000000" w:sz="4" w:space="0"/>
              <w:bottom w:val="single" w:color="000000" w:sz="4" w:space="0"/>
              <w:right w:val="single" w:color="000000" w:sz="4" w:space="0"/>
              <w:tl2br w:val="nil"/>
              <w:tr2bl w:val="nil"/>
            </w:tcBorders>
            <w:vAlign w:val="center"/>
          </w:tcPr>
          <w:p w14:paraId="2C2114D9">
            <w:pPr>
              <w:tabs>
                <w:tab w:val="left" w:pos="180"/>
                <w:tab w:val="left" w:pos="1620"/>
              </w:tabs>
              <w:jc w:val="center"/>
              <w:rPr>
                <w:rFonts w:ascii="仿宋" w:hAnsi="仿宋" w:eastAsia="仿宋" w:cs="仿宋"/>
                <w:color w:val="auto"/>
                <w:sz w:val="24"/>
                <w:highlight w:val="none"/>
              </w:rPr>
            </w:pPr>
            <w:r>
              <w:rPr>
                <w:rFonts w:hint="eastAsia" w:ascii="仿宋" w:hAnsi="仿宋" w:eastAsia="仿宋" w:cs="仿宋"/>
                <w:color w:val="auto"/>
                <w:sz w:val="24"/>
                <w:highlight w:val="none"/>
              </w:rPr>
              <w:t>标的名称</w:t>
            </w:r>
          </w:p>
        </w:tc>
        <w:tc>
          <w:tcPr>
            <w:tcW w:w="776" w:type="dxa"/>
            <w:tcBorders>
              <w:top w:val="single" w:color="000000" w:sz="4" w:space="0"/>
              <w:left w:val="single" w:color="000000" w:sz="4" w:space="0"/>
              <w:bottom w:val="single" w:color="000000" w:sz="4" w:space="0"/>
              <w:right w:val="single" w:color="000000" w:sz="4" w:space="0"/>
              <w:tl2br w:val="nil"/>
              <w:tr2bl w:val="nil"/>
            </w:tcBorders>
            <w:vAlign w:val="center"/>
          </w:tcPr>
          <w:p w14:paraId="4983A260">
            <w:pPr>
              <w:tabs>
                <w:tab w:val="left" w:pos="180"/>
                <w:tab w:val="left" w:pos="1620"/>
              </w:tabs>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7195" w:type="dxa"/>
            <w:tcBorders>
              <w:top w:val="single" w:color="000000" w:sz="4" w:space="0"/>
              <w:left w:val="single" w:color="000000" w:sz="4" w:space="0"/>
              <w:bottom w:val="single" w:color="000000" w:sz="4" w:space="0"/>
              <w:right w:val="single" w:color="000000" w:sz="4" w:space="0"/>
              <w:tl2br w:val="nil"/>
              <w:tr2bl w:val="nil"/>
            </w:tcBorders>
            <w:vAlign w:val="center"/>
          </w:tcPr>
          <w:p w14:paraId="66BC3A47">
            <w:pPr>
              <w:tabs>
                <w:tab w:val="left" w:pos="180"/>
                <w:tab w:val="left" w:pos="1620"/>
              </w:tabs>
              <w:jc w:val="center"/>
              <w:rPr>
                <w:rFonts w:hint="eastAsia" w:ascii="仿宋" w:hAnsi="仿宋" w:eastAsia="仿宋" w:cs="仿宋"/>
                <w:color w:val="auto"/>
                <w:sz w:val="20"/>
                <w:szCs w:val="20"/>
                <w:highlight w:val="none"/>
                <w:lang w:eastAsia="zh-CN"/>
              </w:rPr>
            </w:pPr>
            <w:r>
              <w:rPr>
                <w:rFonts w:hint="eastAsia" w:ascii="仿宋" w:hAnsi="仿宋" w:eastAsia="仿宋" w:cs="仿宋"/>
                <w:b/>
                <w:color w:val="auto"/>
                <w:sz w:val="24"/>
                <w:highlight w:val="none"/>
                <w:lang w:eastAsia="zh-CN"/>
              </w:rPr>
              <w:t>技术要求（</w:t>
            </w:r>
            <w:r>
              <w:rPr>
                <w:rFonts w:hint="eastAsia" w:ascii="仿宋" w:hAnsi="仿宋" w:eastAsia="仿宋" w:cs="仿宋"/>
                <w:b/>
                <w:color w:val="auto"/>
                <w:sz w:val="24"/>
                <w:highlight w:val="none"/>
                <w:lang w:val="en-US" w:eastAsia="zh-CN"/>
              </w:rPr>
              <w:t>服务内容和标准</w:t>
            </w:r>
            <w:r>
              <w:rPr>
                <w:rFonts w:hint="eastAsia" w:ascii="仿宋" w:hAnsi="仿宋" w:eastAsia="仿宋" w:cs="仿宋"/>
                <w:b/>
                <w:color w:val="auto"/>
                <w:sz w:val="24"/>
                <w:highlight w:val="none"/>
                <w:lang w:eastAsia="zh-CN"/>
              </w:rPr>
              <w:t>）</w:t>
            </w:r>
          </w:p>
        </w:tc>
      </w:tr>
      <w:tr w14:paraId="0FC84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349" w:type="dxa"/>
            <w:tcBorders>
              <w:top w:val="single" w:color="000000" w:sz="4" w:space="0"/>
              <w:left w:val="single" w:color="000000" w:sz="4" w:space="0"/>
              <w:bottom w:val="single" w:color="000000" w:sz="4" w:space="0"/>
              <w:right w:val="single" w:color="000000" w:sz="4" w:space="0"/>
              <w:tl2br w:val="nil"/>
              <w:tr2bl w:val="nil"/>
            </w:tcBorders>
            <w:vAlign w:val="center"/>
          </w:tcPr>
          <w:p w14:paraId="3530B8E8">
            <w:pPr>
              <w:widowControl/>
              <w:snapToGrid w:val="0"/>
              <w:spacing w:line="360" w:lineRule="auto"/>
              <w:jc w:val="center"/>
              <w:rPr>
                <w:rFonts w:ascii="仿宋" w:hAnsi="仿宋" w:eastAsia="仿宋" w:cs="仿宋"/>
                <w:color w:val="auto"/>
                <w:highlight w:val="none"/>
              </w:rPr>
            </w:pPr>
            <w:r>
              <w:rPr>
                <w:rFonts w:hint="eastAsia" w:ascii="仿宋" w:hAnsi="仿宋" w:eastAsia="仿宋" w:cs="仿宋"/>
                <w:color w:val="auto"/>
                <w:highlight w:val="none"/>
                <w:lang w:eastAsia="zh-CN"/>
              </w:rPr>
              <w:t>区外（华北华东华中等）机场媒体投放</w:t>
            </w:r>
          </w:p>
        </w:tc>
        <w:tc>
          <w:tcPr>
            <w:tcW w:w="776" w:type="dxa"/>
            <w:tcBorders>
              <w:top w:val="single" w:color="000000" w:sz="4" w:space="0"/>
              <w:left w:val="single" w:color="000000" w:sz="4" w:space="0"/>
              <w:bottom w:val="single" w:color="000000" w:sz="4" w:space="0"/>
              <w:right w:val="single" w:color="000000" w:sz="4" w:space="0"/>
              <w:tl2br w:val="nil"/>
              <w:tr2bl w:val="nil"/>
            </w:tcBorders>
            <w:vAlign w:val="center"/>
          </w:tcPr>
          <w:p w14:paraId="24FA6894">
            <w:pPr>
              <w:widowControl/>
              <w:snapToGrid w:val="0"/>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1项</w:t>
            </w:r>
          </w:p>
        </w:tc>
        <w:tc>
          <w:tcPr>
            <w:tcW w:w="7195" w:type="dxa"/>
            <w:tcBorders>
              <w:top w:val="single" w:color="000000" w:sz="4" w:space="0"/>
              <w:left w:val="single" w:color="000000" w:sz="4" w:space="0"/>
              <w:bottom w:val="single" w:color="000000" w:sz="4" w:space="0"/>
              <w:right w:val="single" w:color="000000" w:sz="4" w:space="0"/>
              <w:tl2br w:val="nil"/>
              <w:tr2bl w:val="nil"/>
            </w:tcBorders>
            <w:vAlign w:val="center"/>
          </w:tcPr>
          <w:p w14:paraId="7F238E8A">
            <w:pPr>
              <w:widowControl/>
              <w:spacing w:line="360" w:lineRule="auto"/>
              <w:ind w:firstLine="480" w:firstLineChars="200"/>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一、项目目标</w:t>
            </w:r>
          </w:p>
          <w:p w14:paraId="028D7AA3">
            <w:pPr>
              <w:widowControl/>
              <w:spacing w:line="360" w:lineRule="auto"/>
              <w:ind w:firstLine="480" w:firstLineChars="200"/>
              <w:textAlignment w:val="center"/>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为贯彻落实国家文化和旅游消费提振相关部署，深度挖掘广西自然景观与民族文化核心资源，以</w:t>
            </w:r>
            <w:r>
              <w:rPr>
                <w:rFonts w:hint="eastAsia" w:ascii="仿宋" w:hAnsi="仿宋" w:eastAsia="仿宋" w:cs="仿宋"/>
                <w:color w:val="auto"/>
                <w:sz w:val="24"/>
                <w:highlight w:val="none"/>
                <w:u w:val="none"/>
                <w:lang w:eastAsia="zh-CN"/>
              </w:rPr>
              <w:t>区外（华北华东华中等）机场</w:t>
            </w:r>
            <w:r>
              <w:rPr>
                <w:rFonts w:hint="eastAsia" w:ascii="仿宋" w:hAnsi="仿宋" w:eastAsia="仿宋" w:cs="仿宋"/>
                <w:b w:val="0"/>
                <w:bCs/>
                <w:color w:val="auto"/>
                <w:sz w:val="24"/>
                <w:highlight w:val="none"/>
                <w:lang w:val="en-US" w:eastAsia="zh-CN"/>
              </w:rPr>
              <w:t>广告传播为载体，全方位、立体化展现广西文旅魅力，精准触达全国重点客源城市客群，持续擦亮“秀甲天下壮美广西”文旅品牌，提升广西文旅品牌声量、美誉度与影响力，为引客入桂注入长效动力，推动广西文化旅游事业高质量发展。</w:t>
            </w:r>
          </w:p>
          <w:p w14:paraId="7BBF7E13">
            <w:pPr>
              <w:widowControl/>
              <w:spacing w:line="360" w:lineRule="auto"/>
              <w:ind w:firstLine="480" w:firstLineChars="200"/>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二、开展“广西三月三・八桂嘉年华”、“广西‘不止有’”文旅品牌全国重点城市机场广告投放</w:t>
            </w:r>
          </w:p>
          <w:p w14:paraId="3735A0F9">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依托</w:t>
            </w:r>
            <w:r>
              <w:rPr>
                <w:rFonts w:hint="eastAsia" w:ascii="仿宋" w:hAnsi="仿宋" w:eastAsia="仿宋" w:cs="仿宋"/>
                <w:color w:val="auto"/>
                <w:sz w:val="24"/>
                <w:highlight w:val="none"/>
                <w:u w:val="none"/>
                <w:lang w:eastAsia="zh-CN"/>
              </w:rPr>
              <w:t>区外（华北华东华中等）机场</w:t>
            </w:r>
            <w:r>
              <w:rPr>
                <w:rFonts w:hint="eastAsia" w:ascii="仿宋" w:hAnsi="仿宋" w:eastAsia="仿宋" w:cs="仿宋"/>
                <w:b w:val="0"/>
                <w:bCs/>
                <w:color w:val="auto"/>
                <w:sz w:val="24"/>
                <w:highlight w:val="none"/>
                <w:lang w:val="en-US" w:eastAsia="zh-CN"/>
              </w:rPr>
              <w:t>机场高净值客群流量优势，以“广西三月三・八桂嘉年华”、“广西‘不止有’”为核心主题，在全国重点客源城市机场开展精准广告投放，实现广西文旅资源与高净值消费客群的高效触达，响应国家文旅消费提质相关政策要求，推动机场“流量”高效转化为广西文旅“游客量”，助力广西文旅品牌全国化传播与高质量发展，投放时间为2026年4月到9月，预计触达人群不少于1亿人次。</w:t>
            </w:r>
          </w:p>
          <w:p w14:paraId="07FEC3BD">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1.投放规划与点位筛选</w:t>
            </w:r>
          </w:p>
          <w:p w14:paraId="2C557FEB">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明确本次投放核心主题与传播方向，完成</w:t>
            </w:r>
            <w:r>
              <w:rPr>
                <w:rFonts w:hint="eastAsia" w:ascii="仿宋" w:hAnsi="仿宋" w:eastAsia="仿宋" w:cs="仿宋"/>
                <w:color w:val="auto"/>
                <w:sz w:val="24"/>
                <w:highlight w:val="none"/>
                <w:u w:val="none"/>
                <w:lang w:eastAsia="zh-CN"/>
              </w:rPr>
              <w:t>区外（华北华东华中等）机场</w:t>
            </w:r>
            <w:r>
              <w:rPr>
                <w:rFonts w:hint="eastAsia" w:ascii="仿宋" w:hAnsi="仿宋" w:eastAsia="仿宋" w:cs="仿宋"/>
                <w:b w:val="0"/>
                <w:bCs/>
                <w:color w:val="auto"/>
                <w:sz w:val="24"/>
                <w:highlight w:val="none"/>
                <w:lang w:val="en-US" w:eastAsia="zh-CN"/>
              </w:rPr>
              <w:t>媒体点位的筛选与规划。投放覆盖北京、上海、武汉、南京、成都、厦门、西安、郑州、合肥、杭州共10个城市的机场媒体平台，媒体形式锁定机场电子刷屏、LED屏、灯箱等核心高触达媒体，规划投放媒体点位数量不少于100块。媒体发布的具体细节，可根据实际情况由双方另行协商。</w:t>
            </w:r>
          </w:p>
          <w:p w14:paraId="0A17427D">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2.投放内容制作与规范要求</w:t>
            </w:r>
          </w:p>
          <w:p w14:paraId="632A85D3">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围绕“广西三月三・八桂嘉年华”、“广西‘不止有’”主题，完成广告投放素材的策划与制作，全方位、立体化展现广西醉人的自然美景、厚重的民族文化底蕴、宜居宜业的生态氛围与多元文旅产品。单条广告素材播放时长不少于10秒，内容需符合机场广告发布管理规范，贴合目标客群审美与消费偏好，充分传递广西文旅核心优势。</w:t>
            </w:r>
          </w:p>
          <w:p w14:paraId="23EE7A61">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3.投放执行与频次管控</w:t>
            </w:r>
          </w:p>
          <w:p w14:paraId="54B5EC82">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严格按照既定规划完成全周期广告投放执行，落实播放频次与投放时长管控。本次投放周期为4月-9月，整体投放时长不少于12周，单块媒体单日广告播放频次不低于120次，且投放必须具备相关投放资源授权，确保投放内容的曝光触达效果，全程做好投放执行的动态管控与问题响应。</w:t>
            </w:r>
          </w:p>
          <w:p w14:paraId="74F9EBA5">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三、落实广西文旅品牌机场投放配套保障与价值闭环</w:t>
            </w:r>
          </w:p>
          <w:p w14:paraId="2A466E18">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以本次机场广告投放为核心抓手，全面承接国家文旅消费提振相关政策要求，深度联动机场高净值客群流量，构建广西文旅品牌精准传播闭环，最大化释放投放价值，推动广西文旅资源高效触达目标客群，持续扩大“秀甲天下壮美广西”品牌的全国影响力，让更多旅客通过机场传播渠道感受广西自然之美、文化之韵，激发入桂旅游消费意愿。</w:t>
            </w:r>
          </w:p>
          <w:p w14:paraId="59064BA4">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1.政策落地与专业执行保障</w:t>
            </w:r>
          </w:p>
          <w:p w14:paraId="28989770">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严格对标文化和旅游部《国内旅游提升计划（2023—2025年）》中“丰富优质旅游产品供给”“优化旅游消费环境”的工作要求，落实国务院办公厅《关于进一步培育新增长点繁荣文化和旅游消费的若干措施》中“创新文旅消费场景”“提升文旅消费便利度”的工作部署，组建专业投放执行团队，确保本次机场广告投放全流程合规、高效推进，精准契合国家文旅产业发展导向。</w:t>
            </w:r>
          </w:p>
          <w:p w14:paraId="4683C178">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2.客群精准匹配与投放资源保障</w:t>
            </w:r>
          </w:p>
          <w:p w14:paraId="2ACC9A3F">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锚定机场旅客群体与广西文旅目标客群高度契合的核心优势，锁定北京、上海等全国重点枢纽城市高消费、高净值旅客群体为核心触达对象，保障投放媒体资源的优质性与触达精准度，响应政策中“培育新型文旅消费主体”的工作要求，为投放效果提供核心资源支撑。</w:t>
            </w:r>
          </w:p>
          <w:p w14:paraId="363D2D47">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3.品牌传播目标与效果管控</w:t>
            </w:r>
          </w:p>
          <w:p w14:paraId="0F3D7BC9">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以本次机场广告投放为核心，全方位、立体化展现广西多姿多彩的旅游资源和产品，确保有效触达全国重点客源城市游客人群，全面提升广西文旅品牌声量、美誉度和全国影响力，为全自治区文化旅游长效引客入桂注入新动力，切实推动投放上亿人的“机场触达流量”转化为广西文旅“游客量”。</w:t>
            </w:r>
          </w:p>
          <w:p w14:paraId="12AE056D">
            <w:pPr>
              <w:widowControl/>
              <w:spacing w:line="360" w:lineRule="auto"/>
              <w:textAlignment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 xml:space="preserve">    4.长效价值释放与产业发展赋能</w:t>
            </w:r>
          </w:p>
          <w:p w14:paraId="7C872B43">
            <w:pPr>
              <w:widowControl/>
              <w:spacing w:line="360" w:lineRule="auto"/>
              <w:textAlignment w:val="center"/>
              <w:rPr>
                <w:rFonts w:ascii="仿宋" w:hAnsi="仿宋" w:eastAsia="仿宋" w:cs="仿宋"/>
                <w:b/>
                <w:color w:val="auto"/>
                <w:sz w:val="24"/>
                <w:highlight w:val="none"/>
              </w:rPr>
            </w:pPr>
            <w:r>
              <w:rPr>
                <w:rFonts w:hint="eastAsia" w:ascii="仿宋" w:hAnsi="仿宋" w:eastAsia="仿宋" w:cs="仿宋"/>
                <w:b w:val="0"/>
                <w:bCs/>
                <w:color w:val="auto"/>
                <w:sz w:val="24"/>
                <w:highlight w:val="none"/>
                <w:lang w:val="en-US" w:eastAsia="zh-CN"/>
              </w:rPr>
              <w:t xml:space="preserve">    以本次投放为契机，持续深化广西文旅品牌全国化传播布局，通过机场高势能传播渠道，构建广西文旅长效引客机制，持续激发全国游客入桂旅游消费意愿，助力广西文化旅游事业高质量发展，推动广西文旅产业提质升级。</w:t>
            </w:r>
          </w:p>
        </w:tc>
      </w:tr>
      <w:tr w14:paraId="666F9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320" w:type="dxa"/>
            <w:gridSpan w:val="3"/>
            <w:tcBorders>
              <w:top w:val="single" w:color="auto" w:sz="4" w:space="0"/>
              <w:left w:val="single" w:color="auto" w:sz="4" w:space="0"/>
              <w:bottom w:val="single" w:color="auto" w:sz="4" w:space="0"/>
              <w:right w:val="single" w:color="auto" w:sz="4" w:space="0"/>
              <w:tl2br w:val="nil"/>
              <w:tr2bl w:val="nil"/>
            </w:tcBorders>
          </w:tcPr>
          <w:p w14:paraId="1EAB641C">
            <w:pPr>
              <w:spacing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▲商务要求</w:t>
            </w:r>
          </w:p>
        </w:tc>
      </w:tr>
      <w:tr w14:paraId="7B547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4C157DE">
            <w:pPr>
              <w:snapToGrid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合同签订时间</w:t>
            </w:r>
          </w:p>
        </w:tc>
        <w:tc>
          <w:tcPr>
            <w:tcW w:w="79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304BC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自成交通知书发出之日起25日内。</w:t>
            </w:r>
          </w:p>
        </w:tc>
      </w:tr>
      <w:tr w14:paraId="47249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D3F222E">
            <w:pPr>
              <w:spacing w:line="360" w:lineRule="auto"/>
              <w:jc w:val="center"/>
              <w:rPr>
                <w:rFonts w:ascii="仿宋" w:hAnsi="仿宋" w:eastAsia="仿宋" w:cs="仿宋"/>
                <w:b/>
                <w:color w:val="auto"/>
                <w:sz w:val="24"/>
                <w:highlight w:val="none"/>
              </w:rPr>
            </w:pP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时间及地点</w:t>
            </w:r>
          </w:p>
        </w:tc>
        <w:tc>
          <w:tcPr>
            <w:tcW w:w="79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67EC4FE">
            <w:pPr>
              <w:pStyle w:val="13"/>
              <w:spacing w:line="360" w:lineRule="auto"/>
              <w:rPr>
                <w:rFonts w:ascii="仿宋" w:hAnsi="仿宋" w:eastAsia="仿宋" w:cs="仿宋"/>
                <w:color w:val="auto"/>
                <w:sz w:val="22"/>
                <w:szCs w:val="28"/>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时间：</w:t>
            </w:r>
            <w:r>
              <w:rPr>
                <w:rFonts w:hint="eastAsia" w:ascii="仿宋" w:hAnsi="仿宋" w:eastAsia="仿宋" w:cs="仿宋"/>
                <w:color w:val="auto"/>
                <w:sz w:val="22"/>
                <w:szCs w:val="28"/>
                <w:highlight w:val="none"/>
              </w:rPr>
              <w:t>自合同生效之日起</w:t>
            </w:r>
            <w:r>
              <w:rPr>
                <w:rFonts w:hint="eastAsia" w:ascii="仿宋" w:hAnsi="仿宋" w:eastAsia="仿宋" w:cs="仿宋"/>
                <w:color w:val="auto"/>
                <w:sz w:val="22"/>
                <w:szCs w:val="28"/>
                <w:highlight w:val="none"/>
                <w:lang w:val="en-US" w:eastAsia="zh-CN"/>
              </w:rPr>
              <w:t>20</w:t>
            </w:r>
            <w:r>
              <w:rPr>
                <w:rFonts w:hint="eastAsia" w:ascii="仿宋" w:hAnsi="仿宋" w:eastAsia="仿宋" w:cs="仿宋"/>
                <w:color w:val="auto"/>
                <w:sz w:val="22"/>
                <w:szCs w:val="28"/>
                <w:highlight w:val="none"/>
              </w:rPr>
              <w:t>日内完成</w:t>
            </w:r>
            <w:r>
              <w:rPr>
                <w:rFonts w:hint="eastAsia" w:ascii="仿宋" w:hAnsi="仿宋" w:eastAsia="仿宋" w:cs="仿宋"/>
                <w:color w:val="auto"/>
                <w:sz w:val="22"/>
                <w:szCs w:val="28"/>
                <w:highlight w:val="none"/>
                <w:lang w:val="en-US" w:eastAsia="zh-CN"/>
              </w:rPr>
              <w:t>投放素材与投放准备，自收到采购人投放通知之日起3个工作日内投放成功</w:t>
            </w:r>
            <w:r>
              <w:rPr>
                <w:rFonts w:hint="eastAsia" w:ascii="仿宋" w:hAnsi="仿宋" w:eastAsia="仿宋" w:cs="仿宋"/>
                <w:color w:val="auto"/>
                <w:sz w:val="22"/>
                <w:szCs w:val="28"/>
                <w:highlight w:val="none"/>
                <w:lang w:eastAsia="zh-CN"/>
              </w:rPr>
              <w:t>，</w:t>
            </w:r>
            <w:r>
              <w:rPr>
                <w:rFonts w:hint="eastAsia" w:ascii="仿宋" w:hAnsi="仿宋" w:eastAsia="仿宋" w:cs="仿宋"/>
                <w:color w:val="auto"/>
                <w:sz w:val="22"/>
                <w:szCs w:val="28"/>
                <w:highlight w:val="none"/>
                <w:lang w:val="en-US" w:eastAsia="zh-CN"/>
              </w:rPr>
              <w:t>投放周期为4月-9月，整体投放时长不少于12周</w:t>
            </w:r>
            <w:r>
              <w:rPr>
                <w:rFonts w:hint="eastAsia" w:ascii="仿宋" w:hAnsi="仿宋" w:eastAsia="仿宋" w:cs="仿宋"/>
                <w:color w:val="auto"/>
                <w:sz w:val="22"/>
                <w:szCs w:val="28"/>
                <w:highlight w:val="none"/>
              </w:rPr>
              <w:t>。</w:t>
            </w:r>
          </w:p>
          <w:p w14:paraId="12233D3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地点：采购人指定地点。</w:t>
            </w:r>
          </w:p>
        </w:tc>
      </w:tr>
      <w:tr w14:paraId="3AFFB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9916C4C">
            <w:pPr>
              <w:pStyle w:val="72"/>
              <w:spacing w:line="360" w:lineRule="auto"/>
              <w:ind w:firstLine="0" w:firstLineChars="0"/>
              <w:jc w:val="cente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highlight w:val="none"/>
              </w:rPr>
              <w:t>报价要求</w:t>
            </w:r>
          </w:p>
        </w:tc>
        <w:tc>
          <w:tcPr>
            <w:tcW w:w="797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6BBBCC">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1.竞标总报价以人民币报价，因磋商供应商自身原因造成漏报、少报皆由磋商供应商自行承担责任，采购人不再补偿。除政策性文件规定以外，磋商供应商所报价格在合同实施期间不因市场变化因素而变动。</w:t>
            </w:r>
          </w:p>
          <w:p w14:paraId="099A3B6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报价必须包括但不限于以下内容：</w:t>
            </w:r>
          </w:p>
          <w:p w14:paraId="4B2BF95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（1）服务的价格；</w:t>
            </w:r>
          </w:p>
          <w:p w14:paraId="3665EC7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（2）项目的组织协调费用，包括</w:t>
            </w:r>
            <w:r>
              <w:rPr>
                <w:rFonts w:hint="eastAsia" w:ascii="仿宋" w:hAnsi="仿宋" w:eastAsia="仿宋" w:cs="仿宋"/>
                <w:color w:val="auto"/>
                <w:sz w:val="24"/>
                <w:highlight w:val="none"/>
                <w:lang w:val="en-US" w:eastAsia="zh-CN"/>
              </w:rPr>
              <w:t>场地（媒体）租赁、广告投放、拍摄录制制作、</w:t>
            </w:r>
            <w:r>
              <w:rPr>
                <w:rFonts w:hint="eastAsia" w:ascii="仿宋" w:hAnsi="仿宋" w:eastAsia="仿宋" w:cs="仿宋"/>
                <w:color w:val="auto"/>
                <w:sz w:val="24"/>
                <w:highlight w:val="none"/>
              </w:rPr>
              <w:t>图文、媒体</w:t>
            </w:r>
            <w:r>
              <w:rPr>
                <w:rFonts w:hint="eastAsia" w:ascii="仿宋" w:hAnsi="仿宋" w:eastAsia="仿宋" w:cs="仿宋"/>
                <w:color w:val="auto"/>
                <w:sz w:val="24"/>
                <w:highlight w:val="none"/>
                <w:lang w:val="en-US" w:eastAsia="zh-CN"/>
              </w:rPr>
              <w:t>设计</w:t>
            </w:r>
            <w:r>
              <w:rPr>
                <w:rFonts w:hint="eastAsia" w:ascii="仿宋" w:hAnsi="仿宋" w:eastAsia="仿宋" w:cs="仿宋"/>
                <w:color w:val="auto"/>
                <w:sz w:val="24"/>
                <w:highlight w:val="none"/>
              </w:rPr>
              <w:t>宣传、工作设备</w:t>
            </w:r>
            <w:r>
              <w:rPr>
                <w:rFonts w:hint="eastAsia" w:ascii="仿宋" w:hAnsi="仿宋" w:eastAsia="仿宋" w:cs="仿宋"/>
                <w:color w:val="auto"/>
                <w:sz w:val="24"/>
                <w:highlight w:val="none"/>
                <w:lang w:val="en-US" w:eastAsia="zh-CN"/>
              </w:rPr>
              <w:t>租赁</w:t>
            </w:r>
            <w:r>
              <w:rPr>
                <w:rFonts w:hint="eastAsia" w:ascii="仿宋" w:hAnsi="仿宋" w:eastAsia="仿宋" w:cs="仿宋"/>
                <w:color w:val="auto"/>
                <w:sz w:val="24"/>
                <w:highlight w:val="none"/>
              </w:rPr>
              <w:t>购置费用、宣传推广费用、劳务费、物资物料费、交通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住宿、杂项等费用；</w:t>
            </w:r>
          </w:p>
          <w:p w14:paraId="369658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（3）必要的保险费用和各项税金；</w:t>
            </w:r>
          </w:p>
          <w:p w14:paraId="5F9BD02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（4）其他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如安装、调试、技术支持、售后服务、验收等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费用。</w:t>
            </w:r>
          </w:p>
        </w:tc>
      </w:tr>
      <w:tr w14:paraId="0A51DC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AD2FF9">
            <w:pPr>
              <w:pStyle w:val="15"/>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验收要求</w:t>
            </w:r>
          </w:p>
        </w:tc>
        <w:tc>
          <w:tcPr>
            <w:tcW w:w="797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EBD96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验收时由采购人或邀请有资质的第三方机构对照采购文件的</w:t>
            </w:r>
            <w:r>
              <w:rPr>
                <w:rFonts w:hint="eastAsia" w:ascii="仿宋" w:hAnsi="仿宋" w:eastAsia="仿宋" w:cs="仿宋"/>
                <w:color w:val="auto"/>
                <w:sz w:val="24"/>
                <w:highlight w:val="none"/>
                <w:lang w:val="en-US" w:eastAsia="zh-CN"/>
              </w:rPr>
              <w:t>服务内容和标准</w:t>
            </w:r>
            <w:r>
              <w:rPr>
                <w:rFonts w:hint="eastAsia" w:ascii="仿宋" w:hAnsi="仿宋" w:eastAsia="仿宋" w:cs="仿宋"/>
                <w:color w:val="auto"/>
                <w:sz w:val="24"/>
                <w:highlight w:val="none"/>
              </w:rPr>
              <w:t>指标全面核对检验，如不符合采购文件的</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或提供虚假承诺的，采购人有权拒绝验收并认定成交供应商违约，采购人有权单方解除合同，由成交供应商承担所有责任和费用，采购人保留进一步追究责任的权利。</w:t>
            </w:r>
          </w:p>
          <w:p w14:paraId="65C12C5D">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本项目须严格执行国家、地方及行业相关验收标准及规范。</w:t>
            </w:r>
          </w:p>
          <w:p w14:paraId="03617DEB">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履约验收</w:t>
            </w:r>
            <w:r>
              <w:rPr>
                <w:rFonts w:hint="eastAsia" w:ascii="仿宋" w:hAnsi="仿宋" w:eastAsia="仿宋" w:cs="仿宋"/>
                <w:color w:val="auto"/>
                <w:sz w:val="24"/>
                <w:highlight w:val="none"/>
              </w:rPr>
              <w:t>过程中所产生的一切费用均由成交供应商承担，</w:t>
            </w:r>
            <w:r>
              <w:rPr>
                <w:rFonts w:hint="eastAsia" w:ascii="仿宋" w:hAnsi="仿宋" w:eastAsia="仿宋" w:cs="仿宋"/>
                <w:color w:val="auto"/>
                <w:sz w:val="24"/>
                <w:highlight w:val="none"/>
                <w:lang w:val="en-US" w:eastAsia="zh-CN"/>
              </w:rPr>
              <w:t>且均已包含在磋商报价中</w:t>
            </w:r>
            <w:r>
              <w:rPr>
                <w:rFonts w:hint="eastAsia" w:ascii="仿宋" w:hAnsi="仿宋" w:eastAsia="仿宋" w:cs="仿宋"/>
                <w:color w:val="auto"/>
                <w:sz w:val="24"/>
                <w:highlight w:val="none"/>
              </w:rPr>
              <w:t>。</w:t>
            </w:r>
          </w:p>
        </w:tc>
      </w:tr>
      <w:tr w14:paraId="4B32A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3FAB4F11">
            <w:pPr>
              <w:pStyle w:val="72"/>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color w:val="auto"/>
                <w:sz w:val="24"/>
                <w:highlight w:val="none"/>
              </w:rPr>
              <w:t>付款方式</w:t>
            </w:r>
          </w:p>
        </w:tc>
        <w:tc>
          <w:tcPr>
            <w:tcW w:w="79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440E985">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1.本项目分二次付款：</w:t>
            </w:r>
          </w:p>
          <w:p w14:paraId="212ED066">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（1）第一次付款</w:t>
            </w:r>
            <w:r>
              <w:rPr>
                <w:rFonts w:hint="eastAsia" w:ascii="仿宋" w:hAnsi="仿宋" w:eastAsia="仿宋" w:cs="仿宋"/>
                <w:color w:val="auto"/>
                <w:sz w:val="24"/>
                <w:highlight w:val="none"/>
                <w:lang w:eastAsia="zh-CN"/>
              </w:rPr>
              <w:t>：自合同签订后10个工作日内，采购人向乙方支付50%合同款</w:t>
            </w:r>
            <w:r>
              <w:rPr>
                <w:rFonts w:hint="eastAsia" w:ascii="仿宋" w:hAnsi="仿宋" w:eastAsia="仿宋" w:cs="仿宋"/>
                <w:color w:val="auto"/>
                <w:sz w:val="24"/>
                <w:highlight w:val="none"/>
                <w:lang w:val="en-US" w:eastAsia="zh-CN"/>
              </w:rPr>
              <w:t>；</w:t>
            </w:r>
          </w:p>
          <w:p w14:paraId="7718C50E">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第二次付款</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项目整体服务完毕且验收合格后支付50%合同款</w:t>
            </w:r>
            <w:r>
              <w:rPr>
                <w:rFonts w:hint="eastAsia" w:ascii="仿宋" w:hAnsi="仿宋" w:eastAsia="仿宋" w:cs="仿宋"/>
                <w:color w:val="auto"/>
                <w:sz w:val="24"/>
                <w:highlight w:val="none"/>
                <w:lang w:eastAsia="zh-CN"/>
              </w:rPr>
              <w:t>。</w:t>
            </w:r>
          </w:p>
          <w:p w14:paraId="764806BC">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2.每次</w:t>
            </w:r>
            <w:r>
              <w:rPr>
                <w:rFonts w:hint="eastAsia" w:ascii="仿宋" w:hAnsi="仿宋" w:eastAsia="仿宋" w:cs="仿宋"/>
                <w:color w:val="auto"/>
                <w:sz w:val="24"/>
                <w:highlight w:val="none"/>
              </w:rPr>
              <w:t>付款前，成交供应商开具</w:t>
            </w:r>
            <w:r>
              <w:rPr>
                <w:rFonts w:hint="eastAsia" w:ascii="仿宋" w:hAnsi="仿宋" w:eastAsia="仿宋" w:cs="仿宋"/>
                <w:color w:val="auto"/>
                <w:sz w:val="24"/>
                <w:highlight w:val="none"/>
                <w:lang w:val="en-US" w:eastAsia="zh-CN"/>
              </w:rPr>
              <w:t>合法、</w:t>
            </w:r>
            <w:r>
              <w:rPr>
                <w:rFonts w:hint="eastAsia" w:ascii="仿宋" w:hAnsi="仿宋" w:eastAsia="仿宋" w:cs="仿宋"/>
                <w:color w:val="auto"/>
                <w:sz w:val="24"/>
                <w:highlight w:val="none"/>
              </w:rPr>
              <w:t>等额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有效的</w:t>
            </w:r>
            <w:r>
              <w:rPr>
                <w:rFonts w:hint="eastAsia" w:ascii="仿宋" w:hAnsi="仿宋" w:eastAsia="仿宋" w:cs="仿宋"/>
                <w:color w:val="auto"/>
                <w:sz w:val="24"/>
                <w:highlight w:val="none"/>
              </w:rPr>
              <w:t>增值税发票给采购人。</w:t>
            </w:r>
          </w:p>
        </w:tc>
      </w:tr>
      <w:tr w14:paraId="2709B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349" w:type="dxa"/>
            <w:tcBorders>
              <w:top w:val="single" w:color="auto" w:sz="4" w:space="0"/>
              <w:left w:val="single" w:color="auto" w:sz="4" w:space="0"/>
              <w:bottom w:val="single" w:color="auto" w:sz="4" w:space="0"/>
              <w:right w:val="single" w:color="auto" w:sz="4" w:space="0"/>
              <w:tl2br w:val="nil"/>
              <w:tr2bl w:val="nil"/>
            </w:tcBorders>
            <w:vAlign w:val="center"/>
          </w:tcPr>
          <w:p w14:paraId="21904BC8">
            <w:pPr>
              <w:pStyle w:val="72"/>
              <w:spacing w:line="360" w:lineRule="auto"/>
              <w:ind w:firstLine="0" w:firstLineChars="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其他要求</w:t>
            </w:r>
          </w:p>
        </w:tc>
        <w:tc>
          <w:tcPr>
            <w:tcW w:w="79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3E7B67D">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1.采购人享有本项目产出的视频和图片等广告素材，成片和高清无字幕版本的版权、使用权、延伸使用及改编创作的权利。</w:t>
            </w:r>
          </w:p>
          <w:p w14:paraId="10F9407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2.成交人必须承诺项目实施中的任何一个环节，如需修改调整，均无条件根据要求完善。如重大调整，双方沟通协商。</w:t>
            </w:r>
          </w:p>
          <w:p w14:paraId="20B53CC5">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3.供应商须为本项目服务实施投入充足的服务人员，并确保响应文件中的人员信息真实、有效，未经采购人同意不得自行更换项目实施人员。</w:t>
            </w:r>
          </w:p>
          <w:p w14:paraId="4E682A8A">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过程中所有服务行为、</w:t>
            </w:r>
            <w:r>
              <w:rPr>
                <w:rFonts w:hint="eastAsia" w:ascii="仿宋" w:hAnsi="仿宋" w:eastAsia="仿宋" w:cs="仿宋"/>
                <w:color w:val="auto"/>
                <w:sz w:val="24"/>
                <w:highlight w:val="none"/>
                <w:lang w:val="en-US" w:eastAsia="zh-CN"/>
              </w:rPr>
              <w:t>广告素材</w:t>
            </w:r>
            <w:r>
              <w:rPr>
                <w:rFonts w:hint="eastAsia" w:ascii="仿宋" w:hAnsi="仿宋" w:eastAsia="仿宋" w:cs="仿宋"/>
                <w:color w:val="auto"/>
                <w:sz w:val="24"/>
                <w:highlight w:val="none"/>
              </w:rPr>
              <w:t>等均不涉及任何法律纠纷。采购人在中华人民共和国境内使用</w:t>
            </w:r>
            <w:r>
              <w:rPr>
                <w:rFonts w:hint="eastAsia" w:ascii="仿宋" w:hAnsi="仿宋" w:eastAsia="仿宋" w:cs="仿宋"/>
                <w:color w:val="auto"/>
                <w:sz w:val="24"/>
                <w:highlight w:val="none"/>
                <w:lang w:val="en-US" w:eastAsia="zh-CN"/>
              </w:rPr>
              <w:t>成交供应商</w:t>
            </w:r>
            <w:r>
              <w:rPr>
                <w:rFonts w:hint="eastAsia" w:ascii="仿宋" w:hAnsi="仿宋" w:eastAsia="仿宋" w:cs="仿宋"/>
                <w:color w:val="auto"/>
                <w:sz w:val="24"/>
                <w:highlight w:val="none"/>
              </w:rPr>
              <w:t>提供的服务时免受第三方提出的侵权起诉。如果第三方提出侵权指控，</w:t>
            </w:r>
            <w:r>
              <w:rPr>
                <w:rFonts w:hint="eastAsia" w:ascii="仿宋" w:hAnsi="仿宋" w:eastAsia="仿宋" w:cs="仿宋"/>
                <w:color w:val="auto"/>
                <w:sz w:val="24"/>
                <w:highlight w:val="none"/>
                <w:lang w:val="en-US" w:eastAsia="zh-CN"/>
              </w:rPr>
              <w:t>由</w:t>
            </w:r>
            <w:r>
              <w:rPr>
                <w:rFonts w:hint="eastAsia" w:ascii="仿宋" w:hAnsi="仿宋" w:eastAsia="仿宋" w:cs="仿宋"/>
                <w:color w:val="auto"/>
                <w:sz w:val="24"/>
                <w:highlight w:val="none"/>
              </w:rPr>
              <w:t>成交</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承担由此而引起的一切法律责任和费用</w:t>
            </w:r>
            <w:r>
              <w:rPr>
                <w:rFonts w:hint="eastAsia" w:ascii="仿宋" w:hAnsi="仿宋" w:eastAsia="仿宋" w:cs="仿宋"/>
                <w:color w:val="auto"/>
                <w:sz w:val="24"/>
                <w:highlight w:val="none"/>
                <w:lang w:eastAsia="zh-CN"/>
              </w:rPr>
              <w:t>。</w:t>
            </w:r>
          </w:p>
        </w:tc>
      </w:tr>
    </w:tbl>
    <w:p w14:paraId="3BBDA745">
      <w:pPr>
        <w:pStyle w:val="26"/>
        <w:rPr>
          <w:rFonts w:ascii="仿宋" w:hAnsi="仿宋" w:eastAsia="仿宋" w:cs="仿宋"/>
          <w:color w:val="auto"/>
          <w:sz w:val="24"/>
          <w:highlight w:val="none"/>
          <w:u w:val="single"/>
        </w:rPr>
      </w:pPr>
    </w:p>
    <w:p w14:paraId="4C5CCBE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59B962EB">
      <w:pPr>
        <w:pStyle w:val="18"/>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附表：</w:t>
      </w:r>
    </w:p>
    <w:p w14:paraId="6BB21E2F">
      <w:pPr>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中小微企业划型标准</w:t>
      </w:r>
    </w:p>
    <w:p w14:paraId="516E73D1">
      <w:pPr>
        <w:ind w:left="1871"/>
        <w:rPr>
          <w:rFonts w:ascii="仿宋" w:hAnsi="仿宋" w:eastAsia="仿宋" w:cs="仿宋"/>
          <w:color w:val="auto"/>
          <w:szCs w:val="21"/>
          <w:highlight w:val="none"/>
        </w:rPr>
      </w:pPr>
    </w:p>
    <w:tbl>
      <w:tblPr>
        <w:tblStyle w:val="29"/>
        <w:tblW w:w="9257" w:type="dxa"/>
        <w:jc w:val="center"/>
        <w:tblLayout w:type="fixed"/>
        <w:tblCellMar>
          <w:top w:w="0" w:type="dxa"/>
          <w:left w:w="108" w:type="dxa"/>
          <w:bottom w:w="0" w:type="dxa"/>
          <w:right w:w="108" w:type="dxa"/>
        </w:tblCellMar>
      </w:tblPr>
      <w:tblGrid>
        <w:gridCol w:w="1973"/>
        <w:gridCol w:w="1604"/>
        <w:gridCol w:w="1058"/>
        <w:gridCol w:w="1879"/>
        <w:gridCol w:w="1670"/>
        <w:gridCol w:w="1073"/>
      </w:tblGrid>
      <w:tr w14:paraId="5412EE06">
        <w:tblPrEx>
          <w:tblCellMar>
            <w:top w:w="0" w:type="dxa"/>
            <w:left w:w="108" w:type="dxa"/>
            <w:bottom w:w="0" w:type="dxa"/>
            <w:right w:w="108" w:type="dxa"/>
          </w:tblCellMar>
        </w:tblPrEx>
        <w:trPr>
          <w:trHeight w:val="401"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6583BC9">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604" w:type="dxa"/>
            <w:tcBorders>
              <w:top w:val="single" w:color="auto" w:sz="4" w:space="0"/>
              <w:left w:val="nil"/>
              <w:bottom w:val="single" w:color="auto" w:sz="4" w:space="0"/>
              <w:right w:val="single" w:color="auto" w:sz="4" w:space="0"/>
            </w:tcBorders>
            <w:vAlign w:val="center"/>
          </w:tcPr>
          <w:p w14:paraId="1F3B9366">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1058" w:type="dxa"/>
            <w:tcBorders>
              <w:top w:val="single" w:color="auto" w:sz="4" w:space="0"/>
              <w:left w:val="nil"/>
              <w:bottom w:val="single" w:color="auto" w:sz="4" w:space="0"/>
              <w:right w:val="single" w:color="auto" w:sz="4" w:space="0"/>
            </w:tcBorders>
            <w:vAlign w:val="center"/>
          </w:tcPr>
          <w:p w14:paraId="667BBAC1">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79" w:type="dxa"/>
            <w:tcBorders>
              <w:top w:val="single" w:color="auto" w:sz="4" w:space="0"/>
              <w:left w:val="nil"/>
              <w:bottom w:val="single" w:color="auto" w:sz="4" w:space="0"/>
              <w:right w:val="single" w:color="auto" w:sz="4" w:space="0"/>
            </w:tcBorders>
            <w:vAlign w:val="center"/>
          </w:tcPr>
          <w:p w14:paraId="16616EC3">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670" w:type="dxa"/>
            <w:tcBorders>
              <w:top w:val="single" w:color="auto" w:sz="4" w:space="0"/>
              <w:left w:val="nil"/>
              <w:bottom w:val="single" w:color="auto" w:sz="4" w:space="0"/>
              <w:right w:val="single" w:color="auto" w:sz="4" w:space="0"/>
            </w:tcBorders>
            <w:vAlign w:val="center"/>
          </w:tcPr>
          <w:p w14:paraId="4826F83F">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073" w:type="dxa"/>
            <w:tcBorders>
              <w:top w:val="single" w:color="auto" w:sz="4" w:space="0"/>
              <w:left w:val="nil"/>
              <w:bottom w:val="single" w:color="auto" w:sz="4" w:space="0"/>
              <w:right w:val="single" w:color="auto" w:sz="4" w:space="0"/>
            </w:tcBorders>
            <w:vAlign w:val="center"/>
          </w:tcPr>
          <w:p w14:paraId="4F9054CA">
            <w:pPr>
              <w:widowControl/>
              <w:jc w:val="center"/>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24633AD6">
        <w:tblPrEx>
          <w:tblCellMar>
            <w:top w:w="0" w:type="dxa"/>
            <w:left w:w="108" w:type="dxa"/>
            <w:bottom w:w="0" w:type="dxa"/>
            <w:right w:w="108" w:type="dxa"/>
          </w:tblCellMar>
        </w:tblPrEx>
        <w:trPr>
          <w:trHeight w:val="230" w:hRule="atLeast"/>
          <w:jc w:val="center"/>
        </w:trPr>
        <w:tc>
          <w:tcPr>
            <w:tcW w:w="1973" w:type="dxa"/>
            <w:tcBorders>
              <w:top w:val="nil"/>
              <w:left w:val="single" w:color="auto" w:sz="4" w:space="0"/>
              <w:bottom w:val="single" w:color="auto" w:sz="4" w:space="0"/>
              <w:right w:val="single" w:color="auto" w:sz="4" w:space="0"/>
            </w:tcBorders>
            <w:vAlign w:val="bottom"/>
          </w:tcPr>
          <w:p w14:paraId="70B60232">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604" w:type="dxa"/>
            <w:tcBorders>
              <w:top w:val="nil"/>
              <w:left w:val="nil"/>
              <w:bottom w:val="single" w:color="auto" w:sz="4" w:space="0"/>
              <w:right w:val="single" w:color="auto" w:sz="4" w:space="0"/>
            </w:tcBorders>
            <w:vAlign w:val="center"/>
          </w:tcPr>
          <w:p w14:paraId="14F4002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701B4A7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7A0C181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70" w:type="dxa"/>
            <w:tcBorders>
              <w:top w:val="nil"/>
              <w:left w:val="nil"/>
              <w:bottom w:val="single" w:color="auto" w:sz="4" w:space="0"/>
              <w:right w:val="single" w:color="auto" w:sz="4" w:space="0"/>
            </w:tcBorders>
            <w:vAlign w:val="center"/>
          </w:tcPr>
          <w:p w14:paraId="4D4FFEF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073" w:type="dxa"/>
            <w:tcBorders>
              <w:top w:val="nil"/>
              <w:left w:val="nil"/>
              <w:bottom w:val="single" w:color="auto" w:sz="4" w:space="0"/>
              <w:right w:val="single" w:color="auto" w:sz="4" w:space="0"/>
            </w:tcBorders>
            <w:vAlign w:val="center"/>
          </w:tcPr>
          <w:p w14:paraId="11DA58B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11D69E17">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4A96C972">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604" w:type="dxa"/>
            <w:tcBorders>
              <w:top w:val="nil"/>
              <w:left w:val="nil"/>
              <w:bottom w:val="single" w:color="auto" w:sz="4" w:space="0"/>
              <w:right w:val="single" w:color="auto" w:sz="4" w:space="0"/>
            </w:tcBorders>
            <w:vAlign w:val="center"/>
          </w:tcPr>
          <w:p w14:paraId="58D4F0D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6BC0AA6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324ED9B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70" w:type="dxa"/>
            <w:tcBorders>
              <w:top w:val="nil"/>
              <w:left w:val="nil"/>
              <w:bottom w:val="single" w:color="auto" w:sz="4" w:space="0"/>
              <w:right w:val="single" w:color="auto" w:sz="4" w:space="0"/>
            </w:tcBorders>
            <w:vAlign w:val="center"/>
          </w:tcPr>
          <w:p w14:paraId="76258FB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73" w:type="dxa"/>
            <w:tcBorders>
              <w:top w:val="nil"/>
              <w:left w:val="nil"/>
              <w:bottom w:val="single" w:color="auto" w:sz="4" w:space="0"/>
              <w:right w:val="single" w:color="auto" w:sz="4" w:space="0"/>
            </w:tcBorders>
            <w:vAlign w:val="center"/>
          </w:tcPr>
          <w:p w14:paraId="6235FC5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2697981B">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7C77CC8D">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1699DDD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1171584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20008EF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670" w:type="dxa"/>
            <w:tcBorders>
              <w:top w:val="nil"/>
              <w:left w:val="nil"/>
              <w:bottom w:val="single" w:color="auto" w:sz="4" w:space="0"/>
              <w:right w:val="single" w:color="auto" w:sz="4" w:space="0"/>
            </w:tcBorders>
            <w:vAlign w:val="center"/>
          </w:tcPr>
          <w:p w14:paraId="732E5E4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073" w:type="dxa"/>
            <w:tcBorders>
              <w:top w:val="nil"/>
              <w:left w:val="nil"/>
              <w:bottom w:val="single" w:color="auto" w:sz="4" w:space="0"/>
              <w:right w:val="single" w:color="auto" w:sz="4" w:space="0"/>
            </w:tcBorders>
            <w:vAlign w:val="center"/>
          </w:tcPr>
          <w:p w14:paraId="37775BF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849FDC7">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01187986">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604" w:type="dxa"/>
            <w:tcBorders>
              <w:top w:val="nil"/>
              <w:left w:val="nil"/>
              <w:bottom w:val="single" w:color="auto" w:sz="4" w:space="0"/>
              <w:right w:val="single" w:color="auto" w:sz="4" w:space="0"/>
            </w:tcBorders>
            <w:vAlign w:val="center"/>
          </w:tcPr>
          <w:p w14:paraId="7C163F7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520D68C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00FB036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670" w:type="dxa"/>
            <w:tcBorders>
              <w:top w:val="nil"/>
              <w:left w:val="nil"/>
              <w:bottom w:val="single" w:color="auto" w:sz="4" w:space="0"/>
              <w:right w:val="single" w:color="auto" w:sz="4" w:space="0"/>
            </w:tcBorders>
            <w:vAlign w:val="center"/>
          </w:tcPr>
          <w:p w14:paraId="291DA78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073" w:type="dxa"/>
            <w:tcBorders>
              <w:top w:val="nil"/>
              <w:left w:val="nil"/>
              <w:bottom w:val="single" w:color="auto" w:sz="4" w:space="0"/>
              <w:right w:val="single" w:color="auto" w:sz="4" w:space="0"/>
            </w:tcBorders>
            <w:vAlign w:val="center"/>
          </w:tcPr>
          <w:p w14:paraId="3B8BCC2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522766D">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34AE8F58">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6DE2192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58" w:type="dxa"/>
            <w:tcBorders>
              <w:top w:val="nil"/>
              <w:left w:val="nil"/>
              <w:bottom w:val="single" w:color="auto" w:sz="4" w:space="0"/>
              <w:right w:val="single" w:color="auto" w:sz="4" w:space="0"/>
            </w:tcBorders>
            <w:vAlign w:val="center"/>
          </w:tcPr>
          <w:p w14:paraId="50ACE3D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6813A81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670" w:type="dxa"/>
            <w:tcBorders>
              <w:top w:val="nil"/>
              <w:left w:val="nil"/>
              <w:bottom w:val="single" w:color="auto" w:sz="4" w:space="0"/>
              <w:right w:val="single" w:color="auto" w:sz="4" w:space="0"/>
            </w:tcBorders>
            <w:vAlign w:val="center"/>
          </w:tcPr>
          <w:p w14:paraId="2C98E6F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073" w:type="dxa"/>
            <w:tcBorders>
              <w:top w:val="nil"/>
              <w:left w:val="nil"/>
              <w:bottom w:val="single" w:color="auto" w:sz="4" w:space="0"/>
              <w:right w:val="single" w:color="auto" w:sz="4" w:space="0"/>
            </w:tcBorders>
            <w:vAlign w:val="center"/>
          </w:tcPr>
          <w:p w14:paraId="5DFE762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037A2E7A">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4BA46C0E">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604" w:type="dxa"/>
            <w:tcBorders>
              <w:top w:val="nil"/>
              <w:left w:val="nil"/>
              <w:bottom w:val="single" w:color="auto" w:sz="4" w:space="0"/>
              <w:right w:val="single" w:color="auto" w:sz="4" w:space="0"/>
            </w:tcBorders>
            <w:vAlign w:val="center"/>
          </w:tcPr>
          <w:p w14:paraId="3C51621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483223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746F62F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670" w:type="dxa"/>
            <w:tcBorders>
              <w:top w:val="nil"/>
              <w:left w:val="nil"/>
              <w:bottom w:val="single" w:color="auto" w:sz="4" w:space="0"/>
              <w:right w:val="single" w:color="auto" w:sz="4" w:space="0"/>
            </w:tcBorders>
            <w:vAlign w:val="center"/>
          </w:tcPr>
          <w:p w14:paraId="16ED8D9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073" w:type="dxa"/>
            <w:tcBorders>
              <w:top w:val="nil"/>
              <w:left w:val="nil"/>
              <w:bottom w:val="single" w:color="auto" w:sz="4" w:space="0"/>
              <w:right w:val="single" w:color="auto" w:sz="4" w:space="0"/>
            </w:tcBorders>
            <w:vAlign w:val="center"/>
          </w:tcPr>
          <w:p w14:paraId="24DA5D3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5C59DA5">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2456E4CC">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70457BC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098202B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185DC61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670" w:type="dxa"/>
            <w:tcBorders>
              <w:top w:val="nil"/>
              <w:left w:val="nil"/>
              <w:bottom w:val="single" w:color="auto" w:sz="4" w:space="0"/>
              <w:right w:val="single" w:color="auto" w:sz="4" w:space="0"/>
            </w:tcBorders>
            <w:vAlign w:val="center"/>
          </w:tcPr>
          <w:p w14:paraId="468A273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073" w:type="dxa"/>
            <w:tcBorders>
              <w:top w:val="nil"/>
              <w:left w:val="nil"/>
              <w:bottom w:val="single" w:color="auto" w:sz="4" w:space="0"/>
              <w:right w:val="single" w:color="auto" w:sz="4" w:space="0"/>
            </w:tcBorders>
            <w:vAlign w:val="center"/>
          </w:tcPr>
          <w:p w14:paraId="74D360D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17E2F01E">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1380C900">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604" w:type="dxa"/>
            <w:tcBorders>
              <w:top w:val="nil"/>
              <w:left w:val="nil"/>
              <w:bottom w:val="single" w:color="auto" w:sz="4" w:space="0"/>
              <w:right w:val="single" w:color="auto" w:sz="4" w:space="0"/>
            </w:tcBorders>
            <w:vAlign w:val="center"/>
          </w:tcPr>
          <w:p w14:paraId="75B80F1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D00623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1036191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670" w:type="dxa"/>
            <w:tcBorders>
              <w:top w:val="nil"/>
              <w:left w:val="nil"/>
              <w:bottom w:val="single" w:color="auto" w:sz="4" w:space="0"/>
              <w:right w:val="single" w:color="auto" w:sz="4" w:space="0"/>
            </w:tcBorders>
            <w:vAlign w:val="center"/>
          </w:tcPr>
          <w:p w14:paraId="5644E02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073" w:type="dxa"/>
            <w:tcBorders>
              <w:top w:val="nil"/>
              <w:left w:val="nil"/>
              <w:bottom w:val="single" w:color="auto" w:sz="4" w:space="0"/>
              <w:right w:val="single" w:color="auto" w:sz="4" w:space="0"/>
            </w:tcBorders>
            <w:vAlign w:val="center"/>
          </w:tcPr>
          <w:p w14:paraId="069B2EC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29CA017">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16FCD111">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13EF30A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1930A9E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0F36510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670" w:type="dxa"/>
            <w:tcBorders>
              <w:top w:val="nil"/>
              <w:left w:val="nil"/>
              <w:bottom w:val="single" w:color="auto" w:sz="4" w:space="0"/>
              <w:right w:val="single" w:color="auto" w:sz="4" w:space="0"/>
            </w:tcBorders>
            <w:vAlign w:val="center"/>
          </w:tcPr>
          <w:p w14:paraId="2D45755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073" w:type="dxa"/>
            <w:tcBorders>
              <w:top w:val="nil"/>
              <w:left w:val="nil"/>
              <w:bottom w:val="single" w:color="auto" w:sz="4" w:space="0"/>
              <w:right w:val="single" w:color="auto" w:sz="4" w:space="0"/>
            </w:tcBorders>
            <w:vAlign w:val="center"/>
          </w:tcPr>
          <w:p w14:paraId="1BB5E95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4EFD1EA">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56CDF404">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604" w:type="dxa"/>
            <w:tcBorders>
              <w:top w:val="nil"/>
              <w:left w:val="nil"/>
              <w:bottom w:val="single" w:color="auto" w:sz="4" w:space="0"/>
              <w:right w:val="single" w:color="auto" w:sz="4" w:space="0"/>
            </w:tcBorders>
            <w:vAlign w:val="center"/>
          </w:tcPr>
          <w:p w14:paraId="66F46BC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2D9A81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7C6C67B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70" w:type="dxa"/>
            <w:tcBorders>
              <w:top w:val="nil"/>
              <w:left w:val="nil"/>
              <w:bottom w:val="single" w:color="auto" w:sz="4" w:space="0"/>
              <w:right w:val="single" w:color="auto" w:sz="4" w:space="0"/>
            </w:tcBorders>
            <w:vAlign w:val="center"/>
          </w:tcPr>
          <w:p w14:paraId="45E8DE9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73" w:type="dxa"/>
            <w:tcBorders>
              <w:top w:val="nil"/>
              <w:left w:val="nil"/>
              <w:bottom w:val="single" w:color="auto" w:sz="4" w:space="0"/>
              <w:right w:val="single" w:color="auto" w:sz="4" w:space="0"/>
            </w:tcBorders>
            <w:vAlign w:val="center"/>
          </w:tcPr>
          <w:p w14:paraId="2A9E33C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4EF91E1">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324EC948">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1D9383E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07D6BF7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745E19F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670" w:type="dxa"/>
            <w:tcBorders>
              <w:top w:val="nil"/>
              <w:left w:val="nil"/>
              <w:bottom w:val="single" w:color="auto" w:sz="4" w:space="0"/>
              <w:right w:val="single" w:color="auto" w:sz="4" w:space="0"/>
            </w:tcBorders>
            <w:vAlign w:val="center"/>
          </w:tcPr>
          <w:p w14:paraId="1037544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073" w:type="dxa"/>
            <w:tcBorders>
              <w:top w:val="nil"/>
              <w:left w:val="nil"/>
              <w:bottom w:val="single" w:color="auto" w:sz="4" w:space="0"/>
              <w:right w:val="single" w:color="auto" w:sz="4" w:space="0"/>
            </w:tcBorders>
            <w:vAlign w:val="center"/>
          </w:tcPr>
          <w:p w14:paraId="330688D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3ACACE55">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61CCA2F9">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604" w:type="dxa"/>
            <w:tcBorders>
              <w:top w:val="nil"/>
              <w:left w:val="nil"/>
              <w:bottom w:val="single" w:color="auto" w:sz="4" w:space="0"/>
              <w:right w:val="single" w:color="auto" w:sz="4" w:space="0"/>
            </w:tcBorders>
            <w:vAlign w:val="center"/>
          </w:tcPr>
          <w:p w14:paraId="601509E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8B34E3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49A64CC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670" w:type="dxa"/>
            <w:tcBorders>
              <w:top w:val="nil"/>
              <w:left w:val="nil"/>
              <w:bottom w:val="single" w:color="auto" w:sz="4" w:space="0"/>
              <w:right w:val="single" w:color="auto" w:sz="4" w:space="0"/>
            </w:tcBorders>
            <w:vAlign w:val="center"/>
          </w:tcPr>
          <w:p w14:paraId="5F1A7AA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073" w:type="dxa"/>
            <w:tcBorders>
              <w:top w:val="nil"/>
              <w:left w:val="nil"/>
              <w:bottom w:val="single" w:color="auto" w:sz="4" w:space="0"/>
              <w:right w:val="single" w:color="auto" w:sz="4" w:space="0"/>
            </w:tcBorders>
            <w:vAlign w:val="center"/>
          </w:tcPr>
          <w:p w14:paraId="4F1932A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FD21D1F">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015CC465">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302625A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3CC6610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2142359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670" w:type="dxa"/>
            <w:tcBorders>
              <w:top w:val="nil"/>
              <w:left w:val="nil"/>
              <w:bottom w:val="single" w:color="auto" w:sz="4" w:space="0"/>
              <w:right w:val="single" w:color="auto" w:sz="4" w:space="0"/>
            </w:tcBorders>
            <w:vAlign w:val="center"/>
          </w:tcPr>
          <w:p w14:paraId="38CCF63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73" w:type="dxa"/>
            <w:tcBorders>
              <w:top w:val="nil"/>
              <w:left w:val="nil"/>
              <w:bottom w:val="single" w:color="auto" w:sz="4" w:space="0"/>
              <w:right w:val="single" w:color="auto" w:sz="4" w:space="0"/>
            </w:tcBorders>
            <w:vAlign w:val="center"/>
          </w:tcPr>
          <w:p w14:paraId="475D44E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E0D9C7E">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518B85F7">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604" w:type="dxa"/>
            <w:tcBorders>
              <w:top w:val="nil"/>
              <w:left w:val="nil"/>
              <w:bottom w:val="single" w:color="auto" w:sz="4" w:space="0"/>
              <w:right w:val="single" w:color="auto" w:sz="4" w:space="0"/>
            </w:tcBorders>
            <w:vAlign w:val="center"/>
          </w:tcPr>
          <w:p w14:paraId="7054835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EA6966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55A63B5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70" w:type="dxa"/>
            <w:tcBorders>
              <w:top w:val="nil"/>
              <w:left w:val="nil"/>
              <w:bottom w:val="single" w:color="auto" w:sz="4" w:space="0"/>
              <w:right w:val="single" w:color="auto" w:sz="4" w:space="0"/>
            </w:tcBorders>
            <w:vAlign w:val="center"/>
          </w:tcPr>
          <w:p w14:paraId="4291FFD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073" w:type="dxa"/>
            <w:tcBorders>
              <w:top w:val="nil"/>
              <w:left w:val="nil"/>
              <w:bottom w:val="single" w:color="auto" w:sz="4" w:space="0"/>
              <w:right w:val="single" w:color="auto" w:sz="4" w:space="0"/>
            </w:tcBorders>
            <w:vAlign w:val="center"/>
          </w:tcPr>
          <w:p w14:paraId="64581BD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6787C41">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363E0078">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37944A8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14F8CF7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7EB316D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670" w:type="dxa"/>
            <w:tcBorders>
              <w:top w:val="nil"/>
              <w:left w:val="nil"/>
              <w:bottom w:val="single" w:color="auto" w:sz="4" w:space="0"/>
              <w:right w:val="single" w:color="auto" w:sz="4" w:space="0"/>
            </w:tcBorders>
            <w:vAlign w:val="center"/>
          </w:tcPr>
          <w:p w14:paraId="2039F0A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73" w:type="dxa"/>
            <w:tcBorders>
              <w:top w:val="nil"/>
              <w:left w:val="nil"/>
              <w:bottom w:val="single" w:color="auto" w:sz="4" w:space="0"/>
              <w:right w:val="single" w:color="auto" w:sz="4" w:space="0"/>
            </w:tcBorders>
            <w:vAlign w:val="center"/>
          </w:tcPr>
          <w:p w14:paraId="3A12213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546B3FD">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44783451">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604" w:type="dxa"/>
            <w:tcBorders>
              <w:top w:val="nil"/>
              <w:left w:val="nil"/>
              <w:bottom w:val="single" w:color="auto" w:sz="4" w:space="0"/>
              <w:right w:val="single" w:color="auto" w:sz="4" w:space="0"/>
            </w:tcBorders>
            <w:vAlign w:val="center"/>
          </w:tcPr>
          <w:p w14:paraId="35AC133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3313A8B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03F6A17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62CDEF0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0304B58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DDC05DD">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4BC12413">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26111BD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055157E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113DE42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70" w:type="dxa"/>
            <w:tcBorders>
              <w:top w:val="nil"/>
              <w:left w:val="nil"/>
              <w:bottom w:val="single" w:color="auto" w:sz="4" w:space="0"/>
              <w:right w:val="single" w:color="auto" w:sz="4" w:space="0"/>
            </w:tcBorders>
            <w:vAlign w:val="center"/>
          </w:tcPr>
          <w:p w14:paraId="5A92F5B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73" w:type="dxa"/>
            <w:tcBorders>
              <w:top w:val="nil"/>
              <w:left w:val="nil"/>
              <w:bottom w:val="single" w:color="auto" w:sz="4" w:space="0"/>
              <w:right w:val="single" w:color="auto" w:sz="4" w:space="0"/>
            </w:tcBorders>
            <w:vAlign w:val="center"/>
          </w:tcPr>
          <w:p w14:paraId="08F9461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3734702C">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067E608E">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604" w:type="dxa"/>
            <w:tcBorders>
              <w:top w:val="nil"/>
              <w:left w:val="nil"/>
              <w:bottom w:val="single" w:color="auto" w:sz="4" w:space="0"/>
              <w:right w:val="single" w:color="auto" w:sz="4" w:space="0"/>
            </w:tcBorders>
            <w:vAlign w:val="center"/>
          </w:tcPr>
          <w:p w14:paraId="425AC62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3657CBF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69EB278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21E73F41">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30E1019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B66A014">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5B94537C">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288DA55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3864D9F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73C1076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670" w:type="dxa"/>
            <w:tcBorders>
              <w:top w:val="nil"/>
              <w:left w:val="nil"/>
              <w:bottom w:val="single" w:color="auto" w:sz="4" w:space="0"/>
              <w:right w:val="single" w:color="auto" w:sz="4" w:space="0"/>
            </w:tcBorders>
            <w:vAlign w:val="center"/>
          </w:tcPr>
          <w:p w14:paraId="216BA6E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073" w:type="dxa"/>
            <w:tcBorders>
              <w:top w:val="nil"/>
              <w:left w:val="nil"/>
              <w:bottom w:val="single" w:color="auto" w:sz="4" w:space="0"/>
              <w:right w:val="single" w:color="auto" w:sz="4" w:space="0"/>
            </w:tcBorders>
            <w:vAlign w:val="center"/>
          </w:tcPr>
          <w:p w14:paraId="1D2FF73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A8A1820">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3E96AAAB">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604" w:type="dxa"/>
            <w:tcBorders>
              <w:top w:val="nil"/>
              <w:left w:val="nil"/>
              <w:bottom w:val="single" w:color="auto" w:sz="4" w:space="0"/>
              <w:right w:val="single" w:color="auto" w:sz="4" w:space="0"/>
            </w:tcBorders>
            <w:vAlign w:val="center"/>
          </w:tcPr>
          <w:p w14:paraId="4ACB49A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FE3BF1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493D591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670" w:type="dxa"/>
            <w:tcBorders>
              <w:top w:val="nil"/>
              <w:left w:val="nil"/>
              <w:bottom w:val="single" w:color="auto" w:sz="4" w:space="0"/>
              <w:right w:val="single" w:color="auto" w:sz="4" w:space="0"/>
            </w:tcBorders>
            <w:vAlign w:val="center"/>
          </w:tcPr>
          <w:p w14:paraId="1B7444E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370D893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DADB123">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4DBB688D">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26E3BB9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7137C28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7A38D72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670" w:type="dxa"/>
            <w:tcBorders>
              <w:top w:val="nil"/>
              <w:left w:val="nil"/>
              <w:bottom w:val="single" w:color="auto" w:sz="4" w:space="0"/>
              <w:right w:val="single" w:color="auto" w:sz="4" w:space="0"/>
            </w:tcBorders>
            <w:vAlign w:val="center"/>
          </w:tcPr>
          <w:p w14:paraId="2CB03A3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073" w:type="dxa"/>
            <w:tcBorders>
              <w:top w:val="nil"/>
              <w:left w:val="nil"/>
              <w:bottom w:val="single" w:color="auto" w:sz="4" w:space="0"/>
              <w:right w:val="single" w:color="auto" w:sz="4" w:space="0"/>
            </w:tcBorders>
            <w:vAlign w:val="center"/>
          </w:tcPr>
          <w:p w14:paraId="6A762B3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8F24427">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6DA4E18E">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604" w:type="dxa"/>
            <w:tcBorders>
              <w:top w:val="nil"/>
              <w:left w:val="nil"/>
              <w:bottom w:val="single" w:color="auto" w:sz="4" w:space="0"/>
              <w:right w:val="single" w:color="auto" w:sz="4" w:space="0"/>
            </w:tcBorders>
            <w:vAlign w:val="center"/>
          </w:tcPr>
          <w:p w14:paraId="5B5B751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6D628D2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1EDEDB4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7326209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0EC55BF0">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49BFD2EC">
        <w:tblPrEx>
          <w:tblCellMar>
            <w:top w:w="0" w:type="dxa"/>
            <w:left w:w="108" w:type="dxa"/>
            <w:bottom w:w="0" w:type="dxa"/>
            <w:right w:w="108" w:type="dxa"/>
          </w:tblCellMar>
        </w:tblPrEx>
        <w:trPr>
          <w:trHeight w:val="114" w:hRule="exact"/>
          <w:jc w:val="center"/>
        </w:trPr>
        <w:tc>
          <w:tcPr>
            <w:tcW w:w="1973" w:type="dxa"/>
            <w:vMerge w:val="continue"/>
            <w:tcBorders>
              <w:top w:val="nil"/>
              <w:left w:val="single" w:color="auto" w:sz="4" w:space="0"/>
              <w:bottom w:val="single" w:color="auto" w:sz="4" w:space="0"/>
              <w:right w:val="single" w:color="auto" w:sz="4" w:space="0"/>
            </w:tcBorders>
            <w:vAlign w:val="center"/>
          </w:tcPr>
          <w:p w14:paraId="081F116C">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0CA2C23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6D7B5AD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7D5842B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670" w:type="dxa"/>
            <w:tcBorders>
              <w:top w:val="nil"/>
              <w:left w:val="nil"/>
              <w:bottom w:val="single" w:color="auto" w:sz="4" w:space="0"/>
              <w:right w:val="single" w:color="auto" w:sz="4" w:space="0"/>
            </w:tcBorders>
            <w:vAlign w:val="center"/>
          </w:tcPr>
          <w:p w14:paraId="5B89C17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073" w:type="dxa"/>
            <w:tcBorders>
              <w:top w:val="nil"/>
              <w:left w:val="nil"/>
              <w:bottom w:val="single" w:color="auto" w:sz="4" w:space="0"/>
              <w:right w:val="single" w:color="auto" w:sz="4" w:space="0"/>
            </w:tcBorders>
            <w:vAlign w:val="center"/>
          </w:tcPr>
          <w:p w14:paraId="7686390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4920DC95">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548B30EE">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604" w:type="dxa"/>
            <w:tcBorders>
              <w:top w:val="nil"/>
              <w:left w:val="nil"/>
              <w:bottom w:val="single" w:color="auto" w:sz="4" w:space="0"/>
              <w:right w:val="single" w:color="auto" w:sz="4" w:space="0"/>
            </w:tcBorders>
            <w:vAlign w:val="center"/>
          </w:tcPr>
          <w:p w14:paraId="438C662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75BDFA9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42361D4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670" w:type="dxa"/>
            <w:tcBorders>
              <w:top w:val="nil"/>
              <w:left w:val="nil"/>
              <w:bottom w:val="single" w:color="auto" w:sz="4" w:space="0"/>
              <w:right w:val="single" w:color="auto" w:sz="4" w:space="0"/>
            </w:tcBorders>
            <w:vAlign w:val="center"/>
          </w:tcPr>
          <w:p w14:paraId="552E916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073" w:type="dxa"/>
            <w:tcBorders>
              <w:top w:val="nil"/>
              <w:left w:val="nil"/>
              <w:bottom w:val="single" w:color="auto" w:sz="4" w:space="0"/>
              <w:right w:val="single" w:color="auto" w:sz="4" w:space="0"/>
            </w:tcBorders>
            <w:vAlign w:val="center"/>
          </w:tcPr>
          <w:p w14:paraId="6575D9D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62A60AF7">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4E2D86A2">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47AFB12C">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58" w:type="dxa"/>
            <w:tcBorders>
              <w:top w:val="nil"/>
              <w:left w:val="nil"/>
              <w:bottom w:val="single" w:color="auto" w:sz="4" w:space="0"/>
              <w:right w:val="single" w:color="auto" w:sz="4" w:space="0"/>
            </w:tcBorders>
            <w:vAlign w:val="center"/>
          </w:tcPr>
          <w:p w14:paraId="777E574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2D01080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670" w:type="dxa"/>
            <w:tcBorders>
              <w:top w:val="nil"/>
              <w:left w:val="nil"/>
              <w:bottom w:val="single" w:color="auto" w:sz="4" w:space="0"/>
              <w:right w:val="single" w:color="auto" w:sz="4" w:space="0"/>
            </w:tcBorders>
            <w:vAlign w:val="center"/>
          </w:tcPr>
          <w:p w14:paraId="0000647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073" w:type="dxa"/>
            <w:tcBorders>
              <w:top w:val="nil"/>
              <w:left w:val="nil"/>
              <w:bottom w:val="single" w:color="auto" w:sz="4" w:space="0"/>
              <w:right w:val="single" w:color="auto" w:sz="4" w:space="0"/>
            </w:tcBorders>
            <w:vAlign w:val="center"/>
          </w:tcPr>
          <w:p w14:paraId="75DB904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7CB42C54">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0B29B348">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604" w:type="dxa"/>
            <w:tcBorders>
              <w:top w:val="nil"/>
              <w:left w:val="nil"/>
              <w:bottom w:val="single" w:color="auto" w:sz="4" w:space="0"/>
              <w:right w:val="single" w:color="auto" w:sz="4" w:space="0"/>
            </w:tcBorders>
            <w:vAlign w:val="center"/>
          </w:tcPr>
          <w:p w14:paraId="6B507D1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401D585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1B33B9A2">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670" w:type="dxa"/>
            <w:tcBorders>
              <w:top w:val="nil"/>
              <w:left w:val="nil"/>
              <w:bottom w:val="single" w:color="auto" w:sz="4" w:space="0"/>
              <w:right w:val="single" w:color="auto" w:sz="4" w:space="0"/>
            </w:tcBorders>
            <w:vAlign w:val="center"/>
          </w:tcPr>
          <w:p w14:paraId="0E5396A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073" w:type="dxa"/>
            <w:tcBorders>
              <w:top w:val="nil"/>
              <w:left w:val="nil"/>
              <w:bottom w:val="single" w:color="auto" w:sz="4" w:space="0"/>
              <w:right w:val="single" w:color="auto" w:sz="4" w:space="0"/>
            </w:tcBorders>
            <w:vAlign w:val="center"/>
          </w:tcPr>
          <w:p w14:paraId="63BCB22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0F6EF211">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063096B4">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4F13220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1058" w:type="dxa"/>
            <w:tcBorders>
              <w:top w:val="nil"/>
              <w:left w:val="nil"/>
              <w:bottom w:val="single" w:color="auto" w:sz="4" w:space="0"/>
              <w:right w:val="single" w:color="auto" w:sz="4" w:space="0"/>
            </w:tcBorders>
            <w:vAlign w:val="center"/>
          </w:tcPr>
          <w:p w14:paraId="511AC1C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3780BB55">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670" w:type="dxa"/>
            <w:tcBorders>
              <w:top w:val="nil"/>
              <w:left w:val="nil"/>
              <w:bottom w:val="single" w:color="auto" w:sz="4" w:space="0"/>
              <w:right w:val="single" w:color="auto" w:sz="4" w:space="0"/>
            </w:tcBorders>
            <w:vAlign w:val="center"/>
          </w:tcPr>
          <w:p w14:paraId="42A730C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073" w:type="dxa"/>
            <w:tcBorders>
              <w:top w:val="nil"/>
              <w:left w:val="nil"/>
              <w:bottom w:val="single" w:color="auto" w:sz="4" w:space="0"/>
              <w:right w:val="single" w:color="auto" w:sz="4" w:space="0"/>
            </w:tcBorders>
            <w:vAlign w:val="center"/>
          </w:tcPr>
          <w:p w14:paraId="5ADBEB4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3236D4DC">
        <w:tblPrEx>
          <w:tblCellMar>
            <w:top w:w="0" w:type="dxa"/>
            <w:left w:w="108" w:type="dxa"/>
            <w:bottom w:w="0" w:type="dxa"/>
            <w:right w:w="108" w:type="dxa"/>
          </w:tblCellMar>
        </w:tblPrEx>
        <w:trPr>
          <w:trHeight w:val="230" w:hRule="atLeast"/>
          <w:jc w:val="center"/>
        </w:trPr>
        <w:tc>
          <w:tcPr>
            <w:tcW w:w="1973" w:type="dxa"/>
            <w:vMerge w:val="restart"/>
            <w:tcBorders>
              <w:top w:val="nil"/>
              <w:left w:val="single" w:color="auto" w:sz="4" w:space="0"/>
              <w:bottom w:val="single" w:color="auto" w:sz="4" w:space="0"/>
              <w:right w:val="single" w:color="auto" w:sz="4" w:space="0"/>
            </w:tcBorders>
            <w:vAlign w:val="bottom"/>
          </w:tcPr>
          <w:p w14:paraId="7C6E49B4">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604" w:type="dxa"/>
            <w:tcBorders>
              <w:top w:val="nil"/>
              <w:left w:val="nil"/>
              <w:bottom w:val="single" w:color="auto" w:sz="4" w:space="0"/>
              <w:right w:val="single" w:color="auto" w:sz="4" w:space="0"/>
            </w:tcBorders>
            <w:vAlign w:val="center"/>
          </w:tcPr>
          <w:p w14:paraId="49688008">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CEC0E7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61EE5CD7">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2AEEF8E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4185F6D4">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10670C4">
        <w:tblPrEx>
          <w:tblCellMar>
            <w:top w:w="0" w:type="dxa"/>
            <w:left w:w="108" w:type="dxa"/>
            <w:bottom w:w="0" w:type="dxa"/>
            <w:right w:w="108" w:type="dxa"/>
          </w:tblCellMar>
        </w:tblPrEx>
        <w:trPr>
          <w:trHeight w:val="230" w:hRule="atLeast"/>
          <w:jc w:val="center"/>
        </w:trPr>
        <w:tc>
          <w:tcPr>
            <w:tcW w:w="1973" w:type="dxa"/>
            <w:vMerge w:val="continue"/>
            <w:tcBorders>
              <w:top w:val="nil"/>
              <w:left w:val="single" w:color="auto" w:sz="4" w:space="0"/>
              <w:bottom w:val="single" w:color="auto" w:sz="4" w:space="0"/>
              <w:right w:val="single" w:color="auto" w:sz="4" w:space="0"/>
            </w:tcBorders>
            <w:vAlign w:val="center"/>
          </w:tcPr>
          <w:p w14:paraId="5572A5E4">
            <w:pPr>
              <w:widowControl/>
              <w:jc w:val="left"/>
              <w:rPr>
                <w:rFonts w:ascii="仿宋" w:hAnsi="仿宋" w:eastAsia="仿宋" w:cs="仿宋"/>
                <w:b/>
                <w:bCs/>
                <w:color w:val="auto"/>
                <w:kern w:val="0"/>
                <w:sz w:val="18"/>
                <w:szCs w:val="18"/>
                <w:highlight w:val="none"/>
              </w:rPr>
            </w:pPr>
          </w:p>
        </w:tc>
        <w:tc>
          <w:tcPr>
            <w:tcW w:w="1604" w:type="dxa"/>
            <w:tcBorders>
              <w:top w:val="nil"/>
              <w:left w:val="nil"/>
              <w:bottom w:val="single" w:color="auto" w:sz="4" w:space="0"/>
              <w:right w:val="single" w:color="auto" w:sz="4" w:space="0"/>
            </w:tcBorders>
            <w:vAlign w:val="center"/>
          </w:tcPr>
          <w:p w14:paraId="2C8EBF33">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1058" w:type="dxa"/>
            <w:tcBorders>
              <w:top w:val="nil"/>
              <w:left w:val="nil"/>
              <w:bottom w:val="single" w:color="auto" w:sz="4" w:space="0"/>
              <w:right w:val="single" w:color="auto" w:sz="4" w:space="0"/>
            </w:tcBorders>
            <w:vAlign w:val="center"/>
          </w:tcPr>
          <w:p w14:paraId="304CE13F">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79" w:type="dxa"/>
            <w:tcBorders>
              <w:top w:val="nil"/>
              <w:left w:val="nil"/>
              <w:bottom w:val="single" w:color="auto" w:sz="4" w:space="0"/>
              <w:right w:val="single" w:color="auto" w:sz="4" w:space="0"/>
            </w:tcBorders>
            <w:vAlign w:val="center"/>
          </w:tcPr>
          <w:p w14:paraId="4F968FD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670" w:type="dxa"/>
            <w:tcBorders>
              <w:top w:val="nil"/>
              <w:left w:val="nil"/>
              <w:bottom w:val="single" w:color="auto" w:sz="4" w:space="0"/>
              <w:right w:val="single" w:color="auto" w:sz="4" w:space="0"/>
            </w:tcBorders>
            <w:vAlign w:val="center"/>
          </w:tcPr>
          <w:p w14:paraId="17B36F6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073" w:type="dxa"/>
            <w:tcBorders>
              <w:top w:val="nil"/>
              <w:left w:val="nil"/>
              <w:bottom w:val="single" w:color="auto" w:sz="4" w:space="0"/>
              <w:right w:val="single" w:color="auto" w:sz="4" w:space="0"/>
            </w:tcBorders>
            <w:vAlign w:val="center"/>
          </w:tcPr>
          <w:p w14:paraId="2BD1D9A6">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75E9DB0">
        <w:tblPrEx>
          <w:tblCellMar>
            <w:top w:w="0" w:type="dxa"/>
            <w:left w:w="108" w:type="dxa"/>
            <w:bottom w:w="0" w:type="dxa"/>
            <w:right w:w="108" w:type="dxa"/>
          </w:tblCellMar>
        </w:tblPrEx>
        <w:trPr>
          <w:trHeight w:val="240" w:hRule="atLeast"/>
          <w:jc w:val="center"/>
        </w:trPr>
        <w:tc>
          <w:tcPr>
            <w:tcW w:w="1973" w:type="dxa"/>
            <w:tcBorders>
              <w:top w:val="nil"/>
              <w:left w:val="single" w:color="auto" w:sz="4" w:space="0"/>
              <w:bottom w:val="single" w:color="auto" w:sz="4" w:space="0"/>
              <w:right w:val="single" w:color="auto" w:sz="4" w:space="0"/>
            </w:tcBorders>
            <w:vAlign w:val="bottom"/>
          </w:tcPr>
          <w:p w14:paraId="0B84E758">
            <w:pPr>
              <w:widowControl/>
              <w:jc w:val="center"/>
              <w:rPr>
                <w:rFonts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604" w:type="dxa"/>
            <w:tcBorders>
              <w:top w:val="nil"/>
              <w:left w:val="nil"/>
              <w:bottom w:val="single" w:color="auto" w:sz="4" w:space="0"/>
              <w:right w:val="single" w:color="auto" w:sz="4" w:space="0"/>
            </w:tcBorders>
            <w:vAlign w:val="center"/>
          </w:tcPr>
          <w:p w14:paraId="4981C00E">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1058" w:type="dxa"/>
            <w:tcBorders>
              <w:top w:val="nil"/>
              <w:left w:val="nil"/>
              <w:bottom w:val="single" w:color="auto" w:sz="4" w:space="0"/>
              <w:right w:val="single" w:color="auto" w:sz="4" w:space="0"/>
            </w:tcBorders>
            <w:vAlign w:val="center"/>
          </w:tcPr>
          <w:p w14:paraId="7437783D">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79" w:type="dxa"/>
            <w:tcBorders>
              <w:top w:val="nil"/>
              <w:left w:val="nil"/>
              <w:bottom w:val="single" w:color="auto" w:sz="4" w:space="0"/>
              <w:right w:val="single" w:color="auto" w:sz="4" w:space="0"/>
            </w:tcBorders>
            <w:vAlign w:val="center"/>
          </w:tcPr>
          <w:p w14:paraId="0E725209">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670" w:type="dxa"/>
            <w:tcBorders>
              <w:top w:val="nil"/>
              <w:left w:val="nil"/>
              <w:bottom w:val="single" w:color="auto" w:sz="4" w:space="0"/>
              <w:right w:val="single" w:color="auto" w:sz="4" w:space="0"/>
            </w:tcBorders>
            <w:vAlign w:val="center"/>
          </w:tcPr>
          <w:p w14:paraId="34DFEB8B">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073" w:type="dxa"/>
            <w:tcBorders>
              <w:top w:val="nil"/>
              <w:left w:val="nil"/>
              <w:bottom w:val="single" w:color="auto" w:sz="4" w:space="0"/>
              <w:right w:val="single" w:color="auto" w:sz="4" w:space="0"/>
            </w:tcBorders>
            <w:vAlign w:val="center"/>
          </w:tcPr>
          <w:p w14:paraId="1F4530EA">
            <w:pPr>
              <w:widowControl/>
              <w:jc w:val="left"/>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1F10ADE4">
      <w:pPr>
        <w:spacing w:line="360" w:lineRule="auto"/>
        <w:ind w:firstLine="525" w:firstLineChars="250"/>
        <w:rPr>
          <w:rFonts w:ascii="仿宋" w:hAnsi="仿宋" w:eastAsia="仿宋" w:cs="仿宋"/>
          <w:color w:val="auto"/>
          <w:szCs w:val="21"/>
          <w:highlight w:val="none"/>
        </w:rPr>
      </w:pPr>
    </w:p>
    <w:p w14:paraId="171B62D6">
      <w:pPr>
        <w:spacing w:line="360" w:lineRule="auto"/>
        <w:ind w:firstLine="527" w:firstLineChars="250"/>
        <w:rPr>
          <w:rFonts w:ascii="仿宋" w:hAnsi="仿宋" w:eastAsia="仿宋" w:cs="仿宋"/>
          <w:color w:val="auto"/>
          <w:szCs w:val="21"/>
          <w:highlight w:val="none"/>
        </w:rPr>
      </w:pPr>
      <w:r>
        <w:rPr>
          <w:rFonts w:hint="eastAsia" w:ascii="仿宋" w:hAnsi="仿宋" w:eastAsia="仿宋" w:cs="仿宋"/>
          <w:b/>
          <w:color w:val="auto"/>
          <w:szCs w:val="21"/>
          <w:highlight w:val="none"/>
        </w:rPr>
        <w:t>说明：</w:t>
      </w:r>
      <w:r>
        <w:rPr>
          <w:rFonts w:hint="eastAsia" w:ascii="仿宋" w:hAnsi="仿宋" w:eastAsia="仿宋" w:cs="仿宋"/>
          <w:color w:val="auto"/>
          <w:szCs w:val="21"/>
          <w:highlight w:val="none"/>
        </w:rPr>
        <w:t>上述标准参照《关于印发中小企业划型标准规定的通知》（工信部联企业[2011]300号），大型、中型和小型企业须同时满足所列指标的下限，否则下划一档；微型企业只须满足所列指标中的一项即可。</w:t>
      </w:r>
    </w:p>
    <w:p w14:paraId="15D65BF6">
      <w:pPr>
        <w:pStyle w:val="4"/>
        <w:rPr>
          <w:rFonts w:ascii="仿宋" w:hAnsi="仿宋" w:cs="仿宋"/>
          <w:color w:val="auto"/>
          <w:highlight w:val="none"/>
        </w:rPr>
      </w:pPr>
      <w:r>
        <w:rPr>
          <w:rFonts w:hint="eastAsia" w:ascii="仿宋" w:hAnsi="仿宋" w:cs="仿宋"/>
          <w:color w:val="auto"/>
          <w:highlight w:val="none"/>
        </w:rPr>
        <w:br w:type="page"/>
      </w:r>
      <w:bookmarkStart w:id="31" w:name="_Toc16830"/>
      <w:r>
        <w:rPr>
          <w:rFonts w:hint="eastAsia" w:ascii="仿宋" w:hAnsi="仿宋" w:cs="仿宋"/>
          <w:color w:val="auto"/>
          <w:highlight w:val="none"/>
        </w:rPr>
        <w:t>第四章 评审程序、评审方法和评审标准</w:t>
      </w:r>
      <w:bookmarkEnd w:id="31"/>
    </w:p>
    <w:p w14:paraId="14B9B697">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一、评审程序和评审方法</w:t>
      </w:r>
    </w:p>
    <w:p w14:paraId="27DB3E2A">
      <w:pPr>
        <w:spacing w:line="360" w:lineRule="auto"/>
        <w:ind w:firstLine="482" w:firstLineChars="200"/>
        <w:rPr>
          <w:rFonts w:ascii="仿宋" w:hAnsi="仿宋" w:eastAsia="仿宋" w:cs="仿宋"/>
          <w:b/>
          <w:bCs/>
          <w:color w:val="auto"/>
          <w:sz w:val="24"/>
          <w:highlight w:val="none"/>
        </w:rPr>
      </w:pPr>
    </w:p>
    <w:p w14:paraId="3D17AD9B">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1.资格审查</w:t>
      </w:r>
    </w:p>
    <w:p w14:paraId="7D3863FF">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1.1响应文件开启后，磋商小组依法对供应商的资格证明文件进行审查。</w:t>
      </w:r>
    </w:p>
    <w:p w14:paraId="116ECF44">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仿宋" w:hAnsi="仿宋" w:eastAsia="仿宋" w:cs="仿宋"/>
          <w:color w:val="auto"/>
          <w:sz w:val="24"/>
          <w:highlight w:val="none"/>
        </w:rPr>
        <w:t>www.ccgp.gov.cn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612D224B">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（2）信用查询截止时点：资格审查结束前</w:t>
      </w:r>
    </w:p>
    <w:p w14:paraId="3ED619F3">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（3）查询记录和证据留存方式：将查询网站中的查询记录截图并作为评审资料保存。</w:t>
      </w:r>
    </w:p>
    <w:p w14:paraId="2B534A84">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553152C">
      <w:pPr>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1.2资格审查标准为本磋商文件中载明对供应商资格要求的条件。资格审查采用合格制，凡符合磋商文件规定的供应商资格要求的响应文件均通过资格审查。</w:t>
      </w:r>
    </w:p>
    <w:p w14:paraId="7824842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1.3供应商有下列情形之一的，资格审查不通过，其响应文件按无效响应处理：</w:t>
      </w:r>
    </w:p>
    <w:p w14:paraId="69F9EEE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（1）不具备磋商文件中规定的资格要求的；</w:t>
      </w:r>
    </w:p>
    <w:p w14:paraId="7F9A6F1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（2）响应文件的资格证明文件缺少任一项“供应商须知前附表”资格证明文件规定的“必须提供”的文件资料的；</w:t>
      </w:r>
    </w:p>
    <w:p w14:paraId="29E85DE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（3）响应文件中的资格证明文件出现任一项不符合“供应商须知前附表”资格证明文件规定的“必须提供”的文件资料要求或者无效的；</w:t>
      </w:r>
    </w:p>
    <w:p w14:paraId="6383A7B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5BCB923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1.4通过资格审查的合格供应商不足3家的，不得进入符合性审查环节，采购人或者采购代理机构应当重新开展采购活动。</w:t>
      </w:r>
    </w:p>
    <w:p w14:paraId="168AF22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2.符合性审查</w:t>
      </w:r>
    </w:p>
    <w:p w14:paraId="1E2CD10A">
      <w:pPr>
        <w:spacing w:line="360" w:lineRule="auto"/>
        <w:ind w:firstLine="480" w:firstLineChars="200"/>
        <w:rPr>
          <w:rFonts w:ascii="仿宋" w:hAnsi="仿宋" w:eastAsia="仿宋" w:cs="仿宋"/>
          <w:color w:val="auto"/>
          <w:sz w:val="24"/>
          <w:highlight w:val="none"/>
        </w:rPr>
      </w:pPr>
      <w:bookmarkStart w:id="32" w:name="_Hlk42528882"/>
      <w:r>
        <w:rPr>
          <w:rFonts w:hint="eastAsia" w:ascii="仿宋" w:hAnsi="仿宋" w:eastAsia="仿宋" w:cs="仿宋"/>
          <w:color w:val="auto"/>
          <w:sz w:val="24"/>
          <w:highlight w:val="none"/>
        </w:rPr>
        <w:t>2.1由磋商小组对资格审查的合格供应商的响应文件的竞争性磋商报价、商务、技术等实质性要求进行符合性审查，以确定其是否满足磋商文件的实质性要求。</w:t>
      </w:r>
    </w:p>
    <w:bookmarkEnd w:id="32"/>
    <w:p w14:paraId="246F1A2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3DB081">
      <w:pPr>
        <w:spacing w:line="360" w:lineRule="auto"/>
        <w:ind w:firstLine="480" w:firstLineChars="200"/>
        <w:rPr>
          <w:rFonts w:ascii="仿宋" w:hAnsi="仿宋" w:eastAsia="仿宋" w:cs="仿宋"/>
          <w:color w:val="auto"/>
          <w:spacing w:val="-6"/>
          <w:sz w:val="24"/>
          <w:highlight w:val="none"/>
        </w:rPr>
      </w:pPr>
      <w:r>
        <w:rPr>
          <w:rFonts w:hint="eastAsia" w:ascii="仿宋" w:hAnsi="仿宋" w:eastAsia="仿宋" w:cs="仿宋"/>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仿宋" w:hAnsi="仿宋" w:eastAsia="仿宋" w:cs="仿宋"/>
          <w:color w:val="auto"/>
          <w:spacing w:val="-6"/>
          <w:sz w:val="24"/>
          <w:highlight w:val="none"/>
        </w:rPr>
        <w:t>。供应商为自然人的，必须由本人签字并附身份证明。</w:t>
      </w:r>
    </w:p>
    <w:p w14:paraId="43470BF9">
      <w:pPr>
        <w:spacing w:line="360" w:lineRule="auto"/>
        <w:ind w:firstLine="456" w:firstLineChars="200"/>
        <w:rPr>
          <w:rFonts w:ascii="仿宋" w:hAnsi="仿宋" w:eastAsia="仿宋" w:cs="仿宋"/>
          <w:color w:val="auto"/>
          <w:sz w:val="24"/>
          <w:highlight w:val="none"/>
        </w:rPr>
      </w:pPr>
      <w:r>
        <w:rPr>
          <w:rFonts w:hint="eastAsia" w:ascii="仿宋" w:hAnsi="仿宋" w:eastAsia="仿宋" w:cs="仿宋"/>
          <w:color w:val="auto"/>
          <w:spacing w:val="-6"/>
          <w:sz w:val="24"/>
          <w:highlight w:val="none"/>
        </w:rPr>
        <w:t>2.4</w:t>
      </w:r>
      <w:r>
        <w:rPr>
          <w:rFonts w:hint="eastAsia" w:ascii="仿宋" w:hAnsi="仿宋" w:eastAsia="仿宋" w:cs="仿宋"/>
          <w:color w:val="auto"/>
          <w:sz w:val="24"/>
          <w:highlight w:val="none"/>
        </w:rPr>
        <w:t xml:space="preserve">首次响应文件报价出现前后不一致的，按照下列规定修正： </w:t>
      </w:r>
    </w:p>
    <w:p w14:paraId="128D103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（1）响应文件中报价表内容与响应文件中相应内容不一致的，以报价表为准；</w:t>
      </w:r>
    </w:p>
    <w:p w14:paraId="2C29834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6C78FAE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（3）单价金额小数点或者百分比有明显错位的，以报价表的总价为准，并修改单价；</w:t>
      </w:r>
    </w:p>
    <w:p w14:paraId="665AFC5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121C20A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同时出现两种以上不一致的，按照以上（1）-（4）规定的顺序逐条进行修正。修正后的报价经供应商确认后产生约束力，供应商不确认的，其响应文件按无效响应处理。</w:t>
      </w:r>
    </w:p>
    <w:p w14:paraId="47ACB81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2.5商务技术报价评审</w:t>
      </w:r>
    </w:p>
    <w:p w14:paraId="7364992A">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在评审时，如发现下列情形之一的，将被视为响应文件无效响应处理：</w:t>
      </w:r>
    </w:p>
    <w:p w14:paraId="668F0F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商务技术</w:t>
      </w:r>
      <w:r>
        <w:rPr>
          <w:rFonts w:hint="eastAsia" w:ascii="仿宋" w:hAnsi="仿宋" w:eastAsia="仿宋" w:cs="仿宋"/>
          <w:color w:val="auto"/>
          <w:sz w:val="24"/>
          <w:highlight w:val="none"/>
        </w:rPr>
        <w:t>评审</w:t>
      </w:r>
    </w:p>
    <w:p w14:paraId="0EAF789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1）响应文件未按磋商文件要求签署、盖章；</w:t>
      </w:r>
    </w:p>
    <w:p w14:paraId="1FBA325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2）委托代理人未能出具有效身份证或者出具的身份证与授权委托书中的信息不符的； </w:t>
      </w:r>
    </w:p>
    <w:p w14:paraId="29FEA93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3）提交的磋商保证金无效的或者未按照磋商文件的规定提交磋商保证金；</w:t>
      </w:r>
    </w:p>
    <w:p w14:paraId="00623E6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4）响应文件中的报价</w:t>
      </w:r>
      <w:r>
        <w:rPr>
          <w:rFonts w:hint="eastAsia" w:ascii="仿宋" w:hAnsi="仿宋" w:eastAsia="仿宋" w:cs="仿宋"/>
          <w:color w:val="auto"/>
          <w:sz w:val="24"/>
          <w:highlight w:val="none"/>
          <w:lang w:eastAsia="zh-CN"/>
        </w:rPr>
        <w:t>商务技术</w:t>
      </w:r>
      <w:r>
        <w:rPr>
          <w:rFonts w:hint="eastAsia" w:ascii="仿宋" w:hAnsi="仿宋" w:eastAsia="仿宋" w:cs="仿宋"/>
          <w:color w:val="auto"/>
          <w:sz w:val="24"/>
          <w:highlight w:val="none"/>
        </w:rPr>
        <w:t>文件出现任一项不符合“供应商须知前附表”中“必须提供”或者“委托时必须提供”文件资料要求的规定或者提供的报价</w:t>
      </w:r>
      <w:r>
        <w:rPr>
          <w:rFonts w:hint="eastAsia" w:ascii="仿宋" w:hAnsi="仿宋" w:eastAsia="仿宋" w:cs="仿宋"/>
          <w:color w:val="auto"/>
          <w:sz w:val="24"/>
          <w:highlight w:val="none"/>
          <w:lang w:eastAsia="zh-CN"/>
        </w:rPr>
        <w:t>商务技术</w:t>
      </w:r>
      <w:r>
        <w:rPr>
          <w:rFonts w:hint="eastAsia" w:ascii="仿宋" w:hAnsi="仿宋" w:eastAsia="仿宋" w:cs="仿宋"/>
          <w:color w:val="auto"/>
          <w:sz w:val="24"/>
          <w:highlight w:val="none"/>
        </w:rPr>
        <w:t>文件无效。</w:t>
      </w:r>
    </w:p>
    <w:p w14:paraId="33FECD4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5）商务条款中标“▲”的条款发生负偏离或者允许负偏离的条款数超过“供应商须知前附表”规定项数的；</w:t>
      </w:r>
    </w:p>
    <w:p w14:paraId="1CDD1AB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6）未对竞争性磋商有效期作出响应或者响应文件承诺的竞争性磋商有效期不满足磋商文件要求；</w:t>
      </w:r>
    </w:p>
    <w:p w14:paraId="06F0410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7）响应文件的实质性内容未使用中文表述、使用计量单位不符合磋商文件要求；</w:t>
      </w:r>
    </w:p>
    <w:p w14:paraId="3A51A93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8）响应文件中的文件资料因填写不齐全或者内容虚假或者出现其他情形而导致被磋商小组认定无效；</w:t>
      </w:r>
    </w:p>
    <w:p w14:paraId="11C1D3C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9）响应文件含有采购人不能接受的附加条件；</w:t>
      </w:r>
    </w:p>
    <w:p w14:paraId="4E00085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10）属于“供应商须知正文”第7.5条情形；</w:t>
      </w:r>
    </w:p>
    <w:p w14:paraId="20AE418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11）技术要求中标“▲”的条款发生负偏离或允许负偏离的条款数超过“供应商须知前附表”规定项数的；</w:t>
      </w:r>
    </w:p>
    <w:p w14:paraId="33CEB1C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12）虚假响应，或者出现其他情形而导致被磋商小组认定无效；</w:t>
      </w:r>
    </w:p>
    <w:p w14:paraId="5AF40ED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w:t>
      </w:r>
      <w:bookmarkStart w:id="33" w:name="_Hlk71704147"/>
      <w:r>
        <w:rPr>
          <w:rFonts w:hint="eastAsia" w:ascii="仿宋" w:hAnsi="仿宋" w:eastAsia="仿宋" w:cs="仿宋"/>
          <w:color w:val="auto"/>
          <w:sz w:val="24"/>
          <w:highlight w:val="none"/>
        </w:rPr>
        <w:t>磋商文件未载明允许提供备选（替代）响应方案或明确不允许提供备选（替代）响应方案时，供应商提供了备选（替代）响应方案的；</w:t>
      </w:r>
      <w:bookmarkEnd w:id="33"/>
    </w:p>
    <w:p w14:paraId="1281931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14）响应文件标注的项目名称或者项目编号与磋商文件标注的项目名称或者项目编号不一致的；</w:t>
      </w:r>
    </w:p>
    <w:p w14:paraId="50FD133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15）竞争性磋商文件明确不允许分包，响应文件拟分包的；</w:t>
      </w:r>
    </w:p>
    <w:p w14:paraId="0E23FB3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16）未响应磋商文件实质性要求；</w:t>
      </w:r>
    </w:p>
    <w:p w14:paraId="16CEFE3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和磋商文件规定的其他无效情形。</w:t>
      </w:r>
    </w:p>
    <w:p w14:paraId="28625C1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（2）报价评审</w:t>
      </w:r>
    </w:p>
    <w:p w14:paraId="0DECD38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1）响应文件未提供“供应商须知前附表” 报价</w:t>
      </w:r>
      <w:r>
        <w:rPr>
          <w:rFonts w:hint="eastAsia" w:ascii="仿宋" w:hAnsi="仿宋" w:eastAsia="仿宋" w:cs="仿宋"/>
          <w:color w:val="auto"/>
          <w:sz w:val="24"/>
          <w:highlight w:val="none"/>
          <w:lang w:eastAsia="zh-CN"/>
        </w:rPr>
        <w:t>商务技术</w:t>
      </w:r>
      <w:r>
        <w:rPr>
          <w:rFonts w:hint="eastAsia" w:ascii="仿宋" w:hAnsi="仿宋" w:eastAsia="仿宋" w:cs="仿宋"/>
          <w:color w:val="auto"/>
          <w:sz w:val="24"/>
          <w:highlight w:val="none"/>
        </w:rPr>
        <w:t>文件中规定的“竞争性磋商报价表”；</w:t>
      </w:r>
    </w:p>
    <w:p w14:paraId="334F903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2）未采用人民币报价或者未按照磋商文件标明的币种报价；</w:t>
      </w:r>
    </w:p>
    <w:p w14:paraId="7C122F0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697C03E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4）竞争性磋商报价（包含首次报价、最后报价）超过所参与竞争性磋商分标规定的采购预算金额或者最高限价的（如本项目公布了最高限价），其响应文件将按无效响应处理；</w:t>
      </w:r>
    </w:p>
    <w:p w14:paraId="1A0033C3">
      <w:pPr>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sz w:val="24"/>
          <w:highlight w:val="none"/>
        </w:rPr>
        <w:t>5）竞争性磋商报价（包含首次报价、最后报价）超过分项采购预算金额或者最高限价的（如本项目公布了最高限价），其响应文件将按无效处理；</w:t>
      </w:r>
    </w:p>
    <w:p w14:paraId="15B131A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6）修正后的报价，供应商不确认的；或者经供应商确认修正后的最后报价超过所 竞争性磋商分标规定的采购预算金额或者最高限价（如本项目公布了最高限价）；</w:t>
      </w:r>
    </w:p>
    <w:p w14:paraId="1D43F3C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7）响应文件响应的标的数量及单位与竞争性磋商采购文件要求实质性不一致的。</w:t>
      </w:r>
    </w:p>
    <w:p w14:paraId="4B96E496">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磋商小组认为供应商报价过低，有可能影响产品质量或者不能诚信履约，按本章5.3条启动异常低价响应审查程序，要求供应商提供书面说明及必要的证明材料但供应商不能提供证明材料或无法证明其报价合理的，其响应文件将按无效处理。</w:t>
      </w:r>
    </w:p>
    <w:p w14:paraId="377B5F6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49B9318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2.7非政府购买服务项目，通过符合性审查的合格供应商不足3家的，不得进入磋商环节，采购人或者采购代理机构应当重新开展采购活动。</w:t>
      </w:r>
      <w:r>
        <w:rPr>
          <w:rFonts w:hint="eastAsia" w:ascii="仿宋" w:hAnsi="仿宋" w:eastAsia="仿宋" w:cs="仿宋"/>
          <w:b/>
          <w:color w:val="auto"/>
          <w:sz w:val="24"/>
          <w:highlight w:val="none"/>
        </w:rPr>
        <w:t>政府购买服务项目，按《财政部关于政府采购竞争性磋商采购方式管理暂行办法有关问题的补充通知》（财库〔2015〕124号）规定，采购过程中通过符合性审查的供应商（社会资本）只有2家的，磋商采购活动可以继续进行。</w:t>
      </w:r>
    </w:p>
    <w:p w14:paraId="7F64CED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3.磋商程序</w:t>
      </w:r>
    </w:p>
    <w:p w14:paraId="6D0A5B4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rPr>
        <w:t>3.1磋商小组按照“供应商须知前附表”</w:t>
      </w: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rPr>
        <w:t>确定的</w:t>
      </w:r>
      <w:r>
        <w:rPr>
          <w:rFonts w:hint="eastAsia" w:ascii="仿宋" w:hAnsi="仿宋" w:eastAsia="仿宋" w:cs="仿宋"/>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AAA2B2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3.2在磋商过程中，磋商小组可以根据磋商文件和磋商情况实质性变动采购需求中的</w:t>
      </w:r>
      <w:r>
        <w:rPr>
          <w:rFonts w:hint="eastAsia" w:ascii="仿宋" w:hAnsi="仿宋" w:eastAsia="仿宋" w:cs="仿宋"/>
          <w:color w:val="auto"/>
          <w:sz w:val="24"/>
          <w:highlight w:val="none"/>
          <w:lang w:eastAsia="zh-CN"/>
        </w:rPr>
        <w:t>技术、商务要求</w:t>
      </w:r>
      <w:r>
        <w:rPr>
          <w:rFonts w:hint="eastAsia" w:ascii="仿宋" w:hAnsi="仿宋" w:eastAsia="仿宋" w:cs="仿宋"/>
          <w:color w:val="auto"/>
          <w:sz w:val="24"/>
          <w:highlight w:val="none"/>
        </w:rPr>
        <w:t>以及合同草案条款，但不得变动磋商文件中的其他内容。实质性变动的内容，须经采购人代表确认。可能实质性变动的内容为采购需求中的</w:t>
      </w:r>
      <w:r>
        <w:rPr>
          <w:rFonts w:hint="eastAsia" w:ascii="仿宋" w:hAnsi="仿宋" w:eastAsia="仿宋" w:cs="仿宋"/>
          <w:color w:val="auto"/>
          <w:sz w:val="24"/>
          <w:highlight w:val="none"/>
          <w:lang w:eastAsia="zh-CN"/>
        </w:rPr>
        <w:t>技术、商务要求</w:t>
      </w:r>
      <w:r>
        <w:rPr>
          <w:rFonts w:hint="eastAsia" w:ascii="仿宋" w:hAnsi="仿宋" w:eastAsia="仿宋" w:cs="仿宋"/>
          <w:color w:val="auto"/>
          <w:sz w:val="24"/>
          <w:highlight w:val="none"/>
        </w:rPr>
        <w:t>以及合同草案条款。</w:t>
      </w:r>
    </w:p>
    <w:p w14:paraId="5305D97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3.3对磋商文件作出的实质性变动是磋商文件的有效组成部分，由磋商小组及时以电子磋商记录形式同时通知所有参加磋商的供应商。</w:t>
      </w:r>
    </w:p>
    <w:p w14:paraId="146BF6C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070A7CB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3.5磋商中，</w:t>
      </w:r>
      <w:r>
        <w:rPr>
          <w:rFonts w:hint="eastAsia" w:ascii="仿宋" w:hAnsi="仿宋" w:eastAsia="仿宋" w:cs="仿宋"/>
          <w:color w:val="auto"/>
          <w:spacing w:val="-6"/>
          <w:sz w:val="24"/>
          <w:highlight w:val="none"/>
        </w:rPr>
        <w:t>磋商的任何一方不得透露与磋商有关的其他供应商的技术资料、价格和其他信息。</w:t>
      </w:r>
    </w:p>
    <w:p w14:paraId="6DEDC916">
      <w:pPr>
        <w:tabs>
          <w:tab w:val="left" w:pos="2835"/>
        </w:tabs>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3.6对磋商过程提交的响应文件进行有效性、完整性和响应程度审查，通过审查的合格供应商不足3家的，采购人或者采购代理机构应当重新开展采购活动。</w:t>
      </w:r>
    </w:p>
    <w:p w14:paraId="22D8F459">
      <w:pPr>
        <w:widowControl/>
        <w:tabs>
          <w:tab w:val="left" w:pos="540"/>
        </w:tabs>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004B4C21">
      <w:pPr>
        <w:widowControl/>
        <w:tabs>
          <w:tab w:val="left" w:pos="540"/>
        </w:tabs>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采购过程中符合要求的供应商（社会资本）只有1家的，采购人（项目实施机构）或者采购代理机构应当终止竞争性磋商采购活动，发布项目终止公告并说明原因，重新开展采购活动。</w:t>
      </w:r>
    </w:p>
    <w:p w14:paraId="03E591FF">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bCs/>
          <w:color w:val="auto"/>
          <w:sz w:val="24"/>
          <w:highlight w:val="none"/>
        </w:rPr>
        <w:t>4.最后报价</w:t>
      </w:r>
    </w:p>
    <w:p w14:paraId="3BCE312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4.1磋商文件能够详细列明</w:t>
      </w:r>
      <w:r>
        <w:rPr>
          <w:rFonts w:hint="eastAsia" w:ascii="仿宋" w:hAnsi="仿宋" w:eastAsia="仿宋" w:cs="仿宋"/>
          <w:color w:val="auto"/>
          <w:sz w:val="24"/>
          <w:highlight w:val="none"/>
          <w:lang w:eastAsia="zh-CN"/>
        </w:rPr>
        <w:t>技术、商务要求</w:t>
      </w:r>
      <w:r>
        <w:rPr>
          <w:rFonts w:hint="eastAsia" w:ascii="仿宋" w:hAnsi="仿宋" w:eastAsia="仿宋" w:cs="仿宋"/>
          <w:color w:val="auto"/>
          <w:sz w:val="24"/>
          <w:highlight w:val="none"/>
        </w:rPr>
        <w:t>的，磋商结束后，由磋商小组要求所有继续参加磋商的供应商在规定时间内以电子文件形式提交最后报价，</w:t>
      </w:r>
      <w:r>
        <w:rPr>
          <w:rFonts w:hint="eastAsia" w:ascii="仿宋" w:hAnsi="仿宋" w:eastAsia="仿宋" w:cs="仿宋"/>
          <w:b/>
          <w:color w:val="auto"/>
          <w:sz w:val="24"/>
          <w:highlight w:val="none"/>
        </w:rPr>
        <w:t>除本章第2.7、3.7、4.3条外，提交最后报价的供应商不得少于3家，否则必须重新采购。</w:t>
      </w:r>
    </w:p>
    <w:p w14:paraId="7AE6A23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4.2磋商文件不能详细列明</w:t>
      </w:r>
      <w:r>
        <w:rPr>
          <w:rFonts w:hint="eastAsia" w:ascii="仿宋" w:hAnsi="仿宋" w:eastAsia="仿宋" w:cs="仿宋"/>
          <w:color w:val="auto"/>
          <w:sz w:val="24"/>
          <w:highlight w:val="none"/>
          <w:lang w:eastAsia="zh-CN"/>
        </w:rPr>
        <w:t>技术、商务要求</w:t>
      </w:r>
      <w:r>
        <w:rPr>
          <w:rFonts w:hint="eastAsia" w:ascii="仿宋" w:hAnsi="仿宋" w:eastAsia="仿宋" w:cs="仿宋"/>
          <w:color w:val="auto"/>
          <w:sz w:val="24"/>
          <w:highlight w:val="none"/>
        </w:rPr>
        <w:t>，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4C9AF68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4.3最后报价是供应商响应文件的有效组成部分。</w:t>
      </w:r>
      <w:r>
        <w:rPr>
          <w:rFonts w:hint="eastAsia" w:ascii="仿宋" w:hAnsi="仿宋" w:eastAsia="仿宋" w:cs="仿宋"/>
          <w:b/>
          <w:color w:val="auto"/>
          <w:sz w:val="24"/>
          <w:highlight w:val="none"/>
        </w:rPr>
        <w:t>符合《政府采购竞争性磋商采购方式管理暂行办法》（财库〔2014〕214号）第三条第四项“市场竞争不充分的科研项目，以及需要扶持的科技成果转化项目”和本章第3.7条情形的，提交最后报价的供应商可以为2家。</w:t>
      </w:r>
    </w:p>
    <w:p w14:paraId="45650FB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0896F6D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4.5供应商未在规定时间内提交最后报价的，视同退出磋商。</w:t>
      </w:r>
    </w:p>
    <w:p w14:paraId="16592D0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4.6磋商小组收齐某一分标最后报价后或达到规定时间后统一开启，磋商小组对最后报价进行有效性、完整性和响应程度的审查。</w:t>
      </w:r>
    </w:p>
    <w:p w14:paraId="0A996FB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4.7响应文件最后报价出现前后不一致的，按照本章第2.4条的规定修正。 </w:t>
      </w:r>
    </w:p>
    <w:p w14:paraId="3D55800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4.8经供应商确认修正后的最后报价作为评审及签订合同的依据。</w:t>
      </w:r>
    </w:p>
    <w:p w14:paraId="4F4FE96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宋体" w:hAnsi="宋体" w:cs="宋体"/>
          <w:color w:val="auto"/>
          <w:sz w:val="24"/>
          <w:highlight w:val="none"/>
        </w:rPr>
        <w:t>9</w:t>
      </w:r>
      <w:r>
        <w:rPr>
          <w:rFonts w:hint="eastAsia" w:ascii="仿宋" w:hAnsi="仿宋" w:eastAsia="仿宋" w:cs="仿宋"/>
          <w:color w:val="auto"/>
          <w:sz w:val="24"/>
          <w:highlight w:val="none"/>
        </w:rPr>
        <w:t>供应商出现最后报价按无效响应处理或者响应文件按无效响应处理时，磋商小组应当告知有关供应商。</w:t>
      </w:r>
    </w:p>
    <w:p w14:paraId="39B3EB3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宋体" w:hAnsi="宋体" w:cs="宋体"/>
          <w:color w:val="auto"/>
          <w:sz w:val="24"/>
          <w:highlight w:val="none"/>
        </w:rPr>
        <w:t>10</w:t>
      </w:r>
      <w:r>
        <w:rPr>
          <w:rFonts w:hint="eastAsia" w:ascii="仿宋" w:hAnsi="仿宋" w:eastAsia="仿宋" w:cs="仿宋"/>
          <w:color w:val="auto"/>
          <w:sz w:val="24"/>
          <w:highlight w:val="none"/>
        </w:rPr>
        <w:t>最后报价结束后，磋商小组不得再与供应商进行任何形式的商谈。</w:t>
      </w:r>
    </w:p>
    <w:p w14:paraId="2D0BA3CC">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5.比较与评价</w:t>
      </w:r>
    </w:p>
    <w:p w14:paraId="4533A00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5.1评审方法：综合评分法。</w:t>
      </w:r>
    </w:p>
    <w:p w14:paraId="77AE796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5.2经磋商确定最终采购需求和提交最后报价的供应商后，由磋商小组采用综合评分法对提交最后报价的供应商的响应文件和最后报价进行综合评分。</w:t>
      </w:r>
    </w:p>
    <w:p w14:paraId="29BC532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5.3评审时，磋商小组各成员应当独立对每个有效响应的文件进行评价、打分，然后汇总每个供应商每项评分因素的得分。</w:t>
      </w:r>
    </w:p>
    <w:p w14:paraId="765F79CD">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（1）评审中出现下列情形之一的，磋商小组</w:t>
      </w:r>
      <w:r>
        <w:rPr>
          <w:rFonts w:hint="eastAsia" w:ascii="仿宋" w:hAnsi="仿宋" w:eastAsia="仿宋" w:cs="仿宋"/>
          <w:b/>
          <w:bCs/>
          <w:color w:val="auto"/>
          <w:sz w:val="24"/>
          <w:highlight w:val="none"/>
          <w:lang w:val="en-US" w:eastAsia="zh-CN"/>
        </w:rPr>
        <w:t>将</w:t>
      </w:r>
      <w:r>
        <w:rPr>
          <w:rFonts w:hint="eastAsia" w:ascii="仿宋" w:hAnsi="仿宋" w:eastAsia="仿宋" w:cs="仿宋"/>
          <w:b/>
          <w:bCs/>
          <w:color w:val="auto"/>
          <w:sz w:val="24"/>
          <w:highlight w:val="none"/>
        </w:rPr>
        <w:t>启动异常低价响应审查程序：</w:t>
      </w:r>
    </w:p>
    <w:p w14:paraId="53967825">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1）响应报价＜全部通过符合性审查供应商响应报价平均值×50%；</w:t>
      </w:r>
    </w:p>
    <w:p w14:paraId="09A15188">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2）响应报价＜通过符合性审查的次低报价供应商响应报价×50%；</w:t>
      </w:r>
    </w:p>
    <w:p w14:paraId="27E73C1F">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3）响应报价＜采购项目最高限价×45%；</w:t>
      </w:r>
    </w:p>
    <w:p w14:paraId="2BDFC637">
      <w:pPr>
        <w:spacing w:line="360" w:lineRule="auto"/>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4）磋商小组基于专业判断，认为供应商报价过低，有可能影响产品质量或者不能诚信履约的其他情形。</w:t>
      </w:r>
    </w:p>
    <w:p w14:paraId="3FA1D23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磋商小组启动异常低价响应审查后，属于前述第1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至第4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情形的，应当要求相关供应商在合理的时间内对响应价格作出解释，提供项目具体成本测算等与报价合理性相关的书面说明及必要的证明材料，包括但不限于原材料成本、人工成本、制造费用等，给予相关供应商的合理时间一般不少于30分钟。其中，属于第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情形，供应商已随响应文件一并提交相关书面说明及必要的证明材料的，在评审</w:t>
      </w:r>
      <w:r>
        <w:rPr>
          <w:rFonts w:hint="eastAsia" w:ascii="仿宋" w:hAnsi="仿宋" w:eastAsia="仿宋" w:cs="仿宋"/>
          <w:color w:val="auto"/>
          <w:sz w:val="24"/>
          <w:highlight w:val="none"/>
          <w:lang w:val="en-US" w:eastAsia="zh-CN"/>
        </w:rPr>
        <w:t>时</w:t>
      </w:r>
      <w:r>
        <w:rPr>
          <w:rFonts w:hint="eastAsia" w:ascii="仿宋" w:hAnsi="仿宋" w:eastAsia="仿宋" w:cs="仿宋"/>
          <w:color w:val="auto"/>
          <w:sz w:val="24"/>
          <w:highlight w:val="none"/>
        </w:rPr>
        <w:t>可不再重复提交。</w:t>
      </w:r>
    </w:p>
    <w:p w14:paraId="3835939C">
      <w:pPr>
        <w:spacing w:line="360" w:lineRule="auto"/>
        <w:ind w:firstLine="480" w:firstLineChars="200"/>
        <w:rPr>
          <w:rFonts w:ascii="仿宋" w:hAnsi="仿宋" w:eastAsia="仿宋" w:cs="仿宋"/>
          <w:b/>
          <w:bCs/>
          <w:color w:val="auto"/>
          <w:sz w:val="24"/>
          <w:highlight w:val="none"/>
        </w:rPr>
      </w:pPr>
      <w:r>
        <w:rPr>
          <w:rFonts w:hint="eastAsia" w:ascii="仿宋" w:hAnsi="仿宋" w:eastAsia="仿宋" w:cs="仿宋"/>
          <w:color w:val="auto"/>
          <w:sz w:val="24"/>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cs="仿宋"/>
          <w:b/>
          <w:bCs/>
          <w:color w:val="auto"/>
          <w:sz w:val="24"/>
          <w:highlight w:val="none"/>
        </w:rPr>
        <w:t>供应商不能提供书面说明、证明材料，或者提供的书面说明、证明材料不能证明其报价合理性的，磋商小组将其作为无效响应处理。</w:t>
      </w:r>
    </w:p>
    <w:p w14:paraId="115B065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64BCCF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异常低价响应审查的启动原因、审查意见和审查结果应当在评审报告中记录，并随供应商提供的相关书面说明及证明材料，以及磋商小组有关互联网浏览、查询历史一并归档。</w:t>
      </w:r>
    </w:p>
    <w:p w14:paraId="4F9E5F4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（2）磋商小组按照磋商文件中规定的评审标准计算各供应商的报价得分。项目评审过程中，不得去掉最后报价中的最高报价和最低报价。</w:t>
      </w:r>
    </w:p>
    <w:p w14:paraId="0BE8928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ascii="宋体" w:hAnsi="宋体" w:cs="宋体"/>
          <w:color w:val="auto"/>
          <w:sz w:val="24"/>
          <w:highlight w:val="none"/>
        </w:rPr>
        <w:t>3</w:t>
      </w:r>
      <w:r>
        <w:rPr>
          <w:rFonts w:hint="eastAsia" w:ascii="仿宋" w:hAnsi="仿宋" w:eastAsia="仿宋" w:cs="仿宋"/>
          <w:color w:val="auto"/>
          <w:sz w:val="24"/>
          <w:highlight w:val="none"/>
        </w:rPr>
        <w:t>）各供应商的得分为磋商小组所有成员的有效评分的算术平均数。</w:t>
      </w:r>
    </w:p>
    <w:p w14:paraId="1B29FBB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5.4评审价为供应商的最后报价进行政策性扣除后的价格，评审价只是作为评审时使用。最终成交供应商的成交金额等于最后报价（如有修正，以确认修正后的最后报价为准）。</w:t>
      </w:r>
    </w:p>
    <w:p w14:paraId="774431A8">
      <w:pPr>
        <w:spacing w:line="360" w:lineRule="auto"/>
        <w:ind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5.5由磋商小组根据综合评分情况，按照评审得分由高到低顺序推荐3名以上成交候选供应商，并编写评</w:t>
      </w:r>
      <w:r>
        <w:rPr>
          <w:rFonts w:hint="eastAsia" w:ascii="仿宋" w:hAnsi="仿宋" w:eastAsia="仿宋" w:cs="仿宋"/>
          <w:color w:val="auto"/>
          <w:kern w:val="0"/>
          <w:sz w:val="24"/>
          <w:highlight w:val="none"/>
        </w:rPr>
        <w:t>审报告。</w:t>
      </w:r>
      <w:r>
        <w:rPr>
          <w:rFonts w:hint="eastAsia" w:ascii="仿宋" w:hAnsi="仿宋" w:eastAsia="仿宋" w:cs="仿宋"/>
          <w:b/>
          <w:color w:val="auto"/>
          <w:kern w:val="0"/>
          <w:sz w:val="24"/>
          <w:highlight w:val="none"/>
        </w:rPr>
        <w:t>符合本章第</w:t>
      </w:r>
      <w:r>
        <w:rPr>
          <w:rFonts w:hint="eastAsia" w:ascii="仿宋" w:hAnsi="仿宋" w:eastAsia="仿宋" w:cs="仿宋"/>
          <w:b/>
          <w:color w:val="auto"/>
          <w:sz w:val="24"/>
          <w:highlight w:val="none"/>
        </w:rPr>
        <w:t>2.7、3.7、4.3</w:t>
      </w:r>
      <w:r>
        <w:rPr>
          <w:rFonts w:hint="eastAsia" w:ascii="仿宋" w:hAnsi="仿宋" w:eastAsia="仿宋" w:cs="仿宋"/>
          <w:b/>
          <w:color w:val="auto"/>
          <w:kern w:val="0"/>
          <w:sz w:val="24"/>
          <w:highlight w:val="none"/>
        </w:rPr>
        <w:t>条情形的，可以推荐2家成交候选供应商。</w:t>
      </w:r>
      <w:r>
        <w:rPr>
          <w:rFonts w:hint="eastAsia" w:ascii="仿宋" w:hAnsi="仿宋" w:eastAsia="仿宋" w:cs="仿宋"/>
          <w:color w:val="auto"/>
          <w:kern w:val="0"/>
          <w:sz w:val="24"/>
          <w:highlight w:val="none"/>
        </w:rPr>
        <w:t>评审得分相同的，按照最后报价由低到高的顺序推荐。评审得分且最后报价相同的，</w:t>
      </w:r>
      <w:r>
        <w:rPr>
          <w:rFonts w:hint="eastAsia" w:ascii="仿宋" w:hAnsi="仿宋" w:eastAsia="仿宋" w:cs="仿宋"/>
          <w:color w:val="auto"/>
          <w:sz w:val="24"/>
          <w:highlight w:val="none"/>
        </w:rPr>
        <w:t>依次按服务评分高的优先、商务评分高的优先的顺序确定成交候选供应商。</w:t>
      </w:r>
    </w:p>
    <w:p w14:paraId="262EF54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6B78E8">
      <w:pPr>
        <w:spacing w:line="360" w:lineRule="auto"/>
        <w:jc w:val="center"/>
        <w:rPr>
          <w:rFonts w:ascii="仿宋" w:hAnsi="仿宋" w:eastAsia="仿宋" w:cs="仿宋"/>
          <w:b/>
          <w:color w:val="auto"/>
          <w:sz w:val="32"/>
          <w:szCs w:val="32"/>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2"/>
          <w:szCs w:val="32"/>
          <w:highlight w:val="none"/>
        </w:rPr>
        <w:t>二、评审标准</w:t>
      </w:r>
    </w:p>
    <w:p w14:paraId="067E8953">
      <w:pPr>
        <w:spacing w:line="360" w:lineRule="auto"/>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评审依据：磋商小组将以磋商响应文件为评审依据，对供应商的报价、商务、</w:t>
      </w:r>
      <w:r>
        <w:rPr>
          <w:rFonts w:hint="eastAsia" w:ascii="仿宋" w:hAnsi="仿宋" w:eastAsia="仿宋" w:cs="仿宋"/>
          <w:bCs/>
          <w:color w:val="auto"/>
          <w:sz w:val="24"/>
          <w:highlight w:val="none"/>
          <w:lang w:val="en-US" w:eastAsia="zh-CN"/>
        </w:rPr>
        <w:t>技术</w:t>
      </w:r>
      <w:r>
        <w:rPr>
          <w:rFonts w:hint="eastAsia" w:ascii="仿宋" w:hAnsi="仿宋" w:eastAsia="仿宋" w:cs="仿宋"/>
          <w:bCs/>
          <w:color w:val="auto"/>
          <w:sz w:val="24"/>
          <w:highlight w:val="none"/>
        </w:rPr>
        <w:t>要求等方面内容按百分制打分。（计分方法按四舍五入取至百分位）</w:t>
      </w:r>
    </w:p>
    <w:tbl>
      <w:tblPr>
        <w:tblStyle w:val="2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196"/>
        <w:gridCol w:w="6402"/>
      </w:tblGrid>
      <w:tr w14:paraId="16A4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FCCF5F2">
            <w:pPr>
              <w:adjustRightInd w:val="0"/>
              <w:spacing w:line="360" w:lineRule="auto"/>
              <w:jc w:val="center"/>
              <w:textAlignment w:val="baseline"/>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578E5BBB">
            <w:pPr>
              <w:adjustRightInd w:val="0"/>
              <w:spacing w:line="360" w:lineRule="auto"/>
              <w:jc w:val="center"/>
              <w:textAlignment w:val="baseline"/>
              <w:rPr>
                <w:rFonts w:ascii="仿宋" w:hAnsi="仿宋" w:eastAsia="仿宋" w:cs="仿宋"/>
                <w:b/>
                <w:bCs/>
                <w:color w:val="auto"/>
                <w:sz w:val="24"/>
                <w:highlight w:val="none"/>
              </w:rPr>
            </w:pPr>
            <w:r>
              <w:rPr>
                <w:rFonts w:hint="eastAsia" w:ascii="仿宋" w:hAnsi="仿宋" w:eastAsia="仿宋" w:cs="仿宋"/>
                <w:b/>
                <w:bCs/>
                <w:color w:val="auto"/>
                <w:sz w:val="24"/>
                <w:highlight w:val="none"/>
              </w:rPr>
              <w:t>评审因素</w:t>
            </w:r>
          </w:p>
        </w:tc>
        <w:tc>
          <w:tcPr>
            <w:tcW w:w="1196" w:type="dxa"/>
            <w:tcBorders>
              <w:top w:val="single" w:color="auto" w:sz="4" w:space="0"/>
              <w:left w:val="single" w:color="auto" w:sz="4" w:space="0"/>
              <w:bottom w:val="single" w:color="auto" w:sz="4" w:space="0"/>
              <w:right w:val="single" w:color="auto" w:sz="4" w:space="0"/>
            </w:tcBorders>
            <w:vAlign w:val="center"/>
          </w:tcPr>
          <w:p w14:paraId="50E8561C">
            <w:pPr>
              <w:adjustRightInd w:val="0"/>
              <w:spacing w:line="360" w:lineRule="auto"/>
              <w:jc w:val="center"/>
              <w:textAlignment w:val="baseline"/>
              <w:rPr>
                <w:rFonts w:ascii="仿宋" w:hAnsi="仿宋" w:eastAsia="仿宋" w:cs="仿宋"/>
                <w:b/>
                <w:bCs/>
                <w:color w:val="auto"/>
                <w:sz w:val="24"/>
                <w:highlight w:val="none"/>
              </w:rPr>
            </w:pPr>
            <w:r>
              <w:rPr>
                <w:rFonts w:hint="eastAsia" w:ascii="仿宋" w:hAnsi="仿宋" w:eastAsia="仿宋" w:cs="仿宋"/>
                <w:b/>
                <w:bCs/>
                <w:color w:val="auto"/>
                <w:sz w:val="24"/>
                <w:highlight w:val="none"/>
              </w:rPr>
              <w:t>分值</w:t>
            </w:r>
          </w:p>
        </w:tc>
        <w:tc>
          <w:tcPr>
            <w:tcW w:w="6402" w:type="dxa"/>
            <w:tcBorders>
              <w:top w:val="single" w:color="auto" w:sz="4" w:space="0"/>
              <w:left w:val="single" w:color="auto" w:sz="4" w:space="0"/>
              <w:bottom w:val="single" w:color="auto" w:sz="4" w:space="0"/>
              <w:right w:val="single" w:color="auto" w:sz="4" w:space="0"/>
            </w:tcBorders>
            <w:vAlign w:val="center"/>
          </w:tcPr>
          <w:p w14:paraId="498DD3A7">
            <w:pPr>
              <w:pStyle w:val="18"/>
              <w:spacing w:line="360" w:lineRule="auto"/>
              <w:jc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评分标准</w:t>
            </w:r>
          </w:p>
        </w:tc>
      </w:tr>
      <w:tr w14:paraId="151F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74237F8A">
            <w:pPr>
              <w:adjustRightInd w:val="0"/>
              <w:spacing w:line="360" w:lineRule="auto"/>
              <w:jc w:val="center"/>
              <w:textAlignment w:val="baseline"/>
              <w:rPr>
                <w:rFonts w:ascii="仿宋" w:hAnsi="仿宋" w:eastAsia="仿宋" w:cs="仿宋"/>
                <w:bCs/>
                <w:color w:val="auto"/>
                <w:sz w:val="24"/>
                <w:highlight w:val="none"/>
              </w:rPr>
            </w:pPr>
            <w:r>
              <w:rPr>
                <w:rFonts w:hint="eastAsia" w:ascii="仿宋" w:hAnsi="仿宋" w:eastAsia="仿宋" w:cs="仿宋"/>
                <w:bCs/>
                <w:color w:val="auto"/>
                <w:sz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64E39B02">
            <w:pPr>
              <w:adjustRightInd w:val="0"/>
              <w:spacing w:line="360" w:lineRule="exact"/>
              <w:jc w:val="center"/>
              <w:textAlignment w:val="baseline"/>
              <w:rPr>
                <w:rFonts w:ascii="仿宋" w:hAnsi="仿宋" w:eastAsia="仿宋" w:cs="仿宋"/>
                <w:b/>
                <w:bCs/>
                <w:color w:val="auto"/>
                <w:sz w:val="24"/>
                <w:highlight w:val="none"/>
              </w:rPr>
            </w:pPr>
            <w:r>
              <w:rPr>
                <w:rFonts w:hint="eastAsia" w:ascii="仿宋" w:hAnsi="仿宋" w:eastAsia="仿宋" w:cs="仿宋"/>
                <w:b/>
                <w:bCs/>
                <w:color w:val="auto"/>
                <w:sz w:val="24"/>
                <w:highlight w:val="none"/>
              </w:rPr>
              <w:t>价格分</w:t>
            </w:r>
          </w:p>
          <w:p w14:paraId="0EB0BFB2">
            <w:pPr>
              <w:adjustRightInd w:val="0"/>
              <w:spacing w:line="360" w:lineRule="exact"/>
              <w:jc w:val="center"/>
              <w:textAlignment w:val="baseline"/>
              <w:rPr>
                <w:rFonts w:ascii="仿宋" w:hAnsi="仿宋" w:eastAsia="仿宋" w:cs="仿宋"/>
                <w:b/>
                <w:bCs/>
                <w:color w:val="auto"/>
                <w:sz w:val="24"/>
                <w:highlight w:val="none"/>
              </w:rPr>
            </w:pPr>
            <w:r>
              <w:rPr>
                <w:rFonts w:hint="eastAsia" w:ascii="仿宋" w:hAnsi="仿宋" w:eastAsia="仿宋" w:cs="仿宋"/>
                <w:b/>
                <w:bCs/>
                <w:color w:val="auto"/>
                <w:sz w:val="24"/>
                <w:highlight w:val="none"/>
              </w:rPr>
              <w:t>（满分</w:t>
            </w:r>
            <w:r>
              <w:rPr>
                <w:rFonts w:hint="eastAsia" w:ascii="仿宋" w:hAnsi="仿宋" w:eastAsia="仿宋" w:cs="仿宋"/>
                <w:b/>
                <w:bCs/>
                <w:color w:val="auto"/>
                <w:sz w:val="24"/>
                <w:highlight w:val="none"/>
                <w:u w:val="single"/>
                <w:lang w:val="en-US" w:eastAsia="zh-CN"/>
              </w:rPr>
              <w:t>10</w:t>
            </w:r>
            <w:r>
              <w:rPr>
                <w:rFonts w:hint="eastAsia" w:ascii="仿宋" w:hAnsi="仿宋" w:eastAsia="仿宋" w:cs="仿宋"/>
                <w:b/>
                <w:bCs/>
                <w:color w:val="auto"/>
                <w:sz w:val="24"/>
                <w:highlight w:val="none"/>
              </w:rPr>
              <w:t>分）</w:t>
            </w:r>
          </w:p>
          <w:p w14:paraId="478F0659">
            <w:pPr>
              <w:adjustRightInd w:val="0"/>
              <w:spacing w:line="360" w:lineRule="auto"/>
              <w:jc w:val="left"/>
              <w:textAlignment w:val="baseline"/>
              <w:rPr>
                <w:rFonts w:ascii="仿宋" w:hAnsi="仿宋" w:eastAsia="仿宋" w:cs="仿宋"/>
                <w:bCs/>
                <w:color w:val="auto"/>
                <w:sz w:val="24"/>
                <w:highlight w:val="none"/>
              </w:rPr>
            </w:pPr>
          </w:p>
        </w:tc>
        <w:tc>
          <w:tcPr>
            <w:tcW w:w="1196" w:type="dxa"/>
            <w:tcBorders>
              <w:top w:val="single" w:color="auto" w:sz="4" w:space="0"/>
              <w:left w:val="single" w:color="auto" w:sz="4" w:space="0"/>
              <w:bottom w:val="single" w:color="auto" w:sz="4" w:space="0"/>
              <w:right w:val="single" w:color="auto" w:sz="4" w:space="0"/>
            </w:tcBorders>
            <w:vAlign w:val="center"/>
          </w:tcPr>
          <w:p w14:paraId="1626B734">
            <w:pPr>
              <w:adjustRightInd w:val="0"/>
              <w:spacing w:line="360" w:lineRule="auto"/>
              <w:jc w:val="center"/>
              <w:textAlignment w:val="baseline"/>
              <w:rPr>
                <w:rFonts w:ascii="仿宋" w:hAnsi="仿宋" w:eastAsia="仿宋" w:cs="仿宋"/>
                <w:bCs/>
                <w:color w:val="auto"/>
                <w:sz w:val="24"/>
                <w:highlight w:val="none"/>
              </w:rPr>
            </w:pPr>
            <w:r>
              <w:rPr>
                <w:rFonts w:hint="eastAsia" w:ascii="仿宋" w:hAnsi="仿宋" w:eastAsia="仿宋" w:cs="仿宋"/>
                <w:b/>
                <w:bCs/>
                <w:color w:val="auto"/>
                <w:sz w:val="24"/>
                <w:highlight w:val="none"/>
              </w:rPr>
              <w:t>报价（满分</w:t>
            </w:r>
            <w:r>
              <w:rPr>
                <w:rFonts w:hint="eastAsia" w:ascii="仿宋" w:hAnsi="仿宋" w:eastAsia="仿宋" w:cs="仿宋"/>
                <w:b/>
                <w:bCs/>
                <w:color w:val="auto"/>
                <w:sz w:val="24"/>
                <w:highlight w:val="none"/>
                <w:lang w:val="en-US" w:eastAsia="zh-CN"/>
              </w:rPr>
              <w:t>10</w:t>
            </w:r>
            <w:r>
              <w:rPr>
                <w:rFonts w:hint="eastAsia" w:ascii="仿宋" w:hAnsi="仿宋" w:eastAsia="仿宋" w:cs="仿宋"/>
                <w:b/>
                <w:bCs/>
                <w:color w:val="auto"/>
                <w:sz w:val="24"/>
                <w:highlight w:val="none"/>
              </w:rPr>
              <w:t>分）</w:t>
            </w:r>
          </w:p>
        </w:tc>
        <w:tc>
          <w:tcPr>
            <w:tcW w:w="6402" w:type="dxa"/>
            <w:tcBorders>
              <w:top w:val="single" w:color="auto" w:sz="4" w:space="0"/>
              <w:left w:val="single" w:color="auto" w:sz="4" w:space="0"/>
              <w:bottom w:val="single" w:color="auto" w:sz="4" w:space="0"/>
              <w:right w:val="single" w:color="auto" w:sz="4" w:space="0"/>
            </w:tcBorders>
            <w:vAlign w:val="center"/>
          </w:tcPr>
          <w:p w14:paraId="1044BFD8">
            <w:pPr>
              <w:pStyle w:val="18"/>
              <w:spacing w:line="360" w:lineRule="auto"/>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w:t>
            </w:r>
            <w:r>
              <w:rPr>
                <w:rFonts w:hint="eastAsia" w:ascii="仿宋" w:hAnsi="仿宋" w:eastAsia="仿宋" w:cs="仿宋"/>
                <w:bCs/>
                <w:color w:val="auto"/>
                <w:kern w:val="2"/>
                <w:sz w:val="24"/>
                <w:szCs w:val="24"/>
                <w:highlight w:val="none"/>
                <w:lang w:val="en-US" w:eastAsia="zh-CN"/>
              </w:rPr>
              <w:t>本项目专门面向小微企业采购，合格供应商不享受政策价格扣除；</w:t>
            </w:r>
            <w:r>
              <w:rPr>
                <w:rFonts w:hint="eastAsia" w:ascii="仿宋" w:hAnsi="仿宋" w:eastAsia="仿宋" w:cs="仿宋"/>
                <w:bCs/>
                <w:color w:val="auto"/>
                <w:kern w:val="2"/>
                <w:sz w:val="24"/>
                <w:szCs w:val="24"/>
                <w:highlight w:val="none"/>
              </w:rPr>
              <w:t>评审价为供应商的最后报价。</w:t>
            </w:r>
          </w:p>
          <w:p w14:paraId="39A0DCAD">
            <w:pPr>
              <w:pStyle w:val="18"/>
              <w:spacing w:line="360" w:lineRule="auto"/>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w:t>
            </w:r>
            <w:r>
              <w:rPr>
                <w:rFonts w:hint="eastAsia" w:ascii="仿宋" w:hAnsi="仿宋" w:eastAsia="仿宋" w:cs="仿宋"/>
                <w:bCs/>
                <w:color w:val="auto"/>
                <w:sz w:val="24"/>
                <w:szCs w:val="24"/>
                <w:highlight w:val="none"/>
              </w:rPr>
              <w:t>报价分采用低价优先法计算，满足磋商文件要求且评审价最低的有效供应商的评审价为基准价，其价格分为满分。</w:t>
            </w:r>
          </w:p>
          <w:p w14:paraId="1B202872">
            <w:pPr>
              <w:pStyle w:val="18"/>
              <w:spacing w:line="360" w:lineRule="auto"/>
              <w:rPr>
                <w:rFonts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lang w:val="en-US" w:eastAsia="zh-CN"/>
              </w:rPr>
              <w:t>3</w:t>
            </w:r>
            <w:r>
              <w:rPr>
                <w:rFonts w:hint="eastAsia" w:ascii="仿宋" w:hAnsi="仿宋" w:eastAsia="仿宋" w:cs="仿宋"/>
                <w:bCs/>
                <w:color w:val="auto"/>
                <w:kern w:val="2"/>
                <w:sz w:val="24"/>
                <w:szCs w:val="24"/>
                <w:highlight w:val="none"/>
              </w:rPr>
              <w:t>.</w:t>
            </w:r>
            <w:r>
              <w:rPr>
                <w:rFonts w:hint="eastAsia" w:ascii="仿宋" w:hAnsi="仿宋" w:eastAsia="仿宋" w:cs="仿宋"/>
                <w:bCs/>
                <w:color w:val="auto"/>
                <w:sz w:val="24"/>
                <w:szCs w:val="24"/>
                <w:highlight w:val="none"/>
              </w:rPr>
              <w:t>其他供应商的价格分统一按照下列公式计算：</w:t>
            </w:r>
          </w:p>
          <w:p w14:paraId="53D8EB73">
            <w:pPr>
              <w:spacing w:line="360" w:lineRule="auto"/>
              <w:rPr>
                <w:rFonts w:ascii="仿宋" w:hAnsi="仿宋" w:eastAsia="仿宋" w:cs="仿宋"/>
                <w:bCs/>
                <w:color w:val="auto"/>
                <w:sz w:val="24"/>
                <w:highlight w:val="none"/>
              </w:rPr>
            </w:pPr>
            <w:r>
              <w:rPr>
                <w:rFonts w:hint="eastAsia" w:ascii="仿宋" w:hAnsi="仿宋" w:eastAsia="仿宋" w:cs="仿宋"/>
                <w:bCs/>
                <w:color w:val="auto"/>
                <w:sz w:val="24"/>
                <w:highlight w:val="none"/>
              </w:rPr>
              <w:t>某供应商的价格分=（评审基准价／某供应商评审价）×</w:t>
            </w:r>
            <w:r>
              <w:rPr>
                <w:rFonts w:hint="eastAsia" w:ascii="仿宋" w:hAnsi="仿宋" w:eastAsia="仿宋" w:cs="仿宋"/>
                <w:bCs/>
                <w:color w:val="auto"/>
                <w:sz w:val="24"/>
                <w:highlight w:val="none"/>
                <w:lang w:val="en-US" w:eastAsia="zh-CN"/>
              </w:rPr>
              <w:t>10</w:t>
            </w:r>
            <w:r>
              <w:rPr>
                <w:rFonts w:hint="eastAsia" w:ascii="仿宋" w:hAnsi="仿宋" w:eastAsia="仿宋" w:cs="仿宋"/>
                <w:bCs/>
                <w:color w:val="auto"/>
                <w:sz w:val="24"/>
                <w:highlight w:val="none"/>
              </w:rPr>
              <w:t>分</w:t>
            </w:r>
          </w:p>
        </w:tc>
      </w:tr>
      <w:tr w14:paraId="17C5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tcBorders>
              <w:top w:val="single" w:color="auto" w:sz="4" w:space="0"/>
              <w:left w:val="single" w:color="auto" w:sz="4" w:space="0"/>
              <w:right w:val="single" w:color="auto" w:sz="4" w:space="0"/>
            </w:tcBorders>
            <w:vAlign w:val="center"/>
          </w:tcPr>
          <w:p w14:paraId="1D64082B">
            <w:pPr>
              <w:adjustRightInd w:val="0"/>
              <w:spacing w:line="360" w:lineRule="auto"/>
              <w:jc w:val="center"/>
              <w:textAlignment w:val="baseline"/>
              <w:rPr>
                <w:rFonts w:ascii="仿宋" w:hAnsi="仿宋" w:eastAsia="仿宋" w:cs="仿宋"/>
                <w:bCs/>
                <w:color w:val="auto"/>
                <w:sz w:val="24"/>
                <w:highlight w:val="none"/>
              </w:rPr>
            </w:pPr>
            <w:r>
              <w:rPr>
                <w:rFonts w:hint="eastAsia" w:ascii="仿宋" w:hAnsi="仿宋" w:eastAsia="仿宋" w:cs="仿宋"/>
                <w:bCs/>
                <w:color w:val="auto"/>
                <w:sz w:val="24"/>
                <w:highlight w:val="none"/>
              </w:rPr>
              <w:t>2</w:t>
            </w:r>
          </w:p>
        </w:tc>
        <w:tc>
          <w:tcPr>
            <w:tcW w:w="1418" w:type="dxa"/>
            <w:vMerge w:val="restart"/>
            <w:tcBorders>
              <w:top w:val="single" w:color="auto" w:sz="4" w:space="0"/>
              <w:left w:val="single" w:color="auto" w:sz="4" w:space="0"/>
              <w:right w:val="single" w:color="auto" w:sz="4" w:space="0"/>
            </w:tcBorders>
            <w:vAlign w:val="center"/>
          </w:tcPr>
          <w:p w14:paraId="2A1BCB17">
            <w:pPr>
              <w:adjustRightInd w:val="0"/>
              <w:snapToGrid w:val="0"/>
              <w:spacing w:line="360" w:lineRule="atLeast"/>
              <w:ind w:left="-105" w:leftChars="-50" w:right="-105" w:rightChars="-50"/>
              <w:jc w:val="center"/>
              <w:textAlignment w:val="baseline"/>
              <w:rPr>
                <w:rFonts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技术</w:t>
            </w:r>
            <w:r>
              <w:rPr>
                <w:rFonts w:hint="eastAsia" w:ascii="仿宋" w:hAnsi="仿宋" w:eastAsia="仿宋" w:cs="仿宋"/>
                <w:bCs/>
                <w:color w:val="auto"/>
                <w:sz w:val="24"/>
                <w:highlight w:val="none"/>
              </w:rPr>
              <w:t>分</w:t>
            </w:r>
          </w:p>
          <w:p w14:paraId="7E86AD60">
            <w:pPr>
              <w:adjustRightInd w:val="0"/>
              <w:spacing w:line="360" w:lineRule="auto"/>
              <w:jc w:val="center"/>
              <w:textAlignment w:val="baseline"/>
              <w:rPr>
                <w:rFonts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满分</w:t>
            </w:r>
            <w:r>
              <w:rPr>
                <w:rFonts w:hint="eastAsia" w:ascii="仿宋" w:hAnsi="仿宋" w:eastAsia="仿宋" w:cs="仿宋"/>
                <w:color w:val="auto"/>
                <w:sz w:val="24"/>
                <w:highlight w:val="none"/>
                <w:u w:val="single"/>
                <w:lang w:val="en-US" w:eastAsia="zh-CN"/>
              </w:rPr>
              <w:t>80</w:t>
            </w:r>
            <w:r>
              <w:rPr>
                <w:rFonts w:hint="eastAsia" w:ascii="仿宋" w:hAnsi="仿宋" w:eastAsia="仿宋" w:cs="仿宋"/>
                <w:color w:val="auto"/>
                <w:sz w:val="24"/>
                <w:highlight w:val="none"/>
              </w:rPr>
              <w:t>分</w:t>
            </w:r>
            <w:r>
              <w:rPr>
                <w:rFonts w:hint="eastAsia" w:ascii="仿宋" w:hAnsi="仿宋" w:eastAsia="仿宋" w:cs="仿宋"/>
                <w:bCs/>
                <w:color w:val="auto"/>
                <w:sz w:val="24"/>
                <w:highlight w:val="none"/>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F9F1115">
            <w:pPr>
              <w:spacing w:line="360" w:lineRule="auto"/>
              <w:jc w:val="center"/>
              <w:rPr>
                <w:rFonts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项目实施方案</w:t>
            </w:r>
            <w:r>
              <w:rPr>
                <w:rFonts w:hint="eastAsia" w:ascii="仿宋" w:hAnsi="仿宋" w:eastAsia="仿宋" w:cs="仿宋"/>
                <w:color w:val="auto"/>
                <w:sz w:val="24"/>
                <w:highlight w:val="none"/>
              </w:rPr>
              <w:t>（满分1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分）</w:t>
            </w:r>
          </w:p>
        </w:tc>
        <w:tc>
          <w:tcPr>
            <w:tcW w:w="6402" w:type="dxa"/>
            <w:tcBorders>
              <w:top w:val="single" w:color="auto" w:sz="4" w:space="0"/>
              <w:left w:val="single" w:color="auto" w:sz="4" w:space="0"/>
              <w:bottom w:val="single" w:color="auto" w:sz="4" w:space="0"/>
              <w:right w:val="single" w:color="auto" w:sz="4" w:space="0"/>
            </w:tcBorders>
            <w:shd w:val="clear" w:color="auto" w:fill="auto"/>
            <w:vAlign w:val="center"/>
          </w:tcPr>
          <w:p w14:paraId="4D8047B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一档（0分）：未提供方案或方案与项目实施不相关、不匹配的。</w:t>
            </w:r>
          </w:p>
          <w:p w14:paraId="505B597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二档（8分）：编制有项目实施方案，包含项目实施各项工作计划、工作流程及时间节点等，对广西文旅品牌传播与“引客入桂”工作目标有正确阐述。</w:t>
            </w:r>
          </w:p>
          <w:p w14:paraId="34EC39D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三档（12分）：方案满足二档要求，且能够充分列明国家广告发布相关管理规范和工作要求，编制有合规发布广告的各项工作要求和具体措施。</w:t>
            </w:r>
          </w:p>
          <w:p w14:paraId="2FD556BD">
            <w:pPr>
              <w:spacing w:line="360" w:lineRule="auto"/>
              <w:rPr>
                <w:rFonts w:ascii="仿宋" w:hAnsi="仿宋" w:eastAsia="仿宋" w:cs="仿宋"/>
                <w:color w:val="auto"/>
                <w:kern w:val="2"/>
                <w:sz w:val="21"/>
                <w:szCs w:val="24"/>
                <w:highlight w:val="none"/>
                <w:lang w:val="en-US" w:eastAsia="zh-CN" w:bidi="ar-SA"/>
              </w:rPr>
            </w:pPr>
            <w:r>
              <w:rPr>
                <w:rFonts w:hint="eastAsia" w:ascii="仿宋" w:hAnsi="仿宋" w:eastAsia="仿宋" w:cs="仿宋"/>
                <w:color w:val="auto"/>
                <w:sz w:val="24"/>
                <w:highlight w:val="none"/>
                <w:lang w:val="en-US" w:eastAsia="zh-CN"/>
              </w:rPr>
              <w:t>四档（18分）：方案满足三档要求，方案能详细识别项目履约过程中可能存在的风险因素，针对风险因素进行分析并提出处理预案，保障广告投放顺利且实现预期目标</w:t>
            </w:r>
            <w:r>
              <w:rPr>
                <w:rFonts w:hint="eastAsia" w:ascii="仿宋" w:hAnsi="仿宋" w:eastAsia="仿宋" w:cs="仿宋"/>
                <w:color w:val="auto"/>
                <w:sz w:val="24"/>
                <w:highlight w:val="none"/>
              </w:rPr>
              <w:t>。</w:t>
            </w:r>
          </w:p>
        </w:tc>
      </w:tr>
      <w:tr w14:paraId="3CED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4" w:type="dxa"/>
            <w:vMerge w:val="continue"/>
            <w:tcBorders>
              <w:left w:val="single" w:color="auto" w:sz="4" w:space="0"/>
              <w:right w:val="single" w:color="auto" w:sz="4" w:space="0"/>
            </w:tcBorders>
            <w:vAlign w:val="center"/>
          </w:tcPr>
          <w:p w14:paraId="021999A4">
            <w:pPr>
              <w:adjustRightInd w:val="0"/>
              <w:spacing w:line="360" w:lineRule="auto"/>
              <w:jc w:val="center"/>
              <w:textAlignment w:val="baseline"/>
              <w:rPr>
                <w:rFonts w:ascii="仿宋" w:hAnsi="仿宋" w:eastAsia="仿宋" w:cs="仿宋"/>
                <w:bCs/>
                <w:color w:val="auto"/>
                <w:sz w:val="24"/>
                <w:highlight w:val="none"/>
              </w:rPr>
            </w:pPr>
          </w:p>
        </w:tc>
        <w:tc>
          <w:tcPr>
            <w:tcW w:w="1418" w:type="dxa"/>
            <w:vMerge w:val="continue"/>
            <w:tcBorders>
              <w:left w:val="single" w:color="auto" w:sz="4" w:space="0"/>
              <w:right w:val="single" w:color="auto" w:sz="4" w:space="0"/>
            </w:tcBorders>
            <w:vAlign w:val="center"/>
          </w:tcPr>
          <w:p w14:paraId="56CCE474">
            <w:pPr>
              <w:adjustRightInd w:val="0"/>
              <w:snapToGrid w:val="0"/>
              <w:spacing w:line="360" w:lineRule="atLeast"/>
              <w:ind w:left="-105" w:leftChars="-50" w:right="-105" w:rightChars="-50"/>
              <w:jc w:val="center"/>
              <w:textAlignment w:val="baseline"/>
              <w:rPr>
                <w:rFonts w:ascii="仿宋" w:hAnsi="仿宋" w:eastAsia="仿宋" w:cs="仿宋"/>
                <w:bCs/>
                <w:color w:val="auto"/>
                <w:sz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4ABB228">
            <w:pPr>
              <w:spacing w:line="360" w:lineRule="auto"/>
              <w:jc w:val="center"/>
              <w:rPr>
                <w:rFonts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2.2投放规划与点位筛选方案（满分1</w:t>
            </w:r>
            <w:r>
              <w:rPr>
                <w:rFonts w:hint="default"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en-US" w:eastAsia="zh-CN"/>
              </w:rPr>
              <w:t>分）</w:t>
            </w:r>
            <w:r>
              <w:rPr>
                <w:rFonts w:hint="eastAsia" w:ascii="仿宋" w:hAnsi="仿宋" w:eastAsia="仿宋" w:cs="仿宋"/>
                <w:color w:val="auto"/>
                <w:sz w:val="24"/>
                <w:highlight w:val="none"/>
                <w:lang w:val="en-US" w:eastAsia="zh-CN"/>
              </w:rPr>
              <w:tab/>
            </w:r>
          </w:p>
        </w:tc>
        <w:tc>
          <w:tcPr>
            <w:tcW w:w="6402" w:type="dxa"/>
            <w:tcBorders>
              <w:top w:val="single" w:color="auto" w:sz="4" w:space="0"/>
              <w:left w:val="single" w:color="auto" w:sz="4" w:space="0"/>
              <w:bottom w:val="single" w:color="auto" w:sz="4" w:space="0"/>
              <w:right w:val="single" w:color="auto" w:sz="4" w:space="0"/>
            </w:tcBorders>
            <w:shd w:val="clear" w:color="auto" w:fill="auto"/>
            <w:vAlign w:val="center"/>
          </w:tcPr>
          <w:p w14:paraId="0C8E824F">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一档（0分）：未提供方案或方案与项目实施不相关、不匹配的。</w:t>
            </w:r>
          </w:p>
          <w:p w14:paraId="1DBC6117">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二档（5分）：方案能够列明10个目标城市的机场选择，规划有电子刷屏、LED屏、灯箱等媒体形式，基本说明投放点位筛选标准（如人流量、旅客画像匹配度）。</w:t>
            </w:r>
          </w:p>
          <w:p w14:paraId="481CAC8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三档（10分）：满足二档要求前提下，能够详细列出不少于50块具体投放点位，且包含候机区、到达通道等高流量区域。</w:t>
            </w:r>
          </w:p>
          <w:p w14:paraId="535637BD">
            <w:pPr>
              <w:pStyle w:val="2"/>
              <w:ind w:left="0" w:leftChars="0" w:firstLine="0" w:firstLineChars="0"/>
              <w:rPr>
                <w:color w:val="auto"/>
                <w:highlight w:val="none"/>
                <w:lang w:val="en-US" w:eastAsia="zh-CN"/>
              </w:rPr>
            </w:pPr>
            <w:r>
              <w:rPr>
                <w:rFonts w:hint="eastAsia" w:ascii="仿宋" w:hAnsi="仿宋" w:eastAsia="仿宋" w:cs="仿宋"/>
                <w:color w:val="auto"/>
                <w:sz w:val="24"/>
                <w:highlight w:val="none"/>
                <w:lang w:val="en-US" w:eastAsia="zh-CN"/>
              </w:rPr>
              <w:t>四档（15分）：满足三档要求前提下，能够详细列出不少于100块具体投放点位，并提供各投放点位触达人次预估。</w:t>
            </w:r>
          </w:p>
        </w:tc>
      </w:tr>
      <w:tr w14:paraId="6BC1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4F449E90">
            <w:pPr>
              <w:adjustRightInd w:val="0"/>
              <w:spacing w:line="360" w:lineRule="auto"/>
              <w:jc w:val="center"/>
              <w:textAlignment w:val="baseline"/>
              <w:rPr>
                <w:rFonts w:ascii="仿宋" w:hAnsi="仿宋" w:eastAsia="仿宋" w:cs="仿宋"/>
                <w:bCs/>
                <w:color w:val="auto"/>
                <w:sz w:val="24"/>
                <w:highlight w:val="none"/>
              </w:rPr>
            </w:pPr>
          </w:p>
        </w:tc>
        <w:tc>
          <w:tcPr>
            <w:tcW w:w="1418" w:type="dxa"/>
            <w:vMerge w:val="continue"/>
            <w:tcBorders>
              <w:left w:val="single" w:color="auto" w:sz="4" w:space="0"/>
              <w:right w:val="single" w:color="auto" w:sz="4" w:space="0"/>
            </w:tcBorders>
            <w:vAlign w:val="center"/>
          </w:tcPr>
          <w:p w14:paraId="765AE152">
            <w:pPr>
              <w:adjustRightInd w:val="0"/>
              <w:snapToGrid w:val="0"/>
              <w:spacing w:line="360" w:lineRule="atLeast"/>
              <w:ind w:left="-105" w:leftChars="-50" w:right="-105" w:rightChars="-50"/>
              <w:jc w:val="center"/>
              <w:textAlignment w:val="baseline"/>
              <w:rPr>
                <w:rFonts w:ascii="仿宋" w:hAnsi="仿宋" w:eastAsia="仿宋" w:cs="仿宋"/>
                <w:bCs/>
                <w:color w:val="auto"/>
                <w:sz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A5922E2">
            <w:pPr>
              <w:spacing w:line="360" w:lineRule="auto"/>
              <w:jc w:val="center"/>
              <w:rPr>
                <w:rFonts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投放内容策划与制作</w:t>
            </w:r>
            <w:r>
              <w:rPr>
                <w:rFonts w:hint="eastAsia" w:ascii="仿宋" w:hAnsi="仿宋" w:eastAsia="仿宋" w:cs="仿宋"/>
                <w:color w:val="auto"/>
                <w:sz w:val="24"/>
                <w:highlight w:val="none"/>
              </w:rPr>
              <w:t>方案（满分1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402" w:type="dxa"/>
            <w:tcBorders>
              <w:top w:val="single" w:color="auto" w:sz="4" w:space="0"/>
              <w:left w:val="single" w:color="auto" w:sz="4" w:space="0"/>
              <w:bottom w:val="single" w:color="auto" w:sz="4" w:space="0"/>
              <w:right w:val="single" w:color="auto" w:sz="4" w:space="0"/>
            </w:tcBorders>
            <w:shd w:val="clear" w:color="auto" w:fill="auto"/>
            <w:vAlign w:val="center"/>
          </w:tcPr>
          <w:p w14:paraId="43EF29D2">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一档（0分）：未提供方案或方案与项目实施不相关、不匹配的。</w:t>
            </w:r>
          </w:p>
          <w:p w14:paraId="7AF6C50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二档（5分）：阐述对“广西三月三・八桂嘉年华”“广西‘不止有’”主题的基本理解，提供所投放广告的策划思路框架；编制投放内容制作进度计划。</w:t>
            </w:r>
          </w:p>
          <w:p w14:paraId="6B3EAF4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三档（10分）：在满足二档的基础上，明确素材设计、审核、修改等关键节点时间，编制投放内容制作的具体工作内容（含设计团队配置、后期制作标准及质量管控流程等）。</w:t>
            </w:r>
          </w:p>
          <w:p w14:paraId="6FC4392F">
            <w:pPr>
              <w:spacing w:line="360" w:lineRule="auto"/>
              <w:rPr>
                <w:rFonts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四档（15分）：在满足三档的基础上，至少编制3套有符合广西特色的创意设计方案，并对各项方案的创意亮点、视觉表现形式进行说明。</w:t>
            </w:r>
          </w:p>
        </w:tc>
      </w:tr>
      <w:tr w14:paraId="77E0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4DA5A135">
            <w:pPr>
              <w:adjustRightInd w:val="0"/>
              <w:spacing w:line="360" w:lineRule="auto"/>
              <w:jc w:val="center"/>
              <w:textAlignment w:val="baseline"/>
              <w:rPr>
                <w:rFonts w:ascii="仿宋" w:hAnsi="仿宋" w:eastAsia="仿宋" w:cs="仿宋"/>
                <w:bCs/>
                <w:color w:val="auto"/>
                <w:sz w:val="24"/>
                <w:highlight w:val="none"/>
              </w:rPr>
            </w:pPr>
          </w:p>
        </w:tc>
        <w:tc>
          <w:tcPr>
            <w:tcW w:w="1418" w:type="dxa"/>
            <w:vMerge w:val="continue"/>
            <w:tcBorders>
              <w:left w:val="single" w:color="auto" w:sz="4" w:space="0"/>
              <w:bottom w:val="single" w:color="auto" w:sz="4" w:space="0"/>
              <w:right w:val="single" w:color="auto" w:sz="4" w:space="0"/>
            </w:tcBorders>
            <w:vAlign w:val="center"/>
          </w:tcPr>
          <w:p w14:paraId="22F779F0">
            <w:pPr>
              <w:adjustRightInd w:val="0"/>
              <w:snapToGrid w:val="0"/>
              <w:spacing w:line="360" w:lineRule="atLeast"/>
              <w:ind w:left="-105" w:leftChars="-50" w:right="-105" w:rightChars="-50"/>
              <w:jc w:val="center"/>
              <w:textAlignment w:val="baseline"/>
              <w:rPr>
                <w:rFonts w:ascii="仿宋" w:hAnsi="仿宋" w:eastAsia="仿宋" w:cs="仿宋"/>
                <w:bCs/>
                <w:color w:val="auto"/>
                <w:sz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AADDB93">
            <w:pPr>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rPr>
              <w:t>2.4</w:t>
            </w:r>
            <w:r>
              <w:rPr>
                <w:rFonts w:hint="eastAsia" w:ascii="仿宋" w:hAnsi="仿宋" w:eastAsia="仿宋" w:cs="仿宋"/>
                <w:color w:val="auto"/>
                <w:sz w:val="24"/>
                <w:highlight w:val="none"/>
                <w:lang w:val="en-US" w:eastAsia="zh-CN"/>
              </w:rPr>
              <w:t>投放期执行与管控方案</w:t>
            </w:r>
            <w:r>
              <w:rPr>
                <w:rFonts w:hint="eastAsia" w:ascii="仿宋" w:hAnsi="仿宋" w:eastAsia="仿宋" w:cs="仿宋"/>
                <w:color w:val="auto"/>
                <w:sz w:val="24"/>
                <w:highlight w:val="none"/>
              </w:rPr>
              <w:t>（满分1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分）</w:t>
            </w:r>
          </w:p>
        </w:tc>
        <w:tc>
          <w:tcPr>
            <w:tcW w:w="6402" w:type="dxa"/>
            <w:tcBorders>
              <w:top w:val="single" w:color="auto" w:sz="4" w:space="0"/>
              <w:left w:val="single" w:color="auto" w:sz="4" w:space="0"/>
              <w:bottom w:val="single" w:color="auto" w:sz="4" w:space="0"/>
              <w:right w:val="single" w:color="auto" w:sz="4" w:space="0"/>
            </w:tcBorders>
            <w:shd w:val="clear" w:color="auto" w:fill="auto"/>
            <w:vAlign w:val="center"/>
          </w:tcPr>
          <w:p w14:paraId="33CE245F">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一档（0分）：未提供方案或方案不符合项目实施实际要求的。 </w:t>
            </w:r>
          </w:p>
          <w:p w14:paraId="478D968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二档（3分）：编制有投放执行步骤和计划，对投放期内的各项管控工作编制有正确的计划。 </w:t>
            </w:r>
          </w:p>
          <w:p w14:paraId="64396A9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三档（7分）：方案满足上一档要求，且编制有投放执行具体措施和管控措施方案，如明确投放周期、单块媒体播放频次、基础问题响应机制。</w:t>
            </w:r>
          </w:p>
          <w:p w14:paraId="1147B171">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四档（10分）：满足上一档要求，并承诺提供广告投放上、下刊报告。合理分析罗列投放期内可能出现的紧急情况，制定针对性的紧急情况预案。</w:t>
            </w:r>
          </w:p>
        </w:tc>
      </w:tr>
      <w:tr w14:paraId="2D7F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08581412">
            <w:pPr>
              <w:adjustRightInd w:val="0"/>
              <w:spacing w:line="360" w:lineRule="auto"/>
              <w:jc w:val="center"/>
              <w:textAlignment w:val="baseline"/>
              <w:rPr>
                <w:rFonts w:ascii="仿宋" w:hAnsi="仿宋" w:eastAsia="仿宋" w:cs="仿宋"/>
                <w:bCs/>
                <w:color w:val="auto"/>
                <w:sz w:val="24"/>
                <w:highlight w:val="none"/>
              </w:rPr>
            </w:pPr>
          </w:p>
        </w:tc>
        <w:tc>
          <w:tcPr>
            <w:tcW w:w="1418" w:type="dxa"/>
            <w:vMerge w:val="continue"/>
            <w:tcBorders>
              <w:left w:val="single" w:color="auto" w:sz="4" w:space="0"/>
              <w:bottom w:val="single" w:color="auto" w:sz="4" w:space="0"/>
              <w:right w:val="single" w:color="auto" w:sz="4" w:space="0"/>
            </w:tcBorders>
            <w:vAlign w:val="center"/>
          </w:tcPr>
          <w:p w14:paraId="3577C088">
            <w:pPr>
              <w:adjustRightInd w:val="0"/>
              <w:snapToGrid w:val="0"/>
              <w:spacing w:line="360" w:lineRule="atLeast"/>
              <w:ind w:left="-105" w:leftChars="-50" w:right="-105" w:rightChars="-50"/>
              <w:jc w:val="center"/>
              <w:textAlignment w:val="baseline"/>
              <w:rPr>
                <w:rFonts w:ascii="仿宋" w:hAnsi="仿宋" w:eastAsia="仿宋" w:cs="仿宋"/>
                <w:bCs/>
                <w:color w:val="auto"/>
                <w:sz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EF17FC3">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2.5项目团队配置方案（满分8分）</w:t>
            </w:r>
          </w:p>
        </w:tc>
        <w:tc>
          <w:tcPr>
            <w:tcW w:w="6402" w:type="dxa"/>
            <w:tcBorders>
              <w:top w:val="single" w:color="auto" w:sz="4" w:space="0"/>
              <w:left w:val="single" w:color="auto" w:sz="4" w:space="0"/>
              <w:bottom w:val="single" w:color="auto" w:sz="4" w:space="0"/>
              <w:right w:val="single" w:color="auto" w:sz="4" w:space="0"/>
            </w:tcBorders>
            <w:shd w:val="clear" w:color="auto" w:fill="auto"/>
            <w:vAlign w:val="center"/>
          </w:tcPr>
          <w:p w14:paraId="68FE4B8B">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一档（0分）：未提供方案或方案不符合项目实施实际要求的。 </w:t>
            </w:r>
          </w:p>
          <w:p w14:paraId="201286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二档（2分）：配置项目负责人及基础执行团队不低于5人，团队成员具有文旅广告制作与投放经验（响应文件中提供经验证明材料，格式不限）。 </w:t>
            </w:r>
          </w:p>
          <w:p w14:paraId="1C5E523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三档（5分）：团队配置满足上一档的要求，且团队成员至少7人，包含策划、平面设计、视频拍摄、素材剪辑等不同专业岗位，能够做到专人专岗，清晰列出团队成员岗位职责。 </w:t>
            </w:r>
          </w:p>
          <w:p w14:paraId="1E20125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四档（8分）：满足上一档的基础上，团队成员至少9人，且具有相关专业副高职称至少1人，高级技术职称至少1人</w:t>
            </w:r>
            <w:r>
              <w:rPr>
                <w:rFonts w:hint="eastAsia" w:ascii="仿宋" w:hAnsi="仿宋" w:eastAsia="仿宋" w:cs="仿宋"/>
                <w:color w:val="auto"/>
                <w:sz w:val="24"/>
                <w:highlight w:val="none"/>
              </w:rPr>
              <w:t xml:space="preserve">。 </w:t>
            </w:r>
          </w:p>
        </w:tc>
      </w:tr>
      <w:tr w14:paraId="560E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bottom w:val="single" w:color="auto" w:sz="4" w:space="0"/>
              <w:right w:val="single" w:color="auto" w:sz="4" w:space="0"/>
            </w:tcBorders>
            <w:vAlign w:val="center"/>
          </w:tcPr>
          <w:p w14:paraId="7B1729BA">
            <w:pPr>
              <w:adjustRightInd w:val="0"/>
              <w:spacing w:line="360" w:lineRule="auto"/>
              <w:jc w:val="center"/>
              <w:textAlignment w:val="baseline"/>
              <w:rPr>
                <w:rFonts w:ascii="仿宋" w:hAnsi="仿宋" w:eastAsia="仿宋" w:cs="仿宋"/>
                <w:bCs/>
                <w:color w:val="auto"/>
                <w:sz w:val="24"/>
                <w:highlight w:val="none"/>
              </w:rPr>
            </w:pPr>
          </w:p>
        </w:tc>
        <w:tc>
          <w:tcPr>
            <w:tcW w:w="1418" w:type="dxa"/>
            <w:vMerge w:val="continue"/>
            <w:tcBorders>
              <w:left w:val="single" w:color="auto" w:sz="4" w:space="0"/>
              <w:bottom w:val="single" w:color="auto" w:sz="4" w:space="0"/>
              <w:right w:val="single" w:color="auto" w:sz="4" w:space="0"/>
            </w:tcBorders>
            <w:vAlign w:val="center"/>
          </w:tcPr>
          <w:p w14:paraId="0023A521">
            <w:pPr>
              <w:adjustRightInd w:val="0"/>
              <w:snapToGrid w:val="0"/>
              <w:spacing w:line="360" w:lineRule="atLeast"/>
              <w:ind w:left="-105" w:leftChars="-50" w:right="-105" w:rightChars="-50"/>
              <w:jc w:val="center"/>
              <w:textAlignment w:val="baseline"/>
              <w:rPr>
                <w:rFonts w:ascii="仿宋" w:hAnsi="仿宋" w:eastAsia="仿宋" w:cs="仿宋"/>
                <w:bCs/>
                <w:color w:val="auto"/>
                <w:sz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092DA58">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2.6相关机场投放的广告代理或授权证明（满分14分）</w:t>
            </w:r>
          </w:p>
        </w:tc>
        <w:tc>
          <w:tcPr>
            <w:tcW w:w="6402" w:type="dxa"/>
            <w:tcBorders>
              <w:top w:val="single" w:color="auto" w:sz="4" w:space="0"/>
              <w:left w:val="single" w:color="auto" w:sz="4" w:space="0"/>
              <w:bottom w:val="single" w:color="auto" w:sz="4" w:space="0"/>
              <w:right w:val="single" w:color="auto" w:sz="4" w:space="0"/>
            </w:tcBorders>
            <w:shd w:val="clear" w:color="auto" w:fill="auto"/>
            <w:vAlign w:val="center"/>
          </w:tcPr>
          <w:p w14:paraId="59340D4B">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一档（0分）：未提供或不满足二档要求的。</w:t>
            </w:r>
          </w:p>
          <w:p w14:paraId="2EF460E5">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二档（5分）：能够提供北京、上海2个机场投放方案的对应点位的</w:t>
            </w:r>
            <w:r>
              <w:rPr>
                <w:rFonts w:hint="eastAsia" w:ascii="仿宋" w:hAnsi="仿宋" w:eastAsia="仿宋" w:cs="仿宋"/>
                <w:color w:val="auto"/>
                <w:sz w:val="24"/>
                <w:highlight w:val="none"/>
                <w:lang w:val="en-US" w:eastAsia="zh-CN"/>
              </w:rPr>
              <w:t>广告代理或授权证明的</w:t>
            </w:r>
            <w:r>
              <w:rPr>
                <w:rFonts w:hint="eastAsia" w:ascii="仿宋" w:hAnsi="仿宋" w:eastAsia="仿宋" w:cs="仿宋"/>
                <w:color w:val="auto"/>
                <w:kern w:val="2"/>
                <w:sz w:val="24"/>
                <w:szCs w:val="24"/>
                <w:highlight w:val="none"/>
                <w:lang w:val="en-US" w:eastAsia="zh-CN" w:bidi="ar-SA"/>
              </w:rPr>
              <w:t>；</w:t>
            </w:r>
          </w:p>
          <w:p w14:paraId="4024A8F7">
            <w:pPr>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三档（8分）：能提供</w:t>
            </w:r>
            <w:r>
              <w:rPr>
                <w:rFonts w:hint="eastAsia" w:ascii="仿宋" w:hAnsi="仿宋" w:eastAsia="仿宋" w:cs="仿宋"/>
                <w:color w:val="auto"/>
                <w:kern w:val="2"/>
                <w:sz w:val="24"/>
                <w:szCs w:val="24"/>
                <w:highlight w:val="none"/>
                <w:lang w:val="en-US" w:eastAsia="zh-CN" w:bidi="ar-SA"/>
              </w:rPr>
              <w:t>北京、上海、武汉、南京、成都、厦门、西安、郑州、合肥、杭州中含北京、上海在内至少5个城市的机场投放方案的对应点位媒体</w:t>
            </w:r>
            <w:r>
              <w:rPr>
                <w:rFonts w:hint="eastAsia" w:ascii="仿宋" w:hAnsi="仿宋" w:eastAsia="仿宋" w:cs="仿宋"/>
                <w:color w:val="auto"/>
                <w:sz w:val="24"/>
                <w:highlight w:val="none"/>
                <w:lang w:val="en-US" w:eastAsia="zh-CN"/>
              </w:rPr>
              <w:t>广告代理或授权证明的</w:t>
            </w:r>
            <w:r>
              <w:rPr>
                <w:rFonts w:hint="eastAsia" w:ascii="仿宋" w:hAnsi="仿宋" w:eastAsia="仿宋" w:cs="仿宋"/>
                <w:color w:val="auto"/>
                <w:kern w:val="0"/>
                <w:sz w:val="24"/>
                <w:szCs w:val="24"/>
                <w:highlight w:val="none"/>
                <w:lang w:val="en-US" w:eastAsia="zh-CN" w:bidi="ar-SA"/>
              </w:rPr>
              <w:t>。</w:t>
            </w:r>
          </w:p>
          <w:p w14:paraId="79BBE52B">
            <w:pPr>
              <w:snapToGrid w:val="0"/>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四档（14分）：</w:t>
            </w:r>
            <w:r>
              <w:rPr>
                <w:rFonts w:hint="eastAsia" w:ascii="仿宋" w:hAnsi="仿宋" w:eastAsia="仿宋" w:cs="仿宋"/>
                <w:color w:val="auto"/>
                <w:kern w:val="0"/>
                <w:sz w:val="24"/>
                <w:szCs w:val="24"/>
                <w:highlight w:val="none"/>
                <w:lang w:val="en-US" w:eastAsia="zh-CN" w:bidi="ar-SA"/>
              </w:rPr>
              <w:t>全部提供</w:t>
            </w:r>
            <w:r>
              <w:rPr>
                <w:rFonts w:hint="eastAsia" w:ascii="仿宋" w:hAnsi="仿宋" w:eastAsia="仿宋" w:cs="仿宋"/>
                <w:color w:val="auto"/>
                <w:kern w:val="2"/>
                <w:sz w:val="24"/>
                <w:szCs w:val="24"/>
                <w:highlight w:val="none"/>
                <w:lang w:val="en-US" w:eastAsia="zh-CN" w:bidi="ar-SA"/>
              </w:rPr>
              <w:t>北京、上海、武汉、南京、成都、厦门、西安、郑州、合肥、杭州10个城市的机场投放方案的对应点位媒体</w:t>
            </w:r>
            <w:r>
              <w:rPr>
                <w:rFonts w:hint="eastAsia" w:ascii="仿宋" w:hAnsi="仿宋" w:eastAsia="仿宋" w:cs="仿宋"/>
                <w:color w:val="auto"/>
                <w:sz w:val="24"/>
                <w:highlight w:val="none"/>
                <w:lang w:val="en-US" w:eastAsia="zh-CN"/>
              </w:rPr>
              <w:t>广告代理或授权证明的</w:t>
            </w:r>
            <w:r>
              <w:rPr>
                <w:rFonts w:hint="eastAsia" w:ascii="仿宋" w:hAnsi="仿宋" w:eastAsia="仿宋" w:cs="仿宋"/>
                <w:color w:val="auto"/>
                <w:kern w:val="0"/>
                <w:sz w:val="24"/>
                <w:szCs w:val="24"/>
                <w:highlight w:val="none"/>
                <w:lang w:val="en-US" w:eastAsia="zh-CN" w:bidi="ar-SA"/>
              </w:rPr>
              <w:t>。</w:t>
            </w:r>
          </w:p>
        </w:tc>
      </w:tr>
      <w:tr w14:paraId="0D75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tcBorders>
              <w:top w:val="single" w:color="auto" w:sz="4" w:space="0"/>
              <w:left w:val="single" w:color="auto" w:sz="4" w:space="0"/>
              <w:right w:val="single" w:color="auto" w:sz="4" w:space="0"/>
            </w:tcBorders>
            <w:vAlign w:val="center"/>
          </w:tcPr>
          <w:p w14:paraId="7CB05E47">
            <w:pPr>
              <w:adjustRightInd w:val="0"/>
              <w:snapToGrid w:val="0"/>
              <w:spacing w:line="360" w:lineRule="auto"/>
              <w:jc w:val="center"/>
              <w:textAlignment w:val="baseline"/>
              <w:rPr>
                <w:rFonts w:ascii="仿宋" w:hAnsi="仿宋" w:eastAsia="仿宋" w:cs="仿宋"/>
                <w:bCs/>
                <w:color w:val="auto"/>
                <w:sz w:val="24"/>
                <w:highlight w:val="none"/>
              </w:rPr>
            </w:pPr>
            <w:r>
              <w:rPr>
                <w:rFonts w:hint="eastAsia" w:ascii="仿宋" w:hAnsi="仿宋" w:eastAsia="仿宋" w:cs="仿宋"/>
                <w:bCs/>
                <w:color w:val="auto"/>
                <w:sz w:val="24"/>
                <w:highlight w:val="none"/>
              </w:rPr>
              <w:t>3</w:t>
            </w:r>
          </w:p>
        </w:tc>
        <w:tc>
          <w:tcPr>
            <w:tcW w:w="1418" w:type="dxa"/>
            <w:tcBorders>
              <w:top w:val="single" w:color="auto" w:sz="4" w:space="0"/>
              <w:left w:val="single" w:color="auto" w:sz="4" w:space="0"/>
              <w:right w:val="single" w:color="auto" w:sz="4" w:space="0"/>
            </w:tcBorders>
            <w:vAlign w:val="center"/>
          </w:tcPr>
          <w:p w14:paraId="5C6481CA">
            <w:pPr>
              <w:adjustRightInd w:val="0"/>
              <w:snapToGrid w:val="0"/>
              <w:spacing w:line="360" w:lineRule="atLeast"/>
              <w:jc w:val="center"/>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商务分</w:t>
            </w:r>
          </w:p>
          <w:p w14:paraId="7B723593">
            <w:pPr>
              <w:adjustRightInd w:val="0"/>
              <w:snapToGrid w:val="0"/>
              <w:spacing w:line="360" w:lineRule="auto"/>
              <w:jc w:val="center"/>
              <w:textAlignment w:val="baseline"/>
              <w:rPr>
                <w:rFonts w:ascii="仿宋" w:hAnsi="仿宋" w:eastAsia="仿宋" w:cs="仿宋"/>
                <w:bCs/>
                <w:color w:val="auto"/>
                <w:sz w:val="24"/>
                <w:highlight w:val="none"/>
              </w:rPr>
            </w:pP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满分</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r>
              <w:rPr>
                <w:rFonts w:hint="eastAsia" w:ascii="仿宋" w:hAnsi="仿宋" w:eastAsia="仿宋" w:cs="仿宋"/>
                <w:bCs/>
                <w:color w:val="auto"/>
                <w:sz w:val="24"/>
                <w:highlight w:val="none"/>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18FF504">
            <w:pPr>
              <w:spacing w:line="360" w:lineRule="auto"/>
              <w:jc w:val="center"/>
              <w:rPr>
                <w:rFonts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1同类</w:t>
            </w:r>
            <w:r>
              <w:rPr>
                <w:rFonts w:hint="eastAsia" w:ascii="仿宋" w:hAnsi="仿宋" w:eastAsia="仿宋" w:cs="仿宋"/>
                <w:color w:val="auto"/>
                <w:sz w:val="24"/>
                <w:highlight w:val="none"/>
              </w:rPr>
              <w:t>项目业绩（满分</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tc>
        <w:tc>
          <w:tcPr>
            <w:tcW w:w="6402" w:type="dxa"/>
            <w:tcBorders>
              <w:top w:val="single" w:color="auto" w:sz="4" w:space="0"/>
              <w:left w:val="single" w:color="auto" w:sz="4" w:space="0"/>
              <w:bottom w:val="single" w:color="auto" w:sz="4" w:space="0"/>
              <w:right w:val="single" w:color="auto" w:sz="4" w:space="0"/>
            </w:tcBorders>
            <w:shd w:val="clear" w:color="auto" w:fill="auto"/>
            <w:vAlign w:val="top"/>
          </w:tcPr>
          <w:p w14:paraId="423A178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2022年以来供应商完成过</w:t>
            </w:r>
            <w:r>
              <w:rPr>
                <w:rFonts w:hint="eastAsia" w:ascii="仿宋" w:hAnsi="仿宋" w:eastAsia="仿宋" w:cs="仿宋"/>
                <w:color w:val="auto"/>
                <w:sz w:val="24"/>
                <w:highlight w:val="none"/>
                <w:lang w:val="en-US" w:eastAsia="zh-CN"/>
              </w:rPr>
              <w:t>同类</w:t>
            </w:r>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业绩</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，每个</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分，满分</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14:paraId="0ED4C6C9">
            <w:pPr>
              <w:spacing w:line="360" w:lineRule="auto"/>
              <w:rPr>
                <w:rFonts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highlight w:val="none"/>
              </w:rPr>
              <w:t>注：响应文件中需提供服务合同</w:t>
            </w:r>
            <w:r>
              <w:rPr>
                <w:rFonts w:hint="eastAsia" w:ascii="仿宋" w:hAnsi="仿宋" w:eastAsia="仿宋" w:cs="仿宋"/>
                <w:color w:val="auto"/>
                <w:sz w:val="24"/>
                <w:highlight w:val="none"/>
                <w:lang w:eastAsia="zh-CN"/>
              </w:rPr>
              <w:t>复印件</w:t>
            </w:r>
            <w:r>
              <w:rPr>
                <w:rFonts w:hint="eastAsia" w:ascii="仿宋" w:hAnsi="仿宋" w:eastAsia="仿宋" w:cs="仿宋"/>
                <w:color w:val="auto"/>
                <w:sz w:val="24"/>
                <w:highlight w:val="none"/>
              </w:rPr>
              <w:t>，并加盖供应商单位公章，</w:t>
            </w:r>
            <w:r>
              <w:rPr>
                <w:rFonts w:hint="eastAsia" w:ascii="仿宋" w:hAnsi="仿宋" w:eastAsia="仿宋" w:cs="仿宋"/>
                <w:color w:val="auto"/>
                <w:sz w:val="24"/>
                <w:highlight w:val="none"/>
                <w:lang w:val="en-US" w:eastAsia="zh-CN"/>
              </w:rPr>
              <w:t>无证明材料的</w:t>
            </w:r>
            <w:r>
              <w:rPr>
                <w:rFonts w:hint="eastAsia" w:ascii="仿宋" w:hAnsi="仿宋" w:eastAsia="仿宋" w:cs="仿宋"/>
                <w:color w:val="auto"/>
                <w:sz w:val="24"/>
                <w:highlight w:val="none"/>
              </w:rPr>
              <w:t>不得分。</w:t>
            </w:r>
          </w:p>
        </w:tc>
      </w:tr>
      <w:tr w14:paraId="459C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9720" w:type="dxa"/>
            <w:gridSpan w:val="4"/>
            <w:tcBorders>
              <w:top w:val="single" w:color="auto" w:sz="4" w:space="0"/>
              <w:left w:val="single" w:color="auto" w:sz="4" w:space="0"/>
              <w:bottom w:val="single" w:color="auto" w:sz="4" w:space="0"/>
              <w:right w:val="single" w:color="auto" w:sz="4" w:space="0"/>
            </w:tcBorders>
            <w:vAlign w:val="center"/>
          </w:tcPr>
          <w:p w14:paraId="3F5F96C5">
            <w:pPr>
              <w:snapToGrid w:val="0"/>
              <w:spacing w:line="360" w:lineRule="auto"/>
              <w:jc w:val="center"/>
              <w:rPr>
                <w:rFonts w:ascii="仿宋" w:hAnsi="仿宋" w:eastAsia="仿宋" w:cs="仿宋"/>
                <w:bCs/>
                <w:color w:val="auto"/>
                <w:sz w:val="24"/>
                <w:highlight w:val="none"/>
              </w:rPr>
            </w:pPr>
            <w:r>
              <w:rPr>
                <w:rFonts w:hint="eastAsia" w:ascii="仿宋" w:hAnsi="仿宋" w:eastAsia="仿宋" w:cs="仿宋"/>
                <w:b/>
                <w:color w:val="auto"/>
                <w:sz w:val="24"/>
                <w:highlight w:val="none"/>
              </w:rPr>
              <w:t>总得分=1+2+3</w:t>
            </w:r>
          </w:p>
        </w:tc>
      </w:tr>
    </w:tbl>
    <w:p w14:paraId="220ECE79">
      <w:pPr>
        <w:pStyle w:val="15"/>
        <w:ind w:firstLine="420"/>
        <w:rPr>
          <w:rFonts w:ascii="仿宋" w:hAnsi="仿宋" w:eastAsia="仿宋" w:cs="仿宋"/>
          <w:color w:val="auto"/>
          <w:highlight w:val="none"/>
        </w:rPr>
      </w:pPr>
    </w:p>
    <w:p w14:paraId="153C7033">
      <w:pPr>
        <w:spacing w:line="360" w:lineRule="auto"/>
        <w:ind w:firstLine="480" w:firstLineChars="200"/>
        <w:rPr>
          <w:rFonts w:ascii="仿宋" w:hAnsi="仿宋" w:eastAsia="仿宋" w:cs="仿宋"/>
          <w:snapToGrid w:val="0"/>
          <w:color w:val="auto"/>
          <w:kern w:val="0"/>
          <w:sz w:val="24"/>
          <w:highlight w:val="none"/>
        </w:rPr>
      </w:pPr>
      <w:r>
        <w:rPr>
          <w:rFonts w:hint="eastAsia" w:ascii="仿宋" w:hAnsi="仿宋" w:eastAsia="仿宋" w:cs="仿宋"/>
          <w:bCs/>
          <w:color w:val="auto"/>
          <w:sz w:val="24"/>
          <w:highlight w:val="none"/>
        </w:rPr>
        <w:t>由磋商小组根据综合评分情况，按照评审得分由高到低顺序每个分标推荐3名以上成交候选供应商，并编写评审报告。</w:t>
      </w:r>
      <w:r>
        <w:rPr>
          <w:rFonts w:hint="eastAsia" w:ascii="仿宋" w:hAnsi="仿宋" w:eastAsia="仿宋" w:cs="仿宋"/>
          <w:b/>
          <w:bCs/>
          <w:color w:val="auto"/>
          <w:sz w:val="24"/>
          <w:highlight w:val="none"/>
        </w:rPr>
        <w:t>符合本章第2.7、3.7、4.3条情形的，可以推荐2家成交候选供应商。</w:t>
      </w:r>
      <w:r>
        <w:rPr>
          <w:rFonts w:hint="eastAsia" w:ascii="仿宋" w:hAnsi="仿宋" w:eastAsia="仿宋" w:cs="仿宋"/>
          <w:bCs/>
          <w:color w:val="auto"/>
          <w:sz w:val="24"/>
          <w:highlight w:val="none"/>
        </w:rPr>
        <w:t>评审得分相同的，按照最后报价（不计算价格折扣）由低到高的顺序推荐。评审得分且最后报价（不计算价格折扣）相同的，依次按服务评分高的优先、商务评分高的优先的顺序确定成交候选供应商。</w:t>
      </w:r>
    </w:p>
    <w:p w14:paraId="5F24CD94">
      <w:pPr>
        <w:spacing w:line="360" w:lineRule="auto"/>
        <w:rPr>
          <w:rFonts w:ascii="仿宋" w:hAnsi="仿宋" w:eastAsia="仿宋" w:cs="仿宋"/>
          <w:color w:val="auto"/>
          <w:sz w:val="24"/>
          <w:highlight w:val="none"/>
        </w:rPr>
      </w:pPr>
    </w:p>
    <w:p w14:paraId="7B652546">
      <w:pPr>
        <w:spacing w:line="360" w:lineRule="auto"/>
        <w:ind w:firstLine="480" w:firstLineChars="200"/>
        <w:rPr>
          <w:rFonts w:ascii="仿宋" w:hAnsi="仿宋" w:eastAsia="仿宋" w:cs="仿宋"/>
          <w:color w:val="auto"/>
          <w:sz w:val="24"/>
          <w:highlight w:val="none"/>
        </w:rPr>
      </w:pPr>
    </w:p>
    <w:p w14:paraId="7EA7EF71">
      <w:pPr>
        <w:rPr>
          <w:rFonts w:ascii="仿宋" w:hAnsi="仿宋" w:eastAsia="仿宋" w:cs="仿宋"/>
          <w:color w:val="auto"/>
          <w:highlight w:val="none"/>
        </w:rPr>
      </w:pPr>
    </w:p>
    <w:p w14:paraId="2E01E1C6">
      <w:pPr>
        <w:pStyle w:val="4"/>
        <w:rPr>
          <w:rFonts w:ascii="仿宋" w:hAnsi="仿宋" w:cs="仿宋"/>
          <w:color w:val="auto"/>
          <w:highlight w:val="none"/>
        </w:rPr>
      </w:pPr>
      <w:bookmarkStart w:id="34" w:name="_Toc25779"/>
      <w:r>
        <w:rPr>
          <w:rFonts w:hint="eastAsia" w:ascii="仿宋" w:hAnsi="仿宋" w:cs="仿宋"/>
          <w:color w:val="auto"/>
          <w:highlight w:val="none"/>
        </w:rPr>
        <w:t>第五章 响应文件格式</w:t>
      </w:r>
      <w:bookmarkEnd w:id="34"/>
    </w:p>
    <w:p w14:paraId="5F99083F">
      <w:pPr>
        <w:spacing w:line="240" w:lineRule="atLeast"/>
        <w:rPr>
          <w:rFonts w:ascii="仿宋" w:hAnsi="仿宋" w:eastAsia="仿宋" w:cs="仿宋"/>
          <w:b/>
          <w:color w:val="auto"/>
          <w:sz w:val="32"/>
          <w:szCs w:val="32"/>
          <w:highlight w:val="none"/>
        </w:rPr>
      </w:pPr>
    </w:p>
    <w:p w14:paraId="11D16E97">
      <w:pPr>
        <w:spacing w:line="240" w:lineRule="atLeast"/>
        <w:rPr>
          <w:rFonts w:ascii="仿宋" w:hAnsi="仿宋" w:eastAsia="仿宋" w:cs="仿宋"/>
          <w:bCs/>
          <w:color w:val="auto"/>
          <w:sz w:val="32"/>
          <w:szCs w:val="32"/>
          <w:highlight w:val="none"/>
        </w:rPr>
      </w:pPr>
    </w:p>
    <w:p w14:paraId="41E6006D">
      <w:pPr>
        <w:jc w:val="center"/>
        <w:rPr>
          <w:rFonts w:ascii="仿宋" w:hAnsi="仿宋" w:eastAsia="仿宋" w:cs="仿宋"/>
          <w:b/>
          <w:color w:val="auto"/>
          <w:sz w:val="32"/>
          <w:szCs w:val="32"/>
          <w:highlight w:val="none"/>
        </w:rPr>
      </w:pPr>
      <w:bookmarkStart w:id="35" w:name="_Toc35611438"/>
      <w:bookmarkStart w:id="36" w:name="_Toc71365925"/>
      <w:bookmarkStart w:id="37" w:name="_Toc35611516"/>
      <w:bookmarkStart w:id="38" w:name="_Toc31728084"/>
      <w:bookmarkStart w:id="39" w:name="_Toc31723070"/>
      <w:bookmarkStart w:id="40" w:name="_Toc44229899"/>
      <w:r>
        <w:rPr>
          <w:rFonts w:hint="eastAsia" w:ascii="仿宋" w:hAnsi="仿宋" w:eastAsia="仿宋" w:cs="仿宋"/>
          <w:b/>
          <w:color w:val="auto"/>
          <w:sz w:val="32"/>
          <w:szCs w:val="32"/>
          <w:highlight w:val="none"/>
        </w:rPr>
        <w:t>一、资格证明文件格式</w:t>
      </w:r>
      <w:bookmarkEnd w:id="35"/>
      <w:bookmarkEnd w:id="36"/>
      <w:bookmarkEnd w:id="37"/>
      <w:bookmarkEnd w:id="38"/>
      <w:bookmarkEnd w:id="39"/>
      <w:bookmarkEnd w:id="40"/>
    </w:p>
    <w:p w14:paraId="221654F4">
      <w:pPr>
        <w:snapToGrid w:val="0"/>
        <w:spacing w:before="156" w:beforeLines="50" w:after="50" w:line="360" w:lineRule="auto"/>
        <w:jc w:val="center"/>
        <w:rPr>
          <w:rFonts w:ascii="仿宋" w:hAnsi="仿宋" w:eastAsia="仿宋" w:cs="仿宋"/>
          <w:b/>
          <w:color w:val="auto"/>
          <w:sz w:val="24"/>
          <w:highlight w:val="none"/>
        </w:rPr>
      </w:pPr>
      <w:r>
        <w:rPr>
          <w:rFonts w:hint="eastAsia" w:ascii="仿宋" w:hAnsi="仿宋" w:eastAsia="仿宋" w:cs="仿宋"/>
          <w:b/>
          <w:color w:val="auto"/>
          <w:sz w:val="32"/>
          <w:szCs w:val="32"/>
          <w:highlight w:val="none"/>
        </w:rPr>
        <w:t>1.资格证明文件封面格式：</w:t>
      </w:r>
    </w:p>
    <w:p w14:paraId="658721F3">
      <w:pPr>
        <w:snapToGrid w:val="0"/>
        <w:spacing w:before="156" w:beforeLines="50" w:after="50"/>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44E6AC30">
      <w:pPr>
        <w:snapToGrid w:val="0"/>
        <w:spacing w:before="156" w:beforeLines="50" w:after="50"/>
        <w:rPr>
          <w:rFonts w:ascii="仿宋" w:hAnsi="仿宋" w:eastAsia="仿宋" w:cs="仿宋"/>
          <w:color w:val="auto"/>
          <w:sz w:val="24"/>
          <w:szCs w:val="20"/>
          <w:highlight w:val="none"/>
        </w:rPr>
      </w:pPr>
    </w:p>
    <w:p w14:paraId="6FA510DE">
      <w:pPr>
        <w:snapToGrid w:val="0"/>
        <w:spacing w:before="156" w:beforeLines="50" w:after="50"/>
        <w:jc w:val="center"/>
        <w:rPr>
          <w:rFonts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响  应  文  件</w:t>
      </w:r>
    </w:p>
    <w:p w14:paraId="20278605">
      <w:pPr>
        <w:snapToGrid w:val="0"/>
        <w:spacing w:before="156" w:beforeLines="50" w:after="50"/>
        <w:jc w:val="center"/>
        <w:rPr>
          <w:rFonts w:ascii="仿宋" w:hAnsi="仿宋" w:eastAsia="仿宋" w:cs="仿宋"/>
          <w:bCs/>
          <w:color w:val="auto"/>
          <w:sz w:val="44"/>
          <w:szCs w:val="44"/>
          <w:highlight w:val="none"/>
        </w:rPr>
      </w:pPr>
    </w:p>
    <w:p w14:paraId="3131BA95">
      <w:pPr>
        <w:snapToGrid w:val="0"/>
        <w:spacing w:before="156" w:beforeLines="50" w:after="50"/>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资  格  证  明  文  件</w:t>
      </w:r>
    </w:p>
    <w:p w14:paraId="26DE36CA">
      <w:pPr>
        <w:snapToGrid w:val="0"/>
        <w:spacing w:before="156" w:beforeLines="50" w:after="50"/>
        <w:rPr>
          <w:rFonts w:ascii="仿宋" w:hAnsi="仿宋" w:eastAsia="仿宋" w:cs="仿宋"/>
          <w:bCs/>
          <w:color w:val="auto"/>
          <w:sz w:val="24"/>
          <w:szCs w:val="20"/>
          <w:highlight w:val="none"/>
        </w:rPr>
      </w:pPr>
    </w:p>
    <w:p w14:paraId="7B4EC0A7">
      <w:pPr>
        <w:snapToGrid w:val="0"/>
        <w:spacing w:before="156" w:beforeLines="50" w:after="50"/>
        <w:rPr>
          <w:rFonts w:ascii="仿宋" w:hAnsi="仿宋" w:eastAsia="仿宋" w:cs="仿宋"/>
          <w:bCs/>
          <w:color w:val="auto"/>
          <w:sz w:val="22"/>
          <w:szCs w:val="18"/>
          <w:highlight w:val="none"/>
        </w:rPr>
      </w:pPr>
    </w:p>
    <w:p w14:paraId="444B7FFE">
      <w:pPr>
        <w:snapToGrid w:val="0"/>
        <w:spacing w:before="156" w:beforeLines="50" w:after="50"/>
        <w:rPr>
          <w:rFonts w:ascii="仿宋" w:hAnsi="仿宋" w:eastAsia="仿宋" w:cs="仿宋"/>
          <w:bCs/>
          <w:color w:val="auto"/>
          <w:sz w:val="22"/>
          <w:szCs w:val="18"/>
          <w:highlight w:val="none"/>
        </w:rPr>
      </w:pPr>
    </w:p>
    <w:p w14:paraId="6F1F4B2B">
      <w:pPr>
        <w:snapToGrid w:val="0"/>
        <w:spacing w:before="156" w:beforeLines="50" w:after="50"/>
        <w:ind w:firstLine="2396" w:firstLineChars="856"/>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项目名称：</w:t>
      </w:r>
    </w:p>
    <w:p w14:paraId="4DE84DD8">
      <w:pPr>
        <w:snapToGrid w:val="0"/>
        <w:spacing w:before="156" w:beforeLines="50" w:after="50"/>
        <w:ind w:firstLine="2396" w:firstLineChars="856"/>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项目编号：</w:t>
      </w:r>
    </w:p>
    <w:p w14:paraId="6DDE72BF">
      <w:pPr>
        <w:snapToGrid w:val="0"/>
        <w:spacing w:before="156" w:beforeLines="50" w:after="50"/>
        <w:ind w:firstLine="2396" w:firstLineChars="856"/>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所竞分标（如有）：</w:t>
      </w:r>
    </w:p>
    <w:p w14:paraId="3F9C588C">
      <w:pPr>
        <w:pStyle w:val="8"/>
        <w:snapToGrid w:val="0"/>
        <w:spacing w:before="50" w:after="50"/>
        <w:ind w:firstLine="2396" w:firstLineChars="856"/>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供应商名称：</w:t>
      </w:r>
    </w:p>
    <w:p w14:paraId="6BD793E8">
      <w:pPr>
        <w:pStyle w:val="8"/>
        <w:snapToGrid w:val="0"/>
        <w:spacing w:before="50" w:after="50"/>
        <w:ind w:firstLine="630" w:firstLineChars="225"/>
        <w:rPr>
          <w:rFonts w:ascii="仿宋" w:hAnsi="仿宋" w:eastAsia="仿宋" w:cs="仿宋"/>
          <w:bCs/>
          <w:color w:val="auto"/>
          <w:sz w:val="28"/>
          <w:szCs w:val="28"/>
          <w:highlight w:val="none"/>
        </w:rPr>
      </w:pPr>
    </w:p>
    <w:p w14:paraId="124CF18B">
      <w:pPr>
        <w:pStyle w:val="8"/>
        <w:snapToGrid w:val="0"/>
        <w:spacing w:before="50" w:after="50"/>
        <w:ind w:firstLine="630" w:firstLineChars="225"/>
        <w:rPr>
          <w:rFonts w:ascii="仿宋" w:hAnsi="仿宋" w:eastAsia="仿宋" w:cs="仿宋"/>
          <w:bCs/>
          <w:color w:val="auto"/>
          <w:sz w:val="28"/>
          <w:szCs w:val="28"/>
          <w:highlight w:val="none"/>
        </w:rPr>
      </w:pPr>
    </w:p>
    <w:p w14:paraId="19CCBF75">
      <w:pPr>
        <w:pStyle w:val="8"/>
        <w:snapToGrid w:val="0"/>
        <w:spacing w:before="50" w:after="50"/>
        <w:ind w:firstLine="1120" w:firstLineChars="400"/>
        <w:rPr>
          <w:rFonts w:ascii="仿宋" w:hAnsi="仿宋" w:eastAsia="仿宋" w:cs="仿宋"/>
          <w:bCs/>
          <w:color w:val="auto"/>
          <w:sz w:val="28"/>
          <w:szCs w:val="28"/>
          <w:highlight w:val="none"/>
        </w:rPr>
      </w:pPr>
    </w:p>
    <w:p w14:paraId="2C4C7B3F">
      <w:pPr>
        <w:snapToGrid w:val="0"/>
        <w:spacing w:before="156" w:beforeLines="50" w:after="50"/>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p w14:paraId="17885068">
      <w:pPr>
        <w:snapToGrid w:val="0"/>
        <w:spacing w:before="156" w:beforeLines="50" w:after="50"/>
        <w:ind w:left="142"/>
        <w:jc w:val="left"/>
        <w:rPr>
          <w:rFonts w:ascii="仿宋" w:hAnsi="仿宋" w:eastAsia="仿宋" w:cs="仿宋"/>
          <w:b/>
          <w:bCs/>
          <w:color w:val="auto"/>
          <w:sz w:val="32"/>
          <w:szCs w:val="32"/>
          <w:highlight w:val="none"/>
        </w:rPr>
      </w:pPr>
      <w:r>
        <w:rPr>
          <w:rFonts w:hint="eastAsia" w:ascii="仿宋" w:hAnsi="仿宋" w:eastAsia="仿宋" w:cs="仿宋"/>
          <w:color w:val="auto"/>
          <w:sz w:val="22"/>
          <w:szCs w:val="22"/>
          <w:highlight w:val="none"/>
        </w:rPr>
        <w:br w:type="page"/>
      </w:r>
      <w:r>
        <w:rPr>
          <w:rFonts w:hint="eastAsia" w:ascii="仿宋" w:hAnsi="仿宋" w:eastAsia="仿宋" w:cs="仿宋"/>
          <w:b/>
          <w:bCs/>
          <w:color w:val="auto"/>
          <w:sz w:val="32"/>
          <w:szCs w:val="32"/>
          <w:highlight w:val="none"/>
        </w:rPr>
        <w:t>2.资格证明文件目录</w:t>
      </w:r>
    </w:p>
    <w:p w14:paraId="7107B6D1">
      <w:pPr>
        <w:snapToGrid w:val="0"/>
        <w:spacing w:before="156" w:beforeLines="50" w:after="50" w:line="360" w:lineRule="auto"/>
        <w:ind w:firstLine="64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根据磋商文件规定及供应商提供的材料自行编写目录（部分格式后附）。</w:t>
      </w:r>
    </w:p>
    <w:p w14:paraId="61A3CC1E">
      <w:pPr>
        <w:snapToGrid w:val="0"/>
        <w:spacing w:before="156" w:beforeLines="50" w:after="50"/>
        <w:rPr>
          <w:rFonts w:ascii="仿宋" w:hAnsi="仿宋" w:eastAsia="仿宋" w:cs="仿宋"/>
          <w:color w:val="auto"/>
          <w:szCs w:val="21"/>
          <w:highlight w:val="none"/>
        </w:rPr>
      </w:pPr>
      <w:r>
        <w:rPr>
          <w:rFonts w:hint="eastAsia" w:ascii="仿宋" w:hAnsi="仿宋" w:eastAsia="仿宋" w:cs="仿宋"/>
          <w:color w:val="auto"/>
          <w:sz w:val="22"/>
          <w:szCs w:val="18"/>
          <w:highlight w:val="none"/>
        </w:rPr>
        <w:t xml:space="preserve"> </w:t>
      </w:r>
    </w:p>
    <w:p w14:paraId="3E4E88CE">
      <w:pPr>
        <w:spacing w:line="300" w:lineRule="auto"/>
        <w:rPr>
          <w:rFonts w:ascii="仿宋" w:hAnsi="仿宋" w:eastAsia="仿宋" w:cs="仿宋"/>
          <w:color w:val="auto"/>
          <w:szCs w:val="21"/>
          <w:highlight w:val="none"/>
        </w:rPr>
      </w:pPr>
    </w:p>
    <w:p w14:paraId="526AFFDF">
      <w:pPr>
        <w:spacing w:line="300" w:lineRule="auto"/>
        <w:rPr>
          <w:rFonts w:ascii="仿宋" w:hAnsi="仿宋" w:eastAsia="仿宋" w:cs="仿宋"/>
          <w:color w:val="auto"/>
          <w:szCs w:val="21"/>
          <w:highlight w:val="none"/>
        </w:rPr>
      </w:pPr>
    </w:p>
    <w:p w14:paraId="2F90F915">
      <w:pPr>
        <w:spacing w:line="300" w:lineRule="auto"/>
        <w:rPr>
          <w:rFonts w:ascii="仿宋" w:hAnsi="仿宋" w:eastAsia="仿宋" w:cs="仿宋"/>
          <w:color w:val="auto"/>
          <w:szCs w:val="21"/>
          <w:highlight w:val="none"/>
        </w:rPr>
      </w:pPr>
    </w:p>
    <w:p w14:paraId="468A2BF2">
      <w:pPr>
        <w:spacing w:line="300" w:lineRule="auto"/>
        <w:rPr>
          <w:rFonts w:ascii="仿宋" w:hAnsi="仿宋" w:eastAsia="仿宋" w:cs="仿宋"/>
          <w:color w:val="auto"/>
          <w:szCs w:val="21"/>
          <w:highlight w:val="none"/>
        </w:rPr>
      </w:pPr>
    </w:p>
    <w:p w14:paraId="10C76A0B">
      <w:pPr>
        <w:spacing w:line="300" w:lineRule="auto"/>
        <w:rPr>
          <w:rFonts w:ascii="仿宋" w:hAnsi="仿宋" w:eastAsia="仿宋" w:cs="仿宋"/>
          <w:color w:val="auto"/>
          <w:szCs w:val="21"/>
          <w:highlight w:val="none"/>
        </w:rPr>
      </w:pPr>
    </w:p>
    <w:p w14:paraId="6F8A41A7">
      <w:pPr>
        <w:spacing w:line="300" w:lineRule="auto"/>
        <w:rPr>
          <w:rFonts w:ascii="仿宋" w:hAnsi="仿宋" w:eastAsia="仿宋" w:cs="仿宋"/>
          <w:color w:val="auto"/>
          <w:szCs w:val="21"/>
          <w:highlight w:val="none"/>
        </w:rPr>
      </w:pPr>
    </w:p>
    <w:p w14:paraId="40937F22">
      <w:pPr>
        <w:jc w:val="center"/>
        <w:rPr>
          <w:rFonts w:ascii="仿宋" w:hAnsi="仿宋" w:eastAsia="仿宋" w:cs="仿宋"/>
          <w:b/>
          <w:color w:val="auto"/>
          <w:sz w:val="32"/>
          <w:szCs w:val="32"/>
          <w:highlight w:val="none"/>
        </w:rPr>
      </w:pPr>
      <w:r>
        <w:rPr>
          <w:rFonts w:hint="eastAsia" w:ascii="仿宋" w:hAnsi="仿宋" w:eastAsia="仿宋" w:cs="仿宋"/>
          <w:color w:val="auto"/>
          <w:szCs w:val="21"/>
          <w:highlight w:val="none"/>
        </w:rPr>
        <w:br w:type="page"/>
      </w:r>
    </w:p>
    <w:p w14:paraId="42166B3C">
      <w:pPr>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供应商直接控股、管理关系信息表</w:t>
      </w:r>
    </w:p>
    <w:p w14:paraId="0C0FA676">
      <w:pPr>
        <w:jc w:val="center"/>
        <w:rPr>
          <w:rFonts w:ascii="仿宋" w:hAnsi="仿宋" w:eastAsia="仿宋" w:cs="仿宋"/>
          <w:b/>
          <w:color w:val="auto"/>
          <w:sz w:val="32"/>
          <w:szCs w:val="32"/>
          <w:highlight w:val="none"/>
        </w:rPr>
      </w:pPr>
      <w:r>
        <w:rPr>
          <w:rFonts w:hint="eastAsia" w:ascii="仿宋" w:hAnsi="仿宋" w:eastAsia="仿宋" w:cs="仿宋"/>
          <w:b/>
          <w:color w:val="auto"/>
          <w:sz w:val="44"/>
          <w:szCs w:val="44"/>
          <w:highlight w:val="none"/>
        </w:rPr>
        <w:t>（一）供应商直接控股股东信息表</w:t>
      </w:r>
    </w:p>
    <w:p w14:paraId="520CBDB7">
      <w:pPr>
        <w:snapToGrid w:val="0"/>
        <w:spacing w:before="156" w:beforeLines="50" w:after="50"/>
        <w:jc w:val="center"/>
        <w:rPr>
          <w:rFonts w:ascii="仿宋" w:hAnsi="仿宋" w:eastAsia="仿宋" w:cs="仿宋"/>
          <w:b/>
          <w:color w:val="auto"/>
          <w:sz w:val="24"/>
          <w:highlight w:val="none"/>
        </w:rPr>
      </w:pPr>
    </w:p>
    <w:p w14:paraId="4F0877E4">
      <w:pPr>
        <w:spacing w:line="360" w:lineRule="auto"/>
        <w:contextualSpacing/>
        <w:jc w:val="center"/>
        <w:rPr>
          <w:rFonts w:ascii="仿宋" w:hAnsi="仿宋" w:eastAsia="仿宋" w:cs="仿宋"/>
          <w:b/>
          <w:color w:val="auto"/>
          <w:sz w:val="24"/>
          <w:highlight w:val="none"/>
        </w:rPr>
      </w:pPr>
    </w:p>
    <w:tbl>
      <w:tblPr>
        <w:tblStyle w:val="29"/>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6B40B9E0">
        <w:tblPrEx>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B8EA4A">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2C45EB">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6C017B">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E574BC">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B5F272">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4C2F8E3">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FB33A4">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DBABD0">
            <w:pPr>
              <w:widowControl/>
              <w:spacing w:line="360" w:lineRule="auto"/>
              <w:contextualSpacing/>
              <w:jc w:val="center"/>
              <w:rPr>
                <w:rFonts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BCDA32">
            <w:pPr>
              <w:widowControl/>
              <w:spacing w:line="360" w:lineRule="auto"/>
              <w:contextualSpacing/>
              <w:jc w:val="center"/>
              <w:rPr>
                <w:rFonts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421BBC">
            <w:pPr>
              <w:widowControl/>
              <w:spacing w:line="360" w:lineRule="auto"/>
              <w:contextualSpacing/>
              <w:jc w:val="center"/>
              <w:rPr>
                <w:rFonts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D28668">
            <w:pPr>
              <w:widowControl/>
              <w:spacing w:line="360" w:lineRule="auto"/>
              <w:contextualSpacing/>
              <w:jc w:val="center"/>
              <w:rPr>
                <w:rFonts w:ascii="仿宋" w:hAnsi="仿宋" w:eastAsia="仿宋" w:cs="仿宋"/>
                <w:color w:val="auto"/>
                <w:kern w:val="0"/>
                <w:sz w:val="24"/>
                <w:highlight w:val="none"/>
              </w:rPr>
            </w:pPr>
          </w:p>
        </w:tc>
      </w:tr>
      <w:tr w14:paraId="6599DACA">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8CB143">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A8472E">
            <w:pPr>
              <w:widowControl/>
              <w:spacing w:line="360" w:lineRule="auto"/>
              <w:contextualSpacing/>
              <w:jc w:val="center"/>
              <w:rPr>
                <w:rFonts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DA883C">
            <w:pPr>
              <w:widowControl/>
              <w:spacing w:line="360" w:lineRule="auto"/>
              <w:contextualSpacing/>
              <w:jc w:val="center"/>
              <w:rPr>
                <w:rFonts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CC607E">
            <w:pPr>
              <w:widowControl/>
              <w:spacing w:line="360" w:lineRule="auto"/>
              <w:contextualSpacing/>
              <w:jc w:val="center"/>
              <w:rPr>
                <w:rFonts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556113">
            <w:pPr>
              <w:widowControl/>
              <w:spacing w:line="360" w:lineRule="auto"/>
              <w:contextualSpacing/>
              <w:jc w:val="center"/>
              <w:rPr>
                <w:rFonts w:ascii="仿宋" w:hAnsi="仿宋" w:eastAsia="仿宋" w:cs="仿宋"/>
                <w:color w:val="auto"/>
                <w:kern w:val="0"/>
                <w:sz w:val="24"/>
                <w:highlight w:val="none"/>
              </w:rPr>
            </w:pPr>
          </w:p>
        </w:tc>
      </w:tr>
      <w:tr w14:paraId="0CC27B21">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CE1F90">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AB12FE">
            <w:pPr>
              <w:widowControl/>
              <w:spacing w:line="360" w:lineRule="auto"/>
              <w:contextualSpacing/>
              <w:jc w:val="center"/>
              <w:rPr>
                <w:rFonts w:ascii="仿宋" w:hAnsi="仿宋" w:eastAsia="仿宋" w:cs="仿宋"/>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FE3279">
            <w:pPr>
              <w:widowControl/>
              <w:spacing w:line="360" w:lineRule="auto"/>
              <w:contextualSpacing/>
              <w:jc w:val="center"/>
              <w:rPr>
                <w:rFonts w:ascii="仿宋" w:hAnsi="仿宋" w:eastAsia="仿宋" w:cs="仿宋"/>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C0151D">
            <w:pPr>
              <w:widowControl/>
              <w:spacing w:line="360" w:lineRule="auto"/>
              <w:contextualSpacing/>
              <w:jc w:val="center"/>
              <w:rPr>
                <w:rFonts w:ascii="仿宋" w:hAnsi="仿宋" w:eastAsia="仿宋" w:cs="仿宋"/>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F01E4E">
            <w:pPr>
              <w:widowControl/>
              <w:spacing w:line="360" w:lineRule="auto"/>
              <w:contextualSpacing/>
              <w:jc w:val="center"/>
              <w:rPr>
                <w:rFonts w:ascii="仿宋" w:hAnsi="仿宋" w:eastAsia="仿宋" w:cs="仿宋"/>
                <w:color w:val="auto"/>
                <w:kern w:val="0"/>
                <w:sz w:val="24"/>
                <w:highlight w:val="none"/>
              </w:rPr>
            </w:pPr>
          </w:p>
        </w:tc>
      </w:tr>
    </w:tbl>
    <w:p w14:paraId="537A85EF">
      <w:pPr>
        <w:spacing w:line="360" w:lineRule="auto"/>
        <w:contextualSpacing/>
        <w:jc w:val="left"/>
        <w:rPr>
          <w:rFonts w:ascii="仿宋" w:hAnsi="仿宋" w:eastAsia="仿宋" w:cs="仿宋"/>
          <w:b/>
          <w:color w:val="auto"/>
          <w:sz w:val="24"/>
          <w:highlight w:val="none"/>
        </w:rPr>
      </w:pPr>
      <w:r>
        <w:rPr>
          <w:rFonts w:hint="eastAsia" w:ascii="仿宋" w:hAnsi="仿宋" w:eastAsia="仿宋" w:cs="仿宋"/>
          <w:b/>
          <w:color w:val="auto"/>
          <w:sz w:val="24"/>
          <w:highlight w:val="none"/>
        </w:rPr>
        <w:t>注：</w:t>
      </w:r>
    </w:p>
    <w:p w14:paraId="4CCD99E7">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25A2AAB">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38DF850C">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3.供应商不存在直接控股股东的，则填“无”。</w:t>
      </w:r>
    </w:p>
    <w:p w14:paraId="61EA18FB">
      <w:pPr>
        <w:snapToGrid w:val="0"/>
        <w:spacing w:line="360" w:lineRule="auto"/>
        <w:jc w:val="left"/>
        <w:rPr>
          <w:rFonts w:ascii="仿宋" w:hAnsi="仿宋" w:eastAsia="仿宋" w:cs="仿宋"/>
          <w:color w:val="auto"/>
          <w:sz w:val="24"/>
          <w:highlight w:val="none"/>
        </w:rPr>
      </w:pPr>
    </w:p>
    <w:p w14:paraId="31329D1D">
      <w:pPr>
        <w:snapToGrid w:val="0"/>
        <w:spacing w:line="360" w:lineRule="auto"/>
        <w:jc w:val="left"/>
        <w:rPr>
          <w:rFonts w:ascii="仿宋" w:hAnsi="仿宋" w:eastAsia="仿宋" w:cs="仿宋"/>
          <w:color w:val="auto"/>
          <w:sz w:val="24"/>
          <w:highlight w:val="none"/>
        </w:rPr>
      </w:pPr>
    </w:p>
    <w:p w14:paraId="6817F9C9">
      <w:pPr>
        <w:snapToGrid w:val="0"/>
        <w:spacing w:line="360" w:lineRule="auto"/>
        <w:jc w:val="left"/>
        <w:rPr>
          <w:rFonts w:ascii="仿宋" w:hAnsi="仿宋" w:eastAsia="仿宋" w:cs="仿宋"/>
          <w:color w:val="auto"/>
          <w:sz w:val="24"/>
          <w:highlight w:val="none"/>
        </w:rPr>
      </w:pPr>
    </w:p>
    <w:p w14:paraId="1CA9E6F9">
      <w:pPr>
        <w:snapToGrid w:val="0"/>
        <w:spacing w:before="156" w:beforeLines="50" w:line="360" w:lineRule="auto"/>
        <w:ind w:right="480" w:firstLine="3480" w:firstLineChars="1450"/>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74BBC5AF">
      <w:pPr>
        <w:snapToGrid w:val="0"/>
        <w:spacing w:before="156" w:beforeLines="50" w:after="50" w:line="360" w:lineRule="auto"/>
        <w:ind w:right="480" w:firstLine="3480" w:firstLineChars="145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供应商（公章）：</w:t>
      </w:r>
      <w:r>
        <w:rPr>
          <w:rFonts w:hint="eastAsia" w:ascii="仿宋" w:hAnsi="仿宋" w:eastAsia="仿宋" w:cs="仿宋"/>
          <w:color w:val="auto"/>
          <w:sz w:val="24"/>
          <w:highlight w:val="none"/>
          <w:u w:val="single"/>
        </w:rPr>
        <w:t xml:space="preserve">                           </w:t>
      </w:r>
    </w:p>
    <w:p w14:paraId="2DF6D742">
      <w:pPr>
        <w:snapToGrid w:val="0"/>
        <w:spacing w:before="156" w:beforeLines="50" w:after="50" w:line="360" w:lineRule="auto"/>
        <w:ind w:right="480" w:firstLine="3600" w:firstLineChars="1500"/>
        <w:rPr>
          <w:rFonts w:ascii="仿宋" w:hAnsi="仿宋" w:eastAsia="仿宋" w:cs="仿宋"/>
          <w:color w:val="auto"/>
          <w:sz w:val="28"/>
          <w:szCs w:val="28"/>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00C0318">
      <w:pPr>
        <w:snapToGrid w:val="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058743BE">
      <w:pPr>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（二）供应商直接管理关系信息表</w:t>
      </w:r>
    </w:p>
    <w:p w14:paraId="2646BFB6">
      <w:pPr>
        <w:snapToGrid w:val="0"/>
        <w:spacing w:line="360" w:lineRule="auto"/>
        <w:jc w:val="center"/>
        <w:rPr>
          <w:rFonts w:ascii="仿宋" w:hAnsi="仿宋" w:eastAsia="仿宋" w:cs="仿宋"/>
          <w:b/>
          <w:color w:val="auto"/>
          <w:sz w:val="24"/>
          <w:highlight w:val="none"/>
        </w:rPr>
      </w:pPr>
    </w:p>
    <w:tbl>
      <w:tblPr>
        <w:tblStyle w:val="2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8CF585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2D8B93">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81F530">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E8BA82">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0D78FD">
            <w:pPr>
              <w:widowControl/>
              <w:spacing w:line="360" w:lineRule="auto"/>
              <w:contextualSpacing/>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0C2FA79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A2E46D">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A15F53">
            <w:pPr>
              <w:widowControl/>
              <w:spacing w:line="360" w:lineRule="auto"/>
              <w:contextualSpacing/>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5CAF9F">
            <w:pPr>
              <w:widowControl/>
              <w:spacing w:line="360" w:lineRule="auto"/>
              <w:contextualSpacing/>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6CC199">
            <w:pPr>
              <w:widowControl/>
              <w:spacing w:line="360" w:lineRule="auto"/>
              <w:contextualSpacing/>
              <w:jc w:val="center"/>
              <w:rPr>
                <w:rFonts w:ascii="仿宋" w:hAnsi="仿宋" w:eastAsia="仿宋" w:cs="仿宋"/>
                <w:color w:val="auto"/>
                <w:kern w:val="0"/>
                <w:sz w:val="24"/>
                <w:highlight w:val="none"/>
              </w:rPr>
            </w:pPr>
          </w:p>
        </w:tc>
      </w:tr>
      <w:tr w14:paraId="4DFC3CB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4CEC03">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CBBD8A">
            <w:pPr>
              <w:widowControl/>
              <w:spacing w:line="360" w:lineRule="auto"/>
              <w:contextualSpacing/>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787F9B">
            <w:pPr>
              <w:widowControl/>
              <w:spacing w:line="360" w:lineRule="auto"/>
              <w:contextualSpacing/>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32D877">
            <w:pPr>
              <w:widowControl/>
              <w:spacing w:line="360" w:lineRule="auto"/>
              <w:contextualSpacing/>
              <w:jc w:val="center"/>
              <w:rPr>
                <w:rFonts w:ascii="仿宋" w:hAnsi="仿宋" w:eastAsia="仿宋" w:cs="仿宋"/>
                <w:color w:val="auto"/>
                <w:kern w:val="0"/>
                <w:sz w:val="24"/>
                <w:highlight w:val="none"/>
              </w:rPr>
            </w:pPr>
          </w:p>
        </w:tc>
      </w:tr>
      <w:tr w14:paraId="08F913F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E6C8C3">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F5D2AA">
            <w:pPr>
              <w:widowControl/>
              <w:spacing w:line="360" w:lineRule="auto"/>
              <w:contextualSpacing/>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04F4B6">
            <w:pPr>
              <w:widowControl/>
              <w:spacing w:line="360" w:lineRule="auto"/>
              <w:contextualSpacing/>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5CFCFE">
            <w:pPr>
              <w:widowControl/>
              <w:spacing w:line="360" w:lineRule="auto"/>
              <w:contextualSpacing/>
              <w:jc w:val="center"/>
              <w:rPr>
                <w:rFonts w:ascii="仿宋" w:hAnsi="仿宋" w:eastAsia="仿宋" w:cs="仿宋"/>
                <w:color w:val="auto"/>
                <w:kern w:val="0"/>
                <w:sz w:val="24"/>
                <w:highlight w:val="none"/>
              </w:rPr>
            </w:pPr>
          </w:p>
        </w:tc>
      </w:tr>
      <w:tr w14:paraId="46DC223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22D05A7">
            <w:pPr>
              <w:widowControl/>
              <w:spacing w:line="360" w:lineRule="auto"/>
              <w:contextualSpacing/>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A02F3F">
            <w:pPr>
              <w:widowControl/>
              <w:spacing w:line="360" w:lineRule="auto"/>
              <w:contextualSpacing/>
              <w:jc w:val="center"/>
              <w:rPr>
                <w:rFonts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0F24D1">
            <w:pPr>
              <w:widowControl/>
              <w:spacing w:line="360" w:lineRule="auto"/>
              <w:contextualSpacing/>
              <w:jc w:val="center"/>
              <w:rPr>
                <w:rFonts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A8B7A2">
            <w:pPr>
              <w:widowControl/>
              <w:spacing w:line="360" w:lineRule="auto"/>
              <w:contextualSpacing/>
              <w:jc w:val="center"/>
              <w:rPr>
                <w:rFonts w:ascii="仿宋" w:hAnsi="仿宋" w:eastAsia="仿宋" w:cs="仿宋"/>
                <w:color w:val="auto"/>
                <w:kern w:val="0"/>
                <w:sz w:val="24"/>
                <w:highlight w:val="none"/>
              </w:rPr>
            </w:pPr>
          </w:p>
        </w:tc>
      </w:tr>
    </w:tbl>
    <w:p w14:paraId="5F014A89">
      <w:pPr>
        <w:spacing w:line="360" w:lineRule="auto"/>
        <w:contextualSpacing/>
        <w:jc w:val="left"/>
        <w:rPr>
          <w:rFonts w:ascii="仿宋" w:hAnsi="仿宋" w:eastAsia="仿宋" w:cs="仿宋"/>
          <w:b/>
          <w:color w:val="auto"/>
          <w:sz w:val="24"/>
          <w:highlight w:val="none"/>
        </w:rPr>
      </w:pPr>
      <w:r>
        <w:rPr>
          <w:rFonts w:hint="eastAsia" w:ascii="仿宋" w:hAnsi="仿宋" w:eastAsia="仿宋" w:cs="仿宋"/>
          <w:b/>
          <w:color w:val="auto"/>
          <w:sz w:val="24"/>
          <w:highlight w:val="none"/>
        </w:rPr>
        <w:t>注：</w:t>
      </w:r>
    </w:p>
    <w:p w14:paraId="3B835DC5">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0F704E64">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24D68357">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3.供应商不存在直接管理关系的，则填“无”。</w:t>
      </w:r>
    </w:p>
    <w:p w14:paraId="3ACB4100">
      <w:pPr>
        <w:spacing w:line="360" w:lineRule="auto"/>
        <w:contextualSpacing/>
        <w:jc w:val="left"/>
        <w:rPr>
          <w:rFonts w:ascii="仿宋" w:hAnsi="仿宋" w:eastAsia="仿宋" w:cs="仿宋"/>
          <w:color w:val="auto"/>
          <w:sz w:val="24"/>
          <w:highlight w:val="none"/>
        </w:rPr>
      </w:pPr>
    </w:p>
    <w:p w14:paraId="312F9444">
      <w:pPr>
        <w:spacing w:line="360" w:lineRule="auto"/>
        <w:contextualSpacing/>
        <w:jc w:val="left"/>
        <w:rPr>
          <w:rFonts w:ascii="仿宋" w:hAnsi="仿宋" w:eastAsia="仿宋" w:cs="仿宋"/>
          <w:color w:val="auto"/>
          <w:sz w:val="24"/>
          <w:highlight w:val="none"/>
        </w:rPr>
      </w:pPr>
    </w:p>
    <w:p w14:paraId="607907B4">
      <w:pPr>
        <w:spacing w:line="360" w:lineRule="auto"/>
        <w:contextualSpacing/>
        <w:jc w:val="left"/>
        <w:rPr>
          <w:rFonts w:ascii="仿宋" w:hAnsi="仿宋" w:eastAsia="仿宋" w:cs="仿宋"/>
          <w:color w:val="auto"/>
          <w:sz w:val="24"/>
          <w:highlight w:val="none"/>
        </w:rPr>
      </w:pPr>
    </w:p>
    <w:p w14:paraId="386FA730">
      <w:pPr>
        <w:spacing w:line="360" w:lineRule="auto"/>
        <w:contextualSpacing/>
        <w:jc w:val="left"/>
        <w:rPr>
          <w:rFonts w:ascii="仿宋" w:hAnsi="仿宋" w:eastAsia="仿宋" w:cs="仿宋"/>
          <w:color w:val="auto"/>
          <w:sz w:val="24"/>
          <w:highlight w:val="none"/>
        </w:rPr>
      </w:pPr>
    </w:p>
    <w:p w14:paraId="23BD9B6B">
      <w:pPr>
        <w:spacing w:line="360" w:lineRule="auto"/>
        <w:contextualSpacing/>
        <w:jc w:val="left"/>
        <w:rPr>
          <w:rFonts w:ascii="仿宋" w:hAnsi="仿宋" w:eastAsia="仿宋" w:cs="仿宋"/>
          <w:color w:val="auto"/>
          <w:sz w:val="24"/>
          <w:highlight w:val="none"/>
        </w:rPr>
      </w:pPr>
    </w:p>
    <w:p w14:paraId="7FA206AB">
      <w:pPr>
        <w:spacing w:line="360" w:lineRule="auto"/>
        <w:contextualSpacing/>
        <w:jc w:val="left"/>
        <w:rPr>
          <w:rFonts w:ascii="仿宋" w:hAnsi="仿宋" w:eastAsia="仿宋" w:cs="仿宋"/>
          <w:color w:val="auto"/>
          <w:sz w:val="24"/>
          <w:highlight w:val="none"/>
        </w:rPr>
      </w:pPr>
    </w:p>
    <w:p w14:paraId="7FA6FC13">
      <w:pPr>
        <w:spacing w:line="360" w:lineRule="auto"/>
        <w:ind w:right="480" w:firstLine="3360" w:firstLineChars="140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p>
    <w:p w14:paraId="1B6BE30D">
      <w:pPr>
        <w:spacing w:line="360" w:lineRule="auto"/>
        <w:ind w:right="480" w:firstLine="3360" w:firstLineChars="14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r>
        <w:rPr>
          <w:rFonts w:hint="eastAsia" w:ascii="仿宋" w:hAnsi="仿宋" w:eastAsia="仿宋" w:cs="仿宋"/>
          <w:color w:val="auto"/>
          <w:sz w:val="24"/>
          <w:highlight w:val="none"/>
          <w:u w:val="single"/>
        </w:rPr>
        <w:t xml:space="preserve">                </w:t>
      </w:r>
    </w:p>
    <w:p w14:paraId="5537D014">
      <w:pPr>
        <w:spacing w:line="360" w:lineRule="auto"/>
        <w:ind w:right="480" w:firstLine="240" w:firstLineChars="100"/>
        <w:contextualSpacing/>
        <w:jc w:val="center"/>
        <w:rPr>
          <w:rFonts w:ascii="仿宋" w:hAnsi="仿宋" w:eastAsia="仿宋" w:cs="仿宋"/>
          <w:color w:val="auto"/>
          <w:sz w:val="28"/>
          <w:szCs w:val="28"/>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2FAC515">
      <w:pPr>
        <w:jc w:val="center"/>
        <w:rPr>
          <w:rFonts w:hint="eastAsia" w:ascii="仿宋" w:hAnsi="仿宋" w:eastAsia="仿宋" w:cs="仿宋"/>
          <w:b/>
          <w:color w:val="auto"/>
          <w:sz w:val="44"/>
          <w:szCs w:val="44"/>
          <w:highlight w:val="none"/>
          <w:lang w:eastAsia="zh-CN"/>
        </w:rPr>
      </w:pPr>
      <w:r>
        <w:rPr>
          <w:rFonts w:hint="eastAsia" w:ascii="仿宋" w:hAnsi="仿宋" w:eastAsia="仿宋" w:cs="仿宋"/>
          <w:color w:val="auto"/>
          <w:sz w:val="28"/>
          <w:szCs w:val="28"/>
          <w:highlight w:val="none"/>
        </w:rPr>
        <w:br w:type="page"/>
      </w:r>
      <w:r>
        <w:rPr>
          <w:rFonts w:hint="eastAsia" w:ascii="仿宋" w:hAnsi="仿宋" w:eastAsia="仿宋" w:cs="仿宋"/>
          <w:b/>
          <w:color w:val="auto"/>
          <w:sz w:val="44"/>
          <w:szCs w:val="44"/>
          <w:highlight w:val="none"/>
          <w:lang w:eastAsia="zh-CN"/>
        </w:rPr>
        <w:t>磋商声明</w:t>
      </w:r>
    </w:p>
    <w:p w14:paraId="0F67E0A7">
      <w:pPr>
        <w:spacing w:line="320" w:lineRule="exact"/>
        <w:jc w:val="center"/>
        <w:rPr>
          <w:rFonts w:ascii="仿宋" w:hAnsi="仿宋" w:eastAsia="仿宋" w:cs="仿宋"/>
          <w:color w:val="auto"/>
          <w:sz w:val="24"/>
          <w:szCs w:val="20"/>
          <w:highlight w:val="none"/>
        </w:rPr>
      </w:pPr>
    </w:p>
    <w:p w14:paraId="1E316162">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2196BB5D">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6F9B164">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项目的竞争性磋商，为便于贵方公正、择优地确定成交供应商及其参与竞争性磋商提供的产品和服务，我方就本次参与竞争性磋商有关事项郑重声明如下：</w:t>
      </w:r>
    </w:p>
    <w:p w14:paraId="63656253">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6EA6809E">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w:t>
      </w:r>
    </w:p>
    <w:p w14:paraId="1C740183">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1165ECA8">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5955BDC2">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4F7A493B">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（3）同意提供按照贵方可能要求的与磋商有关的一切数据或者资料；</w:t>
      </w:r>
    </w:p>
    <w:p w14:paraId="56300CC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（4）响应磋商文件规定的竞争性磋商有效期。</w:t>
      </w:r>
    </w:p>
    <w:p w14:paraId="1CAADFA8">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572CFCDB">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0FDCF43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101CF1B6">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28787B18">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5C4F9E24">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E2ECE51">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0D19001F">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6976AE5">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07BC289">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3515AD52">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24290B8B">
      <w:pPr>
        <w:pStyle w:val="18"/>
        <w:spacing w:line="360" w:lineRule="auto"/>
        <w:ind w:firstLine="480" w:firstLineChars="200"/>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7.与本磋商有关的一切正式往来信函请寄：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14:paraId="0D71955D">
      <w:pPr>
        <w:pStyle w:val="18"/>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7329CDF">
      <w:pPr>
        <w:pStyle w:val="17"/>
        <w:tabs>
          <w:tab w:val="left" w:pos="939"/>
        </w:tabs>
        <w:spacing w:line="360" w:lineRule="auto"/>
        <w:ind w:left="0" w:leftChars="0"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3275F99D">
      <w:pPr>
        <w:pStyle w:val="17"/>
        <w:tabs>
          <w:tab w:val="left" w:pos="939"/>
        </w:tabs>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4025A1B4">
      <w:pPr>
        <w:pStyle w:val="17"/>
        <w:tabs>
          <w:tab w:val="left" w:pos="939"/>
        </w:tabs>
        <w:spacing w:line="360" w:lineRule="auto"/>
        <w:ind w:left="0" w:leftChars="0"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9.我方若参与竞争性磋商成功，除非发生不可抗力，承诺与采购人及时签订《合同书》。如果放弃，自愿按照本磋商文件之《供应商须知正文》条款第27.3条的要求承担法律责任和失信惩戒。</w:t>
      </w:r>
    </w:p>
    <w:p w14:paraId="1D00F307">
      <w:pPr>
        <w:pStyle w:val="17"/>
        <w:tabs>
          <w:tab w:val="left" w:pos="939"/>
        </w:tabs>
        <w:spacing w:line="360" w:lineRule="auto"/>
        <w:ind w:left="0" w:leftChars="0"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特此承诺。</w:t>
      </w:r>
    </w:p>
    <w:p w14:paraId="2A832FAD">
      <w:pPr>
        <w:pStyle w:val="17"/>
        <w:tabs>
          <w:tab w:val="left" w:pos="939"/>
        </w:tabs>
        <w:spacing w:line="360" w:lineRule="auto"/>
        <w:ind w:left="0" w:leftChars="0"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注：如为联合体参与竞争性磋商，盖章处须加盖联合体各方公章并由联合体各方法定代表人签署，否则其响应文件按无效响应处理。</w:t>
      </w:r>
    </w:p>
    <w:p w14:paraId="01165C98">
      <w:pPr>
        <w:pStyle w:val="17"/>
        <w:tabs>
          <w:tab w:val="left" w:pos="939"/>
        </w:tabs>
        <w:spacing w:line="360" w:lineRule="auto"/>
        <w:ind w:left="0" w:leftChars="0" w:firstLine="480" w:firstLineChars="200"/>
        <w:rPr>
          <w:rFonts w:ascii="仿宋" w:hAnsi="仿宋" w:eastAsia="仿宋" w:cs="仿宋"/>
          <w:color w:val="auto"/>
          <w:sz w:val="24"/>
          <w:highlight w:val="none"/>
        </w:rPr>
      </w:pPr>
    </w:p>
    <w:p w14:paraId="4CC5DC31">
      <w:pPr>
        <w:spacing w:line="360" w:lineRule="auto"/>
        <w:ind w:firstLine="4320" w:firstLineChars="180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法定代表人（签字）：</w:t>
      </w:r>
      <w:r>
        <w:rPr>
          <w:rFonts w:hint="eastAsia" w:ascii="仿宋" w:hAnsi="仿宋" w:eastAsia="仿宋" w:cs="仿宋"/>
          <w:color w:val="auto"/>
          <w:sz w:val="24"/>
          <w:highlight w:val="none"/>
          <w:u w:val="single"/>
        </w:rPr>
        <w:t xml:space="preserve">                </w:t>
      </w:r>
    </w:p>
    <w:p w14:paraId="48F42BA0">
      <w:pPr>
        <w:spacing w:line="360" w:lineRule="auto"/>
        <w:ind w:firstLine="240" w:firstLineChars="100"/>
        <w:contextualSpacing/>
        <w:jc w:val="center"/>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供应商（公章）：</w:t>
      </w:r>
      <w:r>
        <w:rPr>
          <w:rFonts w:hint="eastAsia" w:ascii="仿宋" w:hAnsi="仿宋" w:eastAsia="仿宋" w:cs="仿宋"/>
          <w:color w:val="auto"/>
          <w:sz w:val="24"/>
          <w:highlight w:val="none"/>
          <w:u w:val="single"/>
        </w:rPr>
        <w:t xml:space="preserve">                           </w:t>
      </w:r>
    </w:p>
    <w:p w14:paraId="2BDFB5B6">
      <w:pPr>
        <w:spacing w:line="360" w:lineRule="auto"/>
        <w:ind w:firstLine="240" w:firstLineChars="100"/>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8ED1CD7">
      <w:pPr>
        <w:jc w:val="center"/>
        <w:rPr>
          <w:rFonts w:ascii="仿宋" w:hAnsi="仿宋" w:eastAsia="仿宋" w:cs="仿宋"/>
          <w:b/>
          <w:bCs/>
          <w:color w:val="auto"/>
          <w:sz w:val="44"/>
          <w:szCs w:val="44"/>
          <w:highlight w:val="none"/>
        </w:rPr>
      </w:pPr>
      <w:r>
        <w:rPr>
          <w:rFonts w:hint="eastAsia" w:ascii="仿宋" w:hAnsi="仿宋" w:eastAsia="仿宋" w:cs="仿宋"/>
          <w:color w:val="auto"/>
          <w:sz w:val="24"/>
          <w:highlight w:val="none"/>
        </w:rPr>
        <w:br w:type="page"/>
      </w:r>
      <w:bookmarkStart w:id="41" w:name="_Toc71365926"/>
      <w:r>
        <w:rPr>
          <w:rFonts w:hint="eastAsia" w:ascii="仿宋" w:hAnsi="仿宋" w:eastAsia="仿宋" w:cs="仿宋"/>
          <w:b/>
          <w:bCs/>
          <w:color w:val="auto"/>
          <w:sz w:val="44"/>
          <w:szCs w:val="44"/>
          <w:highlight w:val="none"/>
          <w:lang w:val="en-US" w:eastAsia="zh-CN"/>
        </w:rPr>
        <w:t>小微</w:t>
      </w:r>
      <w:r>
        <w:rPr>
          <w:rFonts w:hint="eastAsia" w:ascii="仿宋" w:hAnsi="仿宋" w:eastAsia="仿宋" w:cs="仿宋"/>
          <w:b/>
          <w:bCs/>
          <w:color w:val="auto"/>
          <w:sz w:val="44"/>
          <w:szCs w:val="44"/>
          <w:highlight w:val="none"/>
        </w:rPr>
        <w:t>企业声明函（服务）</w:t>
      </w:r>
      <w:bookmarkEnd w:id="41"/>
    </w:p>
    <w:p w14:paraId="43EC4F23">
      <w:pPr>
        <w:spacing w:before="2" w:line="500" w:lineRule="exact"/>
        <w:ind w:firstLine="708" w:firstLineChars="294"/>
        <w:rPr>
          <w:rFonts w:ascii="仿宋" w:hAnsi="仿宋" w:eastAsia="仿宋" w:cs="仿宋"/>
          <w:b/>
          <w:bCs/>
          <w:color w:val="auto"/>
          <w:sz w:val="24"/>
          <w:highlight w:val="none"/>
        </w:rPr>
      </w:pPr>
    </w:p>
    <w:p w14:paraId="76A00D3F">
      <w:pPr>
        <w:widowControl w:val="0"/>
        <w:spacing w:after="120" w:line="500" w:lineRule="exact"/>
        <w:ind w:right="142" w:firstLine="705" w:firstLineChars="294"/>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仿宋" w:hAnsi="仿宋" w:eastAsia="仿宋" w:cs="仿宋"/>
          <w:color w:val="auto"/>
          <w:kern w:val="2"/>
          <w:sz w:val="24"/>
          <w:szCs w:val="24"/>
          <w:highlight w:val="none"/>
          <w:u w:val="single"/>
          <w:lang w:val="en-US" w:eastAsia="zh-CN" w:bidi="ar-SA"/>
        </w:rPr>
        <w:t>（单位名称）</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u w:val="single"/>
          <w:lang w:val="en-US" w:eastAsia="zh-CN" w:bidi="ar-SA"/>
        </w:rPr>
        <w:t>（项目名称）</w:t>
      </w:r>
      <w:r>
        <w:rPr>
          <w:rFonts w:hint="eastAsia" w:ascii="仿宋" w:hAnsi="仿宋" w:eastAsia="仿宋" w:cs="仿宋"/>
          <w:color w:val="auto"/>
          <w:kern w:val="2"/>
          <w:sz w:val="24"/>
          <w:szCs w:val="24"/>
          <w:highlight w:val="none"/>
          <w:lang w:val="en-US" w:eastAsia="zh-CN" w:bidi="ar-SA"/>
        </w:rPr>
        <w:t>采购活动，服务全部由符合政策要求的小微企业承接。相关企业（含联合体中的中小企业、签订分包意向协议的中小企业）的具体情况如下：</w:t>
      </w:r>
    </w:p>
    <w:p w14:paraId="2214F94D">
      <w:pPr>
        <w:tabs>
          <w:tab w:val="left" w:pos="1384"/>
          <w:tab w:val="left" w:pos="4562"/>
          <w:tab w:val="left" w:pos="6803"/>
        </w:tabs>
        <w:spacing w:before="13" w:line="500" w:lineRule="exact"/>
        <w:ind w:right="142" w:firstLine="772" w:firstLineChars="322"/>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（小型企业、微型企业）</w:t>
      </w:r>
      <w:r>
        <w:rPr>
          <w:rFonts w:hint="eastAsia" w:ascii="仿宋" w:hAnsi="仿宋" w:eastAsia="仿宋" w:cs="仿宋"/>
          <w:color w:val="auto"/>
          <w:sz w:val="24"/>
          <w:highlight w:val="none"/>
        </w:rPr>
        <w:t>；</w:t>
      </w:r>
    </w:p>
    <w:p w14:paraId="63E7AFA1">
      <w:pPr>
        <w:tabs>
          <w:tab w:val="left" w:pos="1065"/>
          <w:tab w:val="left" w:pos="4262"/>
          <w:tab w:val="left" w:pos="6477"/>
        </w:tabs>
        <w:spacing w:before="20" w:line="500" w:lineRule="exact"/>
        <w:ind w:right="84" w:firstLine="772" w:firstLineChars="322"/>
        <w:rPr>
          <w:rFonts w:ascii="仿宋" w:hAnsi="仿宋" w:eastAsia="仿宋" w:cs="仿宋"/>
          <w:color w:val="auto"/>
          <w:sz w:val="24"/>
          <w:highlight w:val="none"/>
          <w:u w:val="singl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（小型企业、微型企业）</w:t>
      </w:r>
      <w:r>
        <w:rPr>
          <w:rFonts w:hint="eastAsia" w:ascii="仿宋" w:hAnsi="仿宋" w:eastAsia="仿宋" w:cs="仿宋"/>
          <w:color w:val="auto"/>
          <w:sz w:val="24"/>
          <w:highlight w:val="none"/>
        </w:rPr>
        <w:t>；</w:t>
      </w:r>
    </w:p>
    <w:p w14:paraId="6E910AF2">
      <w:pPr>
        <w:widowControl w:val="0"/>
        <w:spacing w:before="34" w:after="120" w:line="500" w:lineRule="exact"/>
        <w:ind w:right="142" w:firstLine="705" w:firstLineChars="294"/>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 </w:t>
      </w:r>
    </w:p>
    <w:p w14:paraId="1C186A97">
      <w:pPr>
        <w:widowControl w:val="0"/>
        <w:spacing w:before="34" w:after="120" w:line="500" w:lineRule="exact"/>
        <w:ind w:right="142" w:firstLine="705" w:firstLineChars="294"/>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1F9D97F5">
      <w:pPr>
        <w:widowControl w:val="0"/>
        <w:spacing w:before="25" w:after="120" w:line="500" w:lineRule="exact"/>
        <w:ind w:right="142" w:firstLine="705" w:firstLineChars="294"/>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本企业对上述声明内容的真实性负责。如有虚假，将依法承担相应责任。</w:t>
      </w:r>
    </w:p>
    <w:p w14:paraId="2C7F17CE">
      <w:pPr>
        <w:widowControl w:val="0"/>
        <w:spacing w:before="56" w:after="120" w:line="500" w:lineRule="exact"/>
        <w:ind w:right="1808" w:firstLine="705" w:firstLineChars="294"/>
        <w:jc w:val="both"/>
        <w:rPr>
          <w:rFonts w:ascii="仿宋" w:hAnsi="仿宋" w:eastAsia="仿宋" w:cs="仿宋"/>
          <w:color w:val="auto"/>
          <w:kern w:val="2"/>
          <w:sz w:val="24"/>
          <w:szCs w:val="24"/>
          <w:highlight w:val="none"/>
          <w:lang w:val="en-US" w:eastAsia="zh-CN" w:bidi="ar-SA"/>
        </w:rPr>
      </w:pPr>
    </w:p>
    <w:p w14:paraId="1BA89BCA">
      <w:pPr>
        <w:widowControl w:val="0"/>
        <w:spacing w:before="56" w:after="120" w:line="500" w:lineRule="exact"/>
        <w:ind w:right="650" w:firstLine="2400" w:firstLineChars="1000"/>
        <w:jc w:val="both"/>
        <w:rPr>
          <w:rFonts w:ascii="仿宋" w:hAnsi="仿宋" w:eastAsia="仿宋" w:cs="仿宋"/>
          <w:color w:val="auto"/>
          <w:kern w:val="2"/>
          <w:sz w:val="24"/>
          <w:szCs w:val="24"/>
          <w:highlight w:val="none"/>
          <w:u w:val="single"/>
          <w:lang w:val="en-US" w:eastAsia="zh-CN" w:bidi="ar-SA"/>
        </w:rPr>
      </w:pPr>
      <w:r>
        <w:rPr>
          <w:rFonts w:hint="eastAsia" w:ascii="仿宋" w:hAnsi="仿宋" w:eastAsia="仿宋" w:cs="仿宋"/>
          <w:color w:val="auto"/>
          <w:kern w:val="2"/>
          <w:sz w:val="24"/>
          <w:szCs w:val="24"/>
          <w:highlight w:val="none"/>
          <w:lang w:val="en-US" w:eastAsia="zh-CN" w:bidi="ar-SA"/>
        </w:rPr>
        <w:t xml:space="preserve">企业名称（公章）： </w:t>
      </w:r>
      <w:r>
        <w:rPr>
          <w:rFonts w:hint="eastAsia" w:ascii="仿宋" w:hAnsi="仿宋" w:eastAsia="仿宋" w:cs="仿宋"/>
          <w:color w:val="auto"/>
          <w:kern w:val="2"/>
          <w:sz w:val="24"/>
          <w:szCs w:val="24"/>
          <w:highlight w:val="none"/>
          <w:u w:val="single"/>
          <w:lang w:val="en-US" w:eastAsia="zh-CN" w:bidi="ar-SA"/>
        </w:rPr>
        <w:t xml:space="preserve">                    </w:t>
      </w:r>
    </w:p>
    <w:p w14:paraId="406C6686">
      <w:pPr>
        <w:widowControl w:val="0"/>
        <w:spacing w:before="56" w:after="120" w:line="500" w:lineRule="exact"/>
        <w:ind w:right="1808" w:firstLine="2400" w:firstLineChars="1000"/>
        <w:jc w:val="both"/>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日 期：</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年</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月</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日</w:t>
      </w:r>
    </w:p>
    <w:p w14:paraId="0B0CF157">
      <w:pPr>
        <w:spacing w:line="520" w:lineRule="exact"/>
        <w:jc w:val="left"/>
        <w:rPr>
          <w:rFonts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C3D839C">
      <w:pPr>
        <w:spacing w:line="360" w:lineRule="auto"/>
        <w:rPr>
          <w:rFonts w:ascii="仿宋" w:hAnsi="仿宋" w:eastAsia="仿宋" w:cs="仿宋"/>
          <w:color w:val="auto"/>
          <w:szCs w:val="21"/>
          <w:highlight w:val="none"/>
        </w:rPr>
      </w:pPr>
    </w:p>
    <w:p w14:paraId="700B26E3">
      <w:pPr>
        <w:jc w:val="center"/>
        <w:rPr>
          <w:rFonts w:ascii="仿宋" w:hAnsi="仿宋" w:eastAsia="仿宋" w:cs="仿宋"/>
          <w:b/>
          <w:color w:val="auto"/>
          <w:sz w:val="44"/>
          <w:szCs w:val="4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44"/>
          <w:szCs w:val="44"/>
          <w:highlight w:val="none"/>
        </w:rPr>
        <w:t>残疾人福利性单位声明函</w:t>
      </w:r>
    </w:p>
    <w:p w14:paraId="14D59384">
      <w:pPr>
        <w:spacing w:line="360" w:lineRule="auto"/>
        <w:contextualSpacing/>
        <w:rPr>
          <w:rFonts w:ascii="仿宋" w:hAnsi="仿宋" w:eastAsia="仿宋" w:cs="仿宋"/>
          <w:color w:val="auto"/>
          <w:sz w:val="32"/>
          <w:szCs w:val="32"/>
          <w:highlight w:val="none"/>
        </w:rPr>
      </w:pPr>
    </w:p>
    <w:p w14:paraId="37D12E08">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F87EB89">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0BDB159">
      <w:pPr>
        <w:spacing w:line="360" w:lineRule="auto"/>
        <w:contextualSpacing/>
        <w:rPr>
          <w:rFonts w:ascii="仿宋" w:hAnsi="仿宋" w:eastAsia="仿宋" w:cs="仿宋"/>
          <w:color w:val="auto"/>
          <w:sz w:val="24"/>
          <w:highlight w:val="none"/>
        </w:rPr>
      </w:pPr>
    </w:p>
    <w:p w14:paraId="1C0713DB">
      <w:pPr>
        <w:spacing w:line="360" w:lineRule="auto"/>
        <w:contextualSpacing/>
        <w:rPr>
          <w:rFonts w:ascii="仿宋" w:hAnsi="仿宋" w:eastAsia="仿宋" w:cs="仿宋"/>
          <w:color w:val="auto"/>
          <w:sz w:val="24"/>
          <w:highlight w:val="none"/>
        </w:rPr>
      </w:pPr>
    </w:p>
    <w:p w14:paraId="21B61ABE">
      <w:pPr>
        <w:spacing w:line="360" w:lineRule="auto"/>
        <w:contextualSpacing/>
        <w:rPr>
          <w:rFonts w:ascii="仿宋" w:hAnsi="仿宋" w:eastAsia="仿宋" w:cs="仿宋"/>
          <w:color w:val="auto"/>
          <w:sz w:val="24"/>
          <w:highlight w:val="none"/>
        </w:rPr>
      </w:pPr>
    </w:p>
    <w:p w14:paraId="6725F0DF">
      <w:pPr>
        <w:spacing w:line="360" w:lineRule="auto"/>
        <w:ind w:firstLine="2400" w:firstLineChars="100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单位名称（公章）：</w:t>
      </w:r>
      <w:r>
        <w:rPr>
          <w:rFonts w:hint="eastAsia" w:ascii="仿宋" w:hAnsi="仿宋" w:eastAsia="仿宋" w:cs="仿宋"/>
          <w:color w:val="auto"/>
          <w:sz w:val="24"/>
          <w:highlight w:val="none"/>
          <w:u w:val="single"/>
        </w:rPr>
        <w:t xml:space="preserve">               </w:t>
      </w:r>
    </w:p>
    <w:p w14:paraId="59C65BA2">
      <w:pPr>
        <w:spacing w:line="360" w:lineRule="auto"/>
        <w:ind w:firstLine="3600" w:firstLineChars="15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7BD8C1D">
      <w:pPr>
        <w:spacing w:line="360" w:lineRule="auto"/>
        <w:contextualSpacing/>
        <w:rPr>
          <w:rFonts w:ascii="仿宋" w:hAnsi="仿宋" w:eastAsia="仿宋" w:cs="仿宋"/>
          <w:color w:val="auto"/>
          <w:sz w:val="24"/>
          <w:highlight w:val="none"/>
        </w:rPr>
      </w:pPr>
    </w:p>
    <w:p w14:paraId="25D01D0F">
      <w:pPr>
        <w:spacing w:line="360" w:lineRule="auto"/>
        <w:contextualSpacing/>
        <w:rPr>
          <w:rFonts w:ascii="仿宋" w:hAnsi="仿宋" w:eastAsia="仿宋" w:cs="仿宋"/>
          <w:color w:val="auto"/>
          <w:sz w:val="24"/>
          <w:highlight w:val="none"/>
        </w:rPr>
      </w:pPr>
    </w:p>
    <w:p w14:paraId="58C3EE69">
      <w:pPr>
        <w:spacing w:line="360" w:lineRule="auto"/>
        <w:contextualSpacing/>
        <w:rPr>
          <w:rFonts w:ascii="仿宋" w:hAnsi="仿宋" w:eastAsia="仿宋" w:cs="仿宋"/>
          <w:color w:val="auto"/>
          <w:sz w:val="24"/>
          <w:highlight w:val="none"/>
        </w:rPr>
      </w:pPr>
    </w:p>
    <w:p w14:paraId="5FCC26F7">
      <w:pPr>
        <w:spacing w:line="360" w:lineRule="auto"/>
        <w:contextualSpacing/>
        <w:rPr>
          <w:rFonts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请根据自己的真实情况出具《残疾人福利性单位声明函》。依法享受中小企业优惠政策的，采购人或者采购代理机构在公告成交结果时，同时公告其《残疾人福利性单位声明函》，接受社会监督。</w:t>
      </w:r>
    </w:p>
    <w:p w14:paraId="47230B20">
      <w:pP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br w:type="page"/>
      </w:r>
    </w:p>
    <w:p w14:paraId="4966FF72">
      <w:pPr>
        <w:pStyle w:val="8"/>
        <w:overflowPunct w:val="0"/>
        <w:spacing w:line="360" w:lineRule="auto"/>
        <w:ind w:firstLine="0"/>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lang w:eastAsia="zh-CN"/>
        </w:rPr>
        <w:t>联合体磋商协议书</w:t>
      </w:r>
    </w:p>
    <w:p w14:paraId="0F3ED4D6">
      <w:pPr>
        <w:pStyle w:val="8"/>
        <w:overflowPunct w:val="0"/>
        <w:spacing w:line="360" w:lineRule="auto"/>
        <w:ind w:firstLine="0"/>
        <w:rPr>
          <w:rFonts w:ascii="仿宋" w:hAnsi="仿宋" w:eastAsia="仿宋" w:cs="仿宋"/>
          <w:color w:val="auto"/>
          <w:sz w:val="24"/>
          <w:szCs w:val="24"/>
          <w:highlight w:val="none"/>
        </w:rPr>
      </w:pPr>
    </w:p>
    <w:p w14:paraId="409F791A">
      <w:pPr>
        <w:pStyle w:val="8"/>
        <w:overflowPunct w:val="0"/>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（所有成员单位名称）自愿组成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（联合体名称）联合体，共同参加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（项目名称）采购项目</w:t>
      </w:r>
      <w:r>
        <w:rPr>
          <w:rFonts w:hint="eastAsia" w:ascii="仿宋" w:hAnsi="仿宋" w:eastAsia="仿宋" w:cs="仿宋"/>
          <w:color w:val="auto"/>
          <w:sz w:val="24"/>
          <w:highlight w:val="none"/>
        </w:rPr>
        <w:t>竞争性磋商</w:t>
      </w:r>
      <w:r>
        <w:rPr>
          <w:rFonts w:hint="eastAsia" w:ascii="仿宋" w:hAnsi="仿宋" w:eastAsia="仿宋" w:cs="仿宋"/>
          <w:color w:val="auto"/>
          <w:sz w:val="24"/>
          <w:szCs w:val="24"/>
          <w:highlight w:val="none"/>
        </w:rPr>
        <w:t>。现就联合体参与</w:t>
      </w:r>
      <w:r>
        <w:rPr>
          <w:rFonts w:hint="eastAsia" w:ascii="仿宋" w:hAnsi="仿宋" w:eastAsia="仿宋" w:cs="仿宋"/>
          <w:color w:val="auto"/>
          <w:sz w:val="24"/>
          <w:highlight w:val="none"/>
        </w:rPr>
        <w:t>竞争性磋商</w:t>
      </w:r>
      <w:r>
        <w:rPr>
          <w:rFonts w:hint="eastAsia" w:ascii="仿宋" w:hAnsi="仿宋" w:eastAsia="仿宋" w:cs="仿宋"/>
          <w:color w:val="auto"/>
          <w:sz w:val="24"/>
          <w:szCs w:val="24"/>
          <w:highlight w:val="none"/>
        </w:rPr>
        <w:t>事宜订立如下协议。</w:t>
      </w:r>
    </w:p>
    <w:p w14:paraId="3E26A786">
      <w:pPr>
        <w:pStyle w:val="8"/>
        <w:overflowPunct w:val="0"/>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（某成员单位名称）为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（联合体名称）牵头人。</w:t>
      </w:r>
    </w:p>
    <w:p w14:paraId="5D4142D0">
      <w:pPr>
        <w:pStyle w:val="8"/>
        <w:overflowPunct w:val="0"/>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仿宋" w:hAnsi="仿宋" w:eastAsia="仿宋" w:cs="仿宋"/>
          <w:color w:val="auto"/>
          <w:sz w:val="24"/>
          <w:highlight w:val="none"/>
        </w:rPr>
        <w:t>竞争性磋商</w:t>
      </w:r>
      <w:r>
        <w:rPr>
          <w:rFonts w:hint="eastAsia" w:ascii="仿宋" w:hAnsi="仿宋" w:eastAsia="仿宋" w:cs="仿宋"/>
          <w:color w:val="auto"/>
          <w:sz w:val="24"/>
          <w:szCs w:val="24"/>
          <w:highlight w:val="none"/>
        </w:rPr>
        <w:t>项目有关的一切事宜。</w:t>
      </w:r>
    </w:p>
    <w:p w14:paraId="538AABAB">
      <w:pPr>
        <w:pStyle w:val="8"/>
        <w:overflowPunct w:val="0"/>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7858DF48">
      <w:pPr>
        <w:pStyle w:val="8"/>
        <w:overflowPunct w:val="0"/>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4.联合体各成员单位内部的职责分工如下：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387A72C">
      <w:pPr>
        <w:pStyle w:val="8"/>
        <w:overflowPunct w:val="0"/>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w:t>
      </w:r>
      <w:r>
        <w:rPr>
          <w:rFonts w:hint="eastAsia" w:ascii="仿宋" w:hAnsi="仿宋" w:eastAsia="仿宋" w:cs="仿宋"/>
          <w:color w:val="auto"/>
          <w:spacing w:val="-6"/>
          <w:sz w:val="24"/>
          <w:szCs w:val="24"/>
          <w:highlight w:val="none"/>
        </w:rPr>
        <w:t>协议书自所有成员单位法定代表人（单位负责人）或者其委托代理人签字或者盖单</w:t>
      </w:r>
      <w:r>
        <w:rPr>
          <w:rFonts w:hint="eastAsia" w:ascii="仿宋" w:hAnsi="仿宋" w:eastAsia="仿宋" w:cs="仿宋"/>
          <w:color w:val="auto"/>
          <w:spacing w:val="-6"/>
          <w:sz w:val="24"/>
          <w:szCs w:val="24"/>
          <w:highlight w:val="none"/>
          <w:lang w:eastAsia="zh-CN"/>
        </w:rPr>
        <w:t>位公</w:t>
      </w:r>
      <w:r>
        <w:rPr>
          <w:rFonts w:hint="eastAsia" w:ascii="仿宋" w:hAnsi="仿宋" w:eastAsia="仿宋" w:cs="仿宋"/>
          <w:color w:val="auto"/>
          <w:spacing w:val="-6"/>
          <w:sz w:val="24"/>
          <w:szCs w:val="24"/>
          <w:highlight w:val="none"/>
        </w:rPr>
        <w:t>章之日起生效，合同履行完毕后自动失效。</w:t>
      </w:r>
    </w:p>
    <w:p w14:paraId="1BB38426">
      <w:pPr>
        <w:pStyle w:val="8"/>
        <w:overflowPunct w:val="0"/>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6.本协议书一式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份，联合体成员和采购人各执壹份。</w:t>
      </w:r>
    </w:p>
    <w:p w14:paraId="30D061A1">
      <w:pPr>
        <w:pStyle w:val="8"/>
        <w:overflowPunct w:val="0"/>
        <w:spacing w:line="360" w:lineRule="auto"/>
        <w:ind w:firstLine="482" w:firstLineChars="200"/>
        <w:contextualSpacing/>
        <w:rPr>
          <w:rFonts w:ascii="仿宋" w:hAnsi="仿宋" w:eastAsia="仿宋" w:cs="仿宋"/>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color w:val="auto"/>
          <w:sz w:val="24"/>
          <w:szCs w:val="24"/>
          <w:highlight w:val="none"/>
        </w:rPr>
        <w:t>本协议书由法定代表人（单位负责人）签字的，应附法定代表人（单位负责人）身份证明书；由委托代理人签字的，应附联合体协议签订授权委托书（格式自拟）。</w:t>
      </w:r>
    </w:p>
    <w:p w14:paraId="1F33E873">
      <w:pPr>
        <w:pStyle w:val="8"/>
        <w:overflowPunct w:val="0"/>
        <w:spacing w:line="360" w:lineRule="auto"/>
        <w:ind w:firstLineChars="175"/>
        <w:contextualSpacing/>
        <w:rPr>
          <w:rFonts w:ascii="仿宋" w:hAnsi="仿宋" w:eastAsia="仿宋" w:cs="仿宋"/>
          <w:color w:val="auto"/>
          <w:sz w:val="24"/>
          <w:szCs w:val="24"/>
          <w:highlight w:val="none"/>
        </w:rPr>
      </w:pPr>
    </w:p>
    <w:p w14:paraId="2C27B42E">
      <w:pPr>
        <w:pStyle w:val="8"/>
        <w:overflowPunct w:val="0"/>
        <w:spacing w:line="360" w:lineRule="auto"/>
        <w:ind w:firstLineChars="175"/>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联合体牵头人名称（盖公章）：</w:t>
      </w:r>
      <w:r>
        <w:rPr>
          <w:rFonts w:hint="eastAsia" w:ascii="仿宋" w:hAnsi="仿宋" w:eastAsia="仿宋" w:cs="仿宋"/>
          <w:color w:val="auto"/>
          <w:sz w:val="24"/>
          <w:szCs w:val="24"/>
          <w:highlight w:val="none"/>
          <w:u w:val="single"/>
        </w:rPr>
        <w:t xml:space="preserve">               </w:t>
      </w:r>
    </w:p>
    <w:p w14:paraId="7B9EB9DE">
      <w:pPr>
        <w:pStyle w:val="8"/>
        <w:overflowPunct w:val="0"/>
        <w:spacing w:line="360" w:lineRule="auto"/>
        <w:ind w:firstLineChars="175"/>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法定代表人（单位负责人）或者其委托代理人（签字）：</w:t>
      </w:r>
      <w:r>
        <w:rPr>
          <w:rFonts w:hint="eastAsia" w:ascii="仿宋" w:hAnsi="仿宋" w:eastAsia="仿宋" w:cs="仿宋"/>
          <w:color w:val="auto"/>
          <w:sz w:val="24"/>
          <w:szCs w:val="24"/>
          <w:highlight w:val="none"/>
          <w:u w:val="single"/>
        </w:rPr>
        <w:t xml:space="preserve">               </w:t>
      </w:r>
    </w:p>
    <w:p w14:paraId="606D3512">
      <w:pPr>
        <w:pStyle w:val="8"/>
        <w:overflowPunct w:val="0"/>
        <w:spacing w:line="360" w:lineRule="auto"/>
        <w:ind w:firstLineChars="175"/>
        <w:contextualSpacing/>
        <w:rPr>
          <w:rFonts w:ascii="仿宋" w:hAnsi="仿宋" w:eastAsia="仿宋" w:cs="仿宋"/>
          <w:color w:val="auto"/>
          <w:sz w:val="24"/>
          <w:szCs w:val="24"/>
          <w:highlight w:val="none"/>
        </w:rPr>
      </w:pPr>
    </w:p>
    <w:p w14:paraId="1F1D6A7D">
      <w:pPr>
        <w:pStyle w:val="8"/>
        <w:overflowPunct w:val="0"/>
        <w:spacing w:line="360" w:lineRule="auto"/>
        <w:ind w:firstLineChars="175"/>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联合体成员名称（盖公章）：</w:t>
      </w:r>
      <w:r>
        <w:rPr>
          <w:rFonts w:hint="eastAsia" w:ascii="仿宋" w:hAnsi="仿宋" w:eastAsia="仿宋" w:cs="仿宋"/>
          <w:color w:val="auto"/>
          <w:sz w:val="24"/>
          <w:szCs w:val="24"/>
          <w:highlight w:val="none"/>
          <w:u w:val="single"/>
        </w:rPr>
        <w:t xml:space="preserve">                </w:t>
      </w:r>
    </w:p>
    <w:p w14:paraId="1C980030">
      <w:pPr>
        <w:pStyle w:val="8"/>
        <w:overflowPunct w:val="0"/>
        <w:spacing w:line="360" w:lineRule="auto"/>
        <w:ind w:firstLineChars="175"/>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法定代表人（单位负责人）或者其委托代理人（签字）：</w:t>
      </w:r>
      <w:r>
        <w:rPr>
          <w:rFonts w:hint="eastAsia" w:ascii="仿宋" w:hAnsi="仿宋" w:eastAsia="仿宋" w:cs="仿宋"/>
          <w:color w:val="auto"/>
          <w:sz w:val="24"/>
          <w:szCs w:val="24"/>
          <w:highlight w:val="none"/>
          <w:u w:val="single"/>
        </w:rPr>
        <w:t xml:space="preserve">            </w:t>
      </w:r>
    </w:p>
    <w:p w14:paraId="24E9D476">
      <w:pPr>
        <w:pStyle w:val="8"/>
        <w:overflowPunct w:val="0"/>
        <w:spacing w:line="360" w:lineRule="auto"/>
        <w:ind w:firstLineChars="175"/>
        <w:contextualSpacing/>
        <w:rPr>
          <w:rFonts w:ascii="仿宋" w:hAnsi="仿宋" w:eastAsia="仿宋" w:cs="仿宋"/>
          <w:color w:val="auto"/>
          <w:sz w:val="24"/>
          <w:szCs w:val="24"/>
          <w:highlight w:val="none"/>
        </w:rPr>
      </w:pPr>
    </w:p>
    <w:p w14:paraId="693C5761">
      <w:pPr>
        <w:pStyle w:val="8"/>
        <w:overflowPunct w:val="0"/>
        <w:spacing w:line="360" w:lineRule="auto"/>
        <w:ind w:firstLineChars="175"/>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联合体成员名称（盖公章）：</w:t>
      </w:r>
      <w:r>
        <w:rPr>
          <w:rFonts w:hint="eastAsia" w:ascii="仿宋" w:hAnsi="仿宋" w:eastAsia="仿宋" w:cs="仿宋"/>
          <w:color w:val="auto"/>
          <w:sz w:val="24"/>
          <w:szCs w:val="24"/>
          <w:highlight w:val="none"/>
          <w:u w:val="single"/>
        </w:rPr>
        <w:t xml:space="preserve">                </w:t>
      </w:r>
    </w:p>
    <w:p w14:paraId="368FA814">
      <w:pPr>
        <w:pStyle w:val="8"/>
        <w:overflowPunct w:val="0"/>
        <w:spacing w:line="360" w:lineRule="auto"/>
        <w:ind w:firstLineChars="175"/>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法定代表人（单位负责人）或者其委托代理人（签字）：</w:t>
      </w:r>
      <w:r>
        <w:rPr>
          <w:rFonts w:hint="eastAsia" w:ascii="仿宋" w:hAnsi="仿宋" w:eastAsia="仿宋" w:cs="仿宋"/>
          <w:color w:val="auto"/>
          <w:sz w:val="24"/>
          <w:szCs w:val="24"/>
          <w:highlight w:val="none"/>
          <w:u w:val="single"/>
        </w:rPr>
        <w:t xml:space="preserve">                   </w:t>
      </w:r>
    </w:p>
    <w:p w14:paraId="054CC47F">
      <w:pPr>
        <w:pStyle w:val="8"/>
        <w:overflowPunct w:val="0"/>
        <w:spacing w:line="360" w:lineRule="auto"/>
        <w:ind w:firstLineChars="175"/>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FF46BB4">
      <w:pPr>
        <w:spacing w:line="360" w:lineRule="auto"/>
        <w:ind w:right="480" w:firstLine="240" w:firstLineChars="100"/>
        <w:contextualSpacing/>
        <w:jc w:val="center"/>
        <w:rPr>
          <w:rFonts w:ascii="仿宋" w:hAnsi="仿宋" w:eastAsia="仿宋" w:cs="仿宋"/>
          <w:b/>
          <w:bCs/>
          <w:color w:val="auto"/>
          <w:sz w:val="24"/>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日</w:t>
      </w:r>
    </w:p>
    <w:p w14:paraId="77B2FBE0">
      <w:pPr>
        <w:snapToGrid w:val="0"/>
        <w:spacing w:before="156" w:beforeLines="50" w:after="50" w:line="360" w:lineRule="auto"/>
        <w:ind w:right="480"/>
        <w:rPr>
          <w:rFonts w:ascii="仿宋" w:hAnsi="仿宋" w:eastAsia="仿宋" w:cs="仿宋"/>
          <w:b/>
          <w:color w:val="auto"/>
          <w:sz w:val="32"/>
          <w:szCs w:val="32"/>
          <w:highlight w:val="none"/>
        </w:rPr>
      </w:pPr>
      <w:r>
        <w:rPr>
          <w:rFonts w:hint="eastAsia" w:ascii="仿宋" w:hAnsi="仿宋" w:eastAsia="仿宋" w:cs="仿宋"/>
          <w:b/>
          <w:bCs/>
          <w:color w:val="auto"/>
          <w:sz w:val="32"/>
          <w:szCs w:val="32"/>
          <w:highlight w:val="none"/>
        </w:rPr>
        <w:br w:type="page"/>
      </w:r>
      <w:r>
        <w:rPr>
          <w:rFonts w:hint="eastAsia" w:ascii="仿宋" w:hAnsi="仿宋" w:eastAsia="仿宋" w:cs="仿宋"/>
          <w:b/>
          <w:bCs/>
          <w:color w:val="auto"/>
          <w:sz w:val="32"/>
          <w:szCs w:val="32"/>
          <w:highlight w:val="none"/>
        </w:rPr>
        <w:t>二、</w:t>
      </w:r>
      <w:r>
        <w:rPr>
          <w:rFonts w:hint="eastAsia" w:ascii="仿宋" w:hAnsi="仿宋" w:eastAsia="仿宋" w:cs="仿宋"/>
          <w:b/>
          <w:color w:val="auto"/>
          <w:sz w:val="32"/>
          <w:szCs w:val="32"/>
          <w:highlight w:val="none"/>
        </w:rPr>
        <w:t>报价商务技术文件格式</w:t>
      </w:r>
    </w:p>
    <w:p w14:paraId="6026BFBF">
      <w:pPr>
        <w:snapToGrid w:val="0"/>
        <w:spacing w:before="156" w:beforeLines="50" w:after="50" w:line="360" w:lineRule="auto"/>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1.报价商务技术文件封面格式</w:t>
      </w:r>
    </w:p>
    <w:p w14:paraId="2BE4B149">
      <w:pPr>
        <w:snapToGrid w:val="0"/>
        <w:spacing w:before="156" w:beforeLines="50" w:after="50"/>
        <w:rPr>
          <w:rFonts w:ascii="仿宋" w:hAnsi="仿宋" w:eastAsia="仿宋" w:cs="仿宋"/>
          <w:bCs/>
          <w:color w:val="auto"/>
          <w:sz w:val="32"/>
          <w:szCs w:val="20"/>
          <w:highlight w:val="none"/>
        </w:rPr>
      </w:pPr>
      <w:r>
        <w:rPr>
          <w:rFonts w:hint="eastAsia" w:ascii="仿宋" w:hAnsi="仿宋" w:eastAsia="仿宋" w:cs="仿宋"/>
          <w:color w:val="auto"/>
          <w:sz w:val="24"/>
          <w:highlight w:val="none"/>
        </w:rPr>
        <w:t xml:space="preserve">                                                   </w:t>
      </w:r>
    </w:p>
    <w:p w14:paraId="6EF56E49">
      <w:pPr>
        <w:snapToGrid w:val="0"/>
        <w:spacing w:before="156" w:beforeLines="50" w:after="50"/>
        <w:rPr>
          <w:rFonts w:ascii="仿宋" w:hAnsi="仿宋" w:eastAsia="仿宋" w:cs="仿宋"/>
          <w:color w:val="auto"/>
          <w:sz w:val="24"/>
          <w:szCs w:val="20"/>
          <w:highlight w:val="none"/>
        </w:rPr>
      </w:pPr>
    </w:p>
    <w:p w14:paraId="1DB1AE23">
      <w:pPr>
        <w:snapToGrid w:val="0"/>
        <w:spacing w:before="156" w:beforeLines="50" w:after="50"/>
        <w:jc w:val="center"/>
        <w:rPr>
          <w:rFonts w:ascii="仿宋" w:hAnsi="仿宋" w:eastAsia="仿宋" w:cs="仿宋"/>
          <w:bCs/>
          <w:color w:val="auto"/>
          <w:sz w:val="84"/>
          <w:szCs w:val="84"/>
          <w:highlight w:val="none"/>
        </w:rPr>
      </w:pPr>
      <w:r>
        <w:rPr>
          <w:rFonts w:hint="eastAsia" w:ascii="仿宋" w:hAnsi="仿宋" w:eastAsia="仿宋" w:cs="仿宋"/>
          <w:bCs/>
          <w:color w:val="auto"/>
          <w:sz w:val="84"/>
          <w:szCs w:val="84"/>
          <w:highlight w:val="none"/>
        </w:rPr>
        <w:t>响  应  文  件</w:t>
      </w:r>
    </w:p>
    <w:p w14:paraId="7A948703">
      <w:pPr>
        <w:snapToGrid w:val="0"/>
        <w:spacing w:before="156" w:beforeLines="50" w:after="50"/>
        <w:jc w:val="center"/>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报  价  商  务  技  术  文  件</w:t>
      </w:r>
    </w:p>
    <w:p w14:paraId="77D63D3D">
      <w:pPr>
        <w:snapToGrid w:val="0"/>
        <w:spacing w:before="156" w:beforeLines="50" w:after="50"/>
        <w:rPr>
          <w:rFonts w:ascii="仿宋" w:hAnsi="仿宋" w:eastAsia="仿宋" w:cs="仿宋"/>
          <w:bCs/>
          <w:color w:val="auto"/>
          <w:sz w:val="24"/>
          <w:szCs w:val="20"/>
          <w:highlight w:val="none"/>
        </w:rPr>
      </w:pPr>
    </w:p>
    <w:p w14:paraId="50651B6F">
      <w:pPr>
        <w:snapToGrid w:val="0"/>
        <w:spacing w:before="156" w:beforeLines="50" w:after="50"/>
        <w:rPr>
          <w:rFonts w:ascii="仿宋" w:hAnsi="仿宋" w:eastAsia="仿宋" w:cs="仿宋"/>
          <w:bCs/>
          <w:color w:val="auto"/>
          <w:sz w:val="24"/>
          <w:szCs w:val="20"/>
          <w:highlight w:val="none"/>
        </w:rPr>
      </w:pPr>
    </w:p>
    <w:p w14:paraId="0BBCA5EB">
      <w:pPr>
        <w:snapToGrid w:val="0"/>
        <w:spacing w:before="156" w:beforeLines="50" w:after="50"/>
        <w:ind w:firstLine="2100" w:firstLineChars="875"/>
        <w:rPr>
          <w:rFonts w:ascii="仿宋" w:hAnsi="仿宋" w:eastAsia="仿宋" w:cs="仿宋"/>
          <w:bCs/>
          <w:color w:val="auto"/>
          <w:sz w:val="24"/>
          <w:szCs w:val="20"/>
          <w:highlight w:val="none"/>
        </w:rPr>
      </w:pPr>
    </w:p>
    <w:p w14:paraId="29E06203">
      <w:pPr>
        <w:snapToGrid w:val="0"/>
        <w:spacing w:before="156" w:beforeLines="50" w:after="50"/>
        <w:ind w:firstLine="2100" w:firstLineChars="875"/>
        <w:rPr>
          <w:rFonts w:ascii="仿宋" w:hAnsi="仿宋" w:eastAsia="仿宋" w:cs="仿宋"/>
          <w:bCs/>
          <w:color w:val="auto"/>
          <w:sz w:val="24"/>
          <w:szCs w:val="20"/>
          <w:highlight w:val="none"/>
        </w:rPr>
      </w:pPr>
    </w:p>
    <w:p w14:paraId="3683EDE1">
      <w:pPr>
        <w:snapToGrid w:val="0"/>
        <w:spacing w:before="156" w:beforeLines="50" w:after="50"/>
        <w:ind w:firstLine="2100" w:firstLineChars="875"/>
        <w:rPr>
          <w:rFonts w:ascii="仿宋" w:hAnsi="仿宋" w:eastAsia="仿宋" w:cs="仿宋"/>
          <w:bCs/>
          <w:color w:val="auto"/>
          <w:sz w:val="24"/>
          <w:szCs w:val="20"/>
          <w:highlight w:val="none"/>
        </w:rPr>
      </w:pPr>
    </w:p>
    <w:p w14:paraId="0565FB36">
      <w:pPr>
        <w:snapToGrid w:val="0"/>
        <w:spacing w:before="156" w:beforeLines="50" w:after="50"/>
        <w:ind w:firstLine="2800" w:firstLineChars="87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项目名称：</w:t>
      </w:r>
    </w:p>
    <w:p w14:paraId="4D744B5A">
      <w:pPr>
        <w:snapToGrid w:val="0"/>
        <w:spacing w:before="156" w:beforeLines="50" w:after="50"/>
        <w:ind w:firstLine="2800" w:firstLineChars="875"/>
        <w:rPr>
          <w:rFonts w:ascii="仿宋" w:hAnsi="仿宋" w:eastAsia="仿宋" w:cs="仿宋"/>
          <w:bCs/>
          <w:color w:val="auto"/>
          <w:sz w:val="32"/>
          <w:szCs w:val="32"/>
          <w:highlight w:val="none"/>
        </w:rPr>
      </w:pPr>
    </w:p>
    <w:p w14:paraId="0A357D9A">
      <w:pPr>
        <w:snapToGrid w:val="0"/>
        <w:spacing w:before="156" w:beforeLines="50" w:after="50"/>
        <w:ind w:firstLine="2800" w:firstLineChars="87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项目编号：</w:t>
      </w:r>
    </w:p>
    <w:p w14:paraId="6EC50B80">
      <w:pPr>
        <w:snapToGrid w:val="0"/>
        <w:spacing w:before="156" w:beforeLines="50" w:after="50"/>
        <w:ind w:firstLine="2800" w:firstLineChars="87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 xml:space="preserve"> </w:t>
      </w:r>
    </w:p>
    <w:p w14:paraId="4ABCEFD8">
      <w:pPr>
        <w:snapToGrid w:val="0"/>
        <w:spacing w:before="156" w:beforeLines="50" w:after="50"/>
        <w:ind w:firstLine="2800" w:firstLineChars="87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所竞分标（如有）：</w:t>
      </w:r>
    </w:p>
    <w:p w14:paraId="2F981481">
      <w:pPr>
        <w:snapToGrid w:val="0"/>
        <w:spacing w:before="156" w:beforeLines="50" w:after="50"/>
        <w:ind w:firstLine="2800" w:firstLineChars="875"/>
        <w:rPr>
          <w:rFonts w:ascii="仿宋" w:hAnsi="仿宋" w:eastAsia="仿宋" w:cs="仿宋"/>
          <w:bCs/>
          <w:color w:val="auto"/>
          <w:sz w:val="32"/>
          <w:szCs w:val="32"/>
          <w:highlight w:val="none"/>
        </w:rPr>
      </w:pPr>
    </w:p>
    <w:p w14:paraId="317A6E91">
      <w:pPr>
        <w:pStyle w:val="8"/>
        <w:snapToGrid w:val="0"/>
        <w:spacing w:before="50" w:after="50"/>
        <w:ind w:firstLine="2800" w:firstLineChars="875"/>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供应商名称：</w:t>
      </w:r>
    </w:p>
    <w:p w14:paraId="51054480">
      <w:pPr>
        <w:pStyle w:val="8"/>
        <w:snapToGrid w:val="0"/>
        <w:spacing w:before="50" w:after="50"/>
        <w:ind w:firstLine="2800" w:firstLineChars="875"/>
        <w:rPr>
          <w:rFonts w:ascii="仿宋" w:hAnsi="仿宋" w:eastAsia="仿宋" w:cs="仿宋"/>
          <w:bCs/>
          <w:color w:val="auto"/>
          <w:sz w:val="32"/>
          <w:szCs w:val="32"/>
          <w:highlight w:val="none"/>
        </w:rPr>
      </w:pPr>
    </w:p>
    <w:p w14:paraId="1A48D560">
      <w:pPr>
        <w:pStyle w:val="8"/>
        <w:snapToGrid w:val="0"/>
        <w:spacing w:before="50" w:after="50"/>
        <w:ind w:firstLine="720" w:firstLineChars="225"/>
        <w:rPr>
          <w:rFonts w:ascii="仿宋" w:hAnsi="仿宋" w:eastAsia="仿宋" w:cs="仿宋"/>
          <w:bCs/>
          <w:color w:val="auto"/>
          <w:sz w:val="32"/>
          <w:szCs w:val="32"/>
          <w:highlight w:val="none"/>
        </w:rPr>
      </w:pPr>
    </w:p>
    <w:p w14:paraId="685BACA0">
      <w:pPr>
        <w:pStyle w:val="8"/>
        <w:snapToGrid w:val="0"/>
        <w:spacing w:before="50" w:after="50"/>
        <w:ind w:firstLine="1280" w:firstLineChars="400"/>
        <w:rPr>
          <w:rFonts w:ascii="仿宋" w:hAnsi="仿宋" w:eastAsia="仿宋" w:cs="仿宋"/>
          <w:bCs/>
          <w:color w:val="auto"/>
          <w:sz w:val="32"/>
          <w:szCs w:val="32"/>
          <w:highlight w:val="none"/>
        </w:rPr>
      </w:pPr>
    </w:p>
    <w:p w14:paraId="49B509FD">
      <w:pPr>
        <w:snapToGrid w:val="0"/>
        <w:spacing w:before="156" w:beforeLines="50" w:after="5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    月    日</w:t>
      </w:r>
    </w:p>
    <w:p w14:paraId="503A2C1C">
      <w:pPr>
        <w:snapToGrid w:val="0"/>
        <w:spacing w:before="156" w:beforeLines="50" w:after="50" w:line="360" w:lineRule="auto"/>
        <w:ind w:left="142"/>
        <w:jc w:val="left"/>
        <w:rPr>
          <w:rFonts w:ascii="仿宋" w:hAnsi="仿宋" w:eastAsia="仿宋" w:cs="仿宋"/>
          <w:b/>
          <w:bCs/>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rPr>
        <w:t>2.报价商务技术文件目录</w:t>
      </w:r>
    </w:p>
    <w:p w14:paraId="6D0E38E4">
      <w:pPr>
        <w:snapToGrid w:val="0"/>
        <w:spacing w:before="156" w:beforeLines="50" w:after="50" w:line="360" w:lineRule="auto"/>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根据磋商文件规定及供应商提供的材料自行编写目录（部分格式后附）。</w:t>
      </w:r>
    </w:p>
    <w:p w14:paraId="170284E3">
      <w:pPr>
        <w:spacing w:line="400" w:lineRule="exact"/>
        <w:rPr>
          <w:rFonts w:ascii="仿宋" w:hAnsi="仿宋" w:eastAsia="仿宋" w:cs="仿宋"/>
          <w:color w:val="auto"/>
          <w:sz w:val="32"/>
          <w:szCs w:val="32"/>
          <w:highlight w:val="none"/>
        </w:rPr>
      </w:pPr>
    </w:p>
    <w:p w14:paraId="1582973B">
      <w:pPr>
        <w:jc w:val="center"/>
        <w:rPr>
          <w:rFonts w:hint="eastAsia" w:ascii="仿宋" w:hAnsi="仿宋" w:eastAsia="仿宋" w:cs="仿宋"/>
          <w:b/>
          <w:color w:val="auto"/>
          <w:sz w:val="32"/>
          <w:szCs w:val="32"/>
          <w:highlight w:val="none"/>
          <w:lang w:eastAsia="zh-CN"/>
        </w:rPr>
      </w:pPr>
      <w:r>
        <w:rPr>
          <w:rFonts w:hint="eastAsia" w:ascii="仿宋" w:hAnsi="仿宋" w:eastAsia="仿宋" w:cs="仿宋"/>
          <w:color w:val="auto"/>
          <w:sz w:val="44"/>
          <w:szCs w:val="44"/>
          <w:highlight w:val="none"/>
        </w:rPr>
        <w:br w:type="page"/>
      </w:r>
      <w:r>
        <w:rPr>
          <w:rFonts w:hint="eastAsia" w:ascii="仿宋" w:hAnsi="仿宋" w:eastAsia="仿宋" w:cs="仿宋"/>
          <w:b/>
          <w:color w:val="auto"/>
          <w:sz w:val="44"/>
          <w:szCs w:val="44"/>
          <w:highlight w:val="none"/>
          <w:lang w:eastAsia="zh-CN"/>
        </w:rPr>
        <w:t>无串通磋商行为的承诺函</w:t>
      </w:r>
    </w:p>
    <w:p w14:paraId="09824A12">
      <w:pPr>
        <w:spacing w:line="360" w:lineRule="auto"/>
        <w:ind w:firstLine="640" w:firstLineChars="200"/>
        <w:contextualSpacing/>
        <w:rPr>
          <w:rFonts w:ascii="仿宋" w:hAnsi="仿宋" w:eastAsia="仿宋" w:cs="仿宋"/>
          <w:color w:val="auto"/>
          <w:sz w:val="32"/>
          <w:szCs w:val="32"/>
          <w:highlight w:val="none"/>
        </w:rPr>
      </w:pPr>
    </w:p>
    <w:p w14:paraId="6B2BB3D5">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一、我方承诺无下列相互串通参与</w:t>
      </w:r>
      <w:r>
        <w:rPr>
          <w:rFonts w:hint="eastAsia" w:ascii="仿宋" w:hAnsi="仿宋" w:eastAsia="仿宋" w:cs="仿宋"/>
          <w:color w:val="auto"/>
          <w:sz w:val="24"/>
          <w:highlight w:val="none"/>
        </w:rPr>
        <w:t>竞争性磋商</w:t>
      </w:r>
      <w:r>
        <w:rPr>
          <w:rFonts w:hint="eastAsia" w:ascii="仿宋" w:hAnsi="仿宋" w:eastAsia="仿宋" w:cs="仿宋"/>
          <w:b/>
          <w:bCs/>
          <w:color w:val="auto"/>
          <w:sz w:val="24"/>
          <w:highlight w:val="none"/>
        </w:rPr>
        <w:t>的情形：</w:t>
      </w:r>
    </w:p>
    <w:p w14:paraId="6188CF15">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1.不同供应商的响应文件由同一单位或者个人编制； </w:t>
      </w:r>
    </w:p>
    <w:p w14:paraId="0FA601BE">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2.不同供应商委托同一单位或者个人办理参与竞争性磋商事宜；</w:t>
      </w:r>
    </w:p>
    <w:p w14:paraId="0C4FC4CB">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3.不同供应商的响应文件载明的项目管理员为同一个人；</w:t>
      </w:r>
    </w:p>
    <w:p w14:paraId="7023A54F">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4.不</w:t>
      </w:r>
      <w:r>
        <w:rPr>
          <w:rFonts w:hint="eastAsia" w:ascii="仿宋" w:hAnsi="仿宋" w:eastAsia="仿宋" w:cs="仿宋"/>
          <w:color w:val="auto"/>
          <w:spacing w:val="-6"/>
          <w:sz w:val="24"/>
          <w:highlight w:val="none"/>
        </w:rPr>
        <w:t>同供应商的响应文件异常一致或者参与</w:t>
      </w:r>
      <w:r>
        <w:rPr>
          <w:rFonts w:hint="eastAsia" w:ascii="仿宋" w:hAnsi="仿宋" w:eastAsia="仿宋" w:cs="仿宋"/>
          <w:color w:val="auto"/>
          <w:sz w:val="24"/>
          <w:highlight w:val="none"/>
        </w:rPr>
        <w:t>竞争性磋商</w:t>
      </w:r>
      <w:r>
        <w:rPr>
          <w:rFonts w:hint="eastAsia" w:ascii="仿宋" w:hAnsi="仿宋" w:eastAsia="仿宋" w:cs="仿宋"/>
          <w:color w:val="auto"/>
          <w:spacing w:val="-6"/>
          <w:sz w:val="24"/>
          <w:highlight w:val="none"/>
        </w:rPr>
        <w:t>报价呈规律性差异；</w:t>
      </w:r>
    </w:p>
    <w:p w14:paraId="26431311">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5.不同供应商的响应文件相互混装；</w:t>
      </w:r>
    </w:p>
    <w:p w14:paraId="69519C60">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6.不同供应商的磋商保证金从同一单位或者个人账户转出。</w:t>
      </w:r>
    </w:p>
    <w:p w14:paraId="5383380F">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二、我方承诺无下列恶意串通的情形：</w:t>
      </w:r>
    </w:p>
    <w:p w14:paraId="490FB0D1">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1.供应商直接或者间接从采购人或者采购代理机构处获得其他供应商的相关信息并修改其响应文件；</w:t>
      </w:r>
    </w:p>
    <w:p w14:paraId="65AF68BB">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2.供应商按照采购人或者采购代理机构的授意撤换、修改响应文件；</w:t>
      </w:r>
    </w:p>
    <w:p w14:paraId="06438899">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3.供</w:t>
      </w:r>
      <w:r>
        <w:rPr>
          <w:rFonts w:hint="eastAsia" w:ascii="仿宋" w:hAnsi="仿宋" w:eastAsia="仿宋" w:cs="仿宋"/>
          <w:color w:val="auto"/>
          <w:spacing w:val="-6"/>
          <w:sz w:val="24"/>
          <w:highlight w:val="none"/>
        </w:rPr>
        <w:t>应商之间协商报价、技术方案等响应文件的实质性内容；</w:t>
      </w:r>
    </w:p>
    <w:p w14:paraId="67E7D63D">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6ECFB7FC">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5.供应商之间事先约定一致抬高或者压低竞争性磋商报价，或者在竞争性磋商项目中事先约定轮流以高价位或者低价位成交，或者事先约定由某一特定供应商成交，然后再</w:t>
      </w:r>
      <w:r>
        <w:rPr>
          <w:rFonts w:hint="eastAsia" w:ascii="仿宋" w:hAnsi="仿宋" w:eastAsia="仿宋" w:cs="仿宋"/>
          <w:color w:val="auto"/>
          <w:sz w:val="24"/>
          <w:highlight w:val="none"/>
          <w:lang w:eastAsia="zh-CN"/>
        </w:rPr>
        <w:t>参与磋商</w:t>
      </w:r>
      <w:r>
        <w:rPr>
          <w:rFonts w:hint="eastAsia" w:ascii="仿宋" w:hAnsi="仿宋" w:eastAsia="仿宋" w:cs="仿宋"/>
          <w:color w:val="auto"/>
          <w:sz w:val="24"/>
          <w:highlight w:val="none"/>
        </w:rPr>
        <w:t>；</w:t>
      </w:r>
    </w:p>
    <w:p w14:paraId="03C01227">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6.供应商之间商定部分供应商放弃参加政府采购活动或者放弃成交；</w:t>
      </w:r>
    </w:p>
    <w:p w14:paraId="5B053423">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w:t>
      </w:r>
      <w:r>
        <w:rPr>
          <w:rFonts w:hint="eastAsia" w:ascii="仿宋" w:hAnsi="仿宋" w:eastAsia="仿宋" w:cs="仿宋"/>
          <w:color w:val="auto"/>
          <w:spacing w:val="-6"/>
          <w:sz w:val="24"/>
          <w:highlight w:val="none"/>
        </w:rPr>
        <w:t>谋求特定供应商成交或者排斥其他供应商的其他串通行为。</w:t>
      </w:r>
    </w:p>
    <w:p w14:paraId="08721AB9">
      <w:pPr>
        <w:spacing w:line="360" w:lineRule="auto"/>
        <w:ind w:firstLine="480" w:firstLineChars="200"/>
        <w:contextualSpacing/>
        <w:rPr>
          <w:rFonts w:ascii="仿宋" w:hAnsi="仿宋" w:eastAsia="仿宋" w:cs="仿宋"/>
          <w:color w:val="auto"/>
          <w:sz w:val="24"/>
          <w:highlight w:val="none"/>
        </w:rPr>
      </w:pPr>
    </w:p>
    <w:p w14:paraId="3C0D92AE">
      <w:pPr>
        <w:spacing w:line="360" w:lineRule="auto"/>
        <w:ind w:firstLine="482" w:firstLineChars="200"/>
        <w:contextualSpacing/>
        <w:rPr>
          <w:rFonts w:ascii="仿宋" w:hAnsi="仿宋" w:eastAsia="仿宋" w:cs="仿宋"/>
          <w:b/>
          <w:bCs/>
          <w:color w:val="auto"/>
          <w:sz w:val="24"/>
          <w:highlight w:val="none"/>
        </w:rPr>
      </w:pPr>
      <w:r>
        <w:rPr>
          <w:rFonts w:hint="eastAsia" w:ascii="仿宋" w:hAnsi="仿宋" w:eastAsia="仿宋" w:cs="仿宋"/>
          <w:b/>
          <w:bCs/>
          <w:color w:val="auto"/>
          <w:sz w:val="24"/>
          <w:highlight w:val="none"/>
        </w:rPr>
        <w:t>以上情形一经核查属实，我方愿意承担一切后果，并不再寻求任何旨在减轻或者免除法律责任的辩解。</w:t>
      </w:r>
    </w:p>
    <w:p w14:paraId="3CC09CE4">
      <w:pPr>
        <w:spacing w:line="360" w:lineRule="auto"/>
        <w:contextualSpacing/>
        <w:rPr>
          <w:rFonts w:ascii="仿宋" w:hAnsi="仿宋" w:eastAsia="仿宋" w:cs="仿宋"/>
          <w:color w:val="auto"/>
          <w:sz w:val="24"/>
          <w:highlight w:val="none"/>
        </w:rPr>
      </w:pPr>
    </w:p>
    <w:p w14:paraId="71B3BE7D">
      <w:pPr>
        <w:spacing w:line="360" w:lineRule="auto"/>
        <w:ind w:firstLine="5040" w:firstLineChars="210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供应商（公章）：</w:t>
      </w:r>
      <w:r>
        <w:rPr>
          <w:rFonts w:hint="eastAsia" w:ascii="仿宋" w:hAnsi="仿宋" w:eastAsia="仿宋" w:cs="仿宋"/>
          <w:color w:val="auto"/>
          <w:sz w:val="24"/>
          <w:highlight w:val="none"/>
          <w:u w:val="single"/>
        </w:rPr>
        <w:t xml:space="preserve">               </w:t>
      </w:r>
    </w:p>
    <w:p w14:paraId="5BFE8520">
      <w:pPr>
        <w:spacing w:line="360" w:lineRule="auto"/>
        <w:ind w:firstLine="480" w:firstLineChars="200"/>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758BDC2">
      <w:pPr>
        <w:jc w:val="center"/>
        <w:rPr>
          <w:rFonts w:ascii="仿宋" w:hAnsi="仿宋" w:eastAsia="仿宋" w:cs="仿宋"/>
          <w:b/>
          <w:bCs/>
          <w:color w:val="auto"/>
          <w:sz w:val="32"/>
          <w:szCs w:val="32"/>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
          <w:bCs/>
          <w:color w:val="auto"/>
          <w:sz w:val="44"/>
          <w:szCs w:val="44"/>
          <w:highlight w:val="none"/>
        </w:rPr>
        <w:t>竞争性磋商报价表</w:t>
      </w:r>
    </w:p>
    <w:p w14:paraId="482E248F">
      <w:pPr>
        <w:spacing w:line="440" w:lineRule="exact"/>
        <w:jc w:val="center"/>
        <w:rPr>
          <w:rFonts w:ascii="仿宋" w:hAnsi="仿宋" w:eastAsia="仿宋" w:cs="仿宋"/>
          <w:bCs/>
          <w:color w:val="auto"/>
          <w:sz w:val="32"/>
          <w:szCs w:val="32"/>
          <w:highlight w:val="none"/>
        </w:rPr>
      </w:pPr>
    </w:p>
    <w:p w14:paraId="211E0D85">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1F4E719">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分标（如有）：</w:t>
      </w:r>
      <w:r>
        <w:rPr>
          <w:rFonts w:hint="eastAsia" w:ascii="仿宋" w:hAnsi="仿宋" w:eastAsia="仿宋" w:cs="仿宋"/>
          <w:color w:val="auto"/>
          <w:sz w:val="24"/>
          <w:highlight w:val="none"/>
          <w:u w:val="single"/>
        </w:rPr>
        <w:t xml:space="preserve">                                         </w:t>
      </w:r>
    </w:p>
    <w:p w14:paraId="452A3466">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6E7B0E91">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 xml:space="preserve">                                                    货币单位：人民币元</w:t>
      </w:r>
    </w:p>
    <w:tbl>
      <w:tblPr>
        <w:tblStyle w:val="29"/>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764"/>
        <w:gridCol w:w="1215"/>
        <w:gridCol w:w="5344"/>
      </w:tblGrid>
      <w:tr w14:paraId="382D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387136D3">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64" w:type="dxa"/>
            <w:tcBorders>
              <w:top w:val="single" w:color="auto" w:sz="4" w:space="0"/>
              <w:left w:val="single" w:color="auto" w:sz="4" w:space="0"/>
              <w:bottom w:val="single" w:color="auto" w:sz="4" w:space="0"/>
              <w:right w:val="single" w:color="auto" w:sz="4" w:space="0"/>
            </w:tcBorders>
            <w:vAlign w:val="center"/>
          </w:tcPr>
          <w:p w14:paraId="2BDBC7EB">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服务名称</w:t>
            </w:r>
          </w:p>
        </w:tc>
        <w:tc>
          <w:tcPr>
            <w:tcW w:w="1215" w:type="dxa"/>
            <w:tcBorders>
              <w:top w:val="single" w:color="auto" w:sz="4" w:space="0"/>
              <w:left w:val="single" w:color="auto" w:sz="4" w:space="0"/>
              <w:bottom w:val="single" w:color="auto" w:sz="4" w:space="0"/>
              <w:right w:val="single" w:color="auto" w:sz="4" w:space="0"/>
            </w:tcBorders>
            <w:vAlign w:val="center"/>
          </w:tcPr>
          <w:p w14:paraId="1AFB8A90">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数量</w:t>
            </w:r>
          </w:p>
        </w:tc>
        <w:tc>
          <w:tcPr>
            <w:tcW w:w="5344" w:type="dxa"/>
            <w:tcBorders>
              <w:top w:val="single" w:color="auto" w:sz="4" w:space="0"/>
              <w:left w:val="single" w:color="auto" w:sz="4" w:space="0"/>
              <w:bottom w:val="single" w:color="auto" w:sz="4" w:space="0"/>
              <w:right w:val="single" w:color="auto" w:sz="4" w:space="0"/>
            </w:tcBorders>
            <w:vAlign w:val="center"/>
          </w:tcPr>
          <w:p w14:paraId="6F320D25">
            <w:pPr>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技术要求</w:t>
            </w:r>
          </w:p>
        </w:tc>
      </w:tr>
      <w:tr w14:paraId="147D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4C9148C">
            <w:pPr>
              <w:spacing w:line="360" w:lineRule="auto"/>
              <w:jc w:val="center"/>
              <w:rPr>
                <w:rFonts w:ascii="仿宋" w:hAnsi="仿宋" w:eastAsia="仿宋" w:cs="仿宋"/>
                <w:color w:val="auto"/>
                <w:sz w:val="24"/>
                <w:highlight w:val="none"/>
              </w:rPr>
            </w:pPr>
          </w:p>
        </w:tc>
        <w:tc>
          <w:tcPr>
            <w:tcW w:w="1764" w:type="dxa"/>
            <w:tcBorders>
              <w:top w:val="single" w:color="auto" w:sz="4" w:space="0"/>
              <w:left w:val="single" w:color="auto" w:sz="4" w:space="0"/>
              <w:bottom w:val="single" w:color="auto" w:sz="4" w:space="0"/>
              <w:right w:val="single" w:color="auto" w:sz="4" w:space="0"/>
            </w:tcBorders>
            <w:vAlign w:val="center"/>
          </w:tcPr>
          <w:p w14:paraId="5E2CB2A7">
            <w:pPr>
              <w:spacing w:line="360" w:lineRule="auto"/>
              <w:jc w:val="center"/>
              <w:rPr>
                <w:rFonts w:ascii="仿宋" w:hAnsi="仿宋" w:eastAsia="仿宋" w:cs="仿宋"/>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6E21800B">
            <w:pPr>
              <w:spacing w:line="360" w:lineRule="auto"/>
              <w:jc w:val="center"/>
              <w:rPr>
                <w:rFonts w:ascii="仿宋" w:hAnsi="仿宋" w:eastAsia="仿宋" w:cs="仿宋"/>
                <w:color w:val="auto"/>
                <w:sz w:val="24"/>
                <w:highlight w:val="none"/>
              </w:rPr>
            </w:pPr>
          </w:p>
        </w:tc>
        <w:tc>
          <w:tcPr>
            <w:tcW w:w="5344" w:type="dxa"/>
            <w:tcBorders>
              <w:top w:val="single" w:color="auto" w:sz="4" w:space="0"/>
              <w:left w:val="single" w:color="auto" w:sz="4" w:space="0"/>
              <w:bottom w:val="single" w:color="auto" w:sz="4" w:space="0"/>
              <w:right w:val="single" w:color="auto" w:sz="4" w:space="0"/>
            </w:tcBorders>
            <w:vAlign w:val="center"/>
          </w:tcPr>
          <w:p w14:paraId="5A866294">
            <w:pPr>
              <w:spacing w:line="360" w:lineRule="auto"/>
              <w:jc w:val="center"/>
              <w:rPr>
                <w:rFonts w:ascii="仿宋" w:hAnsi="仿宋" w:eastAsia="仿宋" w:cs="仿宋"/>
                <w:color w:val="auto"/>
                <w:sz w:val="24"/>
                <w:highlight w:val="none"/>
              </w:rPr>
            </w:pPr>
          </w:p>
        </w:tc>
      </w:tr>
      <w:tr w14:paraId="5C73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016" w:type="dxa"/>
            <w:gridSpan w:val="4"/>
            <w:tcBorders>
              <w:top w:val="single" w:color="auto" w:sz="4" w:space="0"/>
              <w:left w:val="single" w:color="auto" w:sz="4" w:space="0"/>
              <w:bottom w:val="single" w:color="auto" w:sz="4" w:space="0"/>
              <w:right w:val="single" w:color="auto" w:sz="4" w:space="0"/>
            </w:tcBorders>
            <w:vAlign w:val="center"/>
          </w:tcPr>
          <w:p w14:paraId="4F31484E">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合计金额（人民币大写）：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c>
      </w:tr>
    </w:tbl>
    <w:p w14:paraId="6AADBC27">
      <w:pPr>
        <w:spacing w:line="360" w:lineRule="auto"/>
        <w:contextualSpacing/>
        <w:jc w:val="left"/>
        <w:rPr>
          <w:rFonts w:ascii="仿宋" w:hAnsi="仿宋" w:eastAsia="仿宋" w:cs="仿宋"/>
          <w:color w:val="auto"/>
          <w:sz w:val="24"/>
          <w:highlight w:val="none"/>
        </w:rPr>
      </w:pPr>
    </w:p>
    <w:p w14:paraId="19940EEA">
      <w:pPr>
        <w:spacing w:line="360" w:lineRule="auto"/>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注： </w:t>
      </w:r>
    </w:p>
    <w:p w14:paraId="45C0F29D">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1.供应商的报价表必须加盖供应商公章并由法定代表人或者委托代理人签字，</w:t>
      </w:r>
      <w:r>
        <w:rPr>
          <w:rFonts w:hint="eastAsia" w:ascii="仿宋" w:hAnsi="仿宋" w:eastAsia="仿宋" w:cs="仿宋"/>
          <w:b/>
          <w:color w:val="auto"/>
          <w:sz w:val="24"/>
          <w:highlight w:val="none"/>
        </w:rPr>
        <w:t>否则其响应文件按无效响应处理</w:t>
      </w:r>
      <w:r>
        <w:rPr>
          <w:rFonts w:hint="eastAsia" w:ascii="仿宋" w:hAnsi="仿宋" w:eastAsia="仿宋" w:cs="仿宋"/>
          <w:color w:val="auto"/>
          <w:sz w:val="24"/>
          <w:highlight w:val="none"/>
        </w:rPr>
        <w:t>。</w:t>
      </w:r>
    </w:p>
    <w:p w14:paraId="74B826E9">
      <w:pPr>
        <w:spacing w:line="360" w:lineRule="auto"/>
        <w:ind w:firstLine="480" w:firstLineChars="200"/>
        <w:contextualSpacing/>
        <w:jc w:val="left"/>
        <w:rPr>
          <w:rFonts w:ascii="仿宋" w:hAnsi="仿宋" w:eastAsia="仿宋" w:cs="仿宋"/>
          <w:b/>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报价一经涂改，应在涂改处加盖供应商公章或者由法定代表人或者委托代理人签字或者盖章</w:t>
      </w:r>
      <w:r>
        <w:rPr>
          <w:rFonts w:hint="eastAsia" w:ascii="仿宋" w:hAnsi="仿宋" w:eastAsia="仿宋" w:cs="仿宋"/>
          <w:b/>
          <w:color w:val="auto"/>
          <w:sz w:val="24"/>
          <w:highlight w:val="none"/>
        </w:rPr>
        <w:t>，否则其响应文件按无效响应处理。</w:t>
      </w:r>
    </w:p>
    <w:p w14:paraId="1EDA4EB6">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3.如为联合体参与竞争性磋商，“供应商名称”处必须列明联合体各方名称，标注联合体牵头人名称，</w:t>
      </w:r>
      <w:r>
        <w:rPr>
          <w:rFonts w:hint="eastAsia" w:ascii="仿宋" w:hAnsi="仿宋" w:eastAsia="仿宋" w:cs="仿宋"/>
          <w:b/>
          <w:color w:val="auto"/>
          <w:sz w:val="24"/>
          <w:highlight w:val="none"/>
        </w:rPr>
        <w:t>否则其响应文件按无效响应处理。（采购人可根据项目情况自行修改是否需要联合体各方签字盖章）。</w:t>
      </w:r>
    </w:p>
    <w:p w14:paraId="4489A699">
      <w:pPr>
        <w:spacing w:line="360" w:lineRule="auto"/>
        <w:ind w:firstLine="480" w:firstLineChars="200"/>
        <w:contextualSpacing/>
        <w:jc w:val="left"/>
        <w:rPr>
          <w:rFonts w:ascii="仿宋" w:hAnsi="仿宋" w:eastAsia="仿宋" w:cs="仿宋"/>
          <w:color w:val="auto"/>
          <w:sz w:val="24"/>
          <w:highlight w:val="none"/>
        </w:rPr>
      </w:pPr>
      <w:r>
        <w:rPr>
          <w:rFonts w:hint="eastAsia" w:ascii="仿宋" w:hAnsi="仿宋" w:eastAsia="仿宋" w:cs="仿宋"/>
          <w:color w:val="auto"/>
          <w:sz w:val="24"/>
          <w:highlight w:val="none"/>
        </w:rPr>
        <w:t>4.如为联合体参与竞争性磋商，盖章处须加盖联合体各方公章，</w:t>
      </w:r>
      <w:bookmarkStart w:id="42" w:name="_Hlk65851776"/>
      <w:r>
        <w:rPr>
          <w:rFonts w:hint="eastAsia" w:ascii="仿宋" w:hAnsi="仿宋" w:eastAsia="仿宋" w:cs="仿宋"/>
          <w:b/>
          <w:color w:val="auto"/>
          <w:sz w:val="24"/>
          <w:highlight w:val="none"/>
        </w:rPr>
        <w:t>否则其响应文件按无效响应处理。</w:t>
      </w:r>
      <w:bookmarkEnd w:id="42"/>
      <w:r>
        <w:rPr>
          <w:rFonts w:hint="eastAsia" w:ascii="仿宋" w:hAnsi="仿宋" w:eastAsia="仿宋" w:cs="仿宋"/>
          <w:b/>
          <w:color w:val="auto"/>
          <w:sz w:val="24"/>
          <w:highlight w:val="none"/>
        </w:rPr>
        <w:t>（采购人可根据项目情况自行修改是否需要联合体各方签字盖章）。</w:t>
      </w:r>
    </w:p>
    <w:p w14:paraId="15C91943">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pacing w:val="-6"/>
          <w:sz w:val="24"/>
          <w:highlight w:val="none"/>
        </w:rPr>
        <w:t>如有多分标，分别列明各分标的报价表，</w:t>
      </w:r>
      <w:r>
        <w:rPr>
          <w:rFonts w:hint="eastAsia" w:ascii="仿宋" w:hAnsi="仿宋" w:eastAsia="仿宋" w:cs="仿宋"/>
          <w:b/>
          <w:color w:val="auto"/>
          <w:spacing w:val="-6"/>
          <w:sz w:val="24"/>
          <w:highlight w:val="none"/>
        </w:rPr>
        <w:t>否则其响应文件按无效响应处理。</w:t>
      </w:r>
    </w:p>
    <w:p w14:paraId="2EF6C333">
      <w:pPr>
        <w:spacing w:line="360" w:lineRule="auto"/>
        <w:ind w:right="-817" w:rightChars="-389"/>
        <w:contextualSpacing/>
        <w:rPr>
          <w:rFonts w:ascii="仿宋" w:hAnsi="仿宋" w:eastAsia="仿宋" w:cs="仿宋"/>
          <w:color w:val="auto"/>
          <w:sz w:val="24"/>
          <w:highlight w:val="none"/>
        </w:rPr>
      </w:pPr>
    </w:p>
    <w:p w14:paraId="41DAE24E">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49A3B3B">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E5FED65">
      <w:pPr>
        <w:spacing w:line="360" w:lineRule="auto"/>
        <w:ind w:right="-817" w:rightChars="-389" w:firstLine="4080" w:firstLineChars="1700"/>
        <w:contextualSpacing/>
        <w:rPr>
          <w:rFonts w:ascii="仿宋" w:hAnsi="仿宋" w:eastAsia="仿宋" w:cs="仿宋"/>
          <w:b/>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3EE8DA6">
      <w:pPr>
        <w:spacing w:line="360" w:lineRule="auto"/>
        <w:contextualSpacing/>
        <w:jc w:val="center"/>
        <w:rPr>
          <w:rFonts w:ascii="仿宋" w:hAnsi="仿宋" w:eastAsia="仿宋" w:cs="仿宋"/>
          <w:b/>
          <w:color w:val="auto"/>
          <w:sz w:val="32"/>
          <w:szCs w:val="32"/>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44"/>
          <w:szCs w:val="44"/>
          <w:highlight w:val="none"/>
        </w:rPr>
        <w:t>法定代表人身份证明</w:t>
      </w:r>
    </w:p>
    <w:p w14:paraId="3D0399CD">
      <w:pPr>
        <w:spacing w:line="360" w:lineRule="auto"/>
        <w:ind w:left="540"/>
        <w:contextualSpacing/>
        <w:rPr>
          <w:rFonts w:ascii="仿宋" w:hAnsi="仿宋" w:eastAsia="仿宋" w:cs="仿宋"/>
          <w:color w:val="auto"/>
          <w:sz w:val="32"/>
          <w:szCs w:val="32"/>
          <w:highlight w:val="none"/>
        </w:rPr>
      </w:pPr>
    </w:p>
    <w:p w14:paraId="1A3F1632">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p>
    <w:p w14:paraId="477DB55B">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262412B6">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姓    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性     别：</w:t>
      </w:r>
      <w:r>
        <w:rPr>
          <w:rFonts w:hint="eastAsia" w:ascii="仿宋" w:hAnsi="仿宋" w:eastAsia="仿宋" w:cs="仿宋"/>
          <w:color w:val="auto"/>
          <w:sz w:val="24"/>
          <w:highlight w:val="none"/>
          <w:u w:val="single"/>
        </w:rPr>
        <w:t xml:space="preserve">                </w:t>
      </w:r>
    </w:p>
    <w:p w14:paraId="587828D0">
      <w:pPr>
        <w:spacing w:line="360" w:lineRule="auto"/>
        <w:ind w:left="54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年    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     务：</w:t>
      </w:r>
      <w:r>
        <w:rPr>
          <w:rFonts w:hint="eastAsia" w:ascii="仿宋" w:hAnsi="仿宋" w:eastAsia="仿宋" w:cs="仿宋"/>
          <w:color w:val="auto"/>
          <w:sz w:val="24"/>
          <w:highlight w:val="none"/>
          <w:u w:val="single"/>
        </w:rPr>
        <w:t xml:space="preserve">                </w:t>
      </w:r>
    </w:p>
    <w:p w14:paraId="7D966070">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65A3AD63">
      <w:pPr>
        <w:spacing w:line="360" w:lineRule="auto"/>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的法定代表人。</w:t>
      </w:r>
    </w:p>
    <w:p w14:paraId="4B6FD69B">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5D023B86">
      <w:pPr>
        <w:spacing w:line="360" w:lineRule="auto"/>
        <w:ind w:left="540"/>
        <w:contextualSpacing/>
        <w:rPr>
          <w:rFonts w:ascii="仿宋" w:hAnsi="仿宋" w:eastAsia="仿宋" w:cs="仿宋"/>
          <w:color w:val="auto"/>
          <w:sz w:val="24"/>
          <w:highlight w:val="none"/>
        </w:rPr>
      </w:pPr>
    </w:p>
    <w:p w14:paraId="7DD8D77D">
      <w:pPr>
        <w:spacing w:line="360" w:lineRule="auto"/>
        <w:ind w:left="540"/>
        <w:contextualSpacing/>
        <w:rPr>
          <w:rFonts w:ascii="仿宋" w:hAnsi="仿宋" w:eastAsia="仿宋" w:cs="仿宋"/>
          <w:color w:val="auto"/>
          <w:sz w:val="24"/>
          <w:highlight w:val="none"/>
        </w:rPr>
      </w:pPr>
    </w:p>
    <w:p w14:paraId="07C5F974">
      <w:pPr>
        <w:spacing w:line="360" w:lineRule="auto"/>
        <w:ind w:left="540"/>
        <w:contextualSpacing/>
        <w:rPr>
          <w:rFonts w:ascii="仿宋" w:hAnsi="仿宋" w:eastAsia="仿宋" w:cs="仿宋"/>
          <w:color w:val="auto"/>
          <w:sz w:val="24"/>
          <w:highlight w:val="none"/>
        </w:rPr>
      </w:pPr>
    </w:p>
    <w:p w14:paraId="4D21508F">
      <w:pPr>
        <w:spacing w:line="360" w:lineRule="auto"/>
        <w:ind w:left="540"/>
        <w:contextualSpacing/>
        <w:rPr>
          <w:rFonts w:ascii="仿宋" w:hAnsi="仿宋" w:eastAsia="仿宋" w:cs="仿宋"/>
          <w:color w:val="auto"/>
          <w:sz w:val="24"/>
          <w:highlight w:val="none"/>
        </w:rPr>
      </w:pPr>
      <w:r>
        <w:rPr>
          <w:rFonts w:hint="eastAsia" w:ascii="仿宋" w:hAnsi="仿宋" w:eastAsia="仿宋" w:cs="仿宋"/>
          <w:color w:val="auto"/>
          <w:sz w:val="24"/>
          <w:highlight w:val="none"/>
        </w:rPr>
        <w:t>附件：法定代表人有效身份证正反面复印件</w:t>
      </w:r>
    </w:p>
    <w:p w14:paraId="12A0A7DB">
      <w:pPr>
        <w:spacing w:line="360" w:lineRule="auto"/>
        <w:ind w:left="540"/>
        <w:contextualSpacing/>
        <w:rPr>
          <w:rFonts w:ascii="仿宋" w:hAnsi="仿宋" w:eastAsia="仿宋" w:cs="仿宋"/>
          <w:color w:val="auto"/>
          <w:sz w:val="24"/>
          <w:highlight w:val="none"/>
        </w:rPr>
      </w:pPr>
    </w:p>
    <w:p w14:paraId="61E30D2C">
      <w:pPr>
        <w:spacing w:line="360" w:lineRule="auto"/>
        <w:ind w:right="960" w:firstLine="4080" w:firstLineChars="1700"/>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供应商（公章）：</w:t>
      </w:r>
      <w:r>
        <w:rPr>
          <w:rFonts w:hint="eastAsia" w:ascii="仿宋" w:hAnsi="仿宋" w:eastAsia="仿宋" w:cs="仿宋"/>
          <w:color w:val="auto"/>
          <w:sz w:val="24"/>
          <w:highlight w:val="none"/>
          <w:u w:val="single"/>
        </w:rPr>
        <w:t xml:space="preserve">               </w:t>
      </w:r>
    </w:p>
    <w:p w14:paraId="1C9A8A8F">
      <w:pPr>
        <w:pStyle w:val="24"/>
        <w:rPr>
          <w:rFonts w:ascii="仿宋" w:hAnsi="仿宋" w:eastAsia="仿宋" w:cs="仿宋"/>
          <w:color w:val="auto"/>
          <w:highlight w:val="none"/>
        </w:rPr>
      </w:pPr>
    </w:p>
    <w:p w14:paraId="1A53597E">
      <w:pPr>
        <w:spacing w:line="360" w:lineRule="auto"/>
        <w:ind w:firstLine="4080" w:firstLineChars="17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6CD9CF6">
      <w:pPr>
        <w:spacing w:line="360" w:lineRule="auto"/>
        <w:contextualSpacing/>
        <w:jc w:val="center"/>
        <w:rPr>
          <w:rFonts w:ascii="仿宋" w:hAnsi="仿宋" w:eastAsia="仿宋" w:cs="仿宋"/>
          <w:b/>
          <w:color w:val="auto"/>
          <w:sz w:val="24"/>
          <w:highlight w:val="none"/>
        </w:rPr>
      </w:pPr>
    </w:p>
    <w:p w14:paraId="15B3A09F">
      <w:pPr>
        <w:spacing w:line="360" w:lineRule="auto"/>
        <w:contextualSpacing/>
        <w:jc w:val="left"/>
        <w:rPr>
          <w:rFonts w:ascii="仿宋" w:hAnsi="仿宋" w:eastAsia="仿宋" w:cs="仿宋"/>
          <w:color w:val="auto"/>
          <w:sz w:val="24"/>
          <w:highlight w:val="none"/>
        </w:rPr>
      </w:pPr>
    </w:p>
    <w:p w14:paraId="59F0D79B">
      <w:pPr>
        <w:spacing w:line="360" w:lineRule="auto"/>
        <w:contextualSpacing/>
        <w:jc w:val="left"/>
        <w:rPr>
          <w:rFonts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自然人参与竞争性磋商的无需提供，联合体参与竞争性磋商的只需牵头人出具。</w:t>
      </w:r>
    </w:p>
    <w:p w14:paraId="3485B567">
      <w:pPr>
        <w:adjustRightInd w:val="0"/>
        <w:snapToGrid w:val="0"/>
        <w:spacing w:line="300" w:lineRule="auto"/>
        <w:jc w:val="left"/>
        <w:rPr>
          <w:rFonts w:ascii="仿宋" w:hAnsi="仿宋" w:eastAsia="仿宋" w:cs="仿宋"/>
          <w:b/>
          <w:color w:val="auto"/>
          <w:szCs w:val="21"/>
          <w:highlight w:val="none"/>
        </w:rPr>
      </w:pPr>
    </w:p>
    <w:p w14:paraId="556B220B">
      <w:pPr>
        <w:spacing w:line="50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 xml:space="preserve"> </w:t>
      </w:r>
    </w:p>
    <w:p w14:paraId="61492E0B">
      <w:pPr>
        <w:jc w:val="center"/>
        <w:rPr>
          <w:rFonts w:ascii="仿宋" w:hAnsi="仿宋" w:eastAsia="仿宋" w:cs="仿宋"/>
          <w:b/>
          <w:color w:val="auto"/>
          <w:sz w:val="44"/>
          <w:szCs w:val="44"/>
          <w:highlight w:val="none"/>
        </w:rPr>
      </w:pPr>
      <w:bookmarkStart w:id="43" w:name="_Hlk65853643"/>
      <w:r>
        <w:rPr>
          <w:rFonts w:hint="eastAsia" w:ascii="仿宋" w:hAnsi="仿宋" w:eastAsia="仿宋" w:cs="仿宋"/>
          <w:b/>
          <w:color w:val="auto"/>
          <w:sz w:val="44"/>
          <w:szCs w:val="44"/>
          <w:highlight w:val="none"/>
        </w:rPr>
        <w:t>授权委托书</w:t>
      </w:r>
    </w:p>
    <w:p w14:paraId="65CDC319">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（非联合体参与竞争性磋商格式）</w:t>
      </w:r>
    </w:p>
    <w:p w14:paraId="6E0A8A09">
      <w:pPr>
        <w:jc w:val="center"/>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t>（如有委托时）</w:t>
      </w:r>
    </w:p>
    <w:p w14:paraId="5C5A6AEB">
      <w:pPr>
        <w:spacing w:line="520" w:lineRule="exact"/>
        <w:rPr>
          <w:rFonts w:ascii="仿宋" w:hAnsi="仿宋" w:eastAsia="仿宋" w:cs="仿宋"/>
          <w:color w:val="auto"/>
          <w:sz w:val="32"/>
          <w:szCs w:val="32"/>
          <w:highlight w:val="none"/>
        </w:rPr>
      </w:pPr>
    </w:p>
    <w:p w14:paraId="673DE0F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（采购人名称）</w:t>
      </w:r>
      <w:r>
        <w:rPr>
          <w:rFonts w:hint="eastAsia" w:ascii="仿宋" w:hAnsi="仿宋" w:eastAsia="仿宋" w:cs="仿宋"/>
          <w:color w:val="auto"/>
          <w:sz w:val="24"/>
          <w:highlight w:val="none"/>
        </w:rPr>
        <w:t>：</w:t>
      </w:r>
    </w:p>
    <w:p w14:paraId="0D312AF3">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法定代表人/负责人/自然人本人</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 xml:space="preserve"> （姓名） </w:t>
      </w:r>
      <w:r>
        <w:rPr>
          <w:rFonts w:hint="eastAsia" w:ascii="仿宋" w:hAnsi="仿宋" w:eastAsia="仿宋" w:cs="仿宋"/>
          <w:color w:val="auto"/>
          <w:sz w:val="24"/>
          <w:highlight w:val="none"/>
        </w:rPr>
        <w:t>以我方的名义参加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项目的竞争性磋商活动，并代表我方全权办理针对上述项目的所有采购程序和环节的具体事务和签署相关文件。</w:t>
      </w:r>
    </w:p>
    <w:p w14:paraId="5FC19377">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我方对委托代理人的签字事项负全部责任。</w:t>
      </w:r>
    </w:p>
    <w:p w14:paraId="5C9A7C7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50108FF6">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37C2A4D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附：委托代理人有效身份证正反面复印件</w:t>
      </w:r>
    </w:p>
    <w:p w14:paraId="10EEA4D1">
      <w:pPr>
        <w:spacing w:line="360" w:lineRule="auto"/>
        <w:rPr>
          <w:rFonts w:ascii="仿宋" w:hAnsi="仿宋" w:eastAsia="仿宋" w:cs="仿宋"/>
          <w:color w:val="auto"/>
          <w:sz w:val="24"/>
          <w:highlight w:val="none"/>
        </w:rPr>
      </w:pPr>
    </w:p>
    <w:p w14:paraId="4AAC5F04">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法定代表人（签字）：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01E8DFA">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委托代理人身份证号码：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B7B91E9">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E4767B2">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7E36B2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54BC5CB">
      <w:pPr>
        <w:spacing w:line="360" w:lineRule="auto"/>
        <w:rPr>
          <w:rFonts w:ascii="仿宋" w:hAnsi="仿宋" w:eastAsia="仿宋" w:cs="仿宋"/>
          <w:color w:val="auto"/>
          <w:sz w:val="24"/>
          <w:highlight w:val="none"/>
        </w:rPr>
      </w:pPr>
    </w:p>
    <w:p w14:paraId="23DA3325">
      <w:pPr>
        <w:spacing w:line="360" w:lineRule="auto"/>
        <w:rPr>
          <w:rFonts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1.法定代表人必须在授权委托书上亲笔签字，委托代理人必须在授权委托书上亲笔签字，</w:t>
      </w:r>
      <w:r>
        <w:rPr>
          <w:rFonts w:hint="eastAsia" w:ascii="仿宋" w:hAnsi="仿宋" w:eastAsia="仿宋" w:cs="仿宋"/>
          <w:b/>
          <w:color w:val="auto"/>
          <w:sz w:val="24"/>
          <w:highlight w:val="none"/>
        </w:rPr>
        <w:t>否则其响应文件按无效响应处理。</w:t>
      </w:r>
    </w:p>
    <w:p w14:paraId="187B9DC4">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w:t>
      </w:r>
      <w:bookmarkStart w:id="44" w:name="_Hlk65853109"/>
      <w:bookmarkStart w:id="45" w:name="_Hlk65853542"/>
      <w:r>
        <w:rPr>
          <w:rFonts w:hint="eastAsia" w:ascii="仿宋" w:hAnsi="仿宋" w:eastAsia="仿宋" w:cs="仿宋"/>
          <w:color w:val="auto"/>
          <w:sz w:val="24"/>
          <w:highlight w:val="none"/>
        </w:rPr>
        <w:t>法人、其他组织参与竞争性磋商时“我方”是指“我单位”，自然人参与竞争性磋商时“我方”是指“本人”。</w:t>
      </w:r>
      <w:bookmarkEnd w:id="44"/>
    </w:p>
    <w:bookmarkEnd w:id="45"/>
    <w:p w14:paraId="755632F2">
      <w:pPr>
        <w:spacing w:line="360" w:lineRule="auto"/>
        <w:ind w:firstLine="420" w:firstLineChars="200"/>
        <w:jc w:val="left"/>
        <w:rPr>
          <w:rFonts w:ascii="仿宋" w:hAnsi="仿宋" w:eastAsia="仿宋" w:cs="仿宋"/>
          <w:color w:val="auto"/>
          <w:szCs w:val="21"/>
          <w:highlight w:val="none"/>
        </w:rPr>
      </w:pPr>
    </w:p>
    <w:p w14:paraId="226D78EF">
      <w:pPr>
        <w:jc w:val="center"/>
        <w:rPr>
          <w:rFonts w:ascii="仿宋" w:hAnsi="仿宋" w:eastAsia="仿宋" w:cs="仿宋"/>
          <w:b/>
          <w:color w:val="auto"/>
          <w:sz w:val="44"/>
          <w:szCs w:val="44"/>
          <w:highlight w:val="none"/>
        </w:rPr>
      </w:pPr>
      <w:r>
        <w:rPr>
          <w:rFonts w:hint="eastAsia" w:ascii="仿宋" w:hAnsi="仿宋" w:eastAsia="仿宋" w:cs="仿宋"/>
          <w:color w:val="auto"/>
          <w:szCs w:val="21"/>
          <w:highlight w:val="none"/>
        </w:rPr>
        <w:br w:type="page"/>
      </w:r>
      <w:r>
        <w:rPr>
          <w:rFonts w:hint="eastAsia" w:ascii="仿宋" w:hAnsi="仿宋" w:eastAsia="仿宋" w:cs="仿宋"/>
          <w:b/>
          <w:color w:val="auto"/>
          <w:sz w:val="44"/>
          <w:szCs w:val="44"/>
          <w:highlight w:val="none"/>
        </w:rPr>
        <w:t>授权委托书</w:t>
      </w:r>
    </w:p>
    <w:p w14:paraId="6B298B34">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（联合体参与竞争性磋商格式）</w:t>
      </w:r>
    </w:p>
    <w:p w14:paraId="23F4773F">
      <w:pPr>
        <w:jc w:val="center"/>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t>（如有委托时）</w:t>
      </w:r>
    </w:p>
    <w:p w14:paraId="215609B1">
      <w:pPr>
        <w:spacing w:line="500" w:lineRule="exact"/>
        <w:jc w:val="center"/>
        <w:rPr>
          <w:rFonts w:ascii="仿宋" w:hAnsi="仿宋" w:eastAsia="仿宋" w:cs="仿宋"/>
          <w:color w:val="auto"/>
          <w:sz w:val="44"/>
          <w:szCs w:val="44"/>
          <w:highlight w:val="none"/>
        </w:rPr>
      </w:pPr>
    </w:p>
    <w:p w14:paraId="6233D4E7">
      <w:pPr>
        <w:spacing w:line="500" w:lineRule="exact"/>
        <w:jc w:val="center"/>
        <w:rPr>
          <w:rFonts w:ascii="仿宋" w:hAnsi="仿宋" w:eastAsia="仿宋" w:cs="仿宋"/>
          <w:color w:val="auto"/>
          <w:sz w:val="32"/>
          <w:szCs w:val="32"/>
          <w:highlight w:val="none"/>
        </w:rPr>
      </w:pPr>
    </w:p>
    <w:p w14:paraId="0319567B">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本授权委托书声明：根据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（联合体其他成员名称）签订的《</w:t>
      </w:r>
      <w:r>
        <w:rPr>
          <w:rFonts w:hint="eastAsia" w:ascii="仿宋" w:hAnsi="仿宋" w:eastAsia="仿宋" w:cs="仿宋"/>
          <w:color w:val="auto"/>
          <w:sz w:val="24"/>
          <w:highlight w:val="none"/>
          <w:lang w:eastAsia="zh-CN"/>
        </w:rPr>
        <w:t>联合体磋商协议书</w:t>
      </w:r>
      <w:r>
        <w:rPr>
          <w:rFonts w:hint="eastAsia" w:ascii="仿宋" w:hAnsi="仿宋" w:eastAsia="仿宋" w:cs="仿宋"/>
          <w:color w:val="auto"/>
          <w:sz w:val="24"/>
          <w:highlight w:val="none"/>
        </w:rPr>
        <w:t>》的内容，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（牵头人名称）的法定代表人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（姓名）为联合委托代理人，并代表我方全权办理针对上述项目的所有采购程序和环节的具体事务和签署相关文件。</w:t>
      </w:r>
    </w:p>
    <w:p w14:paraId="2CE047A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我方对委托代理人的签字事项负全部责任。</w:t>
      </w:r>
    </w:p>
    <w:p w14:paraId="5A0EB8A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本授权书自签署之日起生效，在撤销授权的书面通知以前，本授权书一直有效。委托代理人在授权书有效期内签署的所有文件不因授权的撤销而失效。</w:t>
      </w:r>
    </w:p>
    <w:p w14:paraId="0E09017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委托代理人无转委托权，特此委托。</w:t>
      </w:r>
    </w:p>
    <w:p w14:paraId="5E0A30C1">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附：法定代表人身份证明及委托代理人有效身份证正反面复印件</w:t>
      </w:r>
    </w:p>
    <w:p w14:paraId="1B8BA13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牵头人法定代表人（签字或者盖章）：</w:t>
      </w:r>
    </w:p>
    <w:p w14:paraId="44FEDA5A">
      <w:pPr>
        <w:spacing w:line="360" w:lineRule="auto"/>
        <w:ind w:firstLine="3120" w:firstLineChars="1300"/>
        <w:rPr>
          <w:rFonts w:ascii="仿宋" w:hAnsi="仿宋" w:eastAsia="仿宋" w:cs="仿宋"/>
          <w:color w:val="auto"/>
          <w:sz w:val="24"/>
          <w:highlight w:val="none"/>
          <w:u w:val="single"/>
        </w:rPr>
      </w:pPr>
      <w:r>
        <w:rPr>
          <w:rFonts w:hint="eastAsia" w:ascii="仿宋" w:hAnsi="仿宋" w:eastAsia="仿宋" w:cs="仿宋"/>
          <w:color w:val="auto"/>
          <w:sz w:val="24"/>
          <w:highlight w:val="none"/>
        </w:rPr>
        <w:t>牵头人（公章）：</w:t>
      </w:r>
      <w:r>
        <w:rPr>
          <w:rFonts w:hint="eastAsia" w:ascii="仿宋" w:hAnsi="仿宋" w:eastAsia="仿宋" w:cs="仿宋"/>
          <w:color w:val="auto"/>
          <w:sz w:val="24"/>
          <w:highlight w:val="none"/>
          <w:u w:val="single"/>
        </w:rPr>
        <w:t xml:space="preserve">                </w:t>
      </w:r>
    </w:p>
    <w:p w14:paraId="79168903">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0A26CE2">
      <w:pPr>
        <w:spacing w:line="360" w:lineRule="auto"/>
        <w:rPr>
          <w:rFonts w:ascii="仿宋" w:hAnsi="仿宋" w:eastAsia="仿宋" w:cs="仿宋"/>
          <w:color w:val="auto"/>
          <w:sz w:val="24"/>
          <w:highlight w:val="none"/>
        </w:rPr>
      </w:pPr>
    </w:p>
    <w:p w14:paraId="77A5A3F2">
      <w:pPr>
        <w:spacing w:line="360" w:lineRule="auto"/>
        <w:ind w:firstLine="3120" w:firstLineChars="1300"/>
        <w:rPr>
          <w:rFonts w:ascii="仿宋" w:hAnsi="仿宋" w:eastAsia="仿宋" w:cs="仿宋"/>
          <w:color w:val="auto"/>
          <w:sz w:val="24"/>
          <w:highlight w:val="none"/>
          <w:u w:val="single"/>
        </w:rPr>
      </w:pPr>
      <w:r>
        <w:rPr>
          <w:rFonts w:hint="eastAsia" w:ascii="仿宋" w:hAnsi="仿宋" w:eastAsia="仿宋" w:cs="仿宋"/>
          <w:color w:val="auto"/>
          <w:sz w:val="24"/>
          <w:highlight w:val="none"/>
        </w:rPr>
        <w:t>被授权人（签字）：</w:t>
      </w:r>
      <w:r>
        <w:rPr>
          <w:rFonts w:hint="eastAsia" w:ascii="仿宋" w:hAnsi="仿宋" w:eastAsia="仿宋" w:cs="仿宋"/>
          <w:color w:val="auto"/>
          <w:sz w:val="24"/>
          <w:highlight w:val="none"/>
          <w:u w:val="single"/>
        </w:rPr>
        <w:t xml:space="preserve">                   </w:t>
      </w:r>
    </w:p>
    <w:p w14:paraId="089E3204">
      <w:pPr>
        <w:spacing w:line="360" w:lineRule="auto"/>
        <w:ind w:firstLine="3840" w:firstLineChars="1600"/>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F1538F6">
      <w:pPr>
        <w:spacing w:line="360" w:lineRule="auto"/>
        <w:rPr>
          <w:rFonts w:ascii="仿宋" w:hAnsi="仿宋" w:eastAsia="仿宋" w:cs="仿宋"/>
          <w:color w:val="auto"/>
          <w:sz w:val="24"/>
          <w:highlight w:val="none"/>
        </w:rPr>
      </w:pPr>
    </w:p>
    <w:p w14:paraId="421AB625">
      <w:pPr>
        <w:spacing w:line="360" w:lineRule="auto"/>
        <w:rPr>
          <w:rFonts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1.法定代表人必须在授权委托书上亲笔签字，委托代理人必须在授权委托书上亲笔签字，</w:t>
      </w:r>
      <w:r>
        <w:rPr>
          <w:rFonts w:hint="eastAsia" w:ascii="仿宋" w:hAnsi="仿宋" w:eastAsia="仿宋" w:cs="仿宋"/>
          <w:b/>
          <w:color w:val="auto"/>
          <w:sz w:val="24"/>
          <w:highlight w:val="none"/>
        </w:rPr>
        <w:t>否则其响应文件按无效响应处理。</w:t>
      </w:r>
    </w:p>
    <w:p w14:paraId="74C735C8">
      <w:pPr>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2.本授权委托书应由联合体牵头人的法定代表人按上述规定签署。</w:t>
      </w:r>
    </w:p>
    <w:p w14:paraId="42FB516E">
      <w:pPr>
        <w:spacing w:line="360" w:lineRule="auto"/>
        <w:ind w:firstLine="480" w:firstLineChars="200"/>
        <w:jc w:val="left"/>
        <w:rPr>
          <w:rFonts w:ascii="仿宋" w:hAnsi="仿宋" w:eastAsia="仿宋" w:cs="仿宋"/>
          <w:color w:val="auto"/>
          <w:spacing w:val="-11"/>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pacing w:val="-11"/>
          <w:sz w:val="24"/>
          <w:highlight w:val="none"/>
        </w:rPr>
        <w:t>法人、其他组织</w:t>
      </w:r>
      <w:r>
        <w:rPr>
          <w:rFonts w:hint="eastAsia" w:ascii="仿宋" w:hAnsi="仿宋" w:eastAsia="仿宋" w:cs="仿宋"/>
          <w:color w:val="auto"/>
          <w:sz w:val="24"/>
          <w:highlight w:val="none"/>
        </w:rPr>
        <w:t>参与竞争性磋商</w:t>
      </w:r>
      <w:r>
        <w:rPr>
          <w:rFonts w:hint="eastAsia" w:ascii="仿宋" w:hAnsi="仿宋" w:eastAsia="仿宋" w:cs="仿宋"/>
          <w:color w:val="auto"/>
          <w:spacing w:val="-11"/>
          <w:sz w:val="24"/>
          <w:highlight w:val="none"/>
        </w:rPr>
        <w:t>时“我方”是指“我单位”，自然人</w:t>
      </w:r>
      <w:r>
        <w:rPr>
          <w:rFonts w:hint="eastAsia" w:ascii="仿宋" w:hAnsi="仿宋" w:eastAsia="仿宋" w:cs="仿宋"/>
          <w:color w:val="auto"/>
          <w:sz w:val="24"/>
          <w:highlight w:val="none"/>
        </w:rPr>
        <w:t>参与竞争性磋商</w:t>
      </w:r>
      <w:r>
        <w:rPr>
          <w:rFonts w:hint="eastAsia" w:ascii="仿宋" w:hAnsi="仿宋" w:eastAsia="仿宋" w:cs="仿宋"/>
          <w:color w:val="auto"/>
          <w:spacing w:val="-11"/>
          <w:sz w:val="24"/>
          <w:highlight w:val="none"/>
        </w:rPr>
        <w:t>时“我方”是指“本人”。</w:t>
      </w:r>
    </w:p>
    <w:bookmarkEnd w:id="43"/>
    <w:p w14:paraId="6E8B1A13">
      <w:pPr>
        <w:jc w:val="center"/>
        <w:rPr>
          <w:rFonts w:ascii="仿宋" w:hAnsi="仿宋" w:eastAsia="仿宋" w:cs="仿宋"/>
          <w:bCs/>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b/>
          <w:bCs/>
          <w:color w:val="auto"/>
          <w:sz w:val="44"/>
          <w:szCs w:val="44"/>
          <w:highlight w:val="none"/>
        </w:rPr>
        <w:t>商务要求偏离表</w:t>
      </w:r>
      <w:r>
        <w:rPr>
          <w:rFonts w:hint="eastAsia" w:ascii="仿宋" w:hAnsi="仿宋" w:eastAsia="仿宋" w:cs="仿宋"/>
          <w:bCs/>
          <w:color w:val="auto"/>
          <w:sz w:val="44"/>
          <w:szCs w:val="44"/>
          <w:highlight w:val="none"/>
        </w:rPr>
        <w:t>（格式）</w:t>
      </w:r>
    </w:p>
    <w:p w14:paraId="775C4561">
      <w:pPr>
        <w:jc w:val="center"/>
        <w:rPr>
          <w:rFonts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（注：按采购需求具体条款修改）</w:t>
      </w:r>
    </w:p>
    <w:p w14:paraId="76C6CE31">
      <w:pPr>
        <w:spacing w:line="360" w:lineRule="auto"/>
        <w:contextualSpacing/>
        <w:jc w:val="left"/>
        <w:rPr>
          <w:rFonts w:ascii="仿宋" w:hAnsi="仿宋" w:eastAsia="仿宋" w:cs="仿宋"/>
          <w:color w:val="auto"/>
          <w:sz w:val="24"/>
          <w:highlight w:val="none"/>
        </w:rPr>
      </w:pPr>
    </w:p>
    <w:p w14:paraId="18CA4B34">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single"/>
        </w:rPr>
        <w:t xml:space="preserve">                 </w:t>
      </w:r>
    </w:p>
    <w:p w14:paraId="347AE36E">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rPr>
        <w:t xml:space="preserve">                 </w:t>
      </w:r>
    </w:p>
    <w:p w14:paraId="6771BAE6">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分标号：</w:t>
      </w:r>
      <w:r>
        <w:rPr>
          <w:rFonts w:hint="eastAsia" w:ascii="仿宋" w:hAnsi="仿宋" w:eastAsia="仿宋" w:cs="仿宋"/>
          <w:color w:val="auto"/>
          <w:sz w:val="24"/>
          <w:highlight w:val="none"/>
          <w:u w:val="single"/>
        </w:rPr>
        <w:t xml:space="preserve">                       </w:t>
      </w:r>
    </w:p>
    <w:p w14:paraId="6B689AB2">
      <w:pPr>
        <w:spacing w:line="360" w:lineRule="auto"/>
        <w:contextualSpacing/>
        <w:jc w:val="left"/>
        <w:rPr>
          <w:rFonts w:ascii="仿宋" w:hAnsi="仿宋" w:eastAsia="仿宋" w:cs="仿宋"/>
          <w:color w:val="auto"/>
          <w:sz w:val="24"/>
          <w:highlight w:val="none"/>
          <w:u w:val="single"/>
        </w:rPr>
      </w:pPr>
    </w:p>
    <w:tbl>
      <w:tblPr>
        <w:tblStyle w:val="29"/>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508CC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9A244FA">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7B0E7F35">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1E7421ED">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7C69E87C">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偏离说明</w:t>
            </w:r>
          </w:p>
        </w:tc>
      </w:tr>
      <w:tr w14:paraId="3A613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04CC119F">
            <w:pPr>
              <w:jc w:val="center"/>
              <w:rPr>
                <w:rFonts w:ascii="仿宋" w:hAnsi="仿宋" w:eastAsia="仿宋" w:cs="仿宋"/>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0C4DB7B">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6654B55">
            <w:pPr>
              <w:spacing w:line="360" w:lineRule="auto"/>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475985B">
            <w:pPr>
              <w:spacing w:line="360" w:lineRule="auto"/>
              <w:contextualSpacing/>
              <w:jc w:val="center"/>
              <w:rPr>
                <w:rFonts w:ascii="仿宋" w:hAnsi="仿宋" w:eastAsia="仿宋" w:cs="仿宋"/>
                <w:color w:val="auto"/>
                <w:sz w:val="24"/>
                <w:highlight w:val="none"/>
              </w:rPr>
            </w:pPr>
          </w:p>
        </w:tc>
      </w:tr>
      <w:tr w14:paraId="3566C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446462B7">
            <w:pPr>
              <w:jc w:val="center"/>
              <w:rPr>
                <w:rFonts w:ascii="仿宋" w:hAnsi="仿宋" w:eastAsia="仿宋" w:cs="仿宋"/>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973FDB4">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457149A8">
            <w:pPr>
              <w:spacing w:line="360" w:lineRule="auto"/>
              <w:ind w:left="43"/>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06B9E097">
            <w:pPr>
              <w:spacing w:line="360" w:lineRule="auto"/>
              <w:ind w:left="43"/>
              <w:contextualSpacing/>
              <w:jc w:val="center"/>
              <w:rPr>
                <w:rFonts w:ascii="仿宋" w:hAnsi="仿宋" w:eastAsia="仿宋" w:cs="仿宋"/>
                <w:color w:val="auto"/>
                <w:sz w:val="24"/>
                <w:highlight w:val="none"/>
              </w:rPr>
            </w:pPr>
          </w:p>
        </w:tc>
      </w:tr>
      <w:tr w14:paraId="66E54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DA86478">
            <w:pPr>
              <w:spacing w:line="360" w:lineRule="auto"/>
              <w:contextualSpacing/>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4C223AB8">
            <w:pPr>
              <w:spacing w:line="360" w:lineRule="auto"/>
              <w:contextualSpacing/>
              <w:jc w:val="center"/>
              <w:rPr>
                <w:rFonts w:ascii="仿宋" w:hAnsi="仿宋" w:eastAsia="仿宋" w:cs="仿宋"/>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247F777">
            <w:pPr>
              <w:spacing w:line="360" w:lineRule="auto"/>
              <w:contextualSpacing/>
              <w:jc w:val="center"/>
              <w:rPr>
                <w:rFonts w:ascii="仿宋" w:hAnsi="仿宋" w:eastAsia="仿宋" w:cs="仿宋"/>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6B99C2E3">
            <w:pPr>
              <w:spacing w:line="360" w:lineRule="auto"/>
              <w:contextualSpacing/>
              <w:jc w:val="center"/>
              <w:rPr>
                <w:rFonts w:ascii="仿宋" w:hAnsi="仿宋" w:eastAsia="仿宋" w:cs="仿宋"/>
                <w:color w:val="auto"/>
                <w:sz w:val="24"/>
                <w:highlight w:val="none"/>
              </w:rPr>
            </w:pPr>
          </w:p>
        </w:tc>
      </w:tr>
    </w:tbl>
    <w:p w14:paraId="59D2BE61">
      <w:pPr>
        <w:pStyle w:val="14"/>
        <w:spacing w:after="0" w:line="360" w:lineRule="auto"/>
        <w:contextualSpacing/>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注：</w:t>
      </w:r>
    </w:p>
    <w:p w14:paraId="7B0C5BE7">
      <w:pPr>
        <w:pStyle w:val="14"/>
        <w:spacing w:after="0" w:line="360" w:lineRule="auto"/>
        <w:contextualSpacing/>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1.说明：应对照磋商文件“第三章 采购需求”中的商务要求逐条作出明确响应，并作出偏离说明。</w:t>
      </w:r>
    </w:p>
    <w:p w14:paraId="143E22C5">
      <w:pPr>
        <w:spacing w:line="360" w:lineRule="auto"/>
        <w:contextualSpacing/>
        <w:jc w:val="left"/>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2.供应商应根据自身的承诺，对照磋商文件要求在“偏离说明”中注明“正偏离”、“负偏离”或者“无偏离”。既不属于“正偏离”也不属于“负偏离”即为“无偏离”。</w:t>
      </w:r>
    </w:p>
    <w:p w14:paraId="24E78453">
      <w:pPr>
        <w:spacing w:line="360" w:lineRule="auto"/>
        <w:ind w:right="-817" w:rightChars="-389"/>
        <w:contextualSpacing/>
        <w:rPr>
          <w:rFonts w:ascii="仿宋" w:hAnsi="仿宋" w:eastAsia="仿宋" w:cs="仿宋"/>
          <w:color w:val="auto"/>
          <w:sz w:val="24"/>
          <w:highlight w:val="none"/>
        </w:rPr>
      </w:pPr>
    </w:p>
    <w:p w14:paraId="375E01BF">
      <w:pPr>
        <w:spacing w:line="360" w:lineRule="auto"/>
        <w:ind w:right="-817" w:rightChars="-389" w:firstLine="960" w:firstLineChars="4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25343DF">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F8C6976">
      <w:pPr>
        <w:spacing w:line="360" w:lineRule="auto"/>
        <w:ind w:right="-817" w:rightChars="-389" w:firstLine="4080" w:firstLineChars="1700"/>
        <w:contextualSpacing/>
        <w:rPr>
          <w:rFonts w:ascii="仿宋" w:hAnsi="仿宋" w:eastAsia="仿宋" w:cs="仿宋"/>
          <w:b/>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2B9B66">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2E5779DE">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53024280">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574A1D6F">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0D3EE7D0">
      <w:pPr>
        <w:adjustRightInd w:val="0"/>
        <w:snapToGrid w:val="0"/>
        <w:spacing w:line="520" w:lineRule="exact"/>
        <w:rPr>
          <w:rFonts w:ascii="仿宋" w:hAnsi="仿宋" w:eastAsia="仿宋" w:cs="仿宋"/>
          <w:color w:val="auto"/>
          <w:szCs w:val="21"/>
          <w:highlight w:val="none"/>
          <w:u w:val="single"/>
        </w:rPr>
      </w:pPr>
    </w:p>
    <w:p w14:paraId="5BB3A81C">
      <w:pPr>
        <w:adjustRightInd w:val="0"/>
        <w:snapToGrid w:val="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br w:type="page"/>
      </w:r>
      <w:r>
        <w:rPr>
          <w:rFonts w:hint="eastAsia" w:ascii="仿宋" w:hAnsi="仿宋" w:eastAsia="仿宋" w:cs="仿宋"/>
          <w:b/>
          <w:bCs/>
          <w:color w:val="auto"/>
          <w:sz w:val="44"/>
          <w:szCs w:val="44"/>
          <w:highlight w:val="none"/>
          <w:lang w:eastAsia="zh-CN"/>
        </w:rPr>
        <w:t>技术要求</w:t>
      </w:r>
      <w:r>
        <w:rPr>
          <w:rFonts w:hint="eastAsia" w:ascii="仿宋" w:hAnsi="仿宋" w:eastAsia="仿宋" w:cs="仿宋"/>
          <w:b/>
          <w:bCs/>
          <w:color w:val="auto"/>
          <w:sz w:val="44"/>
          <w:szCs w:val="44"/>
          <w:highlight w:val="none"/>
        </w:rPr>
        <w:t>偏离表</w:t>
      </w:r>
      <w:r>
        <w:rPr>
          <w:rFonts w:hint="eastAsia" w:ascii="仿宋" w:hAnsi="仿宋" w:eastAsia="仿宋" w:cs="仿宋"/>
          <w:bCs/>
          <w:color w:val="auto"/>
          <w:sz w:val="44"/>
          <w:szCs w:val="44"/>
          <w:highlight w:val="none"/>
        </w:rPr>
        <w:t>（格式）</w:t>
      </w:r>
    </w:p>
    <w:p w14:paraId="7151C326">
      <w:pPr>
        <w:jc w:val="center"/>
        <w:rPr>
          <w:rFonts w:ascii="仿宋" w:hAnsi="仿宋" w:eastAsia="仿宋" w:cs="仿宋"/>
          <w:bCs/>
          <w:color w:val="auto"/>
          <w:sz w:val="36"/>
          <w:szCs w:val="36"/>
          <w:highlight w:val="none"/>
        </w:rPr>
      </w:pPr>
      <w:r>
        <w:rPr>
          <w:rFonts w:hint="eastAsia" w:ascii="仿宋" w:hAnsi="仿宋" w:eastAsia="仿宋" w:cs="仿宋"/>
          <w:bCs/>
          <w:color w:val="auto"/>
          <w:sz w:val="36"/>
          <w:szCs w:val="36"/>
          <w:highlight w:val="none"/>
        </w:rPr>
        <w:t>（注：按采购需求具体条款修改）</w:t>
      </w:r>
    </w:p>
    <w:p w14:paraId="02EA8D6B">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rPr>
        <w:t xml:space="preserve">                 </w:t>
      </w:r>
    </w:p>
    <w:p w14:paraId="6F16A0B6">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single"/>
        </w:rPr>
        <w:t xml:space="preserve">                 </w:t>
      </w:r>
    </w:p>
    <w:p w14:paraId="1262117C">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分标号：</w:t>
      </w:r>
      <w:r>
        <w:rPr>
          <w:rFonts w:hint="eastAsia" w:ascii="仿宋" w:hAnsi="仿宋" w:eastAsia="仿宋" w:cs="仿宋"/>
          <w:color w:val="auto"/>
          <w:sz w:val="24"/>
          <w:highlight w:val="none"/>
          <w:u w:val="single"/>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5ADB9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825090D">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46" w:name="_Toc173066401"/>
            <w:bookmarkStart w:id="47" w:name="_Toc297193185"/>
            <w:bookmarkStart w:id="48" w:name="_Toc254970729"/>
            <w:bookmarkStart w:id="49" w:name="_Toc254970588"/>
            <w:bookmarkStart w:id="50" w:name="_Toc295404981"/>
            <w:bookmarkStart w:id="51" w:name="_Toc301781611"/>
            <w:bookmarkStart w:id="52" w:name="_Toc373333689"/>
            <w:bookmarkStart w:id="53" w:name="_Toc173211900"/>
            <w:bookmarkStart w:id="54" w:name="_Toc383699906"/>
            <w:r>
              <w:rPr>
                <w:rFonts w:hint="eastAsia" w:ascii="仿宋" w:hAnsi="仿宋" w:eastAsia="仿宋" w:cs="仿宋"/>
                <w:color w:val="auto"/>
                <w:kern w:val="2"/>
                <w:sz w:val="24"/>
                <w:szCs w:val="24"/>
                <w:highlight w:val="none"/>
              </w:rPr>
              <w:t>序号</w:t>
            </w:r>
            <w:bookmarkEnd w:id="46"/>
            <w:bookmarkEnd w:id="47"/>
            <w:bookmarkEnd w:id="48"/>
            <w:bookmarkEnd w:id="49"/>
            <w:bookmarkEnd w:id="50"/>
            <w:bookmarkEnd w:id="51"/>
            <w:bookmarkEnd w:id="52"/>
            <w:bookmarkEnd w:id="53"/>
            <w:bookmarkEnd w:id="54"/>
          </w:p>
        </w:tc>
        <w:tc>
          <w:tcPr>
            <w:tcW w:w="992" w:type="dxa"/>
            <w:tcBorders>
              <w:right w:val="single" w:color="auto" w:sz="4" w:space="0"/>
            </w:tcBorders>
            <w:vAlign w:val="center"/>
          </w:tcPr>
          <w:p w14:paraId="6FFFFBDC">
            <w:pPr>
              <w:pStyle w:val="3"/>
              <w:spacing w:line="360" w:lineRule="auto"/>
              <w:ind w:firstLine="0" w:firstLineChars="0"/>
              <w:contextualSpacing/>
              <w:jc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3292" w:type="dxa"/>
            <w:tcBorders>
              <w:left w:val="single" w:color="auto" w:sz="4" w:space="0"/>
            </w:tcBorders>
            <w:vAlign w:val="center"/>
          </w:tcPr>
          <w:p w14:paraId="5E74F7A3">
            <w:pPr>
              <w:pStyle w:val="3"/>
              <w:spacing w:line="360" w:lineRule="auto"/>
              <w:ind w:firstLine="0" w:firstLineChars="0"/>
              <w:contextualSpacing/>
              <w:jc w:val="center"/>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eastAsia="zh-CN"/>
              </w:rPr>
              <w:t>技术要求</w:t>
            </w:r>
          </w:p>
        </w:tc>
        <w:tc>
          <w:tcPr>
            <w:tcW w:w="2963" w:type="dxa"/>
            <w:vAlign w:val="center"/>
          </w:tcPr>
          <w:p w14:paraId="7C63FE6B">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55" w:name="_Toc254970731"/>
            <w:bookmarkStart w:id="56" w:name="_Toc373333691"/>
            <w:bookmarkStart w:id="57" w:name="_Toc173066403"/>
            <w:bookmarkStart w:id="58" w:name="_Toc173211902"/>
            <w:bookmarkStart w:id="59" w:name="_Toc383699908"/>
            <w:bookmarkStart w:id="60" w:name="_Toc295404983"/>
            <w:bookmarkStart w:id="61" w:name="_Toc254970590"/>
            <w:bookmarkStart w:id="62" w:name="_Toc297193187"/>
            <w:bookmarkStart w:id="63" w:name="_Toc301781613"/>
            <w:r>
              <w:rPr>
                <w:rFonts w:hint="eastAsia" w:ascii="仿宋" w:hAnsi="仿宋" w:eastAsia="仿宋" w:cs="仿宋"/>
                <w:color w:val="auto"/>
                <w:kern w:val="2"/>
                <w:sz w:val="24"/>
                <w:szCs w:val="24"/>
                <w:highlight w:val="none"/>
              </w:rPr>
              <w:t>供应商的响应</w:t>
            </w:r>
            <w:bookmarkEnd w:id="55"/>
            <w:bookmarkEnd w:id="56"/>
            <w:bookmarkEnd w:id="57"/>
            <w:bookmarkEnd w:id="58"/>
            <w:bookmarkEnd w:id="59"/>
            <w:bookmarkEnd w:id="60"/>
            <w:bookmarkEnd w:id="61"/>
            <w:bookmarkEnd w:id="62"/>
            <w:bookmarkEnd w:id="63"/>
          </w:p>
        </w:tc>
        <w:tc>
          <w:tcPr>
            <w:tcW w:w="1616" w:type="dxa"/>
            <w:vAlign w:val="center"/>
          </w:tcPr>
          <w:p w14:paraId="2F544CC8">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64" w:name="_Toc254970591"/>
            <w:bookmarkStart w:id="65" w:name="_Toc301781614"/>
            <w:bookmarkStart w:id="66" w:name="_Toc173066404"/>
            <w:bookmarkStart w:id="67" w:name="_Toc373333692"/>
            <w:bookmarkStart w:id="68" w:name="_Toc295404984"/>
            <w:bookmarkStart w:id="69" w:name="_Toc173211903"/>
            <w:bookmarkStart w:id="70" w:name="_Toc297193188"/>
            <w:bookmarkStart w:id="71" w:name="_Toc254970732"/>
            <w:bookmarkStart w:id="72" w:name="_Toc383699909"/>
            <w:r>
              <w:rPr>
                <w:rFonts w:hint="eastAsia" w:ascii="仿宋" w:hAnsi="仿宋" w:eastAsia="仿宋" w:cs="仿宋"/>
                <w:color w:val="auto"/>
                <w:kern w:val="2"/>
                <w:sz w:val="24"/>
                <w:szCs w:val="24"/>
                <w:highlight w:val="none"/>
              </w:rPr>
              <w:t>偏离</w:t>
            </w:r>
            <w:bookmarkEnd w:id="64"/>
            <w:bookmarkEnd w:id="65"/>
            <w:bookmarkEnd w:id="66"/>
            <w:bookmarkEnd w:id="67"/>
            <w:bookmarkEnd w:id="68"/>
            <w:bookmarkEnd w:id="69"/>
            <w:bookmarkEnd w:id="70"/>
            <w:bookmarkEnd w:id="71"/>
            <w:bookmarkEnd w:id="72"/>
            <w:bookmarkStart w:id="73" w:name="_Toc173066405"/>
            <w:bookmarkStart w:id="74" w:name="_Toc295404985"/>
            <w:bookmarkStart w:id="75" w:name="_Toc254970733"/>
            <w:bookmarkStart w:id="76" w:name="_Toc373333693"/>
            <w:bookmarkStart w:id="77" w:name="_Toc383699910"/>
            <w:bookmarkStart w:id="78" w:name="_Toc254970592"/>
            <w:bookmarkStart w:id="79" w:name="_Toc173211904"/>
            <w:bookmarkStart w:id="80" w:name="_Toc297193189"/>
            <w:bookmarkStart w:id="81" w:name="_Toc301781615"/>
            <w:r>
              <w:rPr>
                <w:rFonts w:hint="eastAsia" w:ascii="仿宋" w:hAnsi="仿宋" w:eastAsia="仿宋" w:cs="仿宋"/>
                <w:color w:val="auto"/>
                <w:kern w:val="2"/>
                <w:sz w:val="24"/>
                <w:szCs w:val="24"/>
                <w:highlight w:val="none"/>
              </w:rPr>
              <w:t>说明</w:t>
            </w:r>
            <w:bookmarkEnd w:id="73"/>
            <w:bookmarkEnd w:id="74"/>
            <w:bookmarkEnd w:id="75"/>
            <w:bookmarkEnd w:id="76"/>
            <w:bookmarkEnd w:id="77"/>
            <w:bookmarkEnd w:id="78"/>
            <w:bookmarkEnd w:id="79"/>
            <w:bookmarkEnd w:id="80"/>
            <w:bookmarkEnd w:id="81"/>
          </w:p>
        </w:tc>
      </w:tr>
      <w:tr w14:paraId="5B991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330FD9D">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82" w:name="_Toc173066406"/>
            <w:bookmarkStart w:id="83" w:name="_Toc295404986"/>
            <w:bookmarkStart w:id="84" w:name="_Toc254970734"/>
            <w:bookmarkStart w:id="85" w:name="_Toc297193190"/>
            <w:bookmarkStart w:id="86" w:name="_Toc301781616"/>
            <w:bookmarkStart w:id="87" w:name="_Toc373333694"/>
            <w:bookmarkStart w:id="88" w:name="_Toc254970593"/>
            <w:bookmarkStart w:id="89" w:name="_Toc173211905"/>
            <w:bookmarkStart w:id="90" w:name="_Toc383699911"/>
            <w:r>
              <w:rPr>
                <w:rFonts w:hint="eastAsia" w:ascii="仿宋" w:hAnsi="仿宋" w:eastAsia="仿宋" w:cs="仿宋"/>
                <w:color w:val="auto"/>
                <w:kern w:val="2"/>
                <w:sz w:val="24"/>
                <w:szCs w:val="24"/>
                <w:highlight w:val="none"/>
              </w:rPr>
              <w:t>1</w:t>
            </w:r>
            <w:bookmarkEnd w:id="82"/>
            <w:bookmarkEnd w:id="83"/>
            <w:bookmarkEnd w:id="84"/>
            <w:bookmarkEnd w:id="85"/>
            <w:bookmarkEnd w:id="86"/>
            <w:bookmarkEnd w:id="87"/>
            <w:bookmarkEnd w:id="88"/>
            <w:bookmarkEnd w:id="89"/>
            <w:bookmarkEnd w:id="90"/>
          </w:p>
        </w:tc>
        <w:tc>
          <w:tcPr>
            <w:tcW w:w="992" w:type="dxa"/>
            <w:tcBorders>
              <w:right w:val="single" w:color="auto" w:sz="4" w:space="0"/>
            </w:tcBorders>
            <w:vAlign w:val="center"/>
          </w:tcPr>
          <w:p w14:paraId="5BC6AB82">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3292" w:type="dxa"/>
            <w:tcBorders>
              <w:left w:val="single" w:color="auto" w:sz="4" w:space="0"/>
            </w:tcBorders>
            <w:vAlign w:val="center"/>
          </w:tcPr>
          <w:p w14:paraId="335BE466">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2963" w:type="dxa"/>
            <w:vAlign w:val="center"/>
          </w:tcPr>
          <w:p w14:paraId="3EC9253D">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1616" w:type="dxa"/>
            <w:vAlign w:val="center"/>
          </w:tcPr>
          <w:p w14:paraId="4E5F7756">
            <w:pPr>
              <w:pStyle w:val="3"/>
              <w:spacing w:line="360" w:lineRule="auto"/>
              <w:ind w:firstLine="0" w:firstLineChars="0"/>
              <w:contextualSpacing/>
              <w:jc w:val="center"/>
              <w:rPr>
                <w:rFonts w:ascii="仿宋" w:hAnsi="仿宋" w:eastAsia="仿宋" w:cs="仿宋"/>
                <w:color w:val="auto"/>
                <w:kern w:val="2"/>
                <w:sz w:val="24"/>
                <w:szCs w:val="24"/>
                <w:highlight w:val="none"/>
              </w:rPr>
            </w:pPr>
          </w:p>
        </w:tc>
      </w:tr>
      <w:tr w14:paraId="619969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506043D">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91" w:name="_Toc254970735"/>
            <w:bookmarkStart w:id="92" w:name="_Toc295404987"/>
            <w:bookmarkStart w:id="93" w:name="_Toc173066407"/>
            <w:bookmarkStart w:id="94" w:name="_Toc301781617"/>
            <w:bookmarkStart w:id="95" w:name="_Toc297193191"/>
            <w:bookmarkStart w:id="96" w:name="_Toc383699912"/>
            <w:bookmarkStart w:id="97" w:name="_Toc373333695"/>
            <w:bookmarkStart w:id="98" w:name="_Toc173211906"/>
            <w:bookmarkStart w:id="99" w:name="_Toc254970594"/>
            <w:r>
              <w:rPr>
                <w:rFonts w:hint="eastAsia" w:ascii="仿宋" w:hAnsi="仿宋" w:eastAsia="仿宋" w:cs="仿宋"/>
                <w:color w:val="auto"/>
                <w:kern w:val="2"/>
                <w:sz w:val="24"/>
                <w:szCs w:val="24"/>
                <w:highlight w:val="none"/>
              </w:rPr>
              <w:t>2</w:t>
            </w:r>
            <w:bookmarkEnd w:id="91"/>
            <w:bookmarkEnd w:id="92"/>
            <w:bookmarkEnd w:id="93"/>
            <w:bookmarkEnd w:id="94"/>
            <w:bookmarkEnd w:id="95"/>
            <w:bookmarkEnd w:id="96"/>
            <w:bookmarkEnd w:id="97"/>
            <w:bookmarkEnd w:id="98"/>
            <w:bookmarkEnd w:id="99"/>
          </w:p>
        </w:tc>
        <w:tc>
          <w:tcPr>
            <w:tcW w:w="992" w:type="dxa"/>
            <w:tcBorders>
              <w:right w:val="single" w:color="auto" w:sz="4" w:space="0"/>
            </w:tcBorders>
            <w:vAlign w:val="center"/>
          </w:tcPr>
          <w:p w14:paraId="37E26E41">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3292" w:type="dxa"/>
            <w:tcBorders>
              <w:left w:val="single" w:color="auto" w:sz="4" w:space="0"/>
            </w:tcBorders>
            <w:vAlign w:val="center"/>
          </w:tcPr>
          <w:p w14:paraId="0FB4DC7B">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2963" w:type="dxa"/>
            <w:vAlign w:val="center"/>
          </w:tcPr>
          <w:p w14:paraId="2BEFC661">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1616" w:type="dxa"/>
            <w:vAlign w:val="center"/>
          </w:tcPr>
          <w:p w14:paraId="060D7076">
            <w:pPr>
              <w:pStyle w:val="3"/>
              <w:spacing w:line="360" w:lineRule="auto"/>
              <w:ind w:firstLine="0" w:firstLineChars="0"/>
              <w:contextualSpacing/>
              <w:jc w:val="center"/>
              <w:rPr>
                <w:rFonts w:ascii="仿宋" w:hAnsi="仿宋" w:eastAsia="仿宋" w:cs="仿宋"/>
                <w:color w:val="auto"/>
                <w:kern w:val="2"/>
                <w:sz w:val="24"/>
                <w:szCs w:val="24"/>
                <w:highlight w:val="none"/>
              </w:rPr>
            </w:pPr>
          </w:p>
        </w:tc>
      </w:tr>
      <w:tr w14:paraId="42D2B8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482E966">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100" w:name="_Toc254970736"/>
            <w:bookmarkStart w:id="101" w:name="_Toc173066408"/>
            <w:bookmarkStart w:id="102" w:name="_Toc173211907"/>
            <w:bookmarkStart w:id="103" w:name="_Toc254970595"/>
            <w:bookmarkStart w:id="104" w:name="_Toc373333696"/>
            <w:bookmarkStart w:id="105" w:name="_Toc295404988"/>
            <w:bookmarkStart w:id="106" w:name="_Toc297193192"/>
            <w:bookmarkStart w:id="107" w:name="_Toc383699913"/>
            <w:bookmarkStart w:id="108" w:name="_Toc301781618"/>
            <w:r>
              <w:rPr>
                <w:rFonts w:hint="eastAsia" w:ascii="仿宋" w:hAnsi="仿宋" w:eastAsia="仿宋" w:cs="仿宋"/>
                <w:color w:val="auto"/>
                <w:kern w:val="2"/>
                <w:sz w:val="24"/>
                <w:szCs w:val="24"/>
                <w:highlight w:val="none"/>
              </w:rPr>
              <w:t>3</w:t>
            </w:r>
            <w:bookmarkEnd w:id="100"/>
            <w:bookmarkEnd w:id="101"/>
            <w:bookmarkEnd w:id="102"/>
            <w:bookmarkEnd w:id="103"/>
            <w:bookmarkEnd w:id="104"/>
            <w:bookmarkEnd w:id="105"/>
            <w:bookmarkEnd w:id="106"/>
            <w:bookmarkEnd w:id="107"/>
            <w:bookmarkEnd w:id="108"/>
          </w:p>
        </w:tc>
        <w:tc>
          <w:tcPr>
            <w:tcW w:w="992" w:type="dxa"/>
            <w:tcBorders>
              <w:right w:val="single" w:color="auto" w:sz="4" w:space="0"/>
            </w:tcBorders>
            <w:vAlign w:val="center"/>
          </w:tcPr>
          <w:p w14:paraId="4212D26A">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3292" w:type="dxa"/>
            <w:tcBorders>
              <w:left w:val="single" w:color="auto" w:sz="4" w:space="0"/>
            </w:tcBorders>
            <w:vAlign w:val="center"/>
          </w:tcPr>
          <w:p w14:paraId="7E4DE52C">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2963" w:type="dxa"/>
            <w:vAlign w:val="center"/>
          </w:tcPr>
          <w:p w14:paraId="37FA4FC4">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1616" w:type="dxa"/>
            <w:vAlign w:val="center"/>
          </w:tcPr>
          <w:p w14:paraId="48BEB678">
            <w:pPr>
              <w:pStyle w:val="3"/>
              <w:spacing w:line="360" w:lineRule="auto"/>
              <w:ind w:firstLine="0" w:firstLineChars="0"/>
              <w:contextualSpacing/>
              <w:jc w:val="center"/>
              <w:rPr>
                <w:rFonts w:ascii="仿宋" w:hAnsi="仿宋" w:eastAsia="仿宋" w:cs="仿宋"/>
                <w:color w:val="auto"/>
                <w:kern w:val="2"/>
                <w:sz w:val="24"/>
                <w:szCs w:val="24"/>
                <w:highlight w:val="none"/>
              </w:rPr>
            </w:pPr>
          </w:p>
        </w:tc>
      </w:tr>
      <w:tr w14:paraId="2B473B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3A6E8CF">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109" w:name="_Toc295404989"/>
            <w:bookmarkStart w:id="110" w:name="_Toc254970596"/>
            <w:bookmarkStart w:id="111" w:name="_Toc173211908"/>
            <w:bookmarkStart w:id="112" w:name="_Toc383699914"/>
            <w:bookmarkStart w:id="113" w:name="_Toc173066409"/>
            <w:bookmarkStart w:id="114" w:name="_Toc297193193"/>
            <w:bookmarkStart w:id="115" w:name="_Toc301781619"/>
            <w:bookmarkStart w:id="116" w:name="_Toc254970737"/>
            <w:bookmarkStart w:id="117" w:name="_Toc373333697"/>
            <w:r>
              <w:rPr>
                <w:rFonts w:hint="eastAsia" w:ascii="仿宋" w:hAnsi="仿宋" w:eastAsia="仿宋" w:cs="仿宋"/>
                <w:color w:val="auto"/>
                <w:kern w:val="2"/>
                <w:sz w:val="24"/>
                <w:szCs w:val="24"/>
                <w:highlight w:val="none"/>
              </w:rPr>
              <w:t>4</w:t>
            </w:r>
            <w:bookmarkEnd w:id="109"/>
            <w:bookmarkEnd w:id="110"/>
            <w:bookmarkEnd w:id="111"/>
            <w:bookmarkEnd w:id="112"/>
            <w:bookmarkEnd w:id="113"/>
            <w:bookmarkEnd w:id="114"/>
            <w:bookmarkEnd w:id="115"/>
            <w:bookmarkEnd w:id="116"/>
            <w:bookmarkEnd w:id="117"/>
          </w:p>
        </w:tc>
        <w:tc>
          <w:tcPr>
            <w:tcW w:w="992" w:type="dxa"/>
            <w:tcBorders>
              <w:right w:val="single" w:color="auto" w:sz="4" w:space="0"/>
            </w:tcBorders>
            <w:vAlign w:val="center"/>
          </w:tcPr>
          <w:p w14:paraId="02793331">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3292" w:type="dxa"/>
            <w:tcBorders>
              <w:left w:val="single" w:color="auto" w:sz="4" w:space="0"/>
            </w:tcBorders>
            <w:vAlign w:val="center"/>
          </w:tcPr>
          <w:p w14:paraId="7249DDC1">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2963" w:type="dxa"/>
            <w:vAlign w:val="center"/>
          </w:tcPr>
          <w:p w14:paraId="5FE26498">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1616" w:type="dxa"/>
            <w:vAlign w:val="center"/>
          </w:tcPr>
          <w:p w14:paraId="35FEAB54">
            <w:pPr>
              <w:pStyle w:val="3"/>
              <w:spacing w:line="360" w:lineRule="auto"/>
              <w:ind w:firstLine="0" w:firstLineChars="0"/>
              <w:contextualSpacing/>
              <w:jc w:val="center"/>
              <w:rPr>
                <w:rFonts w:ascii="仿宋" w:hAnsi="仿宋" w:eastAsia="仿宋" w:cs="仿宋"/>
                <w:color w:val="auto"/>
                <w:kern w:val="2"/>
                <w:sz w:val="24"/>
                <w:szCs w:val="24"/>
                <w:highlight w:val="none"/>
              </w:rPr>
            </w:pPr>
          </w:p>
        </w:tc>
      </w:tr>
      <w:tr w14:paraId="19B78C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0DD372E">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118" w:name="_Toc254970597"/>
            <w:bookmarkStart w:id="119" w:name="_Toc254970738"/>
            <w:bookmarkStart w:id="120" w:name="_Toc173211909"/>
            <w:bookmarkStart w:id="121" w:name="_Toc173066410"/>
            <w:bookmarkStart w:id="122" w:name="_Toc297193194"/>
            <w:bookmarkStart w:id="123" w:name="_Toc383699915"/>
            <w:bookmarkStart w:id="124" w:name="_Toc295404990"/>
            <w:bookmarkStart w:id="125" w:name="_Toc373333698"/>
            <w:bookmarkStart w:id="126" w:name="_Toc301781620"/>
            <w:r>
              <w:rPr>
                <w:rFonts w:hint="eastAsia" w:ascii="仿宋" w:hAnsi="仿宋" w:eastAsia="仿宋" w:cs="仿宋"/>
                <w:color w:val="auto"/>
                <w:kern w:val="2"/>
                <w:sz w:val="24"/>
                <w:szCs w:val="24"/>
                <w:highlight w:val="none"/>
              </w:rPr>
              <w:t>5</w:t>
            </w:r>
            <w:bookmarkEnd w:id="118"/>
            <w:bookmarkEnd w:id="119"/>
            <w:bookmarkEnd w:id="120"/>
            <w:bookmarkEnd w:id="121"/>
            <w:bookmarkEnd w:id="122"/>
            <w:bookmarkEnd w:id="123"/>
            <w:bookmarkEnd w:id="124"/>
            <w:bookmarkEnd w:id="125"/>
            <w:bookmarkEnd w:id="126"/>
          </w:p>
        </w:tc>
        <w:tc>
          <w:tcPr>
            <w:tcW w:w="992" w:type="dxa"/>
            <w:tcBorders>
              <w:right w:val="single" w:color="auto" w:sz="4" w:space="0"/>
            </w:tcBorders>
            <w:vAlign w:val="center"/>
          </w:tcPr>
          <w:p w14:paraId="323615E0">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3292" w:type="dxa"/>
            <w:tcBorders>
              <w:left w:val="single" w:color="auto" w:sz="4" w:space="0"/>
            </w:tcBorders>
            <w:vAlign w:val="center"/>
          </w:tcPr>
          <w:p w14:paraId="279D36F2">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2963" w:type="dxa"/>
            <w:vAlign w:val="center"/>
          </w:tcPr>
          <w:p w14:paraId="4244B18B">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1616" w:type="dxa"/>
            <w:vAlign w:val="center"/>
          </w:tcPr>
          <w:p w14:paraId="06F3DFDD">
            <w:pPr>
              <w:pStyle w:val="3"/>
              <w:spacing w:line="360" w:lineRule="auto"/>
              <w:ind w:firstLine="0" w:firstLineChars="0"/>
              <w:contextualSpacing/>
              <w:jc w:val="center"/>
              <w:rPr>
                <w:rFonts w:ascii="仿宋" w:hAnsi="仿宋" w:eastAsia="仿宋" w:cs="仿宋"/>
                <w:color w:val="auto"/>
                <w:kern w:val="2"/>
                <w:sz w:val="24"/>
                <w:szCs w:val="24"/>
                <w:highlight w:val="none"/>
              </w:rPr>
            </w:pPr>
          </w:p>
        </w:tc>
      </w:tr>
      <w:tr w14:paraId="0CA3D0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55B8FA46">
            <w:pPr>
              <w:pStyle w:val="3"/>
              <w:spacing w:line="360" w:lineRule="auto"/>
              <w:ind w:firstLine="0" w:firstLineChars="0"/>
              <w:contextualSpacing/>
              <w:jc w:val="center"/>
              <w:rPr>
                <w:rFonts w:ascii="仿宋" w:hAnsi="仿宋" w:eastAsia="仿宋" w:cs="仿宋"/>
                <w:color w:val="auto"/>
                <w:kern w:val="2"/>
                <w:sz w:val="24"/>
                <w:szCs w:val="24"/>
                <w:highlight w:val="none"/>
              </w:rPr>
            </w:pPr>
            <w:bookmarkStart w:id="127" w:name="_Toc295404991"/>
            <w:bookmarkStart w:id="128" w:name="_Toc173211914"/>
            <w:bookmarkStart w:id="129" w:name="_Toc297193195"/>
            <w:bookmarkStart w:id="130" w:name="_Toc254970743"/>
            <w:bookmarkStart w:id="131" w:name="_Toc301781621"/>
            <w:bookmarkStart w:id="132" w:name="_Toc373333699"/>
            <w:bookmarkStart w:id="133" w:name="_Toc383699916"/>
            <w:bookmarkStart w:id="134" w:name="_Toc254970602"/>
            <w:bookmarkStart w:id="135" w:name="_Toc173066415"/>
            <w:r>
              <w:rPr>
                <w:rFonts w:hint="eastAsia" w:ascii="仿宋" w:hAnsi="仿宋" w:eastAsia="仿宋" w:cs="仿宋"/>
                <w:color w:val="auto"/>
                <w:kern w:val="2"/>
                <w:sz w:val="24"/>
                <w:szCs w:val="24"/>
                <w:highlight w:val="none"/>
              </w:rPr>
              <w:t>…</w:t>
            </w:r>
            <w:bookmarkEnd w:id="127"/>
            <w:bookmarkEnd w:id="128"/>
            <w:bookmarkEnd w:id="129"/>
            <w:bookmarkEnd w:id="130"/>
            <w:bookmarkEnd w:id="131"/>
            <w:bookmarkEnd w:id="132"/>
            <w:bookmarkEnd w:id="133"/>
            <w:bookmarkEnd w:id="134"/>
            <w:bookmarkEnd w:id="135"/>
          </w:p>
        </w:tc>
        <w:tc>
          <w:tcPr>
            <w:tcW w:w="992" w:type="dxa"/>
            <w:tcBorders>
              <w:right w:val="single" w:color="auto" w:sz="4" w:space="0"/>
            </w:tcBorders>
            <w:vAlign w:val="center"/>
          </w:tcPr>
          <w:p w14:paraId="3D3C3395">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3292" w:type="dxa"/>
            <w:tcBorders>
              <w:left w:val="single" w:color="auto" w:sz="4" w:space="0"/>
            </w:tcBorders>
            <w:vAlign w:val="center"/>
          </w:tcPr>
          <w:p w14:paraId="3512C23D">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2963" w:type="dxa"/>
            <w:vAlign w:val="center"/>
          </w:tcPr>
          <w:p w14:paraId="43708AE3">
            <w:pPr>
              <w:pStyle w:val="3"/>
              <w:spacing w:line="360" w:lineRule="auto"/>
              <w:ind w:firstLine="0" w:firstLineChars="0"/>
              <w:contextualSpacing/>
              <w:jc w:val="center"/>
              <w:rPr>
                <w:rFonts w:ascii="仿宋" w:hAnsi="仿宋" w:eastAsia="仿宋" w:cs="仿宋"/>
                <w:color w:val="auto"/>
                <w:kern w:val="2"/>
                <w:sz w:val="24"/>
                <w:szCs w:val="24"/>
                <w:highlight w:val="none"/>
              </w:rPr>
            </w:pPr>
          </w:p>
        </w:tc>
        <w:tc>
          <w:tcPr>
            <w:tcW w:w="1616" w:type="dxa"/>
            <w:tcBorders>
              <w:right w:val="single" w:color="auto" w:sz="4" w:space="0"/>
            </w:tcBorders>
            <w:vAlign w:val="center"/>
          </w:tcPr>
          <w:p w14:paraId="466C668F">
            <w:pPr>
              <w:pStyle w:val="3"/>
              <w:spacing w:line="360" w:lineRule="auto"/>
              <w:ind w:firstLine="0" w:firstLineChars="0"/>
              <w:contextualSpacing/>
              <w:jc w:val="center"/>
              <w:rPr>
                <w:rFonts w:ascii="仿宋" w:hAnsi="仿宋" w:eastAsia="仿宋" w:cs="仿宋"/>
                <w:color w:val="auto"/>
                <w:kern w:val="2"/>
                <w:sz w:val="24"/>
                <w:szCs w:val="24"/>
                <w:highlight w:val="none"/>
              </w:rPr>
            </w:pPr>
          </w:p>
        </w:tc>
      </w:tr>
    </w:tbl>
    <w:p w14:paraId="7BC0EC14">
      <w:pPr>
        <w:adjustRightInd w:val="0"/>
        <w:spacing w:line="360" w:lineRule="auto"/>
        <w:contextualSpacing/>
        <w:rPr>
          <w:rFonts w:ascii="仿宋" w:hAnsi="仿宋" w:eastAsia="仿宋" w:cs="仿宋"/>
          <w:color w:val="auto"/>
          <w:sz w:val="24"/>
          <w:highlight w:val="none"/>
        </w:rPr>
      </w:pPr>
    </w:p>
    <w:p w14:paraId="423D062D">
      <w:pPr>
        <w:pStyle w:val="3"/>
        <w:spacing w:line="360" w:lineRule="auto"/>
        <w:ind w:firstLine="0" w:firstLineChars="0"/>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p>
    <w:p w14:paraId="6F323A51">
      <w:pPr>
        <w:pStyle w:val="3"/>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1.说明：应对照磋商文件“第三章 采购需求”中的</w:t>
      </w:r>
      <w:r>
        <w:rPr>
          <w:rFonts w:hint="eastAsia" w:ascii="仿宋" w:hAnsi="仿宋" w:eastAsia="仿宋" w:cs="仿宋"/>
          <w:color w:val="auto"/>
          <w:sz w:val="24"/>
          <w:szCs w:val="24"/>
          <w:highlight w:val="none"/>
          <w:lang w:eastAsia="zh-CN"/>
        </w:rPr>
        <w:t>技术要求</w:t>
      </w:r>
      <w:r>
        <w:rPr>
          <w:rFonts w:hint="eastAsia" w:ascii="仿宋" w:hAnsi="仿宋" w:eastAsia="仿宋" w:cs="仿宋"/>
          <w:color w:val="auto"/>
          <w:sz w:val="24"/>
          <w:szCs w:val="24"/>
          <w:highlight w:val="none"/>
        </w:rPr>
        <w:t>逐条作出明确响应，并作出偏离说明。</w:t>
      </w:r>
    </w:p>
    <w:p w14:paraId="2F9615D9">
      <w:pPr>
        <w:pStyle w:val="3"/>
        <w:spacing w:line="360" w:lineRule="auto"/>
        <w:ind w:firstLine="0" w:firstLineChars="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2.供应商应根据自身的承诺，对照磋商文件要求，在“偏离说明”中注明“正偏离”、“负偏离”或者“无偏离”。既不属于“正偏离”也不属于“负偏离”即为“无偏离”。</w:t>
      </w:r>
    </w:p>
    <w:p w14:paraId="52F0AA91">
      <w:pPr>
        <w:spacing w:line="360" w:lineRule="auto"/>
        <w:ind w:right="-817" w:rightChars="-389"/>
        <w:contextualSpacing/>
        <w:rPr>
          <w:rFonts w:ascii="仿宋" w:hAnsi="仿宋" w:eastAsia="仿宋" w:cs="仿宋"/>
          <w:color w:val="auto"/>
          <w:sz w:val="24"/>
          <w:highlight w:val="none"/>
        </w:rPr>
      </w:pPr>
    </w:p>
    <w:p w14:paraId="304948A3">
      <w:pPr>
        <w:spacing w:line="360" w:lineRule="auto"/>
        <w:ind w:right="-817" w:rightChars="-389" w:firstLine="960" w:firstLineChars="4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法定代表人或者委托代理人（签字）：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554C0557">
      <w:pPr>
        <w:spacing w:line="360" w:lineRule="auto"/>
        <w:ind w:right="-817" w:rightChars="-389" w:firstLine="2640" w:firstLineChars="11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供应商（公章）：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7A636532">
      <w:pPr>
        <w:spacing w:line="360" w:lineRule="auto"/>
        <w:ind w:right="-817" w:rightChars="-389" w:firstLine="4080" w:firstLineChars="17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1BC2E12">
      <w:pPr>
        <w:snapToGrid w:val="0"/>
        <w:spacing w:before="156" w:beforeLines="50" w:after="50"/>
        <w:ind w:left="142"/>
        <w:jc w:val="left"/>
        <w:rPr>
          <w:rFonts w:ascii="仿宋" w:hAnsi="仿宋" w:eastAsia="仿宋" w:cs="仿宋"/>
          <w:b/>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项目实施人员一览表格式</w:t>
      </w:r>
    </w:p>
    <w:p w14:paraId="4B8A3F7E">
      <w:pPr>
        <w:snapToGrid w:val="0"/>
        <w:spacing w:before="156" w:beforeLines="50" w:after="50"/>
        <w:ind w:left="142"/>
        <w:jc w:val="left"/>
        <w:rPr>
          <w:rFonts w:ascii="仿宋" w:hAnsi="仿宋" w:eastAsia="仿宋" w:cs="仿宋"/>
          <w:b/>
          <w:color w:val="auto"/>
          <w:sz w:val="24"/>
          <w:highlight w:val="none"/>
        </w:rPr>
      </w:pPr>
    </w:p>
    <w:p w14:paraId="7BE7103B">
      <w:pPr>
        <w:jc w:val="center"/>
        <w:rPr>
          <w:rFonts w:ascii="仿宋" w:hAnsi="仿宋" w:eastAsia="仿宋" w:cs="仿宋"/>
          <w:b/>
          <w:color w:val="auto"/>
          <w:sz w:val="44"/>
          <w:szCs w:val="44"/>
          <w:highlight w:val="none"/>
        </w:rPr>
      </w:pPr>
      <w:r>
        <w:rPr>
          <w:rFonts w:hint="eastAsia" w:ascii="仿宋" w:hAnsi="仿宋" w:eastAsia="仿宋" w:cs="仿宋"/>
          <w:b/>
          <w:color w:val="auto"/>
          <w:sz w:val="44"/>
          <w:szCs w:val="44"/>
          <w:highlight w:val="none"/>
        </w:rPr>
        <w:t>项目实施人员一览表</w:t>
      </w:r>
    </w:p>
    <w:p w14:paraId="03C37634">
      <w:pPr>
        <w:spacing w:line="360" w:lineRule="auto"/>
        <w:contextualSpacing/>
        <w:rPr>
          <w:rFonts w:ascii="仿宋" w:hAnsi="仿宋" w:eastAsia="仿宋" w:cs="仿宋"/>
          <w:color w:val="auto"/>
          <w:sz w:val="24"/>
          <w:highlight w:val="none"/>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rPr>
        <w:t xml:space="preserve">                 </w:t>
      </w:r>
    </w:p>
    <w:p w14:paraId="25C7449C">
      <w:pPr>
        <w:spacing w:line="360" w:lineRule="auto"/>
        <w:contextualSpacing/>
        <w:rPr>
          <w:rFonts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single"/>
        </w:rPr>
        <w:t xml:space="preserve">                 </w:t>
      </w:r>
    </w:p>
    <w:p w14:paraId="6B8939C8">
      <w:pPr>
        <w:pStyle w:val="18"/>
        <w:spacing w:line="360" w:lineRule="auto"/>
        <w:contextualSpacing/>
        <w:rPr>
          <w:rFonts w:ascii="仿宋" w:hAnsi="仿宋" w:eastAsia="仿宋" w:cs="仿宋"/>
          <w:color w:val="auto"/>
          <w:sz w:val="24"/>
          <w:szCs w:val="24"/>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15"/>
        <w:gridCol w:w="794"/>
        <w:gridCol w:w="1907"/>
        <w:gridCol w:w="1592"/>
        <w:gridCol w:w="1903"/>
        <w:gridCol w:w="979"/>
      </w:tblGrid>
      <w:tr w14:paraId="500D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770CD0FD">
            <w:pPr>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序号</w:t>
            </w:r>
          </w:p>
        </w:tc>
        <w:tc>
          <w:tcPr>
            <w:tcW w:w="915" w:type="dxa"/>
            <w:vAlign w:val="center"/>
          </w:tcPr>
          <w:p w14:paraId="0EB25968">
            <w:pPr>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姓名</w:t>
            </w:r>
          </w:p>
        </w:tc>
        <w:tc>
          <w:tcPr>
            <w:tcW w:w="794" w:type="dxa"/>
            <w:vAlign w:val="center"/>
          </w:tcPr>
          <w:p w14:paraId="7359CBDD">
            <w:pPr>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职务</w:t>
            </w:r>
          </w:p>
        </w:tc>
        <w:tc>
          <w:tcPr>
            <w:tcW w:w="1907" w:type="dxa"/>
            <w:vAlign w:val="center"/>
          </w:tcPr>
          <w:p w14:paraId="56869688">
            <w:pPr>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专业技术资格（职称）或者职业资格或者执业资格证或者其他证书</w:t>
            </w:r>
          </w:p>
        </w:tc>
        <w:tc>
          <w:tcPr>
            <w:tcW w:w="1592" w:type="dxa"/>
            <w:vAlign w:val="center"/>
          </w:tcPr>
          <w:p w14:paraId="29651326">
            <w:pPr>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证书编号</w:t>
            </w:r>
          </w:p>
        </w:tc>
        <w:tc>
          <w:tcPr>
            <w:tcW w:w="1903" w:type="dxa"/>
            <w:vAlign w:val="center"/>
          </w:tcPr>
          <w:p w14:paraId="6D487280">
            <w:pPr>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参加本单位</w:t>
            </w:r>
          </w:p>
          <w:p w14:paraId="19511F7C">
            <w:pPr>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工作时间</w:t>
            </w:r>
          </w:p>
        </w:tc>
        <w:tc>
          <w:tcPr>
            <w:tcW w:w="979" w:type="dxa"/>
            <w:vAlign w:val="center"/>
          </w:tcPr>
          <w:p w14:paraId="0D95CC57">
            <w:pPr>
              <w:contextualSpacing/>
              <w:jc w:val="center"/>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备注</w:t>
            </w:r>
          </w:p>
        </w:tc>
      </w:tr>
      <w:tr w14:paraId="4C57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6A5290D3">
            <w:pPr>
              <w:spacing w:line="360" w:lineRule="auto"/>
              <w:contextualSpacing/>
              <w:jc w:val="center"/>
              <w:rPr>
                <w:rFonts w:ascii="仿宋" w:hAnsi="仿宋" w:eastAsia="仿宋" w:cs="仿宋"/>
                <w:color w:val="auto"/>
                <w:sz w:val="24"/>
                <w:szCs w:val="20"/>
                <w:highlight w:val="none"/>
              </w:rPr>
            </w:pPr>
          </w:p>
        </w:tc>
        <w:tc>
          <w:tcPr>
            <w:tcW w:w="915" w:type="dxa"/>
            <w:vAlign w:val="center"/>
          </w:tcPr>
          <w:p w14:paraId="030514A9">
            <w:pPr>
              <w:spacing w:line="360" w:lineRule="auto"/>
              <w:contextualSpacing/>
              <w:jc w:val="center"/>
              <w:rPr>
                <w:rFonts w:ascii="仿宋" w:hAnsi="仿宋" w:eastAsia="仿宋" w:cs="仿宋"/>
                <w:color w:val="auto"/>
                <w:sz w:val="24"/>
                <w:szCs w:val="20"/>
                <w:highlight w:val="none"/>
              </w:rPr>
            </w:pPr>
          </w:p>
        </w:tc>
        <w:tc>
          <w:tcPr>
            <w:tcW w:w="794" w:type="dxa"/>
            <w:vAlign w:val="center"/>
          </w:tcPr>
          <w:p w14:paraId="3A13E263">
            <w:pPr>
              <w:spacing w:line="360" w:lineRule="auto"/>
              <w:contextualSpacing/>
              <w:jc w:val="center"/>
              <w:rPr>
                <w:rFonts w:ascii="仿宋" w:hAnsi="仿宋" w:eastAsia="仿宋" w:cs="仿宋"/>
                <w:color w:val="auto"/>
                <w:sz w:val="24"/>
                <w:szCs w:val="20"/>
                <w:highlight w:val="none"/>
              </w:rPr>
            </w:pPr>
          </w:p>
        </w:tc>
        <w:tc>
          <w:tcPr>
            <w:tcW w:w="1907" w:type="dxa"/>
            <w:vAlign w:val="center"/>
          </w:tcPr>
          <w:p w14:paraId="3FE88253">
            <w:pPr>
              <w:spacing w:line="360" w:lineRule="auto"/>
              <w:contextualSpacing/>
              <w:jc w:val="center"/>
              <w:rPr>
                <w:rFonts w:ascii="仿宋" w:hAnsi="仿宋" w:eastAsia="仿宋" w:cs="仿宋"/>
                <w:color w:val="auto"/>
                <w:sz w:val="24"/>
                <w:szCs w:val="20"/>
                <w:highlight w:val="none"/>
              </w:rPr>
            </w:pPr>
          </w:p>
        </w:tc>
        <w:tc>
          <w:tcPr>
            <w:tcW w:w="1592" w:type="dxa"/>
            <w:vAlign w:val="center"/>
          </w:tcPr>
          <w:p w14:paraId="002ED030">
            <w:pPr>
              <w:spacing w:line="360" w:lineRule="auto"/>
              <w:contextualSpacing/>
              <w:jc w:val="center"/>
              <w:rPr>
                <w:rFonts w:ascii="仿宋" w:hAnsi="仿宋" w:eastAsia="仿宋" w:cs="仿宋"/>
                <w:color w:val="auto"/>
                <w:sz w:val="24"/>
                <w:szCs w:val="20"/>
                <w:highlight w:val="none"/>
              </w:rPr>
            </w:pPr>
          </w:p>
        </w:tc>
        <w:tc>
          <w:tcPr>
            <w:tcW w:w="1903" w:type="dxa"/>
            <w:vAlign w:val="center"/>
          </w:tcPr>
          <w:p w14:paraId="1DD97A84">
            <w:pPr>
              <w:spacing w:line="360" w:lineRule="auto"/>
              <w:contextualSpacing/>
              <w:jc w:val="center"/>
              <w:rPr>
                <w:rFonts w:ascii="仿宋" w:hAnsi="仿宋" w:eastAsia="仿宋" w:cs="仿宋"/>
                <w:color w:val="auto"/>
                <w:sz w:val="24"/>
                <w:szCs w:val="20"/>
                <w:highlight w:val="none"/>
              </w:rPr>
            </w:pPr>
          </w:p>
        </w:tc>
        <w:tc>
          <w:tcPr>
            <w:tcW w:w="979" w:type="dxa"/>
            <w:vAlign w:val="center"/>
          </w:tcPr>
          <w:p w14:paraId="41FBF84F">
            <w:pPr>
              <w:spacing w:line="360" w:lineRule="auto"/>
              <w:contextualSpacing/>
              <w:jc w:val="center"/>
              <w:rPr>
                <w:rFonts w:ascii="仿宋" w:hAnsi="仿宋" w:eastAsia="仿宋" w:cs="仿宋"/>
                <w:color w:val="auto"/>
                <w:sz w:val="24"/>
                <w:szCs w:val="20"/>
                <w:highlight w:val="none"/>
              </w:rPr>
            </w:pPr>
          </w:p>
        </w:tc>
      </w:tr>
      <w:tr w14:paraId="5E45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0EB54893">
            <w:pPr>
              <w:spacing w:line="360" w:lineRule="auto"/>
              <w:contextualSpacing/>
              <w:jc w:val="center"/>
              <w:rPr>
                <w:rFonts w:ascii="仿宋" w:hAnsi="仿宋" w:eastAsia="仿宋" w:cs="仿宋"/>
                <w:color w:val="auto"/>
                <w:sz w:val="24"/>
                <w:szCs w:val="20"/>
                <w:highlight w:val="none"/>
              </w:rPr>
            </w:pPr>
          </w:p>
        </w:tc>
        <w:tc>
          <w:tcPr>
            <w:tcW w:w="915" w:type="dxa"/>
            <w:vAlign w:val="center"/>
          </w:tcPr>
          <w:p w14:paraId="1A0EFB75">
            <w:pPr>
              <w:spacing w:line="360" w:lineRule="auto"/>
              <w:contextualSpacing/>
              <w:jc w:val="center"/>
              <w:rPr>
                <w:rFonts w:ascii="仿宋" w:hAnsi="仿宋" w:eastAsia="仿宋" w:cs="仿宋"/>
                <w:color w:val="auto"/>
                <w:sz w:val="24"/>
                <w:szCs w:val="20"/>
                <w:highlight w:val="none"/>
              </w:rPr>
            </w:pPr>
          </w:p>
        </w:tc>
        <w:tc>
          <w:tcPr>
            <w:tcW w:w="794" w:type="dxa"/>
            <w:vAlign w:val="center"/>
          </w:tcPr>
          <w:p w14:paraId="649C67EE">
            <w:pPr>
              <w:spacing w:line="360" w:lineRule="auto"/>
              <w:contextualSpacing/>
              <w:jc w:val="center"/>
              <w:rPr>
                <w:rFonts w:ascii="仿宋" w:hAnsi="仿宋" w:eastAsia="仿宋" w:cs="仿宋"/>
                <w:color w:val="auto"/>
                <w:sz w:val="24"/>
                <w:szCs w:val="20"/>
                <w:highlight w:val="none"/>
              </w:rPr>
            </w:pPr>
          </w:p>
        </w:tc>
        <w:tc>
          <w:tcPr>
            <w:tcW w:w="1907" w:type="dxa"/>
            <w:vAlign w:val="center"/>
          </w:tcPr>
          <w:p w14:paraId="6629C596">
            <w:pPr>
              <w:spacing w:line="360" w:lineRule="auto"/>
              <w:contextualSpacing/>
              <w:jc w:val="center"/>
              <w:rPr>
                <w:rFonts w:ascii="仿宋" w:hAnsi="仿宋" w:eastAsia="仿宋" w:cs="仿宋"/>
                <w:color w:val="auto"/>
                <w:sz w:val="24"/>
                <w:szCs w:val="20"/>
                <w:highlight w:val="none"/>
              </w:rPr>
            </w:pPr>
          </w:p>
        </w:tc>
        <w:tc>
          <w:tcPr>
            <w:tcW w:w="1592" w:type="dxa"/>
            <w:vAlign w:val="center"/>
          </w:tcPr>
          <w:p w14:paraId="5836D44B">
            <w:pPr>
              <w:spacing w:line="360" w:lineRule="auto"/>
              <w:contextualSpacing/>
              <w:jc w:val="center"/>
              <w:rPr>
                <w:rFonts w:ascii="仿宋" w:hAnsi="仿宋" w:eastAsia="仿宋" w:cs="仿宋"/>
                <w:color w:val="auto"/>
                <w:sz w:val="24"/>
                <w:szCs w:val="20"/>
                <w:highlight w:val="none"/>
              </w:rPr>
            </w:pPr>
          </w:p>
        </w:tc>
        <w:tc>
          <w:tcPr>
            <w:tcW w:w="1903" w:type="dxa"/>
            <w:vAlign w:val="center"/>
          </w:tcPr>
          <w:p w14:paraId="6799F1E6">
            <w:pPr>
              <w:spacing w:line="360" w:lineRule="auto"/>
              <w:contextualSpacing/>
              <w:jc w:val="center"/>
              <w:rPr>
                <w:rFonts w:ascii="仿宋" w:hAnsi="仿宋" w:eastAsia="仿宋" w:cs="仿宋"/>
                <w:color w:val="auto"/>
                <w:sz w:val="24"/>
                <w:szCs w:val="20"/>
                <w:highlight w:val="none"/>
              </w:rPr>
            </w:pPr>
          </w:p>
        </w:tc>
        <w:tc>
          <w:tcPr>
            <w:tcW w:w="979" w:type="dxa"/>
            <w:vAlign w:val="center"/>
          </w:tcPr>
          <w:p w14:paraId="79090638">
            <w:pPr>
              <w:spacing w:line="360" w:lineRule="auto"/>
              <w:contextualSpacing/>
              <w:jc w:val="center"/>
              <w:rPr>
                <w:rFonts w:ascii="仿宋" w:hAnsi="仿宋" w:eastAsia="仿宋" w:cs="仿宋"/>
                <w:color w:val="auto"/>
                <w:sz w:val="24"/>
                <w:szCs w:val="20"/>
                <w:highlight w:val="none"/>
              </w:rPr>
            </w:pPr>
          </w:p>
        </w:tc>
      </w:tr>
      <w:tr w14:paraId="03C9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5FE1DE9F">
            <w:pPr>
              <w:spacing w:line="360" w:lineRule="auto"/>
              <w:contextualSpacing/>
              <w:jc w:val="center"/>
              <w:rPr>
                <w:rFonts w:ascii="仿宋" w:hAnsi="仿宋" w:eastAsia="仿宋" w:cs="仿宋"/>
                <w:color w:val="auto"/>
                <w:sz w:val="24"/>
                <w:szCs w:val="20"/>
                <w:highlight w:val="none"/>
              </w:rPr>
            </w:pPr>
          </w:p>
        </w:tc>
        <w:tc>
          <w:tcPr>
            <w:tcW w:w="915" w:type="dxa"/>
            <w:vAlign w:val="center"/>
          </w:tcPr>
          <w:p w14:paraId="049AF361">
            <w:pPr>
              <w:spacing w:line="360" w:lineRule="auto"/>
              <w:contextualSpacing/>
              <w:jc w:val="center"/>
              <w:rPr>
                <w:rFonts w:ascii="仿宋" w:hAnsi="仿宋" w:eastAsia="仿宋" w:cs="仿宋"/>
                <w:color w:val="auto"/>
                <w:sz w:val="24"/>
                <w:szCs w:val="20"/>
                <w:highlight w:val="none"/>
              </w:rPr>
            </w:pPr>
          </w:p>
        </w:tc>
        <w:tc>
          <w:tcPr>
            <w:tcW w:w="794" w:type="dxa"/>
            <w:vAlign w:val="center"/>
          </w:tcPr>
          <w:p w14:paraId="03B752AE">
            <w:pPr>
              <w:spacing w:line="360" w:lineRule="auto"/>
              <w:contextualSpacing/>
              <w:jc w:val="center"/>
              <w:rPr>
                <w:rFonts w:ascii="仿宋" w:hAnsi="仿宋" w:eastAsia="仿宋" w:cs="仿宋"/>
                <w:color w:val="auto"/>
                <w:sz w:val="24"/>
                <w:szCs w:val="20"/>
                <w:highlight w:val="none"/>
              </w:rPr>
            </w:pPr>
          </w:p>
        </w:tc>
        <w:tc>
          <w:tcPr>
            <w:tcW w:w="1907" w:type="dxa"/>
            <w:vAlign w:val="center"/>
          </w:tcPr>
          <w:p w14:paraId="22097D96">
            <w:pPr>
              <w:spacing w:line="360" w:lineRule="auto"/>
              <w:contextualSpacing/>
              <w:jc w:val="center"/>
              <w:rPr>
                <w:rFonts w:ascii="仿宋" w:hAnsi="仿宋" w:eastAsia="仿宋" w:cs="仿宋"/>
                <w:color w:val="auto"/>
                <w:sz w:val="24"/>
                <w:szCs w:val="20"/>
                <w:highlight w:val="none"/>
              </w:rPr>
            </w:pPr>
          </w:p>
        </w:tc>
        <w:tc>
          <w:tcPr>
            <w:tcW w:w="1592" w:type="dxa"/>
            <w:vAlign w:val="center"/>
          </w:tcPr>
          <w:p w14:paraId="7A091DAD">
            <w:pPr>
              <w:spacing w:line="360" w:lineRule="auto"/>
              <w:contextualSpacing/>
              <w:jc w:val="center"/>
              <w:rPr>
                <w:rFonts w:ascii="仿宋" w:hAnsi="仿宋" w:eastAsia="仿宋" w:cs="仿宋"/>
                <w:color w:val="auto"/>
                <w:sz w:val="24"/>
                <w:szCs w:val="20"/>
                <w:highlight w:val="none"/>
              </w:rPr>
            </w:pPr>
          </w:p>
        </w:tc>
        <w:tc>
          <w:tcPr>
            <w:tcW w:w="1903" w:type="dxa"/>
            <w:vAlign w:val="center"/>
          </w:tcPr>
          <w:p w14:paraId="09F3C2E1">
            <w:pPr>
              <w:spacing w:line="360" w:lineRule="auto"/>
              <w:contextualSpacing/>
              <w:jc w:val="center"/>
              <w:rPr>
                <w:rFonts w:ascii="仿宋" w:hAnsi="仿宋" w:eastAsia="仿宋" w:cs="仿宋"/>
                <w:color w:val="auto"/>
                <w:sz w:val="24"/>
                <w:szCs w:val="20"/>
                <w:highlight w:val="none"/>
              </w:rPr>
            </w:pPr>
          </w:p>
        </w:tc>
        <w:tc>
          <w:tcPr>
            <w:tcW w:w="979" w:type="dxa"/>
            <w:vAlign w:val="center"/>
          </w:tcPr>
          <w:p w14:paraId="7546C7A5">
            <w:pPr>
              <w:spacing w:line="360" w:lineRule="auto"/>
              <w:contextualSpacing/>
              <w:jc w:val="center"/>
              <w:rPr>
                <w:rFonts w:ascii="仿宋" w:hAnsi="仿宋" w:eastAsia="仿宋" w:cs="仿宋"/>
                <w:color w:val="auto"/>
                <w:sz w:val="24"/>
                <w:szCs w:val="20"/>
                <w:highlight w:val="none"/>
              </w:rPr>
            </w:pPr>
          </w:p>
        </w:tc>
      </w:tr>
    </w:tbl>
    <w:p w14:paraId="14A9333C">
      <w:pPr>
        <w:spacing w:line="360" w:lineRule="auto"/>
        <w:contextualSpacing/>
        <w:jc w:val="left"/>
        <w:rPr>
          <w:rFonts w:ascii="仿宋" w:hAnsi="仿宋" w:eastAsia="仿宋" w:cs="仿宋"/>
          <w:b/>
          <w:color w:val="auto"/>
          <w:sz w:val="24"/>
          <w:szCs w:val="20"/>
          <w:highlight w:val="none"/>
        </w:rPr>
      </w:pPr>
      <w:r>
        <w:rPr>
          <w:rFonts w:hint="eastAsia" w:ascii="仿宋" w:hAnsi="仿宋" w:eastAsia="仿宋" w:cs="仿宋"/>
          <w:b/>
          <w:color w:val="auto"/>
          <w:sz w:val="24"/>
          <w:szCs w:val="20"/>
          <w:highlight w:val="none"/>
        </w:rPr>
        <w:t>注：</w:t>
      </w:r>
    </w:p>
    <w:p w14:paraId="0DA6F6EA">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1.在填写时，如本表格不适合供应商的实际情况，可根据本表格式自行制表填写。</w:t>
      </w:r>
    </w:p>
    <w:p w14:paraId="2B772180">
      <w:pPr>
        <w:spacing w:line="360" w:lineRule="auto"/>
        <w:contextualSpacing/>
        <w:jc w:val="left"/>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2.供应商应当附本表所列证书的复印件并加盖供应商公章。</w:t>
      </w:r>
    </w:p>
    <w:p w14:paraId="7B417D66">
      <w:pPr>
        <w:pStyle w:val="15"/>
        <w:rPr>
          <w:rFonts w:ascii="仿宋" w:hAnsi="仿宋" w:eastAsia="仿宋" w:cs="仿宋"/>
          <w:color w:val="auto"/>
          <w:highlight w:val="none"/>
        </w:rPr>
      </w:pPr>
    </w:p>
    <w:p w14:paraId="431C7918">
      <w:pPr>
        <w:spacing w:line="360" w:lineRule="auto"/>
        <w:ind w:firstLine="3120" w:firstLineChars="1300"/>
        <w:contextualSpacing/>
        <w:rPr>
          <w:rFonts w:ascii="仿宋" w:hAnsi="仿宋" w:eastAsia="仿宋" w:cs="仿宋"/>
          <w:color w:val="auto"/>
          <w:spacing w:val="20"/>
          <w:sz w:val="24"/>
          <w:szCs w:val="20"/>
          <w:highlight w:val="none"/>
          <w:u w:val="single"/>
        </w:rPr>
      </w:pPr>
      <w:r>
        <w:rPr>
          <w:rFonts w:hint="eastAsia" w:ascii="仿宋" w:hAnsi="仿宋" w:eastAsia="仿宋" w:cs="仿宋"/>
          <w:color w:val="auto"/>
          <w:sz w:val="24"/>
          <w:highlight w:val="none"/>
        </w:rPr>
        <w:t>法定代表人或者委托代理人（</w:t>
      </w:r>
      <w:r>
        <w:rPr>
          <w:rFonts w:hint="eastAsia" w:ascii="仿宋" w:hAnsi="仿宋" w:eastAsia="仿宋" w:cs="仿宋"/>
          <w:color w:val="auto"/>
          <w:spacing w:val="20"/>
          <w:sz w:val="24"/>
          <w:highlight w:val="none"/>
        </w:rPr>
        <w:t>签字</w:t>
      </w:r>
      <w:r>
        <w:rPr>
          <w:rFonts w:hint="eastAsia" w:ascii="仿宋" w:hAnsi="仿宋" w:eastAsia="仿宋" w:cs="仿宋"/>
          <w:color w:val="auto"/>
          <w:sz w:val="24"/>
          <w:highlight w:val="none"/>
        </w:rPr>
        <w:t>）</w:t>
      </w:r>
      <w:r>
        <w:rPr>
          <w:rFonts w:hint="eastAsia" w:ascii="仿宋" w:hAnsi="仿宋" w:eastAsia="仿宋" w:cs="仿宋"/>
          <w:color w:val="auto"/>
          <w:spacing w:val="20"/>
          <w:sz w:val="24"/>
          <w:highlight w:val="none"/>
        </w:rPr>
        <w:t>：</w:t>
      </w:r>
      <w:r>
        <w:rPr>
          <w:rFonts w:hint="eastAsia" w:ascii="仿宋" w:hAnsi="仿宋" w:eastAsia="仿宋" w:cs="仿宋"/>
          <w:color w:val="auto"/>
          <w:spacing w:val="20"/>
          <w:sz w:val="24"/>
          <w:highlight w:val="none"/>
          <w:u w:val="single"/>
        </w:rPr>
        <w:t xml:space="preserve">        </w:t>
      </w:r>
    </w:p>
    <w:p w14:paraId="169C32EF">
      <w:pPr>
        <w:spacing w:line="360" w:lineRule="auto"/>
        <w:ind w:firstLine="3080" w:firstLineChars="1100"/>
        <w:contextualSpacing/>
        <w:jc w:val="left"/>
        <w:rPr>
          <w:rFonts w:ascii="仿宋" w:hAnsi="仿宋" w:eastAsia="仿宋" w:cs="仿宋"/>
          <w:color w:val="auto"/>
          <w:spacing w:val="20"/>
          <w:sz w:val="24"/>
          <w:highlight w:val="none"/>
        </w:rPr>
      </w:pPr>
      <w:r>
        <w:rPr>
          <w:rFonts w:hint="eastAsia" w:ascii="仿宋" w:hAnsi="仿宋" w:eastAsia="仿宋" w:cs="仿宋"/>
          <w:color w:val="auto"/>
          <w:spacing w:val="20"/>
          <w:sz w:val="24"/>
          <w:highlight w:val="none"/>
        </w:rPr>
        <w:t>供应商（公章）：</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 xml:space="preserve">              </w:t>
      </w:r>
    </w:p>
    <w:p w14:paraId="7488D3A7">
      <w:pPr>
        <w:spacing w:line="360" w:lineRule="auto"/>
        <w:ind w:firstLine="3080" w:firstLineChars="1100"/>
        <w:contextualSpacing/>
        <w:jc w:val="left"/>
        <w:rPr>
          <w:rFonts w:ascii="仿宋" w:hAnsi="仿宋" w:eastAsia="仿宋" w:cs="仿宋"/>
          <w:color w:val="auto"/>
          <w:sz w:val="24"/>
          <w:szCs w:val="20"/>
          <w:highlight w:val="none"/>
        </w:rPr>
      </w:pPr>
      <w:r>
        <w:rPr>
          <w:rFonts w:hint="eastAsia" w:ascii="仿宋" w:hAnsi="仿宋" w:eastAsia="仿宋" w:cs="仿宋"/>
          <w:color w:val="auto"/>
          <w:spacing w:val="20"/>
          <w:sz w:val="24"/>
          <w:highlight w:val="none"/>
        </w:rPr>
        <w:t>日 期：年</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月</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日</w:t>
      </w:r>
    </w:p>
    <w:p w14:paraId="170C7AD1">
      <w:pPr>
        <w:snapToGrid w:val="0"/>
        <w:spacing w:before="50" w:after="156" w:afterLines="50"/>
        <w:jc w:val="left"/>
        <w:rPr>
          <w:rFonts w:ascii="仿宋" w:hAnsi="仿宋" w:eastAsia="仿宋" w:cs="仿宋"/>
          <w:color w:val="auto"/>
          <w:sz w:val="24"/>
          <w:szCs w:val="20"/>
          <w:highlight w:val="none"/>
        </w:rPr>
      </w:pPr>
    </w:p>
    <w:p w14:paraId="67FE7DED">
      <w:pPr>
        <w:snapToGrid w:val="0"/>
        <w:spacing w:before="50" w:after="50" w:line="360" w:lineRule="auto"/>
        <w:ind w:right="-817" w:rightChars="-389" w:firstLine="5461" w:firstLineChars="1700"/>
        <w:rPr>
          <w:rFonts w:ascii="仿宋" w:hAnsi="仿宋" w:eastAsia="仿宋" w:cs="仿宋"/>
          <w:b/>
          <w:color w:val="auto"/>
          <w:sz w:val="32"/>
          <w:szCs w:val="32"/>
          <w:highlight w:val="none"/>
        </w:rPr>
      </w:pPr>
    </w:p>
    <w:p w14:paraId="010C0786">
      <w:pPr>
        <w:rPr>
          <w:rFonts w:ascii="仿宋" w:hAnsi="仿宋" w:eastAsia="仿宋" w:cs="仿宋"/>
          <w:color w:val="auto"/>
          <w:szCs w:val="21"/>
          <w:highlight w:val="none"/>
        </w:rPr>
      </w:pPr>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rPr>
        <w:t>其他文书、文件格式</w:t>
      </w:r>
    </w:p>
    <w:p w14:paraId="2B738979">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color w:val="auto"/>
          <w:sz w:val="44"/>
          <w:szCs w:val="44"/>
          <w:highlight w:val="none"/>
        </w:rPr>
        <w:t>质疑函</w:t>
      </w:r>
      <w:r>
        <w:rPr>
          <w:rFonts w:hint="eastAsia" w:ascii="仿宋" w:hAnsi="仿宋" w:eastAsia="仿宋" w:cs="仿宋"/>
          <w:color w:val="auto"/>
          <w:sz w:val="28"/>
          <w:szCs w:val="28"/>
          <w:highlight w:val="none"/>
        </w:rPr>
        <w:t>（格式）</w:t>
      </w:r>
    </w:p>
    <w:p w14:paraId="1B3DBA39">
      <w:pPr>
        <w:pStyle w:val="18"/>
        <w:spacing w:line="360" w:lineRule="auto"/>
        <w:ind w:firstLine="482"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5679D177">
      <w:pPr>
        <w:pStyle w:val="18"/>
        <w:spacing w:line="360" w:lineRule="auto"/>
        <w:ind w:firstLine="480" w:firstLineChars="200"/>
        <w:contextualSpacing/>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62A161F">
      <w:pPr>
        <w:pStyle w:val="18"/>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E382628">
      <w:pPr>
        <w:pStyle w:val="18"/>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13B2F6FA">
      <w:pPr>
        <w:pStyle w:val="18"/>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09700F2C">
      <w:pPr>
        <w:pStyle w:val="18"/>
        <w:spacing w:line="360" w:lineRule="auto"/>
        <w:ind w:firstLine="480" w:firstLineChars="200"/>
        <w:contextualSpacing/>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0AF8BD6">
      <w:pPr>
        <w:pStyle w:val="18"/>
        <w:spacing w:line="360" w:lineRule="auto"/>
        <w:ind w:firstLine="480" w:firstLineChars="200"/>
        <w:contextualSpacing/>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3F6D5F6">
      <w:pPr>
        <w:pStyle w:val="18"/>
        <w:spacing w:line="360" w:lineRule="auto"/>
        <w:ind w:firstLine="482" w:firstLineChars="200"/>
        <w:contextualSpacing/>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2B7AB8DE">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54F806B1">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6A62D90F">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07858061">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3C82DB60">
      <w:pPr>
        <w:pStyle w:val="18"/>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   采购文件获取日期：</w:t>
      </w:r>
      <w:r>
        <w:rPr>
          <w:rFonts w:hint="eastAsia" w:ascii="仿宋" w:hAnsi="仿宋" w:eastAsia="仿宋" w:cs="仿宋"/>
          <w:bCs/>
          <w:color w:val="auto"/>
          <w:sz w:val="24"/>
          <w:szCs w:val="24"/>
          <w:highlight w:val="none"/>
          <w:u w:val="single"/>
        </w:rPr>
        <w:t xml:space="preserve">                                   </w:t>
      </w:r>
    </w:p>
    <w:p w14:paraId="0C564EC3">
      <w:pPr>
        <w:pStyle w:val="18"/>
        <w:spacing w:line="360" w:lineRule="auto"/>
        <w:ind w:left="25" w:leftChars="12" w:firstLine="352" w:firstLineChars="14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4448F88B">
      <w:pPr>
        <w:pStyle w:val="18"/>
        <w:spacing w:line="360" w:lineRule="auto"/>
        <w:ind w:left="25" w:leftChars="12" w:firstLine="352" w:firstLineChars="147"/>
        <w:contextualSpacing/>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□成交结果   </w:t>
      </w:r>
    </w:p>
    <w:p w14:paraId="48F052DA">
      <w:pPr>
        <w:pStyle w:val="18"/>
        <w:spacing w:line="360" w:lineRule="auto"/>
        <w:ind w:left="25" w:leftChars="12" w:firstLine="472" w:firstLineChars="196"/>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7B31FEFF">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4C6F7FB3">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2514E26C">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2B43539E">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3DC1C783">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5C3EBE4">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7F58FE89">
      <w:pPr>
        <w:pStyle w:val="18"/>
        <w:spacing w:line="360" w:lineRule="auto"/>
        <w:ind w:left="25" w:leftChars="12" w:firstLine="472" w:firstLineChars="197"/>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707891AD">
      <w:pPr>
        <w:pStyle w:val="18"/>
        <w:spacing w:line="360" w:lineRule="auto"/>
        <w:ind w:left="25" w:leftChars="12" w:firstLine="352" w:firstLineChars="147"/>
        <w:contextualSpacing/>
        <w:rPr>
          <w:rFonts w:ascii="仿宋" w:hAnsi="仿宋" w:eastAsia="仿宋" w:cs="仿宋"/>
          <w:color w:val="auto"/>
          <w:sz w:val="24"/>
          <w:szCs w:val="24"/>
          <w:highlight w:val="none"/>
        </w:rPr>
      </w:pPr>
    </w:p>
    <w:p w14:paraId="7BCE7D38">
      <w:pPr>
        <w:pStyle w:val="18"/>
        <w:spacing w:line="360" w:lineRule="auto"/>
        <w:ind w:left="25" w:leftChars="12" w:firstLine="472" w:firstLineChars="197"/>
        <w:contextualSpacing/>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签字（签章）：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公章：</w:t>
      </w:r>
      <w:r>
        <w:rPr>
          <w:rFonts w:hint="eastAsia" w:ascii="仿宋" w:hAnsi="仿宋" w:eastAsia="仿宋" w:cs="仿宋"/>
          <w:color w:val="auto"/>
          <w:sz w:val="24"/>
          <w:szCs w:val="24"/>
          <w:highlight w:val="none"/>
          <w:u w:val="single"/>
        </w:rPr>
        <w:t xml:space="preserve">               </w:t>
      </w:r>
    </w:p>
    <w:p w14:paraId="16C1CC1E">
      <w:pPr>
        <w:pStyle w:val="18"/>
        <w:spacing w:line="360" w:lineRule="auto"/>
        <w:ind w:firstLine="480" w:firstLineChars="200"/>
        <w:contextualSpacing/>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572D1EA">
      <w:pPr>
        <w:rPr>
          <w:rFonts w:ascii="仿宋" w:hAnsi="仿宋" w:eastAsia="仿宋" w:cs="仿宋"/>
          <w:color w:val="auto"/>
          <w:highlight w:val="none"/>
        </w:rPr>
      </w:pPr>
    </w:p>
    <w:p w14:paraId="63056A0D">
      <w:pPr>
        <w:pStyle w:val="15"/>
        <w:rPr>
          <w:rFonts w:ascii="仿宋" w:hAnsi="仿宋" w:eastAsia="仿宋" w:cs="仿宋"/>
          <w:color w:val="auto"/>
          <w:highlight w:val="none"/>
        </w:rPr>
      </w:pPr>
    </w:p>
    <w:p w14:paraId="4FDE9FF3">
      <w:pPr>
        <w:pStyle w:val="18"/>
        <w:spacing w:line="360" w:lineRule="auto"/>
        <w:ind w:firstLine="482" w:firstLineChars="200"/>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34F15132">
      <w:pPr>
        <w:pStyle w:val="18"/>
        <w:spacing w:line="360" w:lineRule="auto"/>
        <w:ind w:left="25" w:leftChars="12" w:firstLine="354" w:firstLineChars="147"/>
        <w:contextualSpacing/>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48190B30">
      <w:pPr>
        <w:pStyle w:val="18"/>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06D32A3">
      <w:pPr>
        <w:pStyle w:val="18"/>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5D1CC4DC">
      <w:pPr>
        <w:pStyle w:val="18"/>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774D663B">
      <w:pPr>
        <w:pStyle w:val="18"/>
        <w:spacing w:line="360" w:lineRule="auto"/>
        <w:ind w:left="25" w:leftChars="12" w:firstLine="354" w:firstLineChars="147"/>
        <w:contextualSpacing/>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3E3A3779">
      <w:pPr>
        <w:pStyle w:val="18"/>
        <w:snapToGrid w:val="0"/>
        <w:rPr>
          <w:rFonts w:ascii="仿宋" w:hAnsi="仿宋" w:eastAsia="仿宋" w:cs="仿宋"/>
          <w:b/>
          <w:color w:val="auto"/>
          <w:sz w:val="24"/>
          <w:szCs w:val="24"/>
          <w:highlight w:val="none"/>
        </w:rPr>
      </w:pPr>
    </w:p>
    <w:p w14:paraId="0A5F2476">
      <w:pPr>
        <w:rPr>
          <w:rFonts w:ascii="仿宋" w:hAnsi="仿宋" w:eastAsia="仿宋" w:cs="仿宋"/>
          <w:color w:val="auto"/>
          <w:sz w:val="32"/>
          <w:szCs w:val="40"/>
          <w:highlight w:val="none"/>
        </w:rPr>
      </w:pPr>
    </w:p>
    <w:p w14:paraId="60FDAB6D">
      <w:pPr>
        <w:rPr>
          <w:rFonts w:ascii="仿宋" w:hAnsi="仿宋" w:eastAsia="仿宋" w:cs="仿宋"/>
          <w:color w:val="auto"/>
          <w:sz w:val="32"/>
          <w:szCs w:val="40"/>
          <w:highlight w:val="none"/>
        </w:rPr>
      </w:pPr>
    </w:p>
    <w:p w14:paraId="686A0965">
      <w:pPr>
        <w:rPr>
          <w:rFonts w:ascii="仿宋" w:hAnsi="仿宋" w:eastAsia="仿宋" w:cs="仿宋"/>
          <w:color w:val="auto"/>
          <w:sz w:val="32"/>
          <w:szCs w:val="40"/>
          <w:highlight w:val="none"/>
        </w:rPr>
      </w:pPr>
    </w:p>
    <w:p w14:paraId="1A03FE90">
      <w:pPr>
        <w:rPr>
          <w:rFonts w:ascii="仿宋" w:hAnsi="仿宋" w:eastAsia="仿宋" w:cs="仿宋"/>
          <w:color w:val="auto"/>
          <w:sz w:val="32"/>
          <w:szCs w:val="40"/>
          <w:highlight w:val="none"/>
        </w:rPr>
      </w:pPr>
    </w:p>
    <w:p w14:paraId="7055B2E4">
      <w:pPr>
        <w:rPr>
          <w:rFonts w:ascii="仿宋" w:hAnsi="仿宋" w:eastAsia="仿宋" w:cs="仿宋"/>
          <w:color w:val="auto"/>
          <w:sz w:val="32"/>
          <w:szCs w:val="40"/>
          <w:highlight w:val="none"/>
        </w:rPr>
      </w:pPr>
    </w:p>
    <w:p w14:paraId="1C7BC58B">
      <w:pPr>
        <w:rPr>
          <w:rFonts w:ascii="仿宋" w:hAnsi="仿宋" w:eastAsia="仿宋" w:cs="仿宋"/>
          <w:color w:val="auto"/>
          <w:sz w:val="32"/>
          <w:szCs w:val="40"/>
          <w:highlight w:val="none"/>
        </w:rPr>
      </w:pPr>
    </w:p>
    <w:p w14:paraId="679DE15A">
      <w:pPr>
        <w:rPr>
          <w:rFonts w:ascii="仿宋" w:hAnsi="仿宋" w:eastAsia="仿宋" w:cs="仿宋"/>
          <w:color w:val="auto"/>
          <w:sz w:val="32"/>
          <w:szCs w:val="40"/>
          <w:highlight w:val="none"/>
        </w:rPr>
      </w:pPr>
    </w:p>
    <w:p w14:paraId="3CD6CED9">
      <w:pPr>
        <w:rPr>
          <w:rFonts w:ascii="仿宋" w:hAnsi="仿宋" w:eastAsia="仿宋" w:cs="仿宋"/>
          <w:color w:val="auto"/>
          <w:sz w:val="32"/>
          <w:szCs w:val="40"/>
          <w:highlight w:val="none"/>
        </w:rPr>
      </w:pPr>
    </w:p>
    <w:p w14:paraId="7D1940ED">
      <w:pPr>
        <w:rPr>
          <w:rFonts w:ascii="仿宋" w:hAnsi="仿宋" w:eastAsia="仿宋" w:cs="仿宋"/>
          <w:color w:val="auto"/>
          <w:sz w:val="32"/>
          <w:szCs w:val="40"/>
          <w:highlight w:val="none"/>
        </w:rPr>
      </w:pPr>
    </w:p>
    <w:p w14:paraId="7ED94A44">
      <w:pPr>
        <w:rPr>
          <w:rFonts w:ascii="仿宋" w:hAnsi="仿宋" w:eastAsia="仿宋" w:cs="仿宋"/>
          <w:color w:val="auto"/>
          <w:sz w:val="32"/>
          <w:szCs w:val="40"/>
          <w:highlight w:val="none"/>
        </w:rPr>
      </w:pPr>
    </w:p>
    <w:p w14:paraId="79222BAE">
      <w:pPr>
        <w:rPr>
          <w:rFonts w:ascii="仿宋" w:hAnsi="仿宋" w:eastAsia="仿宋" w:cs="仿宋"/>
          <w:color w:val="auto"/>
          <w:sz w:val="32"/>
          <w:szCs w:val="40"/>
          <w:highlight w:val="none"/>
        </w:rPr>
      </w:pPr>
    </w:p>
    <w:p w14:paraId="60045DDF">
      <w:pPr>
        <w:rPr>
          <w:rFonts w:ascii="仿宋" w:hAnsi="仿宋" w:eastAsia="仿宋" w:cs="仿宋"/>
          <w:color w:val="auto"/>
          <w:sz w:val="32"/>
          <w:szCs w:val="40"/>
          <w:highlight w:val="none"/>
        </w:rPr>
      </w:pPr>
    </w:p>
    <w:p w14:paraId="1F9F2646">
      <w:pPr>
        <w:rPr>
          <w:rFonts w:ascii="仿宋" w:hAnsi="仿宋" w:eastAsia="仿宋" w:cs="仿宋"/>
          <w:color w:val="auto"/>
          <w:sz w:val="32"/>
          <w:szCs w:val="40"/>
          <w:highlight w:val="none"/>
        </w:rPr>
      </w:pPr>
    </w:p>
    <w:p w14:paraId="420692BE">
      <w:pPr>
        <w:rPr>
          <w:rFonts w:ascii="仿宋" w:hAnsi="仿宋" w:eastAsia="仿宋" w:cs="仿宋"/>
          <w:color w:val="auto"/>
          <w:sz w:val="32"/>
          <w:szCs w:val="40"/>
          <w:highlight w:val="none"/>
        </w:rPr>
      </w:pPr>
    </w:p>
    <w:p w14:paraId="497ECD4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投诉书</w:t>
      </w:r>
      <w:r>
        <w:rPr>
          <w:rFonts w:hint="eastAsia" w:ascii="仿宋" w:hAnsi="仿宋" w:eastAsia="仿宋" w:cs="仿宋"/>
          <w:color w:val="auto"/>
          <w:sz w:val="28"/>
          <w:szCs w:val="28"/>
          <w:highlight w:val="none"/>
        </w:rPr>
        <w:t>（格式）</w:t>
      </w:r>
    </w:p>
    <w:p w14:paraId="09D5E95F">
      <w:pPr>
        <w:pStyle w:val="18"/>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0CCEB07C">
      <w:pPr>
        <w:pStyle w:val="18"/>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FD9CAE2">
      <w:pPr>
        <w:pStyle w:val="18"/>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5D242F8">
      <w:pPr>
        <w:pStyle w:val="18"/>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0BF41904">
      <w:pPr>
        <w:pStyle w:val="18"/>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515732CD">
      <w:pPr>
        <w:pStyle w:val="18"/>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99D6713">
      <w:pPr>
        <w:pStyle w:val="18"/>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409E4AA0">
      <w:pPr>
        <w:pStyle w:val="18"/>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3227FCA">
      <w:pPr>
        <w:pStyle w:val="18"/>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498393CC">
      <w:pPr>
        <w:pStyle w:val="18"/>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p>
    <w:p w14:paraId="1ECC01F1">
      <w:pPr>
        <w:pStyle w:val="18"/>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B0978F2">
      <w:pPr>
        <w:pStyle w:val="18"/>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25416A4F">
      <w:pPr>
        <w:pStyle w:val="18"/>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5F5592CD">
      <w:pPr>
        <w:pStyle w:val="18"/>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74E3F039">
      <w:pPr>
        <w:pStyle w:val="18"/>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7E3805C9">
      <w:pPr>
        <w:pStyle w:val="18"/>
        <w:snapToGrid w:val="0"/>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232843FC">
      <w:pPr>
        <w:pStyle w:val="18"/>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5520308">
      <w:pPr>
        <w:pStyle w:val="18"/>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4CCBBE77">
      <w:pPr>
        <w:pStyle w:val="18"/>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3F55233F">
      <w:pPr>
        <w:pStyle w:val="18"/>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7CBF4CA9">
      <w:pPr>
        <w:pStyle w:val="18"/>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6D57D041">
      <w:pPr>
        <w:pStyle w:val="18"/>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315B9AED">
      <w:pPr>
        <w:pStyle w:val="18"/>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竞争性磋商文件公告：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4B2EDC44">
      <w:pPr>
        <w:pStyle w:val="18"/>
        <w:spacing w:line="360" w:lineRule="auto"/>
        <w:ind w:left="25" w:leftChars="12" w:firstLine="472" w:firstLineChars="197"/>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3C2AAE53">
      <w:pPr>
        <w:pStyle w:val="18"/>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40EA12F0">
      <w:pPr>
        <w:pStyle w:val="18"/>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65746E8E">
      <w:pPr>
        <w:pStyle w:val="18"/>
        <w:spacing w:line="360" w:lineRule="auto"/>
        <w:ind w:firstLine="241"/>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3CDC1C6">
      <w:pPr>
        <w:pStyle w:val="18"/>
        <w:spacing w:line="360" w:lineRule="auto"/>
        <w:ind w:firstLine="241"/>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C2F844F">
      <w:pPr>
        <w:pStyle w:val="18"/>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7EEEE8A1">
      <w:pPr>
        <w:pStyle w:val="18"/>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25ADBB26">
      <w:pPr>
        <w:pStyle w:val="18"/>
        <w:spacing w:line="360" w:lineRule="auto"/>
        <w:ind w:left="25" w:leftChars="12" w:firstLine="472" w:firstLineChars="197"/>
        <w:rPr>
          <w:rFonts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6E2A6A30">
      <w:pPr>
        <w:pStyle w:val="18"/>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7FF449D">
      <w:pPr>
        <w:pStyle w:val="18"/>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3D15BD35">
      <w:pPr>
        <w:pStyle w:val="18"/>
        <w:spacing w:line="360" w:lineRule="auto"/>
        <w:ind w:firstLine="480" w:firstLineChars="200"/>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629F63D0">
      <w:pPr>
        <w:pStyle w:val="18"/>
        <w:spacing w:line="360" w:lineRule="auto"/>
        <w:ind w:left="25" w:leftChars="12" w:firstLine="352" w:firstLineChars="147"/>
        <w:rPr>
          <w:rFonts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5B94676A">
      <w:pPr>
        <w:pStyle w:val="18"/>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0C2FAC80">
      <w:pPr>
        <w:pStyle w:val="18"/>
        <w:spacing w:line="360" w:lineRule="auto"/>
        <w:ind w:left="25" w:leftChars="12" w:firstLine="472" w:firstLineChars="197"/>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31B122FD">
      <w:pPr>
        <w:pStyle w:val="18"/>
        <w:spacing w:line="360" w:lineRule="auto"/>
        <w:ind w:left="25" w:leftChars="12" w:firstLine="472" w:firstLineChars="196"/>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56CF07D7">
      <w:pPr>
        <w:pStyle w:val="18"/>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E0764D0">
      <w:pPr>
        <w:pStyle w:val="18"/>
        <w:spacing w:line="360" w:lineRule="auto"/>
        <w:ind w:left="25" w:leftChars="12" w:firstLine="352" w:firstLineChars="147"/>
        <w:rPr>
          <w:rFonts w:ascii="仿宋" w:hAnsi="仿宋" w:eastAsia="仿宋" w:cs="仿宋"/>
          <w:color w:val="auto"/>
          <w:sz w:val="24"/>
          <w:szCs w:val="24"/>
          <w:highlight w:val="none"/>
        </w:rPr>
      </w:pPr>
    </w:p>
    <w:p w14:paraId="6988839C">
      <w:pPr>
        <w:pStyle w:val="18"/>
        <w:spacing w:line="360" w:lineRule="auto"/>
        <w:ind w:left="25" w:leftChars="12" w:firstLine="472" w:firstLineChars="197"/>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签字（签章）：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公章：</w:t>
      </w:r>
      <w:r>
        <w:rPr>
          <w:rFonts w:hint="eastAsia" w:ascii="仿宋" w:hAnsi="仿宋" w:eastAsia="仿宋" w:cs="仿宋"/>
          <w:color w:val="auto"/>
          <w:sz w:val="24"/>
          <w:szCs w:val="24"/>
          <w:highlight w:val="none"/>
          <w:u w:val="single"/>
        </w:rPr>
        <w:t xml:space="preserve">          </w:t>
      </w:r>
    </w:p>
    <w:p w14:paraId="68BFBA43">
      <w:pPr>
        <w:pStyle w:val="18"/>
        <w:spacing w:line="360" w:lineRule="auto"/>
        <w:ind w:left="25" w:leftChars="12" w:firstLine="352" w:firstLineChars="147"/>
        <w:rPr>
          <w:rFonts w:ascii="仿宋" w:hAnsi="仿宋" w:eastAsia="仿宋" w:cs="仿宋"/>
          <w:color w:val="auto"/>
          <w:sz w:val="24"/>
          <w:szCs w:val="24"/>
          <w:highlight w:val="none"/>
        </w:rPr>
      </w:pPr>
    </w:p>
    <w:p w14:paraId="5369BB62">
      <w:pPr>
        <w:pStyle w:val="18"/>
        <w:spacing w:line="360" w:lineRule="auto"/>
        <w:ind w:left="25" w:leftChars="12" w:firstLine="472" w:firstLineChars="19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25A359E">
      <w:pPr>
        <w:pStyle w:val="18"/>
        <w:spacing w:line="360" w:lineRule="auto"/>
        <w:ind w:left="25" w:leftChars="12" w:firstLine="472" w:firstLineChars="197"/>
        <w:rPr>
          <w:rFonts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 xml:space="preserve">                                                                                 </w:t>
      </w:r>
    </w:p>
    <w:p w14:paraId="16CA14A3">
      <w:pPr>
        <w:pStyle w:val="18"/>
        <w:snapToGrid w:val="0"/>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60F30687">
      <w:pPr>
        <w:pStyle w:val="18"/>
        <w:spacing w:line="360" w:lineRule="auto"/>
        <w:ind w:left="25" w:leftChars="12" w:firstLine="354" w:firstLineChars="147"/>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023BEF9C">
      <w:pPr>
        <w:pStyle w:val="18"/>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0458C0D">
      <w:pPr>
        <w:pStyle w:val="18"/>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0A9A062E">
      <w:pPr>
        <w:pStyle w:val="18"/>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5A7C58E2">
      <w:pPr>
        <w:pStyle w:val="18"/>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5B11B734">
      <w:pPr>
        <w:pStyle w:val="18"/>
        <w:spacing w:line="360" w:lineRule="auto"/>
        <w:ind w:left="25" w:leftChars="12" w:firstLine="354" w:firstLineChars="147"/>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p w14:paraId="60F98765">
      <w:pPr>
        <w:pStyle w:val="18"/>
        <w:spacing w:line="360" w:lineRule="auto"/>
        <w:ind w:left="25" w:leftChars="12" w:firstLine="352" w:firstLineChars="147"/>
        <w:rPr>
          <w:rFonts w:ascii="仿宋" w:hAnsi="仿宋" w:eastAsia="仿宋" w:cs="仿宋"/>
          <w:color w:val="auto"/>
          <w:sz w:val="24"/>
          <w:szCs w:val="24"/>
          <w:highlight w:val="none"/>
        </w:rPr>
      </w:pPr>
    </w:p>
    <w:p w14:paraId="6C74ED5C">
      <w:pPr>
        <w:pStyle w:val="4"/>
        <w:rPr>
          <w:rFonts w:ascii="仿宋" w:hAnsi="仿宋" w:cs="仿宋"/>
          <w:color w:val="auto"/>
          <w:highlight w:val="none"/>
        </w:rPr>
      </w:pPr>
      <w:bookmarkStart w:id="136" w:name="_Toc2903"/>
      <w:r>
        <w:rPr>
          <w:rFonts w:hint="eastAsia" w:ascii="仿宋" w:hAnsi="仿宋" w:cs="仿宋"/>
          <w:color w:val="auto"/>
          <w:highlight w:val="none"/>
        </w:rPr>
        <w:t>第六章 拟签订的合同文本</w:t>
      </w:r>
      <w:bookmarkEnd w:id="136"/>
    </w:p>
    <w:p w14:paraId="37E1A805">
      <w:pPr>
        <w:jc w:val="center"/>
        <w:rPr>
          <w:rFonts w:ascii="仿宋" w:hAnsi="仿宋" w:eastAsia="仿宋" w:cs="仿宋"/>
          <w:b/>
          <w:bCs/>
          <w:color w:val="auto"/>
          <w:kern w:val="44"/>
          <w:sz w:val="44"/>
          <w:szCs w:val="44"/>
          <w:highlight w:val="none"/>
        </w:rPr>
      </w:pPr>
    </w:p>
    <w:p w14:paraId="1FC44290">
      <w:pPr>
        <w:jc w:val="center"/>
        <w:rPr>
          <w:rFonts w:ascii="仿宋" w:hAnsi="仿宋" w:eastAsia="仿宋" w:cs="仿宋"/>
          <w:color w:val="auto"/>
          <w:sz w:val="32"/>
          <w:szCs w:val="32"/>
          <w:highlight w:val="none"/>
        </w:rPr>
      </w:pPr>
      <w:r>
        <w:rPr>
          <w:rFonts w:hint="eastAsia" w:ascii="仿宋" w:hAnsi="仿宋" w:eastAsia="仿宋" w:cs="仿宋"/>
          <w:b/>
          <w:bCs/>
          <w:color w:val="auto"/>
          <w:kern w:val="44"/>
          <w:sz w:val="44"/>
          <w:szCs w:val="44"/>
          <w:highlight w:val="none"/>
        </w:rPr>
        <w:t>合同文本</w:t>
      </w:r>
    </w:p>
    <w:p w14:paraId="71B283D4">
      <w:pPr>
        <w:spacing w:line="520" w:lineRule="exact"/>
        <w:rPr>
          <w:rFonts w:ascii="仿宋" w:hAnsi="仿宋" w:eastAsia="仿宋" w:cs="仿宋"/>
          <w:b/>
          <w:color w:val="auto"/>
          <w:sz w:val="32"/>
          <w:szCs w:val="32"/>
          <w:highlight w:val="none"/>
        </w:rPr>
      </w:pPr>
      <w:r>
        <w:rPr>
          <w:rFonts w:hint="eastAsia" w:ascii="仿宋" w:hAnsi="仿宋" w:eastAsia="仿宋" w:cs="仿宋"/>
          <w:color w:val="auto"/>
          <w:sz w:val="24"/>
          <w:highlight w:val="none"/>
        </w:rPr>
        <w:t>项目名称：</w:t>
      </w:r>
    </w:p>
    <w:p w14:paraId="18B8CD65">
      <w:pPr>
        <w:spacing w:line="360" w:lineRule="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合同编号：</w:t>
      </w:r>
    </w:p>
    <w:p w14:paraId="4F88FAFE">
      <w:pPr>
        <w:spacing w:line="360" w:lineRule="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采购人（甲方）：</w:t>
      </w:r>
      <w:r>
        <w:rPr>
          <w:rFonts w:hint="eastAsia" w:ascii="仿宋" w:hAnsi="仿宋" w:eastAsia="仿宋" w:cs="仿宋"/>
          <w:color w:val="auto"/>
          <w:sz w:val="24"/>
          <w:szCs w:val="32"/>
          <w:highlight w:val="none"/>
          <w:lang w:eastAsia="zh-CN"/>
        </w:rPr>
        <w:t>广西壮族自治区文化和旅游厅</w:t>
      </w:r>
      <w:r>
        <w:rPr>
          <w:rFonts w:hint="eastAsia" w:ascii="仿宋" w:hAnsi="仿宋" w:eastAsia="仿宋" w:cs="仿宋"/>
          <w:color w:val="auto"/>
          <w:sz w:val="24"/>
          <w:szCs w:val="32"/>
          <w:highlight w:val="none"/>
        </w:rPr>
        <w:t xml:space="preserve">                      </w:t>
      </w:r>
    </w:p>
    <w:p w14:paraId="5CD29825">
      <w:pPr>
        <w:spacing w:line="360" w:lineRule="auto"/>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 xml:space="preserve">供应商（乙方）：          </w:t>
      </w:r>
    </w:p>
    <w:p w14:paraId="058082DE">
      <w:pPr>
        <w:spacing w:line="360" w:lineRule="auto"/>
        <w:rPr>
          <w:rFonts w:hint="eastAsia" w:ascii="仿宋" w:hAnsi="仿宋" w:eastAsia="仿宋" w:cs="仿宋"/>
          <w:color w:val="auto"/>
          <w:sz w:val="24"/>
          <w:szCs w:val="32"/>
          <w:highlight w:val="none"/>
          <w:u w:val="single"/>
          <w:lang w:eastAsia="zh-CN"/>
        </w:rPr>
      </w:pPr>
      <w:r>
        <w:rPr>
          <w:rFonts w:hint="eastAsia" w:ascii="仿宋" w:hAnsi="仿宋" w:eastAsia="仿宋" w:cs="仿宋"/>
          <w:color w:val="auto"/>
          <w:sz w:val="24"/>
          <w:szCs w:val="32"/>
          <w:highlight w:val="none"/>
        </w:rPr>
        <w:t>签订地点：</w:t>
      </w:r>
      <w:r>
        <w:rPr>
          <w:rFonts w:hint="eastAsia" w:ascii="仿宋" w:hAnsi="仿宋" w:eastAsia="仿宋" w:cs="仿宋"/>
          <w:color w:val="auto"/>
          <w:sz w:val="24"/>
          <w:szCs w:val="32"/>
          <w:highlight w:val="none"/>
          <w:lang w:eastAsia="zh-CN"/>
        </w:rPr>
        <w:t>广西壮族自治区南宁市青秀区金湖路24号</w:t>
      </w:r>
    </w:p>
    <w:p w14:paraId="1C800DA4">
      <w:pPr>
        <w:spacing w:line="360" w:lineRule="auto"/>
        <w:ind w:firstLine="480" w:firstLineChars="200"/>
        <w:rPr>
          <w:rFonts w:ascii="仿宋" w:hAnsi="仿宋" w:eastAsia="仿宋" w:cs="仿宋"/>
          <w:color w:val="auto"/>
          <w:sz w:val="24"/>
          <w:szCs w:val="32"/>
          <w:highlight w:val="none"/>
        </w:rPr>
      </w:pPr>
    </w:p>
    <w:p w14:paraId="6CCB1723">
      <w:pPr>
        <w:spacing w:line="360" w:lineRule="auto"/>
        <w:ind w:firstLine="480" w:firstLineChars="20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根据《中华人民共和国民法典》《中华人民共和国政府采购法》等</w:t>
      </w:r>
      <w:r>
        <w:rPr>
          <w:rFonts w:hint="eastAsia" w:ascii="仿宋" w:hAnsi="仿宋" w:eastAsia="仿宋" w:cs="仿宋"/>
          <w:color w:val="auto"/>
          <w:sz w:val="24"/>
          <w:szCs w:val="32"/>
          <w:highlight w:val="none"/>
          <w:lang w:eastAsia="zh-CN"/>
        </w:rPr>
        <w:t>法律法规</w:t>
      </w:r>
      <w:r>
        <w:rPr>
          <w:rFonts w:hint="eastAsia" w:ascii="仿宋" w:hAnsi="仿宋" w:eastAsia="仿宋" w:cs="仿宋"/>
          <w:color w:val="auto"/>
          <w:sz w:val="24"/>
          <w:szCs w:val="32"/>
          <w:highlight w:val="none"/>
        </w:rPr>
        <w:t>规定，按照磋商文件规定条款和成交供应商响应文件及其承诺，</w:t>
      </w:r>
      <w:bookmarkStart w:id="137" w:name="_Hlk206110632"/>
      <w:r>
        <w:rPr>
          <w:rFonts w:hint="eastAsia" w:ascii="仿宋" w:hAnsi="仿宋" w:eastAsia="仿宋" w:cs="仿宋"/>
          <w:color w:val="auto"/>
          <w:sz w:val="24"/>
          <w:szCs w:val="32"/>
          <w:highlight w:val="none"/>
        </w:rPr>
        <w:t>双方协商</w:t>
      </w:r>
      <w:bookmarkEnd w:id="137"/>
      <w:r>
        <w:rPr>
          <w:rFonts w:hint="eastAsia" w:ascii="仿宋" w:hAnsi="仿宋" w:eastAsia="仿宋" w:cs="仿宋"/>
          <w:color w:val="auto"/>
          <w:sz w:val="24"/>
          <w:szCs w:val="32"/>
          <w:highlight w:val="none"/>
        </w:rPr>
        <w:t>签订本合同。</w:t>
      </w:r>
    </w:p>
    <w:p w14:paraId="7B231C76">
      <w:pPr>
        <w:spacing w:line="360" w:lineRule="auto"/>
        <w:ind w:firstLine="482" w:firstLineChars="200"/>
        <w:rPr>
          <w:rFonts w:ascii="仿宋" w:hAnsi="仿宋" w:eastAsia="仿宋" w:cs="仿宋"/>
          <w:b/>
          <w:color w:val="auto"/>
          <w:sz w:val="24"/>
          <w:szCs w:val="32"/>
          <w:highlight w:val="none"/>
        </w:rPr>
      </w:pPr>
      <w:r>
        <w:rPr>
          <w:rFonts w:hint="eastAsia" w:ascii="仿宋" w:hAnsi="仿宋" w:eastAsia="仿宋" w:cs="仿宋"/>
          <w:b/>
          <w:color w:val="auto"/>
          <w:sz w:val="24"/>
          <w:szCs w:val="32"/>
          <w:highlight w:val="none"/>
        </w:rPr>
        <w:t>第一条 合同标的</w:t>
      </w:r>
    </w:p>
    <w:p w14:paraId="1DFE18AA">
      <w:pPr>
        <w:spacing w:line="360" w:lineRule="auto"/>
        <w:ind w:firstLine="480" w:firstLineChars="200"/>
        <w:rPr>
          <w:rFonts w:ascii="仿宋" w:hAnsi="仿宋" w:eastAsia="仿宋" w:cs="仿宋"/>
          <w:color w:val="auto"/>
          <w:sz w:val="24"/>
          <w:szCs w:val="32"/>
          <w:highlight w:val="none"/>
        </w:rPr>
      </w:pPr>
      <w:r>
        <w:rPr>
          <w:rFonts w:hint="eastAsia" w:ascii="仿宋" w:hAnsi="仿宋" w:eastAsia="仿宋" w:cs="仿宋"/>
          <w:color w:val="auto"/>
          <w:sz w:val="24"/>
          <w:szCs w:val="32"/>
          <w:highlight w:val="none"/>
        </w:rPr>
        <w:t>1.项目清单一览表</w:t>
      </w:r>
    </w:p>
    <w:tbl>
      <w:tblPr>
        <w:tblStyle w:val="2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752"/>
        <w:gridCol w:w="5747"/>
      </w:tblGrid>
      <w:tr w14:paraId="5B14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861" w:type="dxa"/>
            <w:tcBorders>
              <w:top w:val="single" w:color="auto" w:sz="4" w:space="0"/>
              <w:left w:val="single" w:color="auto" w:sz="4" w:space="0"/>
              <w:bottom w:val="single" w:color="auto" w:sz="4" w:space="0"/>
              <w:right w:val="single" w:color="auto" w:sz="4" w:space="0"/>
            </w:tcBorders>
            <w:vAlign w:val="center"/>
          </w:tcPr>
          <w:p w14:paraId="48F3F876">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标的名称</w:t>
            </w:r>
          </w:p>
        </w:tc>
        <w:tc>
          <w:tcPr>
            <w:tcW w:w="752" w:type="dxa"/>
            <w:tcBorders>
              <w:top w:val="single" w:color="auto" w:sz="4" w:space="0"/>
              <w:left w:val="single" w:color="auto" w:sz="4" w:space="0"/>
              <w:bottom w:val="single" w:color="auto" w:sz="4" w:space="0"/>
              <w:right w:val="single" w:color="auto" w:sz="4" w:space="0"/>
            </w:tcBorders>
            <w:vAlign w:val="center"/>
          </w:tcPr>
          <w:p w14:paraId="197449E5">
            <w:pPr>
              <w:jc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rPr>
              <w:t>数量</w:t>
            </w:r>
          </w:p>
        </w:tc>
        <w:tc>
          <w:tcPr>
            <w:tcW w:w="5747" w:type="dxa"/>
            <w:tcBorders>
              <w:top w:val="single" w:color="auto" w:sz="4" w:space="0"/>
              <w:left w:val="single" w:color="auto" w:sz="4" w:space="0"/>
              <w:bottom w:val="single" w:color="auto" w:sz="4" w:space="0"/>
              <w:right w:val="single" w:color="auto" w:sz="4" w:space="0"/>
            </w:tcBorders>
            <w:vAlign w:val="center"/>
          </w:tcPr>
          <w:p w14:paraId="145B376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lang w:eastAsia="zh-CN"/>
              </w:rPr>
              <w:t>技术要求</w:t>
            </w:r>
          </w:p>
        </w:tc>
      </w:tr>
      <w:tr w14:paraId="324C6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2861" w:type="dxa"/>
            <w:tcBorders>
              <w:top w:val="single" w:color="auto" w:sz="4" w:space="0"/>
              <w:left w:val="single" w:color="auto" w:sz="4" w:space="0"/>
              <w:bottom w:val="single" w:color="auto" w:sz="4" w:space="0"/>
              <w:right w:val="single" w:color="auto" w:sz="4" w:space="0"/>
            </w:tcBorders>
            <w:vAlign w:val="center"/>
          </w:tcPr>
          <w:p w14:paraId="45DCD21F">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区外（华北华东华中</w:t>
            </w:r>
            <w:r>
              <w:rPr>
                <w:rFonts w:hint="eastAsia" w:ascii="仿宋" w:hAnsi="仿宋" w:eastAsia="仿宋" w:cs="仿宋"/>
                <w:color w:val="auto"/>
                <w:szCs w:val="21"/>
                <w:highlight w:val="none"/>
                <w:lang w:val="en-US" w:eastAsia="zh-CN"/>
              </w:rPr>
              <w:t>等</w:t>
            </w:r>
            <w:r>
              <w:rPr>
                <w:rFonts w:hint="eastAsia" w:ascii="仿宋" w:hAnsi="仿宋" w:eastAsia="仿宋" w:cs="仿宋"/>
                <w:color w:val="auto"/>
                <w:szCs w:val="21"/>
                <w:highlight w:val="none"/>
              </w:rPr>
              <w:t>）机场媒体投放</w:t>
            </w:r>
          </w:p>
        </w:tc>
        <w:tc>
          <w:tcPr>
            <w:tcW w:w="752" w:type="dxa"/>
            <w:tcBorders>
              <w:top w:val="single" w:color="auto" w:sz="4" w:space="0"/>
              <w:left w:val="single" w:color="auto" w:sz="4" w:space="0"/>
              <w:bottom w:val="single" w:color="auto" w:sz="4" w:space="0"/>
              <w:right w:val="single" w:color="auto" w:sz="4" w:space="0"/>
            </w:tcBorders>
            <w:vAlign w:val="center"/>
          </w:tcPr>
          <w:p w14:paraId="1EFB7E6C">
            <w:pPr>
              <w:spacing w:line="36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1项</w:t>
            </w:r>
          </w:p>
        </w:tc>
        <w:tc>
          <w:tcPr>
            <w:tcW w:w="5747" w:type="dxa"/>
            <w:tcBorders>
              <w:top w:val="single" w:color="auto" w:sz="4" w:space="0"/>
              <w:left w:val="single" w:color="auto" w:sz="4" w:space="0"/>
              <w:bottom w:val="single" w:color="auto" w:sz="4" w:space="0"/>
              <w:right w:val="single" w:color="auto" w:sz="4" w:space="0"/>
            </w:tcBorders>
            <w:vAlign w:val="center"/>
          </w:tcPr>
          <w:p w14:paraId="491E2F2C">
            <w:pPr>
              <w:spacing w:line="360" w:lineRule="auto"/>
              <w:jc w:val="center"/>
              <w:rPr>
                <w:rFonts w:ascii="仿宋" w:hAnsi="仿宋" w:eastAsia="仿宋" w:cs="仿宋"/>
                <w:color w:val="auto"/>
                <w:szCs w:val="21"/>
                <w:highlight w:val="none"/>
              </w:rPr>
            </w:pPr>
          </w:p>
        </w:tc>
      </w:tr>
      <w:tr w14:paraId="7B42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3"/>
            <w:tcBorders>
              <w:top w:val="single" w:color="auto" w:sz="4" w:space="0"/>
              <w:left w:val="single" w:color="auto" w:sz="4" w:space="0"/>
              <w:bottom w:val="single" w:color="auto" w:sz="4" w:space="0"/>
              <w:right w:val="single" w:color="auto" w:sz="4" w:space="0"/>
            </w:tcBorders>
            <w:vAlign w:val="center"/>
          </w:tcPr>
          <w:p w14:paraId="1D168A6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合计金额（人民币大写）：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tc>
      </w:tr>
    </w:tbl>
    <w:p w14:paraId="3A2EE652">
      <w:pPr>
        <w:spacing w:line="360" w:lineRule="auto"/>
        <w:ind w:firstLine="420"/>
        <w:rPr>
          <w:rFonts w:ascii="仿宋" w:hAnsi="仿宋" w:eastAsia="仿宋" w:cs="仿宋"/>
          <w:color w:val="auto"/>
          <w:sz w:val="24"/>
          <w:highlight w:val="none"/>
        </w:rPr>
      </w:pPr>
      <w:r>
        <w:rPr>
          <w:rFonts w:hint="eastAsia" w:ascii="仿宋" w:hAnsi="仿宋" w:eastAsia="仿宋" w:cs="仿宋"/>
          <w:color w:val="auto"/>
          <w:sz w:val="24"/>
          <w:highlight w:val="none"/>
        </w:rPr>
        <w:t>2.合同合计金额包括但不限于满足本次响应全部采购需求所应提供的服务，以及伴随的货物和工程（如有）的价格；包含服务的价格；项目的组织协调费用，包括</w:t>
      </w:r>
      <w:r>
        <w:rPr>
          <w:rFonts w:hint="eastAsia" w:ascii="仿宋" w:hAnsi="仿宋" w:eastAsia="仿宋" w:cs="仿宋"/>
          <w:color w:val="auto"/>
          <w:sz w:val="24"/>
          <w:highlight w:val="none"/>
          <w:lang w:val="en-US" w:eastAsia="zh-CN"/>
        </w:rPr>
        <w:t>场地（媒体）租赁、广告投放、拍摄录制制作、</w:t>
      </w:r>
      <w:r>
        <w:rPr>
          <w:rFonts w:hint="eastAsia" w:ascii="仿宋" w:hAnsi="仿宋" w:eastAsia="仿宋" w:cs="仿宋"/>
          <w:color w:val="auto"/>
          <w:sz w:val="24"/>
          <w:highlight w:val="none"/>
        </w:rPr>
        <w:t>图文、媒体</w:t>
      </w:r>
      <w:r>
        <w:rPr>
          <w:rFonts w:hint="eastAsia" w:ascii="仿宋" w:hAnsi="仿宋" w:eastAsia="仿宋" w:cs="仿宋"/>
          <w:color w:val="auto"/>
          <w:sz w:val="24"/>
          <w:highlight w:val="none"/>
          <w:lang w:val="en-US" w:eastAsia="zh-CN"/>
        </w:rPr>
        <w:t>设计</w:t>
      </w:r>
      <w:r>
        <w:rPr>
          <w:rFonts w:hint="eastAsia" w:ascii="仿宋" w:hAnsi="仿宋" w:eastAsia="仿宋" w:cs="仿宋"/>
          <w:color w:val="auto"/>
          <w:sz w:val="24"/>
          <w:highlight w:val="none"/>
        </w:rPr>
        <w:t>宣传、工作设备</w:t>
      </w:r>
      <w:r>
        <w:rPr>
          <w:rFonts w:hint="eastAsia" w:ascii="仿宋" w:hAnsi="仿宋" w:eastAsia="仿宋" w:cs="仿宋"/>
          <w:color w:val="auto"/>
          <w:sz w:val="24"/>
          <w:highlight w:val="none"/>
          <w:lang w:val="en-US" w:eastAsia="zh-CN"/>
        </w:rPr>
        <w:t>租赁</w:t>
      </w:r>
      <w:r>
        <w:rPr>
          <w:rFonts w:hint="eastAsia" w:ascii="仿宋" w:hAnsi="仿宋" w:eastAsia="仿宋" w:cs="仿宋"/>
          <w:color w:val="auto"/>
          <w:sz w:val="24"/>
          <w:highlight w:val="none"/>
        </w:rPr>
        <w:t>购置费用、宣传推广费用、劳务费、物资物料费、交通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住宿、杂项等费用；必要的保险费用和各项税金；</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如安装、调试、技术支持、售后服务、验收等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费用。</w:t>
      </w:r>
    </w:p>
    <w:p w14:paraId="0F8CF735">
      <w:pPr>
        <w:spacing w:line="360" w:lineRule="auto"/>
        <w:ind w:firstLine="420"/>
        <w:rPr>
          <w:rFonts w:ascii="仿宋" w:hAnsi="仿宋" w:eastAsia="仿宋" w:cs="仿宋"/>
          <w:b/>
          <w:color w:val="auto"/>
          <w:sz w:val="24"/>
          <w:highlight w:val="none"/>
        </w:rPr>
      </w:pPr>
      <w:r>
        <w:rPr>
          <w:rFonts w:hint="eastAsia" w:ascii="仿宋" w:hAnsi="仿宋" w:eastAsia="仿宋" w:cs="仿宋"/>
          <w:b/>
          <w:color w:val="auto"/>
          <w:sz w:val="24"/>
          <w:highlight w:val="none"/>
        </w:rPr>
        <w:t>第二条 质量要求</w:t>
      </w:r>
    </w:p>
    <w:p w14:paraId="7DDCF432">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乙方所提供的服务及服务内容必须与响应文件承诺相一致，有国家强制性标准的，必须符合国家强制性标准的规定；没有国家强制性标准但有其他强制性标准的，必须符合其他强制性标准的规定。</w:t>
      </w:r>
    </w:p>
    <w:p w14:paraId="774AF416">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第三条 权利保证</w:t>
      </w:r>
    </w:p>
    <w:p w14:paraId="36194970">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1.乙方应保证所提供服务在使用时不会侵犯任何第三方的专利权、商标权、工业设计权等知识产权及其他合法权利，且所有权、处分权等没有受到任何限制。</w:t>
      </w:r>
    </w:p>
    <w:p w14:paraId="2280217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w:t>
      </w:r>
      <w:r>
        <w:rPr>
          <w:rFonts w:hint="eastAsia" w:ascii="仿宋" w:hAnsi="仿宋" w:eastAsia="仿宋" w:cs="仿宋"/>
          <w:color w:val="auto"/>
          <w:sz w:val="24"/>
          <w:highlight w:val="none"/>
          <w:lang w:eastAsia="zh-CN"/>
        </w:rPr>
        <w:t>因</w:t>
      </w:r>
      <w:r>
        <w:rPr>
          <w:rFonts w:hint="eastAsia" w:ascii="仿宋" w:hAnsi="仿宋" w:eastAsia="仿宋" w:cs="仿宋"/>
          <w:color w:val="auto"/>
          <w:sz w:val="24"/>
          <w:highlight w:val="none"/>
        </w:rPr>
        <w:t>本合同履行终止、解除或者无效而解除。</w:t>
      </w:r>
    </w:p>
    <w:p w14:paraId="6F03E689">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第四条 </w:t>
      </w:r>
      <w:r>
        <w:rPr>
          <w:rFonts w:hint="eastAsia" w:ascii="仿宋" w:hAnsi="仿宋" w:eastAsia="仿宋" w:cs="仿宋"/>
          <w:b/>
          <w:color w:val="auto"/>
          <w:sz w:val="24"/>
          <w:highlight w:val="none"/>
          <w:lang w:val="en-US" w:eastAsia="zh-CN"/>
        </w:rPr>
        <w:t>服务期限</w:t>
      </w:r>
      <w:r>
        <w:rPr>
          <w:rFonts w:hint="eastAsia" w:ascii="仿宋" w:hAnsi="仿宋" w:eastAsia="仿宋" w:cs="仿宋"/>
          <w:b/>
          <w:color w:val="auto"/>
          <w:sz w:val="24"/>
          <w:highlight w:val="none"/>
        </w:rPr>
        <w:t>和验收等</w:t>
      </w:r>
    </w:p>
    <w:p w14:paraId="2F3FE410">
      <w:pPr>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交付期限</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自合同生效之日起20日内完成投放素材与投放准备，自收到甲方投放通知之日起3个工作日内投放成功</w:t>
      </w:r>
      <w:r>
        <w:rPr>
          <w:rFonts w:hint="eastAsia" w:ascii="仿宋" w:hAnsi="仿宋" w:eastAsia="仿宋" w:cs="仿宋"/>
          <w:color w:val="auto"/>
          <w:sz w:val="24"/>
          <w:highlight w:val="none"/>
          <w:u w:val="single"/>
        </w:rPr>
        <w:t>。</w:t>
      </w:r>
    </w:p>
    <w:p w14:paraId="45F19D51">
      <w:pPr>
        <w:snapToGrid w:val="0"/>
        <w:spacing w:line="36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投放期限</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投放周期为4月-9月，整体投放时长不少于12周</w:t>
      </w:r>
      <w:r>
        <w:rPr>
          <w:rFonts w:hint="eastAsia" w:ascii="仿宋" w:hAnsi="仿宋" w:eastAsia="仿宋" w:cs="仿宋"/>
          <w:color w:val="auto"/>
          <w:sz w:val="24"/>
          <w:highlight w:val="none"/>
          <w:u w:val="single"/>
        </w:rPr>
        <w:t>。</w:t>
      </w:r>
    </w:p>
    <w:p w14:paraId="4C8633AC">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交付地点：</w:t>
      </w:r>
      <w:r>
        <w:rPr>
          <w:rFonts w:hint="eastAsia" w:ascii="仿宋" w:hAnsi="仿宋" w:eastAsia="仿宋" w:cs="仿宋"/>
          <w:b/>
          <w:color w:val="auto"/>
          <w:sz w:val="24"/>
          <w:highlight w:val="none"/>
          <w:u w:val="single"/>
        </w:rPr>
        <w:t>甲方指定地点。</w:t>
      </w:r>
    </w:p>
    <w:p w14:paraId="397AC215">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2.乙方应按响应文件的承诺向甲方提供相应的服务，并提供所服务内容的相关技术资料。</w:t>
      </w:r>
    </w:p>
    <w:p w14:paraId="7ED49B16">
      <w:pPr>
        <w:spacing w:line="360" w:lineRule="auto"/>
        <w:ind w:firstLine="480" w:firstLineChars="200"/>
        <w:rPr>
          <w:rFonts w:ascii="仿宋" w:hAnsi="仿宋" w:eastAsia="仿宋" w:cs="仿宋"/>
          <w:color w:val="auto"/>
          <w:sz w:val="24"/>
          <w:highlight w:val="none"/>
        </w:rPr>
      </w:pPr>
      <w:bookmarkStart w:id="138" w:name="_Hlk205805125"/>
      <w:r>
        <w:rPr>
          <w:rFonts w:hint="eastAsia" w:ascii="仿宋" w:hAnsi="仿宋" w:eastAsia="仿宋" w:cs="仿宋"/>
          <w:color w:val="auto"/>
          <w:sz w:val="24"/>
          <w:highlight w:val="none"/>
        </w:rPr>
        <w:t>3.乙方提供不符合响应文件和本合同规定的服务成果，或者提供虚假承诺、虚假检测报告等虚假材料的，甲方有权拒绝验收并认定乙方违约，甲方有权单方面解除合同，乙方承担所有责任和费用，甲方保留进一步追究责任的权利。</w:t>
      </w:r>
    </w:p>
    <w:p w14:paraId="107F8287">
      <w:pPr>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4.乙方应对产品作出全面检查，对验收文件进行整理，并列出清单，作为甲方验收和使用的技术条件依据，检验的结果应随货物交甲方。</w:t>
      </w:r>
    </w:p>
    <w:p w14:paraId="4CA43F1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5.乙方完成服务达到验收条件后，应及时以书面形式提请甲方进行验收，甲方应在收到乙方书面验收请求后5个工作日内组织开展履约验收。验收合格后由甲乙双方签署货物验收单（验收报告）</w:t>
      </w:r>
      <w:bookmarkStart w:id="139" w:name="_Hlk206519525"/>
      <w:r>
        <w:rPr>
          <w:rFonts w:hint="eastAsia" w:ascii="仿宋" w:hAnsi="仿宋" w:eastAsia="仿宋" w:cs="仿宋"/>
          <w:color w:val="auto"/>
          <w:sz w:val="24"/>
          <w:highlight w:val="none"/>
        </w:rPr>
        <w:t>，</w:t>
      </w:r>
      <w:bookmarkStart w:id="140" w:name="_Hlk206519504"/>
      <w:r>
        <w:rPr>
          <w:rFonts w:hint="eastAsia" w:ascii="仿宋" w:hAnsi="仿宋" w:eastAsia="仿宋" w:cs="仿宋"/>
          <w:color w:val="auto"/>
          <w:sz w:val="24"/>
          <w:highlight w:val="none"/>
        </w:rPr>
        <w:t>履约验收材料一式三份，甲方执两份，乙方执一份。</w:t>
      </w:r>
    </w:p>
    <w:bookmarkEnd w:id="138"/>
    <w:bookmarkEnd w:id="139"/>
    <w:bookmarkEnd w:id="140"/>
    <w:p w14:paraId="5F84180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6.甲乙双方应按照《广西壮族自治区政府采购项目履约验收管理办法》、合同、磋商响应文件验收。</w:t>
      </w:r>
    </w:p>
    <w:p w14:paraId="53B2986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w:t>
      </w:r>
      <w:bookmarkStart w:id="141" w:name="_Hlk206503466"/>
      <w:r>
        <w:rPr>
          <w:rFonts w:hint="eastAsia" w:ascii="仿宋" w:hAnsi="仿宋" w:eastAsia="仿宋" w:cs="仿宋"/>
          <w:color w:val="auto"/>
          <w:sz w:val="24"/>
          <w:highlight w:val="none"/>
        </w:rPr>
        <w:t>预验收未通过或者履约验收未通过的，应限期整改或进行退换货处理，整改完成后重新组织履约验收。整改后仍不能通过验收的</w:t>
      </w:r>
      <w:bookmarkStart w:id="142" w:name="_Hlk207649097"/>
      <w:r>
        <w:rPr>
          <w:rFonts w:hint="eastAsia" w:ascii="仿宋" w:hAnsi="仿宋" w:eastAsia="仿宋" w:cs="仿宋"/>
          <w:color w:val="auto"/>
          <w:sz w:val="24"/>
          <w:highlight w:val="none"/>
        </w:rPr>
        <w:t>，甲方将有权解除合同，并依法追究相关责任</w:t>
      </w:r>
      <w:bookmarkEnd w:id="141"/>
      <w:r>
        <w:rPr>
          <w:rFonts w:hint="eastAsia" w:ascii="仿宋" w:hAnsi="仿宋" w:eastAsia="仿宋" w:cs="仿宋"/>
          <w:color w:val="auto"/>
          <w:sz w:val="24"/>
          <w:highlight w:val="none"/>
        </w:rPr>
        <w:t>。</w:t>
      </w:r>
    </w:p>
    <w:bookmarkEnd w:id="142"/>
    <w:p w14:paraId="5FCC0389">
      <w:pPr>
        <w:spacing w:line="360" w:lineRule="auto"/>
        <w:ind w:firstLine="480" w:firstLineChars="200"/>
        <w:rPr>
          <w:rFonts w:ascii="仿宋" w:hAnsi="仿宋" w:eastAsia="仿宋" w:cs="仿宋"/>
          <w:color w:val="auto"/>
          <w:spacing w:val="-6"/>
          <w:sz w:val="24"/>
          <w:highlight w:val="none"/>
        </w:rPr>
      </w:pPr>
      <w:r>
        <w:rPr>
          <w:rFonts w:hint="eastAsia" w:ascii="仿宋" w:hAnsi="仿宋" w:eastAsia="仿宋" w:cs="仿宋"/>
          <w:color w:val="auto"/>
          <w:sz w:val="24"/>
          <w:highlight w:val="none"/>
        </w:rPr>
        <w:t>8.甲方在初步验收或者最终验收过程中如发现乙方提供的服务成果不满足</w:t>
      </w:r>
      <w:r>
        <w:rPr>
          <w:rFonts w:hint="eastAsia" w:ascii="仿宋" w:hAnsi="仿宋" w:eastAsia="仿宋" w:cs="仿宋"/>
          <w:color w:val="auto"/>
          <w:spacing w:val="-6"/>
          <w:sz w:val="24"/>
          <w:highlight w:val="none"/>
        </w:rPr>
        <w:t>本合同规定的可暂缓向乙方付款，直到乙方及时完善并提交相应的服务成果且经甲方验收合格后，方可办理付款。</w:t>
      </w:r>
    </w:p>
    <w:p w14:paraId="6DD03834">
      <w:pPr>
        <w:spacing w:line="360" w:lineRule="auto"/>
        <w:ind w:firstLine="456" w:firstLineChars="200"/>
        <w:rPr>
          <w:rFonts w:ascii="仿宋" w:hAnsi="仿宋" w:eastAsia="仿宋" w:cs="仿宋"/>
          <w:color w:val="auto"/>
          <w:sz w:val="24"/>
          <w:highlight w:val="none"/>
        </w:rPr>
      </w:pPr>
      <w:r>
        <w:rPr>
          <w:rFonts w:hint="eastAsia" w:ascii="仿宋" w:hAnsi="仿宋" w:eastAsia="仿宋" w:cs="仿宋"/>
          <w:color w:val="auto"/>
          <w:spacing w:val="-6"/>
          <w:sz w:val="24"/>
          <w:highlight w:val="none"/>
        </w:rPr>
        <w:t>9.</w:t>
      </w:r>
      <w:bookmarkStart w:id="143" w:name="_Hlk207649182"/>
      <w:r>
        <w:rPr>
          <w:rFonts w:hint="eastAsia" w:ascii="仿宋" w:hAnsi="仿宋" w:eastAsia="仿宋" w:cs="仿宋"/>
          <w:color w:val="auto"/>
          <w:sz w:val="24"/>
          <w:highlight w:val="none"/>
        </w:rPr>
        <w:t>甲方对验收有异议的，在验收后5个工作日内以书面形式向乙方提出，乙方应自收到甲方书面异议后7日内及时予以解决，否则甲方有权不出具服务验收合格单。</w:t>
      </w:r>
    </w:p>
    <w:bookmarkEnd w:id="143"/>
    <w:p w14:paraId="0C718F80">
      <w:pPr>
        <w:snapToGrid w:val="0"/>
        <w:spacing w:line="360" w:lineRule="auto"/>
        <w:ind w:left="-61" w:firstLine="514"/>
        <w:rPr>
          <w:rFonts w:ascii="仿宋" w:hAnsi="仿宋" w:eastAsia="仿宋" w:cs="仿宋"/>
          <w:color w:val="auto"/>
          <w:sz w:val="24"/>
          <w:highlight w:val="none"/>
        </w:rPr>
      </w:pPr>
      <w:bookmarkStart w:id="144" w:name="_Hlk207649192"/>
      <w:r>
        <w:rPr>
          <w:rFonts w:hint="eastAsia" w:ascii="仿宋" w:hAnsi="仿宋" w:eastAsia="仿宋" w:cs="仿宋"/>
          <w:color w:val="auto"/>
          <w:sz w:val="24"/>
          <w:highlight w:val="none"/>
        </w:rPr>
        <w:t>10.验收时乙方可在现场参与，验收完毕后作出验收结果报告；甲方使用单位预验收及甲方履约验收过程中所产生的一切验收费用均由乙方承担。</w:t>
      </w:r>
    </w:p>
    <w:p w14:paraId="41CD6105">
      <w:pPr>
        <w:spacing w:after="120"/>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11.本合同的验收条款与采购需求中的验收要求互为补充。</w:t>
      </w:r>
    </w:p>
    <w:p w14:paraId="3EF8EDEF">
      <w:pPr>
        <w:snapToGrid w:val="0"/>
        <w:spacing w:line="360" w:lineRule="auto"/>
        <w:ind w:firstLine="514"/>
        <w:rPr>
          <w:rFonts w:ascii="仿宋" w:hAnsi="仿宋" w:eastAsia="仿宋" w:cs="仿宋"/>
          <w:color w:val="auto"/>
          <w:sz w:val="24"/>
          <w:highlight w:val="none"/>
        </w:rPr>
      </w:pPr>
      <w:r>
        <w:rPr>
          <w:rFonts w:hint="eastAsia" w:ascii="仿宋" w:hAnsi="仿宋" w:eastAsia="仿宋" w:cs="仿宋"/>
          <w:color w:val="auto"/>
          <w:sz w:val="24"/>
          <w:highlight w:val="none"/>
        </w:rPr>
        <w:t>12.在验收合格交付甲方前发生的风险均由乙方负责。</w:t>
      </w:r>
    </w:p>
    <w:bookmarkEnd w:id="144"/>
    <w:p w14:paraId="161F36FA">
      <w:pPr>
        <w:snapToGrid w:val="0"/>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第五条  售后服务及培训</w:t>
      </w:r>
    </w:p>
    <w:p w14:paraId="19850B39">
      <w:pPr>
        <w:spacing w:line="360" w:lineRule="auto"/>
        <w:ind w:firstLine="456" w:firstLineChars="200"/>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1.乙方应按照国家有关法律法规和本合同</w:t>
      </w:r>
      <w:r>
        <w:rPr>
          <w:rFonts w:hint="eastAsia" w:ascii="仿宋" w:hAnsi="仿宋" w:eastAsia="仿宋" w:cs="仿宋"/>
          <w:color w:val="auto"/>
          <w:spacing w:val="-6"/>
          <w:sz w:val="24"/>
          <w:highlight w:val="none"/>
          <w:lang w:val="en-US" w:eastAsia="zh-CN"/>
        </w:rPr>
        <w:t>附件</w:t>
      </w:r>
      <w:r>
        <w:rPr>
          <w:rFonts w:hint="eastAsia" w:ascii="仿宋" w:hAnsi="仿宋" w:eastAsia="仿宋" w:cs="仿宋"/>
          <w:color w:val="auto"/>
          <w:spacing w:val="-6"/>
          <w:sz w:val="24"/>
          <w:highlight w:val="none"/>
        </w:rPr>
        <w:t>要求为甲方提供相应的售后服务。</w:t>
      </w:r>
    </w:p>
    <w:p w14:paraId="4787DF8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2.甲方应提供必要测试条件（如场地、电源、水源等）。</w:t>
      </w:r>
    </w:p>
    <w:p w14:paraId="3051870F">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3.乙方负责甲方有关人员的培训。培训时间、地点：</w:t>
      </w:r>
      <w:r>
        <w:rPr>
          <w:rFonts w:hint="eastAsia" w:ascii="仿宋" w:hAnsi="仿宋" w:eastAsia="仿宋" w:cs="仿宋"/>
          <w:color w:val="auto"/>
          <w:sz w:val="24"/>
          <w:highlight w:val="none"/>
          <w:u w:val="single"/>
        </w:rPr>
        <w:t>按照甲方需求和通知</w:t>
      </w:r>
      <w:r>
        <w:rPr>
          <w:rFonts w:hint="eastAsia" w:ascii="仿宋" w:hAnsi="仿宋" w:eastAsia="仿宋" w:cs="仿宋"/>
          <w:color w:val="auto"/>
          <w:sz w:val="24"/>
          <w:highlight w:val="none"/>
        </w:rPr>
        <w:t>。</w:t>
      </w:r>
    </w:p>
    <w:p w14:paraId="2FE0DBCB">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第六条 付款方式</w:t>
      </w:r>
    </w:p>
    <w:p w14:paraId="44E4DB7D">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1.本项目分二次付款：</w:t>
      </w:r>
    </w:p>
    <w:p w14:paraId="28AE8FE6">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第一次付款：自合同签订后10个工作日内，甲方向乙方支付50%合同款；</w:t>
      </w:r>
    </w:p>
    <w:p w14:paraId="73A97584">
      <w:pPr>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single"/>
          <w:lang w:val="en-US" w:eastAsia="zh-CN"/>
        </w:rPr>
        <w:t>第二次付款：项目整体服务完毕且验收合格后支付50%合同款。</w:t>
      </w:r>
    </w:p>
    <w:p w14:paraId="7FA4B1C6">
      <w:pPr>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u w:val="single"/>
          <w:lang w:val="en-US" w:eastAsia="zh-CN"/>
        </w:rPr>
        <w:t>2.每次付款前，乙方开具合法、等额、有效的增值税发票给甲方。</w:t>
      </w:r>
      <w:r>
        <w:rPr>
          <w:rFonts w:hint="eastAsia" w:ascii="仿宋" w:hAnsi="仿宋" w:eastAsia="仿宋" w:cs="仿宋"/>
          <w:color w:val="auto"/>
          <w:sz w:val="24"/>
          <w:highlight w:val="none"/>
          <w:lang w:val="en-US" w:eastAsia="zh-CN"/>
        </w:rPr>
        <w:t xml:space="preserve"> </w:t>
      </w:r>
    </w:p>
    <w:p w14:paraId="31D5C4BC">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第七条 履约保证金</w:t>
      </w:r>
    </w:p>
    <w:p w14:paraId="7F15C8BA">
      <w:pPr>
        <w:snapToGrid w:val="0"/>
        <w:spacing w:line="42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履约保证金。</w:t>
      </w:r>
    </w:p>
    <w:p w14:paraId="6B8274B5">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第八条  税费</w:t>
      </w:r>
    </w:p>
    <w:p w14:paraId="777A75D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本合同执行中相关的一切税费均由乙方负担，合同另有约定的除外。合同执行期间税费发生变化的，由乙方承担。</w:t>
      </w:r>
    </w:p>
    <w:p w14:paraId="18BCC5EB">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第九条 违约责任</w:t>
      </w:r>
    </w:p>
    <w:p w14:paraId="530AA6D5">
      <w:pPr>
        <w:pStyle w:val="18"/>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1.合同一方不履行合同义务、履行合同义务不符合约定或者违反合同项下所作保证的， 应向对方承担继续履行、采取改进、更换等补救措施或者赔偿损失等违约责任。</w:t>
      </w:r>
    </w:p>
    <w:p w14:paraId="6EC6C6EF">
      <w:pPr>
        <w:pStyle w:val="18"/>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2.乙方提供的服务如侵犯了第三方合法权益而引发的任何纠纷或者诉讼，均由乙方负责交涉并承担全部责任。</w:t>
      </w:r>
    </w:p>
    <w:p w14:paraId="653848E4">
      <w:pPr>
        <w:pStyle w:val="18"/>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3.乙方未能按时交付服务的，应向甲方支付迟延交付违约金。迟延交付违约金的计算方法如下：</w:t>
      </w:r>
    </w:p>
    <w:p w14:paraId="4D8F3125">
      <w:pPr>
        <w:pStyle w:val="18"/>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（1）从迟交的第1日到第30日，每日迟延交付违约金为合同总价的 1.5‰；</w:t>
      </w:r>
    </w:p>
    <w:p w14:paraId="5D83A773">
      <w:pPr>
        <w:pStyle w:val="18"/>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（2）从迟交的第31日到第60日，每日迟延交付违约金为合同总价的 3‰；</w:t>
      </w:r>
    </w:p>
    <w:p w14:paraId="48BBD2AF">
      <w:pPr>
        <w:pStyle w:val="18"/>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（3）从迟交的第61日起，每日迟延交付违约金为合同总价的 5‰。</w:t>
      </w:r>
    </w:p>
    <w:p w14:paraId="000B7A1F">
      <w:pPr>
        <w:pStyle w:val="18"/>
        <w:snapToGrid w:val="0"/>
        <w:spacing w:line="360" w:lineRule="auto"/>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迟延交付违约金的总额不得超过合同总价的30%。迟延交付违约金的支付不能免除乙方继续完成相关合同约定的服务的义务，但如迟延交付必然导致验收等工作推迟的，相关工作应相应顺延。</w:t>
      </w:r>
    </w:p>
    <w:p w14:paraId="0921BF35">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4.甲方未能按合同约定支付合同价款的，应向乙方支付延迟付款违约金。迟延付款违约金的计算方法如下：</w:t>
      </w:r>
    </w:p>
    <w:p w14:paraId="3C1A6046">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（1）从迟交的第1日到第30日，每日迟延付款违约金为迟延付款金额的1.5‰；</w:t>
      </w:r>
    </w:p>
    <w:p w14:paraId="533AEEBE">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（2）从迟交的第31日到第60日，每日迟延付款违约金为迟延付款金额的3‰；</w:t>
      </w:r>
    </w:p>
    <w:p w14:paraId="4E360862">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（3）从迟交的第61日起，每日迟延付款违约金为迟延付款金额的5‰。</w:t>
      </w:r>
    </w:p>
    <w:p w14:paraId="122AA06A">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迟延付款违约金的总额不得超过迟延付款金额的30% 。</w:t>
      </w:r>
    </w:p>
    <w:p w14:paraId="09B405A7">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5.乙方未按本合同和响应文件承诺提供售后服务的，乙方应按本合同总价的5%向甲方支付违约金。</w:t>
      </w:r>
    </w:p>
    <w:p w14:paraId="3D16B6C7">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highlight w:val="none"/>
        </w:rPr>
        <w:t>乙方违约，甲方对本合同享有单方解除权。</w:t>
      </w:r>
    </w:p>
    <w:p w14:paraId="50A03C57">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szCs w:val="24"/>
          <w:highlight w:val="none"/>
        </w:rPr>
        <w:t>因某一方原因导致变更、中止或者终止本合同的，该方应当对另一方受到的损失予以赔偿或者补偿。</w:t>
      </w:r>
    </w:p>
    <w:p w14:paraId="73B56EFB">
      <w:pPr>
        <w:pStyle w:val="18"/>
        <w:snapToGrid w:val="0"/>
        <w:spacing w:line="360" w:lineRule="auto"/>
        <w:ind w:firstLine="470" w:firstLineChars="196"/>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8.乙方提供的服务在质量保证期内造成质量问题的，由乙方负责，费用从余款或者履约保证金中扣除，不足另补。</w:t>
      </w:r>
    </w:p>
    <w:p w14:paraId="02E4E21B">
      <w:pPr>
        <w:pStyle w:val="18"/>
        <w:snapToGrid w:val="0"/>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9.甲乙双方有其他违约行为的，由违约方向对方支付违约货款额的5%，违约货款额的5%不足以赔偿经济损失的，须按实际损失作出赔偿。若</w:t>
      </w:r>
      <w:r>
        <w:rPr>
          <w:rFonts w:hint="eastAsia" w:ascii="仿宋" w:hAnsi="仿宋" w:eastAsia="仿宋" w:cs="仿宋"/>
          <w:color w:val="auto"/>
          <w:sz w:val="24"/>
          <w:szCs w:val="24"/>
          <w:highlight w:val="none"/>
        </w:rPr>
        <w:t>双方通过诉讼解决合同纠纷，败诉方还应承担胜诉方在诉讼期间支出的相关费用（包括但不限于诉讼费、律师费、诉讼期间差旅费、鉴定费、执行费、保全费、保全保险费等）。</w:t>
      </w:r>
    </w:p>
    <w:p w14:paraId="36912EDC">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10.其他违约责任按《中华人民共和国民法典》处理。</w:t>
      </w:r>
    </w:p>
    <w:p w14:paraId="138B13BB">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第十条  不可抗力事件处理</w:t>
      </w:r>
    </w:p>
    <w:p w14:paraId="4A75B5E7">
      <w:pPr>
        <w:spacing w:line="360" w:lineRule="auto"/>
        <w:ind w:firstLine="480" w:firstLineChars="200"/>
        <w:rPr>
          <w:rFonts w:ascii="仿宋" w:hAnsi="仿宋" w:eastAsia="仿宋" w:cs="仿宋"/>
          <w:b/>
          <w:color w:val="auto"/>
          <w:sz w:val="24"/>
          <w:highlight w:val="none"/>
        </w:rPr>
      </w:pPr>
      <w:r>
        <w:rPr>
          <w:rFonts w:hint="eastAsia" w:ascii="仿宋" w:hAnsi="仿宋" w:eastAsia="仿宋" w:cs="仿宋"/>
          <w:color w:val="auto"/>
          <w:kern w:val="0"/>
          <w:sz w:val="24"/>
          <w:highlight w:val="none"/>
        </w:rPr>
        <w:t>1.在合同有效期内，任何一方因不可抗力事件导致不能履行合同，则合同履行期可延长，其延长期与不可抗力影响期相同。</w:t>
      </w:r>
    </w:p>
    <w:p w14:paraId="45069E9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2.不可抗力事件发生后，应立即通知对方，并寄送有关权威机构出具的证明。</w:t>
      </w:r>
    </w:p>
    <w:p w14:paraId="500E8B8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3.不可抗力事件延续60天以上，双方应通过友好协商，确定是否继续履行合同。</w:t>
      </w:r>
    </w:p>
    <w:p w14:paraId="373A1731">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第十一条  合同争议解决</w:t>
      </w:r>
    </w:p>
    <w:p w14:paraId="52AD1AC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1.因服务质量问题发生争议的，应邀请国家认可的质量检测机构进行鉴定。服务符合标准的，鉴定费由甲方承担；服务不符合标准的，鉴定费由乙方承担。</w:t>
      </w:r>
    </w:p>
    <w:p w14:paraId="60FD631E">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2.因履行本合同引起的或者与本合同有关的争议，甲乙双方应首先通过友好协商解决，如果协商不能解决，任何一方可向甲方所在地有管辖权的人民法院提起诉讼。</w:t>
      </w:r>
    </w:p>
    <w:p w14:paraId="10AE99C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3.诉讼期间，本合同无争议部分须继续履行。</w:t>
      </w:r>
    </w:p>
    <w:p w14:paraId="1132DC1A">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第十二条  合同生效及其他</w:t>
      </w:r>
    </w:p>
    <w:p w14:paraId="2E37E095">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1.合同自双方法定代表人或者授权代表签字并加盖单位公章或合同专用章之日起生效（委托代理人签字的须后附授权委托书，格式自拟）。</w:t>
      </w:r>
    </w:p>
    <w:p w14:paraId="39DBC5E8">
      <w:pPr>
        <w:pStyle w:val="18"/>
        <w:snapToGrid w:val="0"/>
        <w:spacing w:line="460" w:lineRule="exact"/>
        <w:ind w:firstLine="480" w:firstLineChars="200"/>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2.本合同未尽事宜，遵照《中华人民共和国民法典》有关条文执行。</w:t>
      </w:r>
    </w:p>
    <w:p w14:paraId="5827334C">
      <w:pPr>
        <w:snapToGrid w:val="0"/>
        <w:spacing w:line="460" w:lineRule="exact"/>
        <w:ind w:firstLine="480" w:firstLineChars="200"/>
        <w:rPr>
          <w:rFonts w:ascii="仿宋" w:hAnsi="仿宋" w:eastAsia="仿宋" w:cs="仿宋"/>
          <w:color w:val="auto"/>
          <w:kern w:val="0"/>
          <w:sz w:val="24"/>
          <w:highlight w:val="none"/>
          <w:lang w:val="zh-CN"/>
        </w:rPr>
      </w:pPr>
      <w:bookmarkStart w:id="145" w:name="_Hlk207649275"/>
      <w:r>
        <w:rPr>
          <w:rFonts w:hint="eastAsia" w:ascii="仿宋" w:hAnsi="仿宋" w:eastAsia="仿宋" w:cs="仿宋"/>
          <w:color w:val="auto"/>
          <w:sz w:val="24"/>
          <w:highlight w:val="none"/>
        </w:rPr>
        <w:t>3.双方确认本合同落款通讯地址作为文书送达地址，该通讯地址适用于包括双方合同履行过程中的各类通知、补充协议</w:t>
      </w:r>
      <w:bookmarkStart w:id="146" w:name="_Hlk206521711"/>
      <w:r>
        <w:rPr>
          <w:rFonts w:hint="eastAsia" w:ascii="仿宋" w:hAnsi="仿宋" w:eastAsia="仿宋" w:cs="仿宋"/>
          <w:color w:val="auto"/>
          <w:sz w:val="24"/>
          <w:highlight w:val="none"/>
        </w:rPr>
        <w:t>、整改函</w:t>
      </w:r>
      <w:bookmarkEnd w:id="146"/>
      <w:r>
        <w:rPr>
          <w:rFonts w:hint="eastAsia" w:ascii="仿宋" w:hAnsi="仿宋" w:eastAsia="仿宋" w:cs="仿宋"/>
          <w:color w:val="auto"/>
          <w:sz w:val="24"/>
          <w:highlight w:val="none"/>
        </w:rPr>
        <w:t>等文件，以及因履行合同发生争议进入民事诉讼程序后的一审、二审、再审和执行程序等阶段法律文书的送达。通讯地址需要变更时应当提前15个工作日书面通知对方。</w:t>
      </w:r>
      <w:bookmarkStart w:id="147" w:name="_Hlk207649404"/>
      <w:r>
        <w:rPr>
          <w:rFonts w:hint="eastAsia" w:ascii="仿宋" w:hAnsi="仿宋" w:eastAsia="仿宋" w:cs="仿宋"/>
          <w:color w:val="auto"/>
          <w:sz w:val="24"/>
          <w:highlight w:val="none"/>
        </w:rPr>
        <w:t>因提供或者确认的通讯地址不准确、通讯地址变更后未及时依程序告知对方，或按合同落款通讯地址寄送，受送达方拒绝签收或拒绝接听快递员投递电话等原因，导致文书未能被实际接收的，邮寄文书被退回之日视为送达之日。</w:t>
      </w:r>
    </w:p>
    <w:bookmarkEnd w:id="145"/>
    <w:bookmarkEnd w:id="147"/>
    <w:p w14:paraId="41FA8CE0">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第十三条 合同的变更、终止与转让</w:t>
      </w:r>
    </w:p>
    <w:p w14:paraId="3BA1F058">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1.除《中华人民共和国政府采购法》第五十条规定的情形外，本合同一经签订，甲乙双方不得擅自变更、中止或者终止。</w:t>
      </w:r>
    </w:p>
    <w:p w14:paraId="6E0292BD">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2.乙方不得擅自转让其应履行的合同义务。</w:t>
      </w:r>
    </w:p>
    <w:p w14:paraId="62E16DFF">
      <w:pPr>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第十四条 签订本合同依据</w:t>
      </w:r>
    </w:p>
    <w:p w14:paraId="331B0C04">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5F8F60EB">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2.采购需求</w:t>
      </w:r>
    </w:p>
    <w:p w14:paraId="4413009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3.竞争性磋商报价表</w:t>
      </w:r>
    </w:p>
    <w:p w14:paraId="3616CA29">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4.商务要求偏离表和服务需求偏离表</w:t>
      </w:r>
    </w:p>
    <w:p w14:paraId="26B8A480">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5.响应文件中的其他相关文件</w:t>
      </w:r>
    </w:p>
    <w:p w14:paraId="46BB0BD2">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上述合同文件互相补充和解释。如果合同文件之间存在矛盾或者不一致之处，以上述文件的排列顺序在先者为准。</w:t>
      </w:r>
    </w:p>
    <w:p w14:paraId="6B30A531">
      <w:pPr>
        <w:spacing w:line="360" w:lineRule="auto"/>
        <w:ind w:firstLine="482" w:firstLineChars="200"/>
        <w:rPr>
          <w:rFonts w:ascii="仿宋" w:hAnsi="仿宋" w:eastAsia="仿宋" w:cs="仿宋"/>
          <w:color w:val="auto"/>
          <w:sz w:val="24"/>
          <w:highlight w:val="none"/>
        </w:rPr>
      </w:pPr>
      <w:r>
        <w:rPr>
          <w:rFonts w:hint="eastAsia" w:ascii="仿宋" w:hAnsi="仿宋" w:eastAsia="仿宋" w:cs="仿宋"/>
          <w:b/>
          <w:color w:val="auto"/>
          <w:sz w:val="24"/>
          <w:highlight w:val="none"/>
        </w:rPr>
        <w:t xml:space="preserve">第十五条 </w:t>
      </w: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lang w:val="en-US" w:eastAsia="zh-CN"/>
        </w:rPr>
        <w:t>陆</w:t>
      </w:r>
      <w:r>
        <w:rPr>
          <w:rFonts w:hint="eastAsia" w:ascii="仿宋" w:hAnsi="仿宋" w:eastAsia="仿宋" w:cs="仿宋"/>
          <w:color w:val="auto"/>
          <w:sz w:val="24"/>
          <w:highlight w:val="none"/>
        </w:rPr>
        <w:t>份，具有同等法律效力，甲方</w:t>
      </w:r>
      <w:r>
        <w:rPr>
          <w:rFonts w:hint="eastAsia" w:ascii="仿宋" w:hAnsi="仿宋" w:eastAsia="仿宋" w:cs="仿宋"/>
          <w:color w:val="auto"/>
          <w:sz w:val="24"/>
          <w:highlight w:val="none"/>
          <w:lang w:val="en-US" w:eastAsia="zh-CN"/>
        </w:rPr>
        <w:t>叁</w:t>
      </w:r>
      <w:r>
        <w:rPr>
          <w:rFonts w:hint="eastAsia" w:ascii="仿宋" w:hAnsi="仿宋" w:eastAsia="仿宋" w:cs="仿宋"/>
          <w:color w:val="auto"/>
          <w:sz w:val="24"/>
          <w:highlight w:val="none"/>
        </w:rPr>
        <w:t>份，乙方</w:t>
      </w:r>
      <w:r>
        <w:rPr>
          <w:rFonts w:hint="eastAsia" w:ascii="仿宋" w:hAnsi="仿宋" w:eastAsia="仿宋" w:cs="仿宋"/>
          <w:color w:val="auto"/>
          <w:sz w:val="24"/>
          <w:highlight w:val="none"/>
          <w:lang w:val="en-US" w:eastAsia="zh-CN"/>
        </w:rPr>
        <w:t>贰</w:t>
      </w:r>
      <w:r>
        <w:rPr>
          <w:rFonts w:hint="eastAsia" w:ascii="仿宋" w:hAnsi="仿宋" w:eastAsia="仿宋" w:cs="仿宋"/>
          <w:color w:val="auto"/>
          <w:sz w:val="24"/>
          <w:highlight w:val="none"/>
        </w:rPr>
        <w:t>份，采购代理机构壹份。</w:t>
      </w:r>
    </w:p>
    <w:p w14:paraId="1C5BD8E8">
      <w:pPr>
        <w:spacing w:line="4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以下无正文。</w:t>
      </w:r>
    </w:p>
    <w:p w14:paraId="00B19908">
      <w:pPr>
        <w:pStyle w:val="15"/>
        <w:rPr>
          <w:rFonts w:ascii="仿宋" w:hAnsi="仿宋" w:eastAsia="仿宋" w:cs="仿宋"/>
          <w:color w:val="auto"/>
          <w:highlight w:val="none"/>
        </w:rPr>
      </w:pPr>
    </w:p>
    <w:tbl>
      <w:tblPr>
        <w:tblStyle w:val="29"/>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580"/>
      </w:tblGrid>
      <w:tr w14:paraId="5D26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31" w:hRule="atLeast"/>
          <w:jc w:val="center"/>
        </w:trPr>
        <w:tc>
          <w:tcPr>
            <w:tcW w:w="4780" w:type="dxa"/>
            <w:vAlign w:val="center"/>
          </w:tcPr>
          <w:p w14:paraId="1BAE995E">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甲方：</w:t>
            </w:r>
            <w:bookmarkStart w:id="148" w:name="OLE_LINK1"/>
            <w:r>
              <w:rPr>
                <w:rFonts w:hint="eastAsia" w:ascii="仿宋" w:hAnsi="仿宋" w:eastAsia="仿宋" w:cs="仿宋"/>
                <w:color w:val="auto"/>
                <w:kern w:val="0"/>
                <w:sz w:val="24"/>
                <w:highlight w:val="none"/>
              </w:rPr>
              <w:t>（盖章）</w:t>
            </w:r>
            <w:bookmarkEnd w:id="148"/>
          </w:p>
          <w:p w14:paraId="17FDF84F">
            <w:pPr>
              <w:snapToGrid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广西壮族自治区文化和旅游厅</w:t>
            </w:r>
          </w:p>
          <w:p w14:paraId="1C7E92FA">
            <w:pPr>
              <w:snapToGrid w:val="0"/>
              <w:spacing w:line="360" w:lineRule="auto"/>
              <w:ind w:firstLine="1080" w:firstLineChars="450"/>
              <w:jc w:val="righ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w:t>
            </w:r>
          </w:p>
        </w:tc>
        <w:tc>
          <w:tcPr>
            <w:tcW w:w="4580" w:type="dxa"/>
            <w:vAlign w:val="center"/>
          </w:tcPr>
          <w:p w14:paraId="16D40956">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乙方：   （盖章）              </w:t>
            </w:r>
          </w:p>
          <w:p w14:paraId="323CF9CF">
            <w:pPr>
              <w:snapToGrid w:val="0"/>
              <w:spacing w:line="360" w:lineRule="auto"/>
              <w:rPr>
                <w:rFonts w:ascii="仿宋" w:hAnsi="仿宋" w:eastAsia="仿宋" w:cs="仿宋"/>
                <w:color w:val="auto"/>
                <w:kern w:val="0"/>
                <w:sz w:val="24"/>
                <w:highlight w:val="none"/>
              </w:rPr>
            </w:pPr>
          </w:p>
          <w:p w14:paraId="72E087F4">
            <w:pPr>
              <w:snapToGrid w:val="0"/>
              <w:spacing w:line="360" w:lineRule="auto"/>
              <w:jc w:val="righ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w:t>
            </w:r>
          </w:p>
        </w:tc>
      </w:tr>
      <w:tr w14:paraId="2745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4780" w:type="dxa"/>
            <w:vAlign w:val="center"/>
          </w:tcPr>
          <w:p w14:paraId="6545E8BA">
            <w:pPr>
              <w:snapToGrid w:val="0"/>
              <w:spacing w:line="360" w:lineRule="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单位地址：</w:t>
            </w:r>
            <w:r>
              <w:rPr>
                <w:rFonts w:hint="eastAsia" w:ascii="仿宋" w:hAnsi="仿宋" w:eastAsia="仿宋" w:cs="仿宋"/>
                <w:color w:val="auto"/>
                <w:kern w:val="0"/>
                <w:sz w:val="24"/>
                <w:highlight w:val="none"/>
                <w:lang w:eastAsia="zh-CN"/>
              </w:rPr>
              <w:t>广西壮族自治区南宁市青秀区金湖路24号</w:t>
            </w:r>
          </w:p>
        </w:tc>
        <w:tc>
          <w:tcPr>
            <w:tcW w:w="4580" w:type="dxa"/>
            <w:vAlign w:val="center"/>
          </w:tcPr>
          <w:p w14:paraId="2B917620">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单位地址： </w:t>
            </w:r>
          </w:p>
        </w:tc>
      </w:tr>
      <w:tr w14:paraId="0694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7" w:hRule="atLeast"/>
          <w:jc w:val="center"/>
        </w:trPr>
        <w:tc>
          <w:tcPr>
            <w:tcW w:w="4780" w:type="dxa"/>
            <w:vAlign w:val="center"/>
          </w:tcPr>
          <w:p w14:paraId="7EA0ADF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r>
              <w:rPr>
                <w:rFonts w:hint="eastAsia" w:ascii="仿宋" w:hAnsi="仿宋" w:eastAsia="仿宋" w:cs="仿宋"/>
                <w:color w:val="auto"/>
                <w:kern w:val="0"/>
                <w:sz w:val="24"/>
                <w:highlight w:val="none"/>
                <w:lang w:val="en-US" w:eastAsia="zh-CN"/>
              </w:rPr>
              <w:t>或</w:t>
            </w:r>
            <w:r>
              <w:rPr>
                <w:rFonts w:hint="eastAsia" w:ascii="仿宋" w:hAnsi="仿宋" w:eastAsia="仿宋" w:cs="仿宋"/>
                <w:color w:val="auto"/>
                <w:kern w:val="0"/>
                <w:sz w:val="24"/>
                <w:highlight w:val="none"/>
              </w:rPr>
              <w:t>委托代理人</w:t>
            </w:r>
          </w:p>
          <w:p w14:paraId="1F844E42">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签字或盖章</w:t>
            </w:r>
            <w:r>
              <w:rPr>
                <w:rFonts w:hint="eastAsia" w:ascii="仿宋" w:hAnsi="仿宋" w:eastAsia="仿宋" w:cs="仿宋"/>
                <w:color w:val="auto"/>
                <w:kern w:val="0"/>
                <w:sz w:val="24"/>
                <w:highlight w:val="none"/>
              </w:rPr>
              <w:t>）：</w:t>
            </w:r>
          </w:p>
        </w:tc>
        <w:tc>
          <w:tcPr>
            <w:tcW w:w="4580" w:type="dxa"/>
            <w:vAlign w:val="center"/>
          </w:tcPr>
          <w:p w14:paraId="325CF80E">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r>
              <w:rPr>
                <w:rFonts w:hint="eastAsia" w:ascii="仿宋" w:hAnsi="仿宋" w:eastAsia="仿宋" w:cs="仿宋"/>
                <w:color w:val="auto"/>
                <w:kern w:val="0"/>
                <w:sz w:val="24"/>
                <w:highlight w:val="none"/>
                <w:lang w:val="en-US" w:eastAsia="zh-CN"/>
              </w:rPr>
              <w:t>或</w:t>
            </w:r>
            <w:r>
              <w:rPr>
                <w:rFonts w:hint="eastAsia" w:ascii="仿宋" w:hAnsi="仿宋" w:eastAsia="仿宋" w:cs="仿宋"/>
                <w:color w:val="auto"/>
                <w:kern w:val="0"/>
                <w:sz w:val="24"/>
                <w:highlight w:val="none"/>
              </w:rPr>
              <w:t>委托代理人</w:t>
            </w:r>
          </w:p>
          <w:p w14:paraId="70485E02">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签字或盖章</w:t>
            </w:r>
            <w:r>
              <w:rPr>
                <w:rFonts w:hint="eastAsia" w:ascii="仿宋" w:hAnsi="仿宋" w:eastAsia="仿宋" w:cs="仿宋"/>
                <w:color w:val="auto"/>
                <w:kern w:val="0"/>
                <w:sz w:val="24"/>
                <w:highlight w:val="none"/>
              </w:rPr>
              <w:t>）：</w:t>
            </w:r>
          </w:p>
        </w:tc>
      </w:tr>
      <w:tr w14:paraId="7C7B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780" w:type="dxa"/>
            <w:vAlign w:val="center"/>
          </w:tcPr>
          <w:p w14:paraId="77F5DA82">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办公电话：</w:t>
            </w:r>
          </w:p>
        </w:tc>
        <w:tc>
          <w:tcPr>
            <w:tcW w:w="4580" w:type="dxa"/>
            <w:vAlign w:val="center"/>
          </w:tcPr>
          <w:p w14:paraId="7CBC986B">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办公电话：</w:t>
            </w:r>
          </w:p>
        </w:tc>
      </w:tr>
      <w:tr w14:paraId="367F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780" w:type="dxa"/>
            <w:vAlign w:val="center"/>
          </w:tcPr>
          <w:p w14:paraId="078DF9FD">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联系手机：</w:t>
            </w:r>
          </w:p>
        </w:tc>
        <w:tc>
          <w:tcPr>
            <w:tcW w:w="4580" w:type="dxa"/>
            <w:vAlign w:val="center"/>
          </w:tcPr>
          <w:p w14:paraId="24BD2807">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联系手机： </w:t>
            </w:r>
          </w:p>
        </w:tc>
      </w:tr>
      <w:tr w14:paraId="7436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780" w:type="dxa"/>
            <w:vAlign w:val="center"/>
          </w:tcPr>
          <w:p w14:paraId="0EAA7557">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邮箱：</w:t>
            </w:r>
          </w:p>
        </w:tc>
        <w:tc>
          <w:tcPr>
            <w:tcW w:w="4580" w:type="dxa"/>
            <w:vAlign w:val="center"/>
          </w:tcPr>
          <w:p w14:paraId="2F0FB937">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邮箱： </w:t>
            </w:r>
          </w:p>
        </w:tc>
      </w:tr>
      <w:tr w14:paraId="7449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780" w:type="dxa"/>
            <w:vAlign w:val="center"/>
          </w:tcPr>
          <w:p w14:paraId="24CB3704">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tc>
        <w:tc>
          <w:tcPr>
            <w:tcW w:w="4580" w:type="dxa"/>
            <w:vAlign w:val="center"/>
          </w:tcPr>
          <w:p w14:paraId="727831C9">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开户银行： </w:t>
            </w:r>
          </w:p>
        </w:tc>
      </w:tr>
      <w:tr w14:paraId="3232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780" w:type="dxa"/>
            <w:vAlign w:val="center"/>
          </w:tcPr>
          <w:p w14:paraId="55C6469B">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580" w:type="dxa"/>
            <w:vAlign w:val="center"/>
          </w:tcPr>
          <w:p w14:paraId="0F3FC302">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r w14:paraId="14B3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780" w:type="dxa"/>
            <w:vAlign w:val="center"/>
          </w:tcPr>
          <w:p w14:paraId="0370AF9B">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tc>
        <w:tc>
          <w:tcPr>
            <w:tcW w:w="4580" w:type="dxa"/>
            <w:vAlign w:val="center"/>
          </w:tcPr>
          <w:p w14:paraId="444A05F7">
            <w:pPr>
              <w:snapToGrid w:val="0"/>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邮政编码： </w:t>
            </w:r>
          </w:p>
        </w:tc>
      </w:tr>
    </w:tbl>
    <w:p w14:paraId="6D195C36">
      <w:pPr>
        <w:spacing w:line="460" w:lineRule="exact"/>
        <w:rPr>
          <w:rFonts w:ascii="仿宋" w:hAnsi="仿宋" w:eastAsia="仿宋" w:cs="仿宋"/>
          <w:color w:val="auto"/>
          <w:sz w:val="18"/>
          <w:szCs w:val="21"/>
          <w:highlight w:val="none"/>
        </w:rPr>
      </w:pPr>
    </w:p>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24C11">
    <w:pPr>
      <w:pStyle w:val="22"/>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59F7773">
                          <w:pPr>
                            <w:pStyle w:val="2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3YFN4QsCAAABBAAADgAAAAAAAAABACAAAAAfAQAA&#10;ZHJzL2Uyb0RvYy54bWxQSwUGAAAAAAYABgBZAQAAnAUAAAAA&#10;">
              <v:fill on="f" focussize="0,0"/>
              <v:stroke on="f"/>
              <v:imagedata o:title=""/>
              <o:lock v:ext="edit" aspectratio="f"/>
              <v:textbox inset="0mm,0mm,0mm,0mm" style="mso-fit-shape-to-text:t;">
                <w:txbxContent>
                  <w:p w14:paraId="159F7773">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380B2E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DADA">
    <w:pPr>
      <w:pStyle w:val="2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635"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254291E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BU+a0AAAAAMBAAAPAAAAAAAAAAEAIAAAACIAAABkcnMvZG93&#10;bnJldi54bWxQSwECFAAUAAAACACHTuJAFydTEAgCAAACBAAADgAAAAAAAAABACAAAAAfAQAAZHJz&#10;L2Uyb0RvYy54bWxQSwUGAAAAAAYABgBZAQAAmQUAAAAA&#10;">
              <v:fill on="f" focussize="0,0"/>
              <v:stroke on="f"/>
              <v:imagedata o:title=""/>
              <o:lock v:ext="edit" aspectratio="f"/>
              <v:textbox inset="0mm,0mm,0mm,0mm" style="mso-fit-shape-to-text:t;">
                <w:txbxContent>
                  <w:p w14:paraId="254291E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E10C">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465E99D7">
                          <w:pPr>
                            <w:pStyle w:val="22"/>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fill on="f" focussize="0,0"/>
              <v:stroke on="f"/>
              <v:imagedata o:title=""/>
              <o:lock v:ext="edit" aspectratio="f"/>
              <v:textbox inset="0mm,0mm,0mm,0mm" style="mso-fit-shape-to-text:t;">
                <w:txbxContent>
                  <w:p w14:paraId="465E99D7">
                    <w:pPr>
                      <w:pStyle w:val="22"/>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201EBBA4">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0853">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635" b="25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4C865356">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u01psPAgAADwQAAA4AAAAAAAAAAQAgAAAA&#10;HwEAAGRycy9lMm9Eb2MueG1sUEsFBgAAAAAGAAYAWQEAAKAFAAAAAA==&#10;">
              <v:fill on="f" focussize="0,0"/>
              <v:stroke on="f"/>
              <v:imagedata o:title=""/>
              <o:lock v:ext="edit" aspectratio="f"/>
              <v:textbox inset="0mm,0mm,0mm,0mm" style="mso-fit-shape-to-text:t;">
                <w:txbxContent>
                  <w:p w14:paraId="4C865356">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8B1E8">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AC6D">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62D4">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D3945">
    <w:pPr>
      <w:pStyle w:val="2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2F5"/>
    <w:rsid w:val="0003117E"/>
    <w:rsid w:val="0003179F"/>
    <w:rsid w:val="00035CE4"/>
    <w:rsid w:val="000420F1"/>
    <w:rsid w:val="000442B2"/>
    <w:rsid w:val="00045203"/>
    <w:rsid w:val="000457AC"/>
    <w:rsid w:val="000578CA"/>
    <w:rsid w:val="00060B6C"/>
    <w:rsid w:val="00081C9B"/>
    <w:rsid w:val="00094D9C"/>
    <w:rsid w:val="00094DA1"/>
    <w:rsid w:val="000B7651"/>
    <w:rsid w:val="000C509F"/>
    <w:rsid w:val="000C5B27"/>
    <w:rsid w:val="000D047C"/>
    <w:rsid w:val="000D0979"/>
    <w:rsid w:val="0010086F"/>
    <w:rsid w:val="001129BA"/>
    <w:rsid w:val="001205C9"/>
    <w:rsid w:val="0012137C"/>
    <w:rsid w:val="0013248B"/>
    <w:rsid w:val="00142117"/>
    <w:rsid w:val="001469F3"/>
    <w:rsid w:val="00152D06"/>
    <w:rsid w:val="00153135"/>
    <w:rsid w:val="001539B0"/>
    <w:rsid w:val="00157C13"/>
    <w:rsid w:val="0016042A"/>
    <w:rsid w:val="00172A27"/>
    <w:rsid w:val="00173BFA"/>
    <w:rsid w:val="00173D29"/>
    <w:rsid w:val="0017572B"/>
    <w:rsid w:val="001934CD"/>
    <w:rsid w:val="00195EA5"/>
    <w:rsid w:val="001A2F05"/>
    <w:rsid w:val="001B3836"/>
    <w:rsid w:val="001B7C12"/>
    <w:rsid w:val="001D4FF9"/>
    <w:rsid w:val="001F2E23"/>
    <w:rsid w:val="00205C3D"/>
    <w:rsid w:val="002061DC"/>
    <w:rsid w:val="0020630A"/>
    <w:rsid w:val="00231BE2"/>
    <w:rsid w:val="00263E0B"/>
    <w:rsid w:val="00267E08"/>
    <w:rsid w:val="0027471E"/>
    <w:rsid w:val="00293C5F"/>
    <w:rsid w:val="002968F2"/>
    <w:rsid w:val="00297AB2"/>
    <w:rsid w:val="002C267F"/>
    <w:rsid w:val="002C27BE"/>
    <w:rsid w:val="002E107C"/>
    <w:rsid w:val="002E70B1"/>
    <w:rsid w:val="002F045B"/>
    <w:rsid w:val="002F2376"/>
    <w:rsid w:val="002F38FC"/>
    <w:rsid w:val="002F44F7"/>
    <w:rsid w:val="003254D5"/>
    <w:rsid w:val="0033163E"/>
    <w:rsid w:val="00334216"/>
    <w:rsid w:val="00334AF5"/>
    <w:rsid w:val="00345BE0"/>
    <w:rsid w:val="00345E82"/>
    <w:rsid w:val="00351793"/>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4494"/>
    <w:rsid w:val="003D7AA9"/>
    <w:rsid w:val="003F18CC"/>
    <w:rsid w:val="00403082"/>
    <w:rsid w:val="00404036"/>
    <w:rsid w:val="004178E4"/>
    <w:rsid w:val="00422A3F"/>
    <w:rsid w:val="0044167F"/>
    <w:rsid w:val="00441E5D"/>
    <w:rsid w:val="00443F38"/>
    <w:rsid w:val="004501C2"/>
    <w:rsid w:val="00460538"/>
    <w:rsid w:val="00460B41"/>
    <w:rsid w:val="004621D7"/>
    <w:rsid w:val="00474FE8"/>
    <w:rsid w:val="00477D0E"/>
    <w:rsid w:val="00493A57"/>
    <w:rsid w:val="004A3C75"/>
    <w:rsid w:val="004A40F1"/>
    <w:rsid w:val="004A47A4"/>
    <w:rsid w:val="004A4DD3"/>
    <w:rsid w:val="004B1B49"/>
    <w:rsid w:val="004B580B"/>
    <w:rsid w:val="004C2FCF"/>
    <w:rsid w:val="004C53C1"/>
    <w:rsid w:val="004D0060"/>
    <w:rsid w:val="004D29DE"/>
    <w:rsid w:val="004D7EE2"/>
    <w:rsid w:val="004E29A5"/>
    <w:rsid w:val="004F1291"/>
    <w:rsid w:val="004F3669"/>
    <w:rsid w:val="004F40EC"/>
    <w:rsid w:val="004F551F"/>
    <w:rsid w:val="004F7C58"/>
    <w:rsid w:val="0051048D"/>
    <w:rsid w:val="005109A1"/>
    <w:rsid w:val="00510FE4"/>
    <w:rsid w:val="00515EBE"/>
    <w:rsid w:val="005316F1"/>
    <w:rsid w:val="005631DB"/>
    <w:rsid w:val="005667A8"/>
    <w:rsid w:val="0057375C"/>
    <w:rsid w:val="005848D8"/>
    <w:rsid w:val="00595C3E"/>
    <w:rsid w:val="005A703B"/>
    <w:rsid w:val="005B58BB"/>
    <w:rsid w:val="005C4037"/>
    <w:rsid w:val="005C441C"/>
    <w:rsid w:val="005C50D8"/>
    <w:rsid w:val="005D793E"/>
    <w:rsid w:val="005E0B09"/>
    <w:rsid w:val="005E358E"/>
    <w:rsid w:val="005F186A"/>
    <w:rsid w:val="00602F64"/>
    <w:rsid w:val="00607ACF"/>
    <w:rsid w:val="006103CF"/>
    <w:rsid w:val="00631F41"/>
    <w:rsid w:val="00634D55"/>
    <w:rsid w:val="00651A8D"/>
    <w:rsid w:val="00662702"/>
    <w:rsid w:val="006748CF"/>
    <w:rsid w:val="00686B94"/>
    <w:rsid w:val="00690F7A"/>
    <w:rsid w:val="006B1B34"/>
    <w:rsid w:val="006C49C6"/>
    <w:rsid w:val="006C5D12"/>
    <w:rsid w:val="006C7F9A"/>
    <w:rsid w:val="006D0252"/>
    <w:rsid w:val="006D684C"/>
    <w:rsid w:val="006F0B25"/>
    <w:rsid w:val="0070485A"/>
    <w:rsid w:val="007117C0"/>
    <w:rsid w:val="007337EE"/>
    <w:rsid w:val="00740D49"/>
    <w:rsid w:val="0074587D"/>
    <w:rsid w:val="00747F79"/>
    <w:rsid w:val="00753BC2"/>
    <w:rsid w:val="00754D96"/>
    <w:rsid w:val="007801C8"/>
    <w:rsid w:val="007878EF"/>
    <w:rsid w:val="00794272"/>
    <w:rsid w:val="007A0403"/>
    <w:rsid w:val="007A6F85"/>
    <w:rsid w:val="007B496E"/>
    <w:rsid w:val="007B49F9"/>
    <w:rsid w:val="007B7BDB"/>
    <w:rsid w:val="007B7D09"/>
    <w:rsid w:val="007C079F"/>
    <w:rsid w:val="007C1337"/>
    <w:rsid w:val="007C65FB"/>
    <w:rsid w:val="007D0550"/>
    <w:rsid w:val="007D3C00"/>
    <w:rsid w:val="007D7DD1"/>
    <w:rsid w:val="007F6E4B"/>
    <w:rsid w:val="0080016A"/>
    <w:rsid w:val="008002FC"/>
    <w:rsid w:val="0082505C"/>
    <w:rsid w:val="00844347"/>
    <w:rsid w:val="008501B1"/>
    <w:rsid w:val="00866E66"/>
    <w:rsid w:val="00866F98"/>
    <w:rsid w:val="0087375F"/>
    <w:rsid w:val="00884A9F"/>
    <w:rsid w:val="008A3DE0"/>
    <w:rsid w:val="008B2231"/>
    <w:rsid w:val="008D484B"/>
    <w:rsid w:val="008E3D0D"/>
    <w:rsid w:val="008E55CC"/>
    <w:rsid w:val="008E67E5"/>
    <w:rsid w:val="008F4C27"/>
    <w:rsid w:val="008F7ED2"/>
    <w:rsid w:val="00904C99"/>
    <w:rsid w:val="009064F3"/>
    <w:rsid w:val="00921552"/>
    <w:rsid w:val="00927668"/>
    <w:rsid w:val="00931421"/>
    <w:rsid w:val="0094048F"/>
    <w:rsid w:val="00943B3A"/>
    <w:rsid w:val="00952222"/>
    <w:rsid w:val="00953F4B"/>
    <w:rsid w:val="00970EA2"/>
    <w:rsid w:val="00974A34"/>
    <w:rsid w:val="00977A1B"/>
    <w:rsid w:val="009818D3"/>
    <w:rsid w:val="00982078"/>
    <w:rsid w:val="00985C0D"/>
    <w:rsid w:val="00991454"/>
    <w:rsid w:val="009A415F"/>
    <w:rsid w:val="009A5299"/>
    <w:rsid w:val="009A56AB"/>
    <w:rsid w:val="009B2CDD"/>
    <w:rsid w:val="009C6E33"/>
    <w:rsid w:val="009D38FD"/>
    <w:rsid w:val="009F1EC5"/>
    <w:rsid w:val="00A02FD8"/>
    <w:rsid w:val="00A156CE"/>
    <w:rsid w:val="00A35716"/>
    <w:rsid w:val="00A452C4"/>
    <w:rsid w:val="00A60E40"/>
    <w:rsid w:val="00A613B3"/>
    <w:rsid w:val="00A61526"/>
    <w:rsid w:val="00A64ADF"/>
    <w:rsid w:val="00A64C47"/>
    <w:rsid w:val="00A7334E"/>
    <w:rsid w:val="00A74E39"/>
    <w:rsid w:val="00A832C6"/>
    <w:rsid w:val="00A835EA"/>
    <w:rsid w:val="00A87624"/>
    <w:rsid w:val="00A96DE4"/>
    <w:rsid w:val="00AB0ADF"/>
    <w:rsid w:val="00AB6EDD"/>
    <w:rsid w:val="00AF0270"/>
    <w:rsid w:val="00AF4F86"/>
    <w:rsid w:val="00AF58FE"/>
    <w:rsid w:val="00AF7C42"/>
    <w:rsid w:val="00B005E9"/>
    <w:rsid w:val="00B02262"/>
    <w:rsid w:val="00B0462D"/>
    <w:rsid w:val="00B079C7"/>
    <w:rsid w:val="00B144BD"/>
    <w:rsid w:val="00B24C49"/>
    <w:rsid w:val="00B36033"/>
    <w:rsid w:val="00B409A4"/>
    <w:rsid w:val="00B64E15"/>
    <w:rsid w:val="00B83EF6"/>
    <w:rsid w:val="00B92192"/>
    <w:rsid w:val="00BA4700"/>
    <w:rsid w:val="00BA4D5C"/>
    <w:rsid w:val="00BB2CB9"/>
    <w:rsid w:val="00BC01AC"/>
    <w:rsid w:val="00BE0B56"/>
    <w:rsid w:val="00BE3E5C"/>
    <w:rsid w:val="00BF2089"/>
    <w:rsid w:val="00C0189B"/>
    <w:rsid w:val="00C079C0"/>
    <w:rsid w:val="00C07EA8"/>
    <w:rsid w:val="00C07FBD"/>
    <w:rsid w:val="00C22AB7"/>
    <w:rsid w:val="00C31789"/>
    <w:rsid w:val="00C32BBF"/>
    <w:rsid w:val="00C3719F"/>
    <w:rsid w:val="00C420F1"/>
    <w:rsid w:val="00C476EB"/>
    <w:rsid w:val="00C54288"/>
    <w:rsid w:val="00C71884"/>
    <w:rsid w:val="00C73234"/>
    <w:rsid w:val="00C75246"/>
    <w:rsid w:val="00C75F53"/>
    <w:rsid w:val="00C765AF"/>
    <w:rsid w:val="00C77667"/>
    <w:rsid w:val="00C81DBB"/>
    <w:rsid w:val="00C86E63"/>
    <w:rsid w:val="00C93EB7"/>
    <w:rsid w:val="00C95168"/>
    <w:rsid w:val="00CB1FAB"/>
    <w:rsid w:val="00CB22E9"/>
    <w:rsid w:val="00CC6324"/>
    <w:rsid w:val="00CD4088"/>
    <w:rsid w:val="00CE2C5B"/>
    <w:rsid w:val="00D01D5F"/>
    <w:rsid w:val="00D03049"/>
    <w:rsid w:val="00D208C5"/>
    <w:rsid w:val="00D22E16"/>
    <w:rsid w:val="00D2627E"/>
    <w:rsid w:val="00D32121"/>
    <w:rsid w:val="00D33AC2"/>
    <w:rsid w:val="00D355A7"/>
    <w:rsid w:val="00D35C7C"/>
    <w:rsid w:val="00D4584F"/>
    <w:rsid w:val="00D5541A"/>
    <w:rsid w:val="00D576C8"/>
    <w:rsid w:val="00D62EDF"/>
    <w:rsid w:val="00D6600A"/>
    <w:rsid w:val="00D72960"/>
    <w:rsid w:val="00D739AB"/>
    <w:rsid w:val="00D8326F"/>
    <w:rsid w:val="00D83EDB"/>
    <w:rsid w:val="00D861D2"/>
    <w:rsid w:val="00D86669"/>
    <w:rsid w:val="00D95618"/>
    <w:rsid w:val="00D97F07"/>
    <w:rsid w:val="00DA0395"/>
    <w:rsid w:val="00DA7057"/>
    <w:rsid w:val="00DB3B9B"/>
    <w:rsid w:val="00DC0480"/>
    <w:rsid w:val="00DC423D"/>
    <w:rsid w:val="00DD7BED"/>
    <w:rsid w:val="00DE3FFD"/>
    <w:rsid w:val="00DE68E0"/>
    <w:rsid w:val="00DF13CA"/>
    <w:rsid w:val="00DF7D9E"/>
    <w:rsid w:val="00E06115"/>
    <w:rsid w:val="00E169C5"/>
    <w:rsid w:val="00E34CE1"/>
    <w:rsid w:val="00E460F5"/>
    <w:rsid w:val="00E50738"/>
    <w:rsid w:val="00E64B4E"/>
    <w:rsid w:val="00E913B1"/>
    <w:rsid w:val="00E92997"/>
    <w:rsid w:val="00EA0422"/>
    <w:rsid w:val="00EA4104"/>
    <w:rsid w:val="00EA5DFD"/>
    <w:rsid w:val="00EB4AE1"/>
    <w:rsid w:val="00EC575C"/>
    <w:rsid w:val="00ED49C5"/>
    <w:rsid w:val="00ED6F5F"/>
    <w:rsid w:val="00EE765E"/>
    <w:rsid w:val="00F049E0"/>
    <w:rsid w:val="00F0699D"/>
    <w:rsid w:val="00F07501"/>
    <w:rsid w:val="00F22140"/>
    <w:rsid w:val="00F34120"/>
    <w:rsid w:val="00F365C1"/>
    <w:rsid w:val="00F42F1E"/>
    <w:rsid w:val="00F5113C"/>
    <w:rsid w:val="00F5178F"/>
    <w:rsid w:val="00F521F0"/>
    <w:rsid w:val="00F61B4E"/>
    <w:rsid w:val="00F71006"/>
    <w:rsid w:val="00F7304C"/>
    <w:rsid w:val="00F805AC"/>
    <w:rsid w:val="00F86199"/>
    <w:rsid w:val="00FD19CC"/>
    <w:rsid w:val="00FD6FD5"/>
    <w:rsid w:val="00FE00D4"/>
    <w:rsid w:val="00FE02DB"/>
    <w:rsid w:val="00FF3755"/>
    <w:rsid w:val="056E27A9"/>
    <w:rsid w:val="0600140B"/>
    <w:rsid w:val="07393E5A"/>
    <w:rsid w:val="0B4B3BFA"/>
    <w:rsid w:val="0DC17049"/>
    <w:rsid w:val="0F6F6DAF"/>
    <w:rsid w:val="12F928B1"/>
    <w:rsid w:val="131D52B1"/>
    <w:rsid w:val="15053D42"/>
    <w:rsid w:val="177F3097"/>
    <w:rsid w:val="1B5F75EE"/>
    <w:rsid w:val="1B920E49"/>
    <w:rsid w:val="1C3558F5"/>
    <w:rsid w:val="1CC15A5C"/>
    <w:rsid w:val="1DED7378"/>
    <w:rsid w:val="21082604"/>
    <w:rsid w:val="2B601AE3"/>
    <w:rsid w:val="2E073C7C"/>
    <w:rsid w:val="2F257BE7"/>
    <w:rsid w:val="2F61663D"/>
    <w:rsid w:val="35BC1034"/>
    <w:rsid w:val="38473875"/>
    <w:rsid w:val="399A19A4"/>
    <w:rsid w:val="3BDD5182"/>
    <w:rsid w:val="3C951D42"/>
    <w:rsid w:val="3EFE5599"/>
    <w:rsid w:val="41A61DAC"/>
    <w:rsid w:val="44B33AEF"/>
    <w:rsid w:val="461C5C32"/>
    <w:rsid w:val="46CE0F37"/>
    <w:rsid w:val="4971160B"/>
    <w:rsid w:val="4AFB66BF"/>
    <w:rsid w:val="4B4A4715"/>
    <w:rsid w:val="4C8D0224"/>
    <w:rsid w:val="4CE15469"/>
    <w:rsid w:val="4CE4139D"/>
    <w:rsid w:val="4E4B5964"/>
    <w:rsid w:val="4FAD06AA"/>
    <w:rsid w:val="52213FE4"/>
    <w:rsid w:val="57F44E60"/>
    <w:rsid w:val="5AC53C61"/>
    <w:rsid w:val="5C0037B5"/>
    <w:rsid w:val="5F3C3F49"/>
    <w:rsid w:val="636661E7"/>
    <w:rsid w:val="67671600"/>
    <w:rsid w:val="67FE782C"/>
    <w:rsid w:val="6EDD36E8"/>
    <w:rsid w:val="6F7F4EF6"/>
    <w:rsid w:val="70DE2B85"/>
    <w:rsid w:val="754E28F2"/>
    <w:rsid w:val="76C60E95"/>
    <w:rsid w:val="78FA4387"/>
    <w:rsid w:val="79F652D5"/>
    <w:rsid w:val="7A33145A"/>
    <w:rsid w:val="7ABF3506"/>
    <w:rsid w:val="7C2F000D"/>
    <w:rsid w:val="7FAD74BE"/>
    <w:rsid w:val="97BBAFD8"/>
    <w:rsid w:val="BCA37808"/>
    <w:rsid w:val="EDEFB6E2"/>
    <w:rsid w:val="F3E510D2"/>
    <w:rsid w:val="F3FCC918"/>
    <w:rsid w:val="F7B99D8A"/>
    <w:rsid w:val="FBFD707C"/>
    <w:rsid w:val="FFFB34CE"/>
    <w:rsid w:val="FFFF7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9"/>
    <w:pPr>
      <w:keepNext/>
      <w:keepLines/>
      <w:spacing w:before="340" w:after="330" w:line="578" w:lineRule="auto"/>
      <w:jc w:val="center"/>
      <w:outlineLvl w:val="0"/>
    </w:pPr>
    <w:rPr>
      <w:rFonts w:eastAsia="仿宋"/>
      <w:b/>
      <w:bCs/>
      <w:kern w:val="44"/>
      <w:sz w:val="44"/>
      <w:szCs w:val="44"/>
    </w:rPr>
  </w:style>
  <w:style w:type="paragraph" w:styleId="5">
    <w:name w:val="heading 2"/>
    <w:basedOn w:val="1"/>
    <w:next w:val="1"/>
    <w:link w:val="39"/>
    <w:qFormat/>
    <w:uiPriority w:val="0"/>
    <w:pPr>
      <w:keepNext/>
      <w:keepLines/>
      <w:spacing w:before="260" w:after="260" w:line="416" w:lineRule="auto"/>
      <w:outlineLvl w:val="1"/>
    </w:pPr>
    <w:rPr>
      <w:rFonts w:ascii="Cambria" w:hAnsi="Cambria"/>
      <w:b/>
      <w:bCs/>
      <w:sz w:val="32"/>
      <w:szCs w:val="32"/>
    </w:rPr>
  </w:style>
  <w:style w:type="paragraph" w:styleId="6">
    <w:name w:val="heading 4"/>
    <w:basedOn w:val="1"/>
    <w:next w:val="1"/>
    <w:link w:val="40"/>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7">
    <w:name w:val="heading 5"/>
    <w:basedOn w:val="1"/>
    <w:next w:val="8"/>
    <w:link w:val="41"/>
    <w:qFormat/>
    <w:uiPriority w:val="9"/>
    <w:pPr>
      <w:keepNext/>
      <w:keepLines/>
      <w:spacing w:before="280" w:after="290" w:line="376" w:lineRule="auto"/>
      <w:outlineLvl w:val="4"/>
    </w:pPr>
    <w:rPr>
      <w:b/>
      <w:bCs/>
      <w:sz w:val="28"/>
      <w:szCs w:val="28"/>
    </w:rPr>
  </w:style>
  <w:style w:type="paragraph" w:styleId="9">
    <w:name w:val="heading 7"/>
    <w:basedOn w:val="1"/>
    <w:next w:val="1"/>
    <w:link w:val="42"/>
    <w:qFormat/>
    <w:uiPriority w:val="0"/>
    <w:pPr>
      <w:keepNext/>
      <w:keepLines/>
      <w:spacing w:before="240" w:after="64" w:line="320" w:lineRule="auto"/>
      <w:outlineLvl w:val="6"/>
    </w:pPr>
    <w:rPr>
      <w:b/>
      <w:bCs/>
      <w:sz w:val="24"/>
    </w:rPr>
  </w:style>
  <w:style w:type="paragraph" w:styleId="10">
    <w:name w:val="heading 8"/>
    <w:basedOn w:val="1"/>
    <w:next w:val="1"/>
    <w:link w:val="43"/>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qFormat/>
    <w:uiPriority w:val="99"/>
    <w:pPr>
      <w:ind w:firstLine="420" w:firstLineChars="200"/>
    </w:pPr>
    <w:rPr>
      <w:rFonts w:ascii="宋体" w:hAnsi="Courier New"/>
      <w:spacing w:val="-4"/>
      <w:sz w:val="18"/>
    </w:rPr>
  </w:style>
  <w:style w:type="paragraph" w:styleId="3">
    <w:name w:val="Body Text Indent"/>
    <w:basedOn w:val="1"/>
    <w:next w:val="2"/>
    <w:link w:val="50"/>
    <w:qFormat/>
    <w:uiPriority w:val="0"/>
    <w:pPr>
      <w:ind w:firstLine="830" w:firstLineChars="352"/>
    </w:pPr>
    <w:rPr>
      <w:rFonts w:ascii="仿宋_GB2312" w:eastAsia="仿宋_GB2312"/>
      <w:kern w:val="0"/>
      <w:sz w:val="32"/>
      <w:szCs w:val="20"/>
    </w:rPr>
  </w:style>
  <w:style w:type="paragraph" w:styleId="8">
    <w:name w:val="Normal Indent"/>
    <w:basedOn w:val="1"/>
    <w:qFormat/>
    <w:uiPriority w:val="0"/>
    <w:pPr>
      <w:ind w:firstLine="420"/>
    </w:pPr>
    <w:rPr>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48"/>
    <w:qFormat/>
    <w:uiPriority w:val="0"/>
    <w:pPr>
      <w:jc w:val="left"/>
    </w:pPr>
  </w:style>
  <w:style w:type="paragraph" w:styleId="14">
    <w:name w:val="Body Text 3"/>
    <w:basedOn w:val="1"/>
    <w:link w:val="49"/>
    <w:unhideWhenUsed/>
    <w:qFormat/>
    <w:uiPriority w:val="99"/>
    <w:pPr>
      <w:spacing w:after="120"/>
    </w:pPr>
    <w:rPr>
      <w:sz w:val="16"/>
      <w:szCs w:val="16"/>
    </w:rPr>
  </w:style>
  <w:style w:type="paragraph" w:styleId="15">
    <w:name w:val="Body Text"/>
    <w:basedOn w:val="1"/>
    <w:next w:val="16"/>
    <w:link w:val="45"/>
    <w:unhideWhenUsed/>
    <w:qFormat/>
    <w:uiPriority w:val="0"/>
    <w:pPr>
      <w:spacing w:after="120"/>
    </w:pPr>
  </w:style>
  <w:style w:type="paragraph" w:styleId="16">
    <w:name w:val="Title"/>
    <w:basedOn w:val="1"/>
    <w:next w:val="1"/>
    <w:link w:val="46"/>
    <w:qFormat/>
    <w:uiPriority w:val="0"/>
    <w:pPr>
      <w:spacing w:before="240" w:after="60"/>
      <w:jc w:val="center"/>
      <w:outlineLvl w:val="0"/>
    </w:pPr>
    <w:rPr>
      <w:rFonts w:ascii="Arial" w:hAnsi="Arial" w:cs="Arial"/>
      <w:b/>
      <w:bCs/>
      <w:sz w:val="32"/>
      <w:szCs w:val="32"/>
    </w:rPr>
  </w:style>
  <w:style w:type="paragraph" w:styleId="17">
    <w:name w:val="List 2"/>
    <w:basedOn w:val="1"/>
    <w:unhideWhenUsed/>
    <w:qFormat/>
    <w:uiPriority w:val="99"/>
    <w:pPr>
      <w:ind w:left="100" w:leftChars="200" w:hanging="200" w:hangingChars="200"/>
      <w:contextualSpacing/>
    </w:pPr>
  </w:style>
  <w:style w:type="paragraph" w:styleId="18">
    <w:name w:val="Plain Text"/>
    <w:basedOn w:val="1"/>
    <w:next w:val="1"/>
    <w:link w:val="52"/>
    <w:qFormat/>
    <w:uiPriority w:val="0"/>
    <w:rPr>
      <w:rFonts w:ascii="宋体" w:hAnsi="Courier New"/>
      <w:kern w:val="0"/>
      <w:sz w:val="20"/>
      <w:szCs w:val="21"/>
    </w:rPr>
  </w:style>
  <w:style w:type="paragraph" w:styleId="19">
    <w:name w:val="Date"/>
    <w:basedOn w:val="1"/>
    <w:next w:val="1"/>
    <w:link w:val="53"/>
    <w:unhideWhenUsed/>
    <w:qFormat/>
    <w:uiPriority w:val="99"/>
    <w:pPr>
      <w:ind w:left="100" w:leftChars="2500"/>
    </w:pPr>
  </w:style>
  <w:style w:type="paragraph" w:styleId="20">
    <w:name w:val="Body Text Indent 2"/>
    <w:basedOn w:val="1"/>
    <w:link w:val="84"/>
    <w:semiHidden/>
    <w:unhideWhenUsed/>
    <w:qFormat/>
    <w:uiPriority w:val="99"/>
    <w:pPr>
      <w:spacing w:after="120" w:line="480" w:lineRule="auto"/>
      <w:ind w:left="420" w:leftChars="200"/>
    </w:pPr>
  </w:style>
  <w:style w:type="paragraph" w:styleId="21">
    <w:name w:val="Balloon Text"/>
    <w:basedOn w:val="1"/>
    <w:link w:val="54"/>
    <w:semiHidden/>
    <w:qFormat/>
    <w:uiPriority w:val="0"/>
    <w:rPr>
      <w:sz w:val="18"/>
      <w:szCs w:val="18"/>
    </w:rPr>
  </w:style>
  <w:style w:type="paragraph" w:styleId="22">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3">
    <w:name w:val="header"/>
    <w:basedOn w:val="1"/>
    <w:link w:val="3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4">
    <w:name w:val="toc 1"/>
    <w:basedOn w:val="1"/>
    <w:next w:val="1"/>
    <w:unhideWhenUsed/>
    <w:qFormat/>
    <w:uiPriority w:val="39"/>
  </w:style>
  <w:style w:type="paragraph" w:styleId="25">
    <w:name w:val="footnote text"/>
    <w:basedOn w:val="1"/>
    <w:link w:val="83"/>
    <w:unhideWhenUsed/>
    <w:qFormat/>
    <w:uiPriority w:val="99"/>
    <w:pPr>
      <w:snapToGrid w:val="0"/>
      <w:jc w:val="left"/>
    </w:pPr>
    <w:rPr>
      <w:sz w:val="18"/>
      <w:szCs w:val="18"/>
    </w:r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annotation subject"/>
    <w:basedOn w:val="13"/>
    <w:next w:val="13"/>
    <w:link w:val="55"/>
    <w:qFormat/>
    <w:uiPriority w:val="99"/>
    <w:rPr>
      <w:b/>
      <w:bCs/>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22"/>
    <w:rPr>
      <w:b/>
    </w:rPr>
  </w:style>
  <w:style w:type="character" w:styleId="33">
    <w:name w:val="endnote reference"/>
    <w:unhideWhenUsed/>
    <w:qFormat/>
    <w:uiPriority w:val="99"/>
    <w:rPr>
      <w:vertAlign w:val="superscript"/>
    </w:rPr>
  </w:style>
  <w:style w:type="character" w:styleId="34">
    <w:name w:val="Hyperlink"/>
    <w:unhideWhenUsed/>
    <w:qFormat/>
    <w:uiPriority w:val="99"/>
    <w:rPr>
      <w:color w:val="0000FF"/>
      <w:u w:val="single"/>
    </w:rPr>
  </w:style>
  <w:style w:type="character" w:styleId="35">
    <w:name w:val="annotation reference"/>
    <w:qFormat/>
    <w:uiPriority w:val="0"/>
    <w:rPr>
      <w:sz w:val="21"/>
      <w:szCs w:val="21"/>
    </w:rPr>
  </w:style>
  <w:style w:type="character" w:customStyle="1" w:styleId="36">
    <w:name w:val="页眉 字符"/>
    <w:basedOn w:val="31"/>
    <w:link w:val="23"/>
    <w:qFormat/>
    <w:uiPriority w:val="99"/>
    <w:rPr>
      <w:sz w:val="18"/>
      <w:szCs w:val="18"/>
    </w:rPr>
  </w:style>
  <w:style w:type="character" w:customStyle="1" w:styleId="37">
    <w:name w:val="页脚 字符"/>
    <w:basedOn w:val="31"/>
    <w:link w:val="22"/>
    <w:qFormat/>
    <w:uiPriority w:val="99"/>
    <w:rPr>
      <w:sz w:val="18"/>
      <w:szCs w:val="18"/>
    </w:rPr>
  </w:style>
  <w:style w:type="character" w:customStyle="1" w:styleId="38">
    <w:name w:val="标题 1 字符"/>
    <w:basedOn w:val="31"/>
    <w:link w:val="4"/>
    <w:qFormat/>
    <w:uiPriority w:val="9"/>
    <w:rPr>
      <w:rFonts w:ascii="Times New Roman" w:hAnsi="Times New Roman" w:eastAsia="仿宋" w:cs="Times New Roman"/>
      <w:b/>
      <w:bCs/>
      <w:kern w:val="44"/>
      <w:sz w:val="44"/>
      <w:szCs w:val="44"/>
    </w:rPr>
  </w:style>
  <w:style w:type="character" w:customStyle="1" w:styleId="39">
    <w:name w:val="标题 2 字符"/>
    <w:basedOn w:val="31"/>
    <w:link w:val="5"/>
    <w:qFormat/>
    <w:uiPriority w:val="0"/>
    <w:rPr>
      <w:rFonts w:ascii="Cambria" w:hAnsi="Cambria" w:eastAsia="宋体" w:cs="Times New Roman"/>
      <w:b/>
      <w:bCs/>
      <w:sz w:val="32"/>
      <w:szCs w:val="32"/>
    </w:rPr>
  </w:style>
  <w:style w:type="character" w:customStyle="1" w:styleId="40">
    <w:name w:val="标题 4 字符"/>
    <w:basedOn w:val="31"/>
    <w:link w:val="6"/>
    <w:qFormat/>
    <w:uiPriority w:val="0"/>
    <w:rPr>
      <w:rFonts w:ascii="Arial" w:hAnsi="Times New Roman" w:eastAsia="黑体" w:cs="Times New Roman"/>
      <w:kern w:val="0"/>
      <w:sz w:val="28"/>
      <w:szCs w:val="20"/>
    </w:rPr>
  </w:style>
  <w:style w:type="character" w:customStyle="1" w:styleId="41">
    <w:name w:val="标题 5 字符"/>
    <w:basedOn w:val="31"/>
    <w:link w:val="7"/>
    <w:qFormat/>
    <w:uiPriority w:val="9"/>
    <w:rPr>
      <w:rFonts w:ascii="Times New Roman" w:hAnsi="Times New Roman" w:eastAsia="宋体" w:cs="Times New Roman"/>
      <w:b/>
      <w:bCs/>
      <w:sz w:val="28"/>
      <w:szCs w:val="28"/>
    </w:rPr>
  </w:style>
  <w:style w:type="character" w:customStyle="1" w:styleId="42">
    <w:name w:val="标题 7 字符"/>
    <w:basedOn w:val="31"/>
    <w:link w:val="9"/>
    <w:qFormat/>
    <w:uiPriority w:val="0"/>
    <w:rPr>
      <w:rFonts w:ascii="Times New Roman" w:hAnsi="Times New Roman" w:eastAsia="宋体" w:cs="Times New Roman"/>
      <w:b/>
      <w:bCs/>
      <w:sz w:val="24"/>
      <w:szCs w:val="24"/>
    </w:rPr>
  </w:style>
  <w:style w:type="character" w:customStyle="1" w:styleId="43">
    <w:name w:val="标题 8 字符"/>
    <w:basedOn w:val="31"/>
    <w:link w:val="10"/>
    <w:qFormat/>
    <w:uiPriority w:val="9"/>
    <w:rPr>
      <w:rFonts w:ascii="等线 Light" w:hAnsi="等线 Light" w:eastAsia="等线 Light" w:cs="Times New Roman"/>
      <w:sz w:val="24"/>
      <w:szCs w:val="24"/>
    </w:rPr>
  </w:style>
  <w:style w:type="character" w:customStyle="1" w:styleId="44">
    <w:name w:val="正文文本 字符"/>
    <w:basedOn w:val="31"/>
    <w:qFormat/>
    <w:uiPriority w:val="0"/>
    <w:rPr>
      <w:rFonts w:ascii="Times New Roman" w:hAnsi="Times New Roman" w:eastAsia="宋体" w:cs="Times New Roman"/>
      <w:szCs w:val="24"/>
    </w:rPr>
  </w:style>
  <w:style w:type="character" w:customStyle="1" w:styleId="45">
    <w:name w:val="正文文本 字符1"/>
    <w:link w:val="15"/>
    <w:qFormat/>
    <w:uiPriority w:val="0"/>
    <w:rPr>
      <w:rFonts w:ascii="Times New Roman" w:hAnsi="Times New Roman" w:eastAsia="宋体" w:cs="Times New Roman"/>
      <w:szCs w:val="24"/>
    </w:rPr>
  </w:style>
  <w:style w:type="character" w:customStyle="1" w:styleId="46">
    <w:name w:val="标题 字符"/>
    <w:basedOn w:val="31"/>
    <w:link w:val="16"/>
    <w:qFormat/>
    <w:uiPriority w:val="0"/>
    <w:rPr>
      <w:rFonts w:ascii="Arial" w:hAnsi="Arial" w:eastAsia="宋体" w:cs="Arial"/>
      <w:b/>
      <w:bCs/>
      <w:sz w:val="32"/>
      <w:szCs w:val="32"/>
    </w:rPr>
  </w:style>
  <w:style w:type="character" w:customStyle="1" w:styleId="47">
    <w:name w:val="批注文字 字符"/>
    <w:basedOn w:val="31"/>
    <w:qFormat/>
    <w:uiPriority w:val="0"/>
    <w:rPr>
      <w:rFonts w:ascii="Times New Roman" w:hAnsi="Times New Roman" w:eastAsia="宋体" w:cs="Times New Roman"/>
      <w:szCs w:val="24"/>
    </w:rPr>
  </w:style>
  <w:style w:type="character" w:customStyle="1" w:styleId="48">
    <w:name w:val="批注文字 字符2"/>
    <w:link w:val="13"/>
    <w:qFormat/>
    <w:uiPriority w:val="0"/>
    <w:rPr>
      <w:rFonts w:ascii="Times New Roman" w:hAnsi="Times New Roman" w:eastAsia="宋体" w:cs="Times New Roman"/>
      <w:szCs w:val="24"/>
    </w:rPr>
  </w:style>
  <w:style w:type="character" w:customStyle="1" w:styleId="49">
    <w:name w:val="正文文本 3 字符"/>
    <w:basedOn w:val="31"/>
    <w:link w:val="14"/>
    <w:qFormat/>
    <w:uiPriority w:val="99"/>
    <w:rPr>
      <w:rFonts w:ascii="Times New Roman" w:hAnsi="Times New Roman" w:eastAsia="宋体" w:cs="Times New Roman"/>
      <w:sz w:val="16"/>
      <w:szCs w:val="16"/>
    </w:rPr>
  </w:style>
  <w:style w:type="character" w:customStyle="1" w:styleId="50">
    <w:name w:val="正文文本缩进 字符"/>
    <w:basedOn w:val="31"/>
    <w:link w:val="3"/>
    <w:qFormat/>
    <w:uiPriority w:val="0"/>
    <w:rPr>
      <w:rFonts w:ascii="仿宋_GB2312" w:hAnsi="Times New Roman" w:eastAsia="仿宋_GB2312" w:cs="Times New Roman"/>
      <w:kern w:val="0"/>
      <w:sz w:val="32"/>
      <w:szCs w:val="20"/>
    </w:rPr>
  </w:style>
  <w:style w:type="character" w:customStyle="1" w:styleId="51">
    <w:name w:val="纯文本 字符"/>
    <w:basedOn w:val="31"/>
    <w:qFormat/>
    <w:uiPriority w:val="0"/>
    <w:rPr>
      <w:rFonts w:hAnsi="Courier New" w:cs="Courier New" w:asciiTheme="minorEastAsia"/>
      <w:szCs w:val="24"/>
    </w:rPr>
  </w:style>
  <w:style w:type="character" w:customStyle="1" w:styleId="52">
    <w:name w:val="纯文本 字符3"/>
    <w:link w:val="18"/>
    <w:qFormat/>
    <w:uiPriority w:val="0"/>
    <w:rPr>
      <w:rFonts w:ascii="宋体" w:hAnsi="Courier New" w:eastAsia="宋体" w:cs="Times New Roman"/>
      <w:kern w:val="0"/>
      <w:sz w:val="20"/>
      <w:szCs w:val="21"/>
    </w:rPr>
  </w:style>
  <w:style w:type="character" w:customStyle="1" w:styleId="53">
    <w:name w:val="日期 字符"/>
    <w:basedOn w:val="31"/>
    <w:link w:val="19"/>
    <w:qFormat/>
    <w:uiPriority w:val="99"/>
    <w:rPr>
      <w:rFonts w:ascii="Times New Roman" w:hAnsi="Times New Roman" w:eastAsia="宋体" w:cs="Times New Roman"/>
      <w:szCs w:val="24"/>
    </w:rPr>
  </w:style>
  <w:style w:type="character" w:customStyle="1" w:styleId="54">
    <w:name w:val="批注框文本 字符"/>
    <w:basedOn w:val="31"/>
    <w:link w:val="21"/>
    <w:semiHidden/>
    <w:qFormat/>
    <w:uiPriority w:val="0"/>
    <w:rPr>
      <w:rFonts w:ascii="Times New Roman" w:hAnsi="Times New Roman" w:eastAsia="宋体" w:cs="Times New Roman"/>
      <w:sz w:val="18"/>
      <w:szCs w:val="18"/>
    </w:rPr>
  </w:style>
  <w:style w:type="character" w:customStyle="1" w:styleId="55">
    <w:name w:val="批注主题 字符"/>
    <w:basedOn w:val="47"/>
    <w:link w:val="28"/>
    <w:qFormat/>
    <w:uiPriority w:val="99"/>
    <w:rPr>
      <w:rFonts w:ascii="Times New Roman" w:hAnsi="Times New Roman" w:eastAsia="宋体" w:cs="Times New Roman"/>
      <w:b/>
      <w:bCs/>
      <w:szCs w:val="24"/>
    </w:rPr>
  </w:style>
  <w:style w:type="character" w:customStyle="1" w:styleId="56">
    <w:name w:val="正文文本首行缩进 2 字符"/>
    <w:basedOn w:val="50"/>
    <w:link w:val="2"/>
    <w:qFormat/>
    <w:uiPriority w:val="99"/>
    <w:rPr>
      <w:rFonts w:ascii="宋体" w:hAnsi="Courier New" w:eastAsia="仿宋_GB2312" w:cs="Times New Roman"/>
      <w:spacing w:val="-4"/>
      <w:kern w:val="0"/>
      <w:sz w:val="18"/>
      <w:szCs w:val="20"/>
    </w:rPr>
  </w:style>
  <w:style w:type="character" w:customStyle="1" w:styleId="57">
    <w:name w:val="纯文本 字符1"/>
    <w:qFormat/>
    <w:uiPriority w:val="0"/>
    <w:rPr>
      <w:rFonts w:ascii="宋体" w:hAnsi="Courier New"/>
    </w:rPr>
  </w:style>
  <w:style w:type="character" w:customStyle="1" w:styleId="58">
    <w:name w:val="正文文本 Char"/>
    <w:qFormat/>
    <w:uiPriority w:val="0"/>
    <w:rPr>
      <w:rFonts w:ascii="Times New Roman" w:hAnsi="Times New Roman"/>
      <w:kern w:val="2"/>
      <w:sz w:val="21"/>
      <w:szCs w:val="24"/>
    </w:rPr>
  </w:style>
  <w:style w:type="character" w:customStyle="1" w:styleId="59">
    <w:name w:val="纯文本 字符2"/>
    <w:qFormat/>
    <w:uiPriority w:val="0"/>
    <w:rPr>
      <w:rFonts w:ascii="宋体" w:hAnsi="Courier New" w:eastAsia="宋体" w:cs="Courier New"/>
      <w:szCs w:val="21"/>
    </w:rPr>
  </w:style>
  <w:style w:type="character" w:customStyle="1" w:styleId="60">
    <w:name w:val="apple-style-span"/>
    <w:qFormat/>
    <w:uiPriority w:val="0"/>
  </w:style>
  <w:style w:type="character" w:customStyle="1" w:styleId="61">
    <w:name w:val="批注文字 Char"/>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textcontents"/>
    <w:qFormat/>
    <w:uiPriority w:val="0"/>
  </w:style>
  <w:style w:type="character" w:customStyle="1" w:styleId="64">
    <w:name w:val="标题 1 字符1"/>
    <w:qFormat/>
    <w:uiPriority w:val="0"/>
    <w:rPr>
      <w:b/>
      <w:bCs/>
      <w:kern w:val="44"/>
      <w:sz w:val="44"/>
      <w:szCs w:val="44"/>
    </w:rPr>
  </w:style>
  <w:style w:type="character" w:customStyle="1" w:styleId="65">
    <w:name w:val="批注文字 Char2"/>
    <w:qFormat/>
    <w:uiPriority w:val="0"/>
    <w:rPr>
      <w:rFonts w:ascii="Times New Roman" w:hAnsi="Times New Roman"/>
      <w:kern w:val="2"/>
      <w:sz w:val="21"/>
      <w:szCs w:val="24"/>
    </w:rPr>
  </w:style>
  <w:style w:type="character" w:customStyle="1" w:styleId="66">
    <w:name w:val="标题 2 Char"/>
    <w:qFormat/>
    <w:uiPriority w:val="0"/>
    <w:rPr>
      <w:rFonts w:ascii="Cambria" w:hAnsi="Cambria" w:eastAsia="宋体" w:cs="Times New Roman"/>
      <w:b/>
      <w:bCs/>
      <w:kern w:val="2"/>
      <w:sz w:val="32"/>
      <w:szCs w:val="32"/>
    </w:rPr>
  </w:style>
  <w:style w:type="character" w:customStyle="1" w:styleId="67">
    <w:name w:val="纯文本 Char"/>
    <w:qFormat/>
    <w:uiPriority w:val="0"/>
    <w:rPr>
      <w:rFonts w:ascii="宋体" w:hAnsi="Courier New" w:eastAsia="宋体" w:cs="Courier New"/>
      <w:szCs w:val="21"/>
    </w:rPr>
  </w:style>
  <w:style w:type="character" w:customStyle="1" w:styleId="68">
    <w:name w:val="标题 8 Char"/>
    <w:qFormat/>
    <w:uiPriority w:val="0"/>
    <w:rPr>
      <w:rFonts w:ascii="Arial" w:hAnsi="Arial" w:eastAsia="黑体"/>
      <w:kern w:val="2"/>
      <w:sz w:val="24"/>
      <w:szCs w:val="24"/>
    </w:rPr>
  </w:style>
  <w:style w:type="character" w:customStyle="1" w:styleId="69">
    <w:name w:val="font51"/>
    <w:qFormat/>
    <w:uiPriority w:val="0"/>
    <w:rPr>
      <w:rFonts w:hint="default" w:ascii="Times New Roman" w:hAnsi="Times New Roman" w:cs="Times New Roman"/>
      <w:b/>
      <w:color w:val="000000"/>
      <w:sz w:val="18"/>
      <w:szCs w:val="18"/>
      <w:u w:val="none"/>
    </w:rPr>
  </w:style>
  <w:style w:type="character" w:customStyle="1" w:styleId="70">
    <w:name w:val="批注文字 字符1"/>
    <w:qFormat/>
    <w:uiPriority w:val="0"/>
    <w:rPr>
      <w:rFonts w:ascii="Times New Roman" w:hAnsi="Times New Roman"/>
      <w:kern w:val="2"/>
      <w:sz w:val="21"/>
      <w:szCs w:val="24"/>
    </w:r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2">
    <w:name w:val="List Paragraph"/>
    <w:basedOn w:val="1"/>
    <w:qFormat/>
    <w:uiPriority w:val="34"/>
    <w:pPr>
      <w:ind w:firstLine="420" w:firstLineChars="200"/>
    </w:pPr>
  </w:style>
  <w:style w:type="paragraph" w:customStyle="1" w:styleId="7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4">
    <w:name w:val="Title1"/>
    <w:basedOn w:val="1"/>
    <w:next w:val="1"/>
    <w:qFormat/>
    <w:uiPriority w:val="0"/>
    <w:pPr>
      <w:jc w:val="center"/>
      <w:outlineLvl w:val="0"/>
    </w:pPr>
    <w:rPr>
      <w:rFonts w:ascii="Calibri Light" w:hAnsi="Calibri Light" w:eastAsia="Arial Unicode MS"/>
      <w:b/>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paragraph" w:customStyle="1" w:styleId="76">
    <w:name w:val="样式 0正文 + 首行缩进:  2 字符1"/>
    <w:basedOn w:val="1"/>
    <w:qFormat/>
    <w:uiPriority w:val="99"/>
    <w:pPr>
      <w:spacing w:line="360" w:lineRule="auto"/>
      <w:ind w:firstLine="200" w:firstLineChars="200"/>
    </w:pPr>
    <w:rPr>
      <w:szCs w:val="20"/>
    </w:rPr>
  </w:style>
  <w:style w:type="paragraph" w:customStyle="1" w:styleId="77">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Table Paragraph"/>
    <w:basedOn w:val="1"/>
    <w:qFormat/>
    <w:uiPriority w:val="1"/>
    <w:pPr>
      <w:jc w:val="left"/>
    </w:pPr>
    <w:rPr>
      <w:rFonts w:ascii="Calibri" w:hAnsi="Calibri"/>
      <w:kern w:val="0"/>
      <w:sz w:val="22"/>
      <w:szCs w:val="22"/>
      <w:lang w:eastAsia="en-US"/>
    </w:rPr>
  </w:style>
  <w:style w:type="paragraph" w:customStyle="1" w:styleId="79">
    <w:name w:val="正文-公11"/>
    <w:basedOn w:val="1"/>
    <w:qFormat/>
    <w:uiPriority w:val="0"/>
    <w:pPr>
      <w:ind w:firstLine="200" w:firstLineChars="200"/>
      <w:jc w:val="left"/>
    </w:pPr>
    <w:rPr>
      <w:rFonts w:eastAsia="仿宋_GB2312"/>
    </w:rPr>
  </w:style>
  <w:style w:type="paragraph" w:customStyle="1" w:styleId="80">
    <w:name w:val="my正文"/>
    <w:basedOn w:val="1"/>
    <w:link w:val="81"/>
    <w:qFormat/>
    <w:uiPriority w:val="0"/>
    <w:pPr>
      <w:spacing w:line="360" w:lineRule="auto"/>
      <w:ind w:firstLine="480" w:firstLineChars="200"/>
    </w:pPr>
    <w:rPr>
      <w:sz w:val="24"/>
      <w:lang w:val="zh-CN"/>
    </w:rPr>
  </w:style>
  <w:style w:type="character" w:customStyle="1" w:styleId="81">
    <w:name w:val="my正文 Char"/>
    <w:link w:val="80"/>
    <w:qFormat/>
    <w:uiPriority w:val="0"/>
    <w:rPr>
      <w:rFonts w:ascii="Times New Roman" w:hAnsi="Times New Roman" w:eastAsia="宋体" w:cs="Times New Roman"/>
      <w:sz w:val="24"/>
      <w:szCs w:val="24"/>
      <w:lang w:val="zh-CN"/>
    </w:rPr>
  </w:style>
  <w:style w:type="character" w:customStyle="1" w:styleId="82">
    <w:name w:val="纯文本 Char2"/>
    <w:qFormat/>
    <w:uiPriority w:val="0"/>
    <w:rPr>
      <w:rFonts w:ascii="宋体" w:hAnsi="Courier New" w:eastAsia="宋体" w:cs="Courier New"/>
      <w:szCs w:val="21"/>
    </w:rPr>
  </w:style>
  <w:style w:type="character" w:customStyle="1" w:styleId="83">
    <w:name w:val="脚注文本 字符"/>
    <w:basedOn w:val="31"/>
    <w:link w:val="25"/>
    <w:qFormat/>
    <w:uiPriority w:val="99"/>
    <w:rPr>
      <w:rFonts w:ascii="Times New Roman" w:hAnsi="Times New Roman" w:eastAsia="宋体" w:cs="Times New Roman"/>
      <w:sz w:val="18"/>
      <w:szCs w:val="18"/>
    </w:rPr>
  </w:style>
  <w:style w:type="character" w:customStyle="1" w:styleId="84">
    <w:name w:val="正文文本缩进 2 字符"/>
    <w:basedOn w:val="31"/>
    <w:link w:val="20"/>
    <w:semiHidden/>
    <w:qFormat/>
    <w:uiPriority w:val="99"/>
    <w:rPr>
      <w:rFonts w:ascii="Times New Roman" w:hAnsi="Times New Roman" w:eastAsia="宋体" w:cs="Times New Roman"/>
      <w:szCs w:val="24"/>
    </w:rPr>
  </w:style>
  <w:style w:type="paragraph" w:customStyle="1" w:styleId="8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29302</Words>
  <Characters>31241</Characters>
  <Lines>495</Lines>
  <Paragraphs>139</Paragraphs>
  <TotalTime>39</TotalTime>
  <ScaleCrop>false</ScaleCrop>
  <LinksUpToDate>false</LinksUpToDate>
  <CharactersWithSpaces>31443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2026-03-08T16:22:00Z</dcterms:created>
  <dc:creator>TSE James</dc:creator>
  <cp:lastModifiedBy>XX.</cp:lastModifiedBy>
  <dcterms:modified xsi:type="dcterms:W3CDTF">2026-03-20T09:04:31Z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eyJoZGlkIjoiYmNmNzU3YmEyNjk5NTFjZjE0NGQ0YTYwYTBlNDQ4NDAiLCJ1c2VySWQiOiI2NjExMjAxOTUifQ==</vt:lpwstr>
  </property>
  <property fmtid="{D5CDD505-2E9C-101B-9397-08002B2CF9AE}" pid="3" name="KSOProductBuildVer">
    <vt:lpwstr>2052-12.1.0.25225</vt:lpwstr>
  </property>
  <property fmtid="{D5CDD505-2E9C-101B-9397-08002B2CF9AE}" pid="4" name="ICV">
    <vt:lpwstr>BFB1E69D77774BF0B2ED1A4EBA805D55_13</vt:lpwstr>
  </property>
</Properties>
</file>