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4AA87">
      <w:pPr>
        <w:pStyle w:val="9"/>
        <w:jc w:val="center"/>
        <w:rPr>
          <w:rFonts w:hint="eastAsia" w:ascii="仿宋" w:hAnsi="仿宋" w:eastAsia="仿宋" w:cs="仿宋"/>
          <w:b/>
          <w:bCs/>
          <w:color w:val="auto"/>
          <w:spacing w:val="80"/>
          <w:sz w:val="64"/>
          <w:highlight w:val="none"/>
        </w:rPr>
      </w:pPr>
      <w:bookmarkStart w:id="0" w:name="_Toc7489"/>
      <w:r>
        <w:rPr>
          <w:rFonts w:hint="eastAsia" w:ascii="仿宋" w:hAnsi="仿宋" w:eastAsia="仿宋" w:cs="仿宋"/>
          <w:b/>
          <w:bCs/>
          <w:color w:val="auto"/>
          <w:spacing w:val="-16"/>
          <w:sz w:val="52"/>
          <w:szCs w:val="52"/>
          <w:highlight w:val="none"/>
          <w:lang w:eastAsia="zh-CN"/>
        </w:rPr>
        <w:drawing>
          <wp:anchor distT="0" distB="0" distL="114300" distR="114300" simplePos="0" relativeHeight="251660288" behindDoc="0" locked="0" layoutInCell="1" allowOverlap="1">
            <wp:simplePos x="0" y="0"/>
            <wp:positionH relativeFrom="column">
              <wp:posOffset>2693035</wp:posOffset>
            </wp:positionH>
            <wp:positionV relativeFrom="paragraph">
              <wp:posOffset>162560</wp:posOffset>
            </wp:positionV>
            <wp:extent cx="895350" cy="933450"/>
            <wp:effectExtent l="0" t="0" r="0" b="0"/>
            <wp:wrapTopAndBottom/>
            <wp:docPr id="2" name="图片 2" descr="1626856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6856339(1)"/>
                    <pic:cNvPicPr>
                      <a:picLocks noChangeAspect="1"/>
                    </pic:cNvPicPr>
                  </pic:nvPicPr>
                  <pic:blipFill>
                    <a:blip r:embed="rId5"/>
                    <a:stretch>
                      <a:fillRect/>
                    </a:stretch>
                  </pic:blipFill>
                  <pic:spPr>
                    <a:xfrm>
                      <a:off x="0" y="0"/>
                      <a:ext cx="895350" cy="933450"/>
                    </a:xfrm>
                    <a:prstGeom prst="rect">
                      <a:avLst/>
                    </a:prstGeom>
                    <a:noFill/>
                    <a:ln>
                      <a:noFill/>
                    </a:ln>
                  </pic:spPr>
                </pic:pic>
              </a:graphicData>
            </a:graphic>
          </wp:anchor>
        </w:drawing>
      </w:r>
    </w:p>
    <w:p w14:paraId="0A8656C1">
      <w:pPr>
        <w:pStyle w:val="9"/>
        <w:jc w:val="center"/>
        <w:outlineLvl w:val="0"/>
        <w:rPr>
          <w:rFonts w:hint="eastAsia" w:ascii="仿宋" w:hAnsi="仿宋" w:eastAsia="仿宋" w:cs="仿宋"/>
          <w:b/>
          <w:bCs/>
          <w:color w:val="auto"/>
          <w:spacing w:val="80"/>
          <w:sz w:val="60"/>
          <w:szCs w:val="60"/>
          <w:highlight w:val="none"/>
          <w:lang w:eastAsia="zh-CN"/>
        </w:rPr>
      </w:pPr>
      <w:bookmarkStart w:id="1" w:name="_Toc28239"/>
      <w:bookmarkStart w:id="2" w:name="_Toc22663"/>
      <w:r>
        <w:rPr>
          <w:rFonts w:hint="eastAsia" w:ascii="仿宋" w:hAnsi="仿宋" w:eastAsia="仿宋" w:cs="仿宋"/>
          <w:b/>
          <w:bCs/>
          <w:color w:val="auto"/>
          <w:spacing w:val="80"/>
          <w:sz w:val="60"/>
          <w:szCs w:val="60"/>
          <w:highlight w:val="none"/>
          <w:lang w:eastAsia="zh-CN"/>
        </w:rPr>
        <w:t>广西科文招标有限公司</w:t>
      </w:r>
      <w:bookmarkEnd w:id="1"/>
      <w:bookmarkEnd w:id="2"/>
    </w:p>
    <w:p w14:paraId="215D2F07">
      <w:pPr>
        <w:pStyle w:val="9"/>
        <w:jc w:val="center"/>
        <w:rPr>
          <w:rFonts w:hint="eastAsia" w:ascii="仿宋" w:hAnsi="仿宋" w:eastAsia="仿宋" w:cs="仿宋"/>
          <w:b/>
          <w:bCs/>
          <w:color w:val="auto"/>
          <w:spacing w:val="80"/>
          <w:sz w:val="72"/>
          <w:highlight w:val="none"/>
        </w:rPr>
      </w:pPr>
    </w:p>
    <w:p w14:paraId="573B7803">
      <w:pPr>
        <w:pStyle w:val="9"/>
        <w:jc w:val="center"/>
        <w:rPr>
          <w:rFonts w:hint="eastAsia" w:ascii="仿宋" w:hAnsi="仿宋" w:eastAsia="仿宋" w:cs="仿宋"/>
          <w:b/>
          <w:bCs/>
          <w:color w:val="auto"/>
          <w:sz w:val="72"/>
          <w:highlight w:val="none"/>
        </w:rPr>
      </w:pPr>
    </w:p>
    <w:p w14:paraId="57D8D7F4">
      <w:pPr>
        <w:pStyle w:val="9"/>
        <w:jc w:val="center"/>
        <w:rPr>
          <w:rFonts w:hint="eastAsia" w:ascii="仿宋" w:hAnsi="仿宋" w:eastAsia="仿宋" w:cs="仿宋"/>
          <w:color w:val="auto"/>
          <w:highlight w:val="none"/>
        </w:rPr>
      </w:pPr>
    </w:p>
    <w:p w14:paraId="13099B3D">
      <w:pPr>
        <w:spacing w:line="1400" w:lineRule="exact"/>
        <w:jc w:val="center"/>
        <w:rPr>
          <w:rFonts w:hint="eastAsia" w:ascii="仿宋" w:hAnsi="仿宋" w:eastAsia="仿宋" w:cs="仿宋"/>
          <w:b/>
          <w:color w:val="auto"/>
          <w:spacing w:val="60"/>
          <w:sz w:val="132"/>
          <w:szCs w:val="132"/>
          <w:highlight w:val="none"/>
        </w:rPr>
      </w:pPr>
      <w:r>
        <w:rPr>
          <w:rFonts w:hint="eastAsia" w:ascii="仿宋" w:hAnsi="仿宋" w:eastAsia="仿宋" w:cs="仿宋"/>
          <w:b/>
          <w:color w:val="auto"/>
          <w:spacing w:val="60"/>
          <w:sz w:val="132"/>
          <w:szCs w:val="132"/>
          <w:highlight w:val="none"/>
        </w:rPr>
        <w:t>招标文件</w:t>
      </w:r>
    </w:p>
    <w:p w14:paraId="21E0AF80">
      <w:pPr>
        <w:pStyle w:val="9"/>
        <w:rPr>
          <w:rFonts w:hint="eastAsia" w:ascii="仿宋" w:hAnsi="仿宋" w:eastAsia="仿宋" w:cs="仿宋"/>
          <w:color w:val="auto"/>
          <w:highlight w:val="none"/>
        </w:rPr>
      </w:pPr>
    </w:p>
    <w:p w14:paraId="78F49D27">
      <w:pPr>
        <w:pStyle w:val="9"/>
        <w:ind w:firstLine="3885" w:firstLineChars="1850"/>
        <w:rPr>
          <w:rFonts w:hint="eastAsia" w:ascii="仿宋" w:hAnsi="仿宋" w:eastAsia="仿宋" w:cs="仿宋"/>
          <w:color w:val="auto"/>
          <w:highlight w:val="none"/>
        </w:rPr>
      </w:pPr>
    </w:p>
    <w:p w14:paraId="1351FA8D">
      <w:pPr>
        <w:pStyle w:val="9"/>
        <w:rPr>
          <w:rFonts w:hint="eastAsia" w:ascii="仿宋" w:hAnsi="仿宋" w:eastAsia="仿宋" w:cs="仿宋"/>
          <w:color w:val="auto"/>
          <w:highlight w:val="none"/>
        </w:rPr>
      </w:pPr>
    </w:p>
    <w:p w14:paraId="50D3FACD">
      <w:pPr>
        <w:pStyle w:val="9"/>
        <w:rPr>
          <w:rFonts w:hint="eastAsia" w:ascii="仿宋" w:hAnsi="仿宋" w:eastAsia="仿宋" w:cs="仿宋"/>
          <w:color w:val="auto"/>
          <w:highlight w:val="none"/>
        </w:rPr>
      </w:pPr>
    </w:p>
    <w:p w14:paraId="0D900D9B">
      <w:pPr>
        <w:rPr>
          <w:rFonts w:hint="eastAsia" w:ascii="仿宋" w:hAnsi="仿宋" w:eastAsia="仿宋" w:cs="仿宋"/>
          <w:color w:val="auto"/>
          <w:highlight w:val="none"/>
        </w:rPr>
      </w:pPr>
    </w:p>
    <w:p w14:paraId="1E726556">
      <w:pPr>
        <w:rPr>
          <w:rFonts w:hint="eastAsia" w:ascii="仿宋" w:hAnsi="仿宋" w:eastAsia="仿宋" w:cs="仿宋"/>
          <w:b/>
          <w:bCs/>
          <w:color w:val="auto"/>
          <w:sz w:val="32"/>
          <w:highlight w:val="none"/>
        </w:rPr>
      </w:pPr>
    </w:p>
    <w:p w14:paraId="4FDAE979">
      <w:pPr>
        <w:ind w:firstLine="1605" w:firstLineChars="400"/>
        <w:jc w:val="left"/>
        <w:rPr>
          <w:rFonts w:hint="eastAsia" w:ascii="仿宋" w:hAnsi="仿宋" w:eastAsia="仿宋" w:cs="仿宋"/>
          <w:b/>
          <w:bCs/>
          <w:color w:val="auto"/>
          <w:sz w:val="32"/>
          <w:highlight w:val="none"/>
          <w:lang w:eastAsia="zh-CN"/>
        </w:rPr>
      </w:pPr>
      <w:r>
        <w:rPr>
          <w:rFonts w:hint="eastAsia" w:ascii="仿宋" w:hAnsi="仿宋" w:eastAsia="仿宋" w:cs="仿宋"/>
          <w:b/>
          <w:bCs/>
          <w:color w:val="auto"/>
          <w:spacing w:val="40"/>
          <w:sz w:val="32"/>
          <w:highlight w:val="none"/>
        </w:rPr>
        <w:t>项目名称：</w:t>
      </w:r>
      <w:r>
        <w:rPr>
          <w:rFonts w:hint="eastAsia" w:ascii="仿宋" w:hAnsi="仿宋" w:eastAsia="仿宋" w:cs="仿宋"/>
          <w:b/>
          <w:bCs/>
          <w:color w:val="auto"/>
          <w:sz w:val="32"/>
          <w:highlight w:val="none"/>
          <w:lang w:eastAsia="zh-CN"/>
        </w:rPr>
        <w:t>2026年高校毕业生就业活动组织</w:t>
      </w:r>
    </w:p>
    <w:p w14:paraId="6FB0F1BC">
      <w:pPr>
        <w:ind w:firstLine="3534" w:firstLineChars="1100"/>
        <w:jc w:val="left"/>
        <w:rPr>
          <w:rFonts w:hint="eastAsia" w:ascii="仿宋" w:hAnsi="仿宋" w:eastAsia="仿宋" w:cs="仿宋"/>
          <w:b/>
          <w:bCs/>
          <w:color w:val="auto"/>
          <w:spacing w:val="40"/>
          <w:sz w:val="32"/>
          <w:highlight w:val="none"/>
          <w:lang w:eastAsia="zh-CN"/>
        </w:rPr>
      </w:pPr>
      <w:r>
        <w:rPr>
          <w:rFonts w:hint="eastAsia" w:ascii="仿宋" w:hAnsi="仿宋" w:eastAsia="仿宋" w:cs="仿宋"/>
          <w:b/>
          <w:bCs/>
          <w:color w:val="auto"/>
          <w:sz w:val="32"/>
          <w:highlight w:val="none"/>
          <w:lang w:eastAsia="zh-CN"/>
        </w:rPr>
        <w:t>及配套服务采购</w:t>
      </w:r>
    </w:p>
    <w:p w14:paraId="0F176998">
      <w:pPr>
        <w:ind w:firstLine="1605" w:firstLineChars="400"/>
        <w:jc w:val="left"/>
        <w:rPr>
          <w:rFonts w:hint="eastAsia" w:ascii="仿宋" w:hAnsi="仿宋" w:eastAsia="仿宋" w:cs="仿宋"/>
          <w:b/>
          <w:bCs/>
          <w:color w:val="auto"/>
          <w:sz w:val="32"/>
          <w:highlight w:val="none"/>
        </w:rPr>
      </w:pPr>
      <w:r>
        <w:rPr>
          <w:rFonts w:hint="eastAsia" w:ascii="仿宋" w:hAnsi="仿宋" w:eastAsia="仿宋" w:cs="仿宋"/>
          <w:b/>
          <w:bCs/>
          <w:color w:val="auto"/>
          <w:spacing w:val="40"/>
          <w:sz w:val="32"/>
          <w:highlight w:val="none"/>
        </w:rPr>
        <w:t>项目编号</w:t>
      </w:r>
      <w:r>
        <w:rPr>
          <w:rFonts w:hint="eastAsia" w:ascii="仿宋" w:hAnsi="仿宋" w:eastAsia="仿宋" w:cs="仿宋"/>
          <w:b/>
          <w:bCs/>
          <w:color w:val="auto"/>
          <w:spacing w:val="40"/>
          <w:sz w:val="32"/>
          <w:highlight w:val="none"/>
          <w:lang w:eastAsia="zh-CN"/>
        </w:rPr>
        <w:t>：</w:t>
      </w:r>
      <w:r>
        <w:rPr>
          <w:rFonts w:hint="eastAsia" w:ascii="仿宋" w:hAnsi="仿宋" w:eastAsia="仿宋" w:cs="仿宋"/>
          <w:b/>
          <w:bCs/>
          <w:color w:val="auto"/>
          <w:spacing w:val="11"/>
          <w:w w:val="100"/>
          <w:kern w:val="0"/>
          <w:sz w:val="32"/>
          <w:highlight w:val="none"/>
          <w:fitText w:val="3925" w:id="218315336"/>
          <w:lang w:eastAsia="zh-CN"/>
        </w:rPr>
        <w:t xml:space="preserve">GLZC2026-G3-990073-KWZB </w:t>
      </w:r>
      <w:r>
        <w:rPr>
          <w:rFonts w:hint="eastAsia" w:ascii="仿宋" w:hAnsi="仿宋" w:eastAsia="仿宋" w:cs="仿宋"/>
          <w:b/>
          <w:bCs/>
          <w:color w:val="auto"/>
          <w:sz w:val="32"/>
          <w:highlight w:val="none"/>
        </w:rPr>
        <w:t xml:space="preserve">     </w:t>
      </w:r>
    </w:p>
    <w:p w14:paraId="70F058E8">
      <w:pPr>
        <w:ind w:left="1561" w:leftChars="399" w:hanging="723" w:hangingChars="200"/>
        <w:rPr>
          <w:rFonts w:hint="eastAsia" w:ascii="仿宋" w:hAnsi="仿宋" w:eastAsia="仿宋" w:cs="仿宋"/>
          <w:color w:val="auto"/>
          <w:highlight w:val="none"/>
        </w:rPr>
      </w:pPr>
      <w:r>
        <w:rPr>
          <w:rFonts w:hint="eastAsia" w:ascii="仿宋" w:hAnsi="仿宋" w:eastAsia="仿宋" w:cs="仿宋"/>
          <w:b/>
          <w:bCs/>
          <w:color w:val="auto"/>
          <w:sz w:val="36"/>
          <w:highlight w:val="none"/>
        </w:rPr>
        <w:t xml:space="preserve">        </w:t>
      </w:r>
      <w:r>
        <w:rPr>
          <w:rFonts w:hint="eastAsia" w:ascii="仿宋" w:hAnsi="仿宋" w:eastAsia="仿宋" w:cs="仿宋"/>
          <w:color w:val="auto"/>
          <w:highlight w:val="none"/>
        </w:rPr>
        <w:cr/>
      </w:r>
    </w:p>
    <w:p w14:paraId="12EDC32D">
      <w:pPr>
        <w:rPr>
          <w:rFonts w:hint="eastAsia" w:ascii="仿宋" w:hAnsi="仿宋" w:eastAsia="仿宋" w:cs="仿宋"/>
          <w:color w:val="auto"/>
          <w:highlight w:val="none"/>
        </w:rPr>
      </w:pPr>
    </w:p>
    <w:p w14:paraId="73B8CD31">
      <w:pPr>
        <w:pStyle w:val="19"/>
        <w:rPr>
          <w:rFonts w:hint="eastAsia" w:ascii="仿宋" w:hAnsi="仿宋" w:eastAsia="仿宋" w:cs="仿宋"/>
          <w:color w:val="auto"/>
          <w:highlight w:val="none"/>
        </w:rPr>
      </w:pPr>
    </w:p>
    <w:p w14:paraId="3CFB37D4">
      <w:pPr>
        <w:ind w:left="-2" w:leftChars="-1" w:firstLine="1072" w:firstLineChars="300"/>
        <w:jc w:val="center"/>
        <w:rPr>
          <w:rFonts w:hint="eastAsia" w:ascii="仿宋" w:hAnsi="仿宋" w:eastAsia="仿宋" w:cs="仿宋"/>
          <w:b/>
          <w:bCs/>
          <w:color w:val="auto"/>
          <w:sz w:val="32"/>
          <w:highlight w:val="none"/>
        </w:rPr>
      </w:pPr>
      <w:r>
        <w:rPr>
          <w:rFonts w:hint="eastAsia" w:ascii="仿宋" w:hAnsi="仿宋" w:eastAsia="仿宋" w:cs="仿宋"/>
          <w:b/>
          <w:bCs/>
          <w:color w:val="auto"/>
          <w:spacing w:val="18"/>
          <w:sz w:val="32"/>
          <w:highlight w:val="none"/>
        </w:rPr>
        <w:t>采购代理机构</w:t>
      </w:r>
      <w:r>
        <w:rPr>
          <w:rFonts w:hint="eastAsia" w:ascii="仿宋" w:hAnsi="仿宋" w:eastAsia="仿宋" w:cs="仿宋"/>
          <w:b/>
          <w:bCs/>
          <w:color w:val="auto"/>
          <w:spacing w:val="40"/>
          <w:sz w:val="32"/>
          <w:highlight w:val="none"/>
        </w:rPr>
        <w:t>：</w:t>
      </w:r>
      <w:r>
        <w:rPr>
          <w:rFonts w:hint="eastAsia" w:ascii="仿宋" w:hAnsi="仿宋" w:eastAsia="仿宋" w:cs="仿宋"/>
          <w:b/>
          <w:bCs/>
          <w:color w:val="auto"/>
          <w:spacing w:val="-10"/>
          <w:sz w:val="32"/>
          <w:highlight w:val="none"/>
          <w:lang w:eastAsia="zh-CN"/>
        </w:rPr>
        <w:t>广西科文招标有限公司</w:t>
      </w:r>
      <w:r>
        <w:rPr>
          <w:rFonts w:hint="eastAsia" w:ascii="仿宋" w:hAnsi="仿宋" w:eastAsia="仿宋" w:cs="仿宋"/>
          <w:b/>
          <w:bCs/>
          <w:color w:val="auto"/>
          <w:spacing w:val="-8"/>
          <w:sz w:val="32"/>
          <w:highlight w:val="none"/>
        </w:rPr>
        <w:t xml:space="preserve">   　　</w:t>
      </w:r>
      <w:r>
        <w:rPr>
          <w:rFonts w:hint="eastAsia" w:ascii="仿宋" w:hAnsi="仿宋" w:eastAsia="仿宋" w:cs="仿宋"/>
          <w:b/>
          <w:bCs/>
          <w:color w:val="auto"/>
          <w:sz w:val="32"/>
          <w:highlight w:val="none"/>
        </w:rPr>
        <w:t>　</w:t>
      </w:r>
    </w:p>
    <w:p w14:paraId="0CCF0C49">
      <w:pPr>
        <w:ind w:left="-2" w:leftChars="-1" w:firstLine="964" w:firstLineChars="300"/>
        <w:jc w:val="center"/>
        <w:rPr>
          <w:rFonts w:hint="eastAsia" w:ascii="仿宋" w:hAnsi="仿宋" w:eastAsia="仿宋" w:cs="仿宋"/>
          <w:b/>
          <w:bCs/>
          <w:color w:val="auto"/>
          <w:sz w:val="32"/>
          <w:highlight w:val="none"/>
          <w:lang w:eastAsia="zh-CN"/>
        </w:rPr>
      </w:pPr>
      <w:r>
        <w:rPr>
          <w:rFonts w:hint="eastAsia" w:ascii="仿宋" w:hAnsi="仿宋" w:eastAsia="仿宋" w:cs="仿宋"/>
          <w:b/>
          <w:bCs/>
          <w:color w:val="auto"/>
          <w:sz w:val="32"/>
          <w:highlight w:val="none"/>
          <w:lang w:eastAsia="zh-CN"/>
        </w:rPr>
        <w:t>202</w:t>
      </w:r>
      <w:r>
        <w:rPr>
          <w:rFonts w:hint="eastAsia" w:ascii="仿宋" w:hAnsi="仿宋" w:eastAsia="仿宋" w:cs="仿宋"/>
          <w:b/>
          <w:bCs/>
          <w:color w:val="auto"/>
          <w:sz w:val="32"/>
          <w:highlight w:val="none"/>
          <w:lang w:val="en-US" w:eastAsia="zh-CN"/>
        </w:rPr>
        <w:t>6</w:t>
      </w:r>
      <w:r>
        <w:rPr>
          <w:rFonts w:hint="eastAsia" w:ascii="仿宋" w:hAnsi="仿宋" w:eastAsia="仿宋" w:cs="仿宋"/>
          <w:b/>
          <w:bCs/>
          <w:color w:val="auto"/>
          <w:sz w:val="32"/>
          <w:highlight w:val="none"/>
          <w:lang w:eastAsia="zh-CN"/>
        </w:rPr>
        <w:t>年</w:t>
      </w:r>
      <w:r>
        <w:rPr>
          <w:rFonts w:hint="eastAsia" w:ascii="仿宋" w:hAnsi="仿宋" w:eastAsia="仿宋" w:cs="仿宋"/>
          <w:b/>
          <w:bCs/>
          <w:color w:val="auto"/>
          <w:sz w:val="32"/>
          <w:highlight w:val="none"/>
          <w:lang w:val="en-US" w:eastAsia="zh-CN"/>
        </w:rPr>
        <w:t>3</w:t>
      </w:r>
      <w:r>
        <w:rPr>
          <w:rFonts w:hint="eastAsia" w:ascii="仿宋" w:hAnsi="仿宋" w:eastAsia="仿宋" w:cs="仿宋"/>
          <w:b/>
          <w:bCs/>
          <w:color w:val="auto"/>
          <w:sz w:val="32"/>
          <w:highlight w:val="none"/>
          <w:lang w:eastAsia="zh-CN"/>
        </w:rPr>
        <w:t>月</w:t>
      </w:r>
      <w:r>
        <w:rPr>
          <w:rFonts w:hint="eastAsia" w:ascii="仿宋" w:hAnsi="仿宋" w:eastAsia="仿宋" w:cs="仿宋"/>
          <w:b/>
          <w:bCs/>
          <w:color w:val="auto"/>
          <w:sz w:val="32"/>
          <w:highlight w:val="none"/>
          <w:lang w:val="en-US" w:eastAsia="zh-CN"/>
        </w:rPr>
        <w:t>11</w:t>
      </w:r>
      <w:r>
        <w:rPr>
          <w:rFonts w:hint="eastAsia" w:ascii="仿宋" w:hAnsi="仿宋" w:eastAsia="仿宋" w:cs="仿宋"/>
          <w:b/>
          <w:bCs/>
          <w:color w:val="auto"/>
          <w:sz w:val="32"/>
          <w:highlight w:val="none"/>
          <w:lang w:eastAsia="zh-CN"/>
        </w:rPr>
        <w:t>日</w:t>
      </w:r>
    </w:p>
    <w:sdt>
      <w:sdtPr>
        <w:rPr>
          <w:rFonts w:ascii="宋体" w:hAnsi="宋体" w:eastAsia="宋体" w:cs="Times New Roman"/>
          <w:b/>
          <w:bCs/>
          <w:kern w:val="2"/>
          <w:sz w:val="30"/>
          <w:szCs w:val="30"/>
          <w:lang w:val="en-US" w:eastAsia="zh-CN" w:bidi="ar-SA"/>
        </w:rPr>
        <w:id w:val="147459044"/>
        <w15:color w:val="DBDBDB"/>
        <w:docPartObj>
          <w:docPartGallery w:val="Table of Contents"/>
          <w:docPartUnique/>
        </w:docPartObj>
      </w:sdtPr>
      <w:sdtEndPr>
        <w:rPr>
          <w:rFonts w:hint="eastAsia" w:ascii="仿宋" w:hAnsi="仿宋" w:eastAsia="仿宋" w:cs="仿宋"/>
          <w:b/>
          <w:bCs/>
          <w:color w:val="auto"/>
          <w:kern w:val="2"/>
          <w:sz w:val="21"/>
          <w:szCs w:val="36"/>
          <w:highlight w:val="none"/>
          <w:lang w:val="en-US" w:eastAsia="zh-CN" w:bidi="ar-SA"/>
        </w:rPr>
      </w:sdtEndPr>
      <w:sdtContent>
        <w:p w14:paraId="287FCECC">
          <w:pPr>
            <w:spacing w:before="0" w:beforeLines="0" w:after="0" w:afterLines="0" w:line="240" w:lineRule="auto"/>
            <w:ind w:left="0" w:leftChars="0" w:right="0" w:rightChars="0" w:firstLine="0" w:firstLineChars="0"/>
            <w:jc w:val="center"/>
            <w:rPr>
              <w:rFonts w:hint="eastAsia" w:ascii="仿宋" w:hAnsi="仿宋" w:eastAsia="仿宋" w:cs="仿宋"/>
              <w:b/>
              <w:bCs/>
              <w:sz w:val="30"/>
              <w:szCs w:val="30"/>
            </w:rPr>
          </w:pPr>
          <w:r>
            <w:rPr>
              <w:rFonts w:hint="eastAsia" w:ascii="仿宋" w:hAnsi="仿宋" w:eastAsia="仿宋" w:cs="仿宋"/>
              <w:b/>
              <w:bCs/>
              <w:sz w:val="30"/>
              <w:szCs w:val="30"/>
            </w:rPr>
            <w:t>目</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录</w:t>
          </w:r>
        </w:p>
        <w:p w14:paraId="38854F54">
          <w:pPr>
            <w:pStyle w:val="12"/>
            <w:tabs>
              <w:tab w:val="right" w:leader="dot" w:pos="9638"/>
            </w:tabs>
            <w:rPr>
              <w:rFonts w:hint="eastAsia" w:ascii="仿宋" w:hAnsi="仿宋" w:eastAsia="仿宋" w:cs="仿宋"/>
              <w:sz w:val="28"/>
              <w:szCs w:val="28"/>
            </w:rPr>
          </w:pPr>
          <w:r>
            <w:rPr>
              <w:rFonts w:hint="eastAsia" w:ascii="仿宋" w:hAnsi="仿宋" w:eastAsia="仿宋" w:cs="仿宋"/>
              <w:b/>
              <w:bCs/>
              <w:color w:val="auto"/>
              <w:sz w:val="36"/>
              <w:szCs w:val="36"/>
              <w:highlight w:val="none"/>
            </w:rPr>
            <w:fldChar w:fldCharType="begin"/>
          </w:r>
          <w:r>
            <w:rPr>
              <w:rFonts w:hint="eastAsia" w:ascii="仿宋" w:hAnsi="仿宋" w:eastAsia="仿宋" w:cs="仿宋"/>
              <w:b/>
              <w:bCs/>
              <w:color w:val="auto"/>
              <w:sz w:val="36"/>
              <w:szCs w:val="36"/>
              <w:highlight w:val="none"/>
            </w:rPr>
            <w:instrText xml:space="preserve">TOC \o "1-1" \h \u </w:instrText>
          </w:r>
          <w:r>
            <w:rPr>
              <w:rFonts w:hint="eastAsia" w:ascii="仿宋" w:hAnsi="仿宋" w:eastAsia="仿宋" w:cs="仿宋"/>
              <w:b/>
              <w:bCs/>
              <w:color w:val="auto"/>
              <w:sz w:val="36"/>
              <w:szCs w:val="36"/>
              <w:highlight w:val="none"/>
            </w:rPr>
            <w:fldChar w:fldCharType="separate"/>
          </w: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_Toc22130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lang w:val="en-US" w:eastAsia="zh-CN"/>
            </w:rPr>
            <w:t>第一章  公开招标公告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_Toc22130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14:paraId="0DC51974">
          <w:pPr>
            <w:pStyle w:val="12"/>
            <w:tabs>
              <w:tab w:val="right" w:leader="dot" w:pos="9638"/>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_Toc3599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lang w:val="en-US" w:eastAsia="zh-CN"/>
            </w:rPr>
            <w:t>第二章  投标人须知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_Toc3599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14:paraId="4D0FF2AE">
          <w:pPr>
            <w:pStyle w:val="12"/>
            <w:tabs>
              <w:tab w:val="right" w:leader="dot" w:pos="9638"/>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_Toc13199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lang w:val="en-US" w:eastAsia="zh-CN"/>
            </w:rPr>
            <w:t xml:space="preserve">第三章 </w:t>
          </w:r>
          <w:r>
            <w:rPr>
              <w:rFonts w:hint="eastAsia" w:ascii="仿宋" w:hAnsi="仿宋" w:eastAsia="仿宋" w:cs="仿宋"/>
              <w:sz w:val="28"/>
              <w:szCs w:val="28"/>
              <w:highlight w:val="none"/>
              <w:lang w:val="en-US" w:eastAsia="zh-CN"/>
            </w:rPr>
            <w:t xml:space="preserve"> 项目需求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_Toc13199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14:paraId="22882230">
          <w:pPr>
            <w:pStyle w:val="12"/>
            <w:tabs>
              <w:tab w:val="right" w:leader="dot" w:pos="9638"/>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_Toc31928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lang w:val="en-US" w:eastAsia="zh-CN"/>
            </w:rPr>
            <w:t>第四章  评标办法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_Toc31928 \h </w:instrText>
          </w:r>
          <w:r>
            <w:rPr>
              <w:rFonts w:hint="eastAsia" w:ascii="仿宋" w:hAnsi="仿宋" w:eastAsia="仿宋" w:cs="仿宋"/>
              <w:sz w:val="28"/>
              <w:szCs w:val="28"/>
            </w:rPr>
            <w:fldChar w:fldCharType="separate"/>
          </w:r>
          <w:r>
            <w:rPr>
              <w:rFonts w:hint="eastAsia" w:ascii="仿宋" w:hAnsi="仿宋" w:eastAsia="仿宋" w:cs="仿宋"/>
              <w:sz w:val="28"/>
              <w:szCs w:val="28"/>
            </w:rPr>
            <w:t>47</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14:paraId="7E4F5533">
          <w:pPr>
            <w:pStyle w:val="12"/>
            <w:tabs>
              <w:tab w:val="right" w:leader="dot" w:pos="9638"/>
            </w:tabs>
            <w:rPr>
              <w:rFonts w:hint="eastAsia" w:ascii="仿宋" w:hAnsi="仿宋" w:eastAsia="仿宋" w:cs="仿宋"/>
              <w:sz w:val="28"/>
              <w:szCs w:val="28"/>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_Toc13583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lang w:val="en-US" w:eastAsia="zh-CN"/>
            </w:rPr>
            <w:t>第五章  政府采购合同（合同主要条款及格式）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_Toc13583 \h </w:instrText>
          </w:r>
          <w:r>
            <w:rPr>
              <w:rFonts w:hint="eastAsia" w:ascii="仿宋" w:hAnsi="仿宋" w:eastAsia="仿宋" w:cs="仿宋"/>
              <w:sz w:val="28"/>
              <w:szCs w:val="28"/>
            </w:rPr>
            <w:fldChar w:fldCharType="separate"/>
          </w:r>
          <w:r>
            <w:rPr>
              <w:rFonts w:hint="eastAsia" w:ascii="仿宋" w:hAnsi="仿宋" w:eastAsia="仿宋" w:cs="仿宋"/>
              <w:sz w:val="28"/>
              <w:szCs w:val="28"/>
            </w:rPr>
            <w:t>73</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14:paraId="676D95A7">
          <w:pPr>
            <w:pStyle w:val="12"/>
            <w:tabs>
              <w:tab w:val="right" w:leader="dot" w:pos="9638"/>
            </w:tabs>
            <w:rPr>
              <w:rFonts w:hint="eastAsia" w:ascii="仿宋" w:hAnsi="仿宋" w:eastAsia="仿宋" w:cs="仿宋"/>
            </w:rPr>
          </w:pPr>
          <w:r>
            <w:rPr>
              <w:rFonts w:hint="eastAsia" w:ascii="仿宋" w:hAnsi="仿宋" w:eastAsia="仿宋" w:cs="仿宋"/>
              <w:bCs/>
              <w:color w:val="auto"/>
              <w:sz w:val="28"/>
              <w:szCs w:val="28"/>
              <w:highlight w:val="none"/>
            </w:rPr>
            <w:fldChar w:fldCharType="begin"/>
          </w:r>
          <w:r>
            <w:rPr>
              <w:rFonts w:hint="eastAsia" w:ascii="仿宋" w:hAnsi="仿宋" w:eastAsia="仿宋" w:cs="仿宋"/>
              <w:bCs/>
              <w:sz w:val="28"/>
              <w:szCs w:val="28"/>
              <w:highlight w:val="none"/>
            </w:rPr>
            <w:instrText xml:space="preserve"> HYPERLINK \l _Toc21514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lang w:val="en-US" w:eastAsia="zh-CN"/>
            </w:rPr>
            <w:t>第六章  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_Toc21514 \h </w:instrText>
          </w:r>
          <w:r>
            <w:rPr>
              <w:rFonts w:hint="eastAsia" w:ascii="仿宋" w:hAnsi="仿宋" w:eastAsia="仿宋" w:cs="仿宋"/>
              <w:sz w:val="28"/>
              <w:szCs w:val="28"/>
            </w:rPr>
            <w:fldChar w:fldCharType="separate"/>
          </w:r>
          <w:r>
            <w:rPr>
              <w:rFonts w:hint="eastAsia" w:ascii="仿宋" w:hAnsi="仿宋" w:eastAsia="仿宋" w:cs="仿宋"/>
              <w:sz w:val="28"/>
              <w:szCs w:val="28"/>
            </w:rPr>
            <w:t>77</w:t>
          </w:r>
          <w:r>
            <w:rPr>
              <w:rFonts w:hint="eastAsia" w:ascii="仿宋" w:hAnsi="仿宋" w:eastAsia="仿宋" w:cs="仿宋"/>
              <w:sz w:val="28"/>
              <w:szCs w:val="28"/>
            </w:rPr>
            <w:fldChar w:fldCharType="end"/>
          </w:r>
          <w:r>
            <w:rPr>
              <w:rFonts w:hint="eastAsia" w:ascii="仿宋" w:hAnsi="仿宋" w:eastAsia="仿宋" w:cs="仿宋"/>
              <w:bCs/>
              <w:color w:val="auto"/>
              <w:sz w:val="28"/>
              <w:szCs w:val="28"/>
              <w:highlight w:val="none"/>
            </w:rPr>
            <w:fldChar w:fldCharType="end"/>
          </w:r>
        </w:p>
        <w:p w14:paraId="0EC6E918">
          <w:pPr>
            <w:pStyle w:val="12"/>
            <w:tabs>
              <w:tab w:val="right" w:leader="dot" w:pos="9638"/>
            </w:tabs>
            <w:spacing w:line="600" w:lineRule="auto"/>
            <w:rPr>
              <w:rFonts w:hint="eastAsia" w:ascii="仿宋" w:hAnsi="仿宋" w:eastAsia="仿宋" w:cs="仿宋"/>
              <w:bCs/>
              <w:color w:val="auto"/>
              <w:kern w:val="2"/>
              <w:sz w:val="21"/>
              <w:szCs w:val="36"/>
              <w:highlight w:val="none"/>
              <w:lang w:val="en-US" w:eastAsia="zh-CN" w:bidi="ar-SA"/>
            </w:rPr>
          </w:pPr>
          <w:r>
            <w:rPr>
              <w:rFonts w:hint="eastAsia" w:ascii="仿宋" w:hAnsi="仿宋" w:eastAsia="仿宋" w:cs="仿宋"/>
              <w:bCs/>
              <w:color w:val="auto"/>
              <w:szCs w:val="36"/>
              <w:highlight w:val="none"/>
            </w:rPr>
            <w:fldChar w:fldCharType="end"/>
          </w:r>
        </w:p>
      </w:sdtContent>
    </w:sdt>
    <w:p w14:paraId="0CCAD5D0">
      <w:pPr>
        <w:rPr>
          <w:rFonts w:hint="eastAsia"/>
        </w:rPr>
      </w:pPr>
    </w:p>
    <w:p w14:paraId="1D5E8114">
      <w:pPr>
        <w:pStyle w:val="12"/>
        <w:tabs>
          <w:tab w:val="right" w:leader="dot" w:pos="9638"/>
        </w:tabs>
        <w:spacing w:line="600" w:lineRule="auto"/>
        <w:rPr>
          <w:rFonts w:hint="eastAsia" w:ascii="仿宋" w:hAnsi="仿宋" w:eastAsia="仿宋" w:cs="仿宋"/>
          <w:b/>
          <w:bCs/>
          <w:color w:val="auto"/>
          <w:sz w:val="36"/>
          <w:szCs w:val="36"/>
          <w:highlight w:val="none"/>
        </w:rPr>
      </w:pPr>
    </w:p>
    <w:p w14:paraId="310032B8">
      <w:pPr>
        <w:pStyle w:val="9"/>
        <w:spacing w:line="440" w:lineRule="exact"/>
        <w:jc w:val="center"/>
        <w:rPr>
          <w:rFonts w:hint="eastAsia" w:ascii="仿宋" w:hAnsi="仿宋" w:eastAsia="仿宋" w:cs="仿宋"/>
          <w:color w:val="auto"/>
          <w:sz w:val="44"/>
          <w:highlight w:val="none"/>
        </w:rPr>
      </w:pPr>
    </w:p>
    <w:p w14:paraId="116AF759">
      <w:pPr>
        <w:ind w:right="-21" w:rightChars="-10"/>
        <w:rPr>
          <w:rFonts w:hint="eastAsia" w:ascii="仿宋" w:hAnsi="仿宋" w:eastAsia="仿宋" w:cs="仿宋"/>
          <w:color w:val="auto"/>
          <w:highlight w:val="none"/>
        </w:rPr>
      </w:pPr>
    </w:p>
    <w:p w14:paraId="31F67559">
      <w:pPr>
        <w:pStyle w:val="4"/>
        <w:numPr>
          <w:ilvl w:val="0"/>
          <w:numId w:val="0"/>
        </w:numPr>
        <w:ind w:left="864" w:hanging="864"/>
        <w:outlineLvl w:val="9"/>
        <w:rPr>
          <w:rFonts w:hint="eastAsia" w:ascii="仿宋" w:hAnsi="仿宋" w:eastAsia="仿宋" w:cs="仿宋"/>
          <w:color w:val="auto"/>
          <w:highlight w:val="none"/>
        </w:rPr>
      </w:pPr>
    </w:p>
    <w:p w14:paraId="46ECBB88">
      <w:pPr>
        <w:rPr>
          <w:rFonts w:hint="eastAsia" w:ascii="仿宋" w:hAnsi="仿宋" w:eastAsia="仿宋" w:cs="仿宋"/>
          <w:color w:val="auto"/>
          <w:highlight w:val="none"/>
        </w:rPr>
      </w:pPr>
    </w:p>
    <w:p w14:paraId="12E9FA71">
      <w:pPr>
        <w:pStyle w:val="3"/>
        <w:numPr>
          <w:ilvl w:val="0"/>
          <w:numId w:val="0"/>
        </w:numPr>
        <w:outlineLvl w:val="9"/>
        <w:rPr>
          <w:rFonts w:hint="eastAsia" w:ascii="仿宋" w:hAnsi="仿宋" w:eastAsia="仿宋" w:cs="仿宋"/>
          <w:color w:val="auto"/>
          <w:highlight w:val="none"/>
        </w:rPr>
      </w:pPr>
    </w:p>
    <w:p w14:paraId="2205D835">
      <w:pPr>
        <w:rPr>
          <w:rFonts w:hint="eastAsia" w:ascii="仿宋" w:hAnsi="仿宋" w:eastAsia="仿宋" w:cs="仿宋"/>
          <w:color w:val="auto"/>
          <w:highlight w:val="none"/>
        </w:rPr>
      </w:pPr>
    </w:p>
    <w:p w14:paraId="4273AA89">
      <w:pPr>
        <w:pStyle w:val="19"/>
        <w:rPr>
          <w:rFonts w:hint="eastAsia" w:ascii="仿宋" w:hAnsi="仿宋" w:eastAsia="仿宋" w:cs="仿宋"/>
          <w:color w:val="auto"/>
          <w:highlight w:val="none"/>
        </w:rPr>
      </w:pPr>
    </w:p>
    <w:p w14:paraId="7AA896EE">
      <w:pPr>
        <w:pStyle w:val="19"/>
        <w:rPr>
          <w:rFonts w:hint="eastAsia" w:ascii="仿宋" w:hAnsi="仿宋" w:eastAsia="仿宋" w:cs="仿宋"/>
          <w:color w:val="auto"/>
          <w:highlight w:val="none"/>
        </w:rPr>
      </w:pPr>
    </w:p>
    <w:p w14:paraId="4A1FF621">
      <w:pPr>
        <w:pStyle w:val="4"/>
        <w:numPr>
          <w:ilvl w:val="0"/>
          <w:numId w:val="0"/>
        </w:numPr>
        <w:ind w:left="864" w:hanging="864"/>
        <w:outlineLvl w:val="9"/>
        <w:rPr>
          <w:rFonts w:hint="eastAsia" w:ascii="仿宋" w:hAnsi="仿宋" w:eastAsia="仿宋" w:cs="仿宋"/>
          <w:color w:val="auto"/>
          <w:highlight w:val="none"/>
        </w:rPr>
      </w:pPr>
    </w:p>
    <w:p w14:paraId="52F29B83">
      <w:pPr>
        <w:rPr>
          <w:rFonts w:hint="eastAsia" w:ascii="仿宋" w:hAnsi="仿宋" w:eastAsia="仿宋" w:cs="仿宋"/>
          <w:color w:val="auto"/>
          <w:highlight w:val="none"/>
        </w:rPr>
      </w:pPr>
    </w:p>
    <w:p w14:paraId="3DF38867">
      <w:pPr>
        <w:pStyle w:val="8"/>
        <w:rPr>
          <w:rFonts w:hint="eastAsia" w:ascii="仿宋" w:hAnsi="仿宋" w:eastAsia="仿宋" w:cs="仿宋"/>
          <w:color w:val="auto"/>
          <w:highlight w:val="none"/>
        </w:rPr>
      </w:pPr>
    </w:p>
    <w:p w14:paraId="4A58D0A6">
      <w:pPr>
        <w:pStyle w:val="8"/>
        <w:rPr>
          <w:rFonts w:hint="eastAsia" w:ascii="仿宋" w:hAnsi="仿宋" w:eastAsia="仿宋" w:cs="仿宋"/>
          <w:color w:val="auto"/>
          <w:highlight w:val="none"/>
        </w:rPr>
      </w:pPr>
    </w:p>
    <w:p w14:paraId="7C5932D8">
      <w:pPr>
        <w:rPr>
          <w:rFonts w:hint="eastAsia" w:ascii="仿宋" w:hAnsi="仿宋" w:eastAsia="仿宋" w:cs="仿宋"/>
          <w:color w:val="auto"/>
          <w:highlight w:val="none"/>
        </w:rPr>
      </w:pPr>
    </w:p>
    <w:p w14:paraId="2DF32B10">
      <w:pPr>
        <w:pStyle w:val="19"/>
        <w:rPr>
          <w:rFonts w:hint="eastAsia" w:ascii="仿宋" w:hAnsi="仿宋" w:eastAsia="仿宋" w:cs="仿宋"/>
          <w:color w:val="auto"/>
          <w:highlight w:val="none"/>
        </w:rPr>
      </w:pPr>
    </w:p>
    <w:p w14:paraId="531DD18D">
      <w:pPr>
        <w:jc w:val="center"/>
        <w:outlineLvl w:val="0"/>
        <w:rPr>
          <w:rStyle w:val="18"/>
          <w:rFonts w:hint="eastAsia" w:ascii="仿宋" w:hAnsi="仿宋" w:eastAsia="仿宋" w:cs="仿宋"/>
          <w:b/>
          <w:color w:val="auto"/>
          <w:highlight w:val="none"/>
          <w:lang w:val="en-US" w:eastAsia="zh-CN"/>
        </w:rPr>
        <w:sectPr>
          <w:pgSz w:w="11906" w:h="16838"/>
          <w:pgMar w:top="1134" w:right="1134" w:bottom="1134" w:left="1134" w:header="720" w:footer="720" w:gutter="0"/>
          <w:pgNumType w:start="0"/>
          <w:cols w:space="720" w:num="1"/>
          <w:titlePg/>
          <w:docGrid w:type="lines" w:linePitch="331" w:charSpace="0"/>
        </w:sectPr>
      </w:pPr>
      <w:bookmarkStart w:id="3" w:name="_Toc20261"/>
      <w:bookmarkStart w:id="4" w:name="_Toc20997"/>
      <w:bookmarkStart w:id="5" w:name="_Toc10259"/>
    </w:p>
    <w:p w14:paraId="7A8433D9">
      <w:pPr>
        <w:numPr>
          <w:ilvl w:val="0"/>
          <w:numId w:val="2"/>
        </w:numPr>
        <w:jc w:val="center"/>
        <w:outlineLvl w:val="0"/>
        <w:rPr>
          <w:rStyle w:val="18"/>
          <w:rFonts w:hint="eastAsia" w:ascii="仿宋" w:hAnsi="仿宋" w:eastAsia="仿宋" w:cs="仿宋"/>
          <w:b/>
          <w:color w:val="auto"/>
          <w:highlight w:val="none"/>
          <w:lang w:val="en-US" w:eastAsia="zh-CN"/>
        </w:rPr>
      </w:pPr>
      <w:bookmarkStart w:id="6" w:name="_Toc22130"/>
      <w:r>
        <w:rPr>
          <w:rStyle w:val="18"/>
          <w:rFonts w:hint="eastAsia" w:ascii="仿宋" w:hAnsi="仿宋" w:eastAsia="仿宋" w:cs="仿宋"/>
          <w:b/>
          <w:color w:val="auto"/>
          <w:highlight w:val="none"/>
          <w:lang w:val="en-US" w:eastAsia="zh-CN"/>
        </w:rPr>
        <w:t xml:space="preserve"> 公开招标公告</w:t>
      </w:r>
      <w:bookmarkEnd w:id="3"/>
      <w:bookmarkEnd w:id="4"/>
      <w:bookmarkEnd w:id="5"/>
      <w:bookmarkEnd w:id="6"/>
    </w:p>
    <w:p w14:paraId="1662260E">
      <w:pPr>
        <w:numPr>
          <w:ilvl w:val="0"/>
          <w:numId w:val="0"/>
        </w:numPr>
        <w:jc w:val="both"/>
        <w:outlineLvl w:val="0"/>
        <w:rPr>
          <w:rStyle w:val="18"/>
          <w:rFonts w:hint="eastAsia" w:ascii="仿宋" w:hAnsi="仿宋" w:eastAsia="仿宋" w:cs="仿宋"/>
          <w:b/>
          <w:color w:val="auto"/>
          <w:sz w:val="13"/>
          <w:szCs w:val="13"/>
          <w:highlight w:val="none"/>
          <w:lang w:val="en-US"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6F26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tcBorders>
              <w:top w:val="single" w:color="auto" w:sz="4" w:space="0"/>
              <w:left w:val="single" w:color="auto" w:sz="4" w:space="0"/>
              <w:bottom w:val="single" w:color="auto" w:sz="4" w:space="0"/>
              <w:right w:val="single" w:color="auto" w:sz="4" w:space="0"/>
            </w:tcBorders>
            <w:noWrap w:val="0"/>
            <w:vAlign w:val="top"/>
          </w:tcPr>
          <w:p w14:paraId="1124B5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2FE30D2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2026年高校毕业生就业活动组织及配套服务采购</w:t>
            </w:r>
            <w:r>
              <w:rPr>
                <w:rFonts w:hint="eastAsia" w:ascii="仿宋" w:hAnsi="仿宋" w:eastAsia="仿宋" w:cs="仿宋"/>
                <w:color w:val="auto"/>
                <w:sz w:val="24"/>
                <w:szCs w:val="24"/>
                <w:highlight w:val="none"/>
              </w:rPr>
              <w:t>的潜在投标人应在 “</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eastAsia="zh-CN"/>
              </w:rPr>
              <w:t>www.ccgp-guangxi.gov.cn</w:t>
            </w:r>
            <w:r>
              <w:rPr>
                <w:rFonts w:hint="eastAsia" w:ascii="仿宋" w:hAnsi="仿宋" w:eastAsia="仿宋" w:cs="仿宋"/>
                <w:color w:val="auto"/>
                <w:sz w:val="24"/>
                <w:szCs w:val="24"/>
                <w:highlight w:val="none"/>
              </w:rPr>
              <w:t>）下载招标文件电子版，并于</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上午9时30分（北京时间）前递交投标文件。</w:t>
            </w:r>
          </w:p>
        </w:tc>
      </w:tr>
    </w:tbl>
    <w:p w14:paraId="3DCE0DFB">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82" w:firstLineChars="200"/>
        <w:textAlignment w:val="auto"/>
        <w:rPr>
          <w:rFonts w:hint="eastAsia" w:ascii="仿宋" w:hAnsi="仿宋" w:eastAsia="仿宋" w:cs="仿宋"/>
          <w:color w:val="auto"/>
          <w:sz w:val="24"/>
          <w:szCs w:val="24"/>
          <w:highlight w:val="none"/>
        </w:rPr>
      </w:pPr>
      <w:bookmarkStart w:id="7" w:name="_Toc28359002"/>
      <w:bookmarkStart w:id="8" w:name="_Toc35393621"/>
      <w:bookmarkStart w:id="9" w:name="_Toc28359079"/>
      <w:bookmarkStart w:id="10" w:name="_Toc35393790"/>
      <w:bookmarkStart w:id="11" w:name="_Hlk24379207"/>
    </w:p>
    <w:p w14:paraId="2997FE09">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bookmarkEnd w:id="7"/>
      <w:bookmarkEnd w:id="8"/>
      <w:bookmarkEnd w:id="9"/>
      <w:bookmarkEnd w:id="10"/>
    </w:p>
    <w:bookmarkEnd w:id="11"/>
    <w:p w14:paraId="1AAF54E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GLZC2026-G3-990071-KWZB</w:t>
      </w:r>
    </w:p>
    <w:p w14:paraId="2140942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政府采购计划编号：GLZC2026-G3-00245   </w:t>
      </w:r>
    </w:p>
    <w:p w14:paraId="168779D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项目名称：2026年高校毕业生就业活动组织及配套服务采购</w:t>
      </w:r>
    </w:p>
    <w:p w14:paraId="2BCD8C0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预算金额（人民币）：</w:t>
      </w:r>
      <w:r>
        <w:rPr>
          <w:rFonts w:hint="eastAsia" w:ascii="仿宋" w:hAnsi="仿宋" w:eastAsia="仿宋" w:cs="仿宋"/>
          <w:color w:val="auto"/>
          <w:sz w:val="24"/>
          <w:szCs w:val="24"/>
          <w:highlight w:val="none"/>
          <w:lang w:val="en-US" w:eastAsia="zh-CN"/>
        </w:rPr>
        <w:t>2152500</w:t>
      </w:r>
      <w:r>
        <w:rPr>
          <w:rFonts w:hint="eastAsia" w:ascii="仿宋" w:hAnsi="仿宋" w:eastAsia="仿宋" w:cs="仿宋"/>
          <w:color w:val="auto"/>
          <w:sz w:val="24"/>
          <w:szCs w:val="24"/>
          <w:highlight w:val="none"/>
          <w:lang w:eastAsia="zh-CN"/>
        </w:rPr>
        <w:t>.00</w:t>
      </w:r>
      <w:r>
        <w:rPr>
          <w:rFonts w:hint="eastAsia" w:ascii="仿宋" w:hAnsi="仿宋" w:eastAsia="仿宋" w:cs="仿宋"/>
          <w:color w:val="auto"/>
          <w:sz w:val="24"/>
          <w:szCs w:val="24"/>
          <w:highlight w:val="none"/>
        </w:rPr>
        <w:t>元</w:t>
      </w:r>
    </w:p>
    <w:p w14:paraId="60384C2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最高限价（如有）：</w:t>
      </w:r>
      <w:r>
        <w:rPr>
          <w:rFonts w:hint="eastAsia" w:ascii="仿宋" w:hAnsi="仿宋" w:eastAsia="仿宋" w:cs="仿宋"/>
          <w:color w:val="auto"/>
          <w:sz w:val="24"/>
          <w:szCs w:val="24"/>
          <w:highlight w:val="none"/>
          <w:lang w:val="en-US" w:eastAsia="zh-CN"/>
        </w:rPr>
        <w:t>2152500</w:t>
      </w:r>
      <w:r>
        <w:rPr>
          <w:rFonts w:hint="eastAsia" w:ascii="仿宋" w:hAnsi="仿宋" w:eastAsia="仿宋" w:cs="仿宋"/>
          <w:color w:val="auto"/>
          <w:sz w:val="24"/>
          <w:szCs w:val="24"/>
          <w:highlight w:val="none"/>
          <w:lang w:eastAsia="zh-CN"/>
        </w:rPr>
        <w:t>.00</w:t>
      </w:r>
      <w:r>
        <w:rPr>
          <w:rFonts w:hint="eastAsia" w:ascii="仿宋" w:hAnsi="仿宋" w:eastAsia="仿宋" w:cs="仿宋"/>
          <w:color w:val="auto"/>
          <w:sz w:val="24"/>
          <w:szCs w:val="24"/>
          <w:highlight w:val="none"/>
        </w:rPr>
        <w:t>元</w:t>
      </w:r>
    </w:p>
    <w:p w14:paraId="20E1BCE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项目需求：</w:t>
      </w:r>
    </w:p>
    <w:p w14:paraId="61B3C16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标项一 </w:t>
      </w:r>
    </w:p>
    <w:p w14:paraId="7998F11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p>
    <w:p w14:paraId="54E5D78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不限</w:t>
      </w:r>
    </w:p>
    <w:p w14:paraId="0BA5145F">
      <w:pPr>
        <w:pageBreakBefore w:val="0"/>
        <w:widowControl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576000.00</w:t>
      </w:r>
    </w:p>
    <w:p w14:paraId="21F2ECD3">
      <w:pPr>
        <w:pageBreakBefore w:val="0"/>
        <w:widowControl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kern w:val="2"/>
          <w:sz w:val="24"/>
          <w:szCs w:val="24"/>
          <w:highlight w:val="none"/>
          <w:lang w:val="en-US" w:eastAsia="zh-CN" w:bidi="ar-SA"/>
        </w:rPr>
        <w:t>大型招聘活动及服务1项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适配2026年全国、自治区公共就业专项行动相关文件要求，组织2026年全国城市联合招聘高校毕业生春季专场招聘会1场（含配套网络招聘会不少于1场、直播带岗不少于1场）、校外大型公益性招聘会1场（含配套网络招聘会不少于1场、直播带岗不少于1场）、人才集市6场、就业见习网络招聘会1场。具体要求详见招标文件。</w:t>
      </w:r>
    </w:p>
    <w:p w14:paraId="595D203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最高限价（如有）：</w:t>
      </w:r>
      <w:r>
        <w:rPr>
          <w:rFonts w:hint="eastAsia" w:ascii="仿宋" w:hAnsi="仿宋" w:eastAsia="仿宋" w:cs="仿宋"/>
          <w:color w:val="auto"/>
          <w:sz w:val="24"/>
          <w:szCs w:val="24"/>
          <w:highlight w:val="none"/>
          <w:lang w:val="en-US" w:eastAsia="zh-CN"/>
        </w:rPr>
        <w:t>576000.00</w:t>
      </w:r>
    </w:p>
    <w:p w14:paraId="7E81B19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eastAsia="zh-CN"/>
        </w:rPr>
        <w:t>签订合同之日起至2027年5月30日止。</w:t>
      </w:r>
    </w:p>
    <w:p w14:paraId="661D3C2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本标项（否）接受联合体投标</w:t>
      </w:r>
    </w:p>
    <w:p w14:paraId="50A6340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6A1CA9A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p>
    <w:p w14:paraId="052D9D43">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标项二 </w:t>
      </w:r>
    </w:p>
    <w:p w14:paraId="2BA8DAF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p>
    <w:p w14:paraId="02FFECE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不限</w:t>
      </w:r>
    </w:p>
    <w:p w14:paraId="2F1225DF">
      <w:pPr>
        <w:pageBreakBefore w:val="0"/>
        <w:widowControl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451700</w:t>
      </w:r>
      <w:r>
        <w:rPr>
          <w:rFonts w:hint="eastAsia" w:ascii="仿宋" w:hAnsi="仿宋" w:eastAsia="仿宋" w:cs="仿宋"/>
          <w:color w:val="auto"/>
          <w:sz w:val="24"/>
          <w:szCs w:val="24"/>
          <w:highlight w:val="none"/>
          <w:lang w:eastAsia="zh-CN"/>
        </w:rPr>
        <w:t>.00</w:t>
      </w:r>
    </w:p>
    <w:p w14:paraId="457816F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简要规格描述或项目基本概况介绍、用途：校内招聘活动及服务</w:t>
      </w:r>
      <w:r>
        <w:rPr>
          <w:rFonts w:hint="eastAsia" w:ascii="仿宋" w:hAnsi="仿宋" w:eastAsia="仿宋" w:cs="仿宋"/>
          <w:color w:val="auto"/>
          <w:kern w:val="2"/>
          <w:sz w:val="24"/>
          <w:szCs w:val="24"/>
          <w:highlight w:val="none"/>
          <w:lang w:val="en-US" w:eastAsia="zh-CN" w:bidi="ar-SA"/>
        </w:rPr>
        <w:t>1项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适配2026年全国、自治区公共就业专项行动相关文件要求，组织校内大型招聘会1场（配套网络招聘会1场）、校内中型招聘会2场（配套网络招聘会2场）、校内小型招聘会1场（配套网络招聘会1场）、就业实践课堂4期等线下活动，以及政策宣传短视频1条。具体要求详见招标文件。</w:t>
      </w:r>
    </w:p>
    <w:p w14:paraId="18BAE7A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最高限价（如有）：</w:t>
      </w:r>
      <w:r>
        <w:rPr>
          <w:rFonts w:hint="eastAsia" w:ascii="仿宋" w:hAnsi="仿宋" w:eastAsia="仿宋" w:cs="仿宋"/>
          <w:color w:val="auto"/>
          <w:sz w:val="24"/>
          <w:szCs w:val="24"/>
          <w:highlight w:val="none"/>
          <w:lang w:val="en-US" w:eastAsia="zh-CN"/>
        </w:rPr>
        <w:t>451700</w:t>
      </w:r>
      <w:r>
        <w:rPr>
          <w:rFonts w:hint="eastAsia" w:ascii="仿宋" w:hAnsi="仿宋" w:eastAsia="仿宋" w:cs="仿宋"/>
          <w:color w:val="auto"/>
          <w:sz w:val="24"/>
          <w:szCs w:val="24"/>
          <w:highlight w:val="none"/>
          <w:lang w:eastAsia="zh-CN"/>
        </w:rPr>
        <w:t>.00</w:t>
      </w:r>
    </w:p>
    <w:p w14:paraId="2EE8C4F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合同履约期限：签订合同</w:t>
      </w:r>
      <w:r>
        <w:rPr>
          <w:rFonts w:hint="eastAsia" w:ascii="仿宋" w:hAnsi="仿宋" w:eastAsia="仿宋" w:cs="仿宋"/>
          <w:color w:val="auto"/>
          <w:sz w:val="24"/>
          <w:szCs w:val="24"/>
          <w:highlight w:val="none"/>
          <w:lang w:val="en-US" w:eastAsia="zh-CN"/>
        </w:rPr>
        <w:t>之日起</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none"/>
          <w:lang w:val="en-US" w:eastAsia="zh-CN"/>
        </w:rPr>
        <w:t>2026</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u w:val="none"/>
          <w:lang w:val="en-US" w:eastAsia="zh-CN"/>
        </w:rPr>
        <w:t>止</w:t>
      </w:r>
      <w:r>
        <w:rPr>
          <w:rFonts w:hint="eastAsia" w:ascii="仿宋" w:hAnsi="仿宋" w:eastAsia="仿宋" w:cs="仿宋"/>
          <w:color w:val="auto"/>
          <w:sz w:val="24"/>
          <w:szCs w:val="24"/>
          <w:highlight w:val="none"/>
        </w:rPr>
        <w:t>。</w:t>
      </w:r>
    </w:p>
    <w:p w14:paraId="533682A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本标项（否）接受联合体投标</w:t>
      </w:r>
    </w:p>
    <w:p w14:paraId="1837F4B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4A7D7D7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p>
    <w:p w14:paraId="292DB91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 xml:space="preserve"> </w:t>
      </w:r>
    </w:p>
    <w:p w14:paraId="794CDFB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p>
    <w:p w14:paraId="508B83D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不限</w:t>
      </w:r>
    </w:p>
    <w:p w14:paraId="67520947">
      <w:pPr>
        <w:pageBreakBefore w:val="0"/>
        <w:widowControl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405800</w:t>
      </w:r>
      <w:r>
        <w:rPr>
          <w:rFonts w:hint="eastAsia" w:ascii="仿宋" w:hAnsi="仿宋" w:eastAsia="仿宋" w:cs="仿宋"/>
          <w:color w:val="auto"/>
          <w:sz w:val="24"/>
          <w:szCs w:val="24"/>
          <w:highlight w:val="none"/>
          <w:lang w:eastAsia="zh-CN"/>
        </w:rPr>
        <w:t>.00</w:t>
      </w:r>
    </w:p>
    <w:p w14:paraId="0CC9FDF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kern w:val="2"/>
          <w:sz w:val="24"/>
          <w:szCs w:val="24"/>
          <w:highlight w:val="none"/>
          <w:lang w:val="en-US" w:eastAsia="zh-CN" w:bidi="ar-SA"/>
        </w:rPr>
        <w:t>离校未就业高校毕业生招聘服务1项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适配2026年全国、自治区公共就业专项行动相关文件要求，组织校外大型线下招聘会1场（配套网络招聘会1场）、校外小型线下招聘会2场（配套网络招聘会2场）、就业见习网络招聘会1场、人才集市2场，摄制就业典型视频就业典型2个，以及制作政策宣传短视频至少2条，对离校未就业高校毕业生开展定向邀约。具体要求详见招标文件。</w:t>
      </w:r>
    </w:p>
    <w:p w14:paraId="7F20AA8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最高限价（如有）：</w:t>
      </w:r>
      <w:r>
        <w:rPr>
          <w:rFonts w:hint="eastAsia" w:ascii="仿宋" w:hAnsi="仿宋" w:eastAsia="仿宋" w:cs="仿宋"/>
          <w:color w:val="auto"/>
          <w:sz w:val="24"/>
          <w:szCs w:val="24"/>
          <w:highlight w:val="none"/>
          <w:lang w:val="en-US" w:eastAsia="zh-CN"/>
        </w:rPr>
        <w:t>405800</w:t>
      </w:r>
      <w:r>
        <w:rPr>
          <w:rFonts w:hint="eastAsia" w:ascii="仿宋" w:hAnsi="仿宋" w:eastAsia="仿宋" w:cs="仿宋"/>
          <w:color w:val="auto"/>
          <w:sz w:val="24"/>
          <w:szCs w:val="24"/>
          <w:highlight w:val="none"/>
          <w:lang w:eastAsia="zh-CN"/>
        </w:rPr>
        <w:t>.00</w:t>
      </w:r>
    </w:p>
    <w:p w14:paraId="112A9F5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合同履约期限：签订合同之日起至2026年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日止。</w:t>
      </w:r>
    </w:p>
    <w:p w14:paraId="66C77B0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本标项（否）接受联合体投标</w:t>
      </w:r>
    </w:p>
    <w:p w14:paraId="77BF29E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7956DCB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p>
    <w:p w14:paraId="54A60E3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 xml:space="preserve"> </w:t>
      </w:r>
    </w:p>
    <w:p w14:paraId="4169F33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p>
    <w:p w14:paraId="6005FE5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不限</w:t>
      </w:r>
    </w:p>
    <w:p w14:paraId="53548482">
      <w:pPr>
        <w:pageBreakBefore w:val="0"/>
        <w:widowControl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361000</w:t>
      </w:r>
      <w:r>
        <w:rPr>
          <w:rFonts w:hint="eastAsia" w:ascii="仿宋" w:hAnsi="仿宋" w:eastAsia="仿宋" w:cs="仿宋"/>
          <w:color w:val="auto"/>
          <w:sz w:val="24"/>
          <w:szCs w:val="24"/>
          <w:highlight w:val="none"/>
          <w:lang w:eastAsia="zh-CN"/>
        </w:rPr>
        <w:t>.00</w:t>
      </w:r>
    </w:p>
    <w:p w14:paraId="70CCBF1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kern w:val="2"/>
          <w:sz w:val="24"/>
          <w:szCs w:val="24"/>
          <w:highlight w:val="none"/>
          <w:lang w:val="en-US" w:eastAsia="zh-CN" w:bidi="ar-SA"/>
        </w:rPr>
        <w:t>人力资源市场高校毕业生就业服务（含离校未就业高校毕业生）1项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适配2026年全国、自治区公共就业专项行动相关文件要求，组织校外中型线下招聘会2场（配套网络招聘会2场）、校外小型线下招聘会1场（配套网络招聘会1场）、人才集市1场等。具体要求详见招标文件。</w:t>
      </w:r>
    </w:p>
    <w:p w14:paraId="7C1058B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最高限价（如有）：</w:t>
      </w:r>
      <w:r>
        <w:rPr>
          <w:rFonts w:hint="eastAsia" w:ascii="仿宋" w:hAnsi="仿宋" w:eastAsia="仿宋" w:cs="仿宋"/>
          <w:color w:val="auto"/>
          <w:sz w:val="24"/>
          <w:szCs w:val="24"/>
          <w:highlight w:val="none"/>
          <w:lang w:val="en-US" w:eastAsia="zh-CN"/>
        </w:rPr>
        <w:t>361000</w:t>
      </w:r>
      <w:r>
        <w:rPr>
          <w:rFonts w:hint="eastAsia" w:ascii="仿宋" w:hAnsi="仿宋" w:eastAsia="仿宋" w:cs="仿宋"/>
          <w:color w:val="auto"/>
          <w:sz w:val="24"/>
          <w:szCs w:val="24"/>
          <w:highlight w:val="none"/>
          <w:lang w:eastAsia="zh-CN"/>
        </w:rPr>
        <w:t>.00</w:t>
      </w:r>
    </w:p>
    <w:p w14:paraId="07D356A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合同履约期限：签订合同之日起至2026年4月30日止。</w:t>
      </w:r>
    </w:p>
    <w:p w14:paraId="046015F1">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本标项（否）接受联合体投标</w:t>
      </w:r>
    </w:p>
    <w:p w14:paraId="6387516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1FD94DA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p>
    <w:p w14:paraId="5A8F0BF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 xml:space="preserve"> </w:t>
      </w:r>
    </w:p>
    <w:p w14:paraId="069222C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p>
    <w:p w14:paraId="5E5C429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不限</w:t>
      </w:r>
    </w:p>
    <w:p w14:paraId="689F1E23">
      <w:pPr>
        <w:pageBreakBefore w:val="0"/>
        <w:widowControl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358000</w:t>
      </w:r>
      <w:r>
        <w:rPr>
          <w:rFonts w:hint="eastAsia" w:ascii="仿宋" w:hAnsi="仿宋" w:eastAsia="仿宋" w:cs="仿宋"/>
          <w:color w:val="auto"/>
          <w:sz w:val="24"/>
          <w:szCs w:val="24"/>
          <w:highlight w:val="none"/>
          <w:lang w:eastAsia="zh-CN"/>
        </w:rPr>
        <w:t>.00</w:t>
      </w:r>
    </w:p>
    <w:p w14:paraId="6EE31CF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kern w:val="2"/>
          <w:sz w:val="24"/>
          <w:szCs w:val="24"/>
          <w:highlight w:val="none"/>
          <w:lang w:val="en-US" w:eastAsia="zh-CN" w:bidi="ar-SA"/>
        </w:rPr>
        <w:t>民营企业招聘活动及服务（含离校未就业高校毕业生）1项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适配2026年全国、自治区公共就业专项行动相关文件要求，组织校外中型线下招聘会2场（配套网络招聘会2场）、校外小型线下招聘会1场（配套网络招聘会1场）、春季小型线下招聘会1场（配套网络招聘会1场）、人才集市1场等活动。具体要求详见招标文件。</w:t>
      </w:r>
    </w:p>
    <w:p w14:paraId="2D534E3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最高限价（如有）：</w:t>
      </w:r>
      <w:r>
        <w:rPr>
          <w:rFonts w:hint="eastAsia" w:ascii="仿宋" w:hAnsi="仿宋" w:eastAsia="仿宋" w:cs="仿宋"/>
          <w:color w:val="auto"/>
          <w:sz w:val="24"/>
          <w:szCs w:val="24"/>
          <w:highlight w:val="none"/>
          <w:lang w:val="en-US" w:eastAsia="zh-CN"/>
        </w:rPr>
        <w:t>358000</w:t>
      </w:r>
      <w:r>
        <w:rPr>
          <w:rFonts w:hint="eastAsia" w:ascii="仿宋" w:hAnsi="仿宋" w:eastAsia="仿宋" w:cs="仿宋"/>
          <w:color w:val="auto"/>
          <w:sz w:val="24"/>
          <w:szCs w:val="24"/>
          <w:highlight w:val="none"/>
          <w:lang w:eastAsia="zh-CN"/>
        </w:rPr>
        <w:t>.00</w:t>
      </w:r>
    </w:p>
    <w:p w14:paraId="7E4417C2">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合同履约期限：签订合同之日起至2026年4月30日止。</w:t>
      </w:r>
    </w:p>
    <w:p w14:paraId="44488140">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本标项（否）接受联合体投标</w:t>
      </w:r>
    </w:p>
    <w:p w14:paraId="2DA3575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6E9FDF4C">
      <w:pPr>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p>
    <w:p w14:paraId="49ADFA95">
      <w:pPr>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二、投标人的资格要求：</w:t>
      </w:r>
    </w:p>
    <w:p w14:paraId="5C5FEA3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4852894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eastAsia="zh-CN"/>
        </w:rPr>
        <w:t>无</w:t>
      </w:r>
      <w:r>
        <w:rPr>
          <w:rFonts w:hint="eastAsia" w:ascii="仿宋" w:hAnsi="仿宋" w:eastAsia="仿宋" w:cs="仿宋"/>
          <w:color w:val="auto"/>
          <w:sz w:val="24"/>
          <w:szCs w:val="24"/>
          <w:highlight w:val="none"/>
        </w:rPr>
        <w:t>。</w:t>
      </w:r>
    </w:p>
    <w:p w14:paraId="7C1167FD">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lang w:val="en-US" w:eastAsia="zh-CN"/>
        </w:rPr>
        <w:t>持有有效的《人力资源服务许可证》</w:t>
      </w:r>
      <w:r>
        <w:rPr>
          <w:rFonts w:hint="eastAsia" w:ascii="仿宋" w:hAnsi="仿宋" w:eastAsia="仿宋" w:cs="仿宋"/>
          <w:color w:val="auto"/>
          <w:sz w:val="24"/>
          <w:szCs w:val="24"/>
          <w:highlight w:val="none"/>
        </w:rPr>
        <w:t>。</w:t>
      </w:r>
    </w:p>
    <w:p w14:paraId="00B16592">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left="593" w:leftChars="200" w:hanging="173" w:hangingChars="72"/>
        <w:textAlignment w:val="auto"/>
        <w:rPr>
          <w:rFonts w:hint="eastAsia" w:ascii="仿宋" w:hAnsi="仿宋" w:eastAsia="仿宋" w:cs="仿宋"/>
          <w:color w:val="auto"/>
          <w:sz w:val="24"/>
          <w:szCs w:val="24"/>
          <w:highlight w:val="none"/>
        </w:rPr>
      </w:pPr>
    </w:p>
    <w:p w14:paraId="3C7FA40D">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left="593" w:leftChars="200" w:hanging="173" w:hangingChars="7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518B7E2E">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时间：公告发布时间</w:t>
      </w:r>
      <w:r>
        <w:rPr>
          <w:rFonts w:hint="eastAsia" w:ascii="仿宋" w:hAnsi="仿宋" w:eastAsia="仿宋" w:cs="仿宋"/>
          <w:color w:val="auto"/>
          <w:sz w:val="24"/>
          <w:szCs w:val="24"/>
          <w:highlight w:val="none"/>
          <w:lang w:eastAsia="zh-CN"/>
        </w:rPr>
        <w:t>起</w:t>
      </w:r>
      <w:r>
        <w:rPr>
          <w:rFonts w:hint="eastAsia" w:ascii="仿宋" w:hAnsi="仿宋" w:eastAsia="仿宋" w:cs="仿宋"/>
          <w:color w:val="auto"/>
          <w:sz w:val="24"/>
          <w:szCs w:val="24"/>
          <w:highlight w:val="none"/>
        </w:rPr>
        <w:t>至投标截止时间</w:t>
      </w:r>
      <w:r>
        <w:rPr>
          <w:rFonts w:hint="eastAsia" w:ascii="仿宋" w:hAnsi="仿宋" w:eastAsia="仿宋" w:cs="仿宋"/>
          <w:color w:val="auto"/>
          <w:sz w:val="24"/>
          <w:szCs w:val="24"/>
          <w:highlight w:val="none"/>
          <w:lang w:eastAsia="zh-CN"/>
        </w:rPr>
        <w:t>止。</w:t>
      </w:r>
    </w:p>
    <w:p w14:paraId="74C9F14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地点（网址）：“</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eastAsia="zh-CN"/>
        </w:rPr>
        <w:t>www.ccgp-guangxi.gov.cn</w:t>
      </w:r>
      <w:r>
        <w:rPr>
          <w:rFonts w:hint="eastAsia" w:ascii="仿宋" w:hAnsi="仿宋" w:eastAsia="仿宋" w:cs="仿宋"/>
          <w:color w:val="auto"/>
          <w:sz w:val="24"/>
          <w:szCs w:val="24"/>
          <w:highlight w:val="none"/>
        </w:rPr>
        <w:t>）。</w:t>
      </w:r>
    </w:p>
    <w:p w14:paraId="5321EE7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方式：潜在供应商在“</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w:t>
      </w:r>
      <w:r>
        <w:rPr>
          <w:rFonts w:hint="eastAsia" w:ascii="仿宋" w:hAnsi="仿宋" w:eastAsia="仿宋" w:cs="仿宋"/>
          <w:color w:val="auto"/>
          <w:sz w:val="24"/>
          <w:szCs w:val="24"/>
          <w:highlight w:val="none"/>
          <w:lang w:eastAsia="zh-CN"/>
        </w:rPr>
        <w:t>www.ccgp-guangxi.gov.cn</w:t>
      </w:r>
      <w:r>
        <w:rPr>
          <w:rFonts w:hint="eastAsia" w:ascii="仿宋" w:hAnsi="仿宋" w:eastAsia="仿宋" w:cs="仿宋"/>
          <w:color w:val="auto"/>
          <w:sz w:val="24"/>
          <w:szCs w:val="24"/>
          <w:highlight w:val="none"/>
        </w:rPr>
        <w:t>）网上免费下载招标文件电子版。</w:t>
      </w:r>
      <w:r>
        <w:rPr>
          <w:rFonts w:hint="eastAsia" w:ascii="仿宋" w:hAnsi="仿宋" w:eastAsia="仿宋" w:cs="仿宋"/>
          <w:b/>
          <w:color w:val="auto"/>
          <w:sz w:val="24"/>
          <w:szCs w:val="24"/>
          <w:highlight w:val="none"/>
        </w:rPr>
        <w:t>供应商</w:t>
      </w:r>
      <w:r>
        <w:rPr>
          <w:rFonts w:hint="eastAsia" w:ascii="仿宋" w:hAnsi="仿宋" w:eastAsia="仿宋" w:cs="仿宋"/>
          <w:b/>
          <w:bCs/>
          <w:color w:val="auto"/>
          <w:sz w:val="24"/>
          <w:szCs w:val="24"/>
          <w:highlight w:val="none"/>
        </w:rPr>
        <w:t>登录“</w:t>
      </w:r>
      <w:r>
        <w:rPr>
          <w:rFonts w:hint="eastAsia" w:ascii="仿宋" w:hAnsi="仿宋" w:eastAsia="仿宋" w:cs="仿宋"/>
          <w:b/>
          <w:bCs/>
          <w:color w:val="auto"/>
          <w:sz w:val="24"/>
          <w:szCs w:val="24"/>
          <w:highlight w:val="none"/>
          <w:lang w:eastAsia="zh-CN"/>
        </w:rPr>
        <w:t>广西政府采购云</w:t>
      </w:r>
      <w:r>
        <w:rPr>
          <w:rFonts w:hint="eastAsia" w:ascii="仿宋" w:hAnsi="仿宋" w:eastAsia="仿宋" w:cs="仿宋"/>
          <w:b/>
          <w:bCs/>
          <w:color w:val="auto"/>
          <w:sz w:val="24"/>
          <w:szCs w:val="24"/>
          <w:highlight w:val="none"/>
        </w:rPr>
        <w:t>”平台，应进行“申请获取</w:t>
      </w:r>
      <w:r>
        <w:rPr>
          <w:rFonts w:hint="eastAsia" w:ascii="仿宋" w:hAnsi="仿宋" w:eastAsia="仿宋" w:cs="仿宋"/>
          <w:b/>
          <w:bCs/>
          <w:color w:val="auto"/>
          <w:sz w:val="24"/>
          <w:szCs w:val="24"/>
          <w:highlight w:val="none"/>
          <w:lang w:eastAsia="zh-CN"/>
        </w:rPr>
        <w:t>招标文件</w:t>
      </w:r>
      <w:r>
        <w:rPr>
          <w:rFonts w:hint="eastAsia" w:ascii="仿宋" w:hAnsi="仿宋" w:eastAsia="仿宋" w:cs="仿宋"/>
          <w:b/>
          <w:bCs/>
          <w:color w:val="auto"/>
          <w:sz w:val="24"/>
          <w:szCs w:val="24"/>
          <w:highlight w:val="none"/>
        </w:rPr>
        <w:t>”操作，否则，有可能导致无法在线编制投标文件并参与投标，其不利后果由供应商自行承担。</w:t>
      </w:r>
    </w:p>
    <w:p w14:paraId="7C0A52D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5700F308">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20348E4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提交投标文件截止时间：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bCs/>
          <w:color w:val="auto"/>
          <w:sz w:val="24"/>
          <w:szCs w:val="24"/>
          <w:highlight w:val="none"/>
        </w:rPr>
        <w:t>上午 09：30（北京时间）</w:t>
      </w:r>
    </w:p>
    <w:p w14:paraId="4B5EE7A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auto"/>
          <w:sz w:val="24"/>
          <w:szCs w:val="24"/>
          <w:highlight w:val="none"/>
        </w:rPr>
      </w:pPr>
      <w:bookmarkStart w:id="12" w:name="_Toc28359007"/>
      <w:bookmarkStart w:id="13" w:name="_Toc35393794"/>
      <w:bookmarkStart w:id="14" w:name="_Toc28359084"/>
      <w:bookmarkStart w:id="15" w:name="_Toc35393625"/>
      <w:r>
        <w:rPr>
          <w:rFonts w:hint="eastAsia" w:ascii="仿宋" w:hAnsi="仿宋" w:eastAsia="仿宋" w:cs="仿宋"/>
          <w:bCs/>
          <w:color w:val="auto"/>
          <w:sz w:val="24"/>
          <w:szCs w:val="24"/>
          <w:highlight w:val="none"/>
        </w:rPr>
        <w:t>投标地点：通过“</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”平台在线投标</w:t>
      </w:r>
    </w:p>
    <w:p w14:paraId="1088934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开标时间：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bCs/>
          <w:color w:val="auto"/>
          <w:sz w:val="24"/>
          <w:szCs w:val="24"/>
          <w:highlight w:val="none"/>
        </w:rPr>
        <w:t>上午 09：30（北京时间）</w:t>
      </w:r>
    </w:p>
    <w:p w14:paraId="08863C08">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开标地点：通过“</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”平台在线解密、开标。</w:t>
      </w:r>
    </w:p>
    <w:p w14:paraId="5C14B328">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82" w:firstLineChars="200"/>
        <w:textAlignment w:val="auto"/>
        <w:rPr>
          <w:rFonts w:hint="eastAsia" w:ascii="仿宋" w:hAnsi="仿宋" w:eastAsia="仿宋" w:cs="仿宋"/>
          <w:color w:val="auto"/>
          <w:sz w:val="24"/>
          <w:szCs w:val="24"/>
          <w:highlight w:val="none"/>
        </w:rPr>
      </w:pPr>
    </w:p>
    <w:p w14:paraId="6EFCF297">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bookmarkEnd w:id="12"/>
      <w:bookmarkEnd w:id="13"/>
      <w:bookmarkEnd w:id="14"/>
      <w:bookmarkEnd w:id="15"/>
    </w:p>
    <w:p w14:paraId="42B12532">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自本公告发布之日起5个工作日。</w:t>
      </w:r>
    </w:p>
    <w:p w14:paraId="461EEA8B">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82" w:firstLineChars="200"/>
        <w:textAlignment w:val="auto"/>
        <w:rPr>
          <w:rFonts w:hint="eastAsia" w:ascii="仿宋" w:hAnsi="仿宋" w:eastAsia="仿宋" w:cs="仿宋"/>
          <w:color w:val="auto"/>
          <w:sz w:val="24"/>
          <w:szCs w:val="24"/>
          <w:highlight w:val="none"/>
        </w:rPr>
      </w:pPr>
      <w:bookmarkStart w:id="16" w:name="_Toc35393626"/>
      <w:bookmarkStart w:id="17" w:name="_Toc35393795"/>
    </w:p>
    <w:p w14:paraId="17662083">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六、其他补充事宜</w:t>
      </w:r>
      <w:bookmarkEnd w:id="16"/>
      <w:bookmarkEnd w:id="17"/>
    </w:p>
    <w:p w14:paraId="1378B0C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1.信息公告发布媒体：</w:t>
      </w:r>
    </w:p>
    <w:p w14:paraId="09871AE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中国政府采购网（www.ccgp.gov.cn）、</w:t>
      </w:r>
      <w:r>
        <w:rPr>
          <w:rFonts w:hint="eastAsia" w:ascii="仿宋" w:hAnsi="仿宋" w:eastAsia="仿宋" w:cs="仿宋"/>
          <w:color w:val="auto"/>
          <w:sz w:val="24"/>
          <w:szCs w:val="24"/>
          <w:highlight w:val="none"/>
          <w:lang w:eastAsia="zh-CN"/>
        </w:rPr>
        <w:t>广西壮族自治区政府采购网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www.ccgp-guangxi.gov.cn</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桂林市政府采购网（gl.zfcg.zcygov.cn）</w:t>
      </w:r>
      <w:r>
        <w:rPr>
          <w:rFonts w:hint="eastAsia" w:ascii="仿宋" w:hAnsi="仿宋" w:eastAsia="仿宋" w:cs="仿宋"/>
          <w:bCs/>
          <w:color w:val="auto"/>
          <w:sz w:val="24"/>
          <w:szCs w:val="24"/>
          <w:highlight w:val="none"/>
        </w:rPr>
        <w:t>。</w:t>
      </w:r>
    </w:p>
    <w:p w14:paraId="5810FEAC">
      <w:pPr>
        <w:pageBreakBefore w:val="0"/>
        <w:widowControl w:val="0"/>
        <w:tabs>
          <w:tab w:val="left" w:pos="2190"/>
        </w:tabs>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否则，采购代理机构有权拒收。</w:t>
      </w:r>
    </w:p>
    <w:p w14:paraId="2DF7F8E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3.本项目需要落实的政府采购政策</w:t>
      </w:r>
    </w:p>
    <w:p w14:paraId="2148E88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（1）政府采购促进中小企业发展。</w:t>
      </w:r>
    </w:p>
    <w:p w14:paraId="3D677D49">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（2）政府采购支持监狱企业发展。</w:t>
      </w:r>
    </w:p>
    <w:p w14:paraId="24326E0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（3）政府采购促进残疾人就业政策。</w:t>
      </w:r>
    </w:p>
    <w:p w14:paraId="77DCAD74">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（4）本项目为服务项目，采购内容不涉及政府强制采购节能产品。</w:t>
      </w:r>
    </w:p>
    <w:p w14:paraId="4630FBD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（5）本项目为服务项目，采购内容不涉及节能产品、环境标志产品。</w:t>
      </w:r>
    </w:p>
    <w:p w14:paraId="468A1AC5">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（6）本项目为服务项目，采购内容不涉及本国产品的政策。</w:t>
      </w:r>
    </w:p>
    <w:p w14:paraId="517F80FB">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4.资格要求特别说明：</w:t>
      </w:r>
    </w:p>
    <w:p w14:paraId="3F110F37">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512B89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DB86AFC">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”平台电子投标相关事宜：</w:t>
      </w:r>
    </w:p>
    <w:p w14:paraId="121350DA">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（1）本项目实行全流程电子化采购，投标人通过“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”平台参与电子投标，并应做好以下相关准备工作：①在“</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注册成为正式供应商（操作方法详见广西壮族自治区政府采购网—办事服务—办事指南）；②完成CA认证证书申领和绑定（费用由投标人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电子投标客户端”）并安装成功，投标人应当在投标文件提交截止时间前在“</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”平台完成的身份认证，确保能够对相关数据电文进行加密和使用电子签章；④自备计算机和网络设备并确保能接入互联网（费用由投标人自行承担，设备确保可进行视频通话和读取</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CA认证证书）。因投标人未做好相关准备工作等自身原因导致无法参加本项目电子投标或投标失败的，造成的一切后果，由投标人自行承担。</w:t>
      </w:r>
    </w:p>
    <w:p w14:paraId="5CEF31AF">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（2）电子投标具体操作流程参考《政府采购项目电子交易管理操作指南-供应商》（详见桂林市政府采购网—采购资讯—重要通知）；如遇平台技术问题详询95763。</w:t>
      </w:r>
    </w:p>
    <w:p w14:paraId="1A0D8596">
      <w:pPr>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（3）电子投标文件的制作、加密、提交、解密等相关事宜详见第二章 “投标人须知”</w:t>
      </w:r>
      <w:r>
        <w:rPr>
          <w:rFonts w:hint="eastAsia" w:ascii="仿宋" w:hAnsi="仿宋" w:eastAsia="仿宋" w:cs="仿宋"/>
          <w:bCs/>
          <w:color w:val="auto"/>
          <w:sz w:val="24"/>
          <w:szCs w:val="24"/>
          <w:highlight w:val="none"/>
        </w:rPr>
        <w:t>。</w:t>
      </w:r>
    </w:p>
    <w:p w14:paraId="28809F28">
      <w:pPr>
        <w:pStyle w:val="3"/>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82" w:firstLineChars="200"/>
        <w:textAlignment w:val="auto"/>
        <w:rPr>
          <w:rFonts w:hint="eastAsia" w:ascii="仿宋" w:hAnsi="仿宋" w:eastAsia="仿宋" w:cs="仿宋"/>
          <w:color w:val="auto"/>
          <w:sz w:val="24"/>
          <w:szCs w:val="24"/>
          <w:highlight w:val="none"/>
        </w:rPr>
      </w:pPr>
      <w:bookmarkStart w:id="18" w:name="_Toc28359008"/>
      <w:bookmarkStart w:id="19" w:name="_Toc35393796"/>
      <w:bookmarkStart w:id="20" w:name="_Toc35393627"/>
      <w:bookmarkStart w:id="21" w:name="_Toc28359085"/>
      <w:r>
        <w:rPr>
          <w:rFonts w:hint="eastAsia" w:ascii="仿宋" w:hAnsi="仿宋" w:eastAsia="仿宋" w:cs="仿宋"/>
          <w:color w:val="auto"/>
          <w:sz w:val="24"/>
          <w:szCs w:val="24"/>
          <w:highlight w:val="none"/>
        </w:rPr>
        <w:t>七、对本次招标提出询问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请按以下方式联系。</w:t>
      </w:r>
      <w:bookmarkEnd w:id="18"/>
      <w:bookmarkEnd w:id="19"/>
      <w:bookmarkEnd w:id="20"/>
      <w:bookmarkEnd w:id="21"/>
    </w:p>
    <w:p w14:paraId="79D64841">
      <w:pPr>
        <w:pageBreakBefore w:val="0"/>
        <w:widowControl w:val="0"/>
        <w:kinsoku/>
        <w:wordWrap/>
        <w:overflowPunct/>
        <w:topLinePunct w:val="0"/>
        <w:autoSpaceDE/>
        <w:autoSpaceDN/>
        <w:bidi w:val="0"/>
        <w:spacing w:line="400" w:lineRule="exact"/>
        <w:ind w:firstLine="42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61F3D788">
      <w:pPr>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桂林市人才服务中心</w:t>
      </w:r>
    </w:p>
    <w:p w14:paraId="4986A760">
      <w:pPr>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桂林市南环路竹木巷8号桂林市人才大厦</w:t>
      </w:r>
    </w:p>
    <w:p w14:paraId="66BF176F">
      <w:pPr>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陈健</w:t>
      </w:r>
      <w:r>
        <w:rPr>
          <w:rFonts w:hint="eastAsia" w:ascii="仿宋" w:hAnsi="仿宋" w:eastAsia="仿宋" w:cs="仿宋"/>
          <w:color w:val="auto"/>
          <w:sz w:val="24"/>
          <w:szCs w:val="24"/>
          <w:highlight w:val="none"/>
        </w:rPr>
        <w:t xml:space="preserve">  联系电话：0773-2899353</w:t>
      </w:r>
    </w:p>
    <w:p w14:paraId="3BF53BE0">
      <w:pPr>
        <w:pageBreakBefore w:val="0"/>
        <w:widowControl w:val="0"/>
        <w:kinsoku/>
        <w:wordWrap/>
        <w:overflowPunct/>
        <w:topLinePunct w:val="0"/>
        <w:autoSpaceDE/>
        <w:autoSpaceDN/>
        <w:bidi w:val="0"/>
        <w:spacing w:line="400" w:lineRule="exact"/>
        <w:ind w:firstLine="42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2.采购代理机构信息</w:t>
      </w:r>
    </w:p>
    <w:p w14:paraId="5DCE738E">
      <w:pPr>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广西科文招标有限公司</w:t>
      </w:r>
    </w:p>
    <w:p w14:paraId="6B6D3B6A">
      <w:pPr>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址：桂林市七星区穿山东路41号彰泰•天街V+国际中心1#楼八层802号</w:t>
      </w:r>
    </w:p>
    <w:p w14:paraId="34BFC845">
      <w:pPr>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联系方式：0773-</w:t>
      </w:r>
      <w:r>
        <w:rPr>
          <w:rFonts w:hint="eastAsia" w:ascii="仿宋" w:hAnsi="仿宋" w:eastAsia="仿宋" w:cs="仿宋"/>
          <w:color w:val="auto"/>
          <w:sz w:val="24"/>
          <w:szCs w:val="24"/>
          <w:highlight w:val="none"/>
          <w:lang w:val="en-US" w:eastAsia="zh-CN"/>
        </w:rPr>
        <w:t>8998063</w:t>
      </w:r>
      <w:r>
        <w:rPr>
          <w:rFonts w:hint="eastAsia" w:ascii="仿宋" w:hAnsi="仿宋" w:eastAsia="仿宋" w:cs="仿宋"/>
          <w:color w:val="auto"/>
          <w:sz w:val="24"/>
          <w:szCs w:val="24"/>
          <w:highlight w:val="none"/>
        </w:rPr>
        <w:t xml:space="preserve"> </w:t>
      </w:r>
    </w:p>
    <w:p w14:paraId="69896611">
      <w:pPr>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3.项目联系方式</w:t>
      </w:r>
    </w:p>
    <w:p w14:paraId="3253D15A">
      <w:pPr>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项目联系人：潘</w:t>
      </w:r>
      <w:r>
        <w:rPr>
          <w:rFonts w:hint="eastAsia" w:ascii="仿宋" w:hAnsi="仿宋" w:eastAsia="仿宋" w:cs="仿宋"/>
          <w:color w:val="auto"/>
          <w:sz w:val="24"/>
          <w:szCs w:val="24"/>
          <w:highlight w:val="none"/>
          <w:lang w:val="en-US" w:eastAsia="zh-CN"/>
        </w:rPr>
        <w:t>虹</w:t>
      </w:r>
    </w:p>
    <w:p w14:paraId="5229BCE8">
      <w:pPr>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rPr>
        <w:t>电    话：0773-8998063</w:t>
      </w:r>
    </w:p>
    <w:p w14:paraId="42A1FC90">
      <w:pPr>
        <w:spacing w:line="400" w:lineRule="exact"/>
        <w:ind w:firstLine="420"/>
        <w:rPr>
          <w:rFonts w:hint="eastAsia" w:ascii="仿宋" w:hAnsi="仿宋" w:eastAsia="仿宋" w:cs="仿宋"/>
          <w:color w:val="auto"/>
          <w:highlight w:val="none"/>
        </w:rPr>
      </w:pPr>
    </w:p>
    <w:p w14:paraId="7819DC5E">
      <w:pPr>
        <w:spacing w:line="360" w:lineRule="exact"/>
        <w:jc w:val="center"/>
        <w:rPr>
          <w:rStyle w:val="18"/>
          <w:rFonts w:hint="eastAsia" w:ascii="仿宋" w:hAnsi="仿宋" w:eastAsia="仿宋" w:cs="仿宋"/>
          <w:color w:val="auto"/>
          <w:highlight w:val="none"/>
          <w:lang w:val="en-US" w:eastAsia="zh-CN"/>
        </w:rPr>
      </w:pPr>
      <w:bookmarkStart w:id="22" w:name="_Toc15834"/>
    </w:p>
    <w:p w14:paraId="0CF30F4A">
      <w:pPr>
        <w:spacing w:line="360" w:lineRule="exact"/>
        <w:jc w:val="center"/>
        <w:rPr>
          <w:rStyle w:val="18"/>
          <w:rFonts w:hint="eastAsia" w:ascii="仿宋" w:hAnsi="仿宋" w:eastAsia="仿宋" w:cs="仿宋"/>
          <w:color w:val="auto"/>
          <w:highlight w:val="none"/>
          <w:lang w:val="en-US" w:eastAsia="zh-CN"/>
        </w:rPr>
      </w:pPr>
    </w:p>
    <w:p w14:paraId="4B1A8A07">
      <w:pPr>
        <w:spacing w:line="360" w:lineRule="exact"/>
        <w:jc w:val="center"/>
        <w:rPr>
          <w:rStyle w:val="18"/>
          <w:rFonts w:hint="default" w:ascii="仿宋" w:hAnsi="仿宋" w:eastAsia="仿宋" w:cs="仿宋"/>
          <w:color w:val="auto"/>
          <w:highlight w:val="none"/>
          <w:lang w:val="en-US" w:eastAsia="zh-CN"/>
        </w:rPr>
      </w:pPr>
      <w:r>
        <w:rPr>
          <w:rStyle w:val="18"/>
          <w:rFonts w:hint="eastAsia" w:ascii="仿宋" w:hAnsi="仿宋" w:eastAsia="仿宋" w:cs="仿宋"/>
          <w:color w:val="auto"/>
          <w:highlight w:val="none"/>
          <w:lang w:val="en-US" w:eastAsia="zh-CN"/>
        </w:rPr>
        <w:t xml:space="preserve">      </w:t>
      </w:r>
      <w:r>
        <w:rPr>
          <w:rFonts w:hint="eastAsia" w:ascii="仿宋" w:hAnsi="仿宋" w:eastAsia="仿宋" w:cs="仿宋"/>
          <w:color w:val="auto"/>
          <w:sz w:val="24"/>
          <w:szCs w:val="24"/>
          <w:highlight w:val="none"/>
          <w:lang w:val="en-US" w:eastAsia="zh-CN"/>
        </w:rPr>
        <w:t xml:space="preserve">                                        2026年3月11日</w:t>
      </w:r>
    </w:p>
    <w:p w14:paraId="5B74F536">
      <w:pPr>
        <w:spacing w:line="360" w:lineRule="exact"/>
        <w:jc w:val="center"/>
        <w:rPr>
          <w:rStyle w:val="18"/>
          <w:rFonts w:hint="eastAsia" w:ascii="仿宋" w:hAnsi="仿宋" w:eastAsia="仿宋" w:cs="仿宋"/>
          <w:color w:val="auto"/>
          <w:highlight w:val="none"/>
          <w:lang w:val="en-US" w:eastAsia="zh-CN"/>
        </w:rPr>
      </w:pPr>
    </w:p>
    <w:p w14:paraId="09B52C4D">
      <w:pPr>
        <w:spacing w:line="360" w:lineRule="exact"/>
        <w:jc w:val="center"/>
        <w:rPr>
          <w:rStyle w:val="18"/>
          <w:rFonts w:hint="eastAsia" w:ascii="仿宋" w:hAnsi="仿宋" w:eastAsia="仿宋" w:cs="仿宋"/>
          <w:color w:val="auto"/>
          <w:highlight w:val="none"/>
          <w:lang w:val="en-US" w:eastAsia="zh-CN"/>
        </w:rPr>
      </w:pPr>
    </w:p>
    <w:p w14:paraId="3EA1E4B0">
      <w:pPr>
        <w:spacing w:line="360" w:lineRule="exact"/>
        <w:jc w:val="center"/>
        <w:rPr>
          <w:rStyle w:val="18"/>
          <w:rFonts w:hint="eastAsia" w:ascii="仿宋" w:hAnsi="仿宋" w:eastAsia="仿宋" w:cs="仿宋"/>
          <w:color w:val="auto"/>
          <w:highlight w:val="none"/>
          <w:lang w:val="en-US" w:eastAsia="zh-CN"/>
        </w:rPr>
      </w:pPr>
    </w:p>
    <w:p w14:paraId="4A200879">
      <w:pPr>
        <w:spacing w:line="360" w:lineRule="exact"/>
        <w:jc w:val="center"/>
        <w:rPr>
          <w:rStyle w:val="18"/>
          <w:rFonts w:hint="eastAsia" w:ascii="仿宋" w:hAnsi="仿宋" w:eastAsia="仿宋" w:cs="仿宋"/>
          <w:color w:val="auto"/>
          <w:highlight w:val="none"/>
          <w:lang w:val="en-US" w:eastAsia="zh-CN"/>
        </w:rPr>
      </w:pPr>
    </w:p>
    <w:p w14:paraId="489792A1">
      <w:pPr>
        <w:spacing w:line="360" w:lineRule="exact"/>
        <w:jc w:val="center"/>
        <w:rPr>
          <w:rStyle w:val="18"/>
          <w:rFonts w:hint="eastAsia" w:ascii="仿宋" w:hAnsi="仿宋" w:eastAsia="仿宋" w:cs="仿宋"/>
          <w:color w:val="auto"/>
          <w:highlight w:val="none"/>
          <w:lang w:val="en-US" w:eastAsia="zh-CN"/>
        </w:rPr>
      </w:pPr>
    </w:p>
    <w:p w14:paraId="23F74F0B">
      <w:pPr>
        <w:spacing w:line="360" w:lineRule="exact"/>
        <w:jc w:val="center"/>
        <w:rPr>
          <w:rStyle w:val="18"/>
          <w:rFonts w:hint="eastAsia" w:ascii="仿宋" w:hAnsi="仿宋" w:eastAsia="仿宋" w:cs="仿宋"/>
          <w:color w:val="auto"/>
          <w:highlight w:val="none"/>
          <w:lang w:val="en-US" w:eastAsia="zh-CN"/>
        </w:rPr>
      </w:pPr>
    </w:p>
    <w:p w14:paraId="368CA98B">
      <w:pPr>
        <w:spacing w:line="360" w:lineRule="exact"/>
        <w:jc w:val="center"/>
        <w:rPr>
          <w:rStyle w:val="18"/>
          <w:rFonts w:hint="eastAsia" w:ascii="仿宋" w:hAnsi="仿宋" w:eastAsia="仿宋" w:cs="仿宋"/>
          <w:color w:val="auto"/>
          <w:highlight w:val="none"/>
          <w:lang w:val="en-US" w:eastAsia="zh-CN"/>
        </w:rPr>
      </w:pPr>
    </w:p>
    <w:p w14:paraId="7FFEE0A3">
      <w:pPr>
        <w:spacing w:line="360" w:lineRule="exact"/>
        <w:jc w:val="center"/>
        <w:rPr>
          <w:rStyle w:val="18"/>
          <w:rFonts w:hint="eastAsia" w:ascii="仿宋" w:hAnsi="仿宋" w:eastAsia="仿宋" w:cs="仿宋"/>
          <w:color w:val="auto"/>
          <w:highlight w:val="none"/>
          <w:lang w:val="en-US" w:eastAsia="zh-CN"/>
        </w:rPr>
      </w:pPr>
    </w:p>
    <w:p w14:paraId="6D6A4ED3">
      <w:pPr>
        <w:spacing w:line="360" w:lineRule="exact"/>
        <w:jc w:val="center"/>
        <w:rPr>
          <w:rStyle w:val="18"/>
          <w:rFonts w:hint="eastAsia" w:ascii="仿宋" w:hAnsi="仿宋" w:eastAsia="仿宋" w:cs="仿宋"/>
          <w:color w:val="auto"/>
          <w:highlight w:val="none"/>
          <w:lang w:val="en-US" w:eastAsia="zh-CN"/>
        </w:rPr>
      </w:pPr>
    </w:p>
    <w:p w14:paraId="513EC8EC">
      <w:pPr>
        <w:spacing w:line="360" w:lineRule="exact"/>
        <w:jc w:val="center"/>
        <w:rPr>
          <w:rStyle w:val="18"/>
          <w:rFonts w:hint="eastAsia" w:ascii="仿宋" w:hAnsi="仿宋" w:eastAsia="仿宋" w:cs="仿宋"/>
          <w:color w:val="auto"/>
          <w:highlight w:val="none"/>
          <w:lang w:val="en-US" w:eastAsia="zh-CN"/>
        </w:rPr>
      </w:pPr>
    </w:p>
    <w:p w14:paraId="2984FABD">
      <w:pPr>
        <w:spacing w:line="360" w:lineRule="exact"/>
        <w:jc w:val="center"/>
        <w:rPr>
          <w:rStyle w:val="18"/>
          <w:rFonts w:hint="eastAsia" w:ascii="仿宋" w:hAnsi="仿宋" w:eastAsia="仿宋" w:cs="仿宋"/>
          <w:color w:val="auto"/>
          <w:highlight w:val="none"/>
          <w:lang w:val="en-US" w:eastAsia="zh-CN"/>
        </w:rPr>
      </w:pPr>
    </w:p>
    <w:p w14:paraId="3E8D171D">
      <w:pPr>
        <w:spacing w:line="360" w:lineRule="exact"/>
        <w:jc w:val="center"/>
        <w:rPr>
          <w:rStyle w:val="18"/>
          <w:rFonts w:hint="eastAsia" w:ascii="仿宋" w:hAnsi="仿宋" w:eastAsia="仿宋" w:cs="仿宋"/>
          <w:color w:val="auto"/>
          <w:highlight w:val="none"/>
          <w:lang w:val="en-US" w:eastAsia="zh-CN"/>
        </w:rPr>
      </w:pPr>
    </w:p>
    <w:p w14:paraId="2F728C95">
      <w:pPr>
        <w:spacing w:line="360" w:lineRule="exact"/>
        <w:jc w:val="center"/>
        <w:rPr>
          <w:rStyle w:val="18"/>
          <w:rFonts w:hint="eastAsia" w:ascii="仿宋" w:hAnsi="仿宋" w:eastAsia="仿宋" w:cs="仿宋"/>
          <w:color w:val="auto"/>
          <w:highlight w:val="none"/>
          <w:lang w:val="en-US" w:eastAsia="zh-CN"/>
        </w:rPr>
      </w:pPr>
    </w:p>
    <w:p w14:paraId="4057C9CF">
      <w:pPr>
        <w:spacing w:line="360" w:lineRule="exact"/>
        <w:jc w:val="center"/>
        <w:rPr>
          <w:rStyle w:val="18"/>
          <w:rFonts w:hint="eastAsia" w:ascii="仿宋" w:hAnsi="仿宋" w:eastAsia="仿宋" w:cs="仿宋"/>
          <w:color w:val="auto"/>
          <w:highlight w:val="none"/>
          <w:lang w:val="en-US" w:eastAsia="zh-CN"/>
        </w:rPr>
      </w:pPr>
    </w:p>
    <w:p w14:paraId="2B03EB03">
      <w:pPr>
        <w:spacing w:line="360" w:lineRule="exact"/>
        <w:jc w:val="center"/>
        <w:rPr>
          <w:rStyle w:val="18"/>
          <w:rFonts w:hint="eastAsia" w:ascii="仿宋" w:hAnsi="仿宋" w:eastAsia="仿宋" w:cs="仿宋"/>
          <w:color w:val="auto"/>
          <w:highlight w:val="none"/>
          <w:lang w:val="en-US" w:eastAsia="zh-CN"/>
        </w:rPr>
      </w:pPr>
    </w:p>
    <w:p w14:paraId="28DFBBA6">
      <w:pPr>
        <w:spacing w:line="360" w:lineRule="exact"/>
        <w:jc w:val="center"/>
        <w:rPr>
          <w:rStyle w:val="18"/>
          <w:rFonts w:hint="eastAsia" w:ascii="仿宋" w:hAnsi="仿宋" w:eastAsia="仿宋" w:cs="仿宋"/>
          <w:color w:val="auto"/>
          <w:highlight w:val="none"/>
          <w:lang w:val="en-US" w:eastAsia="zh-CN"/>
        </w:rPr>
      </w:pPr>
    </w:p>
    <w:p w14:paraId="3B6C7C6A">
      <w:pPr>
        <w:spacing w:line="360" w:lineRule="exact"/>
        <w:jc w:val="center"/>
        <w:rPr>
          <w:rStyle w:val="18"/>
          <w:rFonts w:hint="eastAsia" w:ascii="仿宋" w:hAnsi="仿宋" w:eastAsia="仿宋" w:cs="仿宋"/>
          <w:color w:val="auto"/>
          <w:highlight w:val="none"/>
          <w:lang w:val="en-US" w:eastAsia="zh-CN"/>
        </w:rPr>
      </w:pPr>
    </w:p>
    <w:p w14:paraId="6D6F2301">
      <w:pPr>
        <w:spacing w:line="360" w:lineRule="exact"/>
        <w:jc w:val="center"/>
        <w:rPr>
          <w:rStyle w:val="18"/>
          <w:rFonts w:hint="eastAsia" w:ascii="仿宋" w:hAnsi="仿宋" w:eastAsia="仿宋" w:cs="仿宋"/>
          <w:color w:val="auto"/>
          <w:highlight w:val="none"/>
          <w:lang w:val="en-US" w:eastAsia="zh-CN"/>
        </w:rPr>
      </w:pPr>
    </w:p>
    <w:p w14:paraId="32F87789">
      <w:pPr>
        <w:spacing w:line="360" w:lineRule="exact"/>
        <w:jc w:val="center"/>
        <w:rPr>
          <w:rStyle w:val="18"/>
          <w:rFonts w:hint="eastAsia" w:ascii="仿宋" w:hAnsi="仿宋" w:eastAsia="仿宋" w:cs="仿宋"/>
          <w:color w:val="auto"/>
          <w:highlight w:val="none"/>
          <w:lang w:val="en-US" w:eastAsia="zh-CN"/>
        </w:rPr>
      </w:pPr>
    </w:p>
    <w:p w14:paraId="7CED8128">
      <w:pPr>
        <w:spacing w:line="360" w:lineRule="exact"/>
        <w:jc w:val="center"/>
        <w:rPr>
          <w:rFonts w:hint="eastAsia" w:ascii="仿宋" w:hAnsi="仿宋" w:eastAsia="仿宋" w:cs="仿宋"/>
          <w:b/>
          <w:color w:val="auto"/>
          <w:sz w:val="32"/>
          <w:szCs w:val="32"/>
          <w:highlight w:val="none"/>
        </w:rPr>
      </w:pPr>
      <w:bookmarkStart w:id="23" w:name="_Toc3599"/>
      <w:r>
        <w:rPr>
          <w:rStyle w:val="18"/>
          <w:rFonts w:hint="eastAsia" w:ascii="仿宋" w:hAnsi="仿宋" w:eastAsia="仿宋" w:cs="仿宋"/>
          <w:color w:val="auto"/>
          <w:highlight w:val="none"/>
          <w:lang w:val="en-US" w:eastAsia="zh-CN"/>
        </w:rPr>
        <w:t>第二章  投标人须知</w:t>
      </w:r>
      <w:bookmarkEnd w:id="22"/>
      <w:bookmarkEnd w:id="23"/>
    </w:p>
    <w:p w14:paraId="407E805C">
      <w:pPr>
        <w:tabs>
          <w:tab w:val="left" w:pos="1065"/>
          <w:tab w:val="center" w:pos="4411"/>
        </w:tabs>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投标人须知前附表</w:t>
      </w:r>
    </w:p>
    <w:tbl>
      <w:tblPr>
        <w:tblStyle w:val="16"/>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51"/>
        <w:gridCol w:w="1804"/>
        <w:gridCol w:w="6781"/>
      </w:tblGrid>
      <w:tr w14:paraId="7A21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4" w:type="dxa"/>
            <w:noWrap w:val="0"/>
            <w:vAlign w:val="center"/>
          </w:tcPr>
          <w:p w14:paraId="69ACE790">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851" w:type="dxa"/>
            <w:noWrap w:val="0"/>
            <w:vAlign w:val="center"/>
          </w:tcPr>
          <w:p w14:paraId="75C73FC2">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1804" w:type="dxa"/>
            <w:noWrap w:val="0"/>
            <w:vAlign w:val="center"/>
          </w:tcPr>
          <w:p w14:paraId="49D1143E">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781" w:type="dxa"/>
            <w:noWrap w:val="0"/>
            <w:vAlign w:val="center"/>
          </w:tcPr>
          <w:p w14:paraId="5EFF30D3">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内容、要求</w:t>
            </w:r>
          </w:p>
        </w:tc>
      </w:tr>
      <w:tr w14:paraId="5F6D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24" w:type="dxa"/>
            <w:noWrap w:val="0"/>
            <w:vAlign w:val="center"/>
          </w:tcPr>
          <w:p w14:paraId="075C9E1A">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51" w:type="dxa"/>
            <w:noWrap w:val="0"/>
            <w:vAlign w:val="center"/>
          </w:tcPr>
          <w:p w14:paraId="072EF48B">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04" w:type="dxa"/>
            <w:noWrap w:val="0"/>
            <w:vAlign w:val="center"/>
          </w:tcPr>
          <w:p w14:paraId="0567B6E2">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项目名称及项目编号</w:t>
            </w:r>
          </w:p>
        </w:tc>
        <w:tc>
          <w:tcPr>
            <w:tcW w:w="6781" w:type="dxa"/>
            <w:noWrap w:val="0"/>
            <w:vAlign w:val="center"/>
          </w:tcPr>
          <w:p w14:paraId="3A281D30">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2026年高校毕业生就业活动组织及配套服务采购</w:t>
            </w:r>
          </w:p>
          <w:p w14:paraId="47B92100">
            <w:pPr>
              <w:keepNext w:val="0"/>
              <w:keepLines w:val="0"/>
              <w:pageBreakBefore w:val="0"/>
              <w:kinsoku/>
              <w:wordWrap/>
              <w:overflowPunct/>
              <w:topLinePunct w:val="0"/>
              <w:bidi w:val="0"/>
              <w:adjustRightInd/>
              <w:spacing w:line="40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GLZC2026-G3-990073-KWZB </w:t>
            </w:r>
          </w:p>
        </w:tc>
      </w:tr>
      <w:tr w14:paraId="4962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24" w:type="dxa"/>
            <w:noWrap w:val="0"/>
            <w:vAlign w:val="center"/>
          </w:tcPr>
          <w:p w14:paraId="23C31713">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51" w:type="dxa"/>
            <w:noWrap w:val="0"/>
            <w:vAlign w:val="center"/>
          </w:tcPr>
          <w:p w14:paraId="54D759F6">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804" w:type="dxa"/>
            <w:noWrap w:val="0"/>
            <w:vAlign w:val="center"/>
          </w:tcPr>
          <w:p w14:paraId="5A8F28C2">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投标人资格</w:t>
            </w:r>
          </w:p>
        </w:tc>
        <w:tc>
          <w:tcPr>
            <w:tcW w:w="6781" w:type="dxa"/>
            <w:noWrap w:val="0"/>
            <w:vAlign w:val="center"/>
          </w:tcPr>
          <w:p w14:paraId="0470F0E4">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5.1满足《中华人民共和国政府采购法》第二十二条规定。</w:t>
            </w:r>
          </w:p>
          <w:p w14:paraId="0A901201">
            <w:pPr>
              <w:keepNext w:val="0"/>
              <w:keepLines w:val="0"/>
              <w:pageBreakBefore w:val="0"/>
              <w:kinsoku/>
              <w:wordWrap/>
              <w:overflowPunct/>
              <w:topLinePunct w:val="0"/>
              <w:bidi w:val="0"/>
              <w:adjustRightInd/>
              <w:spacing w:line="4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5.2落实政府采购政策需满足的资格要求：</w:t>
            </w:r>
            <w:r>
              <w:rPr>
                <w:rFonts w:hint="eastAsia" w:ascii="仿宋" w:hAnsi="仿宋" w:eastAsia="仿宋" w:cs="仿宋"/>
                <w:color w:val="auto"/>
                <w:sz w:val="24"/>
                <w:szCs w:val="24"/>
                <w:highlight w:val="none"/>
                <w:lang w:eastAsia="zh-CN"/>
              </w:rPr>
              <w:t>无</w:t>
            </w:r>
            <w:r>
              <w:rPr>
                <w:rFonts w:hint="eastAsia" w:ascii="仿宋" w:hAnsi="仿宋" w:eastAsia="仿宋" w:cs="仿宋"/>
                <w:color w:val="auto"/>
                <w:sz w:val="24"/>
                <w:szCs w:val="24"/>
                <w:highlight w:val="none"/>
              </w:rPr>
              <w:t>。</w:t>
            </w:r>
          </w:p>
          <w:p w14:paraId="674A5D97">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5.3本项目的特定资格要求：</w:t>
            </w:r>
            <w:r>
              <w:rPr>
                <w:rFonts w:hint="eastAsia" w:ascii="仿宋" w:hAnsi="仿宋" w:eastAsia="仿宋" w:cs="仿宋"/>
                <w:color w:val="auto"/>
                <w:sz w:val="24"/>
                <w:szCs w:val="24"/>
                <w:highlight w:val="none"/>
                <w:lang w:val="en-US" w:eastAsia="zh-CN"/>
              </w:rPr>
              <w:t>持有有效的《人力资源服务许可证》</w:t>
            </w:r>
            <w:r>
              <w:rPr>
                <w:rFonts w:hint="eastAsia" w:ascii="仿宋" w:hAnsi="仿宋" w:eastAsia="仿宋" w:cs="仿宋"/>
                <w:color w:val="auto"/>
                <w:sz w:val="24"/>
                <w:szCs w:val="24"/>
                <w:highlight w:val="none"/>
              </w:rPr>
              <w:t>。</w:t>
            </w:r>
          </w:p>
        </w:tc>
      </w:tr>
      <w:tr w14:paraId="0E6F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4" w:type="dxa"/>
            <w:noWrap w:val="0"/>
            <w:vAlign w:val="center"/>
          </w:tcPr>
          <w:p w14:paraId="67624B51">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51" w:type="dxa"/>
            <w:noWrap w:val="0"/>
            <w:vAlign w:val="center"/>
          </w:tcPr>
          <w:p w14:paraId="4027DF26">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804" w:type="dxa"/>
            <w:noWrap w:val="0"/>
            <w:vAlign w:val="center"/>
          </w:tcPr>
          <w:p w14:paraId="3AF42264">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参与电子投标的准备工作</w:t>
            </w:r>
          </w:p>
        </w:tc>
        <w:tc>
          <w:tcPr>
            <w:tcW w:w="6781" w:type="dxa"/>
            <w:noWrap w:val="0"/>
            <w:vAlign w:val="center"/>
          </w:tcPr>
          <w:p w14:paraId="5238EA7E">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6.1本项目实行全流程电子化采购，投标人通过“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”平台参与电子投标，并应做好以下相关准备工作：①在“</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注册成为正式供应商（操作方法详见广西壮族自治区政府采购网—办事服务—办事指南）；②完成CA认证证书申领和绑定（费用由投标人自行承担，办理流程详见广西壮族自治区政府采购网—办事服务—下载专区，完成CA认证证书办理预计一周左右，建议供应商尽快办理）；③下载“广西壮族自治区全流程电子招投标项目管理系统--供应商客户端”（操作方法详见广西壮族自治区政府采购网—办事服务—下载专区，以下称“</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电子投标客户端”）并安装成功，投标人应当在投标文件提交截止时间前在“</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”平台完成的身份认证，确保能够对相关数据电文进行加密和使用电子签章；④自备计算机和网络设备并确保能接入互联网（费用由投标人自行承担，设备确保可进行视频通话和读取</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CA认证证书）。因投标人未做好相关准备工作等自身原因导致无法参加本项目电子投标或投标失败的，造成的一切后果，由投标人自行承担。</w:t>
            </w:r>
          </w:p>
          <w:p w14:paraId="52FF118B">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6.2电子投标具体操作流程参考《政府采购项目电子交易管理操作指南-供应商》（详见桂林市政府采购网—采购资讯—重要通知）；如遇平台技术问题详询95763。</w:t>
            </w:r>
          </w:p>
          <w:p w14:paraId="75F8E94E">
            <w:pPr>
              <w:keepNext w:val="0"/>
              <w:keepLines w:val="0"/>
              <w:pageBreakBefore w:val="0"/>
              <w:kinsoku/>
              <w:wordWrap/>
              <w:overflowPunct/>
              <w:topLinePunct w:val="0"/>
              <w:bidi w:val="0"/>
              <w:adjustRightInd/>
              <w:spacing w:line="400" w:lineRule="exac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6.3不论投标结果如何，投标人均应自行承担所有与投标有关的全部费用。</w:t>
            </w:r>
          </w:p>
        </w:tc>
      </w:tr>
      <w:tr w14:paraId="38CA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24" w:type="dxa"/>
            <w:noWrap w:val="0"/>
            <w:vAlign w:val="center"/>
          </w:tcPr>
          <w:p w14:paraId="104A0E0D">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51" w:type="dxa"/>
            <w:noWrap w:val="0"/>
            <w:vAlign w:val="center"/>
          </w:tcPr>
          <w:p w14:paraId="6EB1D9AD">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position w:val="-2"/>
                <w:sz w:val="24"/>
                <w:szCs w:val="24"/>
                <w:highlight w:val="none"/>
              </w:rPr>
            </w:pPr>
            <w:r>
              <w:rPr>
                <w:rFonts w:hint="eastAsia" w:ascii="仿宋" w:hAnsi="仿宋" w:eastAsia="仿宋" w:cs="仿宋"/>
                <w:color w:val="auto"/>
                <w:position w:val="-2"/>
                <w:sz w:val="24"/>
                <w:szCs w:val="24"/>
                <w:highlight w:val="none"/>
              </w:rPr>
              <w:t>15</w:t>
            </w:r>
          </w:p>
        </w:tc>
        <w:tc>
          <w:tcPr>
            <w:tcW w:w="1804" w:type="dxa"/>
            <w:noWrap w:val="0"/>
            <w:vAlign w:val="center"/>
          </w:tcPr>
          <w:p w14:paraId="3E325476">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6781" w:type="dxa"/>
            <w:noWrap w:val="0"/>
            <w:vAlign w:val="center"/>
          </w:tcPr>
          <w:p w14:paraId="6B60C987">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15.1投标报价必须按招标文件中第六章“投标文件（格式）”填写。</w:t>
            </w:r>
          </w:p>
          <w:p w14:paraId="50C2E155">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w:t>
            </w:r>
            <w:r>
              <w:rPr>
                <w:rFonts w:hint="eastAsia" w:ascii="仿宋" w:hAnsi="仿宋" w:eastAsia="仿宋" w:cs="仿宋"/>
                <w:color w:val="auto"/>
                <w:sz w:val="24"/>
                <w:szCs w:val="24"/>
                <w:highlight w:val="none"/>
                <w:lang w:eastAsia="zh-CN"/>
              </w:rPr>
              <w:t>投标人必须就“项目需求”中的所有内容按分标分别作完整唯一报价</w:t>
            </w:r>
            <w:r>
              <w:rPr>
                <w:rFonts w:hint="eastAsia" w:ascii="仿宋" w:hAnsi="仿宋" w:eastAsia="仿宋" w:cs="仿宋"/>
                <w:color w:val="auto"/>
                <w:sz w:val="24"/>
                <w:szCs w:val="24"/>
                <w:highlight w:val="none"/>
              </w:rPr>
              <w:t>，否则，其投标将被拒绝；投标文件只允许有一个报价方案，有选择的或有条件的报价将不予接受。</w:t>
            </w:r>
          </w:p>
        </w:tc>
      </w:tr>
      <w:tr w14:paraId="03EF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24" w:type="dxa"/>
            <w:noWrap w:val="0"/>
            <w:vAlign w:val="center"/>
          </w:tcPr>
          <w:p w14:paraId="5F665B2B">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51" w:type="dxa"/>
            <w:noWrap w:val="0"/>
            <w:vAlign w:val="center"/>
          </w:tcPr>
          <w:p w14:paraId="50A34855">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1804" w:type="dxa"/>
            <w:noWrap w:val="0"/>
            <w:vAlign w:val="center"/>
          </w:tcPr>
          <w:p w14:paraId="5538107B">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投标有效期</w:t>
            </w:r>
          </w:p>
        </w:tc>
        <w:tc>
          <w:tcPr>
            <w:tcW w:w="6781" w:type="dxa"/>
            <w:noWrap w:val="0"/>
            <w:vAlign w:val="center"/>
          </w:tcPr>
          <w:p w14:paraId="3969B241">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投标截止时间之日起90天。</w:t>
            </w:r>
          </w:p>
        </w:tc>
      </w:tr>
      <w:tr w14:paraId="7678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24" w:type="dxa"/>
            <w:noWrap w:val="0"/>
            <w:vAlign w:val="center"/>
          </w:tcPr>
          <w:p w14:paraId="764F8257">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51" w:type="dxa"/>
            <w:noWrap w:val="0"/>
            <w:vAlign w:val="center"/>
          </w:tcPr>
          <w:p w14:paraId="735A96D7">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804" w:type="dxa"/>
            <w:noWrap w:val="0"/>
            <w:vAlign w:val="center"/>
          </w:tcPr>
          <w:p w14:paraId="039F53AB">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电子投标文件的制作、加密要求</w:t>
            </w:r>
          </w:p>
        </w:tc>
        <w:tc>
          <w:tcPr>
            <w:tcW w:w="6781" w:type="dxa"/>
            <w:noWrap w:val="0"/>
            <w:vAlign w:val="center"/>
          </w:tcPr>
          <w:p w14:paraId="194E8B91">
            <w:pPr>
              <w:keepNext w:val="0"/>
              <w:keepLines w:val="0"/>
              <w:pageBreakBefore w:val="0"/>
              <w:kinsoku/>
              <w:wordWrap/>
              <w:overflowPunct/>
              <w:topLinePunct w:val="0"/>
              <w:bidi w:val="0"/>
              <w:adjustRightInd/>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17.1投标人制作电子投标文件前，</w:t>
            </w:r>
            <w:r>
              <w:rPr>
                <w:rFonts w:hint="eastAsia" w:ascii="仿宋" w:hAnsi="仿宋" w:eastAsia="仿宋" w:cs="仿宋"/>
                <w:bCs/>
                <w:color w:val="auto"/>
                <w:sz w:val="24"/>
                <w:szCs w:val="24"/>
                <w:highlight w:val="none"/>
              </w:rPr>
              <w:t>应登录“</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”平台进行“申请获取</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”操作，否则，有可能导致无法在线编制投标文件并参与投标，其不利后果由投标人自行承担。</w:t>
            </w:r>
          </w:p>
          <w:p w14:paraId="2CFCF750">
            <w:pPr>
              <w:keepNext w:val="0"/>
              <w:keepLines w:val="0"/>
              <w:pageBreakBefore w:val="0"/>
              <w:kinsoku/>
              <w:wordWrap/>
              <w:overflowPunct/>
              <w:topLinePunct w:val="0"/>
              <w:bidi w:val="0"/>
              <w:adjustRightInd/>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17.2投标人下载或获取招标文件后，登录“</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电子投标客户端”，按照本招标文件规定的投标文件格式、顺序以及“</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”平台的要求，通过“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电子投标客户端”编制电子投标文件。</w:t>
            </w:r>
          </w:p>
          <w:p w14:paraId="7E84C393">
            <w:pPr>
              <w:keepNext w:val="0"/>
              <w:keepLines w:val="0"/>
              <w:pageBreakBefore w:val="0"/>
              <w:kinsoku/>
              <w:wordWrap/>
              <w:overflowPunct/>
              <w:topLinePunct w:val="0"/>
              <w:bidi w:val="0"/>
              <w:adjustRightInd/>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17.3投标人应按“</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33C00639">
            <w:pPr>
              <w:keepNext w:val="0"/>
              <w:keepLines w:val="0"/>
              <w:pageBreakBefore w:val="0"/>
              <w:kinsoku/>
              <w:wordWrap/>
              <w:overflowPunct/>
              <w:topLinePunct w:val="0"/>
              <w:bidi w:val="0"/>
              <w:adjustRightInd/>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电子投标文件不得涂改，若有修改错漏处，须由法定代表人（负责人）或授权委托代理人签字（或者电子签名）。因投标文件字迹潦草、表达不清、内容不完整、编排混乱导致投标文件被误读、漏读，或者在按招标文件规定的部位查找不到相关内容的，其不利后果由投标人自行承担。</w:t>
            </w:r>
          </w:p>
          <w:p w14:paraId="28B857F6">
            <w:pPr>
              <w:keepNext w:val="0"/>
              <w:keepLines w:val="0"/>
              <w:pageBreakBefore w:val="0"/>
              <w:kinsoku/>
              <w:wordWrap/>
              <w:overflowPunct/>
              <w:topLinePunct w:val="0"/>
              <w:bidi w:val="0"/>
              <w:adjustRightInd/>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17.5投标人编制、生成电子投标文件后应当加密投标文件。投标人未按规定编制并加密的投标文件，“</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”平台将予以拒收。</w:t>
            </w:r>
          </w:p>
        </w:tc>
      </w:tr>
      <w:tr w14:paraId="477F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24" w:type="dxa"/>
            <w:noWrap w:val="0"/>
            <w:vAlign w:val="center"/>
          </w:tcPr>
          <w:p w14:paraId="0182DE71">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51" w:type="dxa"/>
            <w:noWrap w:val="0"/>
            <w:vAlign w:val="center"/>
          </w:tcPr>
          <w:p w14:paraId="184CF6A7">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position w:val="10"/>
                <w:sz w:val="24"/>
                <w:szCs w:val="24"/>
                <w:highlight w:val="none"/>
              </w:rPr>
            </w:pPr>
            <w:r>
              <w:rPr>
                <w:rFonts w:hint="eastAsia" w:ascii="仿宋" w:hAnsi="仿宋" w:eastAsia="仿宋" w:cs="仿宋"/>
                <w:color w:val="auto"/>
                <w:sz w:val="24"/>
                <w:szCs w:val="24"/>
                <w:highlight w:val="none"/>
              </w:rPr>
              <w:t>17.6</w:t>
            </w:r>
          </w:p>
        </w:tc>
        <w:tc>
          <w:tcPr>
            <w:tcW w:w="1804" w:type="dxa"/>
            <w:noWrap w:val="0"/>
            <w:vAlign w:val="center"/>
          </w:tcPr>
          <w:p w14:paraId="5E2DD80A">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kern w:val="0"/>
                <w:sz w:val="24"/>
                <w:szCs w:val="24"/>
                <w:highlight w:val="none"/>
              </w:rPr>
              <w:t>公章、签字、</w:t>
            </w:r>
            <w:r>
              <w:rPr>
                <w:rFonts w:hint="eastAsia" w:ascii="仿宋" w:hAnsi="仿宋" w:eastAsia="仿宋" w:cs="仿宋"/>
                <w:bCs/>
                <w:color w:val="auto"/>
                <w:sz w:val="24"/>
                <w:szCs w:val="24"/>
                <w:highlight w:val="none"/>
              </w:rPr>
              <w:t>电子签章、电子签名</w:t>
            </w:r>
          </w:p>
        </w:tc>
        <w:tc>
          <w:tcPr>
            <w:tcW w:w="6781" w:type="dxa"/>
            <w:noWrap w:val="0"/>
            <w:vAlign w:val="center"/>
          </w:tcPr>
          <w:p w14:paraId="6C3C844B">
            <w:pPr>
              <w:keepNext w:val="0"/>
              <w:keepLines w:val="0"/>
              <w:pageBreakBefore w:val="0"/>
              <w:kinsoku/>
              <w:wordWrap/>
              <w:overflowPunct/>
              <w:topLinePunct w:val="0"/>
              <w:bidi w:val="0"/>
              <w:adjustRightInd/>
              <w:snapToGri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17.6.1</w:t>
            </w:r>
            <w:r>
              <w:rPr>
                <w:rFonts w:hint="eastAsia" w:ascii="仿宋" w:hAnsi="仿宋" w:eastAsia="仿宋" w:cs="仿宋"/>
                <w:bCs/>
                <w:color w:val="auto"/>
                <w:sz w:val="24"/>
                <w:szCs w:val="24"/>
                <w:highlight w:val="none"/>
              </w:rPr>
              <w:t>本招标文件中描述投标人的“公章”是指根据我国对公章的管理规定，用投标人法定主体行为名称制作的印章，除本招标文件有特殊规定外，投标人的其他形式印章均不能代替公章</w:t>
            </w:r>
            <w:r>
              <w:rPr>
                <w:rFonts w:hint="eastAsia" w:ascii="仿宋" w:hAnsi="仿宋" w:eastAsia="仿宋" w:cs="仿宋"/>
                <w:color w:val="auto"/>
                <w:sz w:val="24"/>
                <w:szCs w:val="24"/>
                <w:highlight w:val="none"/>
              </w:rPr>
              <w:t>。</w:t>
            </w:r>
          </w:p>
          <w:p w14:paraId="6FF6CF3E">
            <w:pPr>
              <w:keepNext w:val="0"/>
              <w:keepLines w:val="0"/>
              <w:pageBreakBefore w:val="0"/>
              <w:widowControl/>
              <w:kinsoku/>
              <w:wordWrap/>
              <w:overflowPunct/>
              <w:topLinePunct w:val="0"/>
              <w:bidi w:val="0"/>
              <w:adjustRightInd/>
              <w:spacing w:line="40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17.6.2</w:t>
            </w:r>
            <w:r>
              <w:rPr>
                <w:rFonts w:hint="eastAsia" w:ascii="仿宋" w:hAnsi="仿宋" w:eastAsia="仿宋" w:cs="仿宋"/>
                <w:bCs/>
                <w:color w:val="auto"/>
                <w:sz w:val="24"/>
                <w:szCs w:val="24"/>
                <w:highlight w:val="none"/>
              </w:rPr>
              <w:t>本招标文件中描述投标人的“签字”是指投标人的法定代表人</w:t>
            </w:r>
            <w:r>
              <w:rPr>
                <w:rFonts w:hint="eastAsia" w:ascii="仿宋" w:hAnsi="仿宋" w:eastAsia="仿宋" w:cs="仿宋"/>
                <w:color w:val="auto"/>
                <w:sz w:val="24"/>
                <w:szCs w:val="24"/>
                <w:highlight w:val="none"/>
              </w:rPr>
              <w:t>（负责人）</w:t>
            </w:r>
            <w:r>
              <w:rPr>
                <w:rFonts w:hint="eastAsia" w:ascii="仿宋" w:hAnsi="仿宋" w:eastAsia="仿宋" w:cs="仿宋"/>
                <w:bCs/>
                <w:color w:val="auto"/>
                <w:sz w:val="24"/>
                <w:szCs w:val="24"/>
                <w:highlight w:val="none"/>
              </w:rPr>
              <w:t>或者委托代理人亲自在文件规定签字处亲笔写上个人的名字的行为，私章、签字章、印鉴、影印等其他形式均不能代替亲笔签字</w:t>
            </w:r>
            <w:r>
              <w:rPr>
                <w:rFonts w:hint="eastAsia" w:ascii="仿宋" w:hAnsi="仿宋" w:eastAsia="仿宋" w:cs="仿宋"/>
                <w:color w:val="auto"/>
                <w:sz w:val="24"/>
                <w:szCs w:val="24"/>
                <w:highlight w:val="none"/>
              </w:rPr>
              <w:t>。</w:t>
            </w:r>
          </w:p>
          <w:p w14:paraId="5F1A886A">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17.6.3</w:t>
            </w:r>
            <w:r>
              <w:rPr>
                <w:rFonts w:hint="eastAsia" w:ascii="仿宋" w:hAnsi="仿宋" w:eastAsia="仿宋" w:cs="仿宋"/>
                <w:bCs/>
                <w:color w:val="auto"/>
                <w:sz w:val="24"/>
                <w:szCs w:val="24"/>
                <w:highlight w:val="none"/>
              </w:rPr>
              <w:t>本招标文件所称的“电子签章”、“电子签名”，是指经“</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”平台认可的CA认证的电子签名数据为表现形式的印章，可用于签署电子投标文件，电子签章、电子签名与实物印章、手写签名具有同等法律效力，不因其采用电子化表现形式而否定其法律效力。</w:t>
            </w:r>
          </w:p>
        </w:tc>
      </w:tr>
      <w:tr w14:paraId="36F4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24" w:type="dxa"/>
            <w:noWrap w:val="0"/>
            <w:vAlign w:val="center"/>
          </w:tcPr>
          <w:p w14:paraId="5940678C">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851" w:type="dxa"/>
            <w:noWrap w:val="0"/>
            <w:vAlign w:val="center"/>
          </w:tcPr>
          <w:p w14:paraId="669E5CA2">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position w:val="-2"/>
                <w:sz w:val="24"/>
                <w:szCs w:val="24"/>
                <w:highlight w:val="none"/>
              </w:rPr>
            </w:pPr>
            <w:r>
              <w:rPr>
                <w:rFonts w:hint="eastAsia" w:ascii="仿宋" w:hAnsi="仿宋" w:eastAsia="仿宋" w:cs="仿宋"/>
                <w:color w:val="auto"/>
                <w:sz w:val="24"/>
                <w:szCs w:val="24"/>
                <w:highlight w:val="none"/>
              </w:rPr>
              <w:t>18.1</w:t>
            </w:r>
          </w:p>
        </w:tc>
        <w:tc>
          <w:tcPr>
            <w:tcW w:w="1804" w:type="dxa"/>
            <w:noWrap w:val="0"/>
            <w:vAlign w:val="center"/>
          </w:tcPr>
          <w:p w14:paraId="13BE23A2">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position w:val="-2"/>
                <w:sz w:val="24"/>
                <w:szCs w:val="24"/>
                <w:highlight w:val="none"/>
              </w:rPr>
            </w:pPr>
            <w:r>
              <w:rPr>
                <w:rFonts w:hint="eastAsia" w:ascii="仿宋" w:hAnsi="仿宋" w:eastAsia="仿宋" w:cs="仿宋"/>
                <w:color w:val="auto"/>
                <w:sz w:val="24"/>
                <w:szCs w:val="24"/>
                <w:highlight w:val="none"/>
              </w:rPr>
              <w:t>投标文件递交</w:t>
            </w:r>
          </w:p>
        </w:tc>
        <w:tc>
          <w:tcPr>
            <w:tcW w:w="6781" w:type="dxa"/>
            <w:noWrap w:val="0"/>
            <w:vAlign w:val="center"/>
          </w:tcPr>
          <w:p w14:paraId="0940F7F4">
            <w:pPr>
              <w:keepNext w:val="0"/>
              <w:keepLines w:val="0"/>
              <w:pageBreakBefore w:val="0"/>
              <w:tabs>
                <w:tab w:val="left" w:pos="7200"/>
              </w:tabs>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上午9时30分</w:t>
            </w:r>
          </w:p>
          <w:p w14:paraId="057BE209">
            <w:pPr>
              <w:keepNext w:val="0"/>
              <w:keepLines w:val="0"/>
              <w:pageBreakBefore w:val="0"/>
              <w:kinsoku/>
              <w:wordWrap/>
              <w:overflowPunct/>
              <w:topLinePunct w:val="0"/>
              <w:bidi w:val="0"/>
              <w:adjustRightInd/>
              <w:spacing w:line="4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投标文件递交地点：通过“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”平台在线提交，逾期递交的投标文件将予以拒收。投标文件递交成功后，投标人在必须在“</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”平台自行下载投标回执</w:t>
            </w:r>
            <w:r>
              <w:rPr>
                <w:rFonts w:hint="eastAsia" w:ascii="仿宋" w:hAnsi="仿宋" w:eastAsia="仿宋" w:cs="仿宋"/>
                <w:bCs/>
                <w:color w:val="auto"/>
                <w:sz w:val="24"/>
                <w:szCs w:val="24"/>
                <w:highlight w:val="none"/>
              </w:rPr>
              <w:t>。</w:t>
            </w:r>
          </w:p>
        </w:tc>
      </w:tr>
      <w:tr w14:paraId="2CDD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24" w:type="dxa"/>
            <w:noWrap w:val="0"/>
            <w:vAlign w:val="center"/>
          </w:tcPr>
          <w:p w14:paraId="6E7C6BC4">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851" w:type="dxa"/>
            <w:noWrap w:val="0"/>
            <w:vAlign w:val="center"/>
          </w:tcPr>
          <w:p w14:paraId="4EF46F23">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w:t>
            </w:r>
          </w:p>
        </w:tc>
        <w:tc>
          <w:tcPr>
            <w:tcW w:w="1804" w:type="dxa"/>
            <w:noWrap w:val="0"/>
            <w:vAlign w:val="center"/>
          </w:tcPr>
          <w:p w14:paraId="12DD6AD1">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6781" w:type="dxa"/>
            <w:noWrap w:val="0"/>
            <w:vAlign w:val="center"/>
          </w:tcPr>
          <w:p w14:paraId="4B6138B3">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上午9时30分</w:t>
            </w:r>
          </w:p>
          <w:p w14:paraId="4310D883">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”平台在线解密、开标</w:t>
            </w:r>
          </w:p>
        </w:tc>
      </w:tr>
      <w:tr w14:paraId="547A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824" w:type="dxa"/>
            <w:noWrap w:val="0"/>
            <w:vAlign w:val="center"/>
          </w:tcPr>
          <w:p w14:paraId="6698EB02">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851" w:type="dxa"/>
            <w:noWrap w:val="0"/>
            <w:vAlign w:val="center"/>
          </w:tcPr>
          <w:p w14:paraId="2AE6939D">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804" w:type="dxa"/>
            <w:noWrap w:val="0"/>
            <w:vAlign w:val="center"/>
          </w:tcPr>
          <w:p w14:paraId="3D5DD68E">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开标程序</w:t>
            </w:r>
          </w:p>
        </w:tc>
        <w:tc>
          <w:tcPr>
            <w:tcW w:w="6781" w:type="dxa"/>
            <w:noWrap w:val="0"/>
            <w:vAlign w:val="top"/>
          </w:tcPr>
          <w:p w14:paraId="4F9CF916">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21.1</w:t>
            </w:r>
            <w:r>
              <w:rPr>
                <w:rFonts w:hint="eastAsia" w:ascii="仿宋" w:hAnsi="仿宋" w:eastAsia="仿宋" w:cs="仿宋"/>
                <w:color w:val="auto"/>
                <w:sz w:val="24"/>
                <w:szCs w:val="24"/>
                <w:highlight w:val="none"/>
              </w:rPr>
              <w:t>采购代理机构将按照招标文件规定的时间通过“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”平台在线组织开标、解密开启投标文件，投标人的法定代表人(负责人)或其委托代理人应当保持“</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”平台实时在线，并通过“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04AC7FF2">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21.2投标文件解密：投标文件提交截止时间后，采购代理机构开启解密投标文件操作，“</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向各投标人发出电子加密投标文件解密通知，由投标人在系统发出解密通知后30分钟内自行使用加密时的CA通过“项目采购-开标评标”功能对投标文件进行解密。若投标人在上述规定的时间内无法解密或解密失败的，可以在投标文件解密截止时间后30分钟内向采购代理机构现场提交电子备份投标文件【现场提交电子投标文件地址：桂林市公共资源交易中心</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号开标</w:t>
            </w:r>
            <w:r>
              <w:rPr>
                <w:rFonts w:hint="eastAsia" w:ascii="仿宋" w:hAnsi="仿宋" w:eastAsia="仿宋" w:cs="仿宋"/>
                <w:color w:val="auto"/>
                <w:sz w:val="24"/>
                <w:szCs w:val="24"/>
                <w:highlight w:val="none"/>
                <w:lang w:val="en-US" w:eastAsia="zh-CN"/>
              </w:rPr>
              <w:t>仓</w:t>
            </w:r>
            <w:r>
              <w:rPr>
                <w:rFonts w:hint="eastAsia" w:ascii="仿宋" w:hAnsi="仿宋" w:eastAsia="仿宋" w:cs="仿宋"/>
                <w:color w:val="auto"/>
                <w:sz w:val="24"/>
                <w:szCs w:val="24"/>
                <w:highlight w:val="none"/>
              </w:rPr>
              <w:t>（广西桂林市临桂区西城中路69号创业大厦西辅楼4楼北区）】，或以电子邮件的形式提交电子备份投标文件（接收电子备份投标文件的电子邮箱为：</w:t>
            </w:r>
            <w:r>
              <w:rPr>
                <w:rFonts w:hint="eastAsia" w:ascii="仿宋" w:hAnsi="仿宋" w:eastAsia="仿宋" w:cs="仿宋"/>
                <w:color w:val="auto"/>
                <w:sz w:val="24"/>
                <w:szCs w:val="24"/>
                <w:highlight w:val="none"/>
                <w:lang w:val="en-US" w:eastAsia="zh-CN"/>
              </w:rPr>
              <w:t>2366480472@qq.com</w:t>
            </w:r>
            <w:r>
              <w:rPr>
                <w:rFonts w:hint="eastAsia" w:ascii="仿宋" w:hAnsi="仿宋" w:eastAsia="仿宋" w:cs="仿宋"/>
                <w:color w:val="auto"/>
                <w:sz w:val="24"/>
                <w:szCs w:val="24"/>
                <w:highlight w:val="none"/>
              </w:rPr>
              <w:t>）；投标人未在上述规定的时间、地点（电子邮箱）提交的电子备份投标文件，采购代理机构不予接收或承认。采购代理机构收到电子备份投标文件后按“政府采购云平台”操作规范上传至“政府采购云平台”，电子备份投标文件上传成功后，投标人原上传的“电子加密投标文件”自动失效。若投标人在规定时间内无法解密或解密失败且未在规定的时间内提供电子备份投标文件的（包含提供的电子备份投标文件无效或无法解密的情况），视为投标人放弃投标。</w:t>
            </w:r>
          </w:p>
          <w:p w14:paraId="2E81DF5A">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21.3投标文件解密结束后，开标活动组织人员在线开启投标文件。</w:t>
            </w:r>
          </w:p>
          <w:p w14:paraId="59ECD224">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21.4开启投标人报价文件，电子开标大厅记录显示并记录投标人投标报价表的投标报价、折扣（如有）等。</w:t>
            </w:r>
          </w:p>
          <w:p w14:paraId="6A6D0DAB">
            <w:pPr>
              <w:keepNext w:val="0"/>
              <w:keepLines w:val="0"/>
              <w:pageBreakBefore w:val="0"/>
              <w:tabs>
                <w:tab w:val="left" w:pos="1305"/>
              </w:tabs>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21.5投标人线上确认投标报价。</w:t>
            </w:r>
          </w:p>
          <w:p w14:paraId="1EA5EA6E">
            <w:pPr>
              <w:keepNext w:val="0"/>
              <w:keepLines w:val="0"/>
              <w:pageBreakBefore w:val="0"/>
              <w:tabs>
                <w:tab w:val="left" w:pos="1305"/>
              </w:tabs>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21.6如发现开标结果与所提交的报价文件不一致的，由评标委员会根据报价文件内容进行修正。</w:t>
            </w:r>
          </w:p>
          <w:p w14:paraId="05278DC7">
            <w:pPr>
              <w:keepNext w:val="0"/>
              <w:keepLines w:val="0"/>
              <w:pageBreakBefore w:val="0"/>
              <w:tabs>
                <w:tab w:val="left" w:pos="1305"/>
              </w:tabs>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013FBC6">
            <w:pPr>
              <w:keepNext w:val="0"/>
              <w:keepLines w:val="0"/>
              <w:pageBreakBefore w:val="0"/>
              <w:kinsoku/>
              <w:wordWrap/>
              <w:overflowPunct/>
              <w:topLinePunct w:val="0"/>
              <w:bidi w:val="0"/>
              <w:adjustRightIn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特别说明：如遇“</w:t>
            </w:r>
            <w:r>
              <w:rPr>
                <w:rFonts w:hint="eastAsia" w:ascii="仿宋" w:hAnsi="仿宋" w:eastAsia="仿宋" w:cs="仿宋"/>
                <w:b/>
                <w:color w:val="auto"/>
                <w:sz w:val="24"/>
                <w:szCs w:val="24"/>
                <w:highlight w:val="none"/>
                <w:lang w:eastAsia="zh-CN"/>
              </w:rPr>
              <w:t>广西政府采购云</w:t>
            </w:r>
            <w:r>
              <w:rPr>
                <w:rFonts w:hint="eastAsia" w:ascii="仿宋" w:hAnsi="仿宋" w:eastAsia="仿宋" w:cs="仿宋"/>
                <w:b/>
                <w:color w:val="auto"/>
                <w:sz w:val="24"/>
                <w:szCs w:val="24"/>
                <w:highlight w:val="none"/>
              </w:rPr>
              <w:t>”平台电子化开标或评审程序调整的，按调整后程序执行。</w:t>
            </w:r>
          </w:p>
        </w:tc>
      </w:tr>
      <w:tr w14:paraId="1C95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24" w:type="dxa"/>
            <w:noWrap w:val="0"/>
            <w:vAlign w:val="center"/>
          </w:tcPr>
          <w:p w14:paraId="2ADD7DD5">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851" w:type="dxa"/>
            <w:noWrap w:val="0"/>
            <w:vAlign w:val="center"/>
          </w:tcPr>
          <w:p w14:paraId="7E5A5841">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1804" w:type="dxa"/>
            <w:noWrap w:val="0"/>
            <w:vAlign w:val="center"/>
          </w:tcPr>
          <w:p w14:paraId="6876357F">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评标委员会组成</w:t>
            </w:r>
          </w:p>
        </w:tc>
        <w:tc>
          <w:tcPr>
            <w:tcW w:w="6781" w:type="dxa"/>
            <w:noWrap w:val="0"/>
            <w:vAlign w:val="center"/>
          </w:tcPr>
          <w:p w14:paraId="6846B307">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本项目评审组织工作由采购代理机构负责，具体评审工作由依法组建的评标委员会负责。</w:t>
            </w:r>
            <w:r>
              <w:rPr>
                <w:rFonts w:hint="eastAsia" w:ascii="仿宋" w:hAnsi="仿宋" w:eastAsia="仿宋" w:cs="仿宋"/>
                <w:color w:val="auto"/>
                <w:sz w:val="24"/>
                <w:szCs w:val="24"/>
                <w:highlight w:val="none"/>
              </w:rPr>
              <w:t>评标委员会由采购人代表和</w:t>
            </w:r>
            <w:r>
              <w:rPr>
                <w:rFonts w:hint="eastAsia" w:ascii="仿宋" w:hAnsi="仿宋" w:eastAsia="仿宋" w:cs="仿宋"/>
                <w:bCs/>
                <w:color w:val="auto"/>
                <w:sz w:val="24"/>
                <w:szCs w:val="24"/>
                <w:highlight w:val="none"/>
              </w:rPr>
              <w:t>有关方面的</w:t>
            </w:r>
            <w:r>
              <w:rPr>
                <w:rFonts w:hint="eastAsia" w:ascii="仿宋" w:hAnsi="仿宋" w:eastAsia="仿宋" w:cs="仿宋"/>
                <w:color w:val="auto"/>
                <w:sz w:val="24"/>
                <w:szCs w:val="24"/>
                <w:highlight w:val="none"/>
              </w:rPr>
              <w:t>评审专家共同组成，成员人数共5人。</w:t>
            </w:r>
          </w:p>
        </w:tc>
      </w:tr>
      <w:tr w14:paraId="0E9F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24" w:type="dxa"/>
            <w:noWrap w:val="0"/>
            <w:vAlign w:val="center"/>
          </w:tcPr>
          <w:p w14:paraId="13DA47AE">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851" w:type="dxa"/>
            <w:noWrap w:val="0"/>
            <w:vAlign w:val="center"/>
          </w:tcPr>
          <w:p w14:paraId="412C0DCD">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w:t>
            </w:r>
          </w:p>
        </w:tc>
        <w:tc>
          <w:tcPr>
            <w:tcW w:w="1804" w:type="dxa"/>
            <w:noWrap w:val="0"/>
            <w:vAlign w:val="center"/>
          </w:tcPr>
          <w:p w14:paraId="605B0658">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6781" w:type="dxa"/>
            <w:noWrap w:val="0"/>
            <w:vAlign w:val="center"/>
          </w:tcPr>
          <w:p w14:paraId="37DFD2B7">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综合评分法，具体评标内容及标准详见第四章。</w:t>
            </w:r>
          </w:p>
        </w:tc>
      </w:tr>
      <w:tr w14:paraId="3DE1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24" w:type="dxa"/>
            <w:noWrap w:val="0"/>
            <w:vAlign w:val="center"/>
          </w:tcPr>
          <w:p w14:paraId="4E2F5C8A">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851" w:type="dxa"/>
            <w:noWrap w:val="0"/>
            <w:vAlign w:val="center"/>
          </w:tcPr>
          <w:p w14:paraId="0DAA9BE4">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1804" w:type="dxa"/>
            <w:noWrap w:val="0"/>
            <w:vAlign w:val="center"/>
          </w:tcPr>
          <w:p w14:paraId="1FEB5E3D">
            <w:pPr>
              <w:keepNext w:val="0"/>
              <w:keepLines w:val="0"/>
              <w:pageBreakBefore w:val="0"/>
              <w:tabs>
                <w:tab w:val="left" w:pos="1140"/>
              </w:tabs>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信用查询</w:t>
            </w:r>
          </w:p>
        </w:tc>
        <w:tc>
          <w:tcPr>
            <w:tcW w:w="6781" w:type="dxa"/>
            <w:noWrap w:val="0"/>
            <w:vAlign w:val="center"/>
          </w:tcPr>
          <w:p w14:paraId="3032E5BA">
            <w:pPr>
              <w:keepNext w:val="0"/>
              <w:keepLines w:val="0"/>
              <w:pageBreakBefore w:val="0"/>
              <w:kinsoku/>
              <w:wordWrap/>
              <w:overflowPunct/>
              <w:topLinePunct w:val="0"/>
              <w:autoSpaceDE w:val="0"/>
              <w:autoSpaceDN w:val="0"/>
              <w:bidi w:val="0"/>
              <w:adjustRightInd/>
              <w:snapToGrid w:val="0"/>
              <w:spacing w:line="400" w:lineRule="exac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根据《关于做好政府采购有关信用主体标识码登记及在政府采购活动中查询使用信用记录有关问题的通知》（桂财采〔2016〕37号），由采购代理机构对第一中标候选人进行信用查询：</w:t>
            </w:r>
          </w:p>
          <w:p w14:paraId="49DA0FB7">
            <w:pPr>
              <w:keepNext w:val="0"/>
              <w:keepLines w:val="0"/>
              <w:pageBreakBefore w:val="0"/>
              <w:kinsoku/>
              <w:wordWrap/>
              <w:overflowPunct/>
              <w:topLinePunct w:val="0"/>
              <w:autoSpaceDE w:val="0"/>
              <w:autoSpaceDN w:val="0"/>
              <w:bidi w:val="0"/>
              <w:adjustRightInd/>
              <w:snapToGrid w:val="0"/>
              <w:spacing w:line="400" w:lineRule="exac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⑴查询渠道：“信用中国”网站(www.creditchina.gov.cn)、中国政府采购网(www.ccgp.gov.cn)等；</w:t>
            </w:r>
          </w:p>
          <w:p w14:paraId="4BC60955">
            <w:pPr>
              <w:keepNext w:val="0"/>
              <w:keepLines w:val="0"/>
              <w:pageBreakBefore w:val="0"/>
              <w:kinsoku/>
              <w:wordWrap/>
              <w:overflowPunct/>
              <w:topLinePunct w:val="0"/>
              <w:autoSpaceDE w:val="0"/>
              <w:autoSpaceDN w:val="0"/>
              <w:bidi w:val="0"/>
              <w:adjustRightInd/>
              <w:snapToGrid w:val="0"/>
              <w:spacing w:line="400" w:lineRule="exac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⑵查询截止时间：中标通知书发出前；</w:t>
            </w:r>
          </w:p>
          <w:p w14:paraId="3F32DDCF">
            <w:pPr>
              <w:keepNext w:val="0"/>
              <w:keepLines w:val="0"/>
              <w:pageBreakBefore w:val="0"/>
              <w:kinsoku/>
              <w:wordWrap/>
              <w:overflowPunct/>
              <w:topLinePunct w:val="0"/>
              <w:autoSpaceDE w:val="0"/>
              <w:autoSpaceDN w:val="0"/>
              <w:bidi w:val="0"/>
              <w:adjustRightInd/>
              <w:snapToGrid w:val="0"/>
              <w:spacing w:line="400" w:lineRule="exac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⑶信用信息查询记录和证据留存方式：在查询网站中直接截图查询记录，截图在“</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”平台作为附件上传保存；</w:t>
            </w:r>
          </w:p>
          <w:p w14:paraId="6EF329FE">
            <w:pPr>
              <w:pStyle w:val="21"/>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人资格。</w:t>
            </w:r>
          </w:p>
        </w:tc>
      </w:tr>
      <w:tr w14:paraId="5B48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24" w:type="dxa"/>
            <w:noWrap w:val="0"/>
            <w:vAlign w:val="center"/>
          </w:tcPr>
          <w:p w14:paraId="292F7608">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851" w:type="dxa"/>
            <w:noWrap w:val="0"/>
            <w:vAlign w:val="center"/>
          </w:tcPr>
          <w:p w14:paraId="7EB69D14">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p>
        </w:tc>
        <w:tc>
          <w:tcPr>
            <w:tcW w:w="1804" w:type="dxa"/>
            <w:noWrap w:val="0"/>
            <w:vAlign w:val="center"/>
          </w:tcPr>
          <w:p w14:paraId="4C913DE8">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中标公告及中标通知书</w:t>
            </w:r>
          </w:p>
        </w:tc>
        <w:tc>
          <w:tcPr>
            <w:tcW w:w="6781" w:type="dxa"/>
            <w:noWrap w:val="0"/>
            <w:vAlign w:val="center"/>
          </w:tcPr>
          <w:p w14:paraId="4CF9E4B8">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3A78C7DD">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中小企业在政府采购活动过程中，请根据自己的真实情况出具《中小企业声明函》。依法享受中小企业优惠政策的，采购人或采购代理机构在公告中标结果时，同时公告其《中小企业声明函》，接受社会监督。</w:t>
            </w:r>
          </w:p>
          <w:p w14:paraId="24CDE7D5">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32.3中标公告发布同时，采购代理机构向中标人发出中标通知书，中标人应自接到通知之日起七个工作日内，办理中标通知书领取手续。</w:t>
            </w:r>
          </w:p>
        </w:tc>
      </w:tr>
      <w:tr w14:paraId="6E52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4" w:type="dxa"/>
            <w:noWrap w:val="0"/>
            <w:vAlign w:val="center"/>
          </w:tcPr>
          <w:p w14:paraId="6DA7C22F">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851" w:type="dxa"/>
            <w:noWrap w:val="0"/>
            <w:vAlign w:val="center"/>
          </w:tcPr>
          <w:p w14:paraId="00D7756E">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p>
        </w:tc>
        <w:tc>
          <w:tcPr>
            <w:tcW w:w="1804" w:type="dxa"/>
            <w:noWrap w:val="0"/>
            <w:vAlign w:val="center"/>
          </w:tcPr>
          <w:p w14:paraId="5479088C">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履约保证金金额</w:t>
            </w:r>
          </w:p>
        </w:tc>
        <w:tc>
          <w:tcPr>
            <w:tcW w:w="6781" w:type="dxa"/>
            <w:noWrap w:val="0"/>
            <w:vAlign w:val="center"/>
          </w:tcPr>
          <w:p w14:paraId="0EB3E2C5">
            <w:pPr>
              <w:keepNext w:val="0"/>
              <w:keepLines w:val="0"/>
              <w:pageBreakBefore w:val="0"/>
              <w:tabs>
                <w:tab w:val="left" w:pos="1140"/>
              </w:tabs>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不收取履约保证金</w:t>
            </w:r>
            <w:r>
              <w:rPr>
                <w:rFonts w:hint="eastAsia" w:ascii="仿宋" w:hAnsi="仿宋" w:eastAsia="仿宋" w:cs="仿宋"/>
                <w:color w:val="auto"/>
                <w:sz w:val="24"/>
                <w:szCs w:val="24"/>
                <w:highlight w:val="none"/>
              </w:rPr>
              <w:t>。</w:t>
            </w:r>
          </w:p>
        </w:tc>
      </w:tr>
      <w:tr w14:paraId="4A34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24" w:type="dxa"/>
            <w:noWrap w:val="0"/>
            <w:vAlign w:val="center"/>
          </w:tcPr>
          <w:p w14:paraId="1CEC4E1E">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851" w:type="dxa"/>
            <w:noWrap w:val="0"/>
            <w:vAlign w:val="center"/>
          </w:tcPr>
          <w:p w14:paraId="5111AB62">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w:t>
            </w:r>
          </w:p>
        </w:tc>
        <w:tc>
          <w:tcPr>
            <w:tcW w:w="1804" w:type="dxa"/>
            <w:noWrap w:val="0"/>
            <w:vAlign w:val="center"/>
          </w:tcPr>
          <w:p w14:paraId="68F2F3D0">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签订合同时间</w:t>
            </w:r>
          </w:p>
        </w:tc>
        <w:tc>
          <w:tcPr>
            <w:tcW w:w="6781" w:type="dxa"/>
            <w:noWrap w:val="0"/>
            <w:vAlign w:val="center"/>
          </w:tcPr>
          <w:p w14:paraId="45342088">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中标通知书发出之日起八个工作日内</w:t>
            </w:r>
            <w:r>
              <w:rPr>
                <w:rFonts w:hint="eastAsia" w:ascii="仿宋" w:hAnsi="仿宋" w:eastAsia="仿宋" w:cs="仿宋"/>
                <w:color w:val="auto"/>
                <w:sz w:val="24"/>
                <w:szCs w:val="24"/>
                <w:highlight w:val="none"/>
              </w:rPr>
              <w:t>。中标人领取中标通知书后，应按规定与采购人签订合同。</w:t>
            </w:r>
          </w:p>
        </w:tc>
      </w:tr>
      <w:tr w14:paraId="7BF3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4" w:type="dxa"/>
            <w:noWrap w:val="0"/>
            <w:vAlign w:val="center"/>
          </w:tcPr>
          <w:p w14:paraId="6F9A5772">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851" w:type="dxa"/>
            <w:noWrap w:val="0"/>
            <w:vAlign w:val="center"/>
          </w:tcPr>
          <w:p w14:paraId="74F59A6D">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34.3</w:t>
            </w:r>
          </w:p>
        </w:tc>
        <w:tc>
          <w:tcPr>
            <w:tcW w:w="1804" w:type="dxa"/>
            <w:noWrap w:val="0"/>
            <w:vAlign w:val="center"/>
          </w:tcPr>
          <w:p w14:paraId="76E7F9BC">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合同备案存档</w:t>
            </w:r>
          </w:p>
        </w:tc>
        <w:tc>
          <w:tcPr>
            <w:tcW w:w="6781" w:type="dxa"/>
            <w:noWrap w:val="0"/>
            <w:vAlign w:val="center"/>
          </w:tcPr>
          <w:p w14:paraId="69E3873A">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政府采购合同双方自签订之日起1个工作日内将合同原件壹份交采购代理机构，采购代理机构收到政府采购合同原件后在省级以上人民政府财政部门指定媒体上公告。</w:t>
            </w:r>
          </w:p>
        </w:tc>
      </w:tr>
      <w:tr w14:paraId="7B13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4" w:type="dxa"/>
            <w:noWrap w:val="0"/>
            <w:vAlign w:val="center"/>
          </w:tcPr>
          <w:p w14:paraId="3AC423FC">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851" w:type="dxa"/>
            <w:noWrap w:val="0"/>
            <w:vAlign w:val="center"/>
          </w:tcPr>
          <w:p w14:paraId="681FE88D">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w:t>
            </w:r>
          </w:p>
        </w:tc>
        <w:tc>
          <w:tcPr>
            <w:tcW w:w="1804" w:type="dxa"/>
            <w:noWrap w:val="0"/>
            <w:vAlign w:val="center"/>
          </w:tcPr>
          <w:p w14:paraId="5EA30AA7">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招标代理服务费</w:t>
            </w:r>
          </w:p>
        </w:tc>
        <w:tc>
          <w:tcPr>
            <w:tcW w:w="6781" w:type="dxa"/>
            <w:noWrap w:val="0"/>
            <w:vAlign w:val="center"/>
          </w:tcPr>
          <w:p w14:paraId="6FF46A84">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val="en-US" w:eastAsia="zh-CN"/>
              </w:rPr>
              <w:t>各分标</w:t>
            </w:r>
            <w:r>
              <w:rPr>
                <w:rFonts w:hint="eastAsia" w:ascii="仿宋" w:hAnsi="仿宋" w:eastAsia="仿宋" w:cs="仿宋"/>
                <w:color w:val="auto"/>
                <w:sz w:val="24"/>
                <w:szCs w:val="24"/>
                <w:highlight w:val="none"/>
              </w:rPr>
              <w:t>招标代理服务费按本须知第35.2</w:t>
            </w:r>
            <w:r>
              <w:rPr>
                <w:rFonts w:hint="eastAsia" w:ascii="仿宋" w:hAnsi="仿宋" w:eastAsia="仿宋" w:cs="仿宋"/>
                <w:color w:val="auto"/>
                <w:sz w:val="24"/>
                <w:szCs w:val="24"/>
                <w:highlight w:val="none"/>
                <w:lang w:eastAsia="zh-CN"/>
              </w:rPr>
              <w:t>款</w:t>
            </w:r>
            <w:r>
              <w:rPr>
                <w:rFonts w:hint="eastAsia" w:ascii="仿宋" w:hAnsi="仿宋" w:eastAsia="仿宋" w:cs="仿宋"/>
                <w:color w:val="auto"/>
                <w:sz w:val="24"/>
                <w:szCs w:val="24"/>
                <w:highlight w:val="none"/>
              </w:rPr>
              <w:t>“招标代理服务收费标准”中服务类收费标准计算，由</w:t>
            </w:r>
            <w:r>
              <w:rPr>
                <w:rFonts w:hint="eastAsia" w:ascii="仿宋" w:hAnsi="仿宋" w:eastAsia="仿宋" w:cs="仿宋"/>
                <w:color w:val="auto"/>
                <w:sz w:val="24"/>
                <w:szCs w:val="24"/>
                <w:highlight w:val="none"/>
                <w:lang w:val="en-US" w:eastAsia="zh-CN"/>
              </w:rPr>
              <w:t>各分标</w:t>
            </w:r>
            <w:r>
              <w:rPr>
                <w:rFonts w:hint="eastAsia" w:ascii="仿宋" w:hAnsi="仿宋" w:eastAsia="仿宋" w:cs="仿宋"/>
                <w:color w:val="auto"/>
                <w:sz w:val="24"/>
                <w:szCs w:val="24"/>
                <w:highlight w:val="none"/>
              </w:rPr>
              <w:t>中标人在领取中标通知书前，向采购代理机构一次性支付。</w:t>
            </w:r>
          </w:p>
        </w:tc>
      </w:tr>
      <w:tr w14:paraId="7856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4" w:type="dxa"/>
            <w:noWrap w:val="0"/>
            <w:vAlign w:val="center"/>
          </w:tcPr>
          <w:p w14:paraId="14F7ED51">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851" w:type="dxa"/>
            <w:noWrap w:val="0"/>
            <w:vAlign w:val="center"/>
          </w:tcPr>
          <w:p w14:paraId="4ACA9097">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p>
        </w:tc>
        <w:tc>
          <w:tcPr>
            <w:tcW w:w="1804" w:type="dxa"/>
            <w:noWrap w:val="0"/>
            <w:vAlign w:val="center"/>
          </w:tcPr>
          <w:p w14:paraId="648D2018">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解释权</w:t>
            </w:r>
          </w:p>
        </w:tc>
        <w:tc>
          <w:tcPr>
            <w:tcW w:w="6781" w:type="dxa"/>
            <w:noWrap w:val="0"/>
            <w:vAlign w:val="center"/>
          </w:tcPr>
          <w:p w14:paraId="0C1A5549">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本招标文件是根据《中华人民共和国政府采购法》、《中华人民共和国政府采购法实施条例》及</w:t>
            </w:r>
            <w:r>
              <w:rPr>
                <w:rFonts w:hint="eastAsia" w:ascii="仿宋" w:hAnsi="仿宋" w:eastAsia="仿宋" w:cs="仿宋"/>
                <w:bCs/>
                <w:color w:val="auto"/>
                <w:sz w:val="24"/>
                <w:szCs w:val="24"/>
                <w:highlight w:val="none"/>
              </w:rPr>
              <w:t>财政部令第87号</w:t>
            </w:r>
            <w:r>
              <w:rPr>
                <w:rFonts w:hint="eastAsia" w:ascii="仿宋" w:hAnsi="仿宋" w:eastAsia="仿宋" w:cs="仿宋"/>
                <w:color w:val="auto"/>
                <w:sz w:val="24"/>
                <w:szCs w:val="24"/>
                <w:highlight w:val="none"/>
              </w:rPr>
              <w:t>《政府采购货物和服务招标投标管理办法》和政府采购管理有关规定编制，本招标文件的解释权属于采购代理机构。</w:t>
            </w:r>
          </w:p>
        </w:tc>
      </w:tr>
      <w:tr w14:paraId="0DC8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24" w:type="dxa"/>
            <w:noWrap w:val="0"/>
            <w:vAlign w:val="center"/>
          </w:tcPr>
          <w:p w14:paraId="3301B2B2">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851" w:type="dxa"/>
            <w:noWrap w:val="0"/>
            <w:vAlign w:val="center"/>
          </w:tcPr>
          <w:p w14:paraId="49FE89BF">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38</w:t>
            </w:r>
          </w:p>
        </w:tc>
        <w:tc>
          <w:tcPr>
            <w:tcW w:w="1804" w:type="dxa"/>
            <w:noWrap w:val="0"/>
            <w:vAlign w:val="center"/>
          </w:tcPr>
          <w:p w14:paraId="0659F143">
            <w:pPr>
              <w:keepNext w:val="0"/>
              <w:keepLines w:val="0"/>
              <w:pageBreakBefore w:val="0"/>
              <w:kinsoku/>
              <w:wordWrap/>
              <w:overflowPunct/>
              <w:topLinePunct w:val="0"/>
              <w:bidi w:val="0"/>
              <w:adjustRightInd/>
              <w:spacing w:line="400" w:lineRule="exact"/>
              <w:jc w:val="center"/>
              <w:rPr>
                <w:rFonts w:hint="eastAsia" w:ascii="仿宋" w:hAnsi="仿宋" w:eastAsia="仿宋" w:cs="仿宋"/>
                <w:color w:val="auto"/>
                <w:position w:val="10"/>
                <w:sz w:val="24"/>
                <w:szCs w:val="24"/>
                <w:highlight w:val="none"/>
              </w:rPr>
            </w:pPr>
            <w:r>
              <w:rPr>
                <w:rFonts w:hint="eastAsia" w:ascii="仿宋" w:hAnsi="仿宋" w:eastAsia="仿宋" w:cs="仿宋"/>
                <w:color w:val="auto"/>
                <w:sz w:val="24"/>
                <w:szCs w:val="24"/>
                <w:highlight w:val="none"/>
              </w:rPr>
              <w:t>监督管理机构</w:t>
            </w:r>
          </w:p>
        </w:tc>
        <w:tc>
          <w:tcPr>
            <w:tcW w:w="6781" w:type="dxa"/>
            <w:noWrap w:val="0"/>
            <w:vAlign w:val="center"/>
          </w:tcPr>
          <w:p w14:paraId="6893E63C">
            <w:pPr>
              <w:keepNext w:val="0"/>
              <w:keepLines w:val="0"/>
              <w:pageBreakBefore w:val="0"/>
              <w:kinsoku/>
              <w:wordWrap/>
              <w:overflowPunct/>
              <w:topLinePunct w:val="0"/>
              <w:bidi w:val="0"/>
              <w:adjustRightInd/>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桂林市财政局    联系电话：0773-2862142</w:t>
            </w:r>
          </w:p>
        </w:tc>
      </w:tr>
    </w:tbl>
    <w:p w14:paraId="1C3B5507">
      <w:pPr>
        <w:pStyle w:val="19"/>
        <w:rPr>
          <w:rFonts w:hint="eastAsia" w:ascii="仿宋" w:hAnsi="仿宋" w:eastAsia="仿宋" w:cs="仿宋"/>
          <w:color w:val="auto"/>
          <w:highlight w:val="none"/>
        </w:rPr>
      </w:pPr>
    </w:p>
    <w:p w14:paraId="69A34680">
      <w:pPr>
        <w:pStyle w:val="19"/>
        <w:rPr>
          <w:rFonts w:hint="eastAsia" w:ascii="仿宋" w:hAnsi="仿宋" w:eastAsia="仿宋" w:cs="仿宋"/>
          <w:color w:val="auto"/>
          <w:highlight w:val="none"/>
        </w:rPr>
      </w:pPr>
    </w:p>
    <w:p w14:paraId="0A77952B">
      <w:pPr>
        <w:pStyle w:val="19"/>
        <w:rPr>
          <w:rFonts w:hint="eastAsia" w:ascii="仿宋" w:hAnsi="仿宋" w:eastAsia="仿宋" w:cs="仿宋"/>
          <w:color w:val="auto"/>
          <w:highlight w:val="none"/>
        </w:rPr>
      </w:pPr>
    </w:p>
    <w:p w14:paraId="37E36C14">
      <w:pPr>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一、总则</w:t>
      </w:r>
    </w:p>
    <w:p w14:paraId="6D83DBF6">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项目名称及项目编号</w:t>
      </w:r>
    </w:p>
    <w:p w14:paraId="237004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2026年高校毕业生就业活动组织及配套服务采购</w:t>
      </w:r>
    </w:p>
    <w:p w14:paraId="31100A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GLZC2026-G3-990073-KWZB </w:t>
      </w:r>
    </w:p>
    <w:p w14:paraId="7FDC1D5C">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适应范围</w:t>
      </w:r>
    </w:p>
    <w:p w14:paraId="0FC503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本招标文件适用本招标采购项目的招标、投标、评标、合同履约、验收、付款等行为（法律、法规另有规定的，从其规定）。</w:t>
      </w:r>
    </w:p>
    <w:p w14:paraId="44516B53">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 定义</w:t>
      </w:r>
    </w:p>
    <w:p w14:paraId="453D42C4">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3.1“投标人”是指响应招标、参加投标竞争的法人、其他组织或者自然人。</w:t>
      </w:r>
    </w:p>
    <w:p w14:paraId="35DA0985">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3.2“货物”系指按招标文件规定，投标人须向采购人提供的一切设备、保险、税金、备品备件、工具、手册及其它有关技术资料和材料。</w:t>
      </w:r>
    </w:p>
    <w:p w14:paraId="0EAF1B3A">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3.3“服务”系指按招标文件规定，投标人须承担的</w:t>
      </w:r>
      <w:r>
        <w:rPr>
          <w:rFonts w:hint="eastAsia" w:ascii="仿宋" w:hAnsi="仿宋" w:eastAsia="仿宋" w:cs="仿宋"/>
          <w:color w:val="auto"/>
          <w:sz w:val="24"/>
          <w:szCs w:val="24"/>
          <w:highlight w:val="none"/>
          <w:lang w:eastAsia="zh-CN"/>
        </w:rPr>
        <w:t>2026年高校毕业生就业活动组织及配套服务采购</w:t>
      </w:r>
      <w:r>
        <w:rPr>
          <w:rFonts w:hint="eastAsia" w:ascii="仿宋" w:hAnsi="仿宋" w:eastAsia="仿宋" w:cs="仿宋"/>
          <w:color w:val="auto"/>
          <w:sz w:val="24"/>
          <w:szCs w:val="24"/>
          <w:highlight w:val="none"/>
        </w:rPr>
        <w:t>以及其他类似的义务。</w:t>
      </w:r>
    </w:p>
    <w:p w14:paraId="3FD8FF11">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3.4“项目”系指投标人按招标文件规定向采购人提供的货物和服务。</w:t>
      </w:r>
    </w:p>
    <w:p w14:paraId="5C8269B8">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3.5“书面形式”包括信函、传真、电报。</w:t>
      </w:r>
    </w:p>
    <w:p w14:paraId="39880D83">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3.6</w:t>
      </w:r>
      <w:r>
        <w:rPr>
          <w:rFonts w:hint="eastAsia" w:ascii="仿宋" w:hAnsi="仿宋" w:eastAsia="仿宋" w:cs="仿宋"/>
          <w:b/>
          <w:bCs/>
          <w:color w:val="auto"/>
          <w:kern w:val="0"/>
          <w:sz w:val="24"/>
          <w:szCs w:val="24"/>
          <w:highlight w:val="none"/>
        </w:rPr>
        <w:t>“投标文件”：本项目实行全流程电子化招标，投标人通过“</w:t>
      </w:r>
      <w:r>
        <w:rPr>
          <w:rFonts w:hint="eastAsia" w:ascii="仿宋" w:hAnsi="仿宋" w:eastAsia="仿宋" w:cs="仿宋"/>
          <w:b/>
          <w:bCs/>
          <w:color w:val="auto"/>
          <w:kern w:val="0"/>
          <w:sz w:val="24"/>
          <w:szCs w:val="24"/>
          <w:highlight w:val="none"/>
          <w:lang w:eastAsia="zh-CN"/>
        </w:rPr>
        <w:t>广西政府采购云</w:t>
      </w:r>
      <w:r>
        <w:rPr>
          <w:rFonts w:hint="eastAsia" w:ascii="仿宋" w:hAnsi="仿宋" w:eastAsia="仿宋" w:cs="仿宋"/>
          <w:b/>
          <w:bCs/>
          <w:color w:val="auto"/>
          <w:kern w:val="0"/>
          <w:sz w:val="24"/>
          <w:szCs w:val="24"/>
          <w:highlight w:val="none"/>
        </w:rPr>
        <w:t>”平台参与电子投标。投标文件特指投标人按本招标文件规定提交的电子投标文件（包括因特殊情况无法解密或解密失败提交的电子备份投标文件）。</w:t>
      </w:r>
    </w:p>
    <w:p w14:paraId="7924C1A9">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3.7实质性要求：招标文件中标注“▲”项的条款以及要求“必须提供”的条款均属于实质性要求。</w:t>
      </w:r>
    </w:p>
    <w:p w14:paraId="0DB30517">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 招标方式、评分办法</w:t>
      </w:r>
    </w:p>
    <w:p w14:paraId="315D2E6C">
      <w:pPr>
        <w:keepNext w:val="0"/>
        <w:keepLines w:val="0"/>
        <w:pageBreakBefore w:val="0"/>
        <w:widowControl w:val="0"/>
        <w:kinsoku/>
        <w:wordWrap/>
        <w:overflowPunct/>
        <w:topLinePunct w:val="0"/>
        <w:autoSpaceDE/>
        <w:autoSpaceDN/>
        <w:bidi w:val="0"/>
        <w:adjustRightInd/>
        <w:snapToGrid/>
        <w:spacing w:line="400" w:lineRule="exact"/>
        <w:ind w:firstLine="856" w:firstLineChars="35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公开招标、综合评分法</w:t>
      </w:r>
    </w:p>
    <w:p w14:paraId="314A2777">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 投标人资格</w:t>
      </w:r>
    </w:p>
    <w:p w14:paraId="3A5F4B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5.1满足《中华人民共和国政府采购法》第二十二条规定；</w:t>
      </w:r>
    </w:p>
    <w:p w14:paraId="0BCDB2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5.2落实政府采购政策需满足的资格要求：</w:t>
      </w:r>
      <w:r>
        <w:rPr>
          <w:rFonts w:hint="eastAsia" w:ascii="仿宋" w:hAnsi="仿宋" w:eastAsia="仿宋" w:cs="仿宋"/>
          <w:color w:val="auto"/>
          <w:sz w:val="24"/>
          <w:szCs w:val="24"/>
          <w:highlight w:val="none"/>
          <w:lang w:eastAsia="zh-CN"/>
        </w:rPr>
        <w:t>无</w:t>
      </w:r>
      <w:r>
        <w:rPr>
          <w:rFonts w:hint="eastAsia" w:ascii="仿宋" w:hAnsi="仿宋" w:eastAsia="仿宋" w:cs="仿宋"/>
          <w:color w:val="auto"/>
          <w:sz w:val="24"/>
          <w:szCs w:val="24"/>
          <w:highlight w:val="none"/>
        </w:rPr>
        <w:t>。</w:t>
      </w:r>
    </w:p>
    <w:p w14:paraId="0626F0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5.3本项目的特定资格要求：</w:t>
      </w:r>
      <w:r>
        <w:rPr>
          <w:rFonts w:hint="eastAsia" w:ascii="仿宋" w:hAnsi="仿宋" w:eastAsia="仿宋" w:cs="仿宋"/>
          <w:color w:val="auto"/>
          <w:sz w:val="24"/>
          <w:szCs w:val="24"/>
          <w:highlight w:val="none"/>
          <w:lang w:val="en-US" w:eastAsia="zh-CN"/>
        </w:rPr>
        <w:t>投标供应商持有有效的《人力资源服务许可证》</w:t>
      </w:r>
      <w:r>
        <w:rPr>
          <w:rFonts w:hint="eastAsia" w:ascii="仿宋" w:hAnsi="仿宋" w:eastAsia="仿宋" w:cs="仿宋"/>
          <w:color w:val="auto"/>
          <w:sz w:val="24"/>
          <w:szCs w:val="24"/>
          <w:highlight w:val="none"/>
        </w:rPr>
        <w:t>。</w:t>
      </w:r>
    </w:p>
    <w:p w14:paraId="2551DA5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参与电子投标的准备工作</w:t>
      </w:r>
    </w:p>
    <w:p w14:paraId="26517AA0">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w:t>
      </w:r>
      <w:r>
        <w:rPr>
          <w:rFonts w:hint="eastAsia" w:ascii="仿宋" w:hAnsi="仿宋" w:eastAsia="仿宋" w:cs="仿宋"/>
          <w:bCs/>
          <w:color w:val="auto"/>
          <w:sz w:val="24"/>
          <w:szCs w:val="24"/>
          <w:highlight w:val="none"/>
        </w:rPr>
        <w:t>本项目实行全流程电子化采购，投标人通过“</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”平台参与电子投标，并应做好以下相关准备工作：①在“</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平台注册成为正式供应商（操作方法详见广西壮族自治区政府采购网—办事服务—办事指南）；②完成CA证书申领和绑定（费用由投标人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电子投标客户端”）并安装成功，投标人应当在提交投标文件截止时间前在“</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”平台完成的身份认证，确保能够对相关数据电文进行加密和使用电子签章；④自备计算机和网络设备并确保能接入互联网（费用由投标人自行承担，设备确保可进行视频通话和读取</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CA证书）。因投标人未做好相关准备工作等自身原因导致无法参加本项目电子投标或投标失败的，造成的一切后果，由投标人自行承担</w:t>
      </w:r>
      <w:r>
        <w:rPr>
          <w:rFonts w:hint="eastAsia" w:ascii="仿宋" w:hAnsi="仿宋" w:eastAsia="仿宋" w:cs="仿宋"/>
          <w:color w:val="auto"/>
          <w:kern w:val="0"/>
          <w:sz w:val="24"/>
          <w:szCs w:val="24"/>
          <w:highlight w:val="none"/>
        </w:rPr>
        <w:t>。</w:t>
      </w:r>
    </w:p>
    <w:p w14:paraId="73BFBE1B">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6.2电子投标具体操作流程参考《政府采购项目电子交易管理操作指南-供应商》（详见桂林市政府采购网—采购资讯—重要通知）；如遇平台技术问题详询95763。</w:t>
      </w:r>
    </w:p>
    <w:p w14:paraId="750460D7">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6.3不论投标结果如何，投标人均应自行承担所有与投标有关的全部费用。</w:t>
      </w:r>
    </w:p>
    <w:p w14:paraId="0EEEE1C1">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联合体投标要求</w:t>
      </w:r>
    </w:p>
    <w:p w14:paraId="2CB65927">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本项目不接受联合体参与投标。</w:t>
      </w:r>
    </w:p>
    <w:p w14:paraId="73439CE8">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 转包与分包</w:t>
      </w:r>
    </w:p>
    <w:p w14:paraId="04F0D2FF">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8.1本项目不允许转包。</w:t>
      </w:r>
    </w:p>
    <w:p w14:paraId="7F1AFC53">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8.2本项目不可以分包。</w:t>
      </w:r>
    </w:p>
    <w:p w14:paraId="16305AB9">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 特别说明</w:t>
      </w:r>
    </w:p>
    <w:p w14:paraId="1EDACE76">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9.1关联供应商不得参加同一合同项下政府采购活动，否则投标文件将被视为无效：</w:t>
      </w:r>
    </w:p>
    <w:p w14:paraId="5D352E0D">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（1）单位负责人为同一人或者存在直接控股、管理关系的不同供应商，不得参加同一合同项下的政府采购活动。</w:t>
      </w:r>
    </w:p>
    <w:p w14:paraId="7F943D21">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（2）为本采购项目提供整体设计、规范编制或者项目管理、监理、检测等服务的供应商，不得再参加本次采购活动。</w:t>
      </w:r>
    </w:p>
    <w:p w14:paraId="0B90AC23">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9.2投标人必须仔细阅读招标文件的所有内容，按照招标文件的要求提交投标文件，并对所提供的全部资料的真实性承担法律责任。</w:t>
      </w:r>
    </w:p>
    <w:p w14:paraId="5EAA9370">
      <w:pPr>
        <w:keepNext w:val="0"/>
        <w:keepLines w:val="0"/>
        <w:pageBreakBefore w:val="0"/>
        <w:widowControl w:val="0"/>
        <w:tabs>
          <w:tab w:val="left" w:pos="1635"/>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9.3投标人在投标活动中提供任何虚假材料，其投标无效，并报监管部门查处；中标后发现的，中标人须依照《中华人民共和国消费者权益保护法》规定赔偿采购人，且民事赔偿并不免除违法投标人的行政与刑事责任。</w:t>
      </w:r>
    </w:p>
    <w:p w14:paraId="6D5B5C33">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质疑和投诉</w:t>
      </w:r>
      <w:r>
        <w:rPr>
          <w:rFonts w:hint="eastAsia" w:ascii="仿宋" w:hAnsi="仿宋" w:eastAsia="仿宋" w:cs="仿宋"/>
          <w:b/>
          <w:color w:val="auto"/>
          <w:sz w:val="24"/>
          <w:szCs w:val="24"/>
          <w:highlight w:val="none"/>
        </w:rPr>
        <w:tab/>
      </w:r>
    </w:p>
    <w:p w14:paraId="153A909B">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仿宋" w:hAnsi="仿宋" w:eastAsia="仿宋" w:cs="仿宋"/>
          <w:b/>
          <w:color w:val="auto"/>
          <w:sz w:val="24"/>
          <w:szCs w:val="24"/>
          <w:highlight w:val="none"/>
        </w:rPr>
        <w:t>（“质疑函”格式见附表1）</w:t>
      </w:r>
      <w:r>
        <w:rPr>
          <w:rFonts w:hint="eastAsia" w:ascii="仿宋" w:hAnsi="仿宋" w:eastAsia="仿宋" w:cs="仿宋"/>
          <w:color w:val="auto"/>
          <w:sz w:val="24"/>
          <w:szCs w:val="24"/>
          <w:highlight w:val="none"/>
        </w:rPr>
        <w:t>。否则，采购代理机构有权拒收。</w:t>
      </w:r>
    </w:p>
    <w:p w14:paraId="750A81D3">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41EA41C9">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投标人在法定质疑期内应一次性提出与项目相关的质疑，投标人在提出与项目相关的质疑前应当做好全面且详细的工作，代理机构不再受理投标人针对同一采购程序环节的再次质疑。</w:t>
      </w:r>
    </w:p>
    <w:p w14:paraId="2AEA3243">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10.2投标人对采购代理机构的答复不满意或者采购代理机构未在规定的时间内作出答复的，可以在答复期满后十五个工作日内向</w:t>
      </w:r>
      <w:r>
        <w:rPr>
          <w:rFonts w:hint="eastAsia" w:ascii="仿宋" w:hAnsi="仿宋" w:eastAsia="仿宋" w:cs="仿宋"/>
          <w:color w:val="auto"/>
          <w:kern w:val="0"/>
          <w:sz w:val="24"/>
          <w:szCs w:val="24"/>
          <w:highlight w:val="none"/>
        </w:rPr>
        <w:t>桂林市财政局</w:t>
      </w:r>
      <w:r>
        <w:rPr>
          <w:rFonts w:hint="eastAsia" w:ascii="仿宋" w:hAnsi="仿宋" w:eastAsia="仿宋" w:cs="仿宋"/>
          <w:color w:val="auto"/>
          <w:sz w:val="24"/>
          <w:szCs w:val="24"/>
          <w:highlight w:val="none"/>
        </w:rPr>
        <w:t>政府采购监督管理机构投诉</w:t>
      </w:r>
      <w:r>
        <w:rPr>
          <w:rFonts w:hint="eastAsia" w:ascii="仿宋" w:hAnsi="仿宋" w:eastAsia="仿宋" w:cs="仿宋"/>
          <w:b/>
          <w:color w:val="auto"/>
          <w:sz w:val="24"/>
          <w:szCs w:val="24"/>
          <w:highlight w:val="none"/>
        </w:rPr>
        <w:t>（“投诉书”格式见附表2）</w:t>
      </w:r>
      <w:r>
        <w:rPr>
          <w:rFonts w:hint="eastAsia" w:ascii="仿宋" w:hAnsi="仿宋" w:eastAsia="仿宋" w:cs="仿宋"/>
          <w:color w:val="auto"/>
          <w:sz w:val="24"/>
          <w:szCs w:val="24"/>
          <w:highlight w:val="none"/>
        </w:rPr>
        <w:t>。</w:t>
      </w:r>
    </w:p>
    <w:p w14:paraId="31280CEC">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10.3质疑、投诉应当采用书面形式，质疑书、投诉书实行实名制，均应明确阐述招标文件、招标过程或中标结果中使自己合法权益受到损害的实质性内容，并提供必要的证明材料。</w:t>
      </w:r>
    </w:p>
    <w:p w14:paraId="35E997D8">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投标人提出质疑应当提交质疑函和必要的证明材料，针对同一采购程序环节的质疑必须在法定质疑期内一次性提出。质疑函应当包括下列内容：</w:t>
      </w:r>
    </w:p>
    <w:p w14:paraId="1EC6EFA9">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（1）供应商的姓名或者名称、地址、邮编、联系人及联系电话；</w:t>
      </w:r>
    </w:p>
    <w:p w14:paraId="3D79D682">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（2）质疑项目的名称、编号；</w:t>
      </w:r>
    </w:p>
    <w:p w14:paraId="0702DF5D">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（3）具体、明确的质疑事项和与质疑事项相关的请求；</w:t>
      </w:r>
    </w:p>
    <w:p w14:paraId="59D08F4F">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（4）事实依据；</w:t>
      </w:r>
    </w:p>
    <w:p w14:paraId="60445A18">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（5）必要的法律依据；</w:t>
      </w:r>
    </w:p>
    <w:p w14:paraId="51C212D4">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（6）提出质疑的日期。</w:t>
      </w:r>
    </w:p>
    <w:p w14:paraId="0DE32F1F">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供应商为法人或者其他组织的，应当由法定代表人、主要负责人，或者其授权代表签字或者盖章，并加盖公章。</w:t>
      </w:r>
    </w:p>
    <w:p w14:paraId="508970E9">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接收质疑函方式：以书面形式</w:t>
      </w:r>
    </w:p>
    <w:p w14:paraId="7E4DD2F4">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质疑联系部门及联系方式：</w:t>
      </w:r>
      <w:r>
        <w:rPr>
          <w:rFonts w:hint="eastAsia" w:ascii="仿宋" w:hAnsi="仿宋" w:eastAsia="仿宋" w:cs="仿宋"/>
          <w:color w:val="auto"/>
          <w:sz w:val="24"/>
          <w:szCs w:val="24"/>
          <w:highlight w:val="none"/>
          <w:lang w:eastAsia="zh-CN"/>
        </w:rPr>
        <w:t>广西科文招标有限公司</w:t>
      </w:r>
      <w:r>
        <w:rPr>
          <w:rFonts w:hint="eastAsia" w:ascii="仿宋" w:hAnsi="仿宋" w:eastAsia="仿宋" w:cs="仿宋"/>
          <w:color w:val="auto"/>
          <w:sz w:val="24"/>
          <w:szCs w:val="24"/>
          <w:highlight w:val="none"/>
        </w:rPr>
        <w:t>桂林分公司，联系人：</w:t>
      </w:r>
      <w:r>
        <w:rPr>
          <w:rFonts w:hint="eastAsia" w:ascii="仿宋" w:hAnsi="仿宋" w:eastAsia="仿宋" w:cs="仿宋"/>
          <w:color w:val="auto"/>
          <w:sz w:val="24"/>
          <w:szCs w:val="24"/>
          <w:highlight w:val="none"/>
          <w:lang w:val="en-US" w:eastAsia="zh-CN"/>
        </w:rPr>
        <w:t>潘工</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0773-8998063</w:t>
      </w:r>
      <w:r>
        <w:rPr>
          <w:rFonts w:hint="eastAsia" w:ascii="仿宋" w:hAnsi="仿宋" w:eastAsia="仿宋" w:cs="仿宋"/>
          <w:color w:val="auto"/>
          <w:sz w:val="24"/>
          <w:szCs w:val="24"/>
          <w:highlight w:val="none"/>
        </w:rPr>
        <w:t>。通讯地址：桂林市七星区穿山东路41号彰泰•天街V+国际中心1#楼八层802号。</w:t>
      </w:r>
    </w:p>
    <w:p w14:paraId="5E2B5017">
      <w:pPr>
        <w:keepNext w:val="0"/>
        <w:keepLines w:val="0"/>
        <w:pageBreakBefore w:val="0"/>
        <w:tabs>
          <w:tab w:val="left" w:pos="2190"/>
        </w:tabs>
        <w:kinsoku/>
        <w:wordWrap/>
        <w:overflowPunct/>
        <w:topLinePunct w:val="0"/>
        <w:autoSpaceDE/>
        <w:autoSpaceDN/>
        <w:bidi w:val="0"/>
        <w:spacing w:line="400" w:lineRule="exact"/>
        <w:ind w:firstLine="435"/>
        <w:jc w:val="center"/>
        <w:textAlignment w:val="auto"/>
        <w:rPr>
          <w:rFonts w:hint="eastAsia" w:ascii="仿宋" w:hAnsi="仿宋" w:eastAsia="仿宋" w:cs="仿宋"/>
          <w:b/>
          <w:color w:val="auto"/>
          <w:sz w:val="28"/>
          <w:szCs w:val="28"/>
          <w:highlight w:val="none"/>
        </w:rPr>
      </w:pPr>
    </w:p>
    <w:p w14:paraId="1F745F0B">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5"/>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二、招标文件</w:t>
      </w:r>
    </w:p>
    <w:p w14:paraId="3C20D746">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招标文件的构成</w:t>
      </w:r>
    </w:p>
    <w:p w14:paraId="725350BE">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（1）公开招标公告；</w:t>
      </w:r>
    </w:p>
    <w:p w14:paraId="76264CE5">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（2）投标人须知；</w:t>
      </w:r>
    </w:p>
    <w:p w14:paraId="04B5F08A">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（3）项目需求；</w:t>
      </w:r>
    </w:p>
    <w:p w14:paraId="58E66748">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（4）评标办法；</w:t>
      </w:r>
    </w:p>
    <w:p w14:paraId="7C9125B7">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（5）政府采购合同（合同主要条款及格式）；</w:t>
      </w:r>
    </w:p>
    <w:p w14:paraId="74F6A691">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（6）投标文件（格式）。</w:t>
      </w:r>
    </w:p>
    <w:p w14:paraId="458F06CA">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 招标文件的澄清与修改</w:t>
      </w:r>
    </w:p>
    <w:p w14:paraId="6AE47273">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12.1投标人必须认真阅读招标文件，发现其中有误或有不合理要求的，投标人必须在在本项目公告期限届满之日起七个工作日内以书面形式要求采购代理机构澄清。</w:t>
      </w:r>
    </w:p>
    <w:p w14:paraId="6B8D55D7">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6BB12773">
      <w:pPr>
        <w:keepNext w:val="0"/>
        <w:keepLines w:val="0"/>
        <w:pageBreakBefore w:val="0"/>
        <w:widowControl w:val="0"/>
        <w:tabs>
          <w:tab w:val="left" w:pos="1305"/>
        </w:tabs>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12.3投标人应实时关注本项目信息公告相关网站了解澄清、修改等与项目有关的内容，如因投标人未及时登录本项目信息公告相关网站了解澄清、修改等与项目有关内容的，其不利后果由投标人自行承担责任。</w:t>
      </w:r>
    </w:p>
    <w:p w14:paraId="6E507564">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12.4必要的澄清、修改的内容为招标文件的组成部分。当澄清、修改通知就同一内容的表述不一致时，以最后发出的书面文件为准。</w:t>
      </w:r>
    </w:p>
    <w:p w14:paraId="3A2CC685">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12.5招标文件的澄清、修改都应该通过采购代理机构以法定形式发布，采购人非通过本机构，不得擅自澄清、修改招标文件。</w:t>
      </w:r>
    </w:p>
    <w:p w14:paraId="4704231C">
      <w:pPr>
        <w:keepNext w:val="0"/>
        <w:keepLines w:val="0"/>
        <w:pageBreakBefore w:val="0"/>
        <w:widowControl w:val="0"/>
        <w:tabs>
          <w:tab w:val="left" w:pos="2190"/>
        </w:tabs>
        <w:kinsoku/>
        <w:wordWrap/>
        <w:overflowPunct/>
        <w:topLinePunct w:val="0"/>
        <w:autoSpaceDE/>
        <w:autoSpaceDN/>
        <w:bidi w:val="0"/>
        <w:adjustRightInd/>
        <w:snapToGrid/>
        <w:spacing w:line="400" w:lineRule="exact"/>
        <w:ind w:firstLine="43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12.6采购人或者采购代理机构可以视采购具体情况，延长投标截止时间和开标时间，并在本项目招标公告发布的同一媒体上发布变更公告。</w:t>
      </w:r>
    </w:p>
    <w:p w14:paraId="17A90FE3">
      <w:pPr>
        <w:keepNext w:val="0"/>
        <w:keepLines w:val="0"/>
        <w:pageBreakBefore w:val="0"/>
        <w:tabs>
          <w:tab w:val="left" w:pos="2190"/>
        </w:tabs>
        <w:kinsoku/>
        <w:wordWrap/>
        <w:overflowPunct/>
        <w:topLinePunct w:val="0"/>
        <w:autoSpaceDE/>
        <w:autoSpaceDN/>
        <w:bidi w:val="0"/>
        <w:spacing w:line="400" w:lineRule="exact"/>
        <w:ind w:firstLine="435"/>
        <w:textAlignment w:val="auto"/>
        <w:rPr>
          <w:rFonts w:hint="eastAsia" w:ascii="仿宋" w:hAnsi="仿宋" w:eastAsia="仿宋" w:cs="仿宋"/>
          <w:color w:val="auto"/>
          <w:szCs w:val="21"/>
          <w:highlight w:val="none"/>
        </w:rPr>
      </w:pPr>
    </w:p>
    <w:p w14:paraId="4CC918DD">
      <w:pPr>
        <w:keepNext w:val="0"/>
        <w:keepLines w:val="0"/>
        <w:pageBreakBefore w:val="0"/>
        <w:tabs>
          <w:tab w:val="left" w:pos="2190"/>
        </w:tabs>
        <w:kinsoku/>
        <w:wordWrap/>
        <w:overflowPunct/>
        <w:topLinePunct w:val="0"/>
        <w:autoSpaceDE/>
        <w:autoSpaceDN/>
        <w:bidi w:val="0"/>
        <w:spacing w:line="400" w:lineRule="exact"/>
        <w:ind w:firstLine="435"/>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三、投标文件的编制</w:t>
      </w:r>
    </w:p>
    <w:p w14:paraId="105C8D2F">
      <w:pPr>
        <w:keepNext w:val="0"/>
        <w:keepLines w:val="0"/>
        <w:pageBreakBefore w:val="0"/>
        <w:widowControl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 投标文件的组成及要求</w:t>
      </w:r>
    </w:p>
    <w:p w14:paraId="2E551843">
      <w:pPr>
        <w:keepNext w:val="0"/>
        <w:keepLines w:val="0"/>
        <w:pageBreakBefore w:val="0"/>
        <w:widowControl w:val="0"/>
        <w:tabs>
          <w:tab w:val="left" w:pos="2190"/>
        </w:tabs>
        <w:kinsoku/>
        <w:wordWrap/>
        <w:overflowPunct/>
        <w:topLinePunct w:val="0"/>
        <w:autoSpaceDE/>
        <w:autoSpaceDN/>
        <w:bidi w:val="0"/>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13.1</w:t>
      </w:r>
      <w:r>
        <w:rPr>
          <w:rFonts w:hint="eastAsia" w:ascii="仿宋" w:hAnsi="仿宋" w:eastAsia="仿宋" w:cs="仿宋"/>
          <w:b/>
          <w:color w:val="auto"/>
          <w:sz w:val="24"/>
          <w:szCs w:val="24"/>
          <w:highlight w:val="none"/>
        </w:rPr>
        <w:t>投标文件组成【格式见第六章“投标文件（格式）”】</w:t>
      </w:r>
    </w:p>
    <w:p w14:paraId="2EE61FA3">
      <w:pPr>
        <w:keepNext w:val="0"/>
        <w:keepLines w:val="0"/>
        <w:pageBreakBefore w:val="0"/>
        <w:widowControl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13.1.1资格性响应证明材料：</w:t>
      </w:r>
    </w:p>
    <w:p w14:paraId="2C28F439">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（1）投标人相应的法定代表人(负责人)身份证正反面复印件</w:t>
      </w:r>
      <w:r>
        <w:rPr>
          <w:rFonts w:hint="eastAsia" w:ascii="仿宋" w:hAnsi="仿宋" w:eastAsia="仿宋" w:cs="仿宋"/>
          <w:b/>
          <w:color w:val="auto"/>
          <w:sz w:val="24"/>
          <w:szCs w:val="24"/>
          <w:highlight w:val="none"/>
        </w:rPr>
        <w:t>（必须提供）；</w:t>
      </w:r>
    </w:p>
    <w:p w14:paraId="15C4E8B2">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（2）投标人的</w:t>
      </w:r>
      <w:r>
        <w:rPr>
          <w:rFonts w:hint="eastAsia" w:ascii="仿宋" w:hAnsi="仿宋" w:eastAsia="仿宋" w:cs="仿宋"/>
          <w:color w:val="auto"/>
          <w:sz w:val="24"/>
          <w:szCs w:val="24"/>
          <w:highlight w:val="none"/>
          <w:lang w:eastAsia="zh-CN"/>
        </w:rPr>
        <w:t>授权委托书原件、委托代理人身份证正反面复印件以及由县级以上（含县级）社会养老保险经办机构出具的供应商为委托代理人交纳的投标文件递交截止时间前半年内任意连续三个月社保证明复印件</w:t>
      </w:r>
      <w:r>
        <w:rPr>
          <w:rFonts w:hint="eastAsia" w:ascii="仿宋" w:hAnsi="仿宋" w:eastAsia="仿宋" w:cs="仿宋"/>
          <w:b/>
          <w:color w:val="auto"/>
          <w:sz w:val="24"/>
          <w:szCs w:val="24"/>
          <w:highlight w:val="none"/>
        </w:rPr>
        <w:t>（委托代理时必须提供）；</w:t>
      </w:r>
    </w:p>
    <w:p w14:paraId="6AD9220A">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（3）投标人的法人或者其他组织营业执照等证明文件复印件</w:t>
      </w:r>
      <w:r>
        <w:rPr>
          <w:rFonts w:hint="eastAsia" w:ascii="仿宋" w:hAnsi="仿宋" w:eastAsia="仿宋" w:cs="仿宋"/>
          <w:b/>
          <w:color w:val="auto"/>
          <w:sz w:val="24"/>
          <w:szCs w:val="24"/>
          <w:highlight w:val="none"/>
        </w:rPr>
        <w:t>（必须提供）；</w:t>
      </w:r>
    </w:p>
    <w:p w14:paraId="7056EF24">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①法人包括企业法人、机关法人、事业单位法人和社会团体法人；其他组织主要包括合伙企业、非企业专业服务机构、个体工商户、农村承包经营户。②如投标人为企业（包括合伙企业），应提供市场监督管理部门（或行政审批部门）注册的有效“企业法人营业执照”或“营业执照；投标人为事业单位，应提供有效的“事业单位法人证书”；投标人为非企业专业服务机构的，应提供执业许可证等证明文件；投标人为个体工商户，应提供有效的“个体工商户营业执照”。③如投标人为企业法人的分支机构的，除应提供营业执照复印件外，还应提供其所属的总公司授权其参加政府采购活动的授权文件或授权其独立开展经营业务活动的证明材料复印件。</w:t>
      </w:r>
    </w:p>
    <w:p w14:paraId="26034D69">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投标人有效的</w:t>
      </w:r>
      <w:r>
        <w:rPr>
          <w:rFonts w:hint="eastAsia" w:ascii="仿宋" w:hAnsi="仿宋" w:eastAsia="仿宋" w:cs="仿宋"/>
          <w:color w:val="auto"/>
          <w:sz w:val="24"/>
          <w:szCs w:val="24"/>
          <w:highlight w:val="none"/>
        </w:rPr>
        <w:t>《人力资源服务许可证》</w:t>
      </w:r>
      <w:r>
        <w:rPr>
          <w:rFonts w:hint="eastAsia" w:ascii="仿宋" w:hAnsi="仿宋" w:eastAsia="仿宋" w:cs="仿宋"/>
          <w:color w:val="auto"/>
          <w:sz w:val="24"/>
          <w:szCs w:val="24"/>
          <w:highlight w:val="none"/>
          <w:lang w:val="en-US" w:eastAsia="zh-CN"/>
        </w:rPr>
        <w:t>复印件</w:t>
      </w:r>
      <w:r>
        <w:rPr>
          <w:rFonts w:hint="eastAsia" w:ascii="仿宋" w:hAnsi="仿宋" w:eastAsia="仿宋" w:cs="仿宋"/>
          <w:b/>
          <w:color w:val="auto"/>
          <w:sz w:val="24"/>
          <w:szCs w:val="24"/>
          <w:highlight w:val="none"/>
        </w:rPr>
        <w:t>（必须提供）；</w:t>
      </w:r>
    </w:p>
    <w:p w14:paraId="4A8C3762">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）投标人2024或2025年度的财务状况报告复印件（或2024年银行出具的资信证明复印件）</w:t>
      </w:r>
      <w:r>
        <w:rPr>
          <w:rFonts w:hint="eastAsia" w:ascii="仿宋" w:hAnsi="仿宋" w:eastAsia="仿宋" w:cs="仿宋"/>
          <w:b/>
          <w:color w:val="auto"/>
          <w:sz w:val="24"/>
          <w:szCs w:val="24"/>
          <w:highlight w:val="none"/>
        </w:rPr>
        <w:t>（必须提供，可以是</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供应商自行编制也可是通过第三方审计公司编制，如为自行编制至少须提供现金流量表、负债表及利润表）；</w:t>
      </w:r>
    </w:p>
    <w:p w14:paraId="5CD2E757">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投标人投标截止时间前半年内任意连续三个月依法缴纳税收的相关材料复印件</w:t>
      </w:r>
      <w:r>
        <w:rPr>
          <w:rFonts w:hint="eastAsia" w:ascii="仿宋" w:hAnsi="仿宋" w:eastAsia="仿宋" w:cs="仿宋"/>
          <w:b/>
          <w:color w:val="auto"/>
          <w:sz w:val="24"/>
          <w:szCs w:val="24"/>
          <w:highlight w:val="none"/>
        </w:rPr>
        <w:t>（必须提供）；</w:t>
      </w:r>
    </w:p>
    <w:p w14:paraId="6F8F2A9C">
      <w:pPr>
        <w:keepNext w:val="0"/>
        <w:keepLines w:val="0"/>
        <w:pageBreakBefore w:val="0"/>
        <w:widowControl w:val="0"/>
        <w:tabs>
          <w:tab w:val="left" w:pos="1305"/>
        </w:tabs>
        <w:kinsoku/>
        <w:wordWrap/>
        <w:overflowPunct/>
        <w:topLinePunct w:val="0"/>
        <w:autoSpaceDE/>
        <w:autoSpaceDN/>
        <w:bidi w:val="0"/>
        <w:spacing w:line="400" w:lineRule="exact"/>
        <w:ind w:firstLine="472" w:firstLineChars="197"/>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）投标人参加政府采购活动前3年内在经营活动中没有重大违法记录及有关信用信息的书面声明</w:t>
      </w:r>
      <w:r>
        <w:rPr>
          <w:rFonts w:hint="eastAsia" w:ascii="仿宋" w:hAnsi="仿宋" w:eastAsia="仿宋" w:cs="仿宋"/>
          <w:b/>
          <w:color w:val="auto"/>
          <w:sz w:val="24"/>
          <w:szCs w:val="24"/>
          <w:highlight w:val="none"/>
        </w:rPr>
        <w:t>（必须提供）；</w:t>
      </w:r>
    </w:p>
    <w:p w14:paraId="3857BDF4">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）投标人参加本项目无围标串标行为的承诺函</w:t>
      </w:r>
      <w:r>
        <w:rPr>
          <w:rFonts w:hint="eastAsia" w:ascii="仿宋" w:hAnsi="仿宋" w:eastAsia="仿宋" w:cs="仿宋"/>
          <w:b/>
          <w:bCs/>
          <w:color w:val="auto"/>
          <w:sz w:val="24"/>
          <w:szCs w:val="24"/>
          <w:highlight w:val="none"/>
        </w:rPr>
        <w:t>（必须提供）</w:t>
      </w:r>
      <w:r>
        <w:rPr>
          <w:rFonts w:hint="eastAsia" w:ascii="仿宋" w:hAnsi="仿宋" w:eastAsia="仿宋" w:cs="仿宋"/>
          <w:b w:val="0"/>
          <w:bCs w:val="0"/>
          <w:color w:val="auto"/>
          <w:sz w:val="24"/>
          <w:szCs w:val="24"/>
          <w:highlight w:val="none"/>
          <w:lang w:eastAsia="zh-CN"/>
        </w:rPr>
        <w:t>。</w:t>
      </w:r>
    </w:p>
    <w:p w14:paraId="06E314E2">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13.1.2商务、技术性响应证明材料：</w:t>
      </w:r>
    </w:p>
    <w:p w14:paraId="6725C145">
      <w:pPr>
        <w:keepNext w:val="0"/>
        <w:keepLines w:val="0"/>
        <w:pageBreakBefore w:val="0"/>
        <w:widowControl w:val="0"/>
        <w:tabs>
          <w:tab w:val="left" w:pos="1305"/>
        </w:tabs>
        <w:kinsoku/>
        <w:wordWrap/>
        <w:overflowPunct/>
        <w:topLinePunct w:val="0"/>
        <w:autoSpaceDE/>
        <w:autoSpaceDN/>
        <w:bidi w:val="0"/>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b w:val="0"/>
          <w:bCs/>
          <w:color w:val="auto"/>
          <w:sz w:val="24"/>
          <w:szCs w:val="24"/>
          <w:highlight w:val="none"/>
        </w:rPr>
        <w:t>（1）投标报价表</w:t>
      </w:r>
      <w:r>
        <w:rPr>
          <w:rFonts w:hint="eastAsia" w:ascii="仿宋" w:hAnsi="仿宋" w:eastAsia="仿宋" w:cs="仿宋"/>
          <w:b/>
          <w:color w:val="auto"/>
          <w:sz w:val="24"/>
          <w:szCs w:val="24"/>
          <w:highlight w:val="none"/>
        </w:rPr>
        <w:t>（必须提供）；</w:t>
      </w:r>
    </w:p>
    <w:p w14:paraId="1D63675D">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eastAsia="zh-CN"/>
        </w:rPr>
        <w:t>投标人</w:t>
      </w:r>
      <w:r>
        <w:rPr>
          <w:rFonts w:hint="eastAsia" w:ascii="仿宋" w:hAnsi="仿宋" w:eastAsia="仿宋" w:cs="仿宋"/>
          <w:b w:val="0"/>
          <w:bCs/>
          <w:color w:val="auto"/>
          <w:sz w:val="24"/>
          <w:szCs w:val="24"/>
          <w:highlight w:val="none"/>
        </w:rPr>
        <w:t>服务（技术）响应、商务偏离情况说明表（格式见附件）</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必须提供</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w:t>
      </w:r>
    </w:p>
    <w:p w14:paraId="05B781D0">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sz w:val="24"/>
          <w:szCs w:val="24"/>
          <w:highlight w:val="none"/>
          <w:lang w:eastAsia="zh-CN"/>
        </w:rPr>
        <w:t>投标人针对本项目的实施方案</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必须提供</w:t>
      </w:r>
      <w:r>
        <w:rPr>
          <w:rFonts w:hint="eastAsia" w:ascii="仿宋" w:hAnsi="仿宋" w:eastAsia="仿宋" w:cs="仿宋"/>
          <w:b/>
          <w:color w:val="auto"/>
          <w:sz w:val="24"/>
          <w:szCs w:val="24"/>
          <w:highlight w:val="none"/>
          <w:lang w:eastAsia="zh-CN"/>
        </w:rPr>
        <w:t>）</w:t>
      </w:r>
      <w:r>
        <w:rPr>
          <w:rFonts w:hint="eastAsia" w:ascii="仿宋" w:hAnsi="仿宋" w:eastAsia="仿宋" w:cs="仿宋"/>
          <w:b w:val="0"/>
          <w:bCs/>
          <w:color w:val="auto"/>
          <w:sz w:val="24"/>
          <w:szCs w:val="24"/>
          <w:highlight w:val="none"/>
        </w:rPr>
        <w:t>；</w:t>
      </w:r>
    </w:p>
    <w:p w14:paraId="6AA3ADEA">
      <w:pPr>
        <w:pStyle w:val="6"/>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相应方案可从内容的科学性、合理性、针对性方面编制，内容包括但不限于</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项目组织方案</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管理措施、</w:t>
      </w:r>
      <w:r>
        <w:rPr>
          <w:rFonts w:hint="eastAsia" w:ascii="仿宋" w:hAnsi="仿宋" w:eastAsia="仿宋" w:cs="仿宋"/>
          <w:b w:val="0"/>
          <w:bCs/>
          <w:color w:val="auto"/>
          <w:sz w:val="24"/>
          <w:szCs w:val="24"/>
          <w:highlight w:val="none"/>
        </w:rPr>
        <w:t>系统安全工作方案、服务保障、</w:t>
      </w:r>
      <w:r>
        <w:rPr>
          <w:rFonts w:hint="eastAsia" w:ascii="仿宋" w:hAnsi="仿宋" w:eastAsia="仿宋" w:cs="仿宋"/>
          <w:b w:val="0"/>
          <w:bCs/>
          <w:color w:val="auto"/>
          <w:sz w:val="24"/>
          <w:szCs w:val="24"/>
          <w:highlight w:val="none"/>
          <w:lang w:val="en-US" w:eastAsia="zh-CN"/>
        </w:rPr>
        <w:t>项目组织机构、合理化建议</w:t>
      </w:r>
      <w:r>
        <w:rPr>
          <w:rFonts w:hint="eastAsia" w:ascii="仿宋" w:hAnsi="仿宋" w:eastAsia="仿宋" w:cs="仿宋"/>
          <w:b w:val="0"/>
          <w:bCs/>
          <w:color w:val="auto"/>
          <w:sz w:val="24"/>
          <w:szCs w:val="24"/>
          <w:highlight w:val="none"/>
        </w:rPr>
        <w:t>等</w:t>
      </w:r>
      <w:r>
        <w:rPr>
          <w:rFonts w:hint="eastAsia" w:ascii="仿宋" w:hAnsi="仿宋" w:eastAsia="仿宋" w:cs="仿宋"/>
          <w:b w:val="0"/>
          <w:bCs/>
          <w:color w:val="auto"/>
          <w:sz w:val="24"/>
          <w:szCs w:val="24"/>
          <w:highlight w:val="none"/>
          <w:lang w:eastAsia="zh-CN"/>
        </w:rPr>
        <w:t>。</w:t>
      </w:r>
    </w:p>
    <w:p w14:paraId="19381CA1">
      <w:pPr>
        <w:keepNext w:val="0"/>
        <w:keepLines w:val="0"/>
        <w:pageBreakBefore w:val="0"/>
        <w:widowControl w:val="0"/>
        <w:numPr>
          <w:ilvl w:val="0"/>
          <w:numId w:val="3"/>
        </w:numPr>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投标人针对本项目的</w:t>
      </w:r>
      <w:r>
        <w:rPr>
          <w:rFonts w:hint="eastAsia" w:ascii="仿宋" w:hAnsi="仿宋" w:eastAsia="仿宋" w:cs="仿宋"/>
          <w:b w:val="0"/>
          <w:bCs/>
          <w:color w:val="auto"/>
          <w:sz w:val="24"/>
          <w:szCs w:val="24"/>
          <w:highlight w:val="none"/>
          <w:lang w:val="en-US" w:eastAsia="zh-CN"/>
        </w:rPr>
        <w:t>服务</w:t>
      </w:r>
      <w:r>
        <w:rPr>
          <w:rFonts w:hint="eastAsia" w:ascii="仿宋" w:hAnsi="仿宋" w:eastAsia="仿宋" w:cs="仿宋"/>
          <w:b w:val="0"/>
          <w:bCs/>
          <w:color w:val="auto"/>
          <w:sz w:val="24"/>
          <w:szCs w:val="24"/>
          <w:highlight w:val="none"/>
          <w:lang w:eastAsia="zh-CN"/>
        </w:rPr>
        <w:t>方案</w:t>
      </w:r>
      <w:r>
        <w:rPr>
          <w:rFonts w:hint="eastAsia" w:ascii="仿宋" w:hAnsi="仿宋" w:eastAsia="仿宋" w:cs="仿宋"/>
          <w:b w:val="0"/>
          <w:bCs/>
          <w:color w:val="auto"/>
          <w:sz w:val="24"/>
          <w:szCs w:val="24"/>
          <w:highlight w:val="none"/>
        </w:rPr>
        <w:t>（如有，请提供）；</w:t>
      </w:r>
    </w:p>
    <w:p w14:paraId="16CA0C74">
      <w:pPr>
        <w:pStyle w:val="6"/>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相应方案可从内容的合理性、针对性、可行性方面编制，</w:t>
      </w:r>
      <w:r>
        <w:rPr>
          <w:rFonts w:hint="eastAsia" w:ascii="仿宋" w:hAnsi="仿宋" w:eastAsia="仿宋" w:cs="仿宋"/>
          <w:b w:val="0"/>
          <w:bCs/>
          <w:color w:val="auto"/>
          <w:sz w:val="24"/>
          <w:szCs w:val="24"/>
          <w:highlight w:val="none"/>
        </w:rPr>
        <w:t>内容包括但不限于</w:t>
      </w:r>
      <w:r>
        <w:rPr>
          <w:rFonts w:hint="eastAsia" w:ascii="仿宋" w:hAnsi="仿宋" w:eastAsia="仿宋" w:cs="仿宋"/>
          <w:b w:val="0"/>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售后服务机制方案、服务保障措施方案、服务响应承诺及具体措施且应尽处理问题能力、应急情景及问题解决方案、承诺在后续服务中积极响应并配合采购人相关工作</w:t>
      </w:r>
      <w:r>
        <w:rPr>
          <w:rFonts w:hint="eastAsia" w:ascii="仿宋" w:hAnsi="仿宋" w:eastAsia="仿宋" w:cs="仿宋"/>
          <w:b w:val="0"/>
          <w:bCs/>
          <w:color w:val="auto"/>
          <w:sz w:val="24"/>
          <w:szCs w:val="24"/>
          <w:highlight w:val="none"/>
        </w:rPr>
        <w:t>等</w:t>
      </w:r>
      <w:r>
        <w:rPr>
          <w:rFonts w:hint="eastAsia" w:ascii="仿宋" w:hAnsi="仿宋" w:eastAsia="仿宋" w:cs="仿宋"/>
          <w:b w:val="0"/>
          <w:bCs/>
          <w:color w:val="auto"/>
          <w:sz w:val="24"/>
          <w:szCs w:val="24"/>
          <w:highlight w:val="none"/>
          <w:lang w:eastAsia="zh-CN"/>
        </w:rPr>
        <w:t>。</w:t>
      </w:r>
    </w:p>
    <w:p w14:paraId="713A0F84">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（5）投标人的拟投入本项目的执行团队人员配备方案（如有，请提供）；</w:t>
      </w:r>
    </w:p>
    <w:p w14:paraId="77951E70">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该方案可从内容的完整性、针对性、合理性等方面进行编制，包含但不限于主要负责人员名单、主要人员个人资历情况及在职证明，组织结构图等内容等。</w:t>
      </w:r>
    </w:p>
    <w:p w14:paraId="72002477">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w:t>
      </w:r>
      <w:r>
        <w:rPr>
          <w:rFonts w:hint="eastAsia" w:ascii="仿宋" w:hAnsi="仿宋" w:eastAsia="仿宋" w:cs="仿宋"/>
          <w:b w:val="0"/>
          <w:bCs/>
          <w:color w:val="auto"/>
          <w:kern w:val="0"/>
          <w:sz w:val="24"/>
          <w:szCs w:val="24"/>
          <w:highlight w:val="none"/>
          <w:lang w:val="en-US" w:eastAsia="zh-CN"/>
        </w:rPr>
        <w:t>6</w:t>
      </w:r>
      <w:r>
        <w:rPr>
          <w:rFonts w:hint="eastAsia" w:ascii="仿宋" w:hAnsi="仿宋" w:eastAsia="仿宋" w:cs="仿宋"/>
          <w:b w:val="0"/>
          <w:bCs/>
          <w:color w:val="auto"/>
          <w:kern w:val="0"/>
          <w:sz w:val="24"/>
          <w:szCs w:val="24"/>
          <w:highlight w:val="none"/>
        </w:rPr>
        <w:t>）供应商同类项目业绩证明材料（根据评分办法中相关要求提供）（如有，请提供）；</w:t>
      </w:r>
    </w:p>
    <w:p w14:paraId="35689B9F">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所提供服务企业属于小型、微型企业【中小微型企业划分标准按照《国家统计局关于印发《统计上大中小微型企业划分办法〔2017〕》的通知》（国统字〔2017〕213号）执行，具体划分标准见第四章评标办法中附表《统计上大中小微型企业划分标准》】；</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根据财政部、司法部关于政府采购支持监狱企业发展有关问题的通知（财库[2014]68号）及</w:t>
      </w:r>
      <w:r>
        <w:rPr>
          <w:rFonts w:hint="eastAsia" w:ascii="仿宋" w:hAnsi="仿宋" w:eastAsia="仿宋" w:cs="仿宋"/>
          <w:bCs/>
          <w:color w:val="auto"/>
          <w:sz w:val="24"/>
          <w:szCs w:val="24"/>
          <w:highlight w:val="none"/>
        </w:rPr>
        <w:t>《关于促进残疾人就业政府采购政策的通知》（财库〔2017〕141号）的规定，</w:t>
      </w:r>
      <w:r>
        <w:rPr>
          <w:rFonts w:hint="eastAsia" w:ascii="仿宋" w:hAnsi="仿宋" w:eastAsia="仿宋" w:cs="仿宋"/>
          <w:color w:val="auto"/>
          <w:sz w:val="24"/>
          <w:szCs w:val="24"/>
          <w:highlight w:val="none"/>
        </w:rPr>
        <w:t>监狱企业、残疾人福利单位视同小型、微型企业。投标人根据自身情况，相应提供以下证明材料</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如有，请提供</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①投标人如为符合政策要求的中小企业且承接本项目全部服务的，提供《中小企业声明函》（并对声明的真实性负责）。</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②投标人如属于监狱企业且承接本项目全部服务的，提供由省级以上监狱管理局、戒毒管理局(含新疆生产建设兵团)出具的属于监狱企业的证明文件。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③投标人如属于符合条件的残疾人福利性单位且承接本项目全部服务的，提供《残疾人福利性单位声明函》（并对声明的真实性负责）。</w:t>
      </w:r>
    </w:p>
    <w:p w14:paraId="5BBFCAF6">
      <w:pPr>
        <w:keepNext w:val="0"/>
        <w:keepLines w:val="0"/>
        <w:pageBreakBefore w:val="0"/>
        <w:widowControl w:val="0"/>
        <w:tabs>
          <w:tab w:val="left" w:pos="1305"/>
        </w:tabs>
        <w:kinsoku/>
        <w:wordWrap/>
        <w:overflowPunct/>
        <w:topLinePunct w:val="0"/>
        <w:autoSpaceDE/>
        <w:autoSpaceDN/>
        <w:bidi w:val="0"/>
        <w:spacing w:line="40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8</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投标人可结合本项目的评标办法视自身情况自行提交相关证明材料</w:t>
      </w:r>
      <w:r>
        <w:rPr>
          <w:rFonts w:hint="eastAsia" w:ascii="仿宋" w:hAnsi="仿宋" w:eastAsia="仿宋" w:cs="仿宋"/>
          <w:b w:val="0"/>
          <w:bCs/>
          <w:color w:val="auto"/>
          <w:kern w:val="0"/>
          <w:sz w:val="24"/>
          <w:szCs w:val="24"/>
          <w:highlight w:val="none"/>
        </w:rPr>
        <w:t>（如有，请提供）。</w:t>
      </w:r>
    </w:p>
    <w:p w14:paraId="11AE9179">
      <w:pPr>
        <w:pStyle w:val="9"/>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投标人提供的以上相关证明材料必须真实有效，属于“必须提供”的文件应加盖投标人公章(或电子签章)，否则投标无效。“必须提供”的文件“投标文件（格式）”中有要求法定代表人(负责人)或相应的授权委托代理人在规定位置签字（或者电子签名）的，必须由法定代表人(负责人)或委托代理人签字（或者电子签名），否则，投标文件按无效处理。</w:t>
      </w:r>
    </w:p>
    <w:p w14:paraId="4D07F00E">
      <w:pPr>
        <w:pStyle w:val="9"/>
        <w:keepNext w:val="0"/>
        <w:keepLines w:val="0"/>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13.2投标人必须按招标文件第六章“投标文件（格式）”编制投标文件。</w:t>
      </w:r>
    </w:p>
    <w:p w14:paraId="522369DB">
      <w:pPr>
        <w:pStyle w:val="9"/>
        <w:keepNext w:val="0"/>
        <w:keepLines w:val="0"/>
        <w:pageBreakBefore w:val="0"/>
        <w:widowControl w:val="0"/>
        <w:kinsoku/>
        <w:wordWrap/>
        <w:overflowPunct/>
        <w:topLinePunct w:val="0"/>
        <w:autoSpaceDE/>
        <w:autoSpaceDN/>
        <w:bidi w:val="0"/>
        <w:spacing w:line="400" w:lineRule="exact"/>
        <w:ind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13.3投标文件必须对招标文件提出的要求和条件作出明确响应。</w:t>
      </w:r>
    </w:p>
    <w:p w14:paraId="2B07F942">
      <w:pPr>
        <w:keepNext w:val="0"/>
        <w:keepLines w:val="0"/>
        <w:pageBreakBefore w:val="0"/>
        <w:widowControl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14. 投标文件的语言及计量</w:t>
      </w:r>
    </w:p>
    <w:p w14:paraId="0D6BEF5D">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19FBBAD5">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14.2投标计量单位，招标文件已有明确规定的，使用招标文件规定的计量单位；招标文件没有规定的，必须采用中华人民共和国法定计量单位（货币单位：元人民币），否则视同未响应。</w:t>
      </w:r>
    </w:p>
    <w:p w14:paraId="07785A49">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15.投标报价</w:t>
      </w:r>
    </w:p>
    <w:p w14:paraId="4C1E41E7">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15.1投标报价必须按招标文件中第六章“投标文件（格式）”填写。</w:t>
      </w:r>
    </w:p>
    <w:p w14:paraId="4EA5426E">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w:t>
      </w:r>
      <w:r>
        <w:rPr>
          <w:rFonts w:hint="eastAsia" w:ascii="仿宋" w:hAnsi="仿宋" w:eastAsia="仿宋" w:cs="仿宋"/>
          <w:color w:val="auto"/>
          <w:sz w:val="24"/>
          <w:szCs w:val="24"/>
          <w:highlight w:val="none"/>
          <w:lang w:eastAsia="zh-CN"/>
        </w:rPr>
        <w:t>本项目各分标最高限价及各分项服务最高限价</w:t>
      </w:r>
      <w:r>
        <w:rPr>
          <w:rFonts w:hint="eastAsia" w:ascii="仿宋" w:hAnsi="仿宋" w:eastAsia="仿宋" w:cs="仿宋"/>
          <w:color w:val="auto"/>
          <w:sz w:val="24"/>
          <w:szCs w:val="24"/>
          <w:highlight w:val="none"/>
        </w:rPr>
        <w:t>详见“项目需求”。投标人的投标报价及相应分项报价不得超出最高限价及相应分项最高限价，否则，按投标无效处理。</w:t>
      </w:r>
    </w:p>
    <w:p w14:paraId="7EAE741F">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w:t>
      </w:r>
      <w:r>
        <w:rPr>
          <w:rFonts w:hint="eastAsia" w:ascii="仿宋" w:hAnsi="仿宋" w:eastAsia="仿宋" w:cs="仿宋"/>
          <w:color w:val="auto"/>
          <w:sz w:val="24"/>
          <w:szCs w:val="24"/>
          <w:highlight w:val="none"/>
          <w:lang w:eastAsia="zh-CN"/>
        </w:rPr>
        <w:t>投标人必须就“项目需求”中的所有内容按分标分别作完整唯一报价</w:t>
      </w:r>
      <w:r>
        <w:rPr>
          <w:rFonts w:hint="eastAsia" w:ascii="仿宋" w:hAnsi="仿宋" w:eastAsia="仿宋" w:cs="仿宋"/>
          <w:color w:val="auto"/>
          <w:sz w:val="24"/>
          <w:szCs w:val="24"/>
          <w:highlight w:val="none"/>
        </w:rPr>
        <w:t>，否则，其投标将被拒绝；投标文件只允许有一个报价方案，有选择的或有条件的报价将不予接受。</w:t>
      </w:r>
    </w:p>
    <w:p w14:paraId="3FE2185B">
      <w:pPr>
        <w:keepNext w:val="0"/>
        <w:keepLines w:val="0"/>
        <w:pageBreakBefore w:val="0"/>
        <w:widowControl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投标报价应包括完成本次服务采购需求范围内所需的劳务费、技术服务费、策划设计、制作、现场执行、版权或知识产权、管理费、利润、验收、税金和风险等一切相关的全部费用。该价格不因投标人在计算报价中的失误、漏项、多项而做任何调整；投标人的报价在合同实施期间应保持不变。除此之外，采购人不再另行支付任何费用。</w:t>
      </w:r>
    </w:p>
    <w:p w14:paraId="45A123D0">
      <w:pPr>
        <w:keepNext w:val="0"/>
        <w:keepLines w:val="0"/>
        <w:pageBreakBefore w:val="0"/>
        <w:widowControl w:val="0"/>
        <w:kinsoku/>
        <w:wordWrap/>
        <w:overflowPunct/>
        <w:topLinePunct w:val="0"/>
        <w:autoSpaceDE/>
        <w:autoSpaceDN/>
        <w:bidi w:val="0"/>
        <w:spacing w:line="400" w:lineRule="exact"/>
        <w:ind w:left="420" w:hanging="42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16. 投标有效期</w:t>
      </w:r>
    </w:p>
    <w:p w14:paraId="2F2E8275">
      <w:pPr>
        <w:keepNext w:val="0"/>
        <w:keepLines w:val="0"/>
        <w:pageBreakBefore w:val="0"/>
        <w:widowControl w:val="0"/>
        <w:kinsoku/>
        <w:wordWrap/>
        <w:overflowPunct/>
        <w:topLinePunct w:val="0"/>
        <w:autoSpaceDE/>
        <w:autoSpaceDN/>
        <w:bidi w:val="0"/>
        <w:spacing w:line="400" w:lineRule="exact"/>
        <w:ind w:left="420" w:hanging="42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 xml:space="preserve">  16.1投标有效期：投标截止时间之日起90天。</w:t>
      </w:r>
    </w:p>
    <w:p w14:paraId="731C3672">
      <w:pPr>
        <w:keepNext w:val="0"/>
        <w:keepLines w:val="0"/>
        <w:pageBreakBefore w:val="0"/>
        <w:widowControl w:val="0"/>
        <w:kinsoku/>
        <w:wordWrap/>
        <w:overflowPunct/>
        <w:topLinePunct w:val="0"/>
        <w:autoSpaceDE/>
        <w:autoSpaceDN/>
        <w:bidi w:val="0"/>
        <w:spacing w:line="400" w:lineRule="exact"/>
        <w:ind w:left="420" w:hanging="42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16.2出现特殊情况下，需要延长投标有效期的，采购代理机构以书面形式通知投标人延长投标有效期。</w:t>
      </w:r>
    </w:p>
    <w:p w14:paraId="55375491">
      <w:pPr>
        <w:keepNext w:val="0"/>
        <w:keepLines w:val="0"/>
        <w:pageBreakBefore w:val="0"/>
        <w:widowControl w:val="0"/>
        <w:kinsoku/>
        <w:wordWrap/>
        <w:overflowPunct/>
        <w:topLinePunct w:val="0"/>
        <w:autoSpaceDE/>
        <w:autoSpaceDN/>
        <w:bidi w:val="0"/>
        <w:spacing w:line="400" w:lineRule="exact"/>
        <w:ind w:left="420" w:hanging="42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投标人同意延长的，不能修改投标文件。投标人拒绝延长的，其投标无效。</w:t>
      </w:r>
    </w:p>
    <w:p w14:paraId="03851D1D">
      <w:pPr>
        <w:keepNext w:val="0"/>
        <w:keepLines w:val="0"/>
        <w:pageBreakBefore w:val="0"/>
        <w:widowControl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17.电子投标文件的制作、加密要求</w:t>
      </w:r>
    </w:p>
    <w:p w14:paraId="09940570">
      <w:pPr>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17.1投标人制作电子投标文件前，</w:t>
      </w:r>
      <w:r>
        <w:rPr>
          <w:rFonts w:hint="eastAsia" w:ascii="仿宋" w:hAnsi="仿宋" w:eastAsia="仿宋" w:cs="仿宋"/>
          <w:bCs/>
          <w:color w:val="auto"/>
          <w:sz w:val="24"/>
          <w:szCs w:val="24"/>
          <w:highlight w:val="none"/>
        </w:rPr>
        <w:t>应登录“</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”平台进行“申请获取</w:t>
      </w: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”操作，否则，有可能导致无法在线编制投标文件并参与投标，其不利后果由投标人自行承担。</w:t>
      </w:r>
    </w:p>
    <w:p w14:paraId="7F2D196C">
      <w:pPr>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17.2投标人下载或获取招标文件后，登录“</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电子投标客户端”，按照本招标文件规定的投标文件格式、顺序以及“</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”平台的要求，通过“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电子投标客户端”编制电子投标文件。</w:t>
      </w:r>
    </w:p>
    <w:p w14:paraId="4AFE447E">
      <w:pPr>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17.3投标人应按“</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1521C52A">
      <w:pPr>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电子投标文件不得涂改，若有修改错漏处，须由法定代表人（负责人）或授权委托代理人签字（或者电子签名）。因投标文件字迹潦草、表达不清、内容不完整、编排混乱导致投标文件被误读、漏读，或者在按招标文件规定的部位查找不到相关内容的，其不利后果由投标人自行承担。</w:t>
      </w:r>
    </w:p>
    <w:p w14:paraId="6635CCE9">
      <w:pPr>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17.5投标人编制、生成电子投标文件后应当加密投标文件。投标人未按规定编制并加密的投标文件，“</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”平台将予以拒收。</w:t>
      </w:r>
    </w:p>
    <w:p w14:paraId="024D8EC1">
      <w:pPr>
        <w:keepNext w:val="0"/>
        <w:keepLines w:val="0"/>
        <w:pageBreakBefore w:val="0"/>
        <w:widowControl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17.6供应商公章、签字、电子签章、电子签名</w:t>
      </w:r>
    </w:p>
    <w:p w14:paraId="52DC00B2">
      <w:pPr>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17.6.1</w:t>
      </w:r>
      <w:r>
        <w:rPr>
          <w:rFonts w:hint="eastAsia" w:ascii="仿宋" w:hAnsi="仿宋" w:eastAsia="仿宋" w:cs="仿宋"/>
          <w:bCs/>
          <w:color w:val="auto"/>
          <w:sz w:val="24"/>
          <w:szCs w:val="24"/>
          <w:highlight w:val="none"/>
        </w:rPr>
        <w:t>本招标文件中描述投标人的“公章”是指根据我国对公章的管理规定，用投标人法定主体行为名称制作的印章，除本招标文件有特殊规定外，投标人的其他形式印章均不能代替公章</w:t>
      </w:r>
      <w:r>
        <w:rPr>
          <w:rFonts w:hint="eastAsia" w:ascii="仿宋" w:hAnsi="仿宋" w:eastAsia="仿宋" w:cs="仿宋"/>
          <w:color w:val="auto"/>
          <w:sz w:val="24"/>
          <w:szCs w:val="24"/>
          <w:highlight w:val="none"/>
        </w:rPr>
        <w:t>。</w:t>
      </w:r>
    </w:p>
    <w:p w14:paraId="6E87DA52">
      <w:pPr>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17.6.2</w:t>
      </w:r>
      <w:r>
        <w:rPr>
          <w:rFonts w:hint="eastAsia" w:ascii="仿宋" w:hAnsi="仿宋" w:eastAsia="仿宋" w:cs="仿宋"/>
          <w:bCs/>
          <w:color w:val="auto"/>
          <w:sz w:val="24"/>
          <w:szCs w:val="24"/>
          <w:highlight w:val="none"/>
        </w:rPr>
        <w:t>本招标文件中描述投标人的“签字”是指投标人的法定代表人</w:t>
      </w:r>
      <w:r>
        <w:rPr>
          <w:rFonts w:hint="eastAsia" w:ascii="仿宋" w:hAnsi="仿宋" w:eastAsia="仿宋" w:cs="仿宋"/>
          <w:color w:val="auto"/>
          <w:sz w:val="24"/>
          <w:szCs w:val="24"/>
          <w:highlight w:val="none"/>
        </w:rPr>
        <w:t>（负责人）</w:t>
      </w:r>
      <w:r>
        <w:rPr>
          <w:rFonts w:hint="eastAsia" w:ascii="仿宋" w:hAnsi="仿宋" w:eastAsia="仿宋" w:cs="仿宋"/>
          <w:bCs/>
          <w:color w:val="auto"/>
          <w:sz w:val="24"/>
          <w:szCs w:val="24"/>
          <w:highlight w:val="none"/>
        </w:rPr>
        <w:t>或者委托代理人亲自在文件规定签字处亲笔写上个人的名字的行为，私章、签字章、印鉴、影印等其他形式均不能代替亲笔签字</w:t>
      </w:r>
      <w:r>
        <w:rPr>
          <w:rFonts w:hint="eastAsia" w:ascii="仿宋" w:hAnsi="仿宋" w:eastAsia="仿宋" w:cs="仿宋"/>
          <w:color w:val="auto"/>
          <w:sz w:val="24"/>
          <w:szCs w:val="24"/>
          <w:highlight w:val="none"/>
        </w:rPr>
        <w:t>。</w:t>
      </w:r>
    </w:p>
    <w:p w14:paraId="249B3E95">
      <w:pPr>
        <w:keepNext w:val="0"/>
        <w:keepLines w:val="0"/>
        <w:pageBreakBefore w:val="0"/>
        <w:widowControl w:val="0"/>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17.6.3</w:t>
      </w:r>
      <w:r>
        <w:rPr>
          <w:rFonts w:hint="eastAsia" w:ascii="仿宋" w:hAnsi="仿宋" w:eastAsia="仿宋" w:cs="仿宋"/>
          <w:bCs/>
          <w:color w:val="auto"/>
          <w:sz w:val="24"/>
          <w:szCs w:val="24"/>
          <w:highlight w:val="none"/>
        </w:rPr>
        <w:t>本招标文件所称的“电子签章”、“电子签名”，是指经“</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”平台认可的CA认证的电子签名数据为表现形式的印章，可用于签署电子投标文件，电子签章、电子签名与实物印章、手写签名具有同等法律效力，不因其采用电子化表现形式而否定其法律效力。</w:t>
      </w:r>
    </w:p>
    <w:p w14:paraId="7AB84BB2">
      <w:pPr>
        <w:keepNext w:val="0"/>
        <w:keepLines w:val="0"/>
        <w:pageBreakBefore w:val="0"/>
        <w:widowControl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 投标文件的递交</w:t>
      </w:r>
    </w:p>
    <w:p w14:paraId="5CE60AA4">
      <w:pPr>
        <w:keepNext w:val="0"/>
        <w:keepLines w:val="0"/>
        <w:pageBreakBefore w:val="0"/>
        <w:widowControl w:val="0"/>
        <w:tabs>
          <w:tab w:val="left" w:pos="7200"/>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18.1投标文件递交：</w:t>
      </w:r>
    </w:p>
    <w:p w14:paraId="5AE5FE37">
      <w:pPr>
        <w:keepNext w:val="0"/>
        <w:keepLines w:val="0"/>
        <w:pageBreakBefore w:val="0"/>
        <w:widowControl w:val="0"/>
        <w:tabs>
          <w:tab w:val="left" w:pos="7200"/>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上午9时30分</w:t>
      </w:r>
    </w:p>
    <w:p w14:paraId="3EAEC9C9">
      <w:pPr>
        <w:keepNext w:val="0"/>
        <w:keepLines w:val="0"/>
        <w:pageBreakBefore w:val="0"/>
        <w:widowControl w:val="0"/>
        <w:tabs>
          <w:tab w:val="left" w:pos="7200"/>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投标文件递交地点：通过“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”平台在线提交，逾期递交的投标文件将予以拒收。投标文件递交成功后，投标人在必须在“</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”平台自行下载投标回执。</w:t>
      </w:r>
    </w:p>
    <w:p w14:paraId="22A15159">
      <w:pPr>
        <w:keepNext w:val="0"/>
        <w:keepLines w:val="0"/>
        <w:pageBreakBefore w:val="0"/>
        <w:widowControl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18.2除招标文件另有规定外，投标人所递交的投标文件不予退还。</w:t>
      </w:r>
    </w:p>
    <w:p w14:paraId="7054D3C9">
      <w:pPr>
        <w:keepNext w:val="0"/>
        <w:keepLines w:val="0"/>
        <w:pageBreakBefore w:val="0"/>
        <w:widowControl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 投标文件的补充、修改撤回</w:t>
      </w:r>
    </w:p>
    <w:p w14:paraId="497F8E13">
      <w:pPr>
        <w:keepNext w:val="0"/>
        <w:keepLines w:val="0"/>
        <w:pageBreakBefore w:val="0"/>
        <w:widowControl w:val="0"/>
        <w:kinsoku/>
        <w:wordWrap/>
        <w:overflowPunct/>
        <w:topLinePunct w:val="0"/>
        <w:autoSpaceDE/>
        <w:autoSpaceDN/>
        <w:bidi w:val="0"/>
        <w:spacing w:line="400" w:lineRule="exact"/>
        <w:ind w:firstLine="435"/>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投标人在投标截止时间前，可以通过“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”平台在线对所递交的投标文件进行补充、修改或者撤回，并书面通知采购代理机构。</w:t>
      </w:r>
      <w:r>
        <w:rPr>
          <w:rFonts w:hint="eastAsia" w:ascii="仿宋" w:hAnsi="仿宋" w:eastAsia="仿宋" w:cs="仿宋"/>
          <w:bCs/>
          <w:color w:val="auto"/>
          <w:sz w:val="24"/>
          <w:szCs w:val="24"/>
          <w:highlight w:val="none"/>
        </w:rPr>
        <w:t>补充、修改电子投标文件的，应当先行撤回原文件，补充、修改的内容</w:t>
      </w:r>
      <w:r>
        <w:rPr>
          <w:rFonts w:hint="eastAsia" w:ascii="仿宋" w:hAnsi="仿宋" w:eastAsia="仿宋" w:cs="仿宋"/>
          <w:color w:val="auto"/>
          <w:sz w:val="24"/>
          <w:szCs w:val="24"/>
          <w:highlight w:val="none"/>
        </w:rPr>
        <w:t>按照招标文件要求签署、盖章后</w:t>
      </w:r>
      <w:r>
        <w:rPr>
          <w:rFonts w:hint="eastAsia" w:ascii="仿宋" w:hAnsi="仿宋" w:eastAsia="仿宋" w:cs="仿宋"/>
          <w:bCs/>
          <w:color w:val="auto"/>
          <w:sz w:val="24"/>
          <w:szCs w:val="24"/>
          <w:highlight w:val="none"/>
        </w:rPr>
        <w:t>重新传输提交至</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”平台，作为投标文件的组成部分。</w:t>
      </w:r>
      <w:r>
        <w:rPr>
          <w:rFonts w:hint="eastAsia" w:ascii="仿宋" w:hAnsi="仿宋" w:eastAsia="仿宋" w:cs="仿宋"/>
          <w:bCs/>
          <w:color w:val="auto"/>
          <w:sz w:val="24"/>
          <w:szCs w:val="24"/>
          <w:highlight w:val="none"/>
        </w:rPr>
        <w:t>在投标文件递交截止时间后的投标文件有效期内，投标人不得撤回其投标文件。</w:t>
      </w:r>
    </w:p>
    <w:p w14:paraId="54FF1011">
      <w:pPr>
        <w:keepNext w:val="0"/>
        <w:keepLines w:val="0"/>
        <w:pageBreakBefore w:val="0"/>
        <w:tabs>
          <w:tab w:val="left" w:pos="1305"/>
        </w:tabs>
        <w:kinsoku/>
        <w:wordWrap/>
        <w:overflowPunct/>
        <w:topLinePunct w:val="0"/>
        <w:autoSpaceDE/>
        <w:autoSpaceDN/>
        <w:bidi w:val="0"/>
        <w:spacing w:line="400" w:lineRule="exact"/>
        <w:ind w:firstLine="562" w:firstLineChars="200"/>
        <w:jc w:val="center"/>
        <w:textAlignment w:val="auto"/>
        <w:rPr>
          <w:rFonts w:hint="eastAsia" w:ascii="仿宋" w:hAnsi="仿宋" w:eastAsia="仿宋" w:cs="仿宋"/>
          <w:b/>
          <w:color w:val="auto"/>
          <w:sz w:val="28"/>
          <w:szCs w:val="28"/>
          <w:highlight w:val="none"/>
        </w:rPr>
      </w:pPr>
    </w:p>
    <w:p w14:paraId="7AAE9B7F">
      <w:pPr>
        <w:keepNext w:val="0"/>
        <w:keepLines w:val="0"/>
        <w:pageBreakBefore w:val="0"/>
        <w:tabs>
          <w:tab w:val="left" w:pos="1305"/>
        </w:tabs>
        <w:kinsoku/>
        <w:wordWrap/>
        <w:overflowPunct/>
        <w:topLinePunct w:val="0"/>
        <w:autoSpaceDE/>
        <w:autoSpaceDN/>
        <w:bidi w:val="0"/>
        <w:spacing w:line="400" w:lineRule="exact"/>
        <w:ind w:firstLine="562" w:firstLineChars="2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四、开标</w:t>
      </w:r>
    </w:p>
    <w:p w14:paraId="7C74A3EA">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20. 开标时间及地点</w:t>
      </w:r>
    </w:p>
    <w:p w14:paraId="3D05F982">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20.1开标时间及地点：</w:t>
      </w:r>
    </w:p>
    <w:p w14:paraId="137BBD74">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上午9时30分</w:t>
      </w:r>
    </w:p>
    <w:p w14:paraId="7BDDCA7B">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”平台在线解密、开标</w:t>
      </w:r>
    </w:p>
    <w:p w14:paraId="048CD859">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20.2投标人不足3家的，不得开标，采购人或者采购代理机构应当组织重新采购。</w:t>
      </w:r>
    </w:p>
    <w:p w14:paraId="7D9AC9BD">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开标程序</w:t>
      </w:r>
    </w:p>
    <w:p w14:paraId="5C79AB00">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21.1采购代理机构将按照招标文件规定的时间通过“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”平台在线组织开标、解密开启投标文件，投标人的法定代表人(负责人)或其委托代理人应当保持“</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”平台实时在线，并通过“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62D2FB30">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21.2投标文件解密：投标文件提交截止时间后，采购代理机构开启解密投标文件操作，“</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向各投标人发出电子加密投标文件解密通知，由投标人在系统发出解密通知后30分钟内自行使用加密时的CA通过“项目采购-开标评标”功能对投标文件进行解密。若投标人在上述规定的时间内无法解密或解密失败的，可以在投标文件解密截止时间后30分钟内向采购代理机构现场提交电子备份投标文件【现场提交电子投标文件地址：桂林市公共资源交易中心</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号开标</w:t>
      </w:r>
      <w:r>
        <w:rPr>
          <w:rFonts w:hint="eastAsia" w:ascii="仿宋" w:hAnsi="仿宋" w:eastAsia="仿宋" w:cs="仿宋"/>
          <w:color w:val="auto"/>
          <w:sz w:val="24"/>
          <w:szCs w:val="24"/>
          <w:highlight w:val="none"/>
          <w:lang w:val="en-US" w:eastAsia="zh-CN"/>
        </w:rPr>
        <w:t>仓</w:t>
      </w:r>
      <w:r>
        <w:rPr>
          <w:rFonts w:hint="eastAsia" w:ascii="仿宋" w:hAnsi="仿宋" w:eastAsia="仿宋" w:cs="仿宋"/>
          <w:color w:val="auto"/>
          <w:sz w:val="24"/>
          <w:szCs w:val="24"/>
          <w:highlight w:val="none"/>
        </w:rPr>
        <w:t>（广西桂林市临桂区西城中路69号创业大厦西辅楼4楼北区）】，或以电子邮件的形式提交电子备份投标文件（接收电子备份投标文件的电子邮箱为：</w:t>
      </w:r>
      <w:r>
        <w:rPr>
          <w:rFonts w:hint="eastAsia" w:ascii="仿宋" w:hAnsi="仿宋" w:eastAsia="仿宋" w:cs="仿宋"/>
          <w:color w:val="auto"/>
          <w:sz w:val="24"/>
          <w:szCs w:val="24"/>
          <w:highlight w:val="none"/>
          <w:lang w:val="en-US" w:eastAsia="zh-CN"/>
        </w:rPr>
        <w:t>2366480472@qq.com</w:t>
      </w:r>
      <w:r>
        <w:rPr>
          <w:rFonts w:hint="eastAsia" w:ascii="仿宋" w:hAnsi="仿宋" w:eastAsia="仿宋" w:cs="仿宋"/>
          <w:color w:val="auto"/>
          <w:sz w:val="24"/>
          <w:szCs w:val="24"/>
          <w:highlight w:val="none"/>
        </w:rPr>
        <w:t>）；投标人未在上述规定的时间、地点（电子邮箱）提交的电子备份投标文件，采购代理机构不予接收或承认。采购代理机构收到电子备份投标文件后按“政府采购云平台”操作规范上传至“政府采购云平台”，电子备份投标文件上传成功后，投标人原上传的“电子加密投标文件”自动失效。若投标人在规定时间内无法解密或解密失败且未在规定的时间内提供电子备份投标文件的（包含提供的电子备份投标文件无效或无法解密的情况），视为投标人放弃投标。</w:t>
      </w:r>
    </w:p>
    <w:p w14:paraId="59F0A016">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21.3投标文件解密结束后，开标活动组织人员在线开启投标文件。</w:t>
      </w:r>
    </w:p>
    <w:p w14:paraId="00EA65E8">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21.4开启投标人报价文件，电子开标大厅记录显示并记录投标人投标报价表的投标报价、折扣（如有）等。</w:t>
      </w:r>
    </w:p>
    <w:p w14:paraId="10CD9277">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21.5投标人线上确认投标报价。</w:t>
      </w:r>
    </w:p>
    <w:p w14:paraId="11B7B41E">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21.6如发现开标结果与所提交的报价文件不一致的，由评标委员会根据报价文件内容进行修正。</w:t>
      </w:r>
    </w:p>
    <w:p w14:paraId="22130D97">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EF685AD">
      <w:pPr>
        <w:keepNext w:val="0"/>
        <w:keepLines w:val="0"/>
        <w:pageBreakBefore w:val="0"/>
        <w:kinsoku/>
        <w:wordWrap/>
        <w:overflowPunct/>
        <w:topLinePunct w:val="0"/>
        <w:autoSpaceDE/>
        <w:autoSpaceDN/>
        <w:bidi w:val="0"/>
        <w:spacing w:line="400" w:lineRule="exact"/>
        <w:ind w:firstLine="43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特别说明：如遇“</w:t>
      </w:r>
      <w:r>
        <w:rPr>
          <w:rFonts w:hint="eastAsia" w:ascii="仿宋" w:hAnsi="仿宋" w:eastAsia="仿宋" w:cs="仿宋"/>
          <w:color w:val="auto"/>
          <w:sz w:val="24"/>
          <w:szCs w:val="24"/>
          <w:highlight w:val="none"/>
          <w:lang w:eastAsia="zh-CN"/>
        </w:rPr>
        <w:t>广西政府采购云</w:t>
      </w:r>
      <w:r>
        <w:rPr>
          <w:rFonts w:hint="eastAsia" w:ascii="仿宋" w:hAnsi="仿宋" w:eastAsia="仿宋" w:cs="仿宋"/>
          <w:color w:val="auto"/>
          <w:sz w:val="24"/>
          <w:szCs w:val="24"/>
          <w:highlight w:val="none"/>
        </w:rPr>
        <w:t>”平台电子化开标或评审程序调整的，按调整后程序执行。</w:t>
      </w:r>
    </w:p>
    <w:p w14:paraId="2DBA6A9D">
      <w:pPr>
        <w:keepNext w:val="0"/>
        <w:keepLines w:val="0"/>
        <w:pageBreakBefore w:val="0"/>
        <w:tabs>
          <w:tab w:val="left" w:pos="1305"/>
        </w:tabs>
        <w:kinsoku/>
        <w:wordWrap/>
        <w:overflowPunct/>
        <w:topLinePunct w:val="0"/>
        <w:autoSpaceDE/>
        <w:autoSpaceDN/>
        <w:bidi w:val="0"/>
        <w:spacing w:line="400" w:lineRule="exact"/>
        <w:ind w:firstLine="562" w:firstLineChars="200"/>
        <w:jc w:val="center"/>
        <w:textAlignment w:val="auto"/>
        <w:rPr>
          <w:rFonts w:hint="eastAsia" w:ascii="仿宋" w:hAnsi="仿宋" w:eastAsia="仿宋" w:cs="仿宋"/>
          <w:b/>
          <w:color w:val="auto"/>
          <w:sz w:val="28"/>
          <w:szCs w:val="28"/>
          <w:highlight w:val="none"/>
        </w:rPr>
      </w:pPr>
    </w:p>
    <w:p w14:paraId="30712DFE">
      <w:pPr>
        <w:keepNext w:val="0"/>
        <w:keepLines w:val="0"/>
        <w:pageBreakBefore w:val="0"/>
        <w:tabs>
          <w:tab w:val="left" w:pos="1305"/>
        </w:tabs>
        <w:kinsoku/>
        <w:wordWrap/>
        <w:overflowPunct/>
        <w:topLinePunct w:val="0"/>
        <w:autoSpaceDE/>
        <w:autoSpaceDN/>
        <w:bidi w:val="0"/>
        <w:spacing w:line="400" w:lineRule="exact"/>
        <w:ind w:firstLine="562" w:firstLineChars="2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五、资格性审查</w:t>
      </w:r>
    </w:p>
    <w:p w14:paraId="204E2E11">
      <w:pPr>
        <w:keepNext w:val="0"/>
        <w:keepLines w:val="0"/>
        <w:pageBreakBefore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资格性审查</w:t>
      </w:r>
    </w:p>
    <w:p w14:paraId="4DD0C6F7">
      <w:pPr>
        <w:keepNext w:val="0"/>
        <w:keepLines w:val="0"/>
        <w:pageBreakBefore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22.1公开招标采购项目开标结束后，采购人或者采购代理机构应当依法对投标人的资格进行审查。</w:t>
      </w:r>
    </w:p>
    <w:p w14:paraId="0C8C3357">
      <w:pPr>
        <w:keepNext w:val="0"/>
        <w:keepLines w:val="0"/>
        <w:pageBreakBefore w:val="0"/>
        <w:tabs>
          <w:tab w:val="left" w:pos="130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合格投标人不足3家的，不得评标。</w:t>
      </w:r>
    </w:p>
    <w:p w14:paraId="00618C62">
      <w:pPr>
        <w:keepNext w:val="0"/>
        <w:keepLines w:val="0"/>
        <w:pageBreakBefore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22.2采购人或者采购代理机构在对投标人进行资格性审查时，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45DC846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查询渠道：《国家企业信用信息公示系统》（网址：</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"http://www.gsxt.gov.cn/index.html"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www.gsxt.gov.cn/index.html</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w:t>
      </w:r>
    </w:p>
    <w:p w14:paraId="2E8EA65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审查流程：</w:t>
      </w:r>
    </w:p>
    <w:p w14:paraId="1325943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（1）进入《国家企业信用信息公示系统》（网址：www.gsxt.gov.cn/index.html），输入企业名称，进入企业信息主页面；</w:t>
      </w:r>
    </w:p>
    <w:p w14:paraId="5D28411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（2）查看主页“股东及出资信息”栏，或年报中的“股东及出资信息”栏信息；</w:t>
      </w:r>
    </w:p>
    <w:p w14:paraId="4AB41FD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（3）将各投标人的股东及出资信息进行比对，得出审查结论；</w:t>
      </w:r>
    </w:p>
    <w:p w14:paraId="773EA7BF">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（4）将相关资料作为评审资料打印存档。</w:t>
      </w:r>
    </w:p>
    <w:p w14:paraId="3CD1698B">
      <w:pPr>
        <w:keepNext w:val="0"/>
        <w:keepLines w:val="0"/>
        <w:pageBreakBefore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1A4B788F">
      <w:pPr>
        <w:keepNext w:val="0"/>
        <w:keepLines w:val="0"/>
        <w:pageBreakBefore w:val="0"/>
        <w:tabs>
          <w:tab w:val="left" w:pos="1305"/>
        </w:tabs>
        <w:kinsoku/>
        <w:wordWrap/>
        <w:overflowPunct/>
        <w:topLinePunct w:val="0"/>
        <w:autoSpaceDE/>
        <w:autoSpaceDN/>
        <w:bidi w:val="0"/>
        <w:spacing w:line="400" w:lineRule="exact"/>
        <w:textAlignment w:val="auto"/>
        <w:rPr>
          <w:rFonts w:hint="eastAsia" w:ascii="仿宋" w:hAnsi="仿宋" w:eastAsia="仿宋" w:cs="仿宋"/>
          <w:color w:val="auto"/>
          <w:szCs w:val="21"/>
          <w:highlight w:val="none"/>
        </w:rPr>
      </w:pPr>
    </w:p>
    <w:p w14:paraId="4435CAA2">
      <w:pPr>
        <w:keepNext w:val="0"/>
        <w:keepLines w:val="0"/>
        <w:pageBreakBefore w:val="0"/>
        <w:tabs>
          <w:tab w:val="center" w:pos="4411"/>
          <w:tab w:val="left" w:pos="5475"/>
        </w:tabs>
        <w:kinsoku/>
        <w:wordWrap/>
        <w:overflowPunct/>
        <w:topLinePunct w:val="0"/>
        <w:autoSpaceDE/>
        <w:autoSpaceDN/>
        <w:bidi w:val="0"/>
        <w:spacing w:line="40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六、评标</w:t>
      </w:r>
    </w:p>
    <w:p w14:paraId="44D94855">
      <w:pPr>
        <w:keepNext w:val="0"/>
        <w:keepLines w:val="0"/>
        <w:pageBreakBefore w:val="0"/>
        <w:tabs>
          <w:tab w:val="center" w:pos="4411"/>
          <w:tab w:val="left" w:pos="5475"/>
        </w:tabs>
        <w:kinsoku/>
        <w:wordWrap/>
        <w:overflowPunct/>
        <w:topLinePunct w:val="0"/>
        <w:autoSpaceDE/>
        <w:autoSpaceDN/>
        <w:bidi w:val="0"/>
        <w:spacing w:line="400" w:lineRule="exact"/>
        <w:ind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评标委员会组成</w:t>
      </w:r>
    </w:p>
    <w:p w14:paraId="41BB6E0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本项目评审组织工作由采购代理机构负责，具体评审工作由依法组建的评标委员会负责。</w:t>
      </w:r>
      <w:r>
        <w:rPr>
          <w:rFonts w:hint="eastAsia" w:ascii="仿宋" w:hAnsi="仿宋" w:eastAsia="仿宋" w:cs="仿宋"/>
          <w:color w:val="auto"/>
          <w:sz w:val="24"/>
          <w:szCs w:val="24"/>
          <w:highlight w:val="none"/>
        </w:rPr>
        <w:t>评标委员会由采购人代表和</w:t>
      </w:r>
      <w:r>
        <w:rPr>
          <w:rFonts w:hint="eastAsia" w:ascii="仿宋" w:hAnsi="仿宋" w:eastAsia="仿宋" w:cs="仿宋"/>
          <w:bCs/>
          <w:color w:val="auto"/>
          <w:sz w:val="24"/>
          <w:szCs w:val="24"/>
          <w:highlight w:val="none"/>
        </w:rPr>
        <w:t>有关方面的</w:t>
      </w:r>
      <w:r>
        <w:rPr>
          <w:rFonts w:hint="eastAsia" w:ascii="仿宋" w:hAnsi="仿宋" w:eastAsia="仿宋" w:cs="仿宋"/>
          <w:color w:val="auto"/>
          <w:sz w:val="24"/>
          <w:szCs w:val="24"/>
          <w:highlight w:val="none"/>
        </w:rPr>
        <w:t>评审专家共同组成，成员人数共5人。</w:t>
      </w:r>
    </w:p>
    <w:p w14:paraId="03139C11">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24. 评标办法</w:t>
      </w:r>
    </w:p>
    <w:p w14:paraId="55A38E1B">
      <w:pPr>
        <w:keepNext w:val="0"/>
        <w:keepLines w:val="0"/>
        <w:pageBreakBefore w:val="0"/>
        <w:tabs>
          <w:tab w:val="left" w:pos="1140"/>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24.1评标办法：综合评分法，具体评标内容及标准详见第四章。</w:t>
      </w:r>
    </w:p>
    <w:p w14:paraId="6D7E0F69">
      <w:pPr>
        <w:keepNext w:val="0"/>
        <w:keepLines w:val="0"/>
        <w:pageBreakBefore w:val="0"/>
        <w:tabs>
          <w:tab w:val="left" w:pos="1140"/>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24.2评标委员会应按招标文件进行评标，不得擅自更改评标办法。　　　　　　　　　　　　　　　　　　　　　　　　　　　　　　　　　　　　　　　　　　　　　　　　　　　　　　　　　　</w:t>
      </w:r>
    </w:p>
    <w:p w14:paraId="461D669A">
      <w:pPr>
        <w:keepNext w:val="0"/>
        <w:keepLines w:val="0"/>
        <w:pageBreakBefore w:val="0"/>
        <w:tabs>
          <w:tab w:val="left" w:pos="1140"/>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 评标</w:t>
      </w:r>
    </w:p>
    <w:p w14:paraId="71C37F7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采购代理机构负责组织评标工作，宣布评标工作纪律，公布投标人名单，告知评审专家应当回避的情形，组织评标委员会推选评标组长，采购人代表不得担任组长。在评标期间由桂林市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12D676E4">
      <w:pPr>
        <w:pStyle w:val="14"/>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182876E0">
      <w:pPr>
        <w:pStyle w:val="14"/>
        <w:keepNext w:val="0"/>
        <w:keepLines w:val="0"/>
        <w:pageBreakBefore w:val="0"/>
        <w:shd w:val="clear" w:color="auto" w:fill="FFFFFF"/>
        <w:kinsoku/>
        <w:wordWrap/>
        <w:overflowPunct/>
        <w:topLinePunct w:val="0"/>
        <w:autoSpaceDE/>
        <w:autoSpaceDN/>
        <w:bidi w:val="0"/>
        <w:spacing w:before="0" w:beforeAutospacing="0" w:after="0" w:afterAutospacing="0" w:line="400" w:lineRule="exact"/>
        <w:ind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25.3在评标过程中，评标委员会任何人不得对某个投标人发表任何倾向性意见，不得向其他专家评委明示或者暗示自己的评审意见。</w:t>
      </w:r>
    </w:p>
    <w:p w14:paraId="0800CBDC">
      <w:pPr>
        <w:keepNext w:val="0"/>
        <w:keepLines w:val="0"/>
        <w:pageBreakBefore w:val="0"/>
        <w:tabs>
          <w:tab w:val="left" w:pos="1140"/>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25.4评标委员会应当对符合资格的投标人的投标文件进行符合性审查，以确定其是否满足招标文件的实质性要求。</w:t>
      </w:r>
    </w:p>
    <w:p w14:paraId="50470AB0">
      <w:pPr>
        <w:keepNext w:val="0"/>
        <w:keepLines w:val="0"/>
        <w:pageBreakBefore w:val="0"/>
        <w:tabs>
          <w:tab w:val="left" w:pos="1140"/>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25.5对于投标文件中含义不明确、同类问题表述不一致或者有明显文字和计算错误的内容，评标委员会应当以书面形式要求投标人作出必要的澄清、说明或者补正。</w:t>
      </w:r>
    </w:p>
    <w:p w14:paraId="25556CA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投标人的澄清、说明或者补正应当通过“</w:t>
      </w:r>
      <w:r>
        <w:rPr>
          <w:rFonts w:hint="eastAsia" w:ascii="仿宋" w:hAnsi="仿宋" w:eastAsia="仿宋" w:cs="仿宋"/>
          <w:bCs/>
          <w:color w:val="auto"/>
          <w:sz w:val="24"/>
          <w:szCs w:val="24"/>
          <w:highlight w:val="none"/>
          <w:lang w:eastAsia="zh-CN"/>
        </w:rPr>
        <w:t>广西政府采购云</w:t>
      </w:r>
      <w:r>
        <w:rPr>
          <w:rFonts w:hint="eastAsia" w:ascii="仿宋" w:hAnsi="仿宋" w:eastAsia="仿宋" w:cs="仿宋"/>
          <w:bCs/>
          <w:color w:val="auto"/>
          <w:sz w:val="24"/>
          <w:szCs w:val="24"/>
          <w:highlight w:val="none"/>
        </w:rPr>
        <w:t>”平台采用在线书面形式，澄清、说明或者补正应当签字或者电子签名【法定代表人(负责人)或相应的授权委托代理人签字（或者电子签名）均可】或加盖投标人公章(或电子签章)</w:t>
      </w:r>
      <w:r>
        <w:rPr>
          <w:rFonts w:hint="eastAsia" w:ascii="仿宋" w:hAnsi="仿宋" w:eastAsia="仿宋" w:cs="仿宋"/>
          <w:color w:val="auto"/>
          <w:sz w:val="24"/>
          <w:szCs w:val="24"/>
          <w:highlight w:val="none"/>
        </w:rPr>
        <w:t>，投标人的澄清、说明或者补正不得超出投标文件的范围或者改变投标文件的实质性内容。</w:t>
      </w:r>
    </w:p>
    <w:p w14:paraId="392D1D3F">
      <w:pPr>
        <w:pStyle w:val="9"/>
        <w:keepNext w:val="0"/>
        <w:keepLines w:val="0"/>
        <w:pageBreakBefore w:val="0"/>
        <w:kinsoku/>
        <w:wordWrap/>
        <w:overflowPunct/>
        <w:topLinePunct w:val="0"/>
        <w:autoSpaceDE/>
        <w:autoSpaceDN/>
        <w:bidi w:val="0"/>
        <w:spacing w:line="40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25.6评标委员会应当按照招标文件中规定的评标方法和标准，对符合性审查合格的投标文件进行商务和技术评估，综合比较与评价。</w:t>
      </w:r>
    </w:p>
    <w:p w14:paraId="2D80A453">
      <w:pPr>
        <w:pStyle w:val="9"/>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25.7评标委员会成员应当独立对每个投标人的投标文件进行评价，最终汇总每个投标人的得分。各投标人的得分为所有评委的有效评分的算术平均数。</w:t>
      </w:r>
    </w:p>
    <w:p w14:paraId="409578B0">
      <w:pPr>
        <w:pStyle w:val="9"/>
        <w:keepNext w:val="0"/>
        <w:keepLines w:val="0"/>
        <w:pageBreakBefore w:val="0"/>
        <w:tabs>
          <w:tab w:val="left" w:pos="4214"/>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25.8投标文件报价出现前后不一致的，除招标文件另有规定外，按照下列规定修正：</w:t>
      </w:r>
    </w:p>
    <w:p w14:paraId="7D588A7B">
      <w:pPr>
        <w:pStyle w:val="9"/>
        <w:keepNext w:val="0"/>
        <w:keepLines w:val="0"/>
        <w:pageBreakBefore w:val="0"/>
        <w:tabs>
          <w:tab w:val="left" w:pos="4214"/>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（1）投标文件中投标报价表内容与投标文件中相应内容不一致的，以投标报价表为准；</w:t>
      </w:r>
    </w:p>
    <w:p w14:paraId="6ED3C5C6">
      <w:pPr>
        <w:pStyle w:val="9"/>
        <w:keepNext w:val="0"/>
        <w:keepLines w:val="0"/>
        <w:pageBreakBefore w:val="0"/>
        <w:tabs>
          <w:tab w:val="left" w:pos="4214"/>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（2）大写金额和小写金额不一致的，以大写金额为准；</w:t>
      </w:r>
    </w:p>
    <w:p w14:paraId="01DA4547">
      <w:pPr>
        <w:pStyle w:val="9"/>
        <w:keepNext w:val="0"/>
        <w:keepLines w:val="0"/>
        <w:pageBreakBefore w:val="0"/>
        <w:tabs>
          <w:tab w:val="left" w:pos="4214"/>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（3）单价金额小数点或者百分比有明显错位的，以投标报价表的总价为准，并修改单价；</w:t>
      </w:r>
    </w:p>
    <w:p w14:paraId="4E878D90">
      <w:pPr>
        <w:pStyle w:val="9"/>
        <w:keepNext w:val="0"/>
        <w:keepLines w:val="0"/>
        <w:pageBreakBefore w:val="0"/>
        <w:tabs>
          <w:tab w:val="left" w:pos="4214"/>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（4）总价金额与按单价汇总金额不一致的，以单价金额计算结果为准。</w:t>
      </w:r>
    </w:p>
    <w:p w14:paraId="17DA6321">
      <w:pPr>
        <w:pStyle w:val="9"/>
        <w:keepNext w:val="0"/>
        <w:keepLines w:val="0"/>
        <w:pageBreakBefore w:val="0"/>
        <w:tabs>
          <w:tab w:val="left" w:pos="4214"/>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633B006C">
      <w:pPr>
        <w:pStyle w:val="9"/>
        <w:keepNext w:val="0"/>
        <w:keepLines w:val="0"/>
        <w:pageBreakBefore w:val="0"/>
        <w:tabs>
          <w:tab w:val="left" w:pos="4214"/>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25.9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1054ABC">
      <w:pPr>
        <w:pStyle w:val="9"/>
        <w:keepNext w:val="0"/>
        <w:keepLines w:val="0"/>
        <w:pageBreakBefore w:val="0"/>
        <w:kinsoku/>
        <w:wordWrap/>
        <w:overflowPunct/>
        <w:topLinePunct w:val="0"/>
        <w:autoSpaceDE/>
        <w:autoSpaceDN/>
        <w:bidi w:val="0"/>
        <w:spacing w:line="40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25.10评标委员会成员对需要共同认定的事项存在争议的，应当按照少数服从多数的原则作出结论。持不同意见的评标委员会成员应当在评标报告上签署不同意见及理由，否则视为同意评标报告。</w:t>
      </w:r>
    </w:p>
    <w:p w14:paraId="5627BB32">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25.11评标结果汇总完成后，除下列情形外，任何人不得修改评标结果：</w:t>
      </w:r>
    </w:p>
    <w:p w14:paraId="39B15CC4">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（一）分值汇总计算错误的；</w:t>
      </w:r>
    </w:p>
    <w:p w14:paraId="27354A7D">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（二）分项评分超出评分标准范围的；</w:t>
      </w:r>
    </w:p>
    <w:p w14:paraId="28422553">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（三）评标委员会成员对客观评审因素评分不一致的；</w:t>
      </w:r>
    </w:p>
    <w:p w14:paraId="6CF93719">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（四）经评标委员会认定评分畸高、畸低的。</w:t>
      </w:r>
    </w:p>
    <w:p w14:paraId="18CB90B5">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w:t>
      </w:r>
    </w:p>
    <w:p w14:paraId="0F161244">
      <w:pPr>
        <w:keepNext w:val="0"/>
        <w:keepLines w:val="0"/>
        <w:pageBreakBefore w:val="0"/>
        <w:kinsoku/>
        <w:wordWrap/>
        <w:overflowPunct/>
        <w:topLinePunct w:val="0"/>
        <w:autoSpaceDE/>
        <w:autoSpaceDN/>
        <w:bidi w:val="0"/>
        <w:snapToGrid w:val="0"/>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报告中记载；评标报告签署后，采购人或者采购代理机构发现存在以上情形之一的，应当组织原评标委员会进行重新评审，重新评审改变评标结果的，书面报告本级财政部门。</w:t>
      </w:r>
    </w:p>
    <w:p w14:paraId="27825BBA">
      <w:pPr>
        <w:keepNext w:val="0"/>
        <w:keepLines w:val="0"/>
        <w:pageBreakBefore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投标人对本条第一款情形提出质疑的，采购人或者采购代理机构可以组织原评标委员会进行重新评审，重新评审改变评标结果的，应当书面报告本级财政部门。</w:t>
      </w:r>
    </w:p>
    <w:p w14:paraId="3023DD1F">
      <w:pPr>
        <w:pStyle w:val="9"/>
        <w:keepNext w:val="0"/>
        <w:keepLines w:val="0"/>
        <w:pageBreakBefore w:val="0"/>
        <w:kinsoku/>
        <w:wordWrap/>
        <w:overflowPunct/>
        <w:topLinePunct w:val="0"/>
        <w:autoSpaceDE/>
        <w:autoSpaceDN/>
        <w:bidi w:val="0"/>
        <w:spacing w:line="40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25.12采购代理机构发现评标委员会有明显的违规倾向或歧视现象，或不按评标办法进行，或其他不正常行为的，应当及时制止。如制止无效，应及时向</w:t>
      </w:r>
      <w:r>
        <w:rPr>
          <w:rFonts w:hint="eastAsia" w:ascii="仿宋" w:hAnsi="仿宋" w:eastAsia="仿宋" w:cs="仿宋"/>
          <w:color w:val="auto"/>
          <w:kern w:val="0"/>
          <w:sz w:val="24"/>
          <w:szCs w:val="24"/>
          <w:highlight w:val="none"/>
        </w:rPr>
        <w:t>桂林市财政局</w:t>
      </w:r>
      <w:r>
        <w:rPr>
          <w:rFonts w:hint="eastAsia" w:ascii="仿宋" w:hAnsi="仿宋" w:eastAsia="仿宋" w:cs="仿宋"/>
          <w:color w:val="auto"/>
          <w:sz w:val="24"/>
          <w:szCs w:val="24"/>
          <w:highlight w:val="none"/>
        </w:rPr>
        <w:t>政府采购监督管理机构报告。</w:t>
      </w:r>
    </w:p>
    <w:p w14:paraId="59778BAC">
      <w:pPr>
        <w:pStyle w:val="9"/>
        <w:keepNext w:val="0"/>
        <w:keepLines w:val="0"/>
        <w:pageBreakBefore w:val="0"/>
        <w:tabs>
          <w:tab w:val="left" w:pos="4214"/>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26</w:t>
      </w:r>
      <w:r>
        <w:rPr>
          <w:rFonts w:hint="eastAsia" w:ascii="仿宋" w:hAnsi="仿宋" w:eastAsia="仿宋" w:cs="仿宋"/>
          <w:color w:val="auto"/>
          <w:sz w:val="24"/>
          <w:szCs w:val="24"/>
          <w:highlight w:val="none"/>
        </w:rPr>
        <w:t xml:space="preserve">. </w:t>
      </w:r>
      <w:r>
        <w:rPr>
          <w:rFonts w:hint="eastAsia" w:ascii="仿宋" w:hAnsi="仿宋" w:eastAsia="仿宋" w:cs="仿宋"/>
          <w:b/>
          <w:color w:val="auto"/>
          <w:sz w:val="24"/>
          <w:szCs w:val="24"/>
          <w:highlight w:val="none"/>
        </w:rPr>
        <w:t>推荐及确定中标候选人原则</w:t>
      </w:r>
    </w:p>
    <w:p w14:paraId="40DD4B5F">
      <w:pPr>
        <w:pStyle w:val="9"/>
        <w:keepNext w:val="0"/>
        <w:keepLines w:val="0"/>
        <w:pageBreakBefore w:val="0"/>
        <w:tabs>
          <w:tab w:val="left" w:pos="4214"/>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sz w:val="24"/>
          <w:szCs w:val="24"/>
          <w:highlight w:val="none"/>
        </w:rPr>
        <w:t>评标委员会根据综合得分由高到低排列次序，若得分相同时，以评标报价由低到高顺序排列；若得分相同且评标报价相同的，以投标报价由低到高顺序排列；若仍相同的，</w:t>
      </w:r>
      <w:r>
        <w:rPr>
          <w:rFonts w:hint="eastAsia" w:ascii="仿宋" w:hAnsi="仿宋" w:eastAsia="仿宋" w:cs="仿宋"/>
          <w:bCs/>
          <w:color w:val="auto"/>
          <w:sz w:val="24"/>
          <w:szCs w:val="24"/>
          <w:highlight w:val="none"/>
          <w:lang w:val="en-US" w:eastAsia="zh-CN"/>
        </w:rPr>
        <w:t>依次</w:t>
      </w:r>
      <w:r>
        <w:rPr>
          <w:rFonts w:hint="eastAsia" w:ascii="仿宋" w:hAnsi="仿宋" w:eastAsia="仿宋" w:cs="仿宋"/>
          <w:bCs/>
          <w:color w:val="auto"/>
          <w:sz w:val="24"/>
          <w:szCs w:val="24"/>
          <w:highlight w:val="none"/>
        </w:rPr>
        <w:t>按</w:t>
      </w:r>
      <w:r>
        <w:rPr>
          <w:rFonts w:hint="eastAsia" w:ascii="仿宋" w:hAnsi="仿宋" w:eastAsia="仿宋" w:cs="仿宋"/>
          <w:bCs/>
          <w:color w:val="auto"/>
          <w:sz w:val="24"/>
          <w:szCs w:val="24"/>
          <w:highlight w:val="none"/>
          <w:lang w:val="en-US" w:eastAsia="zh-CN"/>
        </w:rPr>
        <w:t>技术分、商务分、售后服务后</w:t>
      </w:r>
      <w:r>
        <w:rPr>
          <w:rFonts w:hint="eastAsia" w:ascii="仿宋" w:hAnsi="仿宋" w:eastAsia="仿宋" w:cs="仿宋"/>
          <w:bCs/>
          <w:color w:val="auto"/>
          <w:sz w:val="24"/>
          <w:szCs w:val="24"/>
          <w:highlight w:val="none"/>
        </w:rPr>
        <w:t>由高到低顺序排列并推荐</w:t>
      </w:r>
      <w:r>
        <w:rPr>
          <w:rFonts w:hint="eastAsia" w:ascii="仿宋" w:hAnsi="仿宋" w:eastAsia="仿宋" w:cs="仿宋"/>
          <w:bCs/>
          <w:color w:val="auto"/>
          <w:sz w:val="24"/>
          <w:szCs w:val="24"/>
          <w:highlight w:val="none"/>
          <w:lang w:eastAsia="zh-CN"/>
        </w:rPr>
        <w:t>中标候选供应商</w:t>
      </w:r>
      <w:r>
        <w:rPr>
          <w:rFonts w:hint="eastAsia" w:ascii="仿宋" w:hAnsi="仿宋" w:eastAsia="仿宋" w:cs="仿宋"/>
          <w:bCs/>
          <w:color w:val="auto"/>
          <w:sz w:val="24"/>
          <w:szCs w:val="24"/>
          <w:highlight w:val="none"/>
        </w:rPr>
        <w:t>。</w:t>
      </w:r>
    </w:p>
    <w:p w14:paraId="130FD526">
      <w:pPr>
        <w:pStyle w:val="9"/>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bCs/>
          <w:color w:val="auto"/>
          <w:kern w:val="2"/>
          <w:sz w:val="24"/>
          <w:szCs w:val="24"/>
          <w:highlight w:val="none"/>
          <w:lang w:val="en-US" w:eastAsia="zh-CN" w:bidi="ar-SA"/>
        </w:rPr>
        <w:t>本项目共分1、2、3、4、5五个分标，投标人可以参与任意一个或多个标段的分标，但最多只能成为其中一个分标的中标人。处理原则如下：评标是按由分标1→分标2→分标3→分标4→分标5的顺序依次进行评审。若某投标人被推荐为分标1的第一中标候选人，则在其余四个分标不再推荐为中标候选人，其他供应商排名依次自动上升一位。即已成为分标1第一中标候选人的供应商不应参与其余四个分标的候选排序，在实质性响应的供应商仍满足三家的情况下，相应分标可以继续评审及推荐中标候选人，否则，相应分标废标。</w:t>
      </w:r>
    </w:p>
    <w:p w14:paraId="76093F75">
      <w:pPr>
        <w:pStyle w:val="9"/>
        <w:keepNext w:val="0"/>
        <w:keepLines w:val="0"/>
        <w:pageBreakBefore w:val="0"/>
        <w:tabs>
          <w:tab w:val="left" w:pos="4214"/>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应当自收到评标报告之日起5个工作日内，在评标报告确定的中标候选人名单中按顺序确定中标人。中标候选人并列的，采购人按以下的方式确定中标人：依次按项目实施方案分高的优先、优化服务方案分高的优先、拟投入本项目执行团队人员配备分高的优先、履约能力分高的优先顺序确定中标人。</w:t>
      </w:r>
    </w:p>
    <w:p w14:paraId="615B7F57">
      <w:pPr>
        <w:pStyle w:val="9"/>
        <w:keepNext w:val="0"/>
        <w:keepLines w:val="0"/>
        <w:pageBreakBefore w:val="0"/>
        <w:tabs>
          <w:tab w:val="left" w:pos="4214"/>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14:paraId="6647ED6C">
      <w:pPr>
        <w:keepNext w:val="0"/>
        <w:keepLines w:val="0"/>
        <w:pageBreakBefore w:val="0"/>
        <w:kinsoku/>
        <w:wordWrap/>
        <w:overflowPunct/>
        <w:topLinePunct w:val="0"/>
        <w:autoSpaceDE/>
        <w:autoSpaceDN/>
        <w:bidi w:val="0"/>
        <w:snapToGrid w:val="0"/>
        <w:spacing w:line="400" w:lineRule="exact"/>
        <w:ind w:firstLine="482" w:firstLineChars="200"/>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27</w:t>
      </w:r>
      <w:r>
        <w:rPr>
          <w:rFonts w:hint="eastAsia" w:ascii="仿宋" w:hAnsi="仿宋" w:eastAsia="仿宋" w:cs="仿宋"/>
          <w:b/>
          <w:color w:val="auto"/>
          <w:sz w:val="24"/>
          <w:szCs w:val="24"/>
          <w:highlight w:val="none"/>
        </w:rPr>
        <w:t>.属于下列情况之一者，投标无效：</w:t>
      </w:r>
    </w:p>
    <w:p w14:paraId="61C696A2">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（1）未按照招标文件规定要求签字、盖章的；</w:t>
      </w:r>
    </w:p>
    <w:p w14:paraId="1B6DEB26">
      <w:pPr>
        <w:keepNext w:val="0"/>
        <w:keepLines w:val="0"/>
        <w:pageBreakBefore w:val="0"/>
        <w:kinsoku/>
        <w:wordWrap/>
        <w:overflowPunct/>
        <w:topLinePunct w:val="0"/>
        <w:autoSpaceDE/>
        <w:autoSpaceDN/>
        <w:bidi w:val="0"/>
        <w:snapToGrid w:val="0"/>
        <w:spacing w:line="400" w:lineRule="exact"/>
        <w:ind w:firstLine="482" w:firstLineChars="200"/>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（2）报价超过招标文件中规定的预算金额的，或超出最高限价、各分项服务最高限价的；</w:t>
      </w:r>
    </w:p>
    <w:p w14:paraId="23275870">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（3）不具备招标文件中规定的资格要求的；</w:t>
      </w:r>
    </w:p>
    <w:p w14:paraId="1F54F04D">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（4）投标文件含有采购人不能接受的附加条件的；</w:t>
      </w:r>
    </w:p>
    <w:p w14:paraId="751364FA">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（5）投标文件未按招标文件的内容和要求编制，或提供虚假或无效材料的；</w:t>
      </w:r>
    </w:p>
    <w:p w14:paraId="61B1C75E">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（6）投标人未就“项目需求”中的所有内容</w:t>
      </w:r>
      <w:r>
        <w:rPr>
          <w:rFonts w:hint="eastAsia" w:ascii="仿宋" w:hAnsi="仿宋" w:eastAsia="仿宋" w:cs="仿宋"/>
          <w:b/>
          <w:color w:val="auto"/>
          <w:sz w:val="24"/>
          <w:szCs w:val="24"/>
          <w:highlight w:val="none"/>
          <w:lang w:val="en-US" w:eastAsia="zh-CN"/>
        </w:rPr>
        <w:t>按分标分别</w:t>
      </w:r>
      <w:r>
        <w:rPr>
          <w:rFonts w:hint="eastAsia" w:ascii="仿宋" w:hAnsi="仿宋" w:eastAsia="仿宋" w:cs="仿宋"/>
          <w:b/>
          <w:color w:val="auto"/>
          <w:sz w:val="24"/>
          <w:szCs w:val="24"/>
          <w:highlight w:val="none"/>
        </w:rPr>
        <w:t>作完整唯一报价的；</w:t>
      </w:r>
    </w:p>
    <w:p w14:paraId="34E7D1D4">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（7）未完全响应招标文件实质性要求的；</w:t>
      </w:r>
    </w:p>
    <w:p w14:paraId="635BB9D9">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（8）投标人为联合体投标的；</w:t>
      </w:r>
    </w:p>
    <w:p w14:paraId="32B5B7B2">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（9）法律、法规和招标文件规定的其他无效情形的。</w:t>
      </w:r>
    </w:p>
    <w:p w14:paraId="020A0DF4">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28.投标人有28.1、28.2情形之一的，视为串通投标或属于恶意串通行为，投标文件将被视为无效：</w:t>
      </w:r>
    </w:p>
    <w:p w14:paraId="1AF3E3A1">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28.1投标人有下列情形之一的，视为串通投标：</w:t>
      </w:r>
    </w:p>
    <w:p w14:paraId="78390C0E">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（1）不同投标人的投标文件由同一单位或者个人编制的；</w:t>
      </w:r>
    </w:p>
    <w:p w14:paraId="45E9B96C">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（2）不同投标人委托同一单位或者个人办理投标事宜的；</w:t>
      </w:r>
    </w:p>
    <w:p w14:paraId="1B6FAB37">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（3）不同的投标人的投标文件载明的项目管理员为同一个人的；</w:t>
      </w:r>
    </w:p>
    <w:p w14:paraId="720890C5">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（4）不同投标人的投标文件异常一致或投标报价呈规律性差异的； </w:t>
      </w:r>
    </w:p>
    <w:p w14:paraId="6339481F">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（5）不同投标人的投标文件相互混装的。</w:t>
      </w:r>
    </w:p>
    <w:p w14:paraId="2100066C">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28.2投标人有下列情形之一的，属于恶意串通行为：</w:t>
      </w:r>
    </w:p>
    <w:p w14:paraId="22591DCF">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（1）供应商直接或者间接从采购人或者采购代理机构处获得其他供应商的相关信息并修改其投标文件或者投标文件的；</w:t>
      </w:r>
    </w:p>
    <w:p w14:paraId="14951926">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（2）供应商按照采购人或者采购代理机构的授意撤换、修改投标文件或者投标文件的；</w:t>
      </w:r>
    </w:p>
    <w:p w14:paraId="10608369">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（3）供应商之间协商报价、技术方案等投标文件或者投标文件的实质性内容的；</w:t>
      </w:r>
    </w:p>
    <w:p w14:paraId="5258950C">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（4）属于同一集团、协会、商会等组织成员的供应商按照该组织要求协同参加政府采购活动的；</w:t>
      </w:r>
    </w:p>
    <w:p w14:paraId="7AD1C6D0">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（5）供应商之间事先约定一致抬高或者压低投标报价，或者在招标项目中事先约定轮流以高价位或者低价位中标，或者事先约定由某一特定供应商中标，然后再参加投标的；</w:t>
      </w:r>
    </w:p>
    <w:p w14:paraId="762061F2">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（6）供应商之间商定部分供应商放弃参加政府采购活动或者放弃中标的；</w:t>
      </w:r>
    </w:p>
    <w:p w14:paraId="1C5F7EF2">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（7）供应商与采购人或者采购代理机构之间、供应商相互之间，为谋求特定供应商中标或者排斥其他供应商的其他串通行为的。</w:t>
      </w:r>
    </w:p>
    <w:p w14:paraId="7552F0CC">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29. 属于下列情形之一的，应予废标：</w:t>
      </w:r>
    </w:p>
    <w:p w14:paraId="64205013">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（1）符合专业条件的供应商或者对招标文件作实质响应的供应商不足3家的；</w:t>
      </w:r>
    </w:p>
    <w:p w14:paraId="38A0D3E8">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（2）出现影响采购公正的违法、违规行为的；</w:t>
      </w:r>
    </w:p>
    <w:p w14:paraId="0DD4C71B">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eastAsia="zh-CN"/>
        </w:rPr>
        <w:t>招标文件</w:t>
      </w:r>
      <w:r>
        <w:rPr>
          <w:rFonts w:hint="eastAsia" w:ascii="仿宋" w:hAnsi="仿宋" w:eastAsia="仿宋" w:cs="仿宋"/>
          <w:b/>
          <w:color w:val="auto"/>
          <w:sz w:val="24"/>
          <w:szCs w:val="24"/>
          <w:highlight w:val="none"/>
        </w:rPr>
        <w:t>内容违反国家有关强制性规定的；</w:t>
      </w:r>
    </w:p>
    <w:p w14:paraId="33F4A50D">
      <w:pPr>
        <w:keepNext w:val="0"/>
        <w:keepLines w:val="0"/>
        <w:pageBreakBefore w:val="0"/>
        <w:kinsoku/>
        <w:wordWrap/>
        <w:overflowPunct/>
        <w:topLinePunct w:val="0"/>
        <w:autoSpaceDE/>
        <w:autoSpaceDN/>
        <w:bidi w:val="0"/>
        <w:snapToGrid w:val="0"/>
        <w:spacing w:line="400" w:lineRule="exact"/>
        <w:ind w:firstLine="472" w:firstLineChars="196"/>
        <w:textAlignment w:val="auto"/>
        <w:outlineLvl w:val="4"/>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（4）因重大变故，采购任务取消的。</w:t>
      </w:r>
    </w:p>
    <w:p w14:paraId="4A045335">
      <w:pPr>
        <w:pStyle w:val="9"/>
        <w:keepNext w:val="0"/>
        <w:keepLines w:val="0"/>
        <w:pageBreakBefore w:val="0"/>
        <w:kinsoku/>
        <w:wordWrap/>
        <w:overflowPunct/>
        <w:topLinePunct w:val="0"/>
        <w:autoSpaceDE/>
        <w:autoSpaceDN/>
        <w:bidi w:val="0"/>
        <w:spacing w:line="400" w:lineRule="exact"/>
        <w:ind w:firstLine="472" w:firstLineChars="196"/>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30.开标、评标过程的监控</w:t>
      </w:r>
    </w:p>
    <w:p w14:paraId="382D7097">
      <w:pPr>
        <w:pStyle w:val="9"/>
        <w:keepNext w:val="0"/>
        <w:keepLines w:val="0"/>
        <w:pageBreakBefore w:val="0"/>
        <w:kinsoku/>
        <w:wordWrap/>
        <w:overflowPunct/>
        <w:topLinePunct w:val="0"/>
        <w:autoSpaceDE/>
        <w:autoSpaceDN/>
        <w:bidi w:val="0"/>
        <w:spacing w:line="40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本项目开标、评标过程实行全程录音、录像监控，投标人在评标过程中所进行的试图影响评标结果的不公正活动，可能导致其投标被拒绝。</w:t>
      </w:r>
    </w:p>
    <w:p w14:paraId="49363543">
      <w:pPr>
        <w:pStyle w:val="9"/>
        <w:keepNext w:val="0"/>
        <w:keepLines w:val="0"/>
        <w:pageBreakBefore w:val="0"/>
        <w:kinsoku/>
        <w:wordWrap/>
        <w:overflowPunct/>
        <w:topLinePunct w:val="0"/>
        <w:autoSpaceDE/>
        <w:autoSpaceDN/>
        <w:bidi w:val="0"/>
        <w:spacing w:line="400" w:lineRule="exact"/>
        <w:ind w:firstLine="472" w:firstLineChars="196"/>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31.信用查询</w:t>
      </w:r>
    </w:p>
    <w:p w14:paraId="2FE51F1E">
      <w:pPr>
        <w:pStyle w:val="9"/>
        <w:keepNext w:val="0"/>
        <w:keepLines w:val="0"/>
        <w:pageBreakBefore w:val="0"/>
        <w:kinsoku/>
        <w:wordWrap/>
        <w:overflowPunct/>
        <w:topLinePunct w:val="0"/>
        <w:autoSpaceDE/>
        <w:autoSpaceDN/>
        <w:bidi w:val="0"/>
        <w:spacing w:line="40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根据《关于做好政府采购有关信用主体标识码登记及在政府采购活动中查询使用信用记录有关问题的通知》（桂财采〔2016〕37号），中标通知书发出前，由采购代理机构对第一中标候选人进行信用查询：</w:t>
      </w:r>
    </w:p>
    <w:p w14:paraId="561E8159">
      <w:pPr>
        <w:pStyle w:val="9"/>
        <w:keepNext w:val="0"/>
        <w:keepLines w:val="0"/>
        <w:pageBreakBefore w:val="0"/>
        <w:kinsoku/>
        <w:wordWrap/>
        <w:overflowPunct/>
        <w:topLinePunct w:val="0"/>
        <w:autoSpaceDE/>
        <w:autoSpaceDN/>
        <w:bidi w:val="0"/>
        <w:spacing w:line="40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⑴查询渠道：“信用中国”网站(www.creditchina.gov.cn)、中国政府采购网(www.ccgp.gov.cn)等；</w:t>
      </w:r>
    </w:p>
    <w:p w14:paraId="271484BD">
      <w:pPr>
        <w:pStyle w:val="9"/>
        <w:keepNext w:val="0"/>
        <w:keepLines w:val="0"/>
        <w:pageBreakBefore w:val="0"/>
        <w:kinsoku/>
        <w:wordWrap/>
        <w:overflowPunct/>
        <w:topLinePunct w:val="0"/>
        <w:autoSpaceDE/>
        <w:autoSpaceDN/>
        <w:bidi w:val="0"/>
        <w:spacing w:line="40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⑵查询截止时间：中标通知书发出前；</w:t>
      </w:r>
    </w:p>
    <w:p w14:paraId="4F1C4739">
      <w:pPr>
        <w:pStyle w:val="9"/>
        <w:keepNext w:val="0"/>
        <w:keepLines w:val="0"/>
        <w:pageBreakBefore w:val="0"/>
        <w:kinsoku/>
        <w:wordWrap/>
        <w:overflowPunct/>
        <w:topLinePunct w:val="0"/>
        <w:autoSpaceDE/>
        <w:autoSpaceDN/>
        <w:bidi w:val="0"/>
        <w:spacing w:line="40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⑶信用信息查询记录和证据留存方式：在查询网站中直接打印查询记录，打印材料作为采购活动资料保存；</w:t>
      </w:r>
    </w:p>
    <w:p w14:paraId="6F04E6EF">
      <w:pPr>
        <w:pStyle w:val="9"/>
        <w:keepNext w:val="0"/>
        <w:keepLines w:val="0"/>
        <w:pageBreakBefore w:val="0"/>
        <w:kinsoku/>
        <w:wordWrap/>
        <w:overflowPunct/>
        <w:topLinePunct w:val="0"/>
        <w:autoSpaceDE/>
        <w:autoSpaceDN/>
        <w:bidi w:val="0"/>
        <w:spacing w:line="400" w:lineRule="exact"/>
        <w:ind w:firstLine="470" w:firstLineChars="196"/>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中标候选人资格。</w:t>
      </w:r>
    </w:p>
    <w:p w14:paraId="0C18B3FA">
      <w:pPr>
        <w:pStyle w:val="9"/>
        <w:keepNext w:val="0"/>
        <w:keepLines w:val="0"/>
        <w:pageBreakBefore w:val="0"/>
        <w:kinsoku/>
        <w:wordWrap/>
        <w:overflowPunct/>
        <w:topLinePunct w:val="0"/>
        <w:autoSpaceDE/>
        <w:autoSpaceDN/>
        <w:bidi w:val="0"/>
        <w:spacing w:line="400" w:lineRule="exact"/>
        <w:ind w:firstLine="472" w:firstLineChars="196"/>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 中标公告及中标通知书</w:t>
      </w:r>
    </w:p>
    <w:p w14:paraId="23B17EE1">
      <w:pPr>
        <w:pStyle w:val="9"/>
        <w:keepNext w:val="0"/>
        <w:keepLines w:val="0"/>
        <w:pageBreakBefore w:val="0"/>
        <w:tabs>
          <w:tab w:val="left" w:pos="455"/>
        </w:tabs>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1CEBF31D">
      <w:pPr>
        <w:pStyle w:val="9"/>
        <w:keepNext w:val="0"/>
        <w:keepLines w:val="0"/>
        <w:pageBreakBefore w:val="0"/>
        <w:tabs>
          <w:tab w:val="left" w:pos="455"/>
        </w:tabs>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32.2中小企业在政府采购活动过程中，请根据自己的真实情况出具《中小企业声明函》或由省级以上监狱管理局、戒毒管理局(含新疆生产建设兵团)出具的属于监狱企业的证明文件或《残疾人福利性单位声明函》。采购人或采购代理机构在公告中标结果时，同时公告以上相应材料，接受社会监督。</w:t>
      </w:r>
    </w:p>
    <w:p w14:paraId="39B1D913">
      <w:pPr>
        <w:pStyle w:val="9"/>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32.3中标公告发布同时，采购代理机构向中标人发出中标通知书，中标人应自接到通知之日起七个工作日内，办理中标通知书领取手续。</w:t>
      </w:r>
    </w:p>
    <w:p w14:paraId="35DEF15F">
      <w:pPr>
        <w:keepNext w:val="0"/>
        <w:keepLines w:val="0"/>
        <w:pageBreakBefore w:val="0"/>
        <w:tabs>
          <w:tab w:val="left" w:pos="1140"/>
        </w:tabs>
        <w:kinsoku/>
        <w:wordWrap/>
        <w:overflowPunct/>
        <w:topLinePunct w:val="0"/>
        <w:autoSpaceDE/>
        <w:autoSpaceDN/>
        <w:bidi w:val="0"/>
        <w:spacing w:line="400" w:lineRule="exact"/>
        <w:ind w:left="420" w:leftChars="200"/>
        <w:textAlignment w:val="auto"/>
        <w:rPr>
          <w:rFonts w:hint="eastAsia" w:ascii="仿宋" w:hAnsi="仿宋" w:eastAsia="仿宋" w:cs="仿宋"/>
          <w:b/>
          <w:color w:val="auto"/>
          <w:sz w:val="28"/>
          <w:szCs w:val="28"/>
          <w:highlight w:val="none"/>
        </w:rPr>
      </w:pPr>
    </w:p>
    <w:p w14:paraId="7CBCDE0E">
      <w:pPr>
        <w:keepNext w:val="0"/>
        <w:keepLines w:val="0"/>
        <w:pageBreakBefore w:val="0"/>
        <w:tabs>
          <w:tab w:val="left" w:pos="1140"/>
        </w:tabs>
        <w:kinsoku/>
        <w:wordWrap/>
        <w:overflowPunct/>
        <w:topLinePunct w:val="0"/>
        <w:autoSpaceDE/>
        <w:autoSpaceDN/>
        <w:bidi w:val="0"/>
        <w:spacing w:line="400" w:lineRule="exact"/>
        <w:ind w:left="420" w:leftChars="2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七、履约保证金及签订合同</w:t>
      </w:r>
    </w:p>
    <w:p w14:paraId="22A25FF5">
      <w:pPr>
        <w:keepNext w:val="0"/>
        <w:keepLines w:val="0"/>
        <w:pageBreakBefore w:val="0"/>
        <w:tabs>
          <w:tab w:val="left" w:pos="1305"/>
        </w:tabs>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33. 履约保证金</w:t>
      </w:r>
    </w:p>
    <w:p w14:paraId="5680EFB7">
      <w:pPr>
        <w:pStyle w:val="9"/>
        <w:keepNext w:val="0"/>
        <w:keepLines w:val="0"/>
        <w:pageBreakBefore w:val="0"/>
        <w:kinsoku/>
        <w:wordWrap/>
        <w:overflowPunct/>
        <w:topLinePunct w:val="0"/>
        <w:autoSpaceDE/>
        <w:autoSpaceDN/>
        <w:bidi w:val="0"/>
        <w:spacing w:line="400" w:lineRule="exact"/>
        <w:ind w:left="6" w:leftChars="3"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本项目不收取履约保证金</w:t>
      </w:r>
      <w:r>
        <w:rPr>
          <w:rFonts w:hint="eastAsia" w:ascii="仿宋" w:hAnsi="仿宋" w:eastAsia="仿宋" w:cs="仿宋"/>
          <w:color w:val="auto"/>
          <w:sz w:val="24"/>
          <w:szCs w:val="24"/>
          <w:highlight w:val="none"/>
        </w:rPr>
        <w:t>。</w:t>
      </w:r>
    </w:p>
    <w:p w14:paraId="6DA264E9">
      <w:pPr>
        <w:keepNext w:val="0"/>
        <w:keepLines w:val="0"/>
        <w:pageBreakBefore w:val="0"/>
        <w:tabs>
          <w:tab w:val="left" w:pos="1140"/>
        </w:tabs>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34. 签订合同</w:t>
      </w:r>
    </w:p>
    <w:p w14:paraId="2F55C8A8">
      <w:pPr>
        <w:pStyle w:val="9"/>
        <w:keepNext w:val="0"/>
        <w:keepLines w:val="0"/>
        <w:pageBreakBefore w:val="0"/>
        <w:kinsoku/>
        <w:wordWrap/>
        <w:overflowPunct/>
        <w:topLinePunct w:val="0"/>
        <w:autoSpaceDE/>
        <w:autoSpaceDN/>
        <w:bidi w:val="0"/>
        <w:spacing w:line="400" w:lineRule="exact"/>
        <w:ind w:left="2" w:leftChars="1"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34.1签订合同时间：</w:t>
      </w:r>
      <w:r>
        <w:rPr>
          <w:rFonts w:hint="eastAsia" w:ascii="仿宋" w:hAnsi="仿宋" w:eastAsia="仿宋" w:cs="仿宋"/>
          <w:color w:val="auto"/>
          <w:sz w:val="24"/>
          <w:szCs w:val="24"/>
          <w:highlight w:val="none"/>
          <w:lang w:eastAsia="zh-CN"/>
        </w:rPr>
        <w:t>中标通知书发出之日起八个工作日内</w:t>
      </w:r>
      <w:r>
        <w:rPr>
          <w:rFonts w:hint="eastAsia" w:ascii="仿宋" w:hAnsi="仿宋" w:eastAsia="仿宋" w:cs="仿宋"/>
          <w:color w:val="auto"/>
          <w:sz w:val="24"/>
          <w:szCs w:val="24"/>
          <w:highlight w:val="none"/>
        </w:rPr>
        <w:t>。中标人领取中标通知书后，应按规定与采购人签订合同。</w:t>
      </w:r>
    </w:p>
    <w:p w14:paraId="29EF3D2F">
      <w:pPr>
        <w:pStyle w:val="9"/>
        <w:keepNext w:val="0"/>
        <w:keepLines w:val="0"/>
        <w:pageBreakBefore w:val="0"/>
        <w:kinsoku/>
        <w:wordWrap/>
        <w:overflowPunct/>
        <w:topLinePunct w:val="0"/>
        <w:autoSpaceDE/>
        <w:autoSpaceDN/>
        <w:bidi w:val="0"/>
        <w:spacing w:line="400" w:lineRule="exact"/>
        <w:ind w:left="2" w:leftChars="1"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如中标人有下列情形之一，情节严重的，由财政部门将其列入不良行为记录名单，在一至三年内禁止参加政府采购活动，并予以通报。采购人或者采购代理机构可从评标委员会推荐的中标候选人中按顺序重新确定中标人或组织重新招标。</w:t>
      </w:r>
    </w:p>
    <w:p w14:paraId="40D329E1">
      <w:pPr>
        <w:pStyle w:val="9"/>
        <w:keepNext w:val="0"/>
        <w:keepLines w:val="0"/>
        <w:pageBreakBefore w:val="0"/>
        <w:kinsoku/>
        <w:wordWrap/>
        <w:overflowPunct/>
        <w:topLinePunct w:val="0"/>
        <w:autoSpaceDE/>
        <w:autoSpaceDN/>
        <w:bidi w:val="0"/>
        <w:spacing w:line="40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（1）中标后不与采购人签订合同的（不可抗力除外）；</w:t>
      </w:r>
    </w:p>
    <w:p w14:paraId="741798FD">
      <w:pPr>
        <w:pStyle w:val="9"/>
        <w:keepNext w:val="0"/>
        <w:keepLines w:val="0"/>
        <w:pageBreakBefore w:val="0"/>
        <w:kinsoku/>
        <w:wordWrap/>
        <w:overflowPunct/>
        <w:topLinePunct w:val="0"/>
        <w:autoSpaceDE/>
        <w:autoSpaceDN/>
        <w:bidi w:val="0"/>
        <w:spacing w:line="400" w:lineRule="exact"/>
        <w:ind w:left="2" w:leftChars="1"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（2）将中标项目转让给他人，或者在投标文件中未说明，且未经采购人同意，将中标项目分包给他人的；</w:t>
      </w:r>
    </w:p>
    <w:p w14:paraId="0D981D9E">
      <w:pPr>
        <w:pStyle w:val="9"/>
        <w:keepNext w:val="0"/>
        <w:keepLines w:val="0"/>
        <w:pageBreakBefore w:val="0"/>
        <w:kinsoku/>
        <w:wordWrap/>
        <w:overflowPunct/>
        <w:topLinePunct w:val="0"/>
        <w:autoSpaceDE/>
        <w:autoSpaceDN/>
        <w:bidi w:val="0"/>
        <w:spacing w:line="400" w:lineRule="exact"/>
        <w:ind w:left="2" w:leftChars="1"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（3）拒绝履行合同义务的。</w:t>
      </w:r>
    </w:p>
    <w:p w14:paraId="41343548">
      <w:pPr>
        <w:pStyle w:val="9"/>
        <w:keepNext w:val="0"/>
        <w:keepLines w:val="0"/>
        <w:pageBreakBefore w:val="0"/>
        <w:kinsoku/>
        <w:wordWrap/>
        <w:overflowPunct/>
        <w:topLinePunct w:val="0"/>
        <w:autoSpaceDE/>
        <w:autoSpaceDN/>
        <w:bidi w:val="0"/>
        <w:spacing w:line="400" w:lineRule="exact"/>
        <w:ind w:left="2" w:leftChars="1"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34.3合同存档：</w:t>
      </w:r>
      <w:r>
        <w:rPr>
          <w:rFonts w:hint="eastAsia" w:ascii="仿宋" w:hAnsi="仿宋" w:eastAsia="仿宋" w:cs="仿宋"/>
          <w:color w:val="auto"/>
          <w:kern w:val="0"/>
          <w:sz w:val="24"/>
          <w:szCs w:val="24"/>
          <w:highlight w:val="none"/>
        </w:rPr>
        <w:t>政府采购合同双方自签订之日起1个工作日内将合同原件壹份交采购代理机构，采购代理机构收到政府采购合同原件后在省级以上人民政府财政部门指定媒体上公告。</w:t>
      </w:r>
    </w:p>
    <w:p w14:paraId="0ABF29B8">
      <w:pPr>
        <w:pStyle w:val="9"/>
        <w:keepNext w:val="0"/>
        <w:keepLines w:val="0"/>
        <w:pageBreakBefore w:val="0"/>
        <w:kinsoku/>
        <w:wordWrap/>
        <w:overflowPunct/>
        <w:topLinePunct w:val="0"/>
        <w:autoSpaceDE/>
        <w:autoSpaceDN/>
        <w:bidi w:val="0"/>
        <w:spacing w:line="400" w:lineRule="exact"/>
        <w:ind w:left="3"/>
        <w:jc w:val="center"/>
        <w:textAlignment w:val="auto"/>
        <w:rPr>
          <w:rFonts w:hint="eastAsia" w:ascii="仿宋" w:hAnsi="仿宋" w:eastAsia="仿宋" w:cs="仿宋"/>
          <w:b/>
          <w:color w:val="auto"/>
          <w:sz w:val="28"/>
          <w:szCs w:val="28"/>
          <w:highlight w:val="none"/>
        </w:rPr>
      </w:pPr>
    </w:p>
    <w:p w14:paraId="0FFF1B50">
      <w:pPr>
        <w:pStyle w:val="9"/>
        <w:keepNext w:val="0"/>
        <w:keepLines w:val="0"/>
        <w:pageBreakBefore w:val="0"/>
        <w:kinsoku/>
        <w:wordWrap/>
        <w:overflowPunct/>
        <w:topLinePunct w:val="0"/>
        <w:autoSpaceDE/>
        <w:autoSpaceDN/>
        <w:bidi w:val="0"/>
        <w:spacing w:line="400" w:lineRule="exact"/>
        <w:ind w:left="3"/>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八、其他事项</w:t>
      </w:r>
    </w:p>
    <w:p w14:paraId="41691791">
      <w:pPr>
        <w:pStyle w:val="9"/>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35.招标代理服务费</w:t>
      </w:r>
    </w:p>
    <w:p w14:paraId="1323C1A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35.1本项目</w:t>
      </w:r>
      <w:r>
        <w:rPr>
          <w:rFonts w:hint="eastAsia" w:ascii="仿宋" w:hAnsi="仿宋" w:eastAsia="仿宋" w:cs="仿宋"/>
          <w:color w:val="auto"/>
          <w:sz w:val="24"/>
          <w:szCs w:val="24"/>
          <w:highlight w:val="none"/>
          <w:lang w:val="en-US" w:eastAsia="zh-CN"/>
        </w:rPr>
        <w:t>各分标</w:t>
      </w:r>
      <w:r>
        <w:rPr>
          <w:rFonts w:hint="eastAsia" w:ascii="仿宋" w:hAnsi="仿宋" w:eastAsia="仿宋" w:cs="仿宋"/>
          <w:color w:val="auto"/>
          <w:sz w:val="24"/>
          <w:szCs w:val="24"/>
          <w:highlight w:val="none"/>
        </w:rPr>
        <w:t>招标代理服务费按本须知第35.2</w:t>
      </w:r>
      <w:r>
        <w:rPr>
          <w:rFonts w:hint="eastAsia" w:ascii="仿宋" w:hAnsi="仿宋" w:eastAsia="仿宋" w:cs="仿宋"/>
          <w:color w:val="auto"/>
          <w:sz w:val="24"/>
          <w:szCs w:val="24"/>
          <w:highlight w:val="none"/>
          <w:lang w:eastAsia="zh-CN"/>
        </w:rPr>
        <w:t>款</w:t>
      </w:r>
      <w:r>
        <w:rPr>
          <w:rFonts w:hint="eastAsia" w:ascii="仿宋" w:hAnsi="仿宋" w:eastAsia="仿宋" w:cs="仿宋"/>
          <w:color w:val="auto"/>
          <w:sz w:val="24"/>
          <w:szCs w:val="24"/>
          <w:highlight w:val="none"/>
        </w:rPr>
        <w:t>“招标代理服务收费标准”中服务类收费标准计算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val="en-US" w:eastAsia="zh-CN"/>
        </w:rPr>
        <w:t>各分标</w:t>
      </w:r>
      <w:r>
        <w:rPr>
          <w:rFonts w:hint="eastAsia" w:ascii="仿宋" w:hAnsi="仿宋" w:eastAsia="仿宋" w:cs="仿宋"/>
          <w:color w:val="auto"/>
          <w:sz w:val="24"/>
          <w:szCs w:val="24"/>
          <w:highlight w:val="none"/>
        </w:rPr>
        <w:t>中标人在领取中标通知书前，向采购代理机构一次性支付。</w:t>
      </w:r>
    </w:p>
    <w:p w14:paraId="62FA436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35.2招标代理服务收费标准：</w:t>
      </w:r>
    </w:p>
    <w:tbl>
      <w:tblPr>
        <w:tblStyle w:val="16"/>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3"/>
        <w:gridCol w:w="1855"/>
        <w:gridCol w:w="2008"/>
        <w:gridCol w:w="2311"/>
      </w:tblGrid>
      <w:tr w14:paraId="3B8C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04E707D6">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3" name="直接连接符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35pt;margin-top:0.85pt;height:51.45pt;width:115.25pt;z-index:251661312;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IBUzTWAAAACAEAAA8AAAAAAAAAAQAgAAAAIgAAAGRycy9kb3ducmV2LnhtbFBL&#10;AQIUABQAAAAIAIdO4kBkUVlx+AEAAOkDAAAOAAAAAAAAAAEAIAAAACUBAABkcnMvZTJvRG9jLnht&#10;bFBLBQYAAAAABgAGAFkBAACPBQAAAAA=&#10;">
                      <v:fill on="f" focussize="0,0"/>
                      <v:stroke color="#000000" joinstyle="round"/>
                      <v:imagedata o:title=""/>
                      <o:lock v:ext="edit" aspectratio="f"/>
                    </v:line>
                  </w:pict>
                </mc:Fallback>
              </mc:AlternateContent>
            </w:r>
            <w:r>
              <w:rPr>
                <w:rFonts w:hint="eastAsia" w:ascii="仿宋" w:hAnsi="仿宋" w:eastAsia="仿宋" w:cs="仿宋"/>
                <w:color w:val="auto"/>
                <w:highlight w:val="none"/>
              </w:rPr>
              <w:t>费率           服务类型</w:t>
            </w:r>
          </w:p>
          <w:p w14:paraId="23336094">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5" name="直接连接符 5"/>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3.1pt;height:31.2pt;width:144pt;z-index:251662336;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Dq9E1gAAAAgBAAAPAAAAAAAAAAEAIAAAACIAAABkcnMvZG93bnJldi54&#10;bWxQSwECFAAUAAAACACHTuJAhtJa4PwBAADpAwAADgAAAAAAAAABACAAAAAlAQAAZHJzL2Uyb0Rv&#10;Yy54bWxQSwUGAAAAAAYABgBZAQAAkwUAAAAA&#10;">
                      <v:fill on="f" focussize="0,0"/>
                      <v:stroke color="#000000" joinstyle="round"/>
                      <v:imagedata o:title=""/>
                      <o:lock v:ext="edit" aspectratio="f"/>
                    </v:line>
                  </w:pict>
                </mc:Fallback>
              </mc:AlternateContent>
            </w:r>
          </w:p>
          <w:p w14:paraId="3B8F25F5">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中标金额</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D9233DE">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货物招标</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292D7396">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服务招标</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530CBC3B">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工程招标</w:t>
            </w:r>
          </w:p>
        </w:tc>
      </w:tr>
      <w:tr w14:paraId="7F93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451A6117">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100万元以下</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3DEAA8B">
            <w:pPr>
              <w:pStyle w:val="22"/>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1A915F7F">
            <w:pPr>
              <w:pStyle w:val="22"/>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1.5%</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5BA2ACD5">
            <w:pPr>
              <w:pStyle w:val="22"/>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r>
      <w:tr w14:paraId="2832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53F129B3">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100～500万元</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CCC8E5C">
            <w:pPr>
              <w:pStyle w:val="22"/>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560F8157">
            <w:pPr>
              <w:pStyle w:val="22"/>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0.8%</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1117C338">
            <w:pPr>
              <w:pStyle w:val="22"/>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0.7%</w:t>
            </w:r>
          </w:p>
        </w:tc>
      </w:tr>
      <w:tr w14:paraId="4FB7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7C5F0B9D">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500～1000万元</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5D08616">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0.8%</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230589C6">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0.45%</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5FF4C265">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0.55%</w:t>
            </w:r>
          </w:p>
        </w:tc>
      </w:tr>
      <w:tr w14:paraId="0D0B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503BF5AF">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1000～5000万元</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0B055AE">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0.5%</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05ED0582">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0.25%</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63E06CDD">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0.35%</w:t>
            </w:r>
          </w:p>
        </w:tc>
      </w:tr>
      <w:tr w14:paraId="7190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0CF58143">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5000万元～1亿元</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1993EBFA">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0.25%</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4CEEA0A3">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0.1%</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4363D749">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0.2%</w:t>
            </w:r>
          </w:p>
        </w:tc>
      </w:tr>
      <w:tr w14:paraId="5F10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302CFBA2">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1～5亿元</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495C3823">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0.05%</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29699996">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0.05%</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6D7B7704">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0.05%</w:t>
            </w:r>
          </w:p>
        </w:tc>
      </w:tr>
      <w:tr w14:paraId="0A77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69CB874B">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5～10亿元</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7942FEF7">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0.035%</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575D87D1">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0.035%</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1E4C3619">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0.035%</w:t>
            </w:r>
          </w:p>
        </w:tc>
      </w:tr>
      <w:tr w14:paraId="7B00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2822F6B6">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10～50亿元</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56CECE4">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0.008%</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7A7D6529">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0.008%</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2227CF4B">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0.008%</w:t>
            </w:r>
          </w:p>
        </w:tc>
      </w:tr>
      <w:tr w14:paraId="09CD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12568315">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50～100亿元</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0308B6D4">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0.006%</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0D4582E1">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0.006%</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06D03DC0">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0.006%</w:t>
            </w:r>
          </w:p>
        </w:tc>
      </w:tr>
      <w:tr w14:paraId="070F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903" w:type="dxa"/>
            <w:tcBorders>
              <w:top w:val="single" w:color="auto" w:sz="4" w:space="0"/>
              <w:left w:val="single" w:color="auto" w:sz="4" w:space="0"/>
              <w:bottom w:val="single" w:color="auto" w:sz="4" w:space="0"/>
              <w:right w:val="single" w:color="auto" w:sz="4" w:space="0"/>
            </w:tcBorders>
            <w:noWrap w:val="0"/>
            <w:vAlign w:val="center"/>
          </w:tcPr>
          <w:p w14:paraId="1E41B811">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100亿以上</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ED902A7">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0.004%</w:t>
            </w:r>
          </w:p>
        </w:tc>
        <w:tc>
          <w:tcPr>
            <w:tcW w:w="2008" w:type="dxa"/>
            <w:tcBorders>
              <w:top w:val="single" w:color="auto" w:sz="4" w:space="0"/>
              <w:left w:val="single" w:color="auto" w:sz="4" w:space="0"/>
              <w:bottom w:val="single" w:color="auto" w:sz="4" w:space="0"/>
              <w:right w:val="single" w:color="auto" w:sz="4" w:space="0"/>
            </w:tcBorders>
            <w:noWrap w:val="0"/>
            <w:vAlign w:val="center"/>
          </w:tcPr>
          <w:p w14:paraId="66A36AB3">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0.004%</w:t>
            </w:r>
          </w:p>
        </w:tc>
        <w:tc>
          <w:tcPr>
            <w:tcW w:w="2311" w:type="dxa"/>
            <w:tcBorders>
              <w:top w:val="single" w:color="auto" w:sz="4" w:space="0"/>
              <w:left w:val="single" w:color="auto" w:sz="4" w:space="0"/>
              <w:bottom w:val="single" w:color="auto" w:sz="4" w:space="0"/>
              <w:right w:val="single" w:color="auto" w:sz="4" w:space="0"/>
            </w:tcBorders>
            <w:noWrap w:val="0"/>
            <w:vAlign w:val="center"/>
          </w:tcPr>
          <w:p w14:paraId="061C9611">
            <w:pPr>
              <w:pStyle w:val="9"/>
              <w:spacing w:line="360" w:lineRule="exact"/>
              <w:ind w:left="25"/>
              <w:jc w:val="center"/>
              <w:rPr>
                <w:rFonts w:hint="eastAsia" w:ascii="仿宋" w:hAnsi="仿宋" w:eastAsia="仿宋" w:cs="仿宋"/>
                <w:color w:val="auto"/>
                <w:highlight w:val="none"/>
              </w:rPr>
            </w:pPr>
            <w:r>
              <w:rPr>
                <w:rFonts w:hint="eastAsia" w:ascii="仿宋" w:hAnsi="仿宋" w:eastAsia="仿宋" w:cs="仿宋"/>
                <w:color w:val="auto"/>
                <w:highlight w:val="none"/>
              </w:rPr>
              <w:t>0.004%</w:t>
            </w:r>
          </w:p>
        </w:tc>
      </w:tr>
    </w:tbl>
    <w:p w14:paraId="607AEC83">
      <w:pPr>
        <w:pStyle w:val="9"/>
        <w:keepNext w:val="0"/>
        <w:keepLines w:val="0"/>
        <w:pageBreakBefore w:val="0"/>
        <w:widowControl w:val="0"/>
        <w:kinsoku/>
        <w:wordWrap/>
        <w:overflowPunct/>
        <w:topLinePunct w:val="0"/>
        <w:autoSpaceDE/>
        <w:autoSpaceDN/>
        <w:bidi w:val="0"/>
        <w:adjustRightInd/>
        <w:spacing w:line="400" w:lineRule="exact"/>
        <w:ind w:left="2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注：招标代理服务收费按差额定率累进法计算。</w:t>
      </w:r>
    </w:p>
    <w:p w14:paraId="74475BDC">
      <w:pPr>
        <w:keepNext w:val="0"/>
        <w:keepLines w:val="0"/>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36.采购代理机构银行账户（用于交纳招标代理服务费）：</w:t>
      </w:r>
    </w:p>
    <w:p w14:paraId="3D05375B">
      <w:pPr>
        <w:pStyle w:val="9"/>
        <w:keepNext w:val="0"/>
        <w:keepLines w:val="0"/>
        <w:pageBreakBefore w:val="0"/>
        <w:widowControl w:val="0"/>
        <w:kinsoku/>
        <w:wordWrap/>
        <w:overflowPunct/>
        <w:topLinePunct w:val="0"/>
        <w:autoSpaceDE/>
        <w:autoSpaceDN/>
        <w:bidi w:val="0"/>
        <w:adjustRightInd/>
        <w:snapToGrid w:val="0"/>
        <w:spacing w:line="400" w:lineRule="exact"/>
        <w:ind w:left="420" w:left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开户名称：</w:t>
      </w:r>
      <w:r>
        <w:rPr>
          <w:rFonts w:hint="eastAsia" w:ascii="仿宋" w:hAnsi="仿宋" w:eastAsia="仿宋" w:cs="仿宋"/>
          <w:b/>
          <w:color w:val="auto"/>
          <w:sz w:val="24"/>
          <w:szCs w:val="24"/>
          <w:highlight w:val="none"/>
          <w:lang w:eastAsia="zh-CN"/>
        </w:rPr>
        <w:t>广西科文招标有限公司</w:t>
      </w:r>
      <w:r>
        <w:rPr>
          <w:rFonts w:hint="eastAsia" w:ascii="仿宋" w:hAnsi="仿宋" w:eastAsia="仿宋" w:cs="仿宋"/>
          <w:b/>
          <w:color w:val="auto"/>
          <w:sz w:val="24"/>
          <w:szCs w:val="24"/>
          <w:highlight w:val="none"/>
        </w:rPr>
        <w:t>桂林分公司</w:t>
      </w:r>
    </w:p>
    <w:p w14:paraId="15A9EEA9">
      <w:pPr>
        <w:pStyle w:val="9"/>
        <w:keepNext w:val="0"/>
        <w:keepLines w:val="0"/>
        <w:pageBreakBefore w:val="0"/>
        <w:widowControl w:val="0"/>
        <w:kinsoku/>
        <w:wordWrap/>
        <w:overflowPunct/>
        <w:topLinePunct w:val="0"/>
        <w:autoSpaceDE/>
        <w:autoSpaceDN/>
        <w:bidi w:val="0"/>
        <w:adjustRightInd/>
        <w:snapToGrid w:val="0"/>
        <w:spacing w:line="400" w:lineRule="exact"/>
        <w:ind w:left="420" w:left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开户行：</w:t>
      </w:r>
      <w:r>
        <w:rPr>
          <w:rFonts w:hint="eastAsia" w:ascii="仿宋" w:hAnsi="仿宋" w:eastAsia="仿宋" w:cs="仿宋"/>
          <w:b/>
          <w:color w:val="auto"/>
          <w:sz w:val="24"/>
          <w:szCs w:val="24"/>
          <w:highlight w:val="none"/>
          <w:lang w:eastAsia="zh-CN"/>
        </w:rPr>
        <w:t>中国工商银行桂林市</w:t>
      </w:r>
      <w:r>
        <w:rPr>
          <w:rFonts w:hint="eastAsia" w:ascii="仿宋" w:hAnsi="仿宋" w:eastAsia="仿宋" w:cs="仿宋"/>
          <w:b/>
          <w:color w:val="auto"/>
          <w:sz w:val="24"/>
          <w:szCs w:val="24"/>
          <w:highlight w:val="none"/>
        </w:rPr>
        <w:t>桂湖支行</w:t>
      </w:r>
    </w:p>
    <w:p w14:paraId="0F8ABC9C">
      <w:pPr>
        <w:pStyle w:val="9"/>
        <w:keepNext w:val="0"/>
        <w:keepLines w:val="0"/>
        <w:pageBreakBefore w:val="0"/>
        <w:widowControl w:val="0"/>
        <w:kinsoku/>
        <w:wordWrap/>
        <w:overflowPunct/>
        <w:topLinePunct w:val="0"/>
        <w:autoSpaceDE/>
        <w:autoSpaceDN/>
        <w:bidi w:val="0"/>
        <w:adjustRightInd/>
        <w:snapToGrid w:val="0"/>
        <w:spacing w:line="400" w:lineRule="exact"/>
        <w:ind w:left="420" w:left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银行账号：210 3200 2093 0000 2088  </w:t>
      </w:r>
    </w:p>
    <w:p w14:paraId="0519644F">
      <w:pPr>
        <w:pStyle w:val="9"/>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37.解释权：</w:t>
      </w:r>
      <w:r>
        <w:rPr>
          <w:rFonts w:hint="eastAsia" w:ascii="仿宋" w:hAnsi="仿宋" w:eastAsia="仿宋" w:cs="仿宋"/>
          <w:color w:val="auto"/>
          <w:sz w:val="24"/>
          <w:szCs w:val="24"/>
          <w:highlight w:val="none"/>
        </w:rPr>
        <w:t>本招标文件是根据《中华人民共和国政府采购法》、《中华人民共和国政府采购法实施条例》及财政部令第87号《政府采购货物和服务招标投标管理办法》和政府采购管理有关规定编制，本招标文件的解释权属于采购代理机构。</w:t>
      </w:r>
    </w:p>
    <w:p w14:paraId="39310C69">
      <w:pPr>
        <w:pStyle w:val="9"/>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rPr>
        <w:t>38.监督管理机构：</w:t>
      </w:r>
      <w:r>
        <w:rPr>
          <w:rFonts w:hint="eastAsia" w:ascii="仿宋" w:hAnsi="仿宋" w:eastAsia="仿宋" w:cs="仿宋"/>
          <w:color w:val="auto"/>
          <w:kern w:val="0"/>
          <w:sz w:val="24"/>
          <w:szCs w:val="24"/>
          <w:highlight w:val="none"/>
        </w:rPr>
        <w:t>桂林市财政局    联系电话：0773-2862142</w:t>
      </w:r>
    </w:p>
    <w:p w14:paraId="254C0318">
      <w:pPr>
        <w:pStyle w:val="9"/>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39. 广西线上“政采贷”政策详见附表4。</w:t>
      </w:r>
    </w:p>
    <w:p w14:paraId="5482E2DA">
      <w:pPr>
        <w:pStyle w:val="9"/>
        <w:snapToGrid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附表1：</w:t>
      </w:r>
    </w:p>
    <w:p w14:paraId="70B365B6">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质疑函（格式）</w:t>
      </w:r>
    </w:p>
    <w:p w14:paraId="63A52B12">
      <w:pPr>
        <w:pStyle w:val="9"/>
        <w:snapToGrid w:val="0"/>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一、质疑供应商基本信息：</w:t>
      </w:r>
    </w:p>
    <w:p w14:paraId="4DCE68F0">
      <w:pPr>
        <w:pStyle w:val="9"/>
        <w:snapToGrid w:val="0"/>
        <w:spacing w:line="36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质疑供应商：</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5D83B9D1">
      <w:pPr>
        <w:pStyle w:val="9"/>
        <w:snapToGrid w:val="0"/>
        <w:spacing w:line="3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68A5086F">
      <w:pPr>
        <w:pStyle w:val="9"/>
        <w:snapToGrid w:val="0"/>
        <w:spacing w:line="3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47F448EF">
      <w:pPr>
        <w:pStyle w:val="9"/>
        <w:snapToGrid w:val="0"/>
        <w:spacing w:line="3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p>
    <w:p w14:paraId="2CD59FB8">
      <w:pPr>
        <w:pStyle w:val="9"/>
        <w:snapToGrid w:val="0"/>
        <w:spacing w:line="36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32E9EC1E">
      <w:pPr>
        <w:pStyle w:val="9"/>
        <w:snapToGrid w:val="0"/>
        <w:spacing w:line="3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D35A926">
      <w:pPr>
        <w:pStyle w:val="9"/>
        <w:snapToGrid w:val="0"/>
        <w:spacing w:line="3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二、质疑项目基本情况：</w:t>
      </w:r>
    </w:p>
    <w:p w14:paraId="72E1DCAA">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6DCF70B9">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质疑</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4A438D3">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1772739B">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w:t>
      </w:r>
    </w:p>
    <w:p w14:paraId="67F20328">
      <w:pPr>
        <w:pStyle w:val="9"/>
        <w:spacing w:line="360" w:lineRule="exact"/>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   招标文件获取日期：</w:t>
      </w:r>
      <w:r>
        <w:rPr>
          <w:rFonts w:hint="eastAsia" w:ascii="仿宋" w:hAnsi="仿宋" w:eastAsia="仿宋" w:cs="仿宋"/>
          <w:bCs/>
          <w:color w:val="auto"/>
          <w:sz w:val="24"/>
          <w:szCs w:val="24"/>
          <w:highlight w:val="none"/>
          <w:u w:val="single"/>
        </w:rPr>
        <w:t xml:space="preserve">                                   </w:t>
      </w:r>
    </w:p>
    <w:p w14:paraId="73E77E63">
      <w:pPr>
        <w:pStyle w:val="9"/>
        <w:spacing w:line="360" w:lineRule="exact"/>
        <w:ind w:left="25" w:leftChars="12"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□采购过程   </w:t>
      </w:r>
    </w:p>
    <w:p w14:paraId="68C7CFF7">
      <w:pPr>
        <w:pStyle w:val="9"/>
        <w:spacing w:line="360" w:lineRule="exact"/>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□中标结果   </w:t>
      </w:r>
    </w:p>
    <w:p w14:paraId="5457F921">
      <w:pPr>
        <w:pStyle w:val="9"/>
        <w:spacing w:line="360" w:lineRule="exact"/>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三、质疑事项具体内容</w:t>
      </w:r>
    </w:p>
    <w:p w14:paraId="0E4E5DA1">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质疑事项1：</w:t>
      </w:r>
      <w:r>
        <w:rPr>
          <w:rFonts w:hint="eastAsia" w:ascii="仿宋" w:hAnsi="仿宋" w:eastAsia="仿宋" w:cs="仿宋"/>
          <w:bCs/>
          <w:color w:val="auto"/>
          <w:sz w:val="24"/>
          <w:szCs w:val="24"/>
          <w:highlight w:val="none"/>
          <w:u w:val="single"/>
        </w:rPr>
        <w:t xml:space="preserve">                                                                    </w:t>
      </w:r>
    </w:p>
    <w:p w14:paraId="4363237C">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bCs/>
          <w:color w:val="auto"/>
          <w:sz w:val="24"/>
          <w:szCs w:val="24"/>
          <w:highlight w:val="none"/>
          <w:u w:val="single"/>
        </w:rPr>
        <w:t xml:space="preserve">                                                                      </w:t>
      </w:r>
    </w:p>
    <w:p w14:paraId="2C56D2B5">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u w:val="single"/>
        </w:rPr>
        <w:t xml:space="preserve">               </w:t>
      </w:r>
    </w:p>
    <w:p w14:paraId="17C3A9F6">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4B7E736F">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05EE1C35">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4188C68D">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4481328E">
      <w:pPr>
        <w:pStyle w:val="9"/>
        <w:spacing w:line="360" w:lineRule="exact"/>
        <w:ind w:left="25" w:leftChars="12" w:firstLine="352" w:firstLineChars="147"/>
        <w:rPr>
          <w:rFonts w:hint="eastAsia" w:ascii="仿宋" w:hAnsi="仿宋" w:eastAsia="仿宋" w:cs="仿宋"/>
          <w:color w:val="auto"/>
          <w:sz w:val="24"/>
          <w:szCs w:val="24"/>
          <w:highlight w:val="none"/>
        </w:rPr>
      </w:pPr>
    </w:p>
    <w:p w14:paraId="4C82B881">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7B373541">
      <w:pPr>
        <w:pStyle w:val="9"/>
        <w:spacing w:line="360" w:lineRule="exact"/>
        <w:ind w:left="25" w:leftChars="12" w:firstLine="352" w:firstLineChars="147"/>
        <w:rPr>
          <w:rFonts w:hint="eastAsia" w:ascii="仿宋" w:hAnsi="仿宋" w:eastAsia="仿宋" w:cs="仿宋"/>
          <w:color w:val="auto"/>
          <w:sz w:val="24"/>
          <w:szCs w:val="24"/>
          <w:highlight w:val="none"/>
        </w:rPr>
      </w:pPr>
    </w:p>
    <w:p w14:paraId="70BAB0AB">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0FD44E0B">
      <w:pPr>
        <w:pStyle w:val="9"/>
        <w:snapToGrid w:val="0"/>
        <w:spacing w:line="340" w:lineRule="exact"/>
        <w:rPr>
          <w:rFonts w:hint="eastAsia" w:ascii="仿宋" w:hAnsi="仿宋" w:eastAsia="仿宋" w:cs="仿宋"/>
          <w:b/>
          <w:color w:val="auto"/>
          <w:sz w:val="24"/>
          <w:szCs w:val="24"/>
          <w:highlight w:val="none"/>
        </w:rPr>
      </w:pPr>
    </w:p>
    <w:p w14:paraId="6EA14BC3">
      <w:pPr>
        <w:pStyle w:val="9"/>
        <w:snapToGrid w:val="0"/>
        <w:spacing w:line="3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12EBE3A5">
      <w:pPr>
        <w:pStyle w:val="9"/>
        <w:spacing w:line="340" w:lineRule="exact"/>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1.供应商提出质疑时，应提交质疑函和必要的证明材料</w:t>
      </w:r>
      <w:r>
        <w:rPr>
          <w:rFonts w:hint="eastAsia" w:ascii="仿宋" w:hAnsi="仿宋" w:eastAsia="仿宋" w:cs="仿宋"/>
          <w:b/>
          <w:bCs/>
          <w:color w:val="auto"/>
          <w:sz w:val="24"/>
          <w:szCs w:val="24"/>
          <w:highlight w:val="none"/>
        </w:rPr>
        <w:t>。</w:t>
      </w:r>
    </w:p>
    <w:p w14:paraId="75E5544C">
      <w:pPr>
        <w:pStyle w:val="9"/>
        <w:spacing w:line="3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2082E8D">
      <w:pPr>
        <w:pStyle w:val="9"/>
        <w:spacing w:line="3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3.质疑函的质疑事项应具体、明确，并有必要的事实依据和法律依据。</w:t>
      </w:r>
    </w:p>
    <w:p w14:paraId="1A24D123">
      <w:pPr>
        <w:pStyle w:val="9"/>
        <w:spacing w:line="3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4.质疑函的质疑请求应与质疑事项相关。</w:t>
      </w:r>
    </w:p>
    <w:p w14:paraId="225E89DF">
      <w:pPr>
        <w:pStyle w:val="9"/>
        <w:spacing w:line="3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5.质疑供应商为法人或者其他组织的，质疑函应由法定代表人、主要负责人，或者其授权代表签字或者盖章，并加盖公章。</w:t>
      </w:r>
    </w:p>
    <w:p w14:paraId="10549DAB">
      <w:pPr>
        <w:pStyle w:val="9"/>
        <w:snapToGrid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附表2：</w:t>
      </w:r>
    </w:p>
    <w:p w14:paraId="770B0BA1">
      <w:pPr>
        <w:spacing w:line="460" w:lineRule="exact"/>
        <w:jc w:val="center"/>
        <w:rPr>
          <w:rFonts w:hint="eastAsia" w:ascii="仿宋" w:hAnsi="仿宋" w:eastAsia="仿宋" w:cs="仿宋"/>
          <w:color w:val="auto"/>
          <w:sz w:val="44"/>
          <w:highlight w:val="none"/>
        </w:rPr>
      </w:pPr>
    </w:p>
    <w:p w14:paraId="0F74342A">
      <w:pPr>
        <w:spacing w:line="460" w:lineRule="exact"/>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rPr>
        <w:t>投诉书（格式）</w:t>
      </w:r>
    </w:p>
    <w:p w14:paraId="4A837E2A">
      <w:pPr>
        <w:pStyle w:val="9"/>
        <w:snapToGrid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一、投诉相关主体基本情况：</w:t>
      </w:r>
    </w:p>
    <w:p w14:paraId="592CB8E5">
      <w:pPr>
        <w:pStyle w:val="9"/>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投标人：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A6F1C3A">
      <w:pPr>
        <w:pStyle w:val="9"/>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1DED46CD">
      <w:pPr>
        <w:pStyle w:val="9"/>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法定代表人/主要负责人：</w:t>
      </w:r>
      <w:r>
        <w:rPr>
          <w:rFonts w:hint="eastAsia" w:ascii="仿宋" w:hAnsi="仿宋" w:eastAsia="仿宋" w:cs="仿宋"/>
          <w:bCs/>
          <w:color w:val="auto"/>
          <w:sz w:val="24"/>
          <w:szCs w:val="24"/>
          <w:highlight w:val="none"/>
          <w:u w:val="single"/>
        </w:rPr>
        <w:t xml:space="preserve">                                                         </w:t>
      </w:r>
    </w:p>
    <w:p w14:paraId="56C40DDE">
      <w:pPr>
        <w:pStyle w:val="9"/>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1825C90D">
      <w:pPr>
        <w:pStyle w:val="9"/>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授权代表：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5578F00">
      <w:pPr>
        <w:pStyle w:val="9"/>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475A8176">
      <w:pPr>
        <w:pStyle w:val="9"/>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被投诉人1：</w:t>
      </w:r>
    </w:p>
    <w:p w14:paraId="7618C0B4">
      <w:pPr>
        <w:pStyle w:val="9"/>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2EAE3DA5">
      <w:pPr>
        <w:pStyle w:val="9"/>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p>
    <w:p w14:paraId="00DC13D8">
      <w:pPr>
        <w:pStyle w:val="9"/>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被投诉人2：</w:t>
      </w:r>
    </w:p>
    <w:p w14:paraId="31D68C7D">
      <w:pPr>
        <w:pStyle w:val="9"/>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7016DB81">
      <w:pPr>
        <w:pStyle w:val="9"/>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相关供应商：</w:t>
      </w:r>
      <w:r>
        <w:rPr>
          <w:rFonts w:hint="eastAsia" w:ascii="仿宋" w:hAnsi="仿宋" w:eastAsia="仿宋" w:cs="仿宋"/>
          <w:bCs/>
          <w:color w:val="auto"/>
          <w:sz w:val="24"/>
          <w:szCs w:val="24"/>
          <w:highlight w:val="none"/>
          <w:u w:val="single"/>
        </w:rPr>
        <w:t xml:space="preserve">                                                                       </w:t>
      </w:r>
    </w:p>
    <w:p w14:paraId="383AC0E6">
      <w:pPr>
        <w:pStyle w:val="9"/>
        <w:snapToGrid w:val="0"/>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地址：</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邮编：</w:t>
      </w:r>
      <w:r>
        <w:rPr>
          <w:rFonts w:hint="eastAsia" w:ascii="仿宋" w:hAnsi="仿宋" w:eastAsia="仿宋" w:cs="仿宋"/>
          <w:bCs/>
          <w:color w:val="auto"/>
          <w:sz w:val="24"/>
          <w:szCs w:val="24"/>
          <w:highlight w:val="none"/>
          <w:u w:val="single"/>
        </w:rPr>
        <w:t xml:space="preserve">                         </w:t>
      </w:r>
    </w:p>
    <w:p w14:paraId="4E045DAB">
      <w:pPr>
        <w:pStyle w:val="9"/>
        <w:snapToGrid w:val="0"/>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联系电话：</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w:t>
      </w:r>
    </w:p>
    <w:p w14:paraId="3A4C6684">
      <w:pPr>
        <w:pStyle w:val="9"/>
        <w:snapToGrid w:val="0"/>
        <w:spacing w:line="40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二、投诉项目基本情况：</w:t>
      </w:r>
    </w:p>
    <w:p w14:paraId="13317CE7">
      <w:pPr>
        <w:pStyle w:val="9"/>
        <w:spacing w:line="40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项目的名称：</w:t>
      </w:r>
      <w:r>
        <w:rPr>
          <w:rFonts w:hint="eastAsia" w:ascii="仿宋" w:hAnsi="仿宋" w:eastAsia="仿宋" w:cs="仿宋"/>
          <w:bCs/>
          <w:color w:val="auto"/>
          <w:sz w:val="24"/>
          <w:szCs w:val="24"/>
          <w:highlight w:val="none"/>
          <w:u w:val="single"/>
        </w:rPr>
        <w:t xml:space="preserve">                                                                   </w:t>
      </w:r>
    </w:p>
    <w:p w14:paraId="7EA3446A">
      <w:pPr>
        <w:pStyle w:val="9"/>
        <w:spacing w:line="40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采购</w:t>
      </w:r>
      <w:r>
        <w:rPr>
          <w:rFonts w:hint="eastAsia" w:ascii="仿宋" w:hAnsi="仿宋" w:eastAsia="仿宋" w:cs="仿宋"/>
          <w:color w:val="auto"/>
          <w:sz w:val="24"/>
          <w:szCs w:val="24"/>
          <w:highlight w:val="none"/>
        </w:rPr>
        <w:t>项目的编号：</w:t>
      </w:r>
      <w:r>
        <w:rPr>
          <w:rFonts w:hint="eastAsia" w:ascii="仿宋" w:hAnsi="仿宋" w:eastAsia="仿宋" w:cs="仿宋"/>
          <w:bCs/>
          <w:color w:val="auto"/>
          <w:sz w:val="24"/>
          <w:szCs w:val="24"/>
          <w:highlight w:val="none"/>
          <w:u w:val="single"/>
        </w:rPr>
        <w:t xml:space="preserve">                                                           </w:t>
      </w:r>
    </w:p>
    <w:p w14:paraId="7CE7DB7E">
      <w:pPr>
        <w:pStyle w:val="9"/>
        <w:spacing w:line="400" w:lineRule="exact"/>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采购人名称：</w:t>
      </w:r>
      <w:r>
        <w:rPr>
          <w:rFonts w:hint="eastAsia" w:ascii="仿宋" w:hAnsi="仿宋" w:eastAsia="仿宋" w:cs="仿宋"/>
          <w:bCs/>
          <w:color w:val="auto"/>
          <w:sz w:val="24"/>
          <w:szCs w:val="24"/>
          <w:highlight w:val="none"/>
          <w:u w:val="single"/>
        </w:rPr>
        <w:t xml:space="preserve">                                                                        </w:t>
      </w:r>
    </w:p>
    <w:p w14:paraId="6C401F89">
      <w:pPr>
        <w:pStyle w:val="9"/>
        <w:spacing w:line="400" w:lineRule="exact"/>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代理机构名称：</w:t>
      </w:r>
      <w:r>
        <w:rPr>
          <w:rFonts w:hint="eastAsia" w:ascii="仿宋" w:hAnsi="仿宋" w:eastAsia="仿宋" w:cs="仿宋"/>
          <w:bCs/>
          <w:color w:val="auto"/>
          <w:sz w:val="24"/>
          <w:szCs w:val="24"/>
          <w:highlight w:val="none"/>
          <w:u w:val="single"/>
        </w:rPr>
        <w:t xml:space="preserve">                                                                      </w:t>
      </w:r>
    </w:p>
    <w:p w14:paraId="0C1E09EF">
      <w:pPr>
        <w:pStyle w:val="9"/>
        <w:spacing w:line="400" w:lineRule="exact"/>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eastAsia="zh-CN"/>
        </w:rPr>
        <w:t>招标文件</w:t>
      </w:r>
      <w:r>
        <w:rPr>
          <w:rFonts w:hint="eastAsia" w:ascii="仿宋" w:hAnsi="仿宋" w:eastAsia="仿宋" w:cs="仿宋"/>
          <w:bCs/>
          <w:color w:val="auto"/>
          <w:sz w:val="24"/>
          <w:szCs w:val="24"/>
          <w:highlight w:val="none"/>
        </w:rPr>
        <w:t>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370BB49A">
      <w:pPr>
        <w:pStyle w:val="9"/>
        <w:spacing w:line="400" w:lineRule="exact"/>
        <w:ind w:left="25" w:leftChars="12" w:firstLine="472" w:firstLineChars="197"/>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采购结果公告：</w:t>
      </w:r>
      <w:r>
        <w:rPr>
          <w:rFonts w:hint="eastAsia" w:ascii="仿宋" w:hAnsi="仿宋" w:eastAsia="仿宋" w:cs="仿宋"/>
          <w:bCs/>
          <w:color w:val="auto"/>
          <w:sz w:val="24"/>
          <w:szCs w:val="24"/>
          <w:highlight w:val="none"/>
          <w:u w:val="single"/>
        </w:rPr>
        <w:t>是/否</w:t>
      </w:r>
      <w:r>
        <w:rPr>
          <w:rFonts w:hint="eastAsia" w:ascii="仿宋" w:hAnsi="仿宋" w:eastAsia="仿宋" w:cs="仿宋"/>
          <w:bCs/>
          <w:color w:val="auto"/>
          <w:sz w:val="24"/>
          <w:szCs w:val="24"/>
          <w:highlight w:val="none"/>
        </w:rPr>
        <w:t>公告期限：</w:t>
      </w:r>
      <w:r>
        <w:rPr>
          <w:rFonts w:hint="eastAsia" w:ascii="仿宋" w:hAnsi="仿宋" w:eastAsia="仿宋" w:cs="仿宋"/>
          <w:bCs/>
          <w:color w:val="auto"/>
          <w:sz w:val="24"/>
          <w:szCs w:val="24"/>
          <w:highlight w:val="none"/>
          <w:u w:val="single"/>
        </w:rPr>
        <w:t xml:space="preserve">                                                       </w:t>
      </w:r>
    </w:p>
    <w:p w14:paraId="2676D914">
      <w:pPr>
        <w:pStyle w:val="9"/>
        <w:spacing w:line="400" w:lineRule="exact"/>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三、质疑基本情况</w:t>
      </w:r>
    </w:p>
    <w:p w14:paraId="5DF758BE">
      <w:pPr>
        <w:pStyle w:val="9"/>
        <w:spacing w:line="400" w:lineRule="exact"/>
        <w:ind w:left="25" w:leftChars="12" w:firstLine="952" w:firstLineChars="3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提出质疑，质疑事项为：</w:t>
      </w:r>
    </w:p>
    <w:p w14:paraId="5CD7AEFC">
      <w:pPr>
        <w:pStyle w:val="9"/>
        <w:spacing w:line="400" w:lineRule="exact"/>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217DC349">
      <w:pPr>
        <w:pStyle w:val="9"/>
        <w:spacing w:line="400" w:lineRule="exac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061E1DC0">
      <w:pPr>
        <w:pStyle w:val="9"/>
        <w:spacing w:line="400" w:lineRule="exac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采购人/代理机构</w:t>
      </w:r>
      <w:r>
        <w:rPr>
          <w:rFonts w:hint="eastAsia" w:ascii="仿宋" w:hAnsi="仿宋" w:eastAsia="仿宋" w:cs="仿宋"/>
          <w:bCs/>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bCs/>
          <w:color w:val="auto"/>
          <w:sz w:val="24"/>
          <w:szCs w:val="24"/>
          <w:highlight w:val="none"/>
        </w:rPr>
        <w:t xml:space="preserve">就质疑事项作出了答复/没有在法定期限内作出答复。                                                                                             </w:t>
      </w:r>
    </w:p>
    <w:p w14:paraId="6D99BB37">
      <w:pPr>
        <w:pStyle w:val="9"/>
        <w:spacing w:line="400" w:lineRule="exact"/>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四、投诉事项具体内容</w:t>
      </w:r>
    </w:p>
    <w:p w14:paraId="5A4D31AC">
      <w:pPr>
        <w:pStyle w:val="9"/>
        <w:spacing w:line="400" w:lineRule="exact"/>
        <w:ind w:left="25" w:leftChars="12" w:firstLine="472" w:firstLineChars="197"/>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投诉事项1：</w:t>
      </w:r>
      <w:r>
        <w:rPr>
          <w:rFonts w:hint="eastAsia" w:ascii="仿宋" w:hAnsi="仿宋" w:eastAsia="仿宋" w:cs="仿宋"/>
          <w:bCs/>
          <w:color w:val="auto"/>
          <w:sz w:val="24"/>
          <w:szCs w:val="24"/>
          <w:highlight w:val="none"/>
          <w:u w:val="single"/>
        </w:rPr>
        <w:t xml:space="preserve">                                                                           </w:t>
      </w:r>
    </w:p>
    <w:p w14:paraId="36B1AE55">
      <w:pPr>
        <w:pStyle w:val="9"/>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事实依据：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70461AC1">
      <w:pPr>
        <w:pStyle w:val="9"/>
        <w:spacing w:line="40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u w:val="single"/>
        </w:rPr>
        <w:t xml:space="preserve">                                                                                        </w:t>
      </w:r>
    </w:p>
    <w:p w14:paraId="31D534B8">
      <w:pPr>
        <w:pStyle w:val="9"/>
        <w:spacing w:line="400" w:lineRule="exact"/>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法律依据：</w:t>
      </w:r>
      <w:r>
        <w:rPr>
          <w:rFonts w:hint="eastAsia" w:ascii="仿宋" w:hAnsi="仿宋" w:eastAsia="仿宋" w:cs="仿宋"/>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39B7514A">
      <w:pPr>
        <w:pStyle w:val="9"/>
        <w:spacing w:line="400" w:lineRule="exact"/>
        <w:ind w:left="25" w:leftChars="12" w:firstLine="352" w:firstLineChars="147"/>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u w:val="single"/>
        </w:rPr>
        <w:t xml:space="preserve">                                                                                        </w:t>
      </w:r>
    </w:p>
    <w:p w14:paraId="32CA77E1">
      <w:pPr>
        <w:pStyle w:val="9"/>
        <w:spacing w:line="400" w:lineRule="exact"/>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投诉事项2  </w:t>
      </w:r>
      <w:r>
        <w:rPr>
          <w:rFonts w:hint="eastAsia" w:ascii="仿宋" w:hAnsi="仿宋" w:eastAsia="仿宋" w:cs="仿宋"/>
          <w:bCs/>
          <w:color w:val="auto"/>
          <w:sz w:val="24"/>
          <w:szCs w:val="24"/>
          <w:highlight w:val="none"/>
        </w:rPr>
        <w:t xml:space="preserve">   </w:t>
      </w:r>
    </w:p>
    <w:p w14:paraId="23833A5A">
      <w:pPr>
        <w:pStyle w:val="9"/>
        <w:spacing w:line="400" w:lineRule="exact"/>
        <w:ind w:left="25" w:leftChars="12" w:firstLine="472" w:firstLineChars="197"/>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p>
    <w:p w14:paraId="5A2825B3">
      <w:pPr>
        <w:pStyle w:val="9"/>
        <w:spacing w:line="400" w:lineRule="exact"/>
        <w:ind w:left="25" w:leftChars="12"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五、与投诉事项相关的投诉请求：</w:t>
      </w:r>
    </w:p>
    <w:p w14:paraId="013C8A24">
      <w:pPr>
        <w:pStyle w:val="9"/>
        <w:spacing w:line="40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请求：</w:t>
      </w:r>
      <w:r>
        <w:rPr>
          <w:rFonts w:hint="eastAsia" w:ascii="仿宋" w:hAnsi="仿宋" w:eastAsia="仿宋" w:cs="仿宋"/>
          <w:bCs/>
          <w:color w:val="auto"/>
          <w:sz w:val="24"/>
          <w:szCs w:val="24"/>
          <w:highlight w:val="none"/>
          <w:u w:val="single"/>
        </w:rPr>
        <w:t xml:space="preserve">                                                                                 </w:t>
      </w:r>
    </w:p>
    <w:p w14:paraId="0FDF1289">
      <w:pPr>
        <w:pStyle w:val="9"/>
        <w:spacing w:line="400" w:lineRule="exact"/>
        <w:ind w:left="25" w:leftChars="12" w:firstLine="352" w:firstLineChars="147"/>
        <w:rPr>
          <w:rFonts w:hint="eastAsia" w:ascii="仿宋" w:hAnsi="仿宋" w:eastAsia="仿宋" w:cs="仿宋"/>
          <w:color w:val="auto"/>
          <w:sz w:val="24"/>
          <w:szCs w:val="24"/>
          <w:highlight w:val="none"/>
        </w:rPr>
      </w:pPr>
    </w:p>
    <w:p w14:paraId="59880F5A">
      <w:pPr>
        <w:pStyle w:val="9"/>
        <w:spacing w:line="40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签字（签章）：                                       公章：</w:t>
      </w:r>
    </w:p>
    <w:p w14:paraId="5CB36EDA">
      <w:pPr>
        <w:pStyle w:val="9"/>
        <w:spacing w:line="400" w:lineRule="exact"/>
        <w:ind w:left="25" w:leftChars="12" w:firstLine="352" w:firstLineChars="147"/>
        <w:rPr>
          <w:rFonts w:hint="eastAsia" w:ascii="仿宋" w:hAnsi="仿宋" w:eastAsia="仿宋" w:cs="仿宋"/>
          <w:color w:val="auto"/>
          <w:sz w:val="24"/>
          <w:szCs w:val="24"/>
          <w:highlight w:val="none"/>
        </w:rPr>
      </w:pPr>
    </w:p>
    <w:p w14:paraId="6CF440D2">
      <w:pPr>
        <w:pStyle w:val="9"/>
        <w:spacing w:line="40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3EC94730">
      <w:pPr>
        <w:pStyle w:val="9"/>
        <w:spacing w:line="360" w:lineRule="exact"/>
        <w:ind w:left="25" w:leftChars="12" w:firstLine="472" w:firstLineChars="197"/>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p>
    <w:p w14:paraId="7BB30560">
      <w:pPr>
        <w:pStyle w:val="9"/>
        <w:snapToGrid w:val="0"/>
        <w:spacing w:line="340" w:lineRule="exact"/>
        <w:rPr>
          <w:rFonts w:hint="eastAsia" w:ascii="仿宋" w:hAnsi="仿宋" w:eastAsia="仿宋" w:cs="仿宋"/>
          <w:b/>
          <w:color w:val="auto"/>
          <w:sz w:val="24"/>
          <w:szCs w:val="24"/>
          <w:highlight w:val="none"/>
        </w:rPr>
      </w:pPr>
    </w:p>
    <w:p w14:paraId="5C201BF6">
      <w:pPr>
        <w:pStyle w:val="9"/>
        <w:snapToGrid w:val="0"/>
        <w:spacing w:line="3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p w14:paraId="4BE6BC5B">
      <w:pPr>
        <w:pStyle w:val="9"/>
        <w:spacing w:line="340" w:lineRule="exact"/>
        <w:ind w:left="25" w:leftChars="12" w:firstLine="354" w:firstLineChars="147"/>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1.投诉人提起投诉时，应当提交投诉书和必要的证明材料，并按照被投诉人和与投诉事项有关的供应商数量提供投诉书副本</w:t>
      </w:r>
      <w:r>
        <w:rPr>
          <w:rFonts w:hint="eastAsia" w:ascii="仿宋" w:hAnsi="仿宋" w:eastAsia="仿宋" w:cs="仿宋"/>
          <w:b/>
          <w:bCs/>
          <w:color w:val="auto"/>
          <w:sz w:val="24"/>
          <w:szCs w:val="24"/>
          <w:highlight w:val="none"/>
        </w:rPr>
        <w:t>。</w:t>
      </w:r>
    </w:p>
    <w:p w14:paraId="4C96F2C1">
      <w:pPr>
        <w:pStyle w:val="9"/>
        <w:spacing w:line="3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408C69E">
      <w:pPr>
        <w:pStyle w:val="9"/>
        <w:spacing w:line="3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3.投诉书应简要列明质疑事项，质疑函、质疑答复等作为附件材料提供。</w:t>
      </w:r>
    </w:p>
    <w:p w14:paraId="05667844">
      <w:pPr>
        <w:pStyle w:val="9"/>
        <w:spacing w:line="3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4.投诉书的投诉事项应具体、明确，并有必要的事实依据和法律依据。</w:t>
      </w:r>
    </w:p>
    <w:p w14:paraId="3B8EB183">
      <w:pPr>
        <w:pStyle w:val="9"/>
        <w:spacing w:line="3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5.投诉书的投诉请求应与投诉事项相关。</w:t>
      </w:r>
    </w:p>
    <w:p w14:paraId="7B93693A">
      <w:pPr>
        <w:pStyle w:val="9"/>
        <w:spacing w:line="340" w:lineRule="exact"/>
        <w:ind w:left="25" w:leftChars="12" w:firstLine="354" w:firstLineChars="147"/>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6.投诉人为法人或者其他组织的，投诉书应由法定代表人、主要负责人，或者其授权代表签字或者盖章，并加盖公章。</w:t>
      </w:r>
    </w:p>
    <w:p w14:paraId="79DFD0AC">
      <w:pPr>
        <w:pStyle w:val="9"/>
        <w:spacing w:line="340" w:lineRule="exact"/>
        <w:ind w:left="25" w:leftChars="12" w:firstLine="310" w:firstLineChars="147"/>
        <w:rPr>
          <w:rFonts w:hint="eastAsia" w:ascii="仿宋" w:hAnsi="仿宋" w:eastAsia="仿宋" w:cs="仿宋"/>
          <w:b/>
          <w:color w:val="auto"/>
          <w:szCs w:val="21"/>
          <w:highlight w:val="none"/>
        </w:rPr>
      </w:pPr>
    </w:p>
    <w:p w14:paraId="70999C1D">
      <w:pPr>
        <w:pStyle w:val="19"/>
        <w:rPr>
          <w:rFonts w:hint="eastAsia" w:ascii="仿宋" w:hAnsi="仿宋" w:eastAsia="仿宋" w:cs="仿宋"/>
          <w:color w:val="auto"/>
          <w:highlight w:val="none"/>
        </w:rPr>
      </w:pPr>
    </w:p>
    <w:p w14:paraId="1C67538B">
      <w:pPr>
        <w:pStyle w:val="19"/>
        <w:rPr>
          <w:rFonts w:hint="eastAsia" w:ascii="仿宋" w:hAnsi="仿宋" w:eastAsia="仿宋" w:cs="仿宋"/>
          <w:color w:val="auto"/>
          <w:highlight w:val="none"/>
        </w:rPr>
      </w:pPr>
    </w:p>
    <w:p w14:paraId="04284154">
      <w:pPr>
        <w:pStyle w:val="19"/>
        <w:rPr>
          <w:rFonts w:hint="eastAsia" w:ascii="仿宋" w:hAnsi="仿宋" w:eastAsia="仿宋" w:cs="仿宋"/>
          <w:color w:val="auto"/>
          <w:highlight w:val="none"/>
        </w:rPr>
      </w:pPr>
    </w:p>
    <w:p w14:paraId="440D0FA5">
      <w:pPr>
        <w:pStyle w:val="19"/>
        <w:rPr>
          <w:rFonts w:hint="eastAsia" w:ascii="仿宋" w:hAnsi="仿宋" w:eastAsia="仿宋" w:cs="仿宋"/>
          <w:color w:val="auto"/>
          <w:highlight w:val="none"/>
        </w:rPr>
      </w:pPr>
    </w:p>
    <w:p w14:paraId="5DD47FB6">
      <w:pPr>
        <w:pStyle w:val="9"/>
        <w:snapToGrid w:val="0"/>
        <w:rPr>
          <w:rFonts w:hint="eastAsia" w:ascii="仿宋" w:hAnsi="仿宋" w:eastAsia="仿宋" w:cs="仿宋"/>
          <w:b/>
          <w:color w:val="auto"/>
          <w:sz w:val="24"/>
          <w:szCs w:val="24"/>
          <w:highlight w:val="none"/>
        </w:rPr>
      </w:pPr>
    </w:p>
    <w:p w14:paraId="1A75E664">
      <w:pPr>
        <w:pStyle w:val="9"/>
        <w:snapToGrid w:val="0"/>
        <w:rPr>
          <w:rFonts w:hint="eastAsia" w:ascii="仿宋" w:hAnsi="仿宋" w:eastAsia="仿宋" w:cs="仿宋"/>
          <w:b/>
          <w:color w:val="auto"/>
          <w:sz w:val="24"/>
          <w:szCs w:val="24"/>
          <w:highlight w:val="none"/>
        </w:rPr>
      </w:pPr>
    </w:p>
    <w:p w14:paraId="3349130E">
      <w:pPr>
        <w:pStyle w:val="9"/>
        <w:snapToGrid w:val="0"/>
        <w:rPr>
          <w:rFonts w:hint="eastAsia" w:ascii="仿宋" w:hAnsi="仿宋" w:eastAsia="仿宋" w:cs="仿宋"/>
          <w:b/>
          <w:color w:val="auto"/>
          <w:sz w:val="24"/>
          <w:szCs w:val="24"/>
          <w:highlight w:val="none"/>
        </w:rPr>
      </w:pPr>
    </w:p>
    <w:p w14:paraId="16DC3B33">
      <w:pPr>
        <w:pStyle w:val="9"/>
        <w:snapToGrid w:val="0"/>
        <w:rPr>
          <w:rFonts w:hint="eastAsia" w:ascii="仿宋" w:hAnsi="仿宋" w:eastAsia="仿宋" w:cs="仿宋"/>
          <w:b/>
          <w:color w:val="auto"/>
          <w:sz w:val="24"/>
          <w:szCs w:val="24"/>
          <w:highlight w:val="none"/>
        </w:rPr>
      </w:pPr>
    </w:p>
    <w:p w14:paraId="182AD0C5">
      <w:pPr>
        <w:pStyle w:val="9"/>
        <w:snapToGrid w:val="0"/>
        <w:rPr>
          <w:rFonts w:hint="eastAsia" w:ascii="仿宋" w:hAnsi="仿宋" w:eastAsia="仿宋" w:cs="仿宋"/>
          <w:b/>
          <w:color w:val="auto"/>
          <w:sz w:val="24"/>
          <w:szCs w:val="24"/>
          <w:highlight w:val="none"/>
        </w:rPr>
      </w:pPr>
    </w:p>
    <w:p w14:paraId="331B386F">
      <w:pPr>
        <w:pStyle w:val="9"/>
        <w:snapToGrid w:val="0"/>
        <w:rPr>
          <w:rFonts w:hint="eastAsia" w:ascii="仿宋" w:hAnsi="仿宋" w:eastAsia="仿宋" w:cs="仿宋"/>
          <w:b/>
          <w:color w:val="auto"/>
          <w:sz w:val="24"/>
          <w:szCs w:val="24"/>
          <w:highlight w:val="none"/>
        </w:rPr>
      </w:pPr>
    </w:p>
    <w:p w14:paraId="0F7A519D">
      <w:pPr>
        <w:pStyle w:val="9"/>
        <w:snapToGrid w:val="0"/>
        <w:rPr>
          <w:rFonts w:hint="eastAsia" w:ascii="仿宋" w:hAnsi="仿宋" w:eastAsia="仿宋" w:cs="仿宋"/>
          <w:b/>
          <w:color w:val="auto"/>
          <w:sz w:val="24"/>
          <w:szCs w:val="24"/>
          <w:highlight w:val="none"/>
        </w:rPr>
      </w:pPr>
    </w:p>
    <w:p w14:paraId="4834CDD2">
      <w:pPr>
        <w:pStyle w:val="9"/>
        <w:snapToGrid w:val="0"/>
        <w:rPr>
          <w:rFonts w:hint="eastAsia" w:ascii="仿宋" w:hAnsi="仿宋" w:eastAsia="仿宋" w:cs="仿宋"/>
          <w:b/>
          <w:color w:val="auto"/>
          <w:sz w:val="24"/>
          <w:szCs w:val="24"/>
          <w:highlight w:val="none"/>
        </w:rPr>
      </w:pPr>
    </w:p>
    <w:p w14:paraId="4A58B9C9">
      <w:pPr>
        <w:pStyle w:val="9"/>
        <w:snapToGrid w:val="0"/>
        <w:rPr>
          <w:rFonts w:hint="eastAsia" w:ascii="仿宋" w:hAnsi="仿宋" w:eastAsia="仿宋" w:cs="仿宋"/>
          <w:b/>
          <w:color w:val="auto"/>
          <w:sz w:val="24"/>
          <w:szCs w:val="24"/>
          <w:highlight w:val="none"/>
        </w:rPr>
      </w:pPr>
    </w:p>
    <w:p w14:paraId="6C82D61F">
      <w:pPr>
        <w:pStyle w:val="9"/>
        <w:snapToGrid w:val="0"/>
        <w:rPr>
          <w:rFonts w:hint="eastAsia" w:ascii="仿宋" w:hAnsi="仿宋" w:eastAsia="仿宋" w:cs="仿宋"/>
          <w:b/>
          <w:color w:val="auto"/>
          <w:sz w:val="24"/>
          <w:szCs w:val="24"/>
          <w:highlight w:val="none"/>
        </w:rPr>
      </w:pPr>
    </w:p>
    <w:p w14:paraId="569F9E01">
      <w:pPr>
        <w:pStyle w:val="9"/>
        <w:snapToGrid w:val="0"/>
        <w:rPr>
          <w:rFonts w:hint="eastAsia" w:ascii="仿宋" w:hAnsi="仿宋" w:eastAsia="仿宋" w:cs="仿宋"/>
          <w:b/>
          <w:color w:val="auto"/>
          <w:sz w:val="24"/>
          <w:szCs w:val="24"/>
          <w:highlight w:val="none"/>
        </w:rPr>
      </w:pPr>
    </w:p>
    <w:p w14:paraId="53B597AD">
      <w:pPr>
        <w:pStyle w:val="9"/>
        <w:snapToGrid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附表3：</w:t>
      </w:r>
    </w:p>
    <w:p w14:paraId="0606511C">
      <w:pPr>
        <w:spacing w:line="460" w:lineRule="exact"/>
        <w:jc w:val="center"/>
        <w:rPr>
          <w:rFonts w:hint="eastAsia" w:ascii="仿宋" w:hAnsi="仿宋" w:eastAsia="仿宋" w:cs="仿宋"/>
          <w:color w:val="auto"/>
          <w:sz w:val="44"/>
          <w:highlight w:val="none"/>
        </w:rPr>
      </w:pPr>
    </w:p>
    <w:p w14:paraId="1DA4017E">
      <w:pPr>
        <w:spacing w:line="460" w:lineRule="exact"/>
        <w:jc w:val="center"/>
        <w:rPr>
          <w:rFonts w:hint="eastAsia" w:ascii="仿宋" w:hAnsi="仿宋" w:eastAsia="仿宋" w:cs="仿宋"/>
          <w:color w:val="auto"/>
          <w:sz w:val="44"/>
          <w:highlight w:val="none"/>
        </w:rPr>
      </w:pPr>
      <w:r>
        <w:rPr>
          <w:rFonts w:hint="eastAsia" w:ascii="仿宋" w:hAnsi="仿宋" w:eastAsia="仿宋" w:cs="仿宋"/>
          <w:b/>
          <w:bCs/>
          <w:color w:val="auto"/>
          <w:sz w:val="44"/>
          <w:highlight w:val="none"/>
        </w:rPr>
        <w:t>政府采购项目合同验收书（格式）</w:t>
      </w:r>
    </w:p>
    <w:p w14:paraId="3F8BAD99">
      <w:pPr>
        <w:widowControl/>
        <w:spacing w:line="600" w:lineRule="atLeast"/>
        <w:jc w:val="center"/>
        <w:rPr>
          <w:rFonts w:hint="eastAsia" w:ascii="仿宋" w:hAnsi="仿宋" w:eastAsia="仿宋" w:cs="仿宋"/>
          <w:color w:val="auto"/>
          <w:kern w:val="0"/>
          <w:sz w:val="36"/>
          <w:szCs w:val="36"/>
          <w:highlight w:val="none"/>
        </w:rPr>
      </w:pPr>
    </w:p>
    <w:p w14:paraId="75FBDA3C">
      <w:pPr>
        <w:widowControl/>
        <w:spacing w:line="460" w:lineRule="exact"/>
        <w:ind w:firstLine="482"/>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24"/>
          <w:highlight w:val="none"/>
        </w:rPr>
        <w:t>根据政府采购项目（</w:t>
      </w:r>
      <w:r>
        <w:rPr>
          <w:rFonts w:hint="eastAsia" w:ascii="仿宋" w:hAnsi="仿宋" w:eastAsia="仿宋" w:cs="仿宋"/>
          <w:color w:val="auto"/>
          <w:kern w:val="0"/>
          <w:sz w:val="24"/>
          <w:highlight w:val="none"/>
          <w:u w:val="single"/>
        </w:rPr>
        <w:t>采购合同编号：</w:t>
      </w:r>
      <w:r>
        <w:rPr>
          <w:rFonts w:hint="eastAsia" w:ascii="仿宋" w:hAnsi="仿宋" w:eastAsia="仿宋" w:cs="仿宋"/>
          <w:color w:val="auto"/>
          <w:kern w:val="0"/>
          <w:sz w:val="24"/>
          <w:highlight w:val="none"/>
          <w:u w:val="single"/>
        </w:rPr>
        <w:softHyphen/>
      </w:r>
      <w:r>
        <w:rPr>
          <w:rFonts w:hint="eastAsia" w:ascii="仿宋" w:hAnsi="仿宋" w:eastAsia="仿宋" w:cs="仿宋"/>
          <w:color w:val="auto"/>
          <w:kern w:val="0"/>
          <w:sz w:val="24"/>
          <w:highlight w:val="none"/>
          <w:u w:val="single"/>
        </w:rPr>
        <w:t>   </w:t>
      </w:r>
      <w:r>
        <w:rPr>
          <w:rFonts w:hint="eastAsia" w:ascii="仿宋" w:hAnsi="仿宋" w:eastAsia="仿宋" w:cs="仿宋"/>
          <w:color w:val="auto"/>
          <w:kern w:val="0"/>
          <w:sz w:val="24"/>
          <w:highlight w:val="none"/>
        </w:rPr>
        <w:t>）的约定，我单位对（</w:t>
      </w:r>
      <w:r>
        <w:rPr>
          <w:rFonts w:hint="eastAsia" w:ascii="仿宋" w:hAnsi="仿宋" w:eastAsia="仿宋" w:cs="仿宋"/>
          <w:color w:val="auto"/>
          <w:kern w:val="0"/>
          <w:sz w:val="24"/>
          <w:highlight w:val="none"/>
          <w:u w:val="single"/>
        </w:rPr>
        <w:t> 项目名称   </w:t>
      </w:r>
      <w:r>
        <w:rPr>
          <w:rFonts w:hint="eastAsia" w:ascii="仿宋" w:hAnsi="仿宋" w:eastAsia="仿宋" w:cs="仿宋"/>
          <w:color w:val="auto"/>
          <w:kern w:val="0"/>
          <w:sz w:val="24"/>
          <w:highlight w:val="none"/>
        </w:rPr>
        <w:t>）政府采购项目中标（或成交）供应商（</w:t>
      </w:r>
      <w:r>
        <w:rPr>
          <w:rFonts w:hint="eastAsia" w:ascii="仿宋" w:hAnsi="仿宋" w:eastAsia="仿宋" w:cs="仿宋"/>
          <w:color w:val="auto"/>
          <w:kern w:val="0"/>
          <w:sz w:val="24"/>
          <w:highlight w:val="none"/>
          <w:u w:val="single"/>
        </w:rPr>
        <w:t>      公司名称         </w:t>
      </w:r>
      <w:r>
        <w:rPr>
          <w:rFonts w:hint="eastAsia" w:ascii="仿宋" w:hAnsi="仿宋" w:eastAsia="仿宋" w:cs="仿宋"/>
          <w:color w:val="auto"/>
          <w:kern w:val="0"/>
          <w:sz w:val="24"/>
          <w:highlight w:val="none"/>
        </w:rPr>
        <w:t>） 提供的服务进行了验收，验收情况如下：</w:t>
      </w:r>
    </w:p>
    <w:tbl>
      <w:tblPr>
        <w:tblStyle w:val="16"/>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6FE1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611F89AB">
            <w:pPr>
              <w:widowControl/>
              <w:spacing w:line="320" w:lineRule="atLeast"/>
              <w:ind w:firstLine="5"/>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验收方式：</w:t>
            </w:r>
          </w:p>
        </w:tc>
        <w:tc>
          <w:tcPr>
            <w:tcW w:w="5806" w:type="dxa"/>
            <w:gridSpan w:val="5"/>
            <w:noWrap w:val="0"/>
            <w:vAlign w:val="center"/>
          </w:tcPr>
          <w:p w14:paraId="6F2F1A2B">
            <w:pPr>
              <w:widowControl/>
              <w:spacing w:line="320" w:lineRule="atLeast"/>
              <w:ind w:firstLine="480"/>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□自行验收        □委托验收</w:t>
            </w:r>
          </w:p>
        </w:tc>
      </w:tr>
      <w:tr w14:paraId="7DA5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2144D0C3">
            <w:pPr>
              <w:widowControl/>
              <w:spacing w:line="320" w:lineRule="atLeast"/>
              <w:ind w:firstLine="2"/>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序号</w:t>
            </w:r>
          </w:p>
        </w:tc>
        <w:tc>
          <w:tcPr>
            <w:tcW w:w="2294" w:type="dxa"/>
            <w:noWrap w:val="0"/>
            <w:vAlign w:val="center"/>
          </w:tcPr>
          <w:p w14:paraId="5E910109">
            <w:pPr>
              <w:widowControl/>
              <w:spacing w:line="320" w:lineRule="atLeast"/>
              <w:ind w:firstLine="2"/>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名 称</w:t>
            </w:r>
          </w:p>
        </w:tc>
        <w:tc>
          <w:tcPr>
            <w:tcW w:w="3441" w:type="dxa"/>
            <w:gridSpan w:val="2"/>
            <w:noWrap w:val="0"/>
            <w:vAlign w:val="center"/>
          </w:tcPr>
          <w:p w14:paraId="0C823708">
            <w:pPr>
              <w:widowControl/>
              <w:spacing w:line="320" w:lineRule="atLeast"/>
              <w:ind w:firstLine="2"/>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货物型号规格、标准及配置等</w:t>
            </w:r>
          </w:p>
          <w:p w14:paraId="6B058F6A">
            <w:pPr>
              <w:widowControl/>
              <w:spacing w:line="320" w:lineRule="atLeast"/>
              <w:ind w:firstLine="2"/>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（或服务内容、标准）</w:t>
            </w:r>
          </w:p>
        </w:tc>
        <w:tc>
          <w:tcPr>
            <w:tcW w:w="998" w:type="dxa"/>
            <w:gridSpan w:val="2"/>
            <w:noWrap w:val="0"/>
            <w:vAlign w:val="center"/>
          </w:tcPr>
          <w:p w14:paraId="7E011C28">
            <w:pPr>
              <w:widowControl/>
              <w:spacing w:line="320" w:lineRule="atLeast"/>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数量</w:t>
            </w:r>
          </w:p>
        </w:tc>
        <w:tc>
          <w:tcPr>
            <w:tcW w:w="1367" w:type="dxa"/>
            <w:noWrap w:val="0"/>
            <w:vAlign w:val="center"/>
          </w:tcPr>
          <w:p w14:paraId="5A38C058">
            <w:pPr>
              <w:widowControl/>
              <w:spacing w:line="320" w:lineRule="atLeast"/>
              <w:ind w:firstLine="2"/>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金 额</w:t>
            </w:r>
          </w:p>
        </w:tc>
      </w:tr>
      <w:tr w14:paraId="48EF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61C87044">
            <w:pPr>
              <w:widowControl/>
              <w:spacing w:line="320" w:lineRule="atLeast"/>
              <w:ind w:firstLine="5"/>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2294" w:type="dxa"/>
            <w:noWrap w:val="0"/>
            <w:vAlign w:val="center"/>
          </w:tcPr>
          <w:p w14:paraId="6D64EE51">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3441" w:type="dxa"/>
            <w:gridSpan w:val="2"/>
            <w:noWrap w:val="0"/>
            <w:vAlign w:val="center"/>
          </w:tcPr>
          <w:p w14:paraId="3080C13D">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998" w:type="dxa"/>
            <w:gridSpan w:val="2"/>
            <w:noWrap w:val="0"/>
            <w:vAlign w:val="center"/>
          </w:tcPr>
          <w:p w14:paraId="7DECE0CD">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1367" w:type="dxa"/>
            <w:noWrap w:val="0"/>
            <w:vAlign w:val="center"/>
          </w:tcPr>
          <w:p w14:paraId="512FA8DF">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6A9D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5CA3244B">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2294" w:type="dxa"/>
            <w:noWrap w:val="0"/>
            <w:vAlign w:val="center"/>
          </w:tcPr>
          <w:p w14:paraId="5C8D0B0C">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3441" w:type="dxa"/>
            <w:gridSpan w:val="2"/>
            <w:noWrap w:val="0"/>
            <w:vAlign w:val="center"/>
          </w:tcPr>
          <w:p w14:paraId="5E2C31A9">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998" w:type="dxa"/>
            <w:gridSpan w:val="2"/>
            <w:noWrap w:val="0"/>
            <w:vAlign w:val="center"/>
          </w:tcPr>
          <w:p w14:paraId="05144667">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1367" w:type="dxa"/>
            <w:noWrap w:val="0"/>
            <w:vAlign w:val="center"/>
          </w:tcPr>
          <w:p w14:paraId="6A60ED32">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7E30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39ADF044">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2294" w:type="dxa"/>
            <w:noWrap w:val="0"/>
            <w:vAlign w:val="center"/>
          </w:tcPr>
          <w:p w14:paraId="60768778">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3441" w:type="dxa"/>
            <w:gridSpan w:val="2"/>
            <w:noWrap w:val="0"/>
            <w:vAlign w:val="center"/>
          </w:tcPr>
          <w:p w14:paraId="7A275169">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998" w:type="dxa"/>
            <w:gridSpan w:val="2"/>
            <w:noWrap w:val="0"/>
            <w:vAlign w:val="center"/>
          </w:tcPr>
          <w:p w14:paraId="2883A817">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1367" w:type="dxa"/>
            <w:noWrap w:val="0"/>
            <w:vAlign w:val="center"/>
          </w:tcPr>
          <w:p w14:paraId="2D2EA746">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1558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5C38AE0E">
            <w:pPr>
              <w:widowControl/>
              <w:spacing w:line="320" w:lineRule="atLeast"/>
              <w:ind w:firstLine="5"/>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合       计</w:t>
            </w:r>
          </w:p>
        </w:tc>
        <w:tc>
          <w:tcPr>
            <w:tcW w:w="998" w:type="dxa"/>
            <w:gridSpan w:val="2"/>
            <w:noWrap w:val="0"/>
            <w:vAlign w:val="center"/>
          </w:tcPr>
          <w:p w14:paraId="5C5A5E26">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1367" w:type="dxa"/>
            <w:noWrap w:val="0"/>
            <w:vAlign w:val="center"/>
          </w:tcPr>
          <w:p w14:paraId="73405BC2">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70F6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noWrap w:val="0"/>
            <w:vAlign w:val="center"/>
          </w:tcPr>
          <w:p w14:paraId="445BAA51">
            <w:pPr>
              <w:widowControl/>
              <w:spacing w:line="320" w:lineRule="atLeast"/>
              <w:ind w:firstLine="2"/>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合计大写金额：  仟   佰   拾   万   仟   佰   拾   元</w:t>
            </w:r>
          </w:p>
        </w:tc>
      </w:tr>
      <w:tr w14:paraId="1BEC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677C8DD7">
            <w:pPr>
              <w:widowControl/>
              <w:spacing w:line="320" w:lineRule="atLeast"/>
              <w:ind w:firstLine="2"/>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实际供货日期</w:t>
            </w:r>
          </w:p>
        </w:tc>
        <w:tc>
          <w:tcPr>
            <w:tcW w:w="3240" w:type="dxa"/>
            <w:gridSpan w:val="2"/>
            <w:noWrap w:val="0"/>
            <w:vAlign w:val="center"/>
          </w:tcPr>
          <w:p w14:paraId="2F367CAD">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2700" w:type="dxa"/>
            <w:gridSpan w:val="2"/>
            <w:noWrap w:val="0"/>
            <w:vAlign w:val="center"/>
          </w:tcPr>
          <w:p w14:paraId="377518E9">
            <w:pPr>
              <w:widowControl/>
              <w:spacing w:line="320" w:lineRule="atLeast"/>
              <w:ind w:firstLine="46"/>
              <w:jc w:val="center"/>
              <w:rPr>
                <w:rFonts w:hint="eastAsia" w:ascii="仿宋" w:hAnsi="仿宋" w:eastAsia="仿宋" w:cs="仿宋"/>
                <w:color w:val="auto"/>
                <w:kern w:val="0"/>
                <w:highlight w:val="none"/>
              </w:rPr>
            </w:pPr>
            <w:r>
              <w:rPr>
                <w:rFonts w:hint="eastAsia" w:ascii="仿宋" w:hAnsi="仿宋" w:eastAsia="仿宋" w:cs="仿宋"/>
                <w:color w:val="auto"/>
                <w:kern w:val="0"/>
                <w:highlight w:val="none"/>
              </w:rPr>
              <w:t>合同交货验收日期</w:t>
            </w:r>
          </w:p>
        </w:tc>
        <w:tc>
          <w:tcPr>
            <w:tcW w:w="2160" w:type="dxa"/>
            <w:gridSpan w:val="2"/>
            <w:noWrap w:val="0"/>
            <w:vAlign w:val="center"/>
          </w:tcPr>
          <w:p w14:paraId="6AAF552B">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0380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1E506C69">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3240" w:type="dxa"/>
            <w:gridSpan w:val="2"/>
            <w:noWrap w:val="0"/>
            <w:vAlign w:val="center"/>
          </w:tcPr>
          <w:p w14:paraId="14E24B1B">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2700" w:type="dxa"/>
            <w:gridSpan w:val="2"/>
            <w:noWrap w:val="0"/>
            <w:vAlign w:val="center"/>
          </w:tcPr>
          <w:p w14:paraId="129A97C7">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c>
          <w:tcPr>
            <w:tcW w:w="2160" w:type="dxa"/>
            <w:gridSpan w:val="2"/>
            <w:noWrap w:val="0"/>
            <w:vAlign w:val="center"/>
          </w:tcPr>
          <w:p w14:paraId="7FC0806B">
            <w:pPr>
              <w:widowControl/>
              <w:spacing w:line="320" w:lineRule="atLeast"/>
              <w:ind w:firstLine="480"/>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5C67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7AC2B8C9">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验收具体内容</w:t>
            </w:r>
          </w:p>
        </w:tc>
        <w:tc>
          <w:tcPr>
            <w:tcW w:w="8100" w:type="dxa"/>
            <w:gridSpan w:val="6"/>
            <w:noWrap w:val="0"/>
            <w:tcMar>
              <w:top w:w="0" w:type="dxa"/>
              <w:left w:w="108" w:type="dxa"/>
              <w:bottom w:w="0" w:type="dxa"/>
              <w:right w:w="108" w:type="dxa"/>
            </w:tcMar>
            <w:vAlign w:val="center"/>
          </w:tcPr>
          <w:p w14:paraId="1698DEAD">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（应按采购合同、</w:t>
            </w:r>
            <w:r>
              <w:rPr>
                <w:rFonts w:hint="eastAsia" w:ascii="仿宋" w:hAnsi="仿宋" w:eastAsia="仿宋" w:cs="仿宋"/>
                <w:color w:val="auto"/>
                <w:kern w:val="0"/>
                <w:highlight w:val="none"/>
                <w:lang w:eastAsia="zh-CN"/>
              </w:rPr>
              <w:t>招标文件</w:t>
            </w:r>
            <w:r>
              <w:rPr>
                <w:rFonts w:hint="eastAsia" w:ascii="仿宋" w:hAnsi="仿宋" w:eastAsia="仿宋" w:cs="仿宋"/>
                <w:color w:val="auto"/>
                <w:kern w:val="0"/>
                <w:highlight w:val="none"/>
              </w:rPr>
              <w:t>、投标文件及验收方案等进行验收；并核对中标或者</w:t>
            </w:r>
            <w:r>
              <w:rPr>
                <w:rFonts w:hint="eastAsia" w:ascii="仿宋" w:hAnsi="仿宋" w:eastAsia="仿宋" w:cs="仿宋"/>
                <w:color w:val="auto"/>
                <w:kern w:val="0"/>
                <w:highlight w:val="none"/>
                <w:lang w:eastAsia="zh-CN"/>
              </w:rPr>
              <w:t>中标供应商</w:t>
            </w:r>
            <w:r>
              <w:rPr>
                <w:rFonts w:hint="eastAsia" w:ascii="仿宋" w:hAnsi="仿宋" w:eastAsia="仿宋" w:cs="仿宋"/>
                <w:color w:val="auto"/>
                <w:kern w:val="0"/>
                <w:highlight w:val="none"/>
              </w:rPr>
              <w:t>在提供的服务等方面是否违反合同约定或服务规范要求、提供的质量保证证明材料是否齐全、应有的附件是否达到合同约定等。可附件)</w:t>
            </w:r>
          </w:p>
        </w:tc>
      </w:tr>
      <w:tr w14:paraId="0B1D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3E27A9A1">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验收小组意见</w:t>
            </w:r>
          </w:p>
        </w:tc>
        <w:tc>
          <w:tcPr>
            <w:tcW w:w="8100" w:type="dxa"/>
            <w:gridSpan w:val="6"/>
            <w:noWrap w:val="0"/>
            <w:vAlign w:val="center"/>
          </w:tcPr>
          <w:p w14:paraId="073E8BF2">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验收结论性意见：</w:t>
            </w:r>
          </w:p>
          <w:p w14:paraId="0E449CD1">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w:t>
            </w:r>
          </w:p>
        </w:tc>
      </w:tr>
      <w:tr w14:paraId="796E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noWrap w:val="0"/>
            <w:vAlign w:val="center"/>
          </w:tcPr>
          <w:p w14:paraId="4904D155">
            <w:pPr>
              <w:widowControl/>
              <w:jc w:val="left"/>
              <w:rPr>
                <w:rFonts w:hint="eastAsia" w:ascii="仿宋" w:hAnsi="仿宋" w:eastAsia="仿宋" w:cs="仿宋"/>
                <w:color w:val="auto"/>
                <w:kern w:val="0"/>
                <w:highlight w:val="none"/>
              </w:rPr>
            </w:pPr>
          </w:p>
        </w:tc>
        <w:tc>
          <w:tcPr>
            <w:tcW w:w="8100" w:type="dxa"/>
            <w:gridSpan w:val="6"/>
            <w:noWrap w:val="0"/>
            <w:vAlign w:val="center"/>
          </w:tcPr>
          <w:p w14:paraId="37FA516F">
            <w:pPr>
              <w:widowControl/>
              <w:spacing w:line="320" w:lineRule="atLeast"/>
              <w:ind w:firstLine="96"/>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有异议的意见和说明理由：</w:t>
            </w:r>
          </w:p>
          <w:p w14:paraId="191E5582">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签字：</w:t>
            </w:r>
          </w:p>
        </w:tc>
      </w:tr>
      <w:tr w14:paraId="5826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noWrap w:val="0"/>
            <w:tcMar>
              <w:top w:w="0" w:type="dxa"/>
              <w:left w:w="108" w:type="dxa"/>
              <w:bottom w:w="0" w:type="dxa"/>
              <w:right w:w="108" w:type="dxa"/>
            </w:tcMar>
            <w:vAlign w:val="center"/>
          </w:tcPr>
          <w:p w14:paraId="11099D3A">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验收小组成员签字：</w:t>
            </w:r>
          </w:p>
        </w:tc>
      </w:tr>
      <w:tr w14:paraId="6AD5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noWrap w:val="0"/>
            <w:tcMar>
              <w:top w:w="0" w:type="dxa"/>
              <w:left w:w="108" w:type="dxa"/>
              <w:bottom w:w="0" w:type="dxa"/>
              <w:right w:w="108" w:type="dxa"/>
            </w:tcMar>
            <w:vAlign w:val="center"/>
          </w:tcPr>
          <w:p w14:paraId="25673670">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监督人员或其他相关人员签字：</w:t>
            </w:r>
          </w:p>
          <w:p w14:paraId="6BC27074">
            <w:pPr>
              <w:widowControl/>
              <w:spacing w:line="320" w:lineRule="atLeast"/>
              <w:ind w:firstLine="74"/>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或受邀机构的意见（盖章）：</w:t>
            </w:r>
          </w:p>
        </w:tc>
      </w:tr>
      <w:tr w14:paraId="4857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4767" w:type="dxa"/>
            <w:gridSpan w:val="3"/>
            <w:noWrap w:val="0"/>
            <w:tcMar>
              <w:top w:w="0" w:type="dxa"/>
              <w:left w:w="108" w:type="dxa"/>
              <w:bottom w:w="0" w:type="dxa"/>
              <w:right w:w="108" w:type="dxa"/>
            </w:tcMar>
            <w:vAlign w:val="center"/>
          </w:tcPr>
          <w:p w14:paraId="0122FAB9">
            <w:pPr>
              <w:widowControl/>
              <w:spacing w:line="320" w:lineRule="atLeast"/>
              <w:ind w:firstLine="74"/>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中标或者</w:t>
            </w:r>
            <w:r>
              <w:rPr>
                <w:rFonts w:hint="eastAsia" w:ascii="仿宋" w:hAnsi="仿宋" w:eastAsia="仿宋" w:cs="仿宋"/>
                <w:color w:val="auto"/>
                <w:kern w:val="0"/>
                <w:highlight w:val="none"/>
                <w:lang w:eastAsia="zh-CN"/>
              </w:rPr>
              <w:t>中标供应商</w:t>
            </w:r>
            <w:r>
              <w:rPr>
                <w:rFonts w:hint="eastAsia" w:ascii="仿宋" w:hAnsi="仿宋" w:eastAsia="仿宋" w:cs="仿宋"/>
                <w:color w:val="auto"/>
                <w:kern w:val="0"/>
                <w:highlight w:val="none"/>
              </w:rPr>
              <w:t>负责人签字或盖章：</w:t>
            </w:r>
          </w:p>
          <w:p w14:paraId="27E179E7">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联系电话：                   年   月    日</w:t>
            </w:r>
          </w:p>
        </w:tc>
        <w:tc>
          <w:tcPr>
            <w:tcW w:w="4860" w:type="dxa"/>
            <w:gridSpan w:val="4"/>
            <w:noWrap w:val="0"/>
            <w:vAlign w:val="center"/>
          </w:tcPr>
          <w:p w14:paraId="169D9480">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 采购人或受托机构的意见（盖章）：</w:t>
            </w:r>
          </w:p>
          <w:p w14:paraId="4E094FA1">
            <w:pPr>
              <w:widowControl/>
              <w:spacing w:line="320" w:lineRule="atLeast"/>
              <w:jc w:val="left"/>
              <w:rPr>
                <w:rFonts w:hint="eastAsia" w:ascii="仿宋" w:hAnsi="仿宋" w:eastAsia="仿宋" w:cs="仿宋"/>
                <w:color w:val="auto"/>
                <w:kern w:val="0"/>
                <w:highlight w:val="none"/>
              </w:rPr>
            </w:pPr>
            <w:r>
              <w:rPr>
                <w:rFonts w:hint="eastAsia" w:ascii="仿宋" w:hAnsi="仿宋" w:eastAsia="仿宋" w:cs="仿宋"/>
                <w:color w:val="auto"/>
                <w:kern w:val="0"/>
                <w:highlight w:val="none"/>
              </w:rPr>
              <w:t>联系电话：                 年     月     日</w:t>
            </w:r>
          </w:p>
        </w:tc>
      </w:tr>
    </w:tbl>
    <w:p w14:paraId="7D1E2CEC">
      <w:pPr>
        <w:pStyle w:val="19"/>
        <w:rPr>
          <w:rFonts w:hint="eastAsia" w:ascii="仿宋" w:hAnsi="仿宋" w:eastAsia="仿宋" w:cs="仿宋"/>
          <w:color w:val="auto"/>
          <w:highlight w:val="none"/>
        </w:rPr>
      </w:pPr>
    </w:p>
    <w:p w14:paraId="5C765B4B">
      <w:pPr>
        <w:pStyle w:val="19"/>
        <w:rPr>
          <w:rFonts w:hint="eastAsia" w:ascii="仿宋" w:hAnsi="仿宋" w:eastAsia="仿宋" w:cs="仿宋"/>
          <w:color w:val="auto"/>
          <w:highlight w:val="none"/>
        </w:rPr>
      </w:pPr>
    </w:p>
    <w:p w14:paraId="5C845DE0">
      <w:pPr>
        <w:pStyle w:val="19"/>
        <w:rPr>
          <w:rFonts w:hint="eastAsia" w:ascii="仿宋" w:hAnsi="仿宋" w:eastAsia="仿宋" w:cs="仿宋"/>
          <w:b/>
          <w:color w:val="auto"/>
          <w:sz w:val="24"/>
          <w:szCs w:val="24"/>
          <w:highlight w:val="none"/>
        </w:rPr>
      </w:pPr>
    </w:p>
    <w:p w14:paraId="52340CD9">
      <w:pPr>
        <w:pStyle w:val="1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附表4：</w:t>
      </w:r>
    </w:p>
    <w:p w14:paraId="6670516B">
      <w:pPr>
        <w:pStyle w:val="19"/>
        <w:rPr>
          <w:rFonts w:hint="eastAsia" w:ascii="仿宋" w:hAnsi="仿宋" w:eastAsia="仿宋" w:cs="仿宋"/>
          <w:b/>
          <w:color w:val="auto"/>
          <w:sz w:val="24"/>
          <w:szCs w:val="24"/>
          <w:highlight w:val="none"/>
        </w:rPr>
      </w:pPr>
    </w:p>
    <w:p w14:paraId="502D284B">
      <w:pPr>
        <w:pStyle w:val="19"/>
        <w:rPr>
          <w:rFonts w:hint="eastAsia" w:ascii="仿宋" w:hAnsi="仿宋" w:eastAsia="仿宋" w:cs="仿宋"/>
          <w:b/>
          <w:color w:val="auto"/>
          <w:sz w:val="24"/>
          <w:szCs w:val="24"/>
          <w:highlight w:val="none"/>
        </w:rPr>
      </w:pPr>
    </w:p>
    <w:p w14:paraId="5D4B0B94">
      <w:pPr>
        <w:pStyle w:val="19"/>
        <w:rPr>
          <w:rFonts w:hint="eastAsia" w:ascii="仿宋" w:hAnsi="仿宋" w:eastAsia="仿宋" w:cs="仿宋"/>
          <w:b/>
          <w:color w:val="auto"/>
          <w:sz w:val="24"/>
          <w:szCs w:val="24"/>
          <w:highlight w:val="none"/>
        </w:rPr>
      </w:pPr>
      <w:r>
        <w:rPr>
          <w:rFonts w:hint="eastAsia" w:ascii="仿宋" w:hAnsi="仿宋" w:eastAsia="仿宋" w:cs="仿宋"/>
          <w:color w:val="auto"/>
          <w:kern w:val="0"/>
          <w:sz w:val="24"/>
          <w:highlight w:val="none"/>
        </w:rPr>
        <w:fldChar w:fldCharType="begin"/>
      </w:r>
      <w:r>
        <w:instrText xml:space="preserve"> INCLUDEPICTURE "E:\\微信传输文件\\xwechat_files\\wxid_6005490055312_cf49\\msg\\file\\WeChat%20Files\\huangjiahui3168\\FileStorage\\WeChat%20Files\\huangjiahui3168\\FileStorage\\Administrator\\AppData\\Roaming\\Tencent\\Users\\84332323\\QQ\\WinTemp\\RichOle\\IBTSMDNQID2EUB%7b1%5d6~PD(5.png" \* MERGEFORMAT </w:instrText>
      </w:r>
      <w:r>
        <w:rPr>
          <w:rFonts w:hint="eastAsia" w:ascii="仿宋" w:hAnsi="仿宋" w:eastAsia="仿宋" w:cs="仿宋"/>
          <w:color w:val="auto"/>
          <w:kern w:val="0"/>
          <w:sz w:val="24"/>
          <w:highlight w:val="none"/>
        </w:rPr>
        <w:fldChar w:fldCharType="separate"/>
      </w:r>
      <w:r>
        <w:rPr>
          <w:rFonts w:hint="eastAsia" w:ascii="仿宋" w:hAnsi="仿宋" w:eastAsia="仿宋" w:cs="仿宋"/>
          <w:color w:val="auto"/>
          <w:kern w:val="0"/>
          <w:sz w:val="24"/>
          <w:highlight w:val="none"/>
        </w:rPr>
        <w:drawing>
          <wp:inline distT="0" distB="0" distL="114300" distR="114300">
            <wp:extent cx="5925185" cy="5829300"/>
            <wp:effectExtent l="0" t="0" r="1841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r:link="rId7"/>
                    <a:stretch>
                      <a:fillRect/>
                    </a:stretch>
                  </pic:blipFill>
                  <pic:spPr>
                    <a:xfrm>
                      <a:off x="0" y="0"/>
                      <a:ext cx="5925185" cy="5829300"/>
                    </a:xfrm>
                    <a:prstGeom prst="rect">
                      <a:avLst/>
                    </a:prstGeom>
                    <a:noFill/>
                    <a:ln>
                      <a:noFill/>
                    </a:ln>
                  </pic:spPr>
                </pic:pic>
              </a:graphicData>
            </a:graphic>
          </wp:inline>
        </w:drawing>
      </w:r>
      <w:r>
        <w:rPr>
          <w:rFonts w:hint="eastAsia" w:ascii="仿宋" w:hAnsi="仿宋" w:eastAsia="仿宋" w:cs="仿宋"/>
          <w:color w:val="auto"/>
          <w:kern w:val="0"/>
          <w:sz w:val="24"/>
          <w:highlight w:val="none"/>
        </w:rPr>
        <w:fldChar w:fldCharType="end"/>
      </w:r>
    </w:p>
    <w:p w14:paraId="70FC84EE">
      <w:pPr>
        <w:pStyle w:val="19"/>
        <w:rPr>
          <w:rFonts w:hint="eastAsia" w:ascii="仿宋" w:hAnsi="仿宋" w:eastAsia="仿宋" w:cs="仿宋"/>
          <w:b/>
          <w:color w:val="auto"/>
          <w:sz w:val="24"/>
          <w:szCs w:val="24"/>
          <w:highlight w:val="none"/>
        </w:rPr>
      </w:pPr>
    </w:p>
    <w:p w14:paraId="34EA65E4">
      <w:pPr>
        <w:pStyle w:val="19"/>
        <w:rPr>
          <w:rFonts w:hint="eastAsia" w:ascii="仿宋" w:hAnsi="仿宋" w:eastAsia="仿宋" w:cs="仿宋"/>
          <w:b/>
          <w:color w:val="auto"/>
          <w:sz w:val="24"/>
          <w:szCs w:val="24"/>
          <w:highlight w:val="none"/>
        </w:rPr>
      </w:pPr>
    </w:p>
    <w:p w14:paraId="2DD9F66B">
      <w:pPr>
        <w:pStyle w:val="19"/>
        <w:rPr>
          <w:rFonts w:hint="eastAsia" w:ascii="仿宋" w:hAnsi="仿宋" w:eastAsia="仿宋" w:cs="仿宋"/>
          <w:color w:val="auto"/>
          <w:highlight w:val="none"/>
        </w:rPr>
      </w:pPr>
    </w:p>
    <w:p w14:paraId="44868EE8">
      <w:pPr>
        <w:pStyle w:val="19"/>
        <w:rPr>
          <w:rFonts w:hint="eastAsia" w:ascii="仿宋" w:hAnsi="仿宋" w:eastAsia="仿宋" w:cs="仿宋"/>
          <w:color w:val="auto"/>
          <w:highlight w:val="none"/>
        </w:rPr>
      </w:pPr>
    </w:p>
    <w:p w14:paraId="48404E3A">
      <w:pPr>
        <w:pStyle w:val="19"/>
        <w:rPr>
          <w:rFonts w:hint="eastAsia" w:ascii="仿宋" w:hAnsi="仿宋" w:eastAsia="仿宋" w:cs="仿宋"/>
          <w:color w:val="auto"/>
          <w:highlight w:val="none"/>
        </w:rPr>
      </w:pPr>
    </w:p>
    <w:p w14:paraId="640093FD">
      <w:pPr>
        <w:pStyle w:val="19"/>
        <w:rPr>
          <w:rFonts w:hint="eastAsia" w:ascii="仿宋" w:hAnsi="仿宋" w:eastAsia="仿宋" w:cs="仿宋"/>
          <w:color w:val="auto"/>
          <w:highlight w:val="none"/>
        </w:rPr>
      </w:pPr>
    </w:p>
    <w:p w14:paraId="0B2CAD7E">
      <w:pPr>
        <w:pStyle w:val="19"/>
        <w:rPr>
          <w:rFonts w:hint="eastAsia" w:ascii="仿宋" w:hAnsi="仿宋" w:eastAsia="仿宋" w:cs="仿宋"/>
          <w:color w:val="auto"/>
          <w:highlight w:val="none"/>
        </w:rPr>
      </w:pPr>
    </w:p>
    <w:p w14:paraId="13A86600">
      <w:pPr>
        <w:pStyle w:val="19"/>
        <w:rPr>
          <w:rFonts w:hint="eastAsia" w:ascii="仿宋" w:hAnsi="仿宋" w:eastAsia="仿宋" w:cs="仿宋"/>
          <w:color w:val="auto"/>
          <w:highlight w:val="none"/>
        </w:rPr>
      </w:pPr>
    </w:p>
    <w:p w14:paraId="16991BF2">
      <w:pPr>
        <w:pStyle w:val="19"/>
        <w:rPr>
          <w:rFonts w:hint="eastAsia" w:ascii="仿宋" w:hAnsi="仿宋" w:eastAsia="仿宋" w:cs="仿宋"/>
          <w:color w:val="auto"/>
          <w:highlight w:val="none"/>
        </w:rPr>
      </w:pPr>
    </w:p>
    <w:p w14:paraId="09382EBB">
      <w:pPr>
        <w:pStyle w:val="19"/>
        <w:rPr>
          <w:rFonts w:hint="eastAsia" w:ascii="仿宋" w:hAnsi="仿宋" w:eastAsia="仿宋" w:cs="仿宋"/>
          <w:color w:val="auto"/>
          <w:highlight w:val="none"/>
        </w:rPr>
      </w:pPr>
    </w:p>
    <w:p w14:paraId="2035D56B">
      <w:pPr>
        <w:pStyle w:val="19"/>
        <w:rPr>
          <w:rFonts w:hint="eastAsia" w:ascii="仿宋" w:hAnsi="仿宋" w:eastAsia="仿宋" w:cs="仿宋"/>
          <w:color w:val="auto"/>
          <w:highlight w:val="none"/>
        </w:rPr>
      </w:pPr>
    </w:p>
    <w:p w14:paraId="72E8244A">
      <w:pPr>
        <w:pStyle w:val="19"/>
        <w:rPr>
          <w:rFonts w:hint="eastAsia" w:ascii="仿宋" w:hAnsi="仿宋" w:eastAsia="仿宋" w:cs="仿宋"/>
          <w:color w:val="auto"/>
          <w:highlight w:val="none"/>
        </w:rPr>
      </w:pPr>
    </w:p>
    <w:p w14:paraId="20192F0E">
      <w:pPr>
        <w:numPr>
          <w:ilvl w:val="0"/>
          <w:numId w:val="4"/>
        </w:numPr>
        <w:jc w:val="center"/>
        <w:rPr>
          <w:rStyle w:val="18"/>
          <w:rFonts w:hint="eastAsia" w:ascii="仿宋" w:hAnsi="仿宋" w:eastAsia="仿宋" w:cs="仿宋"/>
          <w:b/>
          <w:color w:val="auto"/>
          <w:highlight w:val="none"/>
          <w:lang w:val="en-US" w:eastAsia="zh-CN"/>
        </w:rPr>
      </w:pPr>
      <w:bookmarkStart w:id="24" w:name="_Toc13199"/>
      <w:r>
        <w:rPr>
          <w:rStyle w:val="18"/>
          <w:rFonts w:hint="eastAsia" w:ascii="仿宋" w:hAnsi="仿宋" w:eastAsia="仿宋" w:cs="仿宋"/>
          <w:b/>
          <w:color w:val="auto"/>
          <w:highlight w:val="none"/>
          <w:lang w:val="en-US" w:eastAsia="zh-CN"/>
        </w:rPr>
        <w:t xml:space="preserve"> 项目需求</w:t>
      </w:r>
    </w:p>
    <w:bookmarkEnd w:id="24"/>
    <w:p w14:paraId="0B31B80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b/>
          <w:bCs/>
          <w:color w:val="auto"/>
          <w:sz w:val="24"/>
          <w:szCs w:val="24"/>
          <w:highlight w:val="none"/>
          <w:vertAlign w:val="baseline"/>
          <w:lang w:val="en-US" w:eastAsia="zh-CN"/>
        </w:rPr>
        <w:t>一、采购项目名称：</w:t>
      </w:r>
      <w:r>
        <w:rPr>
          <w:rFonts w:hint="eastAsia" w:ascii="仿宋" w:hAnsi="仿宋" w:eastAsia="仿宋" w:cs="仿宋"/>
          <w:color w:val="auto"/>
          <w:sz w:val="24"/>
          <w:szCs w:val="24"/>
          <w:highlight w:val="none"/>
          <w:vertAlign w:val="baseline"/>
          <w:lang w:eastAsia="zh-CN"/>
        </w:rPr>
        <w:t>2026年高校毕业生就业活动组织及配套服务采购</w:t>
      </w:r>
    </w:p>
    <w:p w14:paraId="271FC28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vertAlign w:val="baseline"/>
          <w:lang w:val="en-US" w:eastAsia="zh-CN"/>
        </w:rPr>
      </w:pPr>
    </w:p>
    <w:p w14:paraId="716F8B7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二、采购需求概况：</w:t>
      </w:r>
      <w:r>
        <w:rPr>
          <w:rFonts w:hint="eastAsia" w:ascii="仿宋" w:hAnsi="仿宋" w:eastAsia="仿宋" w:cs="仿宋"/>
          <w:color w:val="auto"/>
          <w:sz w:val="24"/>
          <w:szCs w:val="24"/>
          <w:highlight w:val="none"/>
          <w:vertAlign w:val="baseline"/>
          <w:lang w:val="en-US" w:eastAsia="zh-CN"/>
        </w:rPr>
        <w:t>根据《人力资源社会保障部关于开展2026年全国公共就业招聘专项活动的通知》（人社部函〔2026〕1号），参照2025年各专项活动要求，组织全国大中城市联合招聘高校毕业生春季专场活动、毕业生就业见习（实习）招聘会、大型招聘会、离校未就业高校毕业生专场招聘会等，实施高校毕业生等青年就业服务攻坚行动等，实现预期目标。</w:t>
      </w:r>
    </w:p>
    <w:p w14:paraId="4F31D17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eastAsia="zh-CN"/>
        </w:rPr>
      </w:pPr>
    </w:p>
    <w:p w14:paraId="5ECE6A6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采购服务</w:t>
      </w:r>
      <w:r>
        <w:rPr>
          <w:rFonts w:hint="eastAsia" w:ascii="仿宋" w:hAnsi="仿宋" w:eastAsia="仿宋" w:cs="仿宋"/>
          <w:b/>
          <w:bCs/>
          <w:color w:val="auto"/>
          <w:sz w:val="24"/>
          <w:szCs w:val="24"/>
          <w:highlight w:val="none"/>
        </w:rPr>
        <w:t>要求</w:t>
      </w:r>
      <w:r>
        <w:rPr>
          <w:rFonts w:hint="eastAsia" w:ascii="仿宋" w:hAnsi="仿宋" w:eastAsia="仿宋" w:cs="仿宋"/>
          <w:b/>
          <w:bCs/>
          <w:color w:val="auto"/>
          <w:sz w:val="24"/>
          <w:szCs w:val="24"/>
          <w:highlight w:val="none"/>
          <w:lang w:eastAsia="zh-CN"/>
        </w:rPr>
        <w:t>：</w:t>
      </w:r>
    </w:p>
    <w:p w14:paraId="4D771B9C">
      <w:pPr>
        <w:pStyle w:val="8"/>
        <w:numPr>
          <w:ilvl w:val="0"/>
          <w:numId w:val="0"/>
        </w:numPr>
        <w:ind w:leftChars="200" w:right="33" w:rightChars="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分标1：</w:t>
      </w:r>
    </w:p>
    <w:bookmarkEnd w:id="0"/>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277"/>
        <w:gridCol w:w="1052"/>
        <w:gridCol w:w="920"/>
        <w:gridCol w:w="5829"/>
      </w:tblGrid>
      <w:tr w14:paraId="31EC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06276108">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技术要求</w:t>
            </w:r>
          </w:p>
        </w:tc>
      </w:tr>
      <w:tr w14:paraId="03A7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4" w:type="pct"/>
            <w:noWrap w:val="0"/>
            <w:vAlign w:val="center"/>
          </w:tcPr>
          <w:p w14:paraId="27FC4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647" w:type="pct"/>
            <w:noWrap w:val="0"/>
            <w:vAlign w:val="center"/>
          </w:tcPr>
          <w:p w14:paraId="3FF19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w:t>
            </w:r>
            <w:r>
              <w:rPr>
                <w:rFonts w:hint="eastAsia" w:ascii="仿宋" w:hAnsi="仿宋" w:eastAsia="仿宋" w:cs="仿宋"/>
                <w:b/>
                <w:color w:val="auto"/>
                <w:sz w:val="24"/>
                <w:szCs w:val="24"/>
                <w:highlight w:val="none"/>
                <w:lang w:eastAsia="zh-CN"/>
              </w:rPr>
              <w:t>项目</w:t>
            </w:r>
            <w:r>
              <w:rPr>
                <w:rFonts w:hint="eastAsia" w:ascii="仿宋" w:hAnsi="仿宋" w:eastAsia="仿宋" w:cs="仿宋"/>
                <w:b/>
                <w:color w:val="auto"/>
                <w:sz w:val="24"/>
                <w:szCs w:val="24"/>
                <w:highlight w:val="none"/>
              </w:rPr>
              <w:t>名称</w:t>
            </w:r>
          </w:p>
        </w:tc>
        <w:tc>
          <w:tcPr>
            <w:tcW w:w="534" w:type="pct"/>
            <w:noWrap w:val="0"/>
            <w:vAlign w:val="center"/>
          </w:tcPr>
          <w:p w14:paraId="314806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数量及单位</w:t>
            </w:r>
          </w:p>
        </w:tc>
        <w:tc>
          <w:tcPr>
            <w:tcW w:w="467" w:type="pct"/>
            <w:noWrap w:val="0"/>
            <w:vAlign w:val="center"/>
          </w:tcPr>
          <w:p w14:paraId="264F3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所属行业</w:t>
            </w:r>
          </w:p>
        </w:tc>
        <w:tc>
          <w:tcPr>
            <w:tcW w:w="2955" w:type="pct"/>
            <w:noWrap w:val="0"/>
            <w:vAlign w:val="center"/>
          </w:tcPr>
          <w:p w14:paraId="4EFFF9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项目内容</w:t>
            </w:r>
          </w:p>
        </w:tc>
      </w:tr>
      <w:tr w14:paraId="13DF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4" w:type="pct"/>
            <w:noWrap w:val="0"/>
            <w:vAlign w:val="center"/>
          </w:tcPr>
          <w:p w14:paraId="03AEB47B">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647" w:type="pct"/>
            <w:noWrap w:val="0"/>
            <w:vAlign w:val="center"/>
          </w:tcPr>
          <w:p w14:paraId="22CC60B9">
            <w:pPr>
              <w:pStyle w:val="7"/>
              <w:jc w:val="center"/>
              <w:rPr>
                <w:rFonts w:hint="eastAsia" w:ascii="仿宋" w:hAnsi="仿宋" w:eastAsia="仿宋" w:cs="仿宋"/>
                <w:b/>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大型招聘活动及服务</w:t>
            </w:r>
          </w:p>
        </w:tc>
        <w:tc>
          <w:tcPr>
            <w:tcW w:w="534" w:type="pct"/>
            <w:noWrap w:val="0"/>
            <w:vAlign w:val="center"/>
          </w:tcPr>
          <w:p w14:paraId="5DF9D46E">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467" w:type="pct"/>
            <w:noWrap w:val="0"/>
            <w:vAlign w:val="center"/>
          </w:tcPr>
          <w:p w14:paraId="72809EAD">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租赁和商务服务业</w:t>
            </w:r>
          </w:p>
        </w:tc>
        <w:tc>
          <w:tcPr>
            <w:tcW w:w="2955" w:type="pct"/>
            <w:noWrap w:val="0"/>
            <w:vAlign w:val="center"/>
          </w:tcPr>
          <w:p w14:paraId="62C58B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工作内容：适配2026年全国、自治区公共就业专项行动相关文件要求，组织2026年全国城市联合招聘高校毕业生春季专场招聘会1场（含配套网络招聘会不少于1场、直播带岗不少于1场）、校外大型公益性招聘会1场（含配套网络招聘会不少于1场、直播带岗不少于1场）、人才集市6场、就业见习网络招聘会1场。</w:t>
            </w:r>
          </w:p>
          <w:p w14:paraId="5F0417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p>
          <w:p w14:paraId="462E505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二、具体实施要求：</w:t>
            </w:r>
          </w:p>
          <w:p w14:paraId="33C844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1.于活动前提供活动方案（工作计划），活动结束后提供工作总结和相关工作台账资料。</w:t>
            </w:r>
          </w:p>
          <w:p w14:paraId="7B36F5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2.收集、统计每个子活动的成效反馈（包含但不限于服务满意度、初步达成意向数等）。</w:t>
            </w:r>
          </w:p>
          <w:p w14:paraId="674EF1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3.接受采购方监督。</w:t>
            </w:r>
          </w:p>
          <w:p w14:paraId="3105E3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4.加强活动相关的文稿、数据、现场管理，确保不发生意识形态、数据、现场、食品安全等事故。</w:t>
            </w:r>
          </w:p>
          <w:p w14:paraId="247C10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5.2026年全国城市联合招聘高校毕业生春季专场招聘会参会企业不少于100家，累计提供岗位2000个以上，配套的网络招聘会会期不少于30天，具体时间以当期文件时间为准，参会企业不少于100家，提供岗位2000个以上。校外大型公益性招聘会参会企业不少于300家，累计提供岗位6000个以上，配套的网络招聘会会期不少于30天，具体活动时间以当期文件时间为准，参会企业不少于线下招聘会参会用人单位数，提供岗位6000个以上。所有岗位包含但不限于桂林市的岗位。人才集市每场参会企业不少于22家，累计提供岗位2640个以上。就业见习网络招聘会会期不少于30天，具体时间以当期文件时间为准，组织不少于60家企业（含见习基地）参会，提供岗位600个以上。</w:t>
            </w:r>
          </w:p>
          <w:p w14:paraId="043740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6.2026年全国城市联合招聘高校毕业生春季专场招聘会（含配套网络招聘会）发动高校毕业生人数不少于1500人，参会企业累计收取简历数不少于2800份，配套的网络招聘会向不少于1000名毕业生推送招聘会消息，参会企业累计收取简历数不少于1000份。校外大型公益性招聘会向不少于4000名毕业生推送招聘会邀约短信，参会企业累计收取简历数不少于2000份，配套的网络招聘会向不少于2000名毕业生推送招聘会消息，参会企业累计收取简历数不少于1000份。人才集市每场发动高校毕业生人数不少于750人，累计参会企业收取简历数不少于900份。就业见习网路招聘会向不少于1000名毕业生推送招聘会消息，参会企业累计收取简历数不少于500份。</w:t>
            </w:r>
          </w:p>
          <w:p w14:paraId="13B8A7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媒体推广：招聘会（含配套直播带岗活动）至少通过5家本地媒体发布招聘会信息（含本地渠道不少于2个），并设计制作活动海报等宣传所需物料（含电子海报、微信推广图、桁架、展架等）。每场活动的媒体曝光浏览量不少于2万次。2026年全国城市联合招聘高校毕业生春季专场招聘会和校外大型公益性招聘会均要在桂林新闻或桂林日报等本地主流媒体宣传。</w:t>
            </w:r>
          </w:p>
          <w:p w14:paraId="3611F9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宣传设计：线下招聘会每场设计1套报名专题页并自有网站上线、每场活动海报不少于1个；网络招聘会设计1套专题页并自有网站上线，在页面开设分会场至少3个，包含但不限于就业政策宣传区、见习专区、就业指导专区等。完成所有活动物料设计。</w:t>
            </w:r>
          </w:p>
          <w:p w14:paraId="370AC6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9.为线下招聘会租赁活动场地，租用和搭建招聘展位，完成会场布置、桌椅租用、现场物料设计、制作和搭建、相关部门的活动报备手续和风险评估；配足现场工作人员，</w:t>
            </w:r>
            <w:r>
              <w:rPr>
                <w:rFonts w:hint="eastAsia" w:ascii="仿宋" w:hAnsi="仿宋" w:eastAsia="仿宋" w:cs="仿宋"/>
                <w:color w:val="auto"/>
                <w:sz w:val="24"/>
                <w:szCs w:val="24"/>
                <w:highlight w:val="none"/>
              </w:rPr>
              <w:t>做好会场服务和</w:t>
            </w:r>
            <w:r>
              <w:rPr>
                <w:rFonts w:hint="eastAsia" w:ascii="仿宋" w:hAnsi="仿宋" w:eastAsia="仿宋" w:cs="仿宋"/>
                <w:color w:val="auto"/>
                <w:sz w:val="24"/>
                <w:szCs w:val="24"/>
                <w:highlight w:val="none"/>
                <w:lang w:eastAsia="zh-CN"/>
              </w:rPr>
              <w:t>安</w:t>
            </w:r>
            <w:r>
              <w:rPr>
                <w:rFonts w:hint="eastAsia" w:ascii="仿宋" w:hAnsi="仿宋" w:eastAsia="仿宋" w:cs="仿宋"/>
                <w:color w:val="auto"/>
                <w:sz w:val="24"/>
                <w:szCs w:val="24"/>
                <w:highlight w:val="none"/>
                <w:lang w:val="en-US" w:eastAsia="zh-CN"/>
              </w:rPr>
              <w:t>保</w:t>
            </w:r>
            <w:r>
              <w:rPr>
                <w:rFonts w:hint="eastAsia" w:ascii="仿宋" w:hAnsi="仿宋" w:eastAsia="仿宋" w:cs="仿宋"/>
                <w:color w:val="auto"/>
                <w:sz w:val="24"/>
                <w:szCs w:val="24"/>
                <w:highlight w:val="none"/>
              </w:rPr>
              <w:t>等工作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保障活动不发生安全事故。</w:t>
            </w:r>
          </w:p>
          <w:p w14:paraId="6B7947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10.为网络招聘会做好会期的页面运维、数据抓取等，并保障不发生信息泄漏、意识形态、招聘歧视等安全事故。</w:t>
            </w:r>
          </w:p>
          <w:p w14:paraId="2AF514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每场线下招聘活动前后举办桂林就业环境、政策的宣讲或就业指导讲座，或辅导员、毕业生的就业沙龙，至少1场，人才集市除外；在招聘会现场设立咨询台，提供政策、就业指导、培训、档案等咨询服务，每场配备政策咨询人员不少于3人、就业</w:t>
            </w:r>
            <w:r>
              <w:rPr>
                <w:rFonts w:hint="eastAsia" w:ascii="仿宋" w:hAnsi="仿宋" w:eastAsia="仿宋" w:cs="仿宋"/>
                <w:color w:val="auto"/>
                <w:kern w:val="2"/>
                <w:sz w:val="24"/>
                <w:szCs w:val="24"/>
                <w:highlight w:val="none"/>
                <w:lang w:val="en-US" w:eastAsia="zh-CN" w:bidi="ar-SA"/>
              </w:rPr>
              <w:t>指导类专家2-5人（人才集市的政策咨询人员不少于2人、就业指导类专家1-2人）。</w:t>
            </w:r>
          </w:p>
          <w:p w14:paraId="5F9513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12.线下</w:t>
            </w:r>
            <w:r>
              <w:rPr>
                <w:rFonts w:hint="eastAsia" w:ascii="仿宋" w:hAnsi="仿宋" w:eastAsia="仿宋" w:cs="仿宋"/>
                <w:color w:val="auto"/>
                <w:kern w:val="2"/>
                <w:sz w:val="24"/>
                <w:szCs w:val="24"/>
                <w:highlight w:val="none"/>
                <w:lang w:val="en-US" w:eastAsia="zh-CN" w:bidi="ar-SA"/>
              </w:rPr>
              <w:t>招聘活动</w:t>
            </w:r>
            <w:r>
              <w:rPr>
                <w:rFonts w:hint="eastAsia" w:ascii="仿宋" w:hAnsi="仿宋" w:eastAsia="仿宋" w:cs="仿宋"/>
                <w:color w:val="auto"/>
                <w:sz w:val="24"/>
                <w:szCs w:val="24"/>
                <w:highlight w:val="none"/>
              </w:rPr>
              <w:t>餐饮：</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现场工作人员、企业招聘代表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咨询专家、安保工作人员、志愿者等人员</w:t>
            </w:r>
            <w:r>
              <w:rPr>
                <w:rFonts w:hint="eastAsia" w:ascii="仿宋" w:hAnsi="仿宋" w:eastAsia="仿宋" w:cs="仿宋"/>
                <w:color w:val="auto"/>
                <w:sz w:val="24"/>
                <w:szCs w:val="24"/>
                <w:highlight w:val="none"/>
              </w:rPr>
              <w:t>的工作餐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水</w:t>
            </w:r>
            <w:r>
              <w:rPr>
                <w:rFonts w:hint="eastAsia" w:ascii="仿宋" w:hAnsi="仿宋" w:eastAsia="仿宋" w:cs="仿宋"/>
                <w:color w:val="auto"/>
                <w:sz w:val="24"/>
                <w:szCs w:val="24"/>
                <w:highlight w:val="none"/>
              </w:rPr>
              <w:t>，餐标不低于25元/人。</w:t>
            </w:r>
          </w:p>
          <w:p w14:paraId="3D0B94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13.为参会用人单位、求职者提供平台使用（包含但不限于简历查询、简历投递、职位搜索、视频面试等招聘会必要配套功能的使用）、招聘活动咨询等服务等。</w:t>
            </w:r>
          </w:p>
          <w:p w14:paraId="4F5BD3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13.2026年全国城市联合招聘高校毕业生春季专场招聘会组织不少于1场直播带岗（非招聘会现场走播）或云上宣讲，累计参与企业不少于4家，累计点击和播放量不少于5000次，直播带岗或云上宣讲参与企业累计接收简历不少于100份。校外大型公益性招聘会组织不少于1场直播带岗（非招聘会现场走播）或云上宣讲，累计参与企业不少于5家，累计点击和播放量不少于8000次，直播带岗或云上宣讲参与企业累计接收简历不少于200份。就业见习网络招聘会期间组织不少于2场直播带岗（非招聘会现场走播）或云上宣讲，累计参与企业不少于6家，累计点击和播放量不少于5000次，直播带岗或云上宣讲参与企业累计接收简历不少于200份。</w:t>
            </w:r>
          </w:p>
          <w:p w14:paraId="2B1B7A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14.所有活动期间的招聘页面运维。</w:t>
            </w:r>
          </w:p>
          <w:p w14:paraId="70D9F6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15.为2026年全国城市联合招聘高校毕业生春季专场招聘会、校外大型公益性招聘会各摄制1条活动短视频，视频时长不少于1分钟。</w:t>
            </w:r>
          </w:p>
          <w:p w14:paraId="7663BA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16.向城管、公安等部门办理活动举办所需的相关报备手续。</w:t>
            </w:r>
          </w:p>
        </w:tc>
      </w:tr>
      <w:tr w14:paraId="017D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00" w:type="pct"/>
            <w:gridSpan w:val="5"/>
            <w:noWrap w:val="0"/>
            <w:vAlign w:val="center"/>
          </w:tcPr>
          <w:p w14:paraId="50CFF2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商务要求</w:t>
            </w:r>
          </w:p>
        </w:tc>
      </w:tr>
      <w:tr w14:paraId="3361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42" w:type="pct"/>
            <w:gridSpan w:val="2"/>
            <w:noWrap w:val="0"/>
            <w:vAlign w:val="center"/>
          </w:tcPr>
          <w:p w14:paraId="69425629">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c>
          <w:tcPr>
            <w:tcW w:w="3957" w:type="pct"/>
            <w:gridSpan w:val="3"/>
            <w:noWrap w:val="0"/>
            <w:vAlign w:val="center"/>
          </w:tcPr>
          <w:p w14:paraId="77DB4A4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签订合同</w:t>
            </w:r>
            <w:r>
              <w:rPr>
                <w:rFonts w:hint="eastAsia" w:ascii="仿宋" w:hAnsi="仿宋" w:eastAsia="仿宋" w:cs="仿宋"/>
                <w:color w:val="auto"/>
                <w:sz w:val="24"/>
                <w:szCs w:val="24"/>
                <w:highlight w:val="none"/>
                <w:lang w:val="en-US" w:eastAsia="zh-CN"/>
              </w:rPr>
              <w:t>之日起</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none"/>
                <w:lang w:val="en-US" w:eastAsia="zh-CN"/>
              </w:rPr>
              <w:t>2027</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u w:val="none"/>
                <w:lang w:val="en-US" w:eastAsia="zh-CN"/>
              </w:rPr>
              <w:t>止</w:t>
            </w:r>
            <w:r>
              <w:rPr>
                <w:rFonts w:hint="eastAsia" w:ascii="仿宋" w:hAnsi="仿宋" w:eastAsia="仿宋" w:cs="仿宋"/>
                <w:color w:val="auto"/>
                <w:sz w:val="24"/>
                <w:szCs w:val="24"/>
                <w:highlight w:val="none"/>
              </w:rPr>
              <w:t>。</w:t>
            </w:r>
          </w:p>
        </w:tc>
      </w:tr>
      <w:tr w14:paraId="7800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42" w:type="pct"/>
            <w:gridSpan w:val="2"/>
            <w:noWrap w:val="0"/>
            <w:vAlign w:val="center"/>
          </w:tcPr>
          <w:p w14:paraId="491D162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服务地点</w:t>
            </w:r>
          </w:p>
        </w:tc>
        <w:tc>
          <w:tcPr>
            <w:tcW w:w="3957" w:type="pct"/>
            <w:gridSpan w:val="3"/>
            <w:noWrap w:val="0"/>
            <w:vAlign w:val="center"/>
          </w:tcPr>
          <w:p w14:paraId="38009B7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桂林市采购人指定地点。</w:t>
            </w:r>
          </w:p>
        </w:tc>
      </w:tr>
      <w:tr w14:paraId="12E0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2" w:type="pct"/>
            <w:gridSpan w:val="2"/>
            <w:noWrap w:val="0"/>
            <w:vAlign w:val="center"/>
          </w:tcPr>
          <w:p w14:paraId="418BBFDD">
            <w:pPr>
              <w:pStyle w:val="7"/>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bidi="ar"/>
              </w:rPr>
              <w:t>报价要求</w:t>
            </w:r>
          </w:p>
        </w:tc>
        <w:tc>
          <w:tcPr>
            <w:tcW w:w="3957" w:type="pct"/>
            <w:gridSpan w:val="3"/>
            <w:noWrap w:val="0"/>
            <w:vAlign w:val="center"/>
          </w:tcPr>
          <w:p w14:paraId="446C14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应包括完成本次服务采购需求范围内所需的劳务费、技术服务费、策划设计、制作、现场执行、版权或知识产权、管理费、利润、验收、税金和风险等一切相关的全部费用。该价格不因投标人在计算报价中的失误、漏项、多项而做任何调整；投标人的报价在合同实施期间应保持不变。除此之外，采购人不再另行支付任何费用。</w:t>
            </w:r>
          </w:p>
        </w:tc>
      </w:tr>
      <w:tr w14:paraId="690F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2" w:type="pct"/>
            <w:gridSpan w:val="2"/>
            <w:noWrap w:val="0"/>
            <w:vAlign w:val="center"/>
          </w:tcPr>
          <w:p w14:paraId="3C7310BD">
            <w:pPr>
              <w:pStyle w:val="7"/>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bidi="ar"/>
              </w:rPr>
              <w:t>付款方式</w:t>
            </w:r>
          </w:p>
        </w:tc>
        <w:tc>
          <w:tcPr>
            <w:tcW w:w="3957" w:type="pct"/>
            <w:gridSpan w:val="3"/>
            <w:noWrap w:val="0"/>
            <w:vAlign w:val="center"/>
          </w:tcPr>
          <w:p w14:paraId="5A4385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合同签订后至少分2次支付合同款项，其中首次支付比例不高于本标段中标价的30%，全部款项支付完成不超过项目完成并验收后60日（具体支付时间和金额以财政每次批复的时间、批复的金额为准）。</w:t>
            </w:r>
          </w:p>
        </w:tc>
      </w:tr>
      <w:tr w14:paraId="2F4B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2" w:type="pct"/>
            <w:gridSpan w:val="2"/>
            <w:noWrap w:val="0"/>
            <w:vAlign w:val="center"/>
          </w:tcPr>
          <w:p w14:paraId="1E8ECD6C">
            <w:pPr>
              <w:pStyle w:val="7"/>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bidi="ar"/>
              </w:rPr>
              <w:t>其他要求</w:t>
            </w:r>
          </w:p>
        </w:tc>
        <w:tc>
          <w:tcPr>
            <w:tcW w:w="3957" w:type="pct"/>
            <w:gridSpan w:val="3"/>
            <w:noWrap w:val="0"/>
            <w:vAlign w:val="center"/>
          </w:tcPr>
          <w:p w14:paraId="56978F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）根据项目的实际情况，中标供应商必须承诺按采购人的要求，</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前一周与主办方确认</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需求，提前一天按要求做好会场布置，</w:t>
            </w:r>
            <w:r>
              <w:rPr>
                <w:rFonts w:hint="eastAsia" w:ascii="仿宋" w:hAnsi="仿宋" w:eastAsia="仿宋" w:cs="仿宋"/>
                <w:color w:val="auto"/>
                <w:sz w:val="24"/>
                <w:szCs w:val="24"/>
                <w:highlight w:val="none"/>
                <w:lang w:eastAsia="zh-Hans"/>
              </w:rPr>
              <w:t>包</w:t>
            </w:r>
            <w:r>
              <w:rPr>
                <w:rFonts w:hint="eastAsia" w:ascii="仿宋" w:hAnsi="仿宋" w:eastAsia="仿宋" w:cs="仿宋"/>
                <w:color w:val="auto"/>
                <w:sz w:val="24"/>
                <w:szCs w:val="24"/>
                <w:highlight w:val="none"/>
              </w:rPr>
              <w:t>含</w:t>
            </w:r>
            <w:r>
              <w:rPr>
                <w:rFonts w:hint="eastAsia" w:ascii="仿宋" w:hAnsi="仿宋" w:eastAsia="仿宋" w:cs="仿宋"/>
                <w:color w:val="auto"/>
                <w:sz w:val="24"/>
                <w:szCs w:val="24"/>
                <w:highlight w:val="none"/>
                <w:lang w:eastAsia="zh-Hans"/>
              </w:rPr>
              <w:t>但不仅限于</w:t>
            </w:r>
            <w:r>
              <w:rPr>
                <w:rFonts w:hint="eastAsia" w:ascii="仿宋" w:hAnsi="仿宋" w:eastAsia="仿宋" w:cs="仿宋"/>
                <w:color w:val="auto"/>
                <w:sz w:val="24"/>
                <w:szCs w:val="24"/>
                <w:highlight w:val="none"/>
                <w:lang w:eastAsia="zh-CN"/>
              </w:rPr>
              <w:t>招聘场地</w:t>
            </w:r>
            <w:r>
              <w:rPr>
                <w:rFonts w:hint="eastAsia" w:ascii="仿宋" w:hAnsi="仿宋" w:eastAsia="仿宋" w:cs="仿宋"/>
                <w:color w:val="auto"/>
                <w:sz w:val="24"/>
                <w:szCs w:val="24"/>
                <w:highlight w:val="none"/>
              </w:rPr>
              <w:t>搭建，企业门楣、宣传横幅等布置，会议结束后</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还需整理</w:t>
            </w:r>
            <w:r>
              <w:rPr>
                <w:rFonts w:hint="eastAsia" w:ascii="仿宋" w:hAnsi="仿宋" w:eastAsia="仿宋" w:cs="仿宋"/>
                <w:color w:val="auto"/>
                <w:sz w:val="24"/>
                <w:szCs w:val="24"/>
                <w:highlight w:val="none"/>
                <w:lang w:eastAsia="zh-CN"/>
              </w:rPr>
              <w:t>相关资料</w:t>
            </w:r>
            <w:r>
              <w:rPr>
                <w:rFonts w:hint="eastAsia" w:ascii="仿宋" w:hAnsi="仿宋" w:eastAsia="仿宋" w:cs="仿宋"/>
                <w:color w:val="auto"/>
                <w:sz w:val="24"/>
                <w:szCs w:val="24"/>
                <w:highlight w:val="none"/>
              </w:rPr>
              <w:t>交由采购人存档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并按采购方要求同步实施离校未就业高校毕业生就业服务。</w:t>
            </w:r>
          </w:p>
          <w:p w14:paraId="097269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标段</w:t>
            </w:r>
            <w:r>
              <w:rPr>
                <w:rFonts w:hint="eastAsia" w:ascii="仿宋" w:hAnsi="仿宋" w:eastAsia="仿宋" w:cs="仿宋"/>
                <w:color w:val="auto"/>
                <w:sz w:val="24"/>
                <w:szCs w:val="24"/>
                <w:highlight w:val="none"/>
              </w:rPr>
              <w:t>采购预算金额：</w:t>
            </w:r>
            <w:r>
              <w:rPr>
                <w:rFonts w:hint="eastAsia" w:ascii="仿宋" w:hAnsi="仿宋" w:eastAsia="仿宋" w:cs="仿宋"/>
                <w:color w:val="auto"/>
                <w:sz w:val="24"/>
                <w:szCs w:val="24"/>
                <w:highlight w:val="none"/>
                <w:lang w:eastAsia="zh-CN"/>
              </w:rPr>
              <w:t>人民币</w:t>
            </w:r>
            <w:r>
              <w:rPr>
                <w:rFonts w:hint="eastAsia" w:ascii="仿宋" w:hAnsi="仿宋" w:eastAsia="仿宋" w:cs="仿宋"/>
                <w:color w:val="auto"/>
                <w:sz w:val="24"/>
                <w:szCs w:val="24"/>
                <w:highlight w:val="none"/>
                <w:lang w:val="en-US" w:eastAsia="zh-CN"/>
              </w:rPr>
              <w:t>伍</w:t>
            </w:r>
            <w:r>
              <w:rPr>
                <w:rFonts w:hint="eastAsia" w:ascii="仿宋" w:hAnsi="仿宋" w:eastAsia="仿宋" w:cs="仿宋"/>
                <w:color w:val="auto"/>
                <w:sz w:val="24"/>
                <w:szCs w:val="24"/>
                <w:highlight w:val="none"/>
                <w:lang w:eastAsia="zh-CN"/>
              </w:rPr>
              <w:t>拾</w:t>
            </w:r>
            <w:r>
              <w:rPr>
                <w:rFonts w:hint="eastAsia" w:ascii="仿宋" w:hAnsi="仿宋" w:eastAsia="仿宋" w:cs="仿宋"/>
                <w:color w:val="auto"/>
                <w:sz w:val="24"/>
                <w:szCs w:val="24"/>
                <w:highlight w:val="none"/>
                <w:lang w:val="en-US" w:eastAsia="zh-CN"/>
              </w:rPr>
              <w:t>柒</w:t>
            </w:r>
            <w:r>
              <w:rPr>
                <w:rFonts w:hint="eastAsia" w:ascii="仿宋" w:hAnsi="仿宋" w:eastAsia="仿宋" w:cs="仿宋"/>
                <w:color w:val="auto"/>
                <w:sz w:val="24"/>
                <w:szCs w:val="24"/>
                <w:highlight w:val="none"/>
                <w:lang w:eastAsia="zh-CN"/>
              </w:rPr>
              <w:t>万</w:t>
            </w:r>
            <w:r>
              <w:rPr>
                <w:rFonts w:hint="eastAsia" w:ascii="仿宋" w:hAnsi="仿宋" w:eastAsia="仿宋" w:cs="仿宋"/>
                <w:color w:val="auto"/>
                <w:sz w:val="24"/>
                <w:szCs w:val="24"/>
                <w:highlight w:val="none"/>
                <w:lang w:val="en-US" w:eastAsia="zh-CN"/>
              </w:rPr>
              <w:t>陆仟</w:t>
            </w:r>
            <w:r>
              <w:rPr>
                <w:rFonts w:hint="eastAsia" w:ascii="仿宋" w:hAnsi="仿宋" w:eastAsia="仿宋" w:cs="仿宋"/>
                <w:color w:val="auto"/>
                <w:sz w:val="24"/>
                <w:szCs w:val="24"/>
                <w:highlight w:val="none"/>
                <w:lang w:eastAsia="zh-CN"/>
              </w:rPr>
              <w:t>元整（¥</w:t>
            </w:r>
            <w:r>
              <w:rPr>
                <w:rFonts w:hint="eastAsia" w:ascii="仿宋" w:hAnsi="仿宋" w:eastAsia="仿宋" w:cs="仿宋"/>
                <w:color w:val="auto"/>
                <w:sz w:val="24"/>
                <w:szCs w:val="24"/>
                <w:highlight w:val="none"/>
                <w:lang w:val="en-US" w:eastAsia="zh-CN"/>
              </w:rPr>
              <w:t>576000</w:t>
            </w:r>
            <w:r>
              <w:rPr>
                <w:rFonts w:hint="eastAsia" w:ascii="仿宋" w:hAnsi="仿宋" w:eastAsia="仿宋" w:cs="仿宋"/>
                <w:color w:val="auto"/>
                <w:sz w:val="24"/>
                <w:szCs w:val="24"/>
                <w:highlight w:val="none"/>
                <w:lang w:eastAsia="zh-CN"/>
              </w:rPr>
              <w:t>.00）</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u w:val="single"/>
              </w:rPr>
              <w:t>投标人的投标报价不得超过采购预算金额，否则投标文件无效。</w:t>
            </w:r>
          </w:p>
        </w:tc>
      </w:tr>
    </w:tbl>
    <w:p w14:paraId="450E6D30">
      <w:pPr>
        <w:pStyle w:val="8"/>
        <w:numPr>
          <w:ilvl w:val="0"/>
          <w:numId w:val="0"/>
        </w:numPr>
        <w:ind w:leftChars="200" w:right="33" w:rightChars="0"/>
        <w:rPr>
          <w:rFonts w:hint="eastAsia" w:ascii="仿宋" w:hAnsi="仿宋" w:eastAsia="仿宋" w:cs="仿宋"/>
          <w:b/>
          <w:bCs/>
          <w:color w:val="auto"/>
          <w:highlight w:val="none"/>
          <w:lang w:val="en-US" w:eastAsia="zh-CN"/>
        </w:rPr>
      </w:pPr>
    </w:p>
    <w:p w14:paraId="1C160010">
      <w:pPr>
        <w:pStyle w:val="8"/>
        <w:numPr>
          <w:ilvl w:val="0"/>
          <w:numId w:val="0"/>
        </w:numPr>
        <w:ind w:leftChars="200" w:right="33" w:rightChars="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分标2：</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277"/>
        <w:gridCol w:w="1052"/>
        <w:gridCol w:w="920"/>
        <w:gridCol w:w="5829"/>
      </w:tblGrid>
      <w:tr w14:paraId="2746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noWrap w:val="0"/>
            <w:vAlign w:val="center"/>
          </w:tcPr>
          <w:p w14:paraId="6994E6E9">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技术要求</w:t>
            </w:r>
          </w:p>
        </w:tc>
      </w:tr>
      <w:tr w14:paraId="11A3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4" w:type="pct"/>
            <w:noWrap w:val="0"/>
            <w:vAlign w:val="center"/>
          </w:tcPr>
          <w:p w14:paraId="6C1CF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647" w:type="pct"/>
            <w:noWrap w:val="0"/>
            <w:vAlign w:val="center"/>
          </w:tcPr>
          <w:p w14:paraId="6A325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w:t>
            </w:r>
            <w:r>
              <w:rPr>
                <w:rFonts w:hint="eastAsia" w:ascii="仿宋" w:hAnsi="仿宋" w:eastAsia="仿宋" w:cs="仿宋"/>
                <w:b/>
                <w:color w:val="auto"/>
                <w:sz w:val="24"/>
                <w:szCs w:val="24"/>
                <w:highlight w:val="none"/>
                <w:lang w:eastAsia="zh-CN"/>
              </w:rPr>
              <w:t>项目</w:t>
            </w:r>
            <w:r>
              <w:rPr>
                <w:rFonts w:hint="eastAsia" w:ascii="仿宋" w:hAnsi="仿宋" w:eastAsia="仿宋" w:cs="仿宋"/>
                <w:b/>
                <w:color w:val="auto"/>
                <w:sz w:val="24"/>
                <w:szCs w:val="24"/>
                <w:highlight w:val="none"/>
              </w:rPr>
              <w:t>名称</w:t>
            </w:r>
          </w:p>
        </w:tc>
        <w:tc>
          <w:tcPr>
            <w:tcW w:w="534" w:type="pct"/>
            <w:noWrap w:val="0"/>
            <w:vAlign w:val="center"/>
          </w:tcPr>
          <w:p w14:paraId="01D5AB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数量及单位</w:t>
            </w:r>
          </w:p>
        </w:tc>
        <w:tc>
          <w:tcPr>
            <w:tcW w:w="467" w:type="pct"/>
            <w:noWrap w:val="0"/>
            <w:vAlign w:val="center"/>
          </w:tcPr>
          <w:p w14:paraId="7D1A1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所属行业</w:t>
            </w:r>
          </w:p>
        </w:tc>
        <w:tc>
          <w:tcPr>
            <w:tcW w:w="2955" w:type="pct"/>
            <w:noWrap w:val="0"/>
            <w:vAlign w:val="center"/>
          </w:tcPr>
          <w:p w14:paraId="73746D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项目内容</w:t>
            </w:r>
          </w:p>
        </w:tc>
      </w:tr>
      <w:tr w14:paraId="1543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4" w:type="pct"/>
            <w:noWrap w:val="0"/>
            <w:vAlign w:val="center"/>
          </w:tcPr>
          <w:p w14:paraId="5ECE59C7">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647" w:type="pct"/>
            <w:noWrap w:val="0"/>
            <w:vAlign w:val="center"/>
          </w:tcPr>
          <w:p w14:paraId="78B355B7">
            <w:pPr>
              <w:pStyle w:val="7"/>
              <w:jc w:val="center"/>
              <w:rPr>
                <w:rFonts w:hint="eastAsia" w:ascii="仿宋" w:hAnsi="仿宋" w:eastAsia="仿宋" w:cs="仿宋"/>
                <w:b/>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校内招聘活动及服务</w:t>
            </w:r>
          </w:p>
        </w:tc>
        <w:tc>
          <w:tcPr>
            <w:tcW w:w="534" w:type="pct"/>
            <w:noWrap w:val="0"/>
            <w:vAlign w:val="center"/>
          </w:tcPr>
          <w:p w14:paraId="27D1F6B1">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467" w:type="pct"/>
            <w:noWrap w:val="0"/>
            <w:vAlign w:val="center"/>
          </w:tcPr>
          <w:p w14:paraId="4DBEFBFF">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租赁和商务服务业</w:t>
            </w:r>
          </w:p>
        </w:tc>
        <w:tc>
          <w:tcPr>
            <w:tcW w:w="2955" w:type="pct"/>
            <w:noWrap w:val="0"/>
            <w:vAlign w:val="center"/>
          </w:tcPr>
          <w:p w14:paraId="05F897A2">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作内容：适配2026年全国、自治区公共就业专项行动相关文件要求，组织校内大型招聘会1场（配套网络招聘会1场）、校内中型招聘会2场（配套网络招聘会2场）、校内小型招聘会1场（配套网络招聘会1场）、就业实践课堂4期等线下活动，以及政策宣传短视频1条。</w:t>
            </w:r>
          </w:p>
          <w:p w14:paraId="6713BC91">
            <w:pPr>
              <w:pStyle w:val="7"/>
              <w:widowControl w:val="0"/>
              <w:numPr>
                <w:ilvl w:val="0"/>
                <w:numId w:val="0"/>
              </w:numPr>
              <w:spacing w:after="120"/>
              <w:jc w:val="both"/>
              <w:rPr>
                <w:rFonts w:hint="eastAsia"/>
                <w:lang w:val="en-US" w:eastAsia="zh-CN"/>
              </w:rPr>
            </w:pPr>
          </w:p>
          <w:p w14:paraId="5F6DAB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二、具体实施要求：</w:t>
            </w:r>
          </w:p>
          <w:p w14:paraId="18F69E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1.于活动前提供活动方案（工作计划），活动结束后提供工作总结和相关工作台账资料。</w:t>
            </w:r>
          </w:p>
          <w:p w14:paraId="7DB611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2.收集、统计每个子活动的成效反馈（包含但不限于服务满意度、初步达成意向数等）。</w:t>
            </w:r>
          </w:p>
          <w:p w14:paraId="4B3233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3.接受采购方监督。</w:t>
            </w:r>
          </w:p>
          <w:p w14:paraId="3B95C1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4.加强活动相关的文稿、数据、现场管理，确保不发生意识形态、数据、现场、食品安全等事故。</w:t>
            </w:r>
          </w:p>
          <w:p w14:paraId="3D0875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校内大型招聘会每场参会企业不少于100家，每场提供岗位2000个以上；校内中型招聘会每场参会企业不少于50家，累计提供岗位2000个以上；校内小型招聘会每场参会企业不少于30家，每场提供岗位600个以上。配套的网络招聘会每场会期不少于30天，具体活动时间以当期文件时间为准，每场参会企业不少于线下招聘会参会用人单位数，提供岗位4600个以上。就业实践课堂累计参加活动的大学生（含毕业生、离校未就业毕业生）累计不少于300人。</w:t>
            </w:r>
          </w:p>
          <w:p w14:paraId="2B7481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6.校内大型招聘会每场发动高校毕业生人数不少于1500人，参会企业累计收取简历数不少于2800份，配套的网络招聘会向不少于 1000名毕业生推送招聘会消息,参会企业累计收取简历数不少于1000份。校内中型招聘会每场招聘会每场发动高校毕业生人数不少于1000人，累计参会企业收取简历数不少于1000份，配套的网络招聘会累计向不少于1000名毕业生推送招聘会消息,参会企业累计收取简历数不少于1000份。校内小型招聘会每场发动高校毕业生人数不少于800人，累计参会企业收取简历数不少于300份，配套的网络招聘会向不少于800名毕业生推送招聘会消息,参会企业累计收取简历数不少于300份。</w:t>
            </w:r>
          </w:p>
          <w:p w14:paraId="67E4DB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媒体推广：每场招聘会至少通过5家媒体发布招聘会信息（其中本地渠道不少于2个），并设计制作活动海报等宣传所需物料（含电子海报、微信推广图、桁架、展架等）。在自有渠道宣传就业实践课堂，包含但不限于前期预热、后期活动情况报道等，自有渠道宣传不少于4次。累计活动的媒体曝光浏览量不少于6000次。制作1条政策宣传短视频，并面向社会发布，累计播放量不少于2000次。</w:t>
            </w:r>
          </w:p>
          <w:p w14:paraId="374A8C0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宣传设计：线下招聘会每场设计1套报名专题页并自有网站上线、每场活动海报不少于1个；网络招聘会设计1套专题页并自有网站上线，在页面开设分会场至少3个，包含但不限于就业政策宣传区、见习专区、就业指导专区等。完成所有活动物料设计。为就业实践课堂设计并制作活动物料，包含但不限于桁架、展架、海报、手举牌、横幅等，不少于1套。</w:t>
            </w:r>
          </w:p>
          <w:p w14:paraId="534F47B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9.为线下招聘会租赁活动场地，租用和搭建招聘展位，完成会场布置、桌椅租用、现场物料设计、制作和搭建、相关部门的活动报备手续和风险评估；配足现场工作人员，</w:t>
            </w:r>
            <w:r>
              <w:rPr>
                <w:rFonts w:hint="eastAsia" w:ascii="仿宋" w:hAnsi="仿宋" w:eastAsia="仿宋" w:cs="仿宋"/>
                <w:color w:val="auto"/>
                <w:sz w:val="24"/>
                <w:szCs w:val="24"/>
                <w:highlight w:val="none"/>
              </w:rPr>
              <w:t>做好会场服务和</w:t>
            </w:r>
            <w:r>
              <w:rPr>
                <w:rFonts w:hint="eastAsia" w:ascii="仿宋" w:hAnsi="仿宋" w:eastAsia="仿宋" w:cs="仿宋"/>
                <w:color w:val="auto"/>
                <w:sz w:val="24"/>
                <w:szCs w:val="24"/>
                <w:highlight w:val="none"/>
                <w:lang w:eastAsia="zh-CN"/>
              </w:rPr>
              <w:t>安</w:t>
            </w:r>
            <w:r>
              <w:rPr>
                <w:rFonts w:hint="eastAsia" w:ascii="仿宋" w:hAnsi="仿宋" w:eastAsia="仿宋" w:cs="仿宋"/>
                <w:color w:val="auto"/>
                <w:sz w:val="24"/>
                <w:szCs w:val="24"/>
                <w:highlight w:val="none"/>
                <w:lang w:val="en-US" w:eastAsia="zh-CN"/>
              </w:rPr>
              <w:t>保</w:t>
            </w:r>
            <w:r>
              <w:rPr>
                <w:rFonts w:hint="eastAsia" w:ascii="仿宋" w:hAnsi="仿宋" w:eastAsia="仿宋" w:cs="仿宋"/>
                <w:color w:val="auto"/>
                <w:sz w:val="24"/>
                <w:szCs w:val="24"/>
                <w:highlight w:val="none"/>
              </w:rPr>
              <w:t>等工作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保障活动不发生安全事故。</w:t>
            </w:r>
          </w:p>
          <w:p w14:paraId="5535DF0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10.为网络招聘会做好会期的页面运维、数据抓取等，并保障不发生信息泄漏、意识形态、招聘歧视等安全事故。</w:t>
            </w:r>
          </w:p>
          <w:p w14:paraId="3F62B8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每场线下招聘活动前后举办桂林就业环境、政策的宣讲或就业指导讲座，或辅导员、毕业生的就业沙龙，至少1场；在招聘会现场设立咨询台，提供政策、就业指导、培训、档案等咨询服务，每场配备政策咨询人员不少于3人、就业指导类专家1-2人。</w:t>
            </w:r>
          </w:p>
          <w:p w14:paraId="149CEB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12.线下</w:t>
            </w:r>
            <w:r>
              <w:rPr>
                <w:rFonts w:hint="eastAsia" w:ascii="仿宋" w:hAnsi="仿宋" w:eastAsia="仿宋" w:cs="仿宋"/>
                <w:color w:val="auto"/>
                <w:kern w:val="2"/>
                <w:sz w:val="24"/>
                <w:szCs w:val="24"/>
                <w:highlight w:val="none"/>
                <w:lang w:val="en-US" w:eastAsia="zh-CN" w:bidi="ar-SA"/>
              </w:rPr>
              <w:t>招聘活动</w:t>
            </w:r>
            <w:r>
              <w:rPr>
                <w:rFonts w:hint="eastAsia" w:ascii="仿宋" w:hAnsi="仿宋" w:eastAsia="仿宋" w:cs="仿宋"/>
                <w:color w:val="auto"/>
                <w:sz w:val="24"/>
                <w:szCs w:val="24"/>
                <w:highlight w:val="none"/>
              </w:rPr>
              <w:t>餐饮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现场工作人员、企业招聘代表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咨询专家、安保工作人员、志愿者等人员</w:t>
            </w:r>
            <w:r>
              <w:rPr>
                <w:rFonts w:hint="eastAsia" w:ascii="仿宋" w:hAnsi="仿宋" w:eastAsia="仿宋" w:cs="仿宋"/>
                <w:color w:val="auto"/>
                <w:sz w:val="24"/>
                <w:szCs w:val="24"/>
                <w:highlight w:val="none"/>
              </w:rPr>
              <w:t>的工作餐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水</w:t>
            </w:r>
            <w:r>
              <w:rPr>
                <w:rFonts w:hint="eastAsia" w:ascii="仿宋" w:hAnsi="仿宋" w:eastAsia="仿宋" w:cs="仿宋"/>
                <w:color w:val="auto"/>
                <w:sz w:val="24"/>
                <w:szCs w:val="24"/>
                <w:highlight w:val="none"/>
              </w:rPr>
              <w:t>，餐标不低于25元/人。</w:t>
            </w:r>
          </w:p>
          <w:p w14:paraId="48A0FD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13.为参会用人单位、求职者提供平台使用（包含但不限于简历查询、简历投递、职位搜索、视频面试等招聘会必要配套功能的使用）、招聘活动咨询等服务等。</w:t>
            </w:r>
          </w:p>
          <w:p w14:paraId="613EAC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14.每场配套的网络招聘会期间，组织不少于2场直播带岗（非招聘会现场走播）或云上宣讲，累计参与企业不少于12家，累计点击和播放量不少于20000次，直播带岗或云上宣讲参与企业累计接收简历不少于400份。</w:t>
            </w:r>
          </w:p>
          <w:p w14:paraId="7437ED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15.所有活动期间的招聘页面运维。</w:t>
            </w:r>
          </w:p>
          <w:p w14:paraId="69ADE9A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16.为就业实践课堂提供市内交通用车租赁、水、备用药等服务。</w:t>
            </w:r>
          </w:p>
          <w:p w14:paraId="185F5E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17.为参加就业实践课堂的大学生（含毕业生、离校未就业毕业生）购买活动期间的意外险。</w:t>
            </w:r>
          </w:p>
          <w:p w14:paraId="4FB3F6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18.为就业实践课堂拍摄并制作活动视频，视频版权归属采购方，视频制作所涉内容无版权等纠纷。活动视频在社会媒介平台推广发布，累计播放量不少于1000次。</w:t>
            </w:r>
          </w:p>
          <w:p w14:paraId="4335D70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19.向城管、公安等部门办理活动举办所须的相关报备手续。</w:t>
            </w:r>
          </w:p>
          <w:p w14:paraId="2D266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lang w:val="en-US"/>
              </w:rPr>
            </w:pPr>
            <w:r>
              <w:rPr>
                <w:rFonts w:hint="eastAsia" w:ascii="仿宋" w:hAnsi="仿宋" w:eastAsia="仿宋" w:cs="仿宋"/>
                <w:color w:val="auto"/>
                <w:sz w:val="24"/>
                <w:szCs w:val="24"/>
                <w:highlight w:val="none"/>
                <w:lang w:val="en-US" w:eastAsia="zh-CN"/>
              </w:rPr>
              <w:t>20.提供政策短视频的脚本、画面设计、动画制作等，政策短视频时长不少于60秒，视频版权归属采购方，视频制作所涉内容无版权等纠纷。</w:t>
            </w:r>
          </w:p>
        </w:tc>
      </w:tr>
      <w:tr w14:paraId="28DD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00" w:type="pct"/>
            <w:gridSpan w:val="5"/>
            <w:noWrap w:val="0"/>
            <w:vAlign w:val="center"/>
          </w:tcPr>
          <w:p w14:paraId="6278FB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商务要求</w:t>
            </w:r>
          </w:p>
        </w:tc>
      </w:tr>
      <w:tr w14:paraId="35D5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42" w:type="pct"/>
            <w:gridSpan w:val="2"/>
            <w:noWrap w:val="0"/>
            <w:vAlign w:val="center"/>
          </w:tcPr>
          <w:p w14:paraId="03E2E400">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服务</w:t>
            </w:r>
            <w:r>
              <w:rPr>
                <w:rFonts w:hint="eastAsia" w:ascii="仿宋" w:hAnsi="仿宋" w:eastAsia="仿宋" w:cs="仿宋"/>
                <w:b/>
                <w:bCs/>
                <w:color w:val="auto"/>
                <w:sz w:val="24"/>
                <w:szCs w:val="24"/>
                <w:highlight w:val="none"/>
                <w:lang w:val="en-US" w:eastAsia="zh-CN"/>
              </w:rPr>
              <w:t>期限</w:t>
            </w:r>
          </w:p>
        </w:tc>
        <w:tc>
          <w:tcPr>
            <w:tcW w:w="3957" w:type="pct"/>
            <w:gridSpan w:val="3"/>
            <w:noWrap w:val="0"/>
            <w:vAlign w:val="center"/>
          </w:tcPr>
          <w:p w14:paraId="023B4D3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签订合同</w:t>
            </w:r>
            <w:r>
              <w:rPr>
                <w:rFonts w:hint="eastAsia" w:ascii="仿宋" w:hAnsi="仿宋" w:eastAsia="仿宋" w:cs="仿宋"/>
                <w:color w:val="auto"/>
                <w:sz w:val="24"/>
                <w:szCs w:val="24"/>
                <w:highlight w:val="none"/>
                <w:lang w:val="en-US" w:eastAsia="zh-CN"/>
              </w:rPr>
              <w:t>之日起</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none"/>
                <w:lang w:val="en-US" w:eastAsia="zh-CN"/>
              </w:rPr>
              <w:t>2027</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u w:val="none"/>
                <w:lang w:val="en-US" w:eastAsia="zh-CN"/>
              </w:rPr>
              <w:t>止</w:t>
            </w:r>
            <w:r>
              <w:rPr>
                <w:rFonts w:hint="eastAsia" w:ascii="仿宋" w:hAnsi="仿宋" w:eastAsia="仿宋" w:cs="仿宋"/>
                <w:color w:val="auto"/>
                <w:sz w:val="24"/>
                <w:szCs w:val="24"/>
                <w:highlight w:val="none"/>
              </w:rPr>
              <w:t>。</w:t>
            </w:r>
          </w:p>
        </w:tc>
      </w:tr>
      <w:tr w14:paraId="6331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42" w:type="pct"/>
            <w:gridSpan w:val="2"/>
            <w:noWrap w:val="0"/>
            <w:vAlign w:val="center"/>
          </w:tcPr>
          <w:p w14:paraId="2BCB6E5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服务地点</w:t>
            </w:r>
          </w:p>
        </w:tc>
        <w:tc>
          <w:tcPr>
            <w:tcW w:w="3957" w:type="pct"/>
            <w:gridSpan w:val="3"/>
            <w:noWrap w:val="0"/>
            <w:vAlign w:val="center"/>
          </w:tcPr>
          <w:p w14:paraId="7A47A6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桂林市采购人指定地点。</w:t>
            </w:r>
          </w:p>
        </w:tc>
      </w:tr>
      <w:tr w14:paraId="33A2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2" w:type="pct"/>
            <w:gridSpan w:val="2"/>
            <w:noWrap w:val="0"/>
            <w:vAlign w:val="center"/>
          </w:tcPr>
          <w:p w14:paraId="2BD2C03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报价要求</w:t>
            </w:r>
          </w:p>
        </w:tc>
        <w:tc>
          <w:tcPr>
            <w:tcW w:w="3957" w:type="pct"/>
            <w:gridSpan w:val="3"/>
            <w:noWrap w:val="0"/>
            <w:vAlign w:val="center"/>
          </w:tcPr>
          <w:p w14:paraId="117A19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应包括完成本次服务采购需求范围内所需的劳务费、技术服务费、策划设计、制作、现场执行、版权或知识产权、管理费、利润、验收、税金和风险等一切相关的全部费用。该价格不因投标人在计算报价中的失误、漏项、多项而做任何调整；投标人的报价在合同实施期间应保持不变。除此之外，采购人不再另行支付任何费用。</w:t>
            </w:r>
          </w:p>
        </w:tc>
      </w:tr>
      <w:tr w14:paraId="3C50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2" w:type="pct"/>
            <w:gridSpan w:val="2"/>
            <w:noWrap w:val="0"/>
            <w:vAlign w:val="center"/>
          </w:tcPr>
          <w:p w14:paraId="23EFBD9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付款方式</w:t>
            </w:r>
          </w:p>
        </w:tc>
        <w:tc>
          <w:tcPr>
            <w:tcW w:w="3957" w:type="pct"/>
            <w:gridSpan w:val="3"/>
            <w:noWrap w:val="0"/>
            <w:vAlign w:val="center"/>
          </w:tcPr>
          <w:p w14:paraId="78AB9E9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合同签订后至少分2次支付合同款项，其中首次支付比例不高于本标段中标价的30%，全部款项支付完成不超过项目完成并验收后60日（具体支付时间和金额以财政每次批复的时间、批复的金额为准）。</w:t>
            </w:r>
          </w:p>
        </w:tc>
      </w:tr>
      <w:tr w14:paraId="28E6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2" w:type="pct"/>
            <w:gridSpan w:val="2"/>
            <w:noWrap w:val="0"/>
            <w:vAlign w:val="center"/>
          </w:tcPr>
          <w:p w14:paraId="2770DCED">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其他要求</w:t>
            </w:r>
          </w:p>
        </w:tc>
        <w:tc>
          <w:tcPr>
            <w:tcW w:w="3957" w:type="pct"/>
            <w:gridSpan w:val="3"/>
            <w:noWrap w:val="0"/>
            <w:vAlign w:val="center"/>
          </w:tcPr>
          <w:p w14:paraId="6C3B97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）根据项目的实际情况，中标供应商必须承诺按采购人的要求，</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前一周与主办方确认</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需求，提前一天按要求做好会场布置，</w:t>
            </w:r>
            <w:r>
              <w:rPr>
                <w:rFonts w:hint="eastAsia" w:ascii="仿宋" w:hAnsi="仿宋" w:eastAsia="仿宋" w:cs="仿宋"/>
                <w:color w:val="auto"/>
                <w:sz w:val="24"/>
                <w:szCs w:val="24"/>
                <w:highlight w:val="none"/>
                <w:lang w:eastAsia="zh-Hans"/>
              </w:rPr>
              <w:t>包</w:t>
            </w:r>
            <w:r>
              <w:rPr>
                <w:rFonts w:hint="eastAsia" w:ascii="仿宋" w:hAnsi="仿宋" w:eastAsia="仿宋" w:cs="仿宋"/>
                <w:color w:val="auto"/>
                <w:sz w:val="24"/>
                <w:szCs w:val="24"/>
                <w:highlight w:val="none"/>
              </w:rPr>
              <w:t>含</w:t>
            </w:r>
            <w:r>
              <w:rPr>
                <w:rFonts w:hint="eastAsia" w:ascii="仿宋" w:hAnsi="仿宋" w:eastAsia="仿宋" w:cs="仿宋"/>
                <w:color w:val="auto"/>
                <w:sz w:val="24"/>
                <w:szCs w:val="24"/>
                <w:highlight w:val="none"/>
                <w:lang w:eastAsia="zh-Hans"/>
              </w:rPr>
              <w:t>但不仅限于</w:t>
            </w:r>
            <w:r>
              <w:rPr>
                <w:rFonts w:hint="eastAsia" w:ascii="仿宋" w:hAnsi="仿宋" w:eastAsia="仿宋" w:cs="仿宋"/>
                <w:color w:val="auto"/>
                <w:sz w:val="24"/>
                <w:szCs w:val="24"/>
                <w:highlight w:val="none"/>
                <w:lang w:eastAsia="zh-CN"/>
              </w:rPr>
              <w:t>招聘场地</w:t>
            </w:r>
            <w:r>
              <w:rPr>
                <w:rFonts w:hint="eastAsia" w:ascii="仿宋" w:hAnsi="仿宋" w:eastAsia="仿宋" w:cs="仿宋"/>
                <w:color w:val="auto"/>
                <w:sz w:val="24"/>
                <w:szCs w:val="24"/>
                <w:highlight w:val="none"/>
              </w:rPr>
              <w:t>搭建，企业门楣、宣传横幅等布置，会议结束后</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还需整理</w:t>
            </w:r>
            <w:r>
              <w:rPr>
                <w:rFonts w:hint="eastAsia" w:ascii="仿宋" w:hAnsi="仿宋" w:eastAsia="仿宋" w:cs="仿宋"/>
                <w:color w:val="auto"/>
                <w:sz w:val="24"/>
                <w:szCs w:val="24"/>
                <w:highlight w:val="none"/>
                <w:lang w:eastAsia="zh-CN"/>
              </w:rPr>
              <w:t>相关资料</w:t>
            </w:r>
            <w:r>
              <w:rPr>
                <w:rFonts w:hint="eastAsia" w:ascii="仿宋" w:hAnsi="仿宋" w:eastAsia="仿宋" w:cs="仿宋"/>
                <w:color w:val="auto"/>
                <w:sz w:val="24"/>
                <w:szCs w:val="24"/>
                <w:highlight w:val="none"/>
              </w:rPr>
              <w:t>交由采购人存档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并按采购方要求同步实施离校未就业高校毕业生就业服务。</w:t>
            </w:r>
          </w:p>
          <w:p w14:paraId="27191A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标段</w:t>
            </w:r>
            <w:r>
              <w:rPr>
                <w:rFonts w:hint="eastAsia" w:ascii="仿宋" w:hAnsi="仿宋" w:eastAsia="仿宋" w:cs="仿宋"/>
                <w:color w:val="auto"/>
                <w:sz w:val="24"/>
                <w:szCs w:val="24"/>
                <w:highlight w:val="none"/>
              </w:rPr>
              <w:t>采购预算金额：</w:t>
            </w:r>
            <w:r>
              <w:rPr>
                <w:rFonts w:hint="eastAsia" w:ascii="仿宋" w:hAnsi="仿宋" w:eastAsia="仿宋" w:cs="仿宋"/>
                <w:color w:val="auto"/>
                <w:sz w:val="24"/>
                <w:szCs w:val="24"/>
                <w:highlight w:val="none"/>
                <w:lang w:eastAsia="zh-CN"/>
              </w:rPr>
              <w:t>人民币</w:t>
            </w:r>
            <w:r>
              <w:rPr>
                <w:rFonts w:hint="eastAsia" w:ascii="仿宋" w:hAnsi="仿宋" w:eastAsia="仿宋" w:cs="仿宋"/>
                <w:color w:val="auto"/>
                <w:sz w:val="24"/>
                <w:szCs w:val="24"/>
                <w:highlight w:val="none"/>
                <w:lang w:val="en-US" w:eastAsia="zh-CN"/>
              </w:rPr>
              <w:t>肆</w:t>
            </w:r>
            <w:r>
              <w:rPr>
                <w:rFonts w:hint="eastAsia" w:ascii="仿宋" w:hAnsi="仿宋" w:eastAsia="仿宋" w:cs="仿宋"/>
                <w:color w:val="auto"/>
                <w:sz w:val="24"/>
                <w:szCs w:val="24"/>
                <w:highlight w:val="none"/>
                <w:lang w:eastAsia="zh-CN"/>
              </w:rPr>
              <w:t>拾</w:t>
            </w:r>
            <w:r>
              <w:rPr>
                <w:rFonts w:hint="eastAsia" w:ascii="仿宋" w:hAnsi="仿宋" w:eastAsia="仿宋" w:cs="仿宋"/>
                <w:color w:val="auto"/>
                <w:sz w:val="24"/>
                <w:szCs w:val="24"/>
                <w:highlight w:val="none"/>
                <w:lang w:val="en-US" w:eastAsia="zh-CN"/>
              </w:rPr>
              <w:t>伍</w:t>
            </w:r>
            <w:r>
              <w:rPr>
                <w:rFonts w:hint="eastAsia" w:ascii="仿宋" w:hAnsi="仿宋" w:eastAsia="仿宋" w:cs="仿宋"/>
                <w:color w:val="auto"/>
                <w:sz w:val="24"/>
                <w:szCs w:val="24"/>
                <w:highlight w:val="none"/>
                <w:lang w:eastAsia="zh-CN"/>
              </w:rPr>
              <w:t>万</w:t>
            </w:r>
            <w:r>
              <w:rPr>
                <w:rFonts w:hint="eastAsia" w:ascii="仿宋" w:hAnsi="仿宋" w:eastAsia="仿宋" w:cs="仿宋"/>
                <w:color w:val="auto"/>
                <w:sz w:val="24"/>
                <w:szCs w:val="24"/>
                <w:highlight w:val="none"/>
                <w:lang w:val="en-US" w:eastAsia="zh-CN"/>
              </w:rPr>
              <w:t>壹仟柒佰</w:t>
            </w:r>
            <w:r>
              <w:rPr>
                <w:rFonts w:hint="eastAsia" w:ascii="仿宋" w:hAnsi="仿宋" w:eastAsia="仿宋" w:cs="仿宋"/>
                <w:color w:val="auto"/>
                <w:sz w:val="24"/>
                <w:szCs w:val="24"/>
                <w:highlight w:val="none"/>
                <w:lang w:eastAsia="zh-CN"/>
              </w:rPr>
              <w:t>元整（¥</w:t>
            </w:r>
            <w:r>
              <w:rPr>
                <w:rFonts w:hint="eastAsia" w:ascii="仿宋" w:hAnsi="仿宋" w:eastAsia="仿宋" w:cs="仿宋"/>
                <w:color w:val="auto"/>
                <w:sz w:val="24"/>
                <w:szCs w:val="24"/>
                <w:highlight w:val="none"/>
                <w:lang w:val="en-US" w:eastAsia="zh-CN"/>
              </w:rPr>
              <w:t>451700</w:t>
            </w:r>
            <w:r>
              <w:rPr>
                <w:rFonts w:hint="eastAsia" w:ascii="仿宋" w:hAnsi="仿宋" w:eastAsia="仿宋" w:cs="仿宋"/>
                <w:color w:val="auto"/>
                <w:sz w:val="24"/>
                <w:szCs w:val="24"/>
                <w:highlight w:val="none"/>
                <w:lang w:eastAsia="zh-CN"/>
              </w:rPr>
              <w:t>.00）</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u w:val="single"/>
              </w:rPr>
              <w:t>投标人的投标报价不得超过采购预算金额，否则投标文件无效。</w:t>
            </w:r>
          </w:p>
        </w:tc>
      </w:tr>
    </w:tbl>
    <w:p w14:paraId="62DE506B">
      <w:pPr>
        <w:pStyle w:val="8"/>
        <w:numPr>
          <w:ilvl w:val="0"/>
          <w:numId w:val="0"/>
        </w:numPr>
        <w:ind w:leftChars="200" w:right="33" w:rightChars="0"/>
        <w:rPr>
          <w:rFonts w:hint="eastAsia" w:ascii="仿宋" w:hAnsi="仿宋" w:eastAsia="仿宋" w:cs="仿宋"/>
          <w:b/>
          <w:bCs/>
          <w:color w:val="auto"/>
          <w:highlight w:val="none"/>
          <w:lang w:val="en-US" w:eastAsia="zh-CN"/>
        </w:rPr>
      </w:pPr>
    </w:p>
    <w:p w14:paraId="16F962DB">
      <w:pPr>
        <w:pStyle w:val="8"/>
        <w:numPr>
          <w:ilvl w:val="0"/>
          <w:numId w:val="0"/>
        </w:numPr>
        <w:ind w:leftChars="200" w:right="33" w:rightChars="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分标3：</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281"/>
        <w:gridCol w:w="1082"/>
        <w:gridCol w:w="879"/>
        <w:gridCol w:w="5810"/>
      </w:tblGrid>
      <w:tr w14:paraId="14F3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000" w:type="pct"/>
            <w:gridSpan w:val="5"/>
            <w:noWrap w:val="0"/>
            <w:vAlign w:val="center"/>
          </w:tcPr>
          <w:p w14:paraId="3EA25BE7">
            <w:pPr>
              <w:spacing w:line="360" w:lineRule="auto"/>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技术要求</w:t>
            </w:r>
          </w:p>
        </w:tc>
      </w:tr>
      <w:tr w14:paraId="149B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07" w:type="pct"/>
            <w:noWrap w:val="0"/>
            <w:vAlign w:val="center"/>
          </w:tcPr>
          <w:p w14:paraId="268FF858">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649" w:type="pct"/>
            <w:noWrap w:val="0"/>
            <w:vAlign w:val="center"/>
          </w:tcPr>
          <w:p w14:paraId="3A495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w:t>
            </w:r>
            <w:r>
              <w:rPr>
                <w:rFonts w:hint="eastAsia" w:ascii="仿宋" w:hAnsi="仿宋" w:eastAsia="仿宋" w:cs="仿宋"/>
                <w:b/>
                <w:color w:val="auto"/>
                <w:sz w:val="24"/>
                <w:szCs w:val="24"/>
                <w:highlight w:val="none"/>
                <w:lang w:eastAsia="zh-CN"/>
              </w:rPr>
              <w:t>项目</w:t>
            </w:r>
            <w:r>
              <w:rPr>
                <w:rFonts w:hint="eastAsia" w:ascii="仿宋" w:hAnsi="仿宋" w:eastAsia="仿宋" w:cs="仿宋"/>
                <w:b/>
                <w:color w:val="auto"/>
                <w:sz w:val="24"/>
                <w:szCs w:val="24"/>
                <w:highlight w:val="none"/>
              </w:rPr>
              <w:t>名称</w:t>
            </w:r>
          </w:p>
        </w:tc>
        <w:tc>
          <w:tcPr>
            <w:tcW w:w="549" w:type="pct"/>
            <w:noWrap w:val="0"/>
            <w:vAlign w:val="center"/>
          </w:tcPr>
          <w:p w14:paraId="63CC5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数量及单位</w:t>
            </w:r>
          </w:p>
        </w:tc>
        <w:tc>
          <w:tcPr>
            <w:tcW w:w="446" w:type="pct"/>
            <w:noWrap w:val="0"/>
            <w:vAlign w:val="center"/>
          </w:tcPr>
          <w:p w14:paraId="3B7520A4">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所属行业</w:t>
            </w:r>
          </w:p>
        </w:tc>
        <w:tc>
          <w:tcPr>
            <w:tcW w:w="2947" w:type="pct"/>
            <w:noWrap w:val="0"/>
            <w:vAlign w:val="center"/>
          </w:tcPr>
          <w:p w14:paraId="6923FAF1">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项目内容</w:t>
            </w:r>
          </w:p>
        </w:tc>
      </w:tr>
      <w:tr w14:paraId="5273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07" w:type="pct"/>
            <w:noWrap w:val="0"/>
            <w:vAlign w:val="center"/>
          </w:tcPr>
          <w:p w14:paraId="166078CF">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649" w:type="pct"/>
            <w:noWrap w:val="0"/>
            <w:vAlign w:val="center"/>
          </w:tcPr>
          <w:p w14:paraId="1FA47417">
            <w:pPr>
              <w:pStyle w:val="7"/>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离校未就业高校毕业生招聘服务</w:t>
            </w:r>
          </w:p>
        </w:tc>
        <w:tc>
          <w:tcPr>
            <w:tcW w:w="549" w:type="pct"/>
            <w:noWrap w:val="0"/>
            <w:vAlign w:val="center"/>
          </w:tcPr>
          <w:p w14:paraId="43B2FAEF">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446" w:type="pct"/>
            <w:noWrap w:val="0"/>
            <w:vAlign w:val="center"/>
          </w:tcPr>
          <w:p w14:paraId="7AFAB155">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租赁和商务服务业</w:t>
            </w:r>
          </w:p>
        </w:tc>
        <w:tc>
          <w:tcPr>
            <w:tcW w:w="2947" w:type="pct"/>
            <w:noWrap w:val="0"/>
            <w:vAlign w:val="center"/>
          </w:tcPr>
          <w:p w14:paraId="2C02D7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工作内容：适配2026年全国、自治区公共就业专项行动相关文件要求，组织校外大型线下招聘会1场（配套网络招聘会1场）、校外小型线下招聘会2场（配套网络招聘会2场）、就业见习网络招聘会1场、人才集市2场，摄制就业典型视频就业典型2个，以及制作政策宣传短视频至少2条，对离校未就业高校毕业生开展定向邀约。</w:t>
            </w:r>
          </w:p>
          <w:p w14:paraId="7FD5B5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p>
          <w:p w14:paraId="0D0F32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二、具体实施要求：</w:t>
            </w:r>
          </w:p>
          <w:p w14:paraId="7FDF5A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1.于活动前提供活动方案（工作计划），活动结束后提供工作总结和相关工作台账资料。</w:t>
            </w:r>
          </w:p>
          <w:p w14:paraId="556350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2.收集、统计每个子活动的成效反馈（包含但不限于服务满意度、初步达成意向数等）。</w:t>
            </w:r>
          </w:p>
          <w:p w14:paraId="3D6ADF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3.接受采购方监督。</w:t>
            </w:r>
          </w:p>
          <w:p w14:paraId="3686A1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4.加强活动相关的文稿、数据、现场管理，确保不发生意识形态、数据、现场、食品安全等事故。</w:t>
            </w:r>
          </w:p>
          <w:p w14:paraId="267D38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校外大型线下招聘会每场参会企业不少于100家，每场提供岗位2000个以上，配套的网络招聘会会期不少于30天，具体活动时间以当期文件时间为准，参会企业不少于线下招聘会参会用人单位数，提供岗位2000个以上。校外小型线下招聘会每场参会企业不少于30家，累计提供岗位1200个以上，配套的网络招聘会会期不少于30天，具体活动时间以当期文件时间为准，参会企业不少于线下招聘会参会用人单位数，累计提供岗位1200个以上。就业见习网络招聘会会期不少于30天，具体活动时间以当期文件时间为准，组织不少于60家企业（含见习基地）参会，提供岗位600个以上。人才集市每场参会企业不少于22家，累计提供岗位880个以上。所有岗位包含但不限于桂林市的岗位。</w:t>
            </w:r>
          </w:p>
          <w:p w14:paraId="19F4FD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校外大型线下招聘会每场发动高校毕业生人数不少于6000人，参会企业累计收取简历数不少于2000份，配套的网络招聘会向不少于3000名毕业生推送活动消息，参会企业累计收取简历数不少于2500份。校外小型线下招聘会每场发动高校毕业生人数不少于750人，累计参会企业收取简历数不少于600份，配套的网络招聘会每场向不少于800名毕业生推送招聘会消息,参会企业累计收取简历数不少于600份。就业见习网络招聘会向不少于1000名毕业生推送招聘会消息，参会企业累计收取简历数不少于500份。人才集市每场发动高校毕业生人数不少于750人，累计参会企业收取简历数不少于300份。</w:t>
            </w:r>
          </w:p>
          <w:p w14:paraId="380B21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媒体推广：每场招聘会至少通过5家媒体发布招聘会信息（其中本地渠道不少于2个），并设计制作活动海报等宣传所需物料（含电子海报、微信推广图、桁架、展架等），每场活动的媒体曝光浏览量不少于2万次。制作2条政策宣传短视频，并面向社会发布，累计播放量不少于4000次。</w:t>
            </w:r>
          </w:p>
          <w:p w14:paraId="6E2DF8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宣传设计：线下招聘会每场设计1套报名专题页并自有网站上线、每场活动海报不少于1个；网络招聘会设计1套专题页并自有网站上线，在页面开设分会场至少3个，包含但不限于就业政策宣传区、见习专区、就业指导专区等。完成所有活动物料设计。</w:t>
            </w:r>
          </w:p>
          <w:p w14:paraId="0CE1D5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9.为网络招聘会做好会期的页面运维、数据抓取等，并保障不发生信息泄漏、意识形态、招聘歧视等安全事故。</w:t>
            </w:r>
          </w:p>
          <w:p w14:paraId="37D866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10.为线下招聘会租赁活动场地，租用和搭建招聘展位，完成会场布置、桌椅租用、现场物料设计、制作和搭建、相关部门的活动报备手续和风险评估；配足现场工作人员，</w:t>
            </w:r>
            <w:r>
              <w:rPr>
                <w:rFonts w:hint="eastAsia" w:ascii="仿宋" w:hAnsi="仿宋" w:eastAsia="仿宋" w:cs="仿宋"/>
                <w:color w:val="auto"/>
                <w:sz w:val="24"/>
                <w:szCs w:val="24"/>
                <w:highlight w:val="none"/>
              </w:rPr>
              <w:t>做好会场服务和</w:t>
            </w:r>
            <w:r>
              <w:rPr>
                <w:rFonts w:hint="eastAsia" w:ascii="仿宋" w:hAnsi="仿宋" w:eastAsia="仿宋" w:cs="仿宋"/>
                <w:color w:val="auto"/>
                <w:sz w:val="24"/>
                <w:szCs w:val="24"/>
                <w:highlight w:val="none"/>
                <w:lang w:eastAsia="zh-CN"/>
              </w:rPr>
              <w:t>安</w:t>
            </w:r>
            <w:r>
              <w:rPr>
                <w:rFonts w:hint="eastAsia" w:ascii="仿宋" w:hAnsi="仿宋" w:eastAsia="仿宋" w:cs="仿宋"/>
                <w:color w:val="auto"/>
                <w:sz w:val="24"/>
                <w:szCs w:val="24"/>
                <w:highlight w:val="none"/>
                <w:lang w:val="en-US" w:eastAsia="zh-CN"/>
              </w:rPr>
              <w:t>保</w:t>
            </w:r>
            <w:r>
              <w:rPr>
                <w:rFonts w:hint="eastAsia" w:ascii="仿宋" w:hAnsi="仿宋" w:eastAsia="仿宋" w:cs="仿宋"/>
                <w:color w:val="auto"/>
                <w:sz w:val="24"/>
                <w:szCs w:val="24"/>
                <w:highlight w:val="none"/>
              </w:rPr>
              <w:t>等工作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保障活动不发生安全事故。</w:t>
            </w:r>
          </w:p>
          <w:p w14:paraId="145FE6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11.每场线下</w:t>
            </w:r>
            <w:r>
              <w:rPr>
                <w:rFonts w:hint="eastAsia" w:ascii="仿宋" w:hAnsi="仿宋" w:eastAsia="仿宋" w:cs="仿宋"/>
                <w:color w:val="auto"/>
                <w:kern w:val="2"/>
                <w:sz w:val="24"/>
                <w:szCs w:val="24"/>
                <w:highlight w:val="none"/>
                <w:lang w:val="en-US" w:eastAsia="zh-CN" w:bidi="ar-SA"/>
              </w:rPr>
              <w:t>招聘活动前后举办桂林就业环境、政策的宣讲或就业指导讲座，或辅导员、毕业生的就业沙龙，至少1场</w:t>
            </w:r>
            <w:r>
              <w:rPr>
                <w:rFonts w:hint="eastAsia" w:ascii="仿宋" w:hAnsi="仿宋" w:eastAsia="仿宋" w:cs="仿宋"/>
                <w:color w:val="auto"/>
                <w:sz w:val="24"/>
                <w:szCs w:val="24"/>
                <w:highlight w:val="none"/>
                <w:lang w:val="en-US" w:eastAsia="zh-CN"/>
              </w:rPr>
              <w:t>，人才集市除外</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在每场招聘会现场设立咨询台，提供政策、就业指导、培训、档案等咨询服务，每场配备政策咨询人员不少于3人、就业指导类专家1-2人。</w:t>
            </w:r>
          </w:p>
          <w:p w14:paraId="4CF73F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12.线下</w:t>
            </w:r>
            <w:r>
              <w:rPr>
                <w:rFonts w:hint="eastAsia" w:ascii="仿宋" w:hAnsi="仿宋" w:eastAsia="仿宋" w:cs="仿宋"/>
                <w:color w:val="auto"/>
                <w:kern w:val="2"/>
                <w:sz w:val="24"/>
                <w:szCs w:val="24"/>
                <w:highlight w:val="none"/>
                <w:lang w:val="en-US" w:eastAsia="zh-CN" w:bidi="ar-SA"/>
              </w:rPr>
              <w:t>招聘活动</w:t>
            </w:r>
            <w:r>
              <w:rPr>
                <w:rFonts w:hint="eastAsia" w:ascii="仿宋" w:hAnsi="仿宋" w:eastAsia="仿宋" w:cs="仿宋"/>
                <w:color w:val="auto"/>
                <w:sz w:val="24"/>
                <w:szCs w:val="24"/>
                <w:highlight w:val="none"/>
              </w:rPr>
              <w:t>餐饮</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现场工作人员、企业招聘代表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咨询专家、安保工作人员、志愿者等人员</w:t>
            </w:r>
            <w:r>
              <w:rPr>
                <w:rFonts w:hint="eastAsia" w:ascii="仿宋" w:hAnsi="仿宋" w:eastAsia="仿宋" w:cs="仿宋"/>
                <w:color w:val="auto"/>
                <w:sz w:val="24"/>
                <w:szCs w:val="24"/>
                <w:highlight w:val="none"/>
              </w:rPr>
              <w:t>的工作餐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水</w:t>
            </w:r>
            <w:r>
              <w:rPr>
                <w:rFonts w:hint="eastAsia" w:ascii="仿宋" w:hAnsi="仿宋" w:eastAsia="仿宋" w:cs="仿宋"/>
                <w:color w:val="auto"/>
                <w:sz w:val="24"/>
                <w:szCs w:val="24"/>
                <w:highlight w:val="none"/>
              </w:rPr>
              <w:t>，餐标不低于25元/人。</w:t>
            </w:r>
          </w:p>
          <w:p w14:paraId="1841D9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13.为参会用人单位、求职者提供平台使用（包含但不限于简历查询、简历投递、职位搜索、视频面试等招聘会必要配套功能的使用）、招聘活动咨询等服务等。</w:t>
            </w:r>
          </w:p>
          <w:p w14:paraId="607B92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每场配套的网络招聘会期间，组织不少于2场直播带岗（非招聘会现场走播）或云上宣讲，累计参与企业不少于6家，累计点击和播放量不少于10000次，直播带岗或云上宣讲参与企业累计接收简历不少于200份。就业见习网络招聘会期间，组织不少于2场直播带岗（非招聘会现场走播）或云上宣讲，累计参与企业不少于6家，累计点击和播放量不少于10000次，直播带岗或云上宣讲参与企业累计接收简历不少于200份。</w:t>
            </w:r>
          </w:p>
          <w:p w14:paraId="413B6A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15.所有活动期间的招聘页面运维。</w:t>
            </w:r>
          </w:p>
          <w:p w14:paraId="3A48A5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16.提供政策短视频的脚本、画面设计、动画制作等，每条政策短视频时长不少于60秒，视频版权归属采购方，视频制作所涉内容无版权等纠纷。</w:t>
            </w:r>
          </w:p>
          <w:p w14:paraId="532A0D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17.向城管、公安等部门办理活动举办所须的相关报备手续。</w:t>
            </w:r>
          </w:p>
          <w:p w14:paraId="5949DF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18.“平凡岗位·精彩人生”就业典型视频：</w:t>
            </w:r>
          </w:p>
          <w:p w14:paraId="2902B8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（1）优秀留桂就业毕业生典型不少于2名，提供视频选题策划、脚本撰写、拍摄沟通、全程跟拍等服务，累计视频总时长不少于10分钟；视频播放无格式、水印等障碍；在主流平台发布，播放量不少于4000次。</w:t>
            </w:r>
          </w:p>
          <w:p w14:paraId="1ABE9A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（2）视频版权归属采购方，视频、宣传册制作所涉内容无版权等纠纷。</w:t>
            </w:r>
          </w:p>
          <w:p w14:paraId="750B01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lang w:val="en-US" w:eastAsia="zh-CN"/>
              </w:rPr>
            </w:pPr>
            <w:r>
              <w:rPr>
                <w:rFonts w:hint="eastAsia" w:ascii="仿宋" w:hAnsi="仿宋" w:eastAsia="仿宋" w:cs="仿宋"/>
                <w:color w:val="auto"/>
                <w:sz w:val="24"/>
                <w:szCs w:val="24"/>
                <w:highlight w:val="none"/>
                <w:lang w:val="en-US" w:eastAsia="zh-CN"/>
              </w:rPr>
              <w:t>19.面向企业组织见习政策推荐会或解读会。</w:t>
            </w:r>
          </w:p>
        </w:tc>
      </w:tr>
      <w:tr w14:paraId="26D2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000" w:type="pct"/>
            <w:gridSpan w:val="5"/>
            <w:noWrap w:val="0"/>
            <w:vAlign w:val="center"/>
          </w:tcPr>
          <w:p w14:paraId="472D16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商务要求</w:t>
            </w:r>
          </w:p>
        </w:tc>
      </w:tr>
      <w:tr w14:paraId="58F7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57" w:type="pct"/>
            <w:gridSpan w:val="2"/>
            <w:noWrap w:val="0"/>
            <w:vAlign w:val="center"/>
          </w:tcPr>
          <w:p w14:paraId="646FC4D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服务</w:t>
            </w:r>
            <w:r>
              <w:rPr>
                <w:rFonts w:hint="eastAsia" w:ascii="仿宋" w:hAnsi="仿宋" w:eastAsia="仿宋" w:cs="仿宋"/>
                <w:b/>
                <w:bCs/>
                <w:color w:val="auto"/>
                <w:sz w:val="24"/>
                <w:szCs w:val="24"/>
                <w:highlight w:val="none"/>
                <w:lang w:val="en-US" w:eastAsia="zh-CN"/>
              </w:rPr>
              <w:t>期限</w:t>
            </w:r>
          </w:p>
        </w:tc>
        <w:tc>
          <w:tcPr>
            <w:tcW w:w="3942" w:type="pct"/>
            <w:gridSpan w:val="3"/>
            <w:noWrap w:val="0"/>
            <w:vAlign w:val="center"/>
          </w:tcPr>
          <w:p w14:paraId="72EA18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签订合同之日起至202</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月3</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日止。</w:t>
            </w:r>
          </w:p>
        </w:tc>
      </w:tr>
      <w:tr w14:paraId="31B4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57" w:type="pct"/>
            <w:gridSpan w:val="2"/>
            <w:noWrap w:val="0"/>
            <w:vAlign w:val="center"/>
          </w:tcPr>
          <w:p w14:paraId="61BE4D5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服务地点</w:t>
            </w:r>
          </w:p>
        </w:tc>
        <w:tc>
          <w:tcPr>
            <w:tcW w:w="3942" w:type="pct"/>
            <w:gridSpan w:val="3"/>
            <w:noWrap w:val="0"/>
            <w:vAlign w:val="center"/>
          </w:tcPr>
          <w:p w14:paraId="110E61C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桂林市采购人指定地点。</w:t>
            </w:r>
          </w:p>
        </w:tc>
      </w:tr>
      <w:tr w14:paraId="7633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57" w:type="pct"/>
            <w:gridSpan w:val="2"/>
            <w:noWrap w:val="0"/>
            <w:vAlign w:val="center"/>
          </w:tcPr>
          <w:p w14:paraId="3EC045DC">
            <w:pPr>
              <w:pStyle w:val="7"/>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bidi="ar"/>
              </w:rPr>
              <w:t>报价要求</w:t>
            </w:r>
          </w:p>
        </w:tc>
        <w:tc>
          <w:tcPr>
            <w:tcW w:w="3942" w:type="pct"/>
            <w:gridSpan w:val="3"/>
            <w:noWrap w:val="0"/>
            <w:vAlign w:val="center"/>
          </w:tcPr>
          <w:p w14:paraId="634513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应包括完成本次服务采购需求范围内所需的劳务费、技术服务费、策划设计、制作、现场执行、版权或知识产权、管理费、利润、验收、税金和风险等一切相关的全部费用。该价格不因投标人在计算报价中的失误、漏项、多项而作任何调整；投标人的报价在合同实施期间应保持不变。除此之外，采购人不再另行支付任何费用。</w:t>
            </w:r>
          </w:p>
        </w:tc>
      </w:tr>
      <w:tr w14:paraId="5D06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57" w:type="pct"/>
            <w:gridSpan w:val="2"/>
            <w:noWrap w:val="0"/>
            <w:vAlign w:val="center"/>
          </w:tcPr>
          <w:p w14:paraId="2A0DE159">
            <w:pPr>
              <w:pStyle w:val="7"/>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bidi="ar"/>
              </w:rPr>
              <w:t>付款方式</w:t>
            </w:r>
          </w:p>
        </w:tc>
        <w:tc>
          <w:tcPr>
            <w:tcW w:w="3942" w:type="pct"/>
            <w:gridSpan w:val="3"/>
            <w:noWrap w:val="0"/>
            <w:vAlign w:val="center"/>
          </w:tcPr>
          <w:p w14:paraId="0E2122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合同签订后至少分2次支付合同款项，其中首次支付比例不高于本标段中标价的30%，全部款项支付完成不超过项目完成并验收后60日（具体支付时间和金额以财政每次批复的时间、批复的金额为准）。</w:t>
            </w:r>
          </w:p>
        </w:tc>
      </w:tr>
      <w:tr w14:paraId="53BD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1057" w:type="pct"/>
            <w:gridSpan w:val="2"/>
            <w:noWrap w:val="0"/>
            <w:vAlign w:val="center"/>
          </w:tcPr>
          <w:p w14:paraId="4EA3E6AD">
            <w:pPr>
              <w:pStyle w:val="7"/>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bidi="ar"/>
              </w:rPr>
              <w:t>其他要求</w:t>
            </w:r>
          </w:p>
        </w:tc>
        <w:tc>
          <w:tcPr>
            <w:tcW w:w="3942" w:type="pct"/>
            <w:gridSpan w:val="3"/>
            <w:noWrap w:val="0"/>
            <w:vAlign w:val="center"/>
          </w:tcPr>
          <w:p w14:paraId="04FC23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）根据项目的实际情况，中标供应商必须承诺按采购人的要求，</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前一周与主办方确认</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需求，提前一天按要求做好会场布置，</w:t>
            </w:r>
            <w:r>
              <w:rPr>
                <w:rFonts w:hint="eastAsia" w:ascii="仿宋" w:hAnsi="仿宋" w:eastAsia="仿宋" w:cs="仿宋"/>
                <w:color w:val="auto"/>
                <w:sz w:val="24"/>
                <w:szCs w:val="24"/>
                <w:highlight w:val="none"/>
                <w:lang w:eastAsia="zh-Hans"/>
              </w:rPr>
              <w:t>包</w:t>
            </w:r>
            <w:r>
              <w:rPr>
                <w:rFonts w:hint="eastAsia" w:ascii="仿宋" w:hAnsi="仿宋" w:eastAsia="仿宋" w:cs="仿宋"/>
                <w:color w:val="auto"/>
                <w:sz w:val="24"/>
                <w:szCs w:val="24"/>
                <w:highlight w:val="none"/>
              </w:rPr>
              <w:t>含</w:t>
            </w:r>
            <w:r>
              <w:rPr>
                <w:rFonts w:hint="eastAsia" w:ascii="仿宋" w:hAnsi="仿宋" w:eastAsia="仿宋" w:cs="仿宋"/>
                <w:color w:val="auto"/>
                <w:sz w:val="24"/>
                <w:szCs w:val="24"/>
                <w:highlight w:val="none"/>
                <w:lang w:eastAsia="zh-Hans"/>
              </w:rPr>
              <w:t>但不仅限于</w:t>
            </w:r>
            <w:r>
              <w:rPr>
                <w:rFonts w:hint="eastAsia" w:ascii="仿宋" w:hAnsi="仿宋" w:eastAsia="仿宋" w:cs="仿宋"/>
                <w:color w:val="auto"/>
                <w:sz w:val="24"/>
                <w:szCs w:val="24"/>
                <w:highlight w:val="none"/>
                <w:lang w:eastAsia="zh-CN"/>
              </w:rPr>
              <w:t>招聘场地</w:t>
            </w:r>
            <w:r>
              <w:rPr>
                <w:rFonts w:hint="eastAsia" w:ascii="仿宋" w:hAnsi="仿宋" w:eastAsia="仿宋" w:cs="仿宋"/>
                <w:color w:val="auto"/>
                <w:sz w:val="24"/>
                <w:szCs w:val="24"/>
                <w:highlight w:val="none"/>
              </w:rPr>
              <w:t>搭建，企业门楣、宣传横幅等布置，会议结束后</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还需整理</w:t>
            </w:r>
            <w:r>
              <w:rPr>
                <w:rFonts w:hint="eastAsia" w:ascii="仿宋" w:hAnsi="仿宋" w:eastAsia="仿宋" w:cs="仿宋"/>
                <w:color w:val="auto"/>
                <w:sz w:val="24"/>
                <w:szCs w:val="24"/>
                <w:highlight w:val="none"/>
                <w:lang w:eastAsia="zh-CN"/>
              </w:rPr>
              <w:t>相关资料</w:t>
            </w:r>
            <w:r>
              <w:rPr>
                <w:rFonts w:hint="eastAsia" w:ascii="仿宋" w:hAnsi="仿宋" w:eastAsia="仿宋" w:cs="仿宋"/>
                <w:color w:val="auto"/>
                <w:sz w:val="24"/>
                <w:szCs w:val="24"/>
                <w:highlight w:val="none"/>
              </w:rPr>
              <w:t>交由采购人存档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并按采购方要求同步实施离校未就业高校毕业生就业服务。</w:t>
            </w:r>
          </w:p>
          <w:p w14:paraId="6FBA2C9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标段</w:t>
            </w:r>
            <w:r>
              <w:rPr>
                <w:rFonts w:hint="eastAsia" w:ascii="仿宋" w:hAnsi="仿宋" w:eastAsia="仿宋" w:cs="仿宋"/>
                <w:color w:val="auto"/>
                <w:sz w:val="24"/>
                <w:szCs w:val="24"/>
                <w:highlight w:val="none"/>
              </w:rPr>
              <w:t>采购预算金额：</w:t>
            </w:r>
            <w:r>
              <w:rPr>
                <w:rFonts w:hint="eastAsia" w:ascii="仿宋" w:hAnsi="仿宋" w:eastAsia="仿宋" w:cs="仿宋"/>
                <w:color w:val="auto"/>
                <w:sz w:val="24"/>
                <w:szCs w:val="24"/>
                <w:highlight w:val="none"/>
                <w:lang w:eastAsia="zh-CN"/>
              </w:rPr>
              <w:t>人民币</w:t>
            </w:r>
            <w:r>
              <w:rPr>
                <w:rFonts w:hint="eastAsia" w:ascii="仿宋" w:hAnsi="仿宋" w:eastAsia="仿宋" w:cs="仿宋"/>
                <w:color w:val="auto"/>
                <w:sz w:val="24"/>
                <w:szCs w:val="24"/>
                <w:highlight w:val="none"/>
                <w:lang w:val="en-US" w:eastAsia="zh-CN"/>
              </w:rPr>
              <w:t>肆</w:t>
            </w:r>
            <w:r>
              <w:rPr>
                <w:rFonts w:hint="eastAsia" w:ascii="仿宋" w:hAnsi="仿宋" w:eastAsia="仿宋" w:cs="仿宋"/>
                <w:color w:val="auto"/>
                <w:sz w:val="24"/>
                <w:szCs w:val="24"/>
                <w:highlight w:val="none"/>
                <w:lang w:eastAsia="zh-CN"/>
              </w:rPr>
              <w:t>拾万</w:t>
            </w:r>
            <w:r>
              <w:rPr>
                <w:rFonts w:hint="eastAsia" w:ascii="仿宋" w:hAnsi="仿宋" w:eastAsia="仿宋" w:cs="仿宋"/>
                <w:color w:val="auto"/>
                <w:sz w:val="24"/>
                <w:szCs w:val="24"/>
                <w:highlight w:val="none"/>
                <w:lang w:val="en-US" w:eastAsia="zh-CN"/>
              </w:rPr>
              <w:t>伍</w:t>
            </w:r>
            <w:r>
              <w:rPr>
                <w:rFonts w:hint="eastAsia" w:ascii="仿宋" w:hAnsi="仿宋" w:eastAsia="仿宋" w:cs="仿宋"/>
                <w:color w:val="auto"/>
                <w:sz w:val="24"/>
                <w:szCs w:val="24"/>
                <w:highlight w:val="none"/>
                <w:lang w:eastAsia="zh-CN"/>
              </w:rPr>
              <w:t>仟</w:t>
            </w:r>
            <w:r>
              <w:rPr>
                <w:rFonts w:hint="eastAsia" w:ascii="仿宋" w:hAnsi="仿宋" w:eastAsia="仿宋" w:cs="仿宋"/>
                <w:color w:val="auto"/>
                <w:sz w:val="24"/>
                <w:szCs w:val="24"/>
                <w:highlight w:val="none"/>
                <w:lang w:val="en-US" w:eastAsia="zh-CN"/>
              </w:rPr>
              <w:t>捌佰</w:t>
            </w:r>
            <w:r>
              <w:rPr>
                <w:rFonts w:hint="eastAsia" w:ascii="仿宋" w:hAnsi="仿宋" w:eastAsia="仿宋" w:cs="仿宋"/>
                <w:color w:val="auto"/>
                <w:sz w:val="24"/>
                <w:szCs w:val="24"/>
                <w:highlight w:val="none"/>
                <w:lang w:eastAsia="zh-CN"/>
              </w:rPr>
              <w:t>元整（¥</w:t>
            </w:r>
            <w:r>
              <w:rPr>
                <w:rFonts w:hint="eastAsia" w:ascii="仿宋" w:hAnsi="仿宋" w:eastAsia="仿宋" w:cs="仿宋"/>
                <w:color w:val="auto"/>
                <w:sz w:val="24"/>
                <w:szCs w:val="24"/>
                <w:highlight w:val="none"/>
                <w:lang w:val="en-US" w:eastAsia="zh-CN"/>
              </w:rPr>
              <w:t>405800</w:t>
            </w:r>
            <w:r>
              <w:rPr>
                <w:rFonts w:hint="eastAsia" w:ascii="仿宋" w:hAnsi="仿宋" w:eastAsia="仿宋" w:cs="仿宋"/>
                <w:color w:val="auto"/>
                <w:sz w:val="24"/>
                <w:szCs w:val="24"/>
                <w:highlight w:val="none"/>
                <w:lang w:eastAsia="zh-CN"/>
              </w:rPr>
              <w:t>.00）</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u w:val="single"/>
              </w:rPr>
              <w:t>投标人的投标报价不得超过采购预算金额，否则投标文件无效。</w:t>
            </w:r>
          </w:p>
        </w:tc>
      </w:tr>
    </w:tbl>
    <w:p w14:paraId="00CF0C14">
      <w:pPr>
        <w:pStyle w:val="8"/>
        <w:numPr>
          <w:ilvl w:val="0"/>
          <w:numId w:val="0"/>
        </w:numPr>
        <w:ind w:leftChars="200" w:right="33" w:rightChars="0"/>
        <w:rPr>
          <w:rFonts w:hint="eastAsia" w:ascii="仿宋" w:hAnsi="仿宋" w:eastAsia="仿宋" w:cs="仿宋"/>
          <w:b/>
          <w:bCs/>
          <w:color w:val="auto"/>
          <w:highlight w:val="none"/>
          <w:lang w:val="en-US" w:eastAsia="zh-CN"/>
        </w:rPr>
      </w:pPr>
    </w:p>
    <w:p w14:paraId="5C329341">
      <w:pPr>
        <w:pStyle w:val="8"/>
        <w:numPr>
          <w:ilvl w:val="0"/>
          <w:numId w:val="0"/>
        </w:numPr>
        <w:ind w:leftChars="200" w:right="33" w:rightChars="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分标4：</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275"/>
        <w:gridCol w:w="1086"/>
        <w:gridCol w:w="936"/>
        <w:gridCol w:w="5763"/>
      </w:tblGrid>
      <w:tr w14:paraId="386A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000" w:type="pct"/>
            <w:gridSpan w:val="5"/>
            <w:noWrap w:val="0"/>
            <w:vAlign w:val="center"/>
          </w:tcPr>
          <w:p w14:paraId="4A0FEF14">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技术要求</w:t>
            </w:r>
          </w:p>
        </w:tc>
      </w:tr>
      <w:tr w14:paraId="20AB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03" w:type="pct"/>
            <w:noWrap w:val="0"/>
            <w:vAlign w:val="center"/>
          </w:tcPr>
          <w:p w14:paraId="197CE0E8">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646" w:type="pct"/>
            <w:noWrap w:val="0"/>
            <w:vAlign w:val="center"/>
          </w:tcPr>
          <w:p w14:paraId="2E879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w:t>
            </w:r>
            <w:r>
              <w:rPr>
                <w:rFonts w:hint="eastAsia" w:ascii="仿宋" w:hAnsi="仿宋" w:eastAsia="仿宋" w:cs="仿宋"/>
                <w:b/>
                <w:color w:val="auto"/>
                <w:sz w:val="24"/>
                <w:szCs w:val="24"/>
                <w:highlight w:val="none"/>
                <w:lang w:eastAsia="zh-CN"/>
              </w:rPr>
              <w:t>项目</w:t>
            </w:r>
            <w:r>
              <w:rPr>
                <w:rFonts w:hint="eastAsia" w:ascii="仿宋" w:hAnsi="仿宋" w:eastAsia="仿宋" w:cs="仿宋"/>
                <w:b/>
                <w:color w:val="auto"/>
                <w:sz w:val="24"/>
                <w:szCs w:val="24"/>
                <w:highlight w:val="none"/>
              </w:rPr>
              <w:t>名称</w:t>
            </w:r>
          </w:p>
        </w:tc>
        <w:tc>
          <w:tcPr>
            <w:tcW w:w="551" w:type="pct"/>
            <w:noWrap w:val="0"/>
            <w:vAlign w:val="center"/>
          </w:tcPr>
          <w:p w14:paraId="449EB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数量及单位</w:t>
            </w:r>
          </w:p>
        </w:tc>
        <w:tc>
          <w:tcPr>
            <w:tcW w:w="475" w:type="pct"/>
            <w:noWrap w:val="0"/>
            <w:vAlign w:val="center"/>
          </w:tcPr>
          <w:p w14:paraId="1CC47988">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所属行业</w:t>
            </w:r>
          </w:p>
        </w:tc>
        <w:tc>
          <w:tcPr>
            <w:tcW w:w="2922" w:type="pct"/>
            <w:noWrap w:val="0"/>
            <w:vAlign w:val="center"/>
          </w:tcPr>
          <w:p w14:paraId="0797CAC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项目内容</w:t>
            </w:r>
          </w:p>
        </w:tc>
      </w:tr>
      <w:tr w14:paraId="4601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03" w:type="pct"/>
            <w:noWrap w:val="0"/>
            <w:vAlign w:val="center"/>
          </w:tcPr>
          <w:p w14:paraId="7DBAFB55">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646" w:type="pct"/>
            <w:noWrap w:val="0"/>
            <w:vAlign w:val="center"/>
          </w:tcPr>
          <w:p w14:paraId="080C5A79">
            <w:pPr>
              <w:pStyle w:val="7"/>
              <w:jc w:val="center"/>
              <w:rPr>
                <w:rFonts w:hint="eastAsia" w:ascii="仿宋" w:hAnsi="仿宋" w:eastAsia="仿宋" w:cs="仿宋"/>
                <w:color w:val="auto"/>
                <w:kern w:val="2"/>
                <w:sz w:val="24"/>
                <w:szCs w:val="24"/>
                <w:highlight w:val="none"/>
                <w:lang w:val="en-US" w:eastAsia="zh-CN" w:bidi="ar-SA"/>
              </w:rPr>
            </w:pPr>
            <w:r>
              <w:rPr>
                <w:rFonts w:hint="eastAsia" w:ascii="仿宋_GB2312" w:hAnsi="仿宋_GB2312" w:eastAsia="仿宋_GB2312" w:cs="仿宋_GB2312"/>
                <w:sz w:val="21"/>
                <w:szCs w:val="21"/>
                <w:vertAlign w:val="baseline"/>
                <w:lang w:val="en-US" w:eastAsia="zh-CN"/>
              </w:rPr>
              <w:t>人</w:t>
            </w:r>
            <w:r>
              <w:rPr>
                <w:rFonts w:hint="eastAsia" w:ascii="仿宋" w:hAnsi="仿宋" w:eastAsia="仿宋" w:cs="仿宋"/>
                <w:color w:val="auto"/>
                <w:kern w:val="2"/>
                <w:sz w:val="24"/>
                <w:szCs w:val="24"/>
                <w:highlight w:val="none"/>
                <w:lang w:val="en-US" w:eastAsia="zh-CN" w:bidi="ar-SA"/>
              </w:rPr>
              <w:t>力资源市场高校毕业生就业服务（含离校未就业高校毕业生）</w:t>
            </w:r>
          </w:p>
        </w:tc>
        <w:tc>
          <w:tcPr>
            <w:tcW w:w="551" w:type="pct"/>
            <w:noWrap w:val="0"/>
            <w:vAlign w:val="center"/>
          </w:tcPr>
          <w:p w14:paraId="7378D836">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475" w:type="pct"/>
            <w:noWrap w:val="0"/>
            <w:vAlign w:val="center"/>
          </w:tcPr>
          <w:p w14:paraId="28165910">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租赁和商务服务业</w:t>
            </w:r>
          </w:p>
        </w:tc>
        <w:tc>
          <w:tcPr>
            <w:tcW w:w="2922" w:type="pct"/>
            <w:noWrap w:val="0"/>
            <w:vAlign w:val="center"/>
          </w:tcPr>
          <w:p w14:paraId="385686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一、工作内容：适配2026年全国、自治区公共就业专项行动相关文件要求，组织校外中型线下招聘会2场（配套网络招聘会2场）、校外小型线下招聘会1场（配套网络招聘会1场）、人才集市1场等。</w:t>
            </w:r>
          </w:p>
          <w:p w14:paraId="057B72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p>
          <w:p w14:paraId="798D7A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二、具体实施要求：</w:t>
            </w:r>
          </w:p>
          <w:p w14:paraId="06CA3A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1.于活动前提供活动方案（工作计划），活动结束后提供工作总结和相关工作台账资料。</w:t>
            </w:r>
          </w:p>
          <w:p w14:paraId="3E4023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2.收集、统计每个子活动的成效反馈。</w:t>
            </w:r>
          </w:p>
          <w:p w14:paraId="384BEC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3.接受采购方监督。</w:t>
            </w:r>
          </w:p>
          <w:p w14:paraId="50A8C0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4.加强活动相关的文稿、数据、现场管理，确保不发生意识形态、数据、现场、食品安全等事故。</w:t>
            </w:r>
          </w:p>
          <w:p w14:paraId="0CC906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校外中型线下招聘会每场参会企业不少于50家，累计提供岗位2000个以上，配套的网络招聘会会期不少于30天，具体活动时间以当期文件时间为准，参会企业不少于线下招聘会参会用人单位数，累计提供岗位2000个以上。校外小型线下招聘会参会企业不少于30家，提供岗位600个以上，配套的网络招聘会会期不少于30天，具体活动时间以当期文件时间为准，参会企业不少于线下招聘会参会用人单位数，提供岗位600个以上。人才集市每场参会企业不少于22家，提供岗位440个以上。所有岗位包含但不限于桂林市的岗位。</w:t>
            </w:r>
          </w:p>
          <w:p w14:paraId="032562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校外中型线下招聘会每场发动高校毕业生人数不少于1000人，累计参会企业收取简历数不少于1000份，配套的网络招聘会每场向不少于800名毕业生推送招聘会消息,参会企业累计收取简历数不少于300份。校外小型线下招聘会每场发动高校毕业生人数不少于750人，累计参会企业收取简历数不少于600份，配套的网络招聘会每场向不少于800名毕业生推送招聘会消息,参会企业累计收取简历数不少于600份。人才集市每场发动高校毕业生人数不少于750人，累计参会企业收取简历数不少于150份。</w:t>
            </w:r>
          </w:p>
          <w:p w14:paraId="044478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媒体推广：每场招聘会至少通过5家媒体发布招聘会信息（其中本地渠道不少于2个），并设计制作活动海报等宣传所需物料（含电子海报、微信推广图、桁架、展架等）。每场活动的媒体曝光浏览量不少于2万次。</w:t>
            </w:r>
          </w:p>
          <w:p w14:paraId="4139A9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宣传设计：线下招聘会每场设计1套报名专题页并自有网站上线、每场活动海报不少于1个；网络招聘会设计1套专题页并自有网站上线，在页面开设分会场至少3个，包含但不限于就业政策宣传区、见习专区、就业指导专区等。完成所有活动物料设计。</w:t>
            </w:r>
          </w:p>
          <w:p w14:paraId="619D60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9.为线下招聘会租赁活动场地，租用和搭建招聘展位，完成会场布置、桌椅租用、现场物料设计、制作和搭建、相关部门的活动报备手续和风险评估；配足现场工作人员，</w:t>
            </w:r>
            <w:r>
              <w:rPr>
                <w:rFonts w:hint="eastAsia" w:ascii="仿宋" w:hAnsi="仿宋" w:eastAsia="仿宋" w:cs="仿宋"/>
                <w:color w:val="auto"/>
                <w:sz w:val="24"/>
                <w:szCs w:val="24"/>
                <w:highlight w:val="none"/>
              </w:rPr>
              <w:t>做好会场服务和</w:t>
            </w:r>
            <w:r>
              <w:rPr>
                <w:rFonts w:hint="eastAsia" w:ascii="仿宋" w:hAnsi="仿宋" w:eastAsia="仿宋" w:cs="仿宋"/>
                <w:color w:val="auto"/>
                <w:sz w:val="24"/>
                <w:szCs w:val="24"/>
                <w:highlight w:val="none"/>
                <w:lang w:eastAsia="zh-CN"/>
              </w:rPr>
              <w:t>安</w:t>
            </w:r>
            <w:r>
              <w:rPr>
                <w:rFonts w:hint="eastAsia" w:ascii="仿宋" w:hAnsi="仿宋" w:eastAsia="仿宋" w:cs="仿宋"/>
                <w:color w:val="auto"/>
                <w:sz w:val="24"/>
                <w:szCs w:val="24"/>
                <w:highlight w:val="none"/>
                <w:lang w:val="en-US" w:eastAsia="zh-CN"/>
              </w:rPr>
              <w:t>保</w:t>
            </w:r>
            <w:r>
              <w:rPr>
                <w:rFonts w:hint="eastAsia" w:ascii="仿宋" w:hAnsi="仿宋" w:eastAsia="仿宋" w:cs="仿宋"/>
                <w:color w:val="auto"/>
                <w:sz w:val="24"/>
                <w:szCs w:val="24"/>
                <w:highlight w:val="none"/>
              </w:rPr>
              <w:t>等工作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保障活动不发生安全事故。</w:t>
            </w:r>
          </w:p>
          <w:p w14:paraId="3B7508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10.为网络招聘会做好会期的页面运维、数据抓取等，并保障不发生信息泄漏、意识形态、招聘歧视等安全事故。</w:t>
            </w:r>
          </w:p>
          <w:p w14:paraId="01ECB3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11.每场线下</w:t>
            </w:r>
            <w:r>
              <w:rPr>
                <w:rFonts w:hint="eastAsia" w:ascii="仿宋" w:hAnsi="仿宋" w:eastAsia="仿宋" w:cs="仿宋"/>
                <w:color w:val="auto"/>
                <w:kern w:val="2"/>
                <w:sz w:val="24"/>
                <w:szCs w:val="24"/>
                <w:highlight w:val="none"/>
                <w:lang w:val="en-US" w:eastAsia="zh-CN" w:bidi="ar-SA"/>
              </w:rPr>
              <w:t>招聘活动前后举办桂林就业环境、政策的宣讲或就业指导讲座，或辅导员、毕业生的就业沙龙，至少1场，</w:t>
            </w:r>
            <w:r>
              <w:rPr>
                <w:rFonts w:hint="eastAsia" w:ascii="仿宋" w:hAnsi="仿宋" w:eastAsia="仿宋" w:cs="仿宋"/>
                <w:color w:val="auto"/>
                <w:sz w:val="24"/>
                <w:szCs w:val="24"/>
                <w:highlight w:val="none"/>
                <w:lang w:val="en-US" w:eastAsia="zh-CN"/>
              </w:rPr>
              <w:t>人才集市除外</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sz w:val="24"/>
                <w:szCs w:val="24"/>
                <w:highlight w:val="none"/>
                <w:lang w:val="en-US" w:eastAsia="zh-CN"/>
              </w:rPr>
              <w:t>在招聘会现场设立咨询台，提供政策、就业指导、培训、档案等咨询服务，每场配备政策咨询人员不少于3人、就业</w:t>
            </w:r>
            <w:r>
              <w:rPr>
                <w:rFonts w:hint="eastAsia" w:ascii="仿宋" w:hAnsi="仿宋" w:eastAsia="仿宋" w:cs="仿宋"/>
                <w:color w:val="auto"/>
                <w:kern w:val="2"/>
                <w:sz w:val="24"/>
                <w:szCs w:val="24"/>
                <w:highlight w:val="none"/>
                <w:lang w:val="en-US" w:eastAsia="zh-CN" w:bidi="ar-SA"/>
              </w:rPr>
              <w:t>指导类专家1-2人。</w:t>
            </w:r>
          </w:p>
          <w:p w14:paraId="5C2197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12.线下</w:t>
            </w:r>
            <w:r>
              <w:rPr>
                <w:rFonts w:hint="eastAsia" w:ascii="仿宋" w:hAnsi="仿宋" w:eastAsia="仿宋" w:cs="仿宋"/>
                <w:color w:val="auto"/>
                <w:kern w:val="2"/>
                <w:sz w:val="24"/>
                <w:szCs w:val="24"/>
                <w:highlight w:val="none"/>
                <w:lang w:val="en-US" w:eastAsia="zh-CN" w:bidi="ar-SA"/>
              </w:rPr>
              <w:t>招聘活动</w:t>
            </w:r>
            <w:r>
              <w:rPr>
                <w:rFonts w:hint="eastAsia" w:ascii="仿宋" w:hAnsi="仿宋" w:eastAsia="仿宋" w:cs="仿宋"/>
                <w:color w:val="auto"/>
                <w:sz w:val="24"/>
                <w:szCs w:val="24"/>
                <w:highlight w:val="none"/>
              </w:rPr>
              <w:t>餐饮：</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现场工作人员、企业招聘代表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咨询专家、安保工作人员、志愿者等人员</w:t>
            </w:r>
            <w:r>
              <w:rPr>
                <w:rFonts w:hint="eastAsia" w:ascii="仿宋" w:hAnsi="仿宋" w:eastAsia="仿宋" w:cs="仿宋"/>
                <w:color w:val="auto"/>
                <w:sz w:val="24"/>
                <w:szCs w:val="24"/>
                <w:highlight w:val="none"/>
              </w:rPr>
              <w:t>的工作餐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水</w:t>
            </w:r>
            <w:r>
              <w:rPr>
                <w:rFonts w:hint="eastAsia" w:ascii="仿宋" w:hAnsi="仿宋" w:eastAsia="仿宋" w:cs="仿宋"/>
                <w:color w:val="auto"/>
                <w:sz w:val="24"/>
                <w:szCs w:val="24"/>
                <w:highlight w:val="none"/>
              </w:rPr>
              <w:t>，餐标不低于25元/人。</w:t>
            </w:r>
          </w:p>
          <w:p w14:paraId="2361BA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13.为参会用人单位、求职者提供平台使用（包含但不限于简历查询、简历投递、职位搜索、视频面试等招聘会必要配套功能的使用）、招聘活动咨询等服务等。</w:t>
            </w:r>
          </w:p>
          <w:p w14:paraId="53BB86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14.每场配套的网络招聘会期间，组织不少于2场直播带岗（非招聘会现场走播）或云上宣讲，累计参与企业不少于9家，累计点击和播放量不少于12000次，直播带岗或云上宣讲参与企业累计接收简历不少于200份。</w:t>
            </w:r>
          </w:p>
          <w:p w14:paraId="1BC6A7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w:t>
            </w:r>
            <w:r>
              <w:rPr>
                <w:rFonts w:hint="eastAsia" w:ascii="仿宋" w:hAnsi="仿宋" w:eastAsia="仿宋" w:cs="仿宋"/>
                <w:color w:val="auto"/>
                <w:sz w:val="24"/>
                <w:szCs w:val="24"/>
                <w:highlight w:val="none"/>
                <w:lang w:val="en-US" w:eastAsia="zh-CN"/>
              </w:rPr>
              <w:t>所有活动期间的招聘页面运维。</w:t>
            </w:r>
          </w:p>
          <w:p w14:paraId="332863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16.向城管、公安等部门办理活动举办所须的相关报备手续。</w:t>
            </w:r>
          </w:p>
        </w:tc>
      </w:tr>
      <w:tr w14:paraId="5EB9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00" w:type="pct"/>
            <w:gridSpan w:val="5"/>
            <w:noWrap w:val="0"/>
            <w:vAlign w:val="center"/>
          </w:tcPr>
          <w:p w14:paraId="19344B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sz w:val="24"/>
                <w:szCs w:val="24"/>
                <w:highlight w:val="none"/>
                <w:lang w:val="en-US" w:eastAsia="zh-CN"/>
              </w:rPr>
              <w:t>商务</w:t>
            </w:r>
            <w:r>
              <w:rPr>
                <w:rFonts w:hint="eastAsia" w:ascii="仿宋" w:hAnsi="仿宋" w:eastAsia="仿宋" w:cs="仿宋"/>
                <w:b/>
                <w:bCs/>
                <w:color w:val="auto"/>
                <w:sz w:val="24"/>
                <w:szCs w:val="24"/>
                <w:highlight w:val="none"/>
                <w:lang w:val="en-US" w:eastAsia="zh-CN"/>
              </w:rPr>
              <w:t>要求</w:t>
            </w:r>
          </w:p>
        </w:tc>
      </w:tr>
      <w:tr w14:paraId="6090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50" w:type="pct"/>
            <w:gridSpan w:val="2"/>
            <w:noWrap w:val="0"/>
            <w:vAlign w:val="center"/>
          </w:tcPr>
          <w:p w14:paraId="54A2777A">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服务</w:t>
            </w:r>
            <w:r>
              <w:rPr>
                <w:rFonts w:hint="eastAsia" w:ascii="仿宋" w:hAnsi="仿宋" w:eastAsia="仿宋" w:cs="仿宋"/>
                <w:b/>
                <w:bCs/>
                <w:color w:val="auto"/>
                <w:sz w:val="24"/>
                <w:szCs w:val="24"/>
                <w:highlight w:val="none"/>
                <w:lang w:val="en-US" w:eastAsia="zh-CN"/>
              </w:rPr>
              <w:t>期限</w:t>
            </w:r>
          </w:p>
        </w:tc>
        <w:tc>
          <w:tcPr>
            <w:tcW w:w="3949" w:type="pct"/>
            <w:gridSpan w:val="3"/>
            <w:noWrap w:val="0"/>
            <w:vAlign w:val="center"/>
          </w:tcPr>
          <w:p w14:paraId="4AE9743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签订合同之日起至</w:t>
            </w:r>
            <w:r>
              <w:rPr>
                <w:rFonts w:hint="eastAsia" w:ascii="仿宋" w:hAnsi="仿宋" w:eastAsia="仿宋" w:cs="仿宋"/>
                <w:color w:val="auto"/>
                <w:sz w:val="24"/>
                <w:szCs w:val="24"/>
                <w:highlight w:val="none"/>
                <w:u w:val="none"/>
                <w:lang w:val="en-US" w:eastAsia="zh-CN"/>
              </w:rPr>
              <w:t>2027</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rPr>
              <w:t>止。</w:t>
            </w:r>
          </w:p>
        </w:tc>
      </w:tr>
      <w:tr w14:paraId="3CA8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050" w:type="pct"/>
            <w:gridSpan w:val="2"/>
            <w:noWrap w:val="0"/>
            <w:vAlign w:val="center"/>
          </w:tcPr>
          <w:p w14:paraId="5FBBDBF5">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服务地点</w:t>
            </w:r>
          </w:p>
        </w:tc>
        <w:tc>
          <w:tcPr>
            <w:tcW w:w="3949" w:type="pct"/>
            <w:gridSpan w:val="3"/>
            <w:noWrap w:val="0"/>
            <w:vAlign w:val="center"/>
          </w:tcPr>
          <w:p w14:paraId="643E3EB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桂林市采购人指定地点。</w:t>
            </w:r>
          </w:p>
        </w:tc>
      </w:tr>
      <w:tr w14:paraId="0FAD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050" w:type="pct"/>
            <w:gridSpan w:val="2"/>
            <w:noWrap w:val="0"/>
            <w:vAlign w:val="center"/>
          </w:tcPr>
          <w:p w14:paraId="4E9F804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报价要求</w:t>
            </w:r>
          </w:p>
        </w:tc>
        <w:tc>
          <w:tcPr>
            <w:tcW w:w="3949" w:type="pct"/>
            <w:gridSpan w:val="3"/>
            <w:noWrap w:val="0"/>
            <w:vAlign w:val="center"/>
          </w:tcPr>
          <w:p w14:paraId="28FCAD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投标报价应包括完成本次服务采购需求范围内所需的劳务费、技术服务费、策划设计、制作、现场执行、版权或知识产权、管理费、利润、验收、税金和风险等一切相关的全部费用。该价格不因投标人在计算报价中的失误、漏项、多项而做任何调整；投标人的报价在合同实施期间应保持不变。除此之外，采购人不再另行支付任何费用。</w:t>
            </w:r>
          </w:p>
        </w:tc>
      </w:tr>
      <w:tr w14:paraId="1329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50" w:type="pct"/>
            <w:gridSpan w:val="2"/>
            <w:noWrap w:val="0"/>
            <w:vAlign w:val="center"/>
          </w:tcPr>
          <w:p w14:paraId="1857D1A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付款方式</w:t>
            </w:r>
          </w:p>
        </w:tc>
        <w:tc>
          <w:tcPr>
            <w:tcW w:w="3949" w:type="pct"/>
            <w:gridSpan w:val="3"/>
            <w:noWrap w:val="0"/>
            <w:vAlign w:val="center"/>
          </w:tcPr>
          <w:p w14:paraId="759956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合同签订后至少分2次支付合同款项，其中首次支付比例不高于本标段中标价的30%，全部款项支付完成不超过项目完成并验收后60日（具体支付时间和金额以财政每次批复的时间、批复的金额为准）。</w:t>
            </w:r>
          </w:p>
        </w:tc>
      </w:tr>
      <w:tr w14:paraId="784F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50" w:type="pct"/>
            <w:gridSpan w:val="2"/>
            <w:noWrap w:val="0"/>
            <w:vAlign w:val="center"/>
          </w:tcPr>
          <w:p w14:paraId="1F828793">
            <w:pPr>
              <w:pStyle w:val="7"/>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bidi="ar"/>
              </w:rPr>
              <w:t>其他要求</w:t>
            </w:r>
          </w:p>
        </w:tc>
        <w:tc>
          <w:tcPr>
            <w:tcW w:w="3949" w:type="pct"/>
            <w:gridSpan w:val="3"/>
            <w:noWrap w:val="0"/>
            <w:vAlign w:val="center"/>
          </w:tcPr>
          <w:p w14:paraId="233714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）根据项目的实际情况，中标供应商必须承诺按采购人的要求，</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前一周与主办方确认</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需求，提前一天按要求做好会场布置，</w:t>
            </w:r>
            <w:r>
              <w:rPr>
                <w:rFonts w:hint="eastAsia" w:ascii="仿宋" w:hAnsi="仿宋" w:eastAsia="仿宋" w:cs="仿宋"/>
                <w:color w:val="auto"/>
                <w:sz w:val="24"/>
                <w:szCs w:val="24"/>
                <w:highlight w:val="none"/>
                <w:lang w:eastAsia="zh-Hans"/>
              </w:rPr>
              <w:t>包</w:t>
            </w:r>
            <w:r>
              <w:rPr>
                <w:rFonts w:hint="eastAsia" w:ascii="仿宋" w:hAnsi="仿宋" w:eastAsia="仿宋" w:cs="仿宋"/>
                <w:color w:val="auto"/>
                <w:sz w:val="24"/>
                <w:szCs w:val="24"/>
                <w:highlight w:val="none"/>
              </w:rPr>
              <w:t>含</w:t>
            </w:r>
            <w:r>
              <w:rPr>
                <w:rFonts w:hint="eastAsia" w:ascii="仿宋" w:hAnsi="仿宋" w:eastAsia="仿宋" w:cs="仿宋"/>
                <w:color w:val="auto"/>
                <w:sz w:val="24"/>
                <w:szCs w:val="24"/>
                <w:highlight w:val="none"/>
                <w:lang w:eastAsia="zh-Hans"/>
              </w:rPr>
              <w:t>但不仅限于</w:t>
            </w:r>
            <w:r>
              <w:rPr>
                <w:rFonts w:hint="eastAsia" w:ascii="仿宋" w:hAnsi="仿宋" w:eastAsia="仿宋" w:cs="仿宋"/>
                <w:color w:val="auto"/>
                <w:sz w:val="24"/>
                <w:szCs w:val="24"/>
                <w:highlight w:val="none"/>
                <w:lang w:eastAsia="zh-CN"/>
              </w:rPr>
              <w:t>招聘场地</w:t>
            </w:r>
            <w:r>
              <w:rPr>
                <w:rFonts w:hint="eastAsia" w:ascii="仿宋" w:hAnsi="仿宋" w:eastAsia="仿宋" w:cs="仿宋"/>
                <w:color w:val="auto"/>
                <w:sz w:val="24"/>
                <w:szCs w:val="24"/>
                <w:highlight w:val="none"/>
              </w:rPr>
              <w:t>搭建，企业门楣、宣传横幅等布置，会议结束后</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还需整理</w:t>
            </w:r>
            <w:r>
              <w:rPr>
                <w:rFonts w:hint="eastAsia" w:ascii="仿宋" w:hAnsi="仿宋" w:eastAsia="仿宋" w:cs="仿宋"/>
                <w:color w:val="auto"/>
                <w:sz w:val="24"/>
                <w:szCs w:val="24"/>
                <w:highlight w:val="none"/>
                <w:lang w:eastAsia="zh-CN"/>
              </w:rPr>
              <w:t>相关资料</w:t>
            </w:r>
            <w:r>
              <w:rPr>
                <w:rFonts w:hint="eastAsia" w:ascii="仿宋" w:hAnsi="仿宋" w:eastAsia="仿宋" w:cs="仿宋"/>
                <w:color w:val="auto"/>
                <w:sz w:val="24"/>
                <w:szCs w:val="24"/>
                <w:highlight w:val="none"/>
              </w:rPr>
              <w:t>交由采购人存档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并按采购方要求同步实施离校未就业高校毕业生就业服务</w:t>
            </w:r>
            <w:r>
              <w:rPr>
                <w:rFonts w:hint="eastAsia" w:ascii="仿宋" w:hAnsi="仿宋" w:eastAsia="仿宋" w:cs="仿宋"/>
                <w:color w:val="auto"/>
                <w:sz w:val="24"/>
                <w:szCs w:val="24"/>
                <w:highlight w:val="none"/>
              </w:rPr>
              <w:t>。</w:t>
            </w:r>
          </w:p>
          <w:p w14:paraId="6FE53A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标段</w:t>
            </w:r>
            <w:r>
              <w:rPr>
                <w:rFonts w:hint="eastAsia" w:ascii="仿宋" w:hAnsi="仿宋" w:eastAsia="仿宋" w:cs="仿宋"/>
                <w:color w:val="auto"/>
                <w:sz w:val="24"/>
                <w:szCs w:val="24"/>
                <w:highlight w:val="none"/>
              </w:rPr>
              <w:t>采购预算金额：</w:t>
            </w:r>
            <w:r>
              <w:rPr>
                <w:rFonts w:hint="eastAsia" w:ascii="仿宋" w:hAnsi="仿宋" w:eastAsia="仿宋" w:cs="仿宋"/>
                <w:color w:val="auto"/>
                <w:sz w:val="24"/>
                <w:szCs w:val="24"/>
                <w:highlight w:val="none"/>
                <w:lang w:eastAsia="zh-CN"/>
              </w:rPr>
              <w:t>人民币</w:t>
            </w:r>
            <w:r>
              <w:rPr>
                <w:rFonts w:hint="eastAsia" w:ascii="仿宋" w:hAnsi="仿宋" w:eastAsia="仿宋" w:cs="仿宋"/>
                <w:color w:val="auto"/>
                <w:sz w:val="24"/>
                <w:szCs w:val="24"/>
                <w:highlight w:val="none"/>
                <w:lang w:val="en-US" w:eastAsia="zh-CN"/>
              </w:rPr>
              <w:t>叁</w:t>
            </w:r>
            <w:r>
              <w:rPr>
                <w:rFonts w:hint="eastAsia" w:ascii="仿宋" w:hAnsi="仿宋" w:eastAsia="仿宋" w:cs="仿宋"/>
                <w:color w:val="auto"/>
                <w:sz w:val="24"/>
                <w:szCs w:val="24"/>
                <w:highlight w:val="none"/>
                <w:lang w:eastAsia="zh-CN"/>
              </w:rPr>
              <w:t>拾</w:t>
            </w:r>
            <w:r>
              <w:rPr>
                <w:rFonts w:hint="eastAsia" w:ascii="仿宋" w:hAnsi="仿宋" w:eastAsia="仿宋" w:cs="仿宋"/>
                <w:color w:val="auto"/>
                <w:sz w:val="24"/>
                <w:szCs w:val="24"/>
                <w:highlight w:val="none"/>
                <w:lang w:val="en-US" w:eastAsia="zh-CN"/>
              </w:rPr>
              <w:t>陆</w:t>
            </w:r>
            <w:r>
              <w:rPr>
                <w:rFonts w:hint="eastAsia" w:ascii="仿宋" w:hAnsi="仿宋" w:eastAsia="仿宋" w:cs="仿宋"/>
                <w:color w:val="auto"/>
                <w:sz w:val="24"/>
                <w:szCs w:val="24"/>
                <w:highlight w:val="none"/>
                <w:lang w:eastAsia="zh-CN"/>
              </w:rPr>
              <w:t>万</w:t>
            </w:r>
            <w:r>
              <w:rPr>
                <w:rFonts w:hint="eastAsia" w:ascii="仿宋" w:hAnsi="仿宋" w:eastAsia="仿宋" w:cs="仿宋"/>
                <w:color w:val="auto"/>
                <w:sz w:val="24"/>
                <w:szCs w:val="24"/>
                <w:highlight w:val="none"/>
                <w:lang w:val="en-US" w:eastAsia="zh-CN"/>
              </w:rPr>
              <w:t>壹</w:t>
            </w:r>
            <w:r>
              <w:rPr>
                <w:rFonts w:hint="eastAsia" w:ascii="仿宋" w:hAnsi="仿宋" w:eastAsia="仿宋" w:cs="仿宋"/>
                <w:color w:val="auto"/>
                <w:sz w:val="24"/>
                <w:szCs w:val="24"/>
                <w:highlight w:val="none"/>
                <w:lang w:eastAsia="zh-CN"/>
              </w:rPr>
              <w:t>仟元整（¥</w:t>
            </w:r>
            <w:r>
              <w:rPr>
                <w:rFonts w:hint="eastAsia" w:ascii="仿宋" w:hAnsi="仿宋" w:eastAsia="仿宋" w:cs="仿宋"/>
                <w:color w:val="auto"/>
                <w:sz w:val="24"/>
                <w:szCs w:val="24"/>
                <w:highlight w:val="none"/>
                <w:lang w:val="en-US" w:eastAsia="zh-CN"/>
              </w:rPr>
              <w:t>361000</w:t>
            </w:r>
            <w:r>
              <w:rPr>
                <w:rFonts w:hint="eastAsia" w:ascii="仿宋" w:hAnsi="仿宋" w:eastAsia="仿宋" w:cs="仿宋"/>
                <w:color w:val="auto"/>
                <w:sz w:val="24"/>
                <w:szCs w:val="24"/>
                <w:highlight w:val="none"/>
                <w:lang w:eastAsia="zh-CN"/>
              </w:rPr>
              <w:t>.00）</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u w:val="single"/>
              </w:rPr>
              <w:t>投标人的投标报价不得超过采购预算金额，否则投标文件无效。</w:t>
            </w:r>
          </w:p>
        </w:tc>
      </w:tr>
    </w:tbl>
    <w:p w14:paraId="205CBD78">
      <w:pPr>
        <w:pStyle w:val="8"/>
        <w:numPr>
          <w:ilvl w:val="0"/>
          <w:numId w:val="0"/>
        </w:numPr>
        <w:ind w:leftChars="200" w:right="33" w:rightChars="0"/>
        <w:rPr>
          <w:rFonts w:hint="eastAsia" w:ascii="仿宋" w:hAnsi="仿宋" w:eastAsia="仿宋" w:cs="仿宋"/>
          <w:b/>
          <w:bCs/>
          <w:color w:val="auto"/>
          <w:highlight w:val="none"/>
          <w:lang w:val="en-US" w:eastAsia="zh-CN"/>
        </w:rPr>
      </w:pPr>
    </w:p>
    <w:p w14:paraId="7DAFA7CC">
      <w:pPr>
        <w:pStyle w:val="8"/>
        <w:numPr>
          <w:ilvl w:val="0"/>
          <w:numId w:val="0"/>
        </w:numPr>
        <w:ind w:leftChars="200" w:right="33" w:rightChars="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分标5：</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277"/>
        <w:gridCol w:w="1086"/>
        <w:gridCol w:w="840"/>
        <w:gridCol w:w="5873"/>
      </w:tblGrid>
      <w:tr w14:paraId="63D0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000" w:type="pct"/>
            <w:gridSpan w:val="5"/>
            <w:noWrap w:val="0"/>
            <w:vAlign w:val="center"/>
          </w:tcPr>
          <w:p w14:paraId="2CB1A4D4">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技术需求</w:t>
            </w:r>
          </w:p>
        </w:tc>
      </w:tr>
      <w:tr w14:paraId="7FF8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95" w:type="pct"/>
            <w:noWrap w:val="0"/>
            <w:vAlign w:val="center"/>
          </w:tcPr>
          <w:p w14:paraId="6495DFD9">
            <w:pPr>
              <w:spacing w:line="360" w:lineRule="auto"/>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序号</w:t>
            </w:r>
          </w:p>
        </w:tc>
        <w:tc>
          <w:tcPr>
            <w:tcW w:w="647" w:type="pct"/>
            <w:noWrap w:val="0"/>
            <w:vAlign w:val="center"/>
          </w:tcPr>
          <w:p w14:paraId="6F375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服务</w:t>
            </w:r>
            <w:r>
              <w:rPr>
                <w:rFonts w:hint="eastAsia" w:ascii="仿宋" w:hAnsi="仿宋" w:eastAsia="仿宋" w:cs="仿宋"/>
                <w:b/>
                <w:color w:val="auto"/>
                <w:sz w:val="24"/>
                <w:szCs w:val="24"/>
                <w:highlight w:val="none"/>
                <w:lang w:eastAsia="zh-CN"/>
              </w:rPr>
              <w:t>项目</w:t>
            </w:r>
            <w:r>
              <w:rPr>
                <w:rFonts w:hint="eastAsia" w:ascii="仿宋" w:hAnsi="仿宋" w:eastAsia="仿宋" w:cs="仿宋"/>
                <w:b/>
                <w:color w:val="auto"/>
                <w:sz w:val="24"/>
                <w:szCs w:val="24"/>
                <w:highlight w:val="none"/>
              </w:rPr>
              <w:t>名称</w:t>
            </w:r>
          </w:p>
        </w:tc>
        <w:tc>
          <w:tcPr>
            <w:tcW w:w="551" w:type="pct"/>
            <w:noWrap w:val="0"/>
            <w:vAlign w:val="center"/>
          </w:tcPr>
          <w:p w14:paraId="32F79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数量及单位</w:t>
            </w:r>
          </w:p>
        </w:tc>
        <w:tc>
          <w:tcPr>
            <w:tcW w:w="426" w:type="pct"/>
            <w:noWrap w:val="0"/>
            <w:vAlign w:val="center"/>
          </w:tcPr>
          <w:p w14:paraId="3FE3BD29">
            <w:pPr>
              <w:spacing w:line="360" w:lineRule="auto"/>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所属行业</w:t>
            </w:r>
          </w:p>
        </w:tc>
        <w:tc>
          <w:tcPr>
            <w:tcW w:w="2978" w:type="pct"/>
            <w:noWrap w:val="0"/>
            <w:vAlign w:val="center"/>
          </w:tcPr>
          <w:p w14:paraId="35A6D04F">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项目内容</w:t>
            </w:r>
          </w:p>
        </w:tc>
      </w:tr>
      <w:tr w14:paraId="64B3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95" w:type="pct"/>
            <w:noWrap w:val="0"/>
            <w:vAlign w:val="center"/>
          </w:tcPr>
          <w:p w14:paraId="15C2560A">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w:t>
            </w:r>
          </w:p>
        </w:tc>
        <w:tc>
          <w:tcPr>
            <w:tcW w:w="647" w:type="pct"/>
            <w:noWrap w:val="0"/>
            <w:vAlign w:val="center"/>
          </w:tcPr>
          <w:p w14:paraId="0D6E597B">
            <w:pPr>
              <w:pStyle w:val="7"/>
              <w:jc w:val="center"/>
              <w:rPr>
                <w:rFonts w:hint="eastAsia" w:ascii="仿宋" w:hAnsi="仿宋" w:eastAsia="仿宋" w:cs="仿宋"/>
                <w:b/>
                <w:color w:val="auto"/>
                <w:sz w:val="24"/>
                <w:szCs w:val="24"/>
                <w:highlight w:val="none"/>
                <w:lang w:val="en-US"/>
              </w:rPr>
            </w:pPr>
            <w:r>
              <w:rPr>
                <w:rFonts w:hint="eastAsia" w:ascii="仿宋" w:hAnsi="仿宋" w:eastAsia="仿宋" w:cs="仿宋"/>
                <w:color w:val="auto"/>
                <w:kern w:val="2"/>
                <w:sz w:val="24"/>
                <w:szCs w:val="24"/>
                <w:highlight w:val="none"/>
                <w:lang w:val="en-US" w:eastAsia="zh-CN" w:bidi="ar-SA"/>
              </w:rPr>
              <w:t>民营企业招聘活动及服务（含离校未就业高校毕业生）</w:t>
            </w:r>
          </w:p>
        </w:tc>
        <w:tc>
          <w:tcPr>
            <w:tcW w:w="551" w:type="pct"/>
            <w:noWrap w:val="0"/>
            <w:vAlign w:val="center"/>
          </w:tcPr>
          <w:p w14:paraId="3C989052">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426" w:type="pct"/>
            <w:noWrap w:val="0"/>
            <w:vAlign w:val="center"/>
          </w:tcPr>
          <w:p w14:paraId="51A72DEB">
            <w:pPr>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lang w:val="en-US" w:eastAsia="zh-CN"/>
              </w:rPr>
              <w:t>租赁和商务服务业</w:t>
            </w:r>
          </w:p>
        </w:tc>
        <w:tc>
          <w:tcPr>
            <w:tcW w:w="2978" w:type="pct"/>
            <w:noWrap w:val="0"/>
            <w:vAlign w:val="center"/>
          </w:tcPr>
          <w:p w14:paraId="4525CF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工作内容：适配2026年全国、自治区公共就业专项行动相关文件要求，组织校外中型线下招聘会2场（配套网络招聘会2场）、校外小型线下招聘会1场（配套网络招聘会1场）、春季小型线下招聘会1场（配套网络招聘会1场）、人才集市1场等活动。</w:t>
            </w:r>
          </w:p>
          <w:p w14:paraId="1863DE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p>
          <w:p w14:paraId="6DFBC1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二、具体实施要求：</w:t>
            </w:r>
          </w:p>
          <w:p w14:paraId="7753E5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1.于活动前提供活动方案（工作计划），活动结束后提供工作总结和相关工作台账资料。</w:t>
            </w:r>
          </w:p>
          <w:p w14:paraId="09804D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2.收集、统计每个子活动的成效反馈（包含但不限于服务满意度、初步达成意向数等）。</w:t>
            </w:r>
          </w:p>
          <w:p w14:paraId="540C4D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3.接受采购方监督。</w:t>
            </w:r>
          </w:p>
          <w:p w14:paraId="2A0873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4.加强活动相关的文稿、数据、现场管理，确保不发生意识形态、数据、现场、食品安全等事故。</w:t>
            </w:r>
          </w:p>
          <w:p w14:paraId="1FA42B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校外中型线下招聘会每场参会企业不少于50家，累计提供岗位2000个以上，配套的网络招聘会会期不少于30天，具体活动时间以当期文件时间为准，参会企业不少于线下招聘会参会用人单位数，累计提供岗位2000个以上。校外小型线下招聘会参会企业不少于30家，提供岗位600个以上，配套的网络招聘会会期不少于30天，具体活动时间以当期文件时间为准，参会企业不少于线下招聘会参会用人单位数，提供岗位600个以上。春季小型招聘会参会企业不少于30家，提供岗位600个以上，配套的网络招聘会会期不少于30天，具体活动时间以当期文件时间为准，参会企业不少于线下招聘会参会用人单位数，提供岗位600个以上。人才集市每场参会企业不少于22家，提供岗位440个以上。所有岗位包含但不限于桂林市的岗位。</w:t>
            </w:r>
          </w:p>
          <w:p w14:paraId="237657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校外中型线下招聘会每场发动高校毕业生人数不少于1000人，累计参会企业收取简历数不少于1000份，配套的网络招聘会每场向不少于800名毕业生推送招聘会消息,参会企业累计收取简历数不少于300份。校外小型线下招聘会每场发动高校毕业生人数不少于750人，累计参会企业收取简历数不少于600份，配套的网络招聘会每场向不少于800名毕业生推送招聘会消息,参会企业累计收取简历数不少于600份。春季小型线下招聘会每场发动高校毕业生人数不少于750人，累计参会企业收取简历数不少于600份，配套的网络招聘会每场向不少于800名毕业生推送招聘会消息,参会企业累计收取简历数不少于600份。人才集市每场发动高校毕业生人数不少于750人，累计参会企业收取简历数不少于150份。</w:t>
            </w:r>
          </w:p>
          <w:p w14:paraId="45A2DA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媒体推广：每场招聘会至少通过5家媒体发布招聘会信息（其中本地渠道不少于2个），并设计制作活动海报等宣传所需物料（含电子海报、微信推广图、桁架、展架等）。每场活动的媒体曝光浏览量不少于2万次。</w:t>
            </w:r>
          </w:p>
          <w:p w14:paraId="53FEAB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宣传设计：线下招聘会每场设计1套报名专题页并自有网站上线、每场活动海报不少于1个；网络招聘会设计1套专题页并自有网站上线，在页面开设分会场至少3个，包含但不限于就业政策宣传区、见习专区、就业指导专区等。完成所有活动物料设计。</w:t>
            </w:r>
          </w:p>
          <w:p w14:paraId="2269D4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9.为线下招聘会租赁活动场地，租用和搭建招聘展位，完成会场布置、桌椅租用、现场物料设计、制作和搭建、相关部门的活动报备手续和风险评估；配足现场工作人员，</w:t>
            </w:r>
            <w:r>
              <w:rPr>
                <w:rFonts w:hint="eastAsia" w:ascii="仿宋" w:hAnsi="仿宋" w:eastAsia="仿宋" w:cs="仿宋"/>
                <w:color w:val="auto"/>
                <w:sz w:val="24"/>
                <w:szCs w:val="24"/>
                <w:highlight w:val="none"/>
              </w:rPr>
              <w:t>做好会场服务和</w:t>
            </w:r>
            <w:r>
              <w:rPr>
                <w:rFonts w:hint="eastAsia" w:ascii="仿宋" w:hAnsi="仿宋" w:eastAsia="仿宋" w:cs="仿宋"/>
                <w:color w:val="auto"/>
                <w:sz w:val="24"/>
                <w:szCs w:val="24"/>
                <w:highlight w:val="none"/>
                <w:lang w:eastAsia="zh-CN"/>
              </w:rPr>
              <w:t>安</w:t>
            </w:r>
            <w:r>
              <w:rPr>
                <w:rFonts w:hint="eastAsia" w:ascii="仿宋" w:hAnsi="仿宋" w:eastAsia="仿宋" w:cs="仿宋"/>
                <w:color w:val="auto"/>
                <w:sz w:val="24"/>
                <w:szCs w:val="24"/>
                <w:highlight w:val="none"/>
                <w:lang w:val="en-US" w:eastAsia="zh-CN"/>
              </w:rPr>
              <w:t>保</w:t>
            </w:r>
            <w:r>
              <w:rPr>
                <w:rFonts w:hint="eastAsia" w:ascii="仿宋" w:hAnsi="仿宋" w:eastAsia="仿宋" w:cs="仿宋"/>
                <w:color w:val="auto"/>
                <w:sz w:val="24"/>
                <w:szCs w:val="24"/>
                <w:highlight w:val="none"/>
              </w:rPr>
              <w:t>等工作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保障活动不发生安全事故。</w:t>
            </w:r>
          </w:p>
          <w:p w14:paraId="036B0B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10.为网络招聘会做好会期的页面运维、数据抓取等，并保障不发生信息泄漏、意识形态、招聘歧视等安全事故。</w:t>
            </w:r>
          </w:p>
          <w:p w14:paraId="5A0F3B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每场线下招聘活动前后举办桂林就业环境、政策的宣讲或就业指导讲座，或辅导员、毕业生的就业沙龙，至少1场，人才集市除外；在招聘会现场设立咨询台，提供政策、就业指导、培训、档案等咨询服务，每场配备政策咨询人员不少于3人、</w:t>
            </w:r>
            <w:r>
              <w:rPr>
                <w:rFonts w:hint="eastAsia" w:ascii="仿宋" w:hAnsi="仿宋" w:eastAsia="仿宋" w:cs="仿宋"/>
                <w:color w:val="auto"/>
                <w:kern w:val="2"/>
                <w:sz w:val="24"/>
                <w:szCs w:val="24"/>
                <w:highlight w:val="none"/>
                <w:lang w:val="en-US" w:eastAsia="zh-CN" w:bidi="ar-SA"/>
              </w:rPr>
              <w:t>就业指导类专家1-2人。</w:t>
            </w:r>
          </w:p>
          <w:p w14:paraId="414BDC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12.线下</w:t>
            </w:r>
            <w:r>
              <w:rPr>
                <w:rFonts w:hint="eastAsia" w:ascii="仿宋" w:hAnsi="仿宋" w:eastAsia="仿宋" w:cs="仿宋"/>
                <w:color w:val="auto"/>
                <w:kern w:val="2"/>
                <w:sz w:val="24"/>
                <w:szCs w:val="24"/>
                <w:highlight w:val="none"/>
                <w:lang w:val="en-US" w:eastAsia="zh-CN" w:bidi="ar-SA"/>
              </w:rPr>
              <w:t>招聘活动</w:t>
            </w:r>
            <w:r>
              <w:rPr>
                <w:rFonts w:hint="eastAsia" w:ascii="仿宋" w:hAnsi="仿宋" w:eastAsia="仿宋" w:cs="仿宋"/>
                <w:color w:val="auto"/>
                <w:sz w:val="24"/>
                <w:szCs w:val="24"/>
                <w:highlight w:val="none"/>
              </w:rPr>
              <w:t>餐饮：</w:t>
            </w:r>
            <w:r>
              <w:rPr>
                <w:rFonts w:hint="eastAsia" w:ascii="仿宋" w:hAnsi="仿宋" w:eastAsia="仿宋" w:cs="仿宋"/>
                <w:color w:val="auto"/>
                <w:sz w:val="24"/>
                <w:szCs w:val="24"/>
                <w:highlight w:val="none"/>
                <w:lang w:val="en-US" w:eastAsia="zh-CN"/>
              </w:rPr>
              <w:t>提供</w:t>
            </w:r>
            <w:r>
              <w:rPr>
                <w:rFonts w:hint="eastAsia" w:ascii="仿宋" w:hAnsi="仿宋" w:eastAsia="仿宋" w:cs="仿宋"/>
                <w:color w:val="auto"/>
                <w:sz w:val="24"/>
                <w:szCs w:val="24"/>
                <w:highlight w:val="none"/>
              </w:rPr>
              <w:t>现场工作人员、企业招聘代表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咨询专家、安保工作人员、志愿者等人员</w:t>
            </w:r>
            <w:r>
              <w:rPr>
                <w:rFonts w:hint="eastAsia" w:ascii="仿宋" w:hAnsi="仿宋" w:eastAsia="仿宋" w:cs="仿宋"/>
                <w:color w:val="auto"/>
                <w:sz w:val="24"/>
                <w:szCs w:val="24"/>
                <w:highlight w:val="none"/>
              </w:rPr>
              <w:t>的工作餐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水</w:t>
            </w:r>
            <w:r>
              <w:rPr>
                <w:rFonts w:hint="eastAsia" w:ascii="仿宋" w:hAnsi="仿宋" w:eastAsia="仿宋" w:cs="仿宋"/>
                <w:color w:val="auto"/>
                <w:sz w:val="24"/>
                <w:szCs w:val="24"/>
                <w:highlight w:val="none"/>
              </w:rPr>
              <w:t>，餐标不低于25元/人。</w:t>
            </w:r>
          </w:p>
          <w:p w14:paraId="2DFFFD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13.为参会用人单位、求职者提供平台使用（包含但不限于简历查询、简历投递、职位搜索、视频面试等招聘会必要配套功能的使用）、招聘活动咨询等服务等。</w:t>
            </w:r>
          </w:p>
          <w:p w14:paraId="25A850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14.每场配套的网络招聘会期间，组织不少于2场直播带岗（非招聘会现场走播）或云上宣讲，累计参与企业不少于12家，累计点击和播放量不少于20000次，直播带岗或云上宣讲参与企业累计接收简历不少于400份。</w:t>
            </w:r>
          </w:p>
          <w:p w14:paraId="0BCCD4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15.为就业实践课堂提供市内交通用车租赁、水、备用药等服务。</w:t>
            </w:r>
          </w:p>
          <w:p w14:paraId="555973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16.为参加就业实践课堂的大学生（含毕业生、离校未就业毕业生）购买活动期间的意外险。</w:t>
            </w:r>
          </w:p>
          <w:p w14:paraId="2536C7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17.为就业实践课堂拍摄并制作活动视频，视频版权归属采购方，视频制作所涉内容无版权等纠纷。活动视频在社会媒介平台推广发布，累计播放量不少于2000次。</w:t>
            </w:r>
          </w:p>
          <w:p w14:paraId="4E8E0F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18.向城管、公安等部门办理活动举办所须的相关报备手续。</w:t>
            </w:r>
          </w:p>
          <w:p w14:paraId="228D38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eastAsia="宋体"/>
                <w:color w:val="auto"/>
                <w:highlight w:val="none"/>
                <w:lang w:val="en-US" w:eastAsia="zh-CN"/>
              </w:rPr>
            </w:pPr>
            <w:r>
              <w:rPr>
                <w:rFonts w:hint="eastAsia" w:ascii="仿宋" w:hAnsi="仿宋" w:eastAsia="仿宋" w:cs="仿宋"/>
                <w:color w:val="auto"/>
                <w:sz w:val="24"/>
                <w:szCs w:val="24"/>
                <w:highlight w:val="none"/>
                <w:lang w:val="en-US" w:eastAsia="zh-CN"/>
              </w:rPr>
              <w:t>19.所有活动期间的招聘页面运维。</w:t>
            </w:r>
          </w:p>
        </w:tc>
      </w:tr>
      <w:tr w14:paraId="4E68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000" w:type="pct"/>
            <w:gridSpan w:val="5"/>
            <w:noWrap w:val="0"/>
            <w:vAlign w:val="center"/>
          </w:tcPr>
          <w:p w14:paraId="7BC268A9">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商务要求</w:t>
            </w:r>
          </w:p>
        </w:tc>
      </w:tr>
      <w:tr w14:paraId="3260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3" w:type="pct"/>
            <w:gridSpan w:val="2"/>
            <w:noWrap w:val="0"/>
            <w:vAlign w:val="center"/>
          </w:tcPr>
          <w:p w14:paraId="59EB1851">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服务</w:t>
            </w:r>
            <w:r>
              <w:rPr>
                <w:rFonts w:hint="eastAsia" w:ascii="仿宋" w:hAnsi="仿宋" w:eastAsia="仿宋" w:cs="仿宋"/>
                <w:b/>
                <w:bCs/>
                <w:color w:val="auto"/>
                <w:sz w:val="24"/>
                <w:szCs w:val="24"/>
                <w:highlight w:val="none"/>
                <w:lang w:val="en-US" w:eastAsia="zh-CN"/>
              </w:rPr>
              <w:t>期限</w:t>
            </w:r>
          </w:p>
        </w:tc>
        <w:tc>
          <w:tcPr>
            <w:tcW w:w="3956" w:type="pct"/>
            <w:gridSpan w:val="3"/>
            <w:noWrap w:val="0"/>
            <w:vAlign w:val="center"/>
          </w:tcPr>
          <w:p w14:paraId="2A1936F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签订合同之日起至</w:t>
            </w:r>
            <w:r>
              <w:rPr>
                <w:rFonts w:hint="eastAsia" w:ascii="仿宋" w:hAnsi="仿宋" w:eastAsia="仿宋" w:cs="仿宋"/>
                <w:color w:val="auto"/>
                <w:sz w:val="24"/>
                <w:szCs w:val="24"/>
                <w:highlight w:val="none"/>
                <w:u w:val="none"/>
                <w:lang w:val="en-US" w:eastAsia="zh-CN"/>
              </w:rPr>
              <w:t>2027</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none"/>
                <w:lang w:val="en-US" w:eastAsia="zh-CN"/>
              </w:rPr>
              <w:t>30</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rPr>
              <w:t>止。</w:t>
            </w:r>
          </w:p>
        </w:tc>
      </w:tr>
      <w:tr w14:paraId="4DA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43" w:type="pct"/>
            <w:gridSpan w:val="2"/>
            <w:noWrap w:val="0"/>
            <w:vAlign w:val="center"/>
          </w:tcPr>
          <w:p w14:paraId="4B9C9BA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服务地点</w:t>
            </w:r>
          </w:p>
        </w:tc>
        <w:tc>
          <w:tcPr>
            <w:tcW w:w="3956" w:type="pct"/>
            <w:gridSpan w:val="3"/>
            <w:noWrap w:val="0"/>
            <w:vAlign w:val="center"/>
          </w:tcPr>
          <w:p w14:paraId="219A7ED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桂林市采购人指定地点。</w:t>
            </w:r>
          </w:p>
        </w:tc>
      </w:tr>
      <w:tr w14:paraId="5EB16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43" w:type="pct"/>
            <w:gridSpan w:val="2"/>
            <w:noWrap w:val="0"/>
            <w:vAlign w:val="center"/>
          </w:tcPr>
          <w:p w14:paraId="54836C3D">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报价要求</w:t>
            </w:r>
          </w:p>
        </w:tc>
        <w:tc>
          <w:tcPr>
            <w:tcW w:w="3956" w:type="pct"/>
            <w:gridSpan w:val="3"/>
            <w:noWrap w:val="0"/>
            <w:vAlign w:val="center"/>
          </w:tcPr>
          <w:p w14:paraId="3FC755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应包括完成本次服务采购需求范围内所需的劳务费、技术服务费、策划设计、制作、现场执行、版权或知识产权、管理费、利润、验收、税金和风险等一切相关的全部费用。该价格不因投标人在计算报价中的失误、漏项、多项而做任何调整；投标人的报价在合同实施期间应保持不变。除此之外，采购人不再另行支付任何费用。</w:t>
            </w:r>
          </w:p>
        </w:tc>
      </w:tr>
      <w:tr w14:paraId="4995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43" w:type="pct"/>
            <w:gridSpan w:val="2"/>
            <w:noWrap w:val="0"/>
            <w:vAlign w:val="center"/>
          </w:tcPr>
          <w:p w14:paraId="6DC66DA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付款方式</w:t>
            </w:r>
          </w:p>
        </w:tc>
        <w:tc>
          <w:tcPr>
            <w:tcW w:w="3956" w:type="pct"/>
            <w:gridSpan w:val="3"/>
            <w:noWrap w:val="0"/>
            <w:vAlign w:val="center"/>
          </w:tcPr>
          <w:p w14:paraId="467A49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合同签订后至少分2次支付合同款项，其中首次支付比例不高于本标段中标价的30%，全部款项支付完成不超过项目完成并验收后60日（具体支付时间和金额以财政每次批复的时间、批复的金额为准）。</w:t>
            </w:r>
          </w:p>
        </w:tc>
      </w:tr>
      <w:tr w14:paraId="45E0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trPr>
        <w:tc>
          <w:tcPr>
            <w:tcW w:w="1043" w:type="pct"/>
            <w:gridSpan w:val="2"/>
            <w:noWrap w:val="0"/>
            <w:vAlign w:val="center"/>
          </w:tcPr>
          <w:p w14:paraId="4A6FF939">
            <w:pPr>
              <w:pStyle w:val="7"/>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kern w:val="0"/>
                <w:sz w:val="24"/>
                <w:szCs w:val="24"/>
                <w:highlight w:val="none"/>
                <w:lang w:bidi="ar"/>
              </w:rPr>
              <w:t>其他要求</w:t>
            </w:r>
          </w:p>
        </w:tc>
        <w:tc>
          <w:tcPr>
            <w:tcW w:w="3956" w:type="pct"/>
            <w:gridSpan w:val="3"/>
            <w:noWrap w:val="0"/>
            <w:vAlign w:val="center"/>
          </w:tcPr>
          <w:p w14:paraId="29F030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）根据项目的实际情况，中标供应商必须承诺按采购人的要求，</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前一周与主办方确认</w:t>
            </w:r>
            <w:r>
              <w:rPr>
                <w:rFonts w:hint="eastAsia" w:ascii="仿宋" w:hAnsi="仿宋" w:eastAsia="仿宋" w:cs="仿宋"/>
                <w:color w:val="auto"/>
                <w:sz w:val="24"/>
                <w:szCs w:val="24"/>
                <w:highlight w:val="none"/>
                <w:lang w:val="en-US" w:eastAsia="zh-CN"/>
              </w:rPr>
              <w:t>活动</w:t>
            </w:r>
            <w:r>
              <w:rPr>
                <w:rFonts w:hint="eastAsia" w:ascii="仿宋" w:hAnsi="仿宋" w:eastAsia="仿宋" w:cs="仿宋"/>
                <w:color w:val="auto"/>
                <w:sz w:val="24"/>
                <w:szCs w:val="24"/>
                <w:highlight w:val="none"/>
              </w:rPr>
              <w:t>需求，提前一天按要求做好会场布置，</w:t>
            </w:r>
            <w:r>
              <w:rPr>
                <w:rFonts w:hint="eastAsia" w:ascii="仿宋" w:hAnsi="仿宋" w:eastAsia="仿宋" w:cs="仿宋"/>
                <w:color w:val="auto"/>
                <w:sz w:val="24"/>
                <w:szCs w:val="24"/>
                <w:highlight w:val="none"/>
                <w:lang w:eastAsia="zh-Hans"/>
              </w:rPr>
              <w:t>包</w:t>
            </w:r>
            <w:r>
              <w:rPr>
                <w:rFonts w:hint="eastAsia" w:ascii="仿宋" w:hAnsi="仿宋" w:eastAsia="仿宋" w:cs="仿宋"/>
                <w:color w:val="auto"/>
                <w:sz w:val="24"/>
                <w:szCs w:val="24"/>
                <w:highlight w:val="none"/>
              </w:rPr>
              <w:t>含</w:t>
            </w:r>
            <w:r>
              <w:rPr>
                <w:rFonts w:hint="eastAsia" w:ascii="仿宋" w:hAnsi="仿宋" w:eastAsia="仿宋" w:cs="仿宋"/>
                <w:color w:val="auto"/>
                <w:sz w:val="24"/>
                <w:szCs w:val="24"/>
                <w:highlight w:val="none"/>
                <w:lang w:eastAsia="zh-Hans"/>
              </w:rPr>
              <w:t>但不仅限于</w:t>
            </w:r>
            <w:r>
              <w:rPr>
                <w:rFonts w:hint="eastAsia" w:ascii="仿宋" w:hAnsi="仿宋" w:eastAsia="仿宋" w:cs="仿宋"/>
                <w:color w:val="auto"/>
                <w:sz w:val="24"/>
                <w:szCs w:val="24"/>
                <w:highlight w:val="none"/>
                <w:lang w:eastAsia="zh-CN"/>
              </w:rPr>
              <w:t>招聘场地</w:t>
            </w:r>
            <w:r>
              <w:rPr>
                <w:rFonts w:hint="eastAsia" w:ascii="仿宋" w:hAnsi="仿宋" w:eastAsia="仿宋" w:cs="仿宋"/>
                <w:color w:val="auto"/>
                <w:sz w:val="24"/>
                <w:szCs w:val="24"/>
                <w:highlight w:val="none"/>
              </w:rPr>
              <w:t>搭建，企业门楣、宣传横幅等布置，会议结束后</w:t>
            </w:r>
            <w:r>
              <w:rPr>
                <w:rFonts w:hint="eastAsia" w:ascii="仿宋" w:hAnsi="仿宋" w:eastAsia="仿宋" w:cs="仿宋"/>
                <w:color w:val="auto"/>
                <w:sz w:val="24"/>
                <w:szCs w:val="24"/>
                <w:highlight w:val="none"/>
                <w:lang w:eastAsia="zh-CN"/>
              </w:rPr>
              <w:t>中标供应商</w:t>
            </w:r>
            <w:r>
              <w:rPr>
                <w:rFonts w:hint="eastAsia" w:ascii="仿宋" w:hAnsi="仿宋" w:eastAsia="仿宋" w:cs="仿宋"/>
                <w:color w:val="auto"/>
                <w:sz w:val="24"/>
                <w:szCs w:val="24"/>
                <w:highlight w:val="none"/>
              </w:rPr>
              <w:t>还需整理</w:t>
            </w:r>
            <w:r>
              <w:rPr>
                <w:rFonts w:hint="eastAsia" w:ascii="仿宋" w:hAnsi="仿宋" w:eastAsia="仿宋" w:cs="仿宋"/>
                <w:color w:val="auto"/>
                <w:sz w:val="24"/>
                <w:szCs w:val="24"/>
                <w:highlight w:val="none"/>
                <w:lang w:eastAsia="zh-CN"/>
              </w:rPr>
              <w:t>相关资料</w:t>
            </w:r>
            <w:r>
              <w:rPr>
                <w:rFonts w:hint="eastAsia" w:ascii="仿宋" w:hAnsi="仿宋" w:eastAsia="仿宋" w:cs="仿宋"/>
                <w:color w:val="auto"/>
                <w:sz w:val="24"/>
                <w:szCs w:val="24"/>
                <w:highlight w:val="none"/>
              </w:rPr>
              <w:t>交由采购人存档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并按采购方要求同步实施离校未就业高校毕业生就业服务。</w:t>
            </w:r>
          </w:p>
          <w:p w14:paraId="5A3AFB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标段</w:t>
            </w:r>
            <w:r>
              <w:rPr>
                <w:rFonts w:hint="eastAsia" w:ascii="仿宋" w:hAnsi="仿宋" w:eastAsia="仿宋" w:cs="仿宋"/>
                <w:color w:val="auto"/>
                <w:sz w:val="24"/>
                <w:szCs w:val="24"/>
                <w:highlight w:val="none"/>
              </w:rPr>
              <w:t>采购预算金额：</w:t>
            </w:r>
            <w:r>
              <w:rPr>
                <w:rFonts w:hint="eastAsia" w:ascii="仿宋" w:hAnsi="仿宋" w:eastAsia="仿宋" w:cs="仿宋"/>
                <w:color w:val="auto"/>
                <w:sz w:val="24"/>
                <w:szCs w:val="24"/>
                <w:highlight w:val="none"/>
                <w:lang w:eastAsia="zh-CN"/>
              </w:rPr>
              <w:t>人民币</w:t>
            </w:r>
            <w:r>
              <w:rPr>
                <w:rFonts w:hint="eastAsia" w:ascii="仿宋" w:hAnsi="仿宋" w:eastAsia="仿宋" w:cs="仿宋"/>
                <w:color w:val="auto"/>
                <w:sz w:val="24"/>
                <w:szCs w:val="24"/>
                <w:highlight w:val="none"/>
                <w:lang w:val="en-US" w:eastAsia="zh-CN"/>
              </w:rPr>
              <w:t>叁</w:t>
            </w:r>
            <w:r>
              <w:rPr>
                <w:rFonts w:hint="eastAsia" w:ascii="仿宋" w:hAnsi="仿宋" w:eastAsia="仿宋" w:cs="仿宋"/>
                <w:color w:val="auto"/>
                <w:sz w:val="24"/>
                <w:szCs w:val="24"/>
                <w:highlight w:val="none"/>
                <w:lang w:eastAsia="zh-CN"/>
              </w:rPr>
              <w:t>拾</w:t>
            </w:r>
            <w:r>
              <w:rPr>
                <w:rFonts w:hint="eastAsia" w:ascii="仿宋" w:hAnsi="仿宋" w:eastAsia="仿宋" w:cs="仿宋"/>
                <w:color w:val="auto"/>
                <w:sz w:val="24"/>
                <w:szCs w:val="24"/>
                <w:highlight w:val="none"/>
                <w:lang w:val="en-US" w:eastAsia="zh-CN"/>
              </w:rPr>
              <w:t>伍</w:t>
            </w:r>
            <w:r>
              <w:rPr>
                <w:rFonts w:hint="eastAsia" w:ascii="仿宋" w:hAnsi="仿宋" w:eastAsia="仿宋" w:cs="仿宋"/>
                <w:color w:val="auto"/>
                <w:sz w:val="24"/>
                <w:szCs w:val="24"/>
                <w:highlight w:val="none"/>
                <w:lang w:eastAsia="zh-CN"/>
              </w:rPr>
              <w:t>万</w:t>
            </w:r>
            <w:r>
              <w:rPr>
                <w:rFonts w:hint="eastAsia" w:ascii="仿宋" w:hAnsi="仿宋" w:eastAsia="仿宋" w:cs="仿宋"/>
                <w:color w:val="auto"/>
                <w:sz w:val="24"/>
                <w:szCs w:val="24"/>
                <w:highlight w:val="none"/>
                <w:lang w:val="en-US" w:eastAsia="zh-CN"/>
              </w:rPr>
              <w:t>捌</w:t>
            </w:r>
            <w:r>
              <w:rPr>
                <w:rFonts w:hint="eastAsia" w:ascii="仿宋" w:hAnsi="仿宋" w:eastAsia="仿宋" w:cs="仿宋"/>
                <w:color w:val="auto"/>
                <w:sz w:val="24"/>
                <w:szCs w:val="24"/>
                <w:highlight w:val="none"/>
                <w:lang w:eastAsia="zh-CN"/>
              </w:rPr>
              <w:t>仟元整（¥</w:t>
            </w:r>
            <w:r>
              <w:rPr>
                <w:rFonts w:hint="eastAsia" w:ascii="仿宋" w:hAnsi="仿宋" w:eastAsia="仿宋" w:cs="仿宋"/>
                <w:color w:val="auto"/>
                <w:sz w:val="24"/>
                <w:szCs w:val="24"/>
                <w:highlight w:val="none"/>
                <w:lang w:val="en-US" w:eastAsia="zh-CN"/>
              </w:rPr>
              <w:t>358000</w:t>
            </w:r>
            <w:r>
              <w:rPr>
                <w:rFonts w:hint="eastAsia" w:ascii="仿宋" w:hAnsi="仿宋" w:eastAsia="仿宋" w:cs="仿宋"/>
                <w:color w:val="auto"/>
                <w:sz w:val="24"/>
                <w:szCs w:val="24"/>
                <w:highlight w:val="none"/>
                <w:lang w:eastAsia="zh-CN"/>
              </w:rPr>
              <w:t>.00）</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u w:val="single"/>
              </w:rPr>
              <w:t>投标人的投标报价不得超过采购预算金额，否则投标文件无效。</w:t>
            </w:r>
          </w:p>
        </w:tc>
      </w:tr>
    </w:tbl>
    <w:p w14:paraId="44AB5DB0">
      <w:pPr>
        <w:pStyle w:val="8"/>
        <w:numPr>
          <w:ilvl w:val="0"/>
          <w:numId w:val="0"/>
        </w:numPr>
        <w:ind w:leftChars="200" w:right="33" w:rightChars="0"/>
        <w:rPr>
          <w:rFonts w:hint="eastAsia" w:ascii="仿宋" w:hAnsi="仿宋" w:eastAsia="仿宋" w:cs="仿宋"/>
          <w:b/>
          <w:bCs/>
          <w:color w:val="auto"/>
          <w:highlight w:val="none"/>
          <w:lang w:val="en-US" w:eastAsia="zh-CN"/>
        </w:rPr>
      </w:pPr>
    </w:p>
    <w:p w14:paraId="2B3A6FC8">
      <w:pPr>
        <w:bidi w:val="0"/>
        <w:rPr>
          <w:rFonts w:hint="eastAsia"/>
          <w:lang w:val="en-US" w:eastAsia="zh-CN"/>
        </w:rPr>
      </w:pPr>
      <w:bookmarkStart w:id="25" w:name="_Toc8959"/>
      <w:bookmarkStart w:id="26" w:name="_Toc25274"/>
      <w:bookmarkStart w:id="27" w:name="_Toc7946"/>
    </w:p>
    <w:p w14:paraId="0C9443C4">
      <w:pPr>
        <w:rPr>
          <w:rFonts w:hint="eastAsia"/>
          <w:lang w:val="en-US" w:eastAsia="zh-CN"/>
        </w:rPr>
      </w:pPr>
    </w:p>
    <w:p w14:paraId="6D72C97E">
      <w:pPr>
        <w:bidi w:val="0"/>
        <w:rPr>
          <w:rFonts w:hint="eastAsia"/>
          <w:lang w:val="en-US" w:eastAsia="zh-CN"/>
        </w:rPr>
      </w:pPr>
    </w:p>
    <w:p w14:paraId="0A4AEF30">
      <w:pPr>
        <w:pStyle w:val="3"/>
        <w:numPr>
          <w:ilvl w:val="1"/>
          <w:numId w:val="0"/>
        </w:numPr>
        <w:ind w:leftChars="0"/>
        <w:rPr>
          <w:rFonts w:hint="eastAsia"/>
          <w:lang w:val="en-US" w:eastAsia="zh-CN"/>
        </w:rPr>
      </w:pPr>
    </w:p>
    <w:p w14:paraId="0B7250C1">
      <w:pPr>
        <w:rPr>
          <w:rFonts w:hint="eastAsia"/>
          <w:lang w:val="en-US" w:eastAsia="zh-CN"/>
        </w:rPr>
      </w:pPr>
    </w:p>
    <w:p w14:paraId="0AAB7B9F">
      <w:pPr>
        <w:bidi w:val="0"/>
        <w:rPr>
          <w:rFonts w:hint="eastAsia"/>
          <w:lang w:val="en-US" w:eastAsia="zh-CN"/>
        </w:rPr>
      </w:pPr>
    </w:p>
    <w:p w14:paraId="66EDA413">
      <w:pPr>
        <w:bidi w:val="0"/>
        <w:rPr>
          <w:rFonts w:hint="eastAsia"/>
          <w:lang w:val="en-US" w:eastAsia="zh-CN"/>
        </w:rPr>
      </w:pPr>
    </w:p>
    <w:p w14:paraId="338F61C7">
      <w:pPr>
        <w:bidi w:val="0"/>
        <w:rPr>
          <w:rFonts w:hint="eastAsia"/>
          <w:lang w:val="en-US" w:eastAsia="zh-CN"/>
        </w:rPr>
      </w:pPr>
    </w:p>
    <w:p w14:paraId="2EDE4E57">
      <w:pPr>
        <w:bidi w:val="0"/>
        <w:rPr>
          <w:rFonts w:hint="eastAsia"/>
          <w:lang w:val="en-US" w:eastAsia="zh-CN"/>
        </w:rPr>
      </w:pPr>
    </w:p>
    <w:p w14:paraId="45F3FFF9">
      <w:pPr>
        <w:jc w:val="center"/>
        <w:rPr>
          <w:rStyle w:val="18"/>
          <w:rFonts w:hint="eastAsia" w:ascii="仿宋" w:hAnsi="仿宋" w:eastAsia="仿宋" w:cs="仿宋"/>
          <w:b/>
          <w:color w:val="auto"/>
          <w:highlight w:val="none"/>
          <w:lang w:val="en-US" w:eastAsia="zh-CN"/>
        </w:rPr>
      </w:pPr>
      <w:bookmarkStart w:id="28" w:name="_Toc31928"/>
      <w:r>
        <w:rPr>
          <w:rStyle w:val="18"/>
          <w:rFonts w:hint="eastAsia" w:ascii="仿宋" w:hAnsi="仿宋" w:eastAsia="仿宋" w:cs="仿宋"/>
          <w:b/>
          <w:color w:val="auto"/>
          <w:highlight w:val="none"/>
          <w:lang w:val="en-US" w:eastAsia="zh-CN"/>
        </w:rPr>
        <w:t>第四章  评标办法</w:t>
      </w:r>
      <w:bookmarkEnd w:id="25"/>
      <w:bookmarkEnd w:id="26"/>
    </w:p>
    <w:bookmarkEnd w:id="27"/>
    <w:bookmarkEnd w:id="28"/>
    <w:p w14:paraId="433F0D3B">
      <w:pPr>
        <w:pStyle w:val="9"/>
        <w:spacing w:line="360" w:lineRule="exact"/>
        <w:ind w:firstLine="472" w:firstLineChars="19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一、评标依据及方式</w:t>
      </w:r>
    </w:p>
    <w:p w14:paraId="071DC8EE">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（一）</w:t>
      </w:r>
      <w:r>
        <w:rPr>
          <w:rFonts w:hint="eastAsia" w:ascii="仿宋" w:hAnsi="仿宋" w:eastAsia="仿宋" w:cs="仿宋"/>
          <w:color w:val="auto"/>
          <w:kern w:val="0"/>
          <w:sz w:val="24"/>
          <w:szCs w:val="24"/>
          <w:highlight w:val="none"/>
        </w:rPr>
        <w:t>评标依据：评标委员会以招标文件和投标文件为评标依据，对投标人的投标报价、</w:t>
      </w:r>
      <w:r>
        <w:rPr>
          <w:rFonts w:hint="eastAsia" w:ascii="仿宋" w:hAnsi="仿宋" w:eastAsia="仿宋" w:cs="仿宋"/>
          <w:color w:val="auto"/>
          <w:kern w:val="0"/>
          <w:sz w:val="24"/>
          <w:szCs w:val="24"/>
          <w:highlight w:val="none"/>
          <w:lang w:eastAsia="zh-CN"/>
        </w:rPr>
        <w:t>技术、</w:t>
      </w:r>
      <w:r>
        <w:rPr>
          <w:rFonts w:hint="eastAsia" w:ascii="仿宋" w:hAnsi="仿宋" w:eastAsia="仿宋" w:cs="仿宋"/>
          <w:color w:val="auto"/>
          <w:kern w:val="0"/>
          <w:sz w:val="24"/>
          <w:szCs w:val="24"/>
          <w:highlight w:val="none"/>
          <w:lang w:val="en-US" w:eastAsia="zh-CN"/>
        </w:rPr>
        <w:t>商务</w:t>
      </w:r>
      <w:r>
        <w:rPr>
          <w:rFonts w:hint="eastAsia" w:ascii="仿宋" w:hAnsi="仿宋" w:eastAsia="仿宋" w:cs="仿宋"/>
          <w:color w:val="auto"/>
          <w:kern w:val="0"/>
          <w:sz w:val="24"/>
          <w:szCs w:val="24"/>
          <w:highlight w:val="none"/>
        </w:rPr>
        <w:t>等方面内容按百分制打分。</w:t>
      </w:r>
    </w:p>
    <w:p w14:paraId="6B7A2044">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（二）</w:t>
      </w:r>
      <w:r>
        <w:rPr>
          <w:rFonts w:hint="eastAsia" w:ascii="仿宋" w:hAnsi="仿宋" w:eastAsia="仿宋" w:cs="仿宋"/>
          <w:color w:val="auto"/>
          <w:kern w:val="0"/>
          <w:sz w:val="24"/>
          <w:szCs w:val="24"/>
          <w:highlight w:val="none"/>
        </w:rPr>
        <w:t>评标方式：以封闭方式进行评标。</w:t>
      </w:r>
    </w:p>
    <w:p w14:paraId="0B862262">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（三）</w:t>
      </w:r>
      <w:r>
        <w:rPr>
          <w:rFonts w:hint="eastAsia" w:ascii="仿宋" w:hAnsi="仿宋" w:eastAsia="仿宋" w:cs="仿宋"/>
          <w:color w:val="auto"/>
          <w:kern w:val="0"/>
          <w:sz w:val="24"/>
          <w:szCs w:val="24"/>
          <w:highlight w:val="none"/>
        </w:rPr>
        <w:t>根据财库〔2012〕69号文规定，采购人和采购代理机构、评标委员会成员要严格遵守政府采购相关法律制度，依法履行各自职责，公正、客观、审慎地组织和参与评审工作。</w:t>
      </w:r>
    </w:p>
    <w:p w14:paraId="6DC2CE0D">
      <w:pPr>
        <w:pStyle w:val="9"/>
        <w:spacing w:line="360" w:lineRule="exact"/>
        <w:ind w:firstLine="482" w:firstLineChars="200"/>
        <w:rPr>
          <w:rFonts w:hint="eastAsia" w:ascii="仿宋" w:hAnsi="仿宋" w:eastAsia="仿宋" w:cs="仿宋"/>
          <w:b/>
          <w:bCs/>
          <w:color w:val="auto"/>
          <w:sz w:val="24"/>
          <w:szCs w:val="24"/>
          <w:highlight w:val="none"/>
        </w:rPr>
      </w:pPr>
    </w:p>
    <w:p w14:paraId="4D0702D1">
      <w:pPr>
        <w:spacing w:line="360" w:lineRule="auto"/>
        <w:ind w:firstLine="487" w:firstLineChars="202"/>
        <w:jc w:val="left"/>
        <w:rPr>
          <w:rFonts w:hint="eastAsia" w:ascii="仿宋" w:hAnsi="仿宋" w:eastAsia="仿宋" w:cs="仿宋"/>
          <w:b/>
          <w:color w:val="auto"/>
          <w:sz w:val="24"/>
          <w:szCs w:val="24"/>
          <w:highlight w:val="none"/>
        </w:rPr>
      </w:pPr>
      <w:bookmarkStart w:id="29" w:name="_Toc26870"/>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val="en-US" w:eastAsia="zh-CN"/>
        </w:rPr>
        <w:t>分标1</w:t>
      </w:r>
      <w:r>
        <w:rPr>
          <w:rFonts w:hint="eastAsia" w:ascii="仿宋" w:hAnsi="仿宋" w:eastAsia="仿宋" w:cs="仿宋"/>
          <w:b/>
          <w:color w:val="auto"/>
          <w:sz w:val="24"/>
          <w:szCs w:val="24"/>
          <w:highlight w:val="none"/>
        </w:rPr>
        <w:t>评定方法</w:t>
      </w:r>
    </w:p>
    <w:p w14:paraId="10442478">
      <w:pPr>
        <w:pStyle w:val="9"/>
        <w:adjustRightInd w:val="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（一）对进入详评的，采用百分制综合评分法。</w:t>
      </w:r>
    </w:p>
    <w:p w14:paraId="310DF82A">
      <w:pPr>
        <w:pStyle w:val="9"/>
        <w:adjustRightInd w:val="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（二）计分办法（按四舍五入取至百分位）：</w:t>
      </w:r>
    </w:p>
    <w:p w14:paraId="290B1808">
      <w:pPr>
        <w:spacing w:line="500" w:lineRule="exact"/>
        <w:ind w:firstLine="482" w:firstLineChars="200"/>
        <w:jc w:val="lef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w:t>
      </w:r>
      <w:r>
        <w:rPr>
          <w:rFonts w:hint="eastAsia" w:ascii="仿宋" w:hAnsi="仿宋" w:eastAsia="仿宋" w:cs="仿宋"/>
          <w:b/>
          <w:color w:val="auto"/>
          <w:kern w:val="0"/>
          <w:sz w:val="24"/>
          <w:szCs w:val="24"/>
          <w:highlight w:val="none"/>
        </w:rPr>
        <w:t>价格分…………………………………………………………………………</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满分15</w:t>
      </w:r>
      <w:r>
        <w:rPr>
          <w:rFonts w:hint="eastAsia" w:ascii="仿宋" w:hAnsi="仿宋" w:eastAsia="仿宋" w:cs="仿宋"/>
          <w:b/>
          <w:color w:val="auto"/>
          <w:kern w:val="0"/>
          <w:sz w:val="24"/>
          <w:szCs w:val="24"/>
          <w:highlight w:val="none"/>
        </w:rPr>
        <w:t>分</w:t>
      </w:r>
      <w:r>
        <w:rPr>
          <w:rFonts w:hint="eastAsia" w:ascii="仿宋" w:hAnsi="仿宋" w:eastAsia="仿宋" w:cs="仿宋"/>
          <w:b/>
          <w:color w:val="auto"/>
          <w:kern w:val="0"/>
          <w:sz w:val="24"/>
          <w:szCs w:val="24"/>
          <w:highlight w:val="none"/>
          <w:lang w:eastAsia="zh-CN"/>
        </w:rPr>
        <w:t>）</w:t>
      </w:r>
    </w:p>
    <w:p w14:paraId="784ED3C6">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bookmarkStart w:id="30" w:name="_Toc322094438"/>
      <w:r>
        <w:rPr>
          <w:rFonts w:hint="eastAsia" w:ascii="仿宋" w:hAnsi="仿宋" w:eastAsia="仿宋" w:cs="仿宋"/>
          <w:color w:val="auto"/>
          <w:kern w:val="0"/>
          <w:sz w:val="24"/>
          <w:szCs w:val="24"/>
          <w:highlight w:val="none"/>
        </w:rPr>
        <w:t>（1）价格分统一采用低价优先法计算，即满足</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要求且评标报价最低的</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的评标报价为评标基准价，其价格分为满分。</w:t>
      </w:r>
    </w:p>
    <w:p w14:paraId="59C078B5">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（2）按照《政府采购促进中小企业发展管理办法》（财库[2020]46号），对小型和微型企业的服务供应商（以</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提供的符合规定的有关证明材料为准）的投标价给予20%的扣除，扣除后的报价为评审报价，即评审报价=投标报价×（1-20%）；除上述情况外，评审报价=投标报价。</w:t>
      </w:r>
    </w:p>
    <w:p w14:paraId="57667C00">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注：小型、微型企业提供中型企业的服务供应商，视同为中型企业。</w:t>
      </w:r>
    </w:p>
    <w:p w14:paraId="2EE5EA62">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7696D094">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）其他供应商的价格分统一按照下列公式计算：</w:t>
      </w:r>
    </w:p>
    <w:bookmarkEnd w:id="30"/>
    <w:p w14:paraId="4292289A">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评标基准价</w:t>
      </w:r>
    </w:p>
    <w:p w14:paraId="79D5AC48">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某有效</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价格分 =     ---------------------  × </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分</w:t>
      </w:r>
    </w:p>
    <w:p w14:paraId="120951EF">
      <w:pPr>
        <w:pStyle w:val="9"/>
        <w:shd w:val="clear" w:color="auto" w:fill="FFFFFF"/>
        <w:spacing w:line="500" w:lineRule="exact"/>
        <w:ind w:firstLine="3600" w:firstLineChars="15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某有效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评标报价</w:t>
      </w:r>
    </w:p>
    <w:p w14:paraId="49E482C0">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技术</w:t>
      </w:r>
      <w:r>
        <w:rPr>
          <w:rFonts w:hint="eastAsia" w:ascii="仿宋" w:hAnsi="仿宋" w:eastAsia="仿宋" w:cs="仿宋"/>
          <w:b/>
          <w:color w:val="auto"/>
          <w:sz w:val="24"/>
          <w:szCs w:val="24"/>
          <w:highlight w:val="none"/>
          <w:lang w:val="en-US" w:eastAsia="zh-CN"/>
        </w:rPr>
        <w:t>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满分36</w:t>
      </w:r>
      <w:r>
        <w:rPr>
          <w:rFonts w:hint="eastAsia" w:ascii="仿宋" w:hAnsi="仿宋" w:eastAsia="仿宋" w:cs="仿宋"/>
          <w:b/>
          <w:color w:val="auto"/>
          <w:sz w:val="24"/>
          <w:szCs w:val="24"/>
          <w:highlight w:val="none"/>
        </w:rPr>
        <w:t>分）</w:t>
      </w:r>
    </w:p>
    <w:p w14:paraId="5AF4681C">
      <w:pPr>
        <w:spacing w:line="500" w:lineRule="exact"/>
        <w:ind w:firstLine="482" w:firstLineChars="200"/>
        <w:rPr>
          <w:rFonts w:hint="eastAsia" w:ascii="仿宋" w:hAnsi="仿宋" w:eastAsia="仿宋" w:cs="仿宋"/>
          <w:b/>
          <w:bCs w:val="0"/>
          <w:color w:val="auto"/>
          <w:sz w:val="24"/>
          <w:szCs w:val="24"/>
          <w:highlight w:val="none"/>
        </w:rPr>
      </w:pPr>
      <w:bookmarkStart w:id="31" w:name="_Toc46410245"/>
      <w:r>
        <w:rPr>
          <w:rFonts w:hint="eastAsia" w:ascii="仿宋" w:hAnsi="仿宋" w:eastAsia="仿宋" w:cs="仿宋"/>
          <w:b/>
          <w:bCs w:val="0"/>
          <w:color w:val="auto"/>
          <w:sz w:val="24"/>
          <w:szCs w:val="24"/>
          <w:highlight w:val="none"/>
        </w:rPr>
        <w:t>（1）实施方案分（满分</w:t>
      </w:r>
      <w:r>
        <w:rPr>
          <w:rFonts w:hint="eastAsia" w:ascii="仿宋" w:hAnsi="仿宋" w:eastAsia="仿宋" w:cs="仿宋"/>
          <w:b/>
          <w:bCs w:val="0"/>
          <w:color w:val="auto"/>
          <w:sz w:val="24"/>
          <w:szCs w:val="24"/>
          <w:highlight w:val="none"/>
          <w:lang w:val="en-US" w:eastAsia="zh-CN"/>
        </w:rPr>
        <w:t>26</w:t>
      </w:r>
      <w:r>
        <w:rPr>
          <w:rFonts w:hint="eastAsia" w:ascii="仿宋" w:hAnsi="仿宋" w:eastAsia="仿宋" w:cs="仿宋"/>
          <w:b/>
          <w:bCs w:val="0"/>
          <w:color w:val="auto"/>
          <w:sz w:val="24"/>
          <w:szCs w:val="24"/>
          <w:highlight w:val="none"/>
        </w:rPr>
        <w:t>分）</w:t>
      </w:r>
    </w:p>
    <w:bookmarkEnd w:id="31"/>
    <w:p w14:paraId="70C12C0C">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由评标委员会</w:t>
      </w:r>
      <w:r>
        <w:rPr>
          <w:rFonts w:hint="eastAsia" w:ascii="仿宋" w:hAnsi="仿宋" w:eastAsia="仿宋" w:cs="仿宋"/>
          <w:bCs/>
          <w:color w:val="auto"/>
          <w:sz w:val="24"/>
          <w:szCs w:val="24"/>
          <w:highlight w:val="none"/>
          <w:lang w:val="en-US" w:eastAsia="zh-CN"/>
        </w:rPr>
        <w:t>各成员</w:t>
      </w:r>
      <w:r>
        <w:rPr>
          <w:rFonts w:hint="eastAsia" w:ascii="仿宋" w:hAnsi="仿宋" w:eastAsia="仿宋" w:cs="仿宋"/>
          <w:bCs/>
          <w:color w:val="auto"/>
          <w:sz w:val="24"/>
          <w:szCs w:val="24"/>
          <w:highlight w:val="none"/>
        </w:rPr>
        <w:t>根据各投标人提供的实施方案</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包含但不限于①需求理解与分析；②服务内容与方法论；③实施计划与进度安排；④质量保证与措施；⑤应急预案与风险控制等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内容</w:t>
      </w:r>
      <w:r>
        <w:rPr>
          <w:rFonts w:hint="eastAsia" w:ascii="仿宋" w:hAnsi="仿宋" w:eastAsia="仿宋" w:cs="仿宋"/>
          <w:bCs/>
          <w:color w:val="auto"/>
          <w:sz w:val="24"/>
          <w:szCs w:val="24"/>
          <w:highlight w:val="none"/>
          <w:lang w:val="en-US" w:eastAsia="zh-CN"/>
        </w:rPr>
        <w:t>的</w:t>
      </w:r>
      <w:r>
        <w:rPr>
          <w:rFonts w:hint="eastAsia" w:ascii="仿宋" w:hAnsi="仿宋" w:eastAsia="仿宋" w:cs="仿宋"/>
          <w:bCs/>
          <w:color w:val="auto"/>
          <w:sz w:val="24"/>
          <w:szCs w:val="24"/>
          <w:highlight w:val="none"/>
        </w:rPr>
        <w:t>可行性、合理性、实用性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匹配度</w:t>
      </w:r>
      <w:r>
        <w:rPr>
          <w:rFonts w:hint="eastAsia" w:ascii="仿宋" w:hAnsi="仿宋" w:eastAsia="仿宋" w:cs="仿宋"/>
          <w:bCs/>
          <w:color w:val="auto"/>
          <w:sz w:val="24"/>
          <w:szCs w:val="24"/>
          <w:highlight w:val="none"/>
        </w:rPr>
        <w:t>等</w:t>
      </w:r>
      <w:r>
        <w:rPr>
          <w:rFonts w:hint="eastAsia" w:ascii="仿宋" w:hAnsi="仿宋" w:eastAsia="仿宋" w:cs="仿宋"/>
          <w:bCs/>
          <w:color w:val="auto"/>
          <w:sz w:val="24"/>
          <w:szCs w:val="24"/>
          <w:highlight w:val="none"/>
          <w:lang w:val="en-US" w:eastAsia="zh-CN"/>
        </w:rPr>
        <w:t>进行</w:t>
      </w:r>
      <w:r>
        <w:rPr>
          <w:rFonts w:hint="eastAsia" w:ascii="仿宋" w:hAnsi="仿宋" w:eastAsia="仿宋" w:cs="仿宋"/>
          <w:bCs/>
          <w:color w:val="auto"/>
          <w:sz w:val="24"/>
          <w:szCs w:val="24"/>
          <w:highlight w:val="none"/>
        </w:rPr>
        <w:t>比较，确定投标人档次并</w:t>
      </w:r>
      <w:r>
        <w:rPr>
          <w:rFonts w:hint="eastAsia" w:ascii="仿宋" w:hAnsi="仿宋" w:eastAsia="仿宋" w:cs="仿宋"/>
          <w:bCs/>
          <w:color w:val="auto"/>
          <w:sz w:val="24"/>
          <w:szCs w:val="24"/>
          <w:highlight w:val="none"/>
          <w:lang w:val="en-US" w:eastAsia="zh-CN"/>
        </w:rPr>
        <w:t>独立</w:t>
      </w:r>
      <w:r>
        <w:rPr>
          <w:rFonts w:hint="eastAsia" w:ascii="仿宋" w:hAnsi="仿宋" w:eastAsia="仿宋" w:cs="仿宋"/>
          <w:bCs/>
          <w:color w:val="auto"/>
          <w:sz w:val="24"/>
          <w:szCs w:val="24"/>
          <w:highlight w:val="none"/>
        </w:rPr>
        <w:t>打分。</w:t>
      </w:r>
    </w:p>
    <w:p w14:paraId="5028FECB">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六档（26分）：能用精炼语言准确概括招标文件全部核心需求，对潜在需求进行了量化分析，提出不少于3项基于需求分析的、具有前瞻性的服务建议。服务方案覆盖“会前-会中</w:t>
      </w:r>
      <w:r>
        <w:rPr>
          <w:rFonts w:hint="eastAsia" w:ascii="仿宋" w:hAnsi="仿宋" w:eastAsia="仿宋" w:cs="仿宋"/>
          <w:bCs/>
          <w:color w:val="auto"/>
          <w:sz w:val="24"/>
          <w:szCs w:val="24"/>
          <w:highlight w:val="none"/>
          <w:lang w:val="en-US" w:eastAsia="zh-CN"/>
        </w:rPr>
        <w:t>-会后”全流程，细分环节不少于12个，明确提出并应用了成熟的项目管理方法论并阐述其如何在本项目中应用；提出不少于3项可量化、可考核的增值服务。会使用专业工具制定计划，途中包含所有任务、依赖关系、里程碑和关键路径；明确标出不少于10个关键节点，每个节点均有明确的交付成果、责任人和完成时限（精确到日）；为关键任务设置了合理的缓冲时间，并说明了设置理由。为至少5个核心服务环节设定了可量化的质量指标，描述了“计划-执行-检查-处理”的全过程质量监控流程，明确了当指标偏离时的具体纠偏措施和上报机制。风险识别清单详尽，覆盖安全、设备、人员、天气等，不少于10项，每项风险的应急预案包含明确的触发条件、处理流程（步骤化）、具体责任人及至少一种备用联系方式；明确列出了应急物资清单和预备队人员，并承诺资源到位时间。</w:t>
      </w:r>
    </w:p>
    <w:p w14:paraId="784AEA17">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22分）：准确复述了招标文件的所有核心需求，无遗漏或误解，对至少2项需求进行了简单的优劣态分析或关联性分析，提出了1-2项合理的服务优化建议。服务方案覆盖了主要流程，细分环节不少于11个，有清晰的服务流程和方法描述，逻辑自洽，提出1-2个项目明确的增值服务，并设定了考核目标。提供了图表化的进度计划，标出了不少于8个关键节点，有明确的时限和责任人，各项任务的先后逻辑关系清晰合理。为至少3个核心服务环节设定了质量指标，有明确的质量检查节点和负责人，提出了问题发生后的基本处理流程。识别了至少8项主要风险，对主要风险有完整的应对措施描述，责任到人，提及了必要的应急资源。</w:t>
      </w:r>
    </w:p>
    <w:p w14:paraId="2ACC0D0C">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19分）：基本覆盖了招标文件的主要需求，但个别次要需求未被提及，对需求的理解停留在陈述层面，缺乏深入分析，提出的建议较为笼统，缺乏针对性。包含了招聘会的基本服务环节，细分环节不少于9个，描述了常规的服务方法，缺乏特色，提及1项增值服务但未设定考核目标。以表格形式列出了主要工作的时间安排，标出了不少于6个节点，但部分节点的责任人或时限不清晰，任务顺序基本正确。对质量的要求多为定性描述，缺乏量化指标，质量保障侧重于事后检查和问题处理，纠偏措施较为常规。识别了至少6项常见风险（如人流拥挤、设备故障），应对措施基本可行但不够具体或未完全责任到人，简单提及需要准备资源。</w:t>
      </w:r>
    </w:p>
    <w:p w14:paraId="1922386F">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三档（</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仅回应了部分核心需求，但明显遗漏，对个别需求的理解存在明显偏差，未提出任何有价值的建议。缺少部分关键或辅助服务环节，细分环节不少于8个，服务方法描述模糊、不具体，未提供任何增值服务内容。仅用文字叙述了工作顺序，无可视化图表；节点数量少于5个，或描述非常模糊；部分任务安排逻辑不清。仅提出“确保质量”“客户满意”等笼统口号，质量保证措施描述空洞，不具操作性。识别风险少于5项，有重大遗漏，应对措施空泛，未提及应急资源。</w:t>
      </w:r>
    </w:p>
    <w:p w14:paraId="7C9BB9E2">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11分）：对核心需求的回应严重不全，对需求的理解与项目关联性弱。服务内容描述极其简略，无法满足基本办会要求，服务流程与方法逻辑混乱。计划严重缺失或无法理解，未体现任何进度控制的概念。无任何实质性内容。仅列出1-2项风险或无风险意识，无实质性预案。</w:t>
      </w:r>
    </w:p>
    <w:p w14:paraId="058E953F">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6分）：出现以下任一情况：未提供需求理解与分析内容，方案内容与本项目完全无关；服务内容与方法论的内容完全无法体现其服务能力；方案被发现大面积抄袭或出现其他投标人名称等重大错误；方案内容无法证明其有能力履行合同；无实施计划与进度安排或无质量保障与措施相关内容或无应急预案与风险控制的内容。</w:t>
      </w:r>
    </w:p>
    <w:p w14:paraId="0614DD27">
      <w:pPr>
        <w:spacing w:line="50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（2）拟投入本项目的执行团队人员配备方案（满分10分）</w:t>
      </w:r>
    </w:p>
    <w:p w14:paraId="46A7F363">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由评标委员会</w:t>
      </w:r>
      <w:r>
        <w:rPr>
          <w:rFonts w:hint="eastAsia" w:ascii="仿宋" w:hAnsi="仿宋" w:eastAsia="仿宋" w:cs="仿宋"/>
          <w:bCs/>
          <w:color w:val="auto"/>
          <w:sz w:val="24"/>
          <w:szCs w:val="24"/>
          <w:highlight w:val="none"/>
          <w:lang w:val="en-US" w:eastAsia="zh-CN"/>
        </w:rPr>
        <w:t>各成员</w:t>
      </w:r>
      <w:r>
        <w:rPr>
          <w:rFonts w:hint="eastAsia" w:ascii="仿宋" w:hAnsi="仿宋" w:eastAsia="仿宋" w:cs="仿宋"/>
          <w:bCs/>
          <w:color w:val="auto"/>
          <w:sz w:val="24"/>
          <w:szCs w:val="24"/>
          <w:highlight w:val="none"/>
        </w:rPr>
        <w:t>根据各投标人提供的</w:t>
      </w:r>
      <w:r>
        <w:rPr>
          <w:rFonts w:hint="eastAsia" w:ascii="仿宋" w:hAnsi="仿宋" w:eastAsia="仿宋" w:cs="仿宋"/>
          <w:bCs/>
          <w:color w:val="auto"/>
          <w:sz w:val="24"/>
          <w:szCs w:val="24"/>
          <w:highlight w:val="none"/>
          <w:lang w:val="en-US" w:eastAsia="zh-CN"/>
        </w:rPr>
        <w:t>本项目“拟投入本项目的执行团队人员配备方案”（含①项目人员组织机构、②人员岗位与职责、③人员配备与安排明细、④人员技术培训计划措施、⑤人员考核与管理制度的响应情况及合理性、针对性、可行性等方面，独立评分，确定</w:t>
      </w:r>
      <w:r>
        <w:rPr>
          <w:rFonts w:hint="eastAsia" w:ascii="仿宋" w:hAnsi="仿宋" w:eastAsia="仿宋" w:cs="仿宋"/>
          <w:bCs/>
          <w:color w:val="auto"/>
          <w:sz w:val="24"/>
          <w:szCs w:val="24"/>
          <w:highlight w:val="none"/>
        </w:rPr>
        <w:t>投标人档次并</w:t>
      </w:r>
      <w:r>
        <w:rPr>
          <w:rFonts w:hint="eastAsia" w:ascii="仿宋" w:hAnsi="仿宋" w:eastAsia="仿宋" w:cs="仿宋"/>
          <w:bCs/>
          <w:color w:val="auto"/>
          <w:sz w:val="24"/>
          <w:szCs w:val="24"/>
          <w:highlight w:val="none"/>
          <w:lang w:val="en-US" w:eastAsia="zh-CN"/>
        </w:rPr>
        <w:t>独立</w:t>
      </w:r>
      <w:r>
        <w:rPr>
          <w:rFonts w:hint="eastAsia" w:ascii="仿宋" w:hAnsi="仿宋" w:eastAsia="仿宋" w:cs="仿宋"/>
          <w:bCs/>
          <w:color w:val="auto"/>
          <w:sz w:val="24"/>
          <w:szCs w:val="24"/>
          <w:highlight w:val="none"/>
        </w:rPr>
        <w:t>打分</w:t>
      </w:r>
      <w:r>
        <w:rPr>
          <w:rFonts w:hint="eastAsia" w:ascii="仿宋" w:hAnsi="仿宋" w:eastAsia="仿宋" w:cs="仿宋"/>
          <w:bCs/>
          <w:color w:val="auto"/>
          <w:sz w:val="24"/>
          <w:szCs w:val="24"/>
          <w:highlight w:val="none"/>
          <w:lang w:val="en-US" w:eastAsia="zh-CN"/>
        </w:rPr>
        <w:t>。</w:t>
      </w:r>
    </w:p>
    <w:p w14:paraId="4A77ACDD">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五档（10分）：方案中5项内容均表述清晰、合理、可行，完全满足或优于招标文件要求的。</w:t>
      </w:r>
    </w:p>
    <w:p w14:paraId="290CA9AE">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四档（8分）：方案中有4项内容表述清晰、合理、可行，满足招标文件要求的；</w:t>
      </w:r>
    </w:p>
    <w:p w14:paraId="0FB2C391">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三档（6分）：方案中有3项内容表述清晰、合理、可行，满足招标文件要求的；</w:t>
      </w:r>
    </w:p>
    <w:p w14:paraId="403E6DDD">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二档（4分）：方案中有2项内容表述清晰、合理、可行，满足招标文件要求的。</w:t>
      </w:r>
    </w:p>
    <w:p w14:paraId="316BB8AD">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一档（2分）：方案中仅有1项内容表述清晰、合理、可行，满足招标文件要求的。</w:t>
      </w:r>
    </w:p>
    <w:p w14:paraId="712BF18D">
      <w:pPr>
        <w:spacing w:line="500" w:lineRule="exact"/>
        <w:ind w:firstLine="482"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注：供应商未提供上述相应内容的，不得分。提供了相应内容，但内容描述达不到进档标准的，按低一档认定。</w:t>
      </w:r>
    </w:p>
    <w:p w14:paraId="115A1C45">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商务分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（满分</w:t>
      </w:r>
      <w:r>
        <w:rPr>
          <w:rFonts w:hint="eastAsia" w:ascii="仿宋" w:hAnsi="仿宋" w:eastAsia="仿宋" w:cs="仿宋"/>
          <w:b/>
          <w:color w:val="auto"/>
          <w:sz w:val="24"/>
          <w:szCs w:val="24"/>
          <w:highlight w:val="none"/>
          <w:lang w:val="en-US" w:eastAsia="zh-CN"/>
        </w:rPr>
        <w:t>33</w:t>
      </w:r>
      <w:r>
        <w:rPr>
          <w:rFonts w:hint="eastAsia" w:ascii="仿宋" w:hAnsi="仿宋" w:eastAsia="仿宋" w:cs="仿宋"/>
          <w:b/>
          <w:color w:val="auto"/>
          <w:sz w:val="24"/>
          <w:szCs w:val="24"/>
          <w:highlight w:val="none"/>
        </w:rPr>
        <w:t xml:space="preserve">分） </w:t>
      </w:r>
    </w:p>
    <w:p w14:paraId="210F81E6">
      <w:pPr>
        <w:spacing w:line="500" w:lineRule="exact"/>
        <w:ind w:firstLine="482" w:firstLineChars="200"/>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（1）投标人综合实力（满分3分）</w:t>
      </w:r>
    </w:p>
    <w:p w14:paraId="56B1663A">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具有有效的质量管理体系认证、职业健康管理体系认证、信息安全管理体系，每有一项认证得1分，本项满分3分，未提供的不得分（以投标文件中提供的加盖磋商供应商单位公章且清晰、有效的证书复印件为准）。</w:t>
      </w:r>
    </w:p>
    <w:p w14:paraId="423A788A">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（2）综合业绩（满分10分）</w:t>
      </w:r>
    </w:p>
    <w:p w14:paraId="46225556">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2022年以来具有招聘服务的业绩，承接过300家及以上企业达的招聘服务且无安全事故业绩的每一次得2分，承接过100家-300家（不含300）企业的招聘服务且无安全事故业绩的每一次得1.5分，承接过99家以下企业在的招聘服务且无安全事故业绩的每一次得1分；本项满分10分（无不良记录，以中标、成交通知书或签订的合同为准，并能清晰反映项目名称、项目内容、签订日期等，合同须附项目验收单等甲方针对项目给出的验收合格凭证，合同若不附项目验收单等甲方针对项目给出的验收合格凭证的为无效合同。不良记录包含部分履约、未履约、未完整履约等验收结论和行为。）</w:t>
      </w:r>
    </w:p>
    <w:p w14:paraId="36DDCA30">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（3）服务评价（满分15分）</w:t>
      </w:r>
    </w:p>
    <w:p w14:paraId="1D351730">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①投标人提供2023年—2025年以来在人力资源行政部门提交经营情况的年度报告的记录或公示记录的（以提供的网页查询截图或人力资源行政部门证明为准），每提供一年得1分，本项满分3分。</w:t>
      </w:r>
    </w:p>
    <w:p w14:paraId="245BD88D">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投标人提供项目业绩的同时，提供有对应业绩采购方（甲方）针对项目给出的评价为评价内容为满意或优秀等积极评价的评价意见书，每提供一份得2分，最多得10分。（投标文件中提供相关评价内容的证明材料，加盖磋商供应商单位公章进行考核，否则不计分。）</w:t>
      </w:r>
    </w:p>
    <w:p w14:paraId="4D01476A">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③投标人2022—2023年入围人力资源行政部门发布的人力资源诚信服务示范单位的，得1分；2024年—2025年获得人力资源行政部门的人力资源诚信评价等级B级及以上级别的，得1分。本项满分2分（以投标文件中提供的网页查询截图为准）。</w:t>
      </w:r>
    </w:p>
    <w:p w14:paraId="18377982">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（4）团队综合实力（满分5分）</w:t>
      </w:r>
    </w:p>
    <w:p w14:paraId="09D698DF">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投标人拟投入参加项目实施人员持有职业指导师证，每提供一个证书得1分，本项满分5分（以投标文件中提供的盖有职业技能鉴定中心公章，含人力资源行政部门职业能力鉴定专用章的证书复印件为准）。</w:t>
      </w:r>
    </w:p>
    <w:p w14:paraId="14B58336">
      <w:pPr>
        <w:shd w:val="clear" w:color="auto" w:fill="FFFFFF"/>
        <w:spacing w:line="50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注：未提供相关证明材料或证明材料不完整的不得分。</w:t>
      </w:r>
    </w:p>
    <w:p w14:paraId="5EC9E6B0">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en-US" w:eastAsia="zh-CN"/>
        </w:rPr>
        <w:t>.售后</w:t>
      </w:r>
      <w:r>
        <w:rPr>
          <w:rFonts w:hint="eastAsia" w:ascii="仿宋" w:hAnsi="仿宋" w:eastAsia="仿宋" w:cs="仿宋"/>
          <w:b/>
          <w:color w:val="auto"/>
          <w:sz w:val="24"/>
          <w:szCs w:val="24"/>
          <w:highlight w:val="none"/>
        </w:rPr>
        <w:t>服务方案分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sz w:val="24"/>
          <w:szCs w:val="24"/>
          <w:highlight w:val="none"/>
        </w:rPr>
        <w:t>（满分</w:t>
      </w:r>
      <w:r>
        <w:rPr>
          <w:rFonts w:hint="eastAsia" w:ascii="仿宋" w:hAnsi="仿宋" w:eastAsia="仿宋" w:cs="仿宋"/>
          <w:b/>
          <w:color w:val="auto"/>
          <w:sz w:val="24"/>
          <w:szCs w:val="24"/>
          <w:highlight w:val="none"/>
          <w:lang w:val="en-US" w:eastAsia="zh-CN"/>
        </w:rPr>
        <w:t>16</w:t>
      </w:r>
      <w:r>
        <w:rPr>
          <w:rFonts w:hint="eastAsia" w:ascii="仿宋" w:hAnsi="仿宋" w:eastAsia="仿宋" w:cs="仿宋"/>
          <w:b/>
          <w:color w:val="auto"/>
          <w:sz w:val="24"/>
          <w:szCs w:val="24"/>
          <w:highlight w:val="none"/>
        </w:rPr>
        <w:t xml:space="preserve">分） </w:t>
      </w:r>
    </w:p>
    <w:p w14:paraId="0C38DAC0">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由评标委员会</w:t>
      </w:r>
      <w:r>
        <w:rPr>
          <w:rFonts w:hint="eastAsia" w:ascii="仿宋" w:hAnsi="仿宋" w:eastAsia="仿宋" w:cs="仿宋"/>
          <w:bCs/>
          <w:color w:val="auto"/>
          <w:sz w:val="24"/>
          <w:szCs w:val="24"/>
          <w:highlight w:val="none"/>
          <w:lang w:val="en-US" w:eastAsia="zh-CN"/>
        </w:rPr>
        <w:t>各成员</w:t>
      </w:r>
      <w:r>
        <w:rPr>
          <w:rFonts w:hint="eastAsia" w:ascii="仿宋" w:hAnsi="仿宋" w:eastAsia="仿宋" w:cs="仿宋"/>
          <w:bCs/>
          <w:color w:val="auto"/>
          <w:sz w:val="24"/>
          <w:szCs w:val="24"/>
          <w:highlight w:val="none"/>
        </w:rPr>
        <w:t>根据各投标人提供</w:t>
      </w:r>
      <w:r>
        <w:rPr>
          <w:rFonts w:hint="eastAsia" w:ascii="仿宋" w:hAnsi="仿宋" w:eastAsia="仿宋" w:cs="仿宋"/>
          <w:bCs/>
          <w:color w:val="auto"/>
          <w:sz w:val="24"/>
          <w:szCs w:val="24"/>
          <w:highlight w:val="none"/>
          <w:lang w:val="en-US" w:eastAsia="zh-CN"/>
        </w:rPr>
        <w:t>的本项目“售后服务方案”（含①售后服务机制方案、②服务保障措施方案、③服务响应承诺及具体措施且应尽处理问题能力、④应急情景及问题解决方案、⑤承诺在后续服务中积极响应并配合采购人相关工作）的响应情况及合理性、针对性、可行性等方面，独立评分，确定磋商供应商档次。</w:t>
      </w:r>
    </w:p>
    <w:p w14:paraId="4F048672">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16分）：售后服务方案内容5项均表述清晰、可行，且相互间无逻辑偏差。有到场解决时间及解决措施等。提供了其他增值服务承诺或其他实质性优惠措施及保障，且涵盖面广，能全面满足本项目需求的服务体系、服务内容、故障解决方案、响应时间等内容。</w:t>
      </w:r>
    </w:p>
    <w:p w14:paraId="26227A29">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四档（13分）：售后服务方案内容有4项表述清晰可行，且相互间无逻辑偏差的；具体服务措施，能满足本项目需求的服务体系、服务内容、故障解决方案、响应时间等内容，有应急预案，有响应机制。</w:t>
      </w:r>
    </w:p>
    <w:p w14:paraId="72EDEA05">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三档（11分）：售后服务方案内容有3项表述清晰可行，且相互间无逻辑偏差的；提出了具体服务措施，能满足本项目需求的服务体系、服务内容、故障解决方案、响应时间等内容，有应急预案，无响应机制。</w:t>
      </w:r>
    </w:p>
    <w:p w14:paraId="5D153EBC">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二档（8分）：售后服务方案内容有2项表述清晰可行，且相互间略有逻辑偏差的。</w:t>
      </w:r>
    </w:p>
    <w:p w14:paraId="0832E0E5">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一档（5分）：售后服务方案有1项表述清晰可行，满足项目实施需求。</w:t>
      </w:r>
    </w:p>
    <w:p w14:paraId="3D8C2EA9">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注：供应商未提供上述“售后服务方案分”相应内容的，相应项不得分。</w:t>
      </w:r>
    </w:p>
    <w:p w14:paraId="06D5187C">
      <w:pPr>
        <w:rPr>
          <w:rFonts w:hint="eastAsia"/>
          <w:highlight w:val="none"/>
        </w:rPr>
      </w:pPr>
    </w:p>
    <w:p w14:paraId="7B8BFA60">
      <w:pPr>
        <w:pStyle w:val="5"/>
        <w:ind w:left="0" w:leftChars="0" w:firstLine="0" w:firstLineChars="0"/>
        <w:rPr>
          <w:rFonts w:hint="default"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5.综合得分＝1+2+3+4</w:t>
      </w:r>
    </w:p>
    <w:p w14:paraId="2A0CB2B6">
      <w:pPr>
        <w:pStyle w:val="9"/>
        <w:tabs>
          <w:tab w:val="left" w:pos="4214"/>
        </w:tabs>
        <w:spacing w:line="360" w:lineRule="auto"/>
        <w:ind w:firstLine="482" w:firstLineChars="200"/>
        <w:rPr>
          <w:rFonts w:hint="eastAsia" w:ascii="仿宋" w:hAnsi="仿宋" w:eastAsia="仿宋" w:cs="仿宋"/>
          <w:b/>
          <w:color w:val="auto"/>
          <w:sz w:val="24"/>
          <w:szCs w:val="24"/>
          <w:highlight w:val="none"/>
        </w:rPr>
      </w:pPr>
    </w:p>
    <w:p w14:paraId="65B85625">
      <w:pPr>
        <w:spacing w:line="360" w:lineRule="auto"/>
        <w:ind w:firstLine="487" w:firstLineChars="20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w:t>
      </w:r>
      <w:r>
        <w:rPr>
          <w:rFonts w:hint="eastAsia" w:ascii="仿宋" w:hAnsi="仿宋" w:eastAsia="仿宋" w:cs="仿宋"/>
          <w:b/>
          <w:color w:val="auto"/>
          <w:sz w:val="24"/>
          <w:szCs w:val="24"/>
          <w:highlight w:val="none"/>
          <w:lang w:val="en-US" w:eastAsia="zh-CN"/>
        </w:rPr>
        <w:t>分标2</w:t>
      </w:r>
      <w:r>
        <w:rPr>
          <w:rFonts w:hint="eastAsia" w:ascii="仿宋" w:hAnsi="仿宋" w:eastAsia="仿宋" w:cs="仿宋"/>
          <w:b/>
          <w:color w:val="auto"/>
          <w:sz w:val="24"/>
          <w:szCs w:val="24"/>
          <w:highlight w:val="none"/>
        </w:rPr>
        <w:t>评定方法</w:t>
      </w:r>
    </w:p>
    <w:p w14:paraId="0739D305">
      <w:pPr>
        <w:pStyle w:val="9"/>
        <w:adjustRightInd w:val="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（一）对进入详评的，采用百分制综合评分法。</w:t>
      </w:r>
    </w:p>
    <w:p w14:paraId="35FD49A7">
      <w:pPr>
        <w:pStyle w:val="9"/>
        <w:adjustRightInd w:val="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（二）计分办法（按四舍五入取至百分位）：</w:t>
      </w:r>
    </w:p>
    <w:p w14:paraId="10DD37C0">
      <w:pPr>
        <w:spacing w:line="500" w:lineRule="exact"/>
        <w:ind w:firstLine="482" w:firstLineChars="200"/>
        <w:jc w:val="lef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w:t>
      </w:r>
      <w:r>
        <w:rPr>
          <w:rFonts w:hint="eastAsia" w:ascii="仿宋" w:hAnsi="仿宋" w:eastAsia="仿宋" w:cs="仿宋"/>
          <w:b/>
          <w:color w:val="auto"/>
          <w:kern w:val="0"/>
          <w:sz w:val="24"/>
          <w:szCs w:val="24"/>
          <w:highlight w:val="none"/>
        </w:rPr>
        <w:t>价格分……………………………………………………………………</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满分15</w:t>
      </w:r>
      <w:r>
        <w:rPr>
          <w:rFonts w:hint="eastAsia" w:ascii="仿宋" w:hAnsi="仿宋" w:eastAsia="仿宋" w:cs="仿宋"/>
          <w:b/>
          <w:color w:val="auto"/>
          <w:kern w:val="0"/>
          <w:sz w:val="24"/>
          <w:szCs w:val="24"/>
          <w:highlight w:val="none"/>
        </w:rPr>
        <w:t>分</w:t>
      </w:r>
      <w:r>
        <w:rPr>
          <w:rFonts w:hint="eastAsia" w:ascii="仿宋" w:hAnsi="仿宋" w:eastAsia="仿宋" w:cs="仿宋"/>
          <w:b/>
          <w:color w:val="auto"/>
          <w:kern w:val="0"/>
          <w:sz w:val="24"/>
          <w:szCs w:val="24"/>
          <w:highlight w:val="none"/>
          <w:lang w:eastAsia="zh-CN"/>
        </w:rPr>
        <w:t>）</w:t>
      </w:r>
    </w:p>
    <w:p w14:paraId="609E0FF9">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（1）价格分统一采用低价优先法计算，即满足</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要求且评标报价最低的</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的评标报价为评标基准价，其价格分为满分。</w:t>
      </w:r>
    </w:p>
    <w:p w14:paraId="13E91B17">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（2）按照《政府采购促进中小企业发展管理办法》（财库[2020]46号），对小型和微型企业的服务供应商（以</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提供的符合规定的有关证明材料为准）的投标价给予20%的扣除，扣除后的报价为评审报价，即评审报价=投标报价×（1-20%）；除上述情况外，评审报价=投标报价。</w:t>
      </w:r>
    </w:p>
    <w:p w14:paraId="0D2B286E">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注：小型、微型企业提供中型企业的服务供应商，视同为中型企业。</w:t>
      </w:r>
    </w:p>
    <w:p w14:paraId="0D4DC821">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11304841">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）其他供应商的价格分统一按照下列公式计算：</w:t>
      </w:r>
    </w:p>
    <w:p w14:paraId="5A0A208B">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评标基准价</w:t>
      </w:r>
    </w:p>
    <w:p w14:paraId="3C350C2D">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某有效</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 xml:space="preserve">价格分 =     ---------------------  × </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分</w:t>
      </w:r>
    </w:p>
    <w:p w14:paraId="422EF156">
      <w:pPr>
        <w:pStyle w:val="9"/>
        <w:shd w:val="clear" w:color="auto" w:fill="FFFFFF"/>
        <w:spacing w:line="500" w:lineRule="exact"/>
        <w:ind w:firstLine="3600" w:firstLineChars="15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某有效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评标报价</w:t>
      </w:r>
    </w:p>
    <w:p w14:paraId="6727CED0">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技术</w:t>
      </w:r>
      <w:r>
        <w:rPr>
          <w:rFonts w:hint="eastAsia" w:ascii="仿宋" w:hAnsi="仿宋" w:eastAsia="仿宋" w:cs="仿宋"/>
          <w:b/>
          <w:color w:val="auto"/>
          <w:sz w:val="24"/>
          <w:szCs w:val="24"/>
          <w:highlight w:val="none"/>
          <w:lang w:val="en-US" w:eastAsia="zh-CN"/>
        </w:rPr>
        <w:t>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满分37</w:t>
      </w:r>
      <w:r>
        <w:rPr>
          <w:rFonts w:hint="eastAsia" w:ascii="仿宋" w:hAnsi="仿宋" w:eastAsia="仿宋" w:cs="仿宋"/>
          <w:b/>
          <w:color w:val="auto"/>
          <w:sz w:val="24"/>
          <w:szCs w:val="24"/>
          <w:highlight w:val="none"/>
        </w:rPr>
        <w:t>分）</w:t>
      </w:r>
    </w:p>
    <w:p w14:paraId="3E25949B">
      <w:pPr>
        <w:spacing w:line="500" w:lineRule="exact"/>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（1）实施方案分（满分</w:t>
      </w:r>
      <w:r>
        <w:rPr>
          <w:rFonts w:hint="eastAsia" w:ascii="仿宋" w:hAnsi="仿宋" w:eastAsia="仿宋" w:cs="仿宋"/>
          <w:b/>
          <w:bCs w:val="0"/>
          <w:color w:val="auto"/>
          <w:sz w:val="24"/>
          <w:szCs w:val="24"/>
          <w:highlight w:val="none"/>
          <w:lang w:val="en-US" w:eastAsia="zh-CN"/>
        </w:rPr>
        <w:t>29</w:t>
      </w:r>
      <w:r>
        <w:rPr>
          <w:rFonts w:hint="eastAsia" w:ascii="仿宋" w:hAnsi="仿宋" w:eastAsia="仿宋" w:cs="仿宋"/>
          <w:b/>
          <w:bCs w:val="0"/>
          <w:color w:val="auto"/>
          <w:sz w:val="24"/>
          <w:szCs w:val="24"/>
          <w:highlight w:val="none"/>
        </w:rPr>
        <w:t>分）</w:t>
      </w:r>
    </w:p>
    <w:p w14:paraId="29C18C6F">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由评标委员会</w:t>
      </w:r>
      <w:r>
        <w:rPr>
          <w:rFonts w:hint="eastAsia" w:ascii="仿宋" w:hAnsi="仿宋" w:eastAsia="仿宋" w:cs="仿宋"/>
          <w:bCs/>
          <w:color w:val="auto"/>
          <w:sz w:val="24"/>
          <w:szCs w:val="24"/>
          <w:highlight w:val="none"/>
          <w:lang w:val="en-US" w:eastAsia="zh-CN"/>
        </w:rPr>
        <w:t>各成员</w:t>
      </w:r>
      <w:r>
        <w:rPr>
          <w:rFonts w:hint="eastAsia" w:ascii="仿宋" w:hAnsi="仿宋" w:eastAsia="仿宋" w:cs="仿宋"/>
          <w:bCs/>
          <w:color w:val="auto"/>
          <w:sz w:val="24"/>
          <w:szCs w:val="24"/>
          <w:highlight w:val="none"/>
        </w:rPr>
        <w:t>根据各投标人提供的实施方案</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包含但不限于①需求理解与分析；②服务内容与方法论；③实施计划与进度安排；④质量保证与措施；⑤应急预案与风险控制等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内容</w:t>
      </w:r>
      <w:r>
        <w:rPr>
          <w:rFonts w:hint="eastAsia" w:ascii="仿宋" w:hAnsi="仿宋" w:eastAsia="仿宋" w:cs="仿宋"/>
          <w:bCs/>
          <w:color w:val="auto"/>
          <w:sz w:val="24"/>
          <w:szCs w:val="24"/>
          <w:highlight w:val="none"/>
          <w:lang w:val="en-US" w:eastAsia="zh-CN"/>
        </w:rPr>
        <w:t>的</w:t>
      </w:r>
      <w:r>
        <w:rPr>
          <w:rFonts w:hint="eastAsia" w:ascii="仿宋" w:hAnsi="仿宋" w:eastAsia="仿宋" w:cs="仿宋"/>
          <w:bCs/>
          <w:color w:val="auto"/>
          <w:sz w:val="24"/>
          <w:szCs w:val="24"/>
          <w:highlight w:val="none"/>
        </w:rPr>
        <w:t>可行性、合理性、实用性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匹配度</w:t>
      </w:r>
      <w:r>
        <w:rPr>
          <w:rFonts w:hint="eastAsia" w:ascii="仿宋" w:hAnsi="仿宋" w:eastAsia="仿宋" w:cs="仿宋"/>
          <w:bCs/>
          <w:color w:val="auto"/>
          <w:sz w:val="24"/>
          <w:szCs w:val="24"/>
          <w:highlight w:val="none"/>
        </w:rPr>
        <w:t>等</w:t>
      </w:r>
      <w:r>
        <w:rPr>
          <w:rFonts w:hint="eastAsia" w:ascii="仿宋" w:hAnsi="仿宋" w:eastAsia="仿宋" w:cs="仿宋"/>
          <w:bCs/>
          <w:color w:val="auto"/>
          <w:sz w:val="24"/>
          <w:szCs w:val="24"/>
          <w:highlight w:val="none"/>
          <w:lang w:val="en-US" w:eastAsia="zh-CN"/>
        </w:rPr>
        <w:t>进行</w:t>
      </w:r>
      <w:r>
        <w:rPr>
          <w:rFonts w:hint="eastAsia" w:ascii="仿宋" w:hAnsi="仿宋" w:eastAsia="仿宋" w:cs="仿宋"/>
          <w:bCs/>
          <w:color w:val="auto"/>
          <w:sz w:val="24"/>
          <w:szCs w:val="24"/>
          <w:highlight w:val="none"/>
        </w:rPr>
        <w:t>比较，确定投标人档次并</w:t>
      </w:r>
      <w:r>
        <w:rPr>
          <w:rFonts w:hint="eastAsia" w:ascii="仿宋" w:hAnsi="仿宋" w:eastAsia="仿宋" w:cs="仿宋"/>
          <w:bCs/>
          <w:color w:val="auto"/>
          <w:sz w:val="24"/>
          <w:szCs w:val="24"/>
          <w:highlight w:val="none"/>
          <w:lang w:val="en-US" w:eastAsia="zh-CN"/>
        </w:rPr>
        <w:t>独立</w:t>
      </w:r>
      <w:r>
        <w:rPr>
          <w:rFonts w:hint="eastAsia" w:ascii="仿宋" w:hAnsi="仿宋" w:eastAsia="仿宋" w:cs="仿宋"/>
          <w:bCs/>
          <w:color w:val="auto"/>
          <w:sz w:val="24"/>
          <w:szCs w:val="24"/>
          <w:highlight w:val="none"/>
        </w:rPr>
        <w:t>打分。</w:t>
      </w:r>
    </w:p>
    <w:p w14:paraId="765236BB">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档（29分）：能用精炼语言准确概括招标文件全部核心需求，对潜在需求进行了量化分析，提出不少于3项基于需求分析的、具有前瞻性的服务建议。服务方案覆盖“会前-会中-会后”全流程，细分环节不少于12个，明确提出并应用了成熟的项目管理方法论并阐述其如何在本项目中应用；提出不少于3项可量化、可考核的增值服务。会使用专业工具制定计划，途中包含所有任务、依赖关系、里程碑和关键路径；明确标出不少于10个关键节点，每个节点均有明确的交付成果、责任人和完成时限（精确到日）；为关键任务设置了合理的缓冲时间，并说明了设置理由。为至少5个核心服务环节设定了可量化的质量指标，描述了“计划-执行-检查-处理”的全过程质量监控流程，明确了当指标偏离时的具体纠偏措施和上报机制。风险识别清单详尽，覆盖安全、设备、人员、天气等，不少于10项，每项风险的应急预案包含明确的触发条件、处理流程（步骤化）、具体责任人及至少一种备用联系方式；明确列出了应急物资清单和预备队人员，并承诺资源到位时间。</w:t>
      </w:r>
    </w:p>
    <w:p w14:paraId="10639343">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25分）：准确复述了招标文件的所有核心需求，无遗漏或误解，对至少2项需求进行了简单的优劣态分析或关联性分析，提出了1-2项合理的服务优化建议。服务方案覆盖了主要流程，细分环节不少于11个，有清晰的服务流程和方法描述，逻辑自洽，提出1-2个项目明确的增值服务，并设定了考核目标。提供了图表化的进度计划，标出了不少于8个关键节点，有明确的时限和责任人，各项任务的先后逻辑关系清晰合理。为至少3个核心服务环节设定了质量指标，有明确的质量检查节点和负责人，提出了问题发生后的基本处理流程。识别了至少8项主要风险，对主要风险有完整的应对措施描述，责任到人，提及了必要的应急资源。</w:t>
      </w:r>
    </w:p>
    <w:p w14:paraId="3C68062D">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21分）：基本覆盖了招标文件的主要需求，但个别次要需求未被提及，对需求的理解停留在陈述层面，缺乏深入分析，提出的建议较为笼统，缺乏针对性。包含了招聘会的基本服务环节，细分环节不少于9个，描述了常规的服务方法，缺乏特色，提及1项增值服务但未设定考核目标。以表格形式列出了主要工作的时间安排，标出了不少于6个节点，但部分节点的责任人或时限不清晰，任务顺序基本正确。对质量的要求多为定性描述，缺乏量化指标，质量保障侧重于事后检查和问题处理，纠偏措施较为常规。识别了至少6项常见风险（如人流拥挤、设备故障），应对措施基本可行但不够具体或未完全责任到人，简单提及需要准备资源。</w:t>
      </w:r>
    </w:p>
    <w:p w14:paraId="1F497818">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三档（</w:t>
      </w:r>
      <w:r>
        <w:rPr>
          <w:rFonts w:hint="eastAsia" w:ascii="仿宋" w:hAnsi="仿宋" w:eastAsia="仿宋" w:cs="仿宋"/>
          <w:bCs/>
          <w:color w:val="auto"/>
          <w:sz w:val="24"/>
          <w:szCs w:val="24"/>
          <w:highlight w:val="none"/>
          <w:lang w:val="en-US" w:eastAsia="zh-CN"/>
        </w:rPr>
        <w:t>16</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仅回应了部分核心需求，但明显遗漏，对个别需求的理解存在明显偏差，未提出任何有价值的建议。缺少部分关键或辅助服务环节，细分环节不少于8个，服务方法描述模糊、不具体，未提供任何增值服务内容。仅用文字叙述了工作顺序，无可视化图表；节点数量少于5个，或描述非常模糊；部分任务安排逻辑不清。仅提出“确保质量”“客户满意”等笼统口号，质量保证措施描述空洞，不具操作性。识别风险少于5项，有重大遗漏，应对措施空泛，未提及应急资源。</w:t>
      </w:r>
    </w:p>
    <w:p w14:paraId="28D12329">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11分）：对核心需求的回应严重不全，对需求的理解与项目关联性弱。服务内容描述极其简略，无法满足基本办会要求，服务流程与方法逻辑混乱。计划严重缺失或无法理解，未体现任何进度控制的概念。无任何实质性内容。仅列出1-2项风险或无风险意识，无实质性预案。</w:t>
      </w:r>
    </w:p>
    <w:p w14:paraId="26E512A0">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6分）：出现以下任一情况：未提供需求理解与分析内容，方案内容与本项目完全无关；服务内容与方法论的内容完全无法体现其服务能力；方案被发现大面积抄袭或出现其他投标人名称等重大错误；方案内容无法证明其有能力履行合同；无实施计划与进度安排或无质量保障与措施相关内容或无应急预案与风险控制的内容。</w:t>
      </w:r>
    </w:p>
    <w:p w14:paraId="2849C924">
      <w:pPr>
        <w:numPr>
          <w:ilvl w:val="0"/>
          <w:numId w:val="0"/>
        </w:numPr>
        <w:spacing w:line="50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（2）拟投入本项目的执行团队人员配备方案（满分8分）</w:t>
      </w:r>
    </w:p>
    <w:p w14:paraId="2A6C653B">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由评标委员会各成员根据各投标人提供的本项目“拟投入本项目的执行团队人员配备方案”（含①项目人员组织机构、②人员岗位与职责、③人员配备与安排明细、④人员技术培训计划措施、⑤人员考核与管理制度的响应情况及合理性、针对性、可行性等方面，独立评分，确定投标人档次。</w:t>
      </w:r>
    </w:p>
    <w:p w14:paraId="1D431C43">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五档（8分）：方案中5项内容均表述清晰、合理、可行，完全满足或优于招标文件要求的。</w:t>
      </w:r>
    </w:p>
    <w:p w14:paraId="28EA9A43">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四档（6分）：方案中有4项内容表述清晰、合理、可行，满足招标文件要求的；</w:t>
      </w:r>
    </w:p>
    <w:p w14:paraId="20D6149B">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三档（4分）：方案中有3项内容表述清晰、合理、可行，满足招标文件要求的；</w:t>
      </w:r>
    </w:p>
    <w:p w14:paraId="304C10AB">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二档（2分）：方案中有2项内容表述清晰、合理、可行，满足招标文件要求的。</w:t>
      </w:r>
    </w:p>
    <w:p w14:paraId="5FA04106">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一档（1分）：方案中仅有1项内容表述清晰、合理、可行，满足招标文件要求的。</w:t>
      </w:r>
    </w:p>
    <w:p w14:paraId="6FD5D758">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注：供应商未提供上述相应内容的，不得分。</w:t>
      </w:r>
    </w:p>
    <w:p w14:paraId="65AF1959">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商务分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（满分</w:t>
      </w:r>
      <w:r>
        <w:rPr>
          <w:rFonts w:hint="eastAsia" w:ascii="仿宋" w:hAnsi="仿宋" w:eastAsia="仿宋" w:cs="仿宋"/>
          <w:b/>
          <w:color w:val="auto"/>
          <w:sz w:val="24"/>
          <w:szCs w:val="24"/>
          <w:highlight w:val="none"/>
          <w:lang w:val="en-US" w:eastAsia="zh-CN"/>
        </w:rPr>
        <w:t>34</w:t>
      </w:r>
      <w:r>
        <w:rPr>
          <w:rFonts w:hint="eastAsia" w:ascii="仿宋" w:hAnsi="仿宋" w:eastAsia="仿宋" w:cs="仿宋"/>
          <w:b/>
          <w:color w:val="auto"/>
          <w:sz w:val="24"/>
          <w:szCs w:val="24"/>
          <w:highlight w:val="none"/>
        </w:rPr>
        <w:t xml:space="preserve">分） </w:t>
      </w:r>
    </w:p>
    <w:p w14:paraId="3C3DFFCD">
      <w:pPr>
        <w:spacing w:line="500" w:lineRule="exact"/>
        <w:ind w:firstLine="482" w:firstLineChars="200"/>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（1）投标人综合实力（满分5分）</w:t>
      </w:r>
    </w:p>
    <w:p w14:paraId="57542A25">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投标人具有有效的质量管理体系认证、职业健康管理体系认证、信息安全管理体系，每有一项认证得1分，本项满分3分，未提供的不得分（以投标文件中提供的加盖投标人单位公章且清晰、有效的证书复印件为准）。</w:t>
      </w:r>
    </w:p>
    <w:p w14:paraId="48C6D7DD">
      <w:pPr>
        <w:spacing w:line="500" w:lineRule="exact"/>
        <w:ind w:firstLine="480"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w:t>
      </w:r>
      <w:r>
        <w:rPr>
          <w:rFonts w:hint="default" w:ascii="仿宋" w:hAnsi="仿宋" w:eastAsia="仿宋" w:cs="仿宋"/>
          <w:bCs/>
          <w:color w:val="auto"/>
          <w:sz w:val="24"/>
          <w:szCs w:val="24"/>
          <w:highlight w:val="none"/>
          <w:lang w:val="en-US" w:eastAsia="zh-CN"/>
        </w:rPr>
        <w:t>投标人在桂林市外设有分公司站点的，每个分公司得1分，本项满分</w:t>
      </w:r>
      <w:r>
        <w:rPr>
          <w:rFonts w:hint="eastAsia" w:ascii="仿宋" w:hAnsi="仿宋" w:eastAsia="仿宋" w:cs="仿宋"/>
          <w:bCs/>
          <w:color w:val="auto"/>
          <w:sz w:val="24"/>
          <w:szCs w:val="24"/>
          <w:highlight w:val="none"/>
          <w:lang w:val="en-US" w:eastAsia="zh-CN"/>
        </w:rPr>
        <w:t>2</w:t>
      </w:r>
      <w:r>
        <w:rPr>
          <w:rFonts w:hint="default" w:ascii="仿宋" w:hAnsi="仿宋" w:eastAsia="仿宋" w:cs="仿宋"/>
          <w:bCs/>
          <w:color w:val="auto"/>
          <w:sz w:val="24"/>
          <w:szCs w:val="24"/>
          <w:highlight w:val="none"/>
          <w:lang w:val="en-US" w:eastAsia="zh-CN"/>
        </w:rPr>
        <w:t>分</w:t>
      </w:r>
      <w:r>
        <w:rPr>
          <w:rFonts w:hint="eastAsia" w:ascii="仿宋" w:hAnsi="仿宋" w:eastAsia="仿宋" w:cs="仿宋"/>
          <w:bCs/>
          <w:color w:val="auto"/>
          <w:sz w:val="24"/>
          <w:szCs w:val="24"/>
          <w:highlight w:val="none"/>
          <w:lang w:val="en-US" w:eastAsia="zh-CN"/>
        </w:rPr>
        <w:t>。</w:t>
      </w:r>
    </w:p>
    <w:p w14:paraId="29198EAC">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（2）综合业绩（满分10分）</w:t>
      </w:r>
    </w:p>
    <w:p w14:paraId="44F99479">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2022年以来具有招聘服务的业绩，承接过100家企业及以上招聘服务且无安全事故业绩的每一次得2分，承接过50家至100家（不含100家）企业招聘服务业绩的每一次得1.5分，承接过50家以下企业招聘服务业绩的每一次的1分；本项满分10分（无不良记录，以中标、成交通知书或签订的合同为准，并能清晰反映项目名称、项目内容、签订日期等，合同须附项目验收单等甲方针对项目给出的验收合格凭证，合同若不附项目验收单等甲方针对项目给出的验收合格凭证的为无效合同。不良记录包含部分履约、未履约、未完整履约等验收结论和行为。）</w:t>
      </w:r>
    </w:p>
    <w:p w14:paraId="2A50AE34">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（3）服务评价（满分15分）</w:t>
      </w:r>
    </w:p>
    <w:p w14:paraId="0E2BCC1A">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①投标人提供2023年-2025年以来在人力资源行政部门提交经营情况的年度报告的记录或公示记录的（以提供的网页查询截图或人力资源行政部门证明为准），每提供一年得1分，本项满分3分。</w:t>
      </w:r>
    </w:p>
    <w:p w14:paraId="7AB039D7">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投标人提供项目业绩的同时，提供有对应业绩采购方（甲方）针对项目给出的评价为评价内容为满意或优秀等积极评价的评价意见书，每提供一份得2分，最多得10分。（投标文件中提供相关评价内容证明材料，加盖投标人单位公章进行考核，否则不计分。）</w:t>
      </w:r>
    </w:p>
    <w:p w14:paraId="7F2A8B76">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③投标人2022-2023年入围人力资源行政部门发布的人力资源诚信服务示范单位的，得1分；2024年-2025年获得人力资源行政部门的人力资源诚信评价等级B级及以上级别的，得1分。本项满分2分（以投标文件中提供的网页查询截图为准）。</w:t>
      </w:r>
    </w:p>
    <w:p w14:paraId="14D12EDE">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（4）团队综合实力（满分4分）</w:t>
      </w:r>
    </w:p>
    <w:p w14:paraId="68FE8A15">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投标人拟投入参加项目实施人员持有人力资源管理师证，每提供一个证书得1分，本项满分4分（以投标文件中提供的盖有人力资源行政部门公章，含人力资源行政部门职业能力鉴定专用章的证书复印件为准）。</w:t>
      </w:r>
    </w:p>
    <w:p w14:paraId="3E88E971">
      <w:pPr>
        <w:shd w:val="clear" w:color="auto" w:fill="FFFFFF"/>
        <w:spacing w:line="50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注：未提供相关证明材料或证明材料不完整的不得分。</w:t>
      </w:r>
    </w:p>
    <w:p w14:paraId="368F1088">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en-US" w:eastAsia="zh-CN"/>
        </w:rPr>
        <w:t>.售后</w:t>
      </w:r>
      <w:r>
        <w:rPr>
          <w:rFonts w:hint="eastAsia" w:ascii="仿宋" w:hAnsi="仿宋" w:eastAsia="仿宋" w:cs="仿宋"/>
          <w:b/>
          <w:color w:val="auto"/>
          <w:sz w:val="24"/>
          <w:szCs w:val="24"/>
          <w:highlight w:val="none"/>
        </w:rPr>
        <w:t>服务方案分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（满分</w:t>
      </w:r>
      <w:r>
        <w:rPr>
          <w:rFonts w:hint="eastAsia" w:ascii="仿宋" w:hAnsi="仿宋" w:eastAsia="仿宋" w:cs="仿宋"/>
          <w:b/>
          <w:color w:val="auto"/>
          <w:sz w:val="24"/>
          <w:szCs w:val="24"/>
          <w:highlight w:val="none"/>
          <w:lang w:val="en-US" w:eastAsia="zh-CN"/>
        </w:rPr>
        <w:t>14</w:t>
      </w:r>
      <w:r>
        <w:rPr>
          <w:rFonts w:hint="eastAsia" w:ascii="仿宋" w:hAnsi="仿宋" w:eastAsia="仿宋" w:cs="仿宋"/>
          <w:b/>
          <w:color w:val="auto"/>
          <w:sz w:val="24"/>
          <w:szCs w:val="24"/>
          <w:highlight w:val="none"/>
        </w:rPr>
        <w:t xml:space="preserve">分） </w:t>
      </w:r>
    </w:p>
    <w:p w14:paraId="20BC3E52">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由评标委员会</w:t>
      </w:r>
      <w:r>
        <w:rPr>
          <w:rFonts w:hint="eastAsia" w:ascii="仿宋" w:hAnsi="仿宋" w:eastAsia="仿宋" w:cs="仿宋"/>
          <w:bCs/>
          <w:color w:val="auto"/>
          <w:sz w:val="24"/>
          <w:szCs w:val="24"/>
          <w:highlight w:val="none"/>
          <w:lang w:val="en-US" w:eastAsia="zh-CN"/>
        </w:rPr>
        <w:t>各成员</w:t>
      </w:r>
      <w:r>
        <w:rPr>
          <w:rFonts w:hint="eastAsia" w:ascii="仿宋" w:hAnsi="仿宋" w:eastAsia="仿宋" w:cs="仿宋"/>
          <w:bCs/>
          <w:color w:val="auto"/>
          <w:sz w:val="24"/>
          <w:szCs w:val="24"/>
          <w:highlight w:val="none"/>
        </w:rPr>
        <w:t>根据各投标人提供</w:t>
      </w:r>
      <w:r>
        <w:rPr>
          <w:rFonts w:hint="eastAsia" w:ascii="仿宋" w:hAnsi="仿宋" w:eastAsia="仿宋" w:cs="仿宋"/>
          <w:bCs/>
          <w:color w:val="auto"/>
          <w:sz w:val="24"/>
          <w:szCs w:val="24"/>
          <w:highlight w:val="none"/>
          <w:lang w:val="en-US" w:eastAsia="zh-CN"/>
        </w:rPr>
        <w:t>的本项目“售后服务方案”（含①售后服务机制方案、②服务保障措施方案、③服务响应承诺及具体措施且应尽处理问题能力、④应急情景及问题解决方案、⑤承诺在后续服务中积极响应并配合采购人相关工作）的响应情况及合理性、针对性、可行性等方面，独立评分，确定磋商供应商档次。</w:t>
      </w:r>
    </w:p>
    <w:p w14:paraId="1A897A1B">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14分）：售后服务方案内容5项均表述清晰、可行，且相互间无逻辑偏差。有到场解决时间及解决措施等。提供了其他增值服务承诺或其他实质性优惠措施及保障，且涵盖面广，能全面满足本项目需求的服务体系、服务内容、故障解决方案、响应时间等内容。</w:t>
      </w:r>
    </w:p>
    <w:p w14:paraId="0BA50030">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四档（11分）：售后服务方案内容有4项表述清晰可行，且相互间无逻辑偏差的；具体服务措施，能满足本项目需求的服务体系、服务内容、故障解决方案、响应时间等内容，有应急预案，有响应机制。</w:t>
      </w:r>
    </w:p>
    <w:p w14:paraId="58D32E45">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三档（8分）：售后服务方案内容有3项表述清晰可行，且相互间无逻辑偏差的；提出了具体服务措施，能满足本项目需求的服务体系、服务内容、故障解决方案、响应时间等内容，有应急预案，无响应机制。</w:t>
      </w:r>
    </w:p>
    <w:p w14:paraId="5B6A96F1">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二档（5分）：售后服务方案内容有2项表述清晰可行，且相互间略有逻辑偏差的。</w:t>
      </w:r>
    </w:p>
    <w:p w14:paraId="5A7BF692">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一档（3分）：售后服务方案有1项表述清晰可行，满足项目实施需求。</w:t>
      </w:r>
    </w:p>
    <w:p w14:paraId="18BCCC79">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注：供应商未提供上述“售后服务方案分”相应内容的，相应项不得分。</w:t>
      </w:r>
    </w:p>
    <w:p w14:paraId="204D7013">
      <w:pPr>
        <w:shd w:val="clear" w:color="auto" w:fill="FFFFFF"/>
        <w:spacing w:line="50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本</w:t>
      </w:r>
      <w:r>
        <w:rPr>
          <w:rFonts w:hint="eastAsia" w:ascii="仿宋" w:hAnsi="仿宋" w:eastAsia="仿宋" w:cs="仿宋"/>
          <w:b/>
          <w:color w:val="auto"/>
          <w:kern w:val="0"/>
          <w:sz w:val="24"/>
          <w:szCs w:val="24"/>
          <w:highlight w:val="none"/>
          <w:lang w:val="en-US" w:eastAsia="zh-CN"/>
        </w:rPr>
        <w:t>分标</w:t>
      </w:r>
      <w:r>
        <w:rPr>
          <w:rFonts w:hint="eastAsia" w:ascii="仿宋" w:hAnsi="仿宋" w:eastAsia="仿宋" w:cs="仿宋"/>
          <w:b/>
          <w:color w:val="auto"/>
          <w:kern w:val="0"/>
          <w:sz w:val="24"/>
          <w:szCs w:val="24"/>
          <w:highlight w:val="none"/>
        </w:rPr>
        <w:t>总得分=1+2+3+4</w:t>
      </w:r>
    </w:p>
    <w:p w14:paraId="31ADF82E">
      <w:pPr>
        <w:pStyle w:val="9"/>
        <w:tabs>
          <w:tab w:val="left" w:pos="4214"/>
        </w:tabs>
        <w:spacing w:line="360" w:lineRule="auto"/>
        <w:ind w:firstLine="482" w:firstLineChars="200"/>
        <w:rPr>
          <w:rFonts w:hint="eastAsia" w:ascii="仿宋" w:hAnsi="仿宋" w:eastAsia="仿宋" w:cs="仿宋"/>
          <w:b/>
          <w:color w:val="auto"/>
          <w:sz w:val="24"/>
          <w:szCs w:val="24"/>
          <w:highlight w:val="none"/>
        </w:rPr>
      </w:pPr>
    </w:p>
    <w:p w14:paraId="62087AC9">
      <w:pPr>
        <w:spacing w:line="360" w:lineRule="auto"/>
        <w:ind w:firstLine="487" w:firstLineChars="20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分标3</w:t>
      </w:r>
      <w:r>
        <w:rPr>
          <w:rFonts w:hint="eastAsia" w:ascii="仿宋" w:hAnsi="仿宋" w:eastAsia="仿宋" w:cs="仿宋"/>
          <w:b/>
          <w:color w:val="auto"/>
          <w:sz w:val="24"/>
          <w:szCs w:val="24"/>
          <w:highlight w:val="none"/>
        </w:rPr>
        <w:t>评定方法</w:t>
      </w:r>
    </w:p>
    <w:p w14:paraId="44444B39">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（一）对进入详评的，采用百分制综合评分法。</w:t>
      </w:r>
    </w:p>
    <w:p w14:paraId="5C89A8B6">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（二）计分办法（按四舍五入取至百分位）：</w:t>
      </w:r>
    </w:p>
    <w:p w14:paraId="358FB84B">
      <w:pPr>
        <w:shd w:val="clear" w:color="auto" w:fill="FFFFFF"/>
        <w:spacing w:line="500" w:lineRule="exact"/>
        <w:ind w:firstLine="482" w:firstLineChars="200"/>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1.价格分……………………………………………………………………（满分14分）</w:t>
      </w:r>
    </w:p>
    <w:p w14:paraId="3F9E3DC9">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（1）价格分统一采用低价优先法计算，即满足招标文件要求且评标报价最低的投标人的评标报价为评标基准价，其价格分为满分。</w:t>
      </w:r>
    </w:p>
    <w:p w14:paraId="55A9C33C">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（2）按照《政府采购促进中小企业发展管理办法》（财库[2020]46号），对小型和微型企业的服务供应商（以</w:t>
      </w:r>
      <w:r>
        <w:rPr>
          <w:rFonts w:hint="eastAsia" w:ascii="仿宋" w:hAnsi="仿宋" w:eastAsia="仿宋" w:cs="仿宋"/>
          <w:bCs/>
          <w:color w:val="auto"/>
          <w:sz w:val="24"/>
          <w:szCs w:val="24"/>
          <w:highlight w:val="none"/>
          <w:lang w:eastAsia="zh-CN"/>
        </w:rPr>
        <w:t>投标文件</w:t>
      </w:r>
      <w:r>
        <w:rPr>
          <w:rFonts w:hint="eastAsia" w:ascii="仿宋" w:hAnsi="仿宋" w:eastAsia="仿宋" w:cs="仿宋"/>
          <w:bCs/>
          <w:color w:val="auto"/>
          <w:sz w:val="24"/>
          <w:szCs w:val="24"/>
          <w:highlight w:val="none"/>
        </w:rPr>
        <w:t>提供的符合规定的有关证明材料为准）的投标价给予20%的扣除，扣除后的报价为评审报价，即评审报价=投标报价×（1-20%）；除上述情况外，评审报价=投标报价。</w:t>
      </w:r>
    </w:p>
    <w:p w14:paraId="3D729BDC">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注：小型、微型企业提供中型企业的服务供应商，视同为中型企业。</w:t>
      </w:r>
    </w:p>
    <w:p w14:paraId="3B28626E">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293E0AB9">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（4）其他供应商的价格分统一按照下列公式计算：</w:t>
      </w:r>
    </w:p>
    <w:p w14:paraId="285BC522">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评标基准价</w:t>
      </w:r>
    </w:p>
    <w:p w14:paraId="544E0EBB">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某有效投标人价格分 =     ---------------------  × 14分</w:t>
      </w:r>
    </w:p>
    <w:p w14:paraId="39D8371E">
      <w:pPr>
        <w:shd w:val="clear" w:color="auto" w:fill="FFFFFF"/>
        <w:spacing w:line="500" w:lineRule="exact"/>
        <w:ind w:firstLine="3600" w:firstLineChars="15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某有效投标人评标报价</w:t>
      </w:r>
    </w:p>
    <w:p w14:paraId="29364220">
      <w:pPr>
        <w:shd w:val="clear" w:color="auto" w:fill="FFFFFF"/>
        <w:spacing w:line="500" w:lineRule="exact"/>
        <w:ind w:firstLine="482" w:firstLineChars="200"/>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2.技术分…………………………………………………………………………（满分38分）</w:t>
      </w:r>
    </w:p>
    <w:p w14:paraId="5CAF4CE3">
      <w:pPr>
        <w:shd w:val="clear" w:color="auto" w:fill="FFFFFF"/>
        <w:spacing w:line="500" w:lineRule="exact"/>
        <w:ind w:firstLine="482" w:firstLineChars="200"/>
        <w:jc w:val="left"/>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（1）实施方案分（满分30分）</w:t>
      </w:r>
    </w:p>
    <w:p w14:paraId="03504D79">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由评标委员会各成员根据各投标人提供的实施方案（包含但不限于①需求理解与分析；②服务内容与方法</w:t>
      </w:r>
      <w:r>
        <w:rPr>
          <w:rFonts w:hint="eastAsia" w:ascii="仿宋" w:hAnsi="仿宋" w:eastAsia="仿宋" w:cs="仿宋"/>
          <w:bCs/>
          <w:color w:val="auto"/>
          <w:sz w:val="24"/>
          <w:szCs w:val="24"/>
          <w:highlight w:val="none"/>
          <w:lang w:val="en-US" w:eastAsia="zh-CN"/>
        </w:rPr>
        <w:t>论</w:t>
      </w:r>
      <w:r>
        <w:rPr>
          <w:rFonts w:hint="eastAsia" w:ascii="仿宋" w:hAnsi="仿宋" w:eastAsia="仿宋" w:cs="仿宋"/>
          <w:bCs/>
          <w:color w:val="auto"/>
          <w:sz w:val="24"/>
          <w:szCs w:val="24"/>
          <w:highlight w:val="none"/>
        </w:rPr>
        <w:t>；③实施计划与进度安排；④质量保证与措施；⑤应急预案与风险控制等）内容的可行性、合理性、实用性、匹配度等进行比较，确定投标人档次并独立打分。</w:t>
      </w:r>
    </w:p>
    <w:p w14:paraId="28AD26C6">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档（30分）：能用精炼语言准确概括招标文件全部核心需求，对潜在需求进行了量化分析，提出不少于3项基于需求分析的、具有前瞻性的服务建议。服务方案覆盖“会前-会中-会后”全流程，细分环节不少于12个，明确提出并应用了成熟的项目管理方法论并阐述其如何在本项目中应用；提出不少于3项可量化、可考核的增值服务。会使用专业工具制定计划，途中包含所有任务、依赖关系、里程碑和关键路径；明确标出不少于10个关键节点，每个节点均有明确的交付成果、责任人和完成时限（精确到日）；为关键任务设置了合理的缓冲时间，并说明了设置理由。为至少5个核心服务环节设定了可量化的质量指标，描述了“计划-执行-检查-处理”的全过程质量监控流程，明确了当指标偏离时的具体纠偏措施和上报机制。风险识别清单详尽，覆盖安全、设备、人员、天气等，不少于10项，每项风险的应急预案包含明确的触发条件、处理流程（步骤化）、具体责任人及至少一种备用联系方式；明确列出了应急物资清单和预备队人员，并承诺资源到位时间。</w:t>
      </w:r>
    </w:p>
    <w:p w14:paraId="2E168DEF">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档（26分）：准确复述了招标文件的所有核心需求，无遗漏或误解，对至少2项需求进行了简单的优劣态分析或关联性分析，提出了1-2项合理的服务优化建议。服务方案覆盖了主要流程，细分环节不少于11个，有清晰的服务流程和方法描述，逻辑自洽，提出1-2个项目明确的增值服务，并设定了考核目标。提供了图表化的进度计划，标出了不少于8个关键节点，有明确的时限和责任人，各项任务的先后逻辑关系清晰合理。为至少3个核心服务环节设定了质量指标，有明确的质量检查节点和负责人，提出了问题发生后的基本处理流程。识别了至少8项主要风险，对主要风险有完整的应对措施描述，责任到人，提及了必要的应急资源。</w:t>
      </w:r>
    </w:p>
    <w:p w14:paraId="7522A060">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四档（21分）：基本覆盖了招标文件的主要需求，但个别次要需求未被提及，对需求的理解停留在陈述层面，</w:t>
      </w:r>
      <w:r>
        <w:rPr>
          <w:rFonts w:hint="eastAsia" w:ascii="仿宋" w:hAnsi="仿宋" w:eastAsia="仿宋" w:cs="仿宋"/>
          <w:bCs/>
          <w:color w:val="auto"/>
          <w:sz w:val="24"/>
          <w:szCs w:val="24"/>
          <w:highlight w:val="none"/>
          <w:lang w:eastAsia="zh-CN"/>
        </w:rPr>
        <w:t>缺乏深入分析</w:t>
      </w:r>
      <w:r>
        <w:rPr>
          <w:rFonts w:hint="eastAsia" w:ascii="仿宋" w:hAnsi="仿宋" w:eastAsia="仿宋" w:cs="仿宋"/>
          <w:bCs/>
          <w:color w:val="auto"/>
          <w:sz w:val="24"/>
          <w:szCs w:val="24"/>
          <w:highlight w:val="none"/>
        </w:rPr>
        <w:t>，提出的建议较为笼统，缺乏针对性。包含了招聘会的基本服务环节，细分环节不少于9个，描述了常规的服务方法，缺乏特色，提及1项增值服务但未设定考核目标。以表格形式列出了主要工作的时间安排，标出了不少于6个节点，但部分节点的责任人或时限不清晰，任务顺序基本正确。对质量的要求多为定性描述，缺乏量化指标，质量保障侧重于事后检查和问题处理，纠偏措施较为常规。识别了至少6项常见风险（如人流拥挤、设备故障），应对措施基本可行但不够具体或未完全责任到人，简单提及需要准备资源。</w:t>
      </w:r>
    </w:p>
    <w:p w14:paraId="093E548B">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档（16分）：仅回应了部分核心需求，但明显遗漏，对个别需求的理解存在明显偏差，未提出任何有价值的建议。缺少部分关键或辅助服务环节，细分环节不少于8个，服务方法描述模糊、不具体，未提供任何增值服务内容。仅用文字叙述了工作顺序，无可视化图表；节点数量少于5个，或描述非常模糊；部分任务安排逻辑不清。仅提出“确保质量”“客户满意”等笼统口号，质量保证措施描述空洞，不具操作性。识别风险少于5项，有重大遗漏，应对措施空泛，未提及应急资源。</w:t>
      </w:r>
    </w:p>
    <w:p w14:paraId="6548773E">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档（11分）：对核心需求的回应严重不全，对需求的理解与项目关联性弱。服务内容描述极其简略，无法满足基本办会要求，服务流程与方法逻辑混乱。计划严重缺失或无法理解，未体现任何进度控制的概念。无任何实质性内容。仅列出1-2项风险或无风险意识，无实质性预案。</w:t>
      </w:r>
    </w:p>
    <w:p w14:paraId="338495B7">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档（6分）：出现以下任一情况：未提供需求理解与分析内容，方案内容与本项目完全无关；服务内容与方法论的内容完全无法体现其服务能力；方案被发现大面积抄袭或出现其他投标人名称等重大错误；方案内容无法证明其有能力履行合同；无实施计划与进度安排或无质量保障与措施相关内容或无应急预案与风险控制的内容。</w:t>
      </w:r>
    </w:p>
    <w:p w14:paraId="4BCAC726">
      <w:pPr>
        <w:shd w:val="clear" w:color="auto" w:fill="FFFFFF"/>
        <w:spacing w:line="500" w:lineRule="exact"/>
        <w:ind w:firstLine="482" w:firstLineChars="200"/>
        <w:jc w:val="left"/>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（2）拟投入本项目的执行团队人员配备方案（满分8分）</w:t>
      </w:r>
    </w:p>
    <w:p w14:paraId="1F3E6B3B">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由评标委员会各成员根据各投标人提供的本项目“拟投入本项目的执行团队人员配备方案”（含①项目人员组织机构、②人员岗位与职责、③人员配备与安排明细、④人员技术培训计划措施、⑤人员考核与管理制度的响应情况及合理性、针对性、可行性等方面，独立评分，确定投标人档次。</w:t>
      </w:r>
    </w:p>
    <w:p w14:paraId="4931FB5B">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五档（8分）：方案中5项内容均表述清晰、合理、可行，完全满足或优于招标文件要求的。</w:t>
      </w:r>
    </w:p>
    <w:p w14:paraId="31F55C91">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四档（6分）：方案中有4项内容表述清晰、合理、可行，满足招标文件要求的；</w:t>
      </w:r>
    </w:p>
    <w:p w14:paraId="44BE3A87">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三档（4分）：方案中有3项内容表述清晰、合理、可行，满足招标文件要求的；</w:t>
      </w:r>
    </w:p>
    <w:p w14:paraId="0C4A689B">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二档（2分）：方案中有2项内容表述清晰、合理、可行，满足招标文件要求的。</w:t>
      </w:r>
    </w:p>
    <w:p w14:paraId="003C39F1">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一档（1分）：方案中仅有1项内容表述清晰、合理、可行，满足招标文件要求的。</w:t>
      </w:r>
    </w:p>
    <w:p w14:paraId="7C133E7D">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注：供应商未提供上述相应内容的，不得分。</w:t>
      </w:r>
    </w:p>
    <w:p w14:paraId="19CD0994">
      <w:pPr>
        <w:shd w:val="clear" w:color="auto" w:fill="FFFFFF"/>
        <w:spacing w:line="500" w:lineRule="exact"/>
        <w:ind w:firstLine="482" w:firstLineChars="200"/>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 xml:space="preserve">3.商务分………………………………………………………………………（满分34分） </w:t>
      </w:r>
    </w:p>
    <w:p w14:paraId="38864FFD">
      <w:pPr>
        <w:shd w:val="clear" w:color="auto" w:fill="FFFFFF"/>
        <w:spacing w:line="500" w:lineRule="exact"/>
        <w:ind w:firstLine="482" w:firstLineChars="200"/>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（1）投标人综合实力（满分3分）</w:t>
      </w:r>
    </w:p>
    <w:p w14:paraId="0FEA0A8F">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具有有效的质量管理体系认证、职业健康管理体系认证、信息安全管理体系，每有一项认证得1分，本项满分3分，未提供的不得分（以投标文件中提供的加盖投标人单位公章且清晰、有效的证书复印件为准）。</w:t>
      </w:r>
    </w:p>
    <w:p w14:paraId="64464C08">
      <w:pPr>
        <w:shd w:val="clear" w:color="auto" w:fill="FFFFFF"/>
        <w:spacing w:line="500" w:lineRule="exact"/>
        <w:ind w:firstLine="482" w:firstLineChars="200"/>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（2）综合业绩（满分10分）</w:t>
      </w:r>
    </w:p>
    <w:p w14:paraId="33991ACD">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投标人20</w:t>
      </w:r>
      <w:r>
        <w:rPr>
          <w:rFonts w:hint="eastAsia" w:ascii="仿宋" w:hAnsi="仿宋" w:eastAsia="仿宋" w:cs="仿宋"/>
          <w:bCs/>
          <w:color w:val="auto"/>
          <w:sz w:val="24"/>
          <w:szCs w:val="24"/>
          <w:highlight w:val="none"/>
          <w:lang w:val="en-US" w:eastAsia="zh-CN"/>
        </w:rPr>
        <w:t>22</w:t>
      </w:r>
      <w:r>
        <w:rPr>
          <w:rFonts w:hint="eastAsia" w:ascii="仿宋" w:hAnsi="仿宋" w:eastAsia="仿宋" w:cs="仿宋"/>
          <w:bCs/>
          <w:color w:val="auto"/>
          <w:sz w:val="24"/>
          <w:szCs w:val="24"/>
          <w:highlight w:val="none"/>
        </w:rPr>
        <w:t>年以来具有招聘服务的业绩，承接过100家及以上企业招聘服务且无安全事故业绩的每一次得2分，承接过50家至100家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不含100家</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企业招聘服务且无安全事故业绩的每一次得1.5分，承接过50家企业以下招聘服务且无安全事故业绩的每一次的1分；本项满分10分（无不良记录，以中标、成交通知书或签订的合同为准，并能清晰反映项目名称、项目内容、签订日期等，合同须附项目验收单等甲方针对项目给出的验收合格凭证，合同若不附项目验收单等甲方针对项目给出的验收合格凭证的为无效合同。不良记录包含部分履约、未履约、未完整履约等验收结论和行为。）</w:t>
      </w:r>
    </w:p>
    <w:p w14:paraId="42BE049B">
      <w:pPr>
        <w:shd w:val="clear" w:color="auto" w:fill="FFFFFF"/>
        <w:spacing w:line="500" w:lineRule="exact"/>
        <w:ind w:firstLine="482" w:firstLineChars="200"/>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（3）服务评价（满分15分）</w:t>
      </w:r>
    </w:p>
    <w:p w14:paraId="538017B3">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①投标人提供2023年-2025年以来在人力资源行政部门提交经营情况的年度报告的记录或公示记录的（以提供的网页查询截图或人力资源行政部门证明为准），每提供一年得1分，本项满分3分。</w:t>
      </w:r>
    </w:p>
    <w:p w14:paraId="3DA4DE6F">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投标人提供项目业绩的同时，提供有对应业绩采购方（甲方）针对项目给出的评价为评价内容为满意或优秀等积极评价的评价意见书，每提供一份得2分，最多得10分。（投标文件中提供相关评价内容证明材料，加盖投标人单位公章进行考核，否则不计分。）</w:t>
      </w:r>
    </w:p>
    <w:p w14:paraId="217DA1E8">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③投标人2022-2023年入围人力资源行政部门发布的人力资源诚信服务示范单位的，得1分；2024年-2025年获得人力资源行政部门的人力资源诚信评价等级B级及以上级别的，得1分。本项满分2分（以投标文件中提供的网页查询截图为准）。</w:t>
      </w:r>
    </w:p>
    <w:p w14:paraId="35332A55">
      <w:pPr>
        <w:shd w:val="clear" w:color="auto" w:fill="FFFFFF"/>
        <w:spacing w:line="500" w:lineRule="exact"/>
        <w:ind w:firstLine="482" w:firstLineChars="200"/>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（4）团队综合实力（满分6分）</w:t>
      </w:r>
    </w:p>
    <w:p w14:paraId="4C4F3F61">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投标人拟投入参加项目实施人员持有职业指导师证，每提供一个证书得1分，本项满分6分（以投标文件中提供的盖有职业技能鉴定中心公章，含人力资源行政部门职业能力鉴定专用章的证书复印件为准）。</w:t>
      </w:r>
    </w:p>
    <w:p w14:paraId="404B8813">
      <w:pPr>
        <w:shd w:val="clear" w:color="auto" w:fill="FFFFFF"/>
        <w:spacing w:line="5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注：未提供相关证明材料或证明材料不完整的不得分。</w:t>
      </w:r>
    </w:p>
    <w:p w14:paraId="78C9EDFF">
      <w:pPr>
        <w:shd w:val="clear" w:color="auto" w:fill="FFFFFF"/>
        <w:spacing w:line="500" w:lineRule="exact"/>
        <w:ind w:firstLine="482" w:firstLineChars="200"/>
        <w:jc w:val="left"/>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4.</w:t>
      </w:r>
      <w:r>
        <w:rPr>
          <w:rFonts w:hint="eastAsia" w:ascii="仿宋" w:hAnsi="仿宋" w:eastAsia="仿宋" w:cs="仿宋"/>
          <w:b/>
          <w:bCs w:val="0"/>
          <w:color w:val="auto"/>
          <w:sz w:val="24"/>
          <w:szCs w:val="24"/>
          <w:highlight w:val="none"/>
          <w:lang w:val="en-US" w:eastAsia="zh-CN"/>
        </w:rPr>
        <w:t>售后</w:t>
      </w:r>
      <w:r>
        <w:rPr>
          <w:rFonts w:hint="eastAsia" w:ascii="仿宋" w:hAnsi="仿宋" w:eastAsia="仿宋" w:cs="仿宋"/>
          <w:b/>
          <w:bCs w:val="0"/>
          <w:color w:val="auto"/>
          <w:sz w:val="24"/>
          <w:szCs w:val="24"/>
          <w:highlight w:val="none"/>
        </w:rPr>
        <w:t>服务方案分……………………………………………………………（满分14分）</w:t>
      </w:r>
      <w:r>
        <w:rPr>
          <w:rFonts w:hint="eastAsia" w:ascii="仿宋" w:hAnsi="仿宋" w:eastAsia="仿宋" w:cs="仿宋"/>
          <w:bCs/>
          <w:color w:val="auto"/>
          <w:sz w:val="24"/>
          <w:szCs w:val="24"/>
          <w:highlight w:val="none"/>
        </w:rPr>
        <w:t xml:space="preserve"> </w:t>
      </w:r>
    </w:p>
    <w:p w14:paraId="6B5ADEEA">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由评标委员会</w:t>
      </w:r>
      <w:r>
        <w:rPr>
          <w:rFonts w:hint="eastAsia" w:ascii="仿宋" w:hAnsi="仿宋" w:eastAsia="仿宋" w:cs="仿宋"/>
          <w:bCs/>
          <w:color w:val="auto"/>
          <w:sz w:val="24"/>
          <w:szCs w:val="24"/>
          <w:highlight w:val="none"/>
          <w:lang w:val="en-US" w:eastAsia="zh-CN"/>
        </w:rPr>
        <w:t>各成员</w:t>
      </w:r>
      <w:r>
        <w:rPr>
          <w:rFonts w:hint="eastAsia" w:ascii="仿宋" w:hAnsi="仿宋" w:eastAsia="仿宋" w:cs="仿宋"/>
          <w:bCs/>
          <w:color w:val="auto"/>
          <w:sz w:val="24"/>
          <w:szCs w:val="24"/>
          <w:highlight w:val="none"/>
        </w:rPr>
        <w:t>根据各投标人提供</w:t>
      </w:r>
      <w:r>
        <w:rPr>
          <w:rFonts w:hint="eastAsia" w:ascii="仿宋" w:hAnsi="仿宋" w:eastAsia="仿宋" w:cs="仿宋"/>
          <w:bCs/>
          <w:color w:val="auto"/>
          <w:sz w:val="24"/>
          <w:szCs w:val="24"/>
          <w:highlight w:val="none"/>
          <w:lang w:val="en-US" w:eastAsia="zh-CN"/>
        </w:rPr>
        <w:t>的本项目“售后服务方案”（含①售后服务机制方案、②服务保障措施方案、③服务响应承诺及具体措施且应尽处理问题能力、④应急情景及问题解决方案、⑤承诺在后续服务中积极响应并配合采购人相关工作）的响应情况及合理性、针对性、可行性等方面，独立评分，确定磋商供应商档次。</w:t>
      </w:r>
    </w:p>
    <w:p w14:paraId="7F839FB5">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14分）：售后服务方案内容5项均表述清晰、可行，且相互间无逻辑偏差。有到场解决时间及解决措施等。提供了其他增值服务承诺或其他实质性优惠措施及保障，且涵盖面广，能全面满足本项目需求的服务体系、服务内容、故障解决方案、响应时间等内容。</w:t>
      </w:r>
    </w:p>
    <w:p w14:paraId="7A9A3B9D">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四档（11分）：售后服务方案内容有4项表述清晰可行，且相互间无逻辑偏差的；具体服务措施，能满足本项目需求的服务体系、服务内容、故障解决方案、响应时间等内容，有应急预案，有响应机制。</w:t>
      </w:r>
    </w:p>
    <w:p w14:paraId="49EBA021">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三档（8分）：售后服务方案内容有3项表述清晰可行，且相互间无逻辑偏差的；提出了具体服务措施，能满足本项目需求的服务体系、服务内容、故障解决方案、响应时间等内容，有应急预案，无响应机制。</w:t>
      </w:r>
    </w:p>
    <w:p w14:paraId="64AFFCF4">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二档（5分）：售后服务方案内容有2项表述清晰可行，且相互间略有逻辑偏差的。</w:t>
      </w:r>
    </w:p>
    <w:p w14:paraId="41F88335">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一档（2分）：售后服务方案有1项表述清晰可行，能满足项目实施需求。</w:t>
      </w:r>
    </w:p>
    <w:p w14:paraId="115B0537">
      <w:pPr>
        <w:shd w:val="clear" w:color="auto" w:fill="FFFFFF"/>
        <w:spacing w:line="500" w:lineRule="exact"/>
        <w:ind w:firstLine="482" w:firstLineChars="200"/>
        <w:jc w:val="left"/>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5.</w:t>
      </w:r>
      <w:r>
        <w:rPr>
          <w:rFonts w:hint="eastAsia" w:ascii="仿宋" w:hAnsi="仿宋" w:eastAsia="仿宋" w:cs="仿宋"/>
          <w:b/>
          <w:bCs w:val="0"/>
          <w:color w:val="auto"/>
          <w:sz w:val="24"/>
          <w:szCs w:val="24"/>
          <w:highlight w:val="none"/>
        </w:rPr>
        <w:t>本分标总得分=1+2+3+4</w:t>
      </w:r>
    </w:p>
    <w:p w14:paraId="4349A95E">
      <w:pPr>
        <w:shd w:val="clear" w:color="auto" w:fill="FFFFFF"/>
        <w:spacing w:line="500" w:lineRule="exact"/>
        <w:ind w:firstLine="482" w:firstLineChars="200"/>
        <w:jc w:val="left"/>
        <w:rPr>
          <w:rFonts w:hint="eastAsia" w:ascii="仿宋" w:hAnsi="仿宋" w:eastAsia="仿宋" w:cs="仿宋"/>
          <w:b/>
          <w:color w:val="auto"/>
          <w:kern w:val="0"/>
          <w:sz w:val="24"/>
          <w:szCs w:val="24"/>
          <w:highlight w:val="none"/>
        </w:rPr>
      </w:pPr>
    </w:p>
    <w:p w14:paraId="4230FEB4">
      <w:pPr>
        <w:spacing w:line="360" w:lineRule="auto"/>
        <w:ind w:firstLine="487" w:firstLineChars="20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分标4</w:t>
      </w:r>
      <w:r>
        <w:rPr>
          <w:rFonts w:hint="eastAsia" w:ascii="仿宋" w:hAnsi="仿宋" w:eastAsia="仿宋" w:cs="仿宋"/>
          <w:b/>
          <w:color w:val="auto"/>
          <w:sz w:val="24"/>
          <w:szCs w:val="24"/>
          <w:highlight w:val="none"/>
        </w:rPr>
        <w:t>评定方法</w:t>
      </w:r>
    </w:p>
    <w:p w14:paraId="51CA4A8D">
      <w:pPr>
        <w:pStyle w:val="9"/>
        <w:adjustRightInd w:val="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（一）对进入详评的，采用百分制综合评分法。</w:t>
      </w:r>
    </w:p>
    <w:p w14:paraId="693420C1">
      <w:pPr>
        <w:pStyle w:val="9"/>
        <w:adjustRightInd w:val="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（二）计分办法（按四舍五入取至百分位）：</w:t>
      </w:r>
    </w:p>
    <w:p w14:paraId="5D35CFD8">
      <w:pPr>
        <w:spacing w:line="500" w:lineRule="exact"/>
        <w:ind w:firstLine="482" w:firstLineChars="200"/>
        <w:jc w:val="lef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w:t>
      </w:r>
      <w:r>
        <w:rPr>
          <w:rFonts w:hint="eastAsia" w:ascii="仿宋" w:hAnsi="仿宋" w:eastAsia="仿宋" w:cs="仿宋"/>
          <w:b/>
          <w:color w:val="auto"/>
          <w:kern w:val="0"/>
          <w:sz w:val="24"/>
          <w:szCs w:val="24"/>
          <w:highlight w:val="none"/>
        </w:rPr>
        <w:t>价格分…………………………………………………………………</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满分</w:t>
      </w: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5</w:t>
      </w:r>
      <w:r>
        <w:rPr>
          <w:rFonts w:hint="eastAsia" w:ascii="仿宋" w:hAnsi="仿宋" w:eastAsia="仿宋" w:cs="仿宋"/>
          <w:b/>
          <w:color w:val="auto"/>
          <w:kern w:val="0"/>
          <w:sz w:val="24"/>
          <w:szCs w:val="24"/>
          <w:highlight w:val="none"/>
        </w:rPr>
        <w:t>分</w:t>
      </w:r>
      <w:r>
        <w:rPr>
          <w:rFonts w:hint="eastAsia" w:ascii="仿宋" w:hAnsi="仿宋" w:eastAsia="仿宋" w:cs="仿宋"/>
          <w:b/>
          <w:color w:val="auto"/>
          <w:kern w:val="0"/>
          <w:sz w:val="24"/>
          <w:szCs w:val="24"/>
          <w:highlight w:val="none"/>
          <w:lang w:eastAsia="zh-CN"/>
        </w:rPr>
        <w:t>）</w:t>
      </w:r>
    </w:p>
    <w:p w14:paraId="4087FD74">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（1）价格分统一采用低价优先法计算，即满足</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要求且评标报价最低的</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的评标报价为评标基准价，其价格分为满分。</w:t>
      </w:r>
    </w:p>
    <w:p w14:paraId="2BAA257B">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（2）按照《政府采购促进中小企业发展管理办法》（财库[2020]46号），对小型和微型企业的服务供应商（以</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提供的符合规定的有关证明材料为准）的投标价给予20%的扣除，扣除后的报价为评审报价，即评审报价=投标报价×（1-20%）；除上述情况外，评审报价=投标报价。</w:t>
      </w:r>
    </w:p>
    <w:p w14:paraId="4727E9A8">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注：小型、微型企业提供中型企业的服务供应商，视同为中型企业。</w:t>
      </w:r>
    </w:p>
    <w:p w14:paraId="6D3CF411">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7E9E4932">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）其他供应商的价格分统一按照下列公式计算：</w:t>
      </w:r>
    </w:p>
    <w:p w14:paraId="63808FF4">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评标基准价</w:t>
      </w:r>
    </w:p>
    <w:p w14:paraId="5A82A43B">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某有效</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价格分 =     ---------------------  × 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p w14:paraId="37114A53">
      <w:pPr>
        <w:pStyle w:val="9"/>
        <w:shd w:val="clear" w:color="auto" w:fill="FFFFFF"/>
        <w:spacing w:line="500" w:lineRule="exact"/>
        <w:ind w:firstLine="3600" w:firstLineChars="15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某有效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评标报价</w:t>
      </w:r>
    </w:p>
    <w:p w14:paraId="1EBE7DD8">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技术</w:t>
      </w:r>
      <w:r>
        <w:rPr>
          <w:rFonts w:hint="eastAsia" w:ascii="仿宋" w:hAnsi="仿宋" w:eastAsia="仿宋" w:cs="仿宋"/>
          <w:b/>
          <w:color w:val="auto"/>
          <w:sz w:val="24"/>
          <w:szCs w:val="24"/>
          <w:highlight w:val="none"/>
          <w:lang w:val="en-US" w:eastAsia="zh-CN"/>
        </w:rPr>
        <w:t>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满分36</w:t>
      </w:r>
      <w:r>
        <w:rPr>
          <w:rFonts w:hint="eastAsia" w:ascii="仿宋" w:hAnsi="仿宋" w:eastAsia="仿宋" w:cs="仿宋"/>
          <w:b/>
          <w:color w:val="auto"/>
          <w:sz w:val="24"/>
          <w:szCs w:val="24"/>
          <w:highlight w:val="none"/>
        </w:rPr>
        <w:t>分）</w:t>
      </w:r>
    </w:p>
    <w:p w14:paraId="474ACEED">
      <w:pPr>
        <w:spacing w:line="500" w:lineRule="exact"/>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（1）实施方案分（满分</w:t>
      </w:r>
      <w:r>
        <w:rPr>
          <w:rFonts w:hint="eastAsia" w:ascii="仿宋" w:hAnsi="仿宋" w:eastAsia="仿宋" w:cs="仿宋"/>
          <w:b/>
          <w:bCs w:val="0"/>
          <w:color w:val="auto"/>
          <w:sz w:val="24"/>
          <w:szCs w:val="24"/>
          <w:highlight w:val="none"/>
          <w:lang w:val="en-US" w:eastAsia="zh-CN"/>
        </w:rPr>
        <w:t>28</w:t>
      </w:r>
      <w:r>
        <w:rPr>
          <w:rFonts w:hint="eastAsia" w:ascii="仿宋" w:hAnsi="仿宋" w:eastAsia="仿宋" w:cs="仿宋"/>
          <w:b/>
          <w:bCs w:val="0"/>
          <w:color w:val="auto"/>
          <w:sz w:val="24"/>
          <w:szCs w:val="24"/>
          <w:highlight w:val="none"/>
        </w:rPr>
        <w:t>分）</w:t>
      </w:r>
    </w:p>
    <w:p w14:paraId="04D9FBC5">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由评标委员会</w:t>
      </w:r>
      <w:r>
        <w:rPr>
          <w:rFonts w:hint="eastAsia" w:ascii="仿宋" w:hAnsi="仿宋" w:eastAsia="仿宋" w:cs="仿宋"/>
          <w:bCs/>
          <w:color w:val="auto"/>
          <w:sz w:val="24"/>
          <w:szCs w:val="24"/>
          <w:highlight w:val="none"/>
          <w:lang w:val="en-US" w:eastAsia="zh-CN"/>
        </w:rPr>
        <w:t>各成员</w:t>
      </w:r>
      <w:r>
        <w:rPr>
          <w:rFonts w:hint="eastAsia" w:ascii="仿宋" w:hAnsi="仿宋" w:eastAsia="仿宋" w:cs="仿宋"/>
          <w:bCs/>
          <w:color w:val="auto"/>
          <w:sz w:val="24"/>
          <w:szCs w:val="24"/>
          <w:highlight w:val="none"/>
        </w:rPr>
        <w:t>根据各投标人提供的实施方案</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包含但不限于①需求理解与分析；②服务内容与方法论；③实施计划与进度安排；④质量保证与措施；⑤应急预案与风险控制等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内容</w:t>
      </w:r>
      <w:r>
        <w:rPr>
          <w:rFonts w:hint="eastAsia" w:ascii="仿宋" w:hAnsi="仿宋" w:eastAsia="仿宋" w:cs="仿宋"/>
          <w:bCs/>
          <w:color w:val="auto"/>
          <w:sz w:val="24"/>
          <w:szCs w:val="24"/>
          <w:highlight w:val="none"/>
          <w:lang w:val="en-US" w:eastAsia="zh-CN"/>
        </w:rPr>
        <w:t>的</w:t>
      </w:r>
      <w:r>
        <w:rPr>
          <w:rFonts w:hint="eastAsia" w:ascii="仿宋" w:hAnsi="仿宋" w:eastAsia="仿宋" w:cs="仿宋"/>
          <w:bCs/>
          <w:color w:val="auto"/>
          <w:sz w:val="24"/>
          <w:szCs w:val="24"/>
          <w:highlight w:val="none"/>
        </w:rPr>
        <w:t>可行性、合理性、实用性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匹配度</w:t>
      </w:r>
      <w:r>
        <w:rPr>
          <w:rFonts w:hint="eastAsia" w:ascii="仿宋" w:hAnsi="仿宋" w:eastAsia="仿宋" w:cs="仿宋"/>
          <w:bCs/>
          <w:color w:val="auto"/>
          <w:sz w:val="24"/>
          <w:szCs w:val="24"/>
          <w:highlight w:val="none"/>
        </w:rPr>
        <w:t>等</w:t>
      </w:r>
      <w:r>
        <w:rPr>
          <w:rFonts w:hint="eastAsia" w:ascii="仿宋" w:hAnsi="仿宋" w:eastAsia="仿宋" w:cs="仿宋"/>
          <w:bCs/>
          <w:color w:val="auto"/>
          <w:sz w:val="24"/>
          <w:szCs w:val="24"/>
          <w:highlight w:val="none"/>
          <w:lang w:val="en-US" w:eastAsia="zh-CN"/>
        </w:rPr>
        <w:t>进行</w:t>
      </w:r>
      <w:r>
        <w:rPr>
          <w:rFonts w:hint="eastAsia" w:ascii="仿宋" w:hAnsi="仿宋" w:eastAsia="仿宋" w:cs="仿宋"/>
          <w:bCs/>
          <w:color w:val="auto"/>
          <w:sz w:val="24"/>
          <w:szCs w:val="24"/>
          <w:highlight w:val="none"/>
        </w:rPr>
        <w:t>比较，确定投标人档次并</w:t>
      </w:r>
      <w:r>
        <w:rPr>
          <w:rFonts w:hint="eastAsia" w:ascii="仿宋" w:hAnsi="仿宋" w:eastAsia="仿宋" w:cs="仿宋"/>
          <w:bCs/>
          <w:color w:val="auto"/>
          <w:sz w:val="24"/>
          <w:szCs w:val="24"/>
          <w:highlight w:val="none"/>
          <w:lang w:val="en-US" w:eastAsia="zh-CN"/>
        </w:rPr>
        <w:t>独立</w:t>
      </w:r>
      <w:r>
        <w:rPr>
          <w:rFonts w:hint="eastAsia" w:ascii="仿宋" w:hAnsi="仿宋" w:eastAsia="仿宋" w:cs="仿宋"/>
          <w:bCs/>
          <w:color w:val="auto"/>
          <w:sz w:val="24"/>
          <w:szCs w:val="24"/>
          <w:highlight w:val="none"/>
        </w:rPr>
        <w:t>打分。</w:t>
      </w:r>
    </w:p>
    <w:p w14:paraId="642212DF">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六档（28分）：能用精炼语言准确概括招标文件全部核心需求，对潜在需求进行了量化</w:t>
      </w:r>
      <w:bookmarkStart w:id="39" w:name="_GoBack"/>
      <w:bookmarkEnd w:id="39"/>
      <w:r>
        <w:rPr>
          <w:rFonts w:hint="eastAsia" w:ascii="仿宋" w:hAnsi="仿宋" w:eastAsia="仿宋" w:cs="仿宋"/>
          <w:bCs/>
          <w:color w:val="auto"/>
          <w:sz w:val="24"/>
          <w:szCs w:val="24"/>
          <w:highlight w:val="none"/>
          <w:lang w:val="en-US" w:eastAsia="zh-CN"/>
        </w:rPr>
        <w:t>分析，提出不少于3项基于需求分析的、具有前瞻性的服务建议。服务方案覆盖“会前-会中-会后”全流程，细分环节不少于12个，明确提出并应用了成熟的项目管理方法论并阐述其如何在本项目中应用；提出不少于3项可量化、可考核的增值服务。会使用专业工具制定计划，途中包含所有任务、依赖关系、里程碑和关键路径；明确标出不少于10个关键节点，每个节点均有明确的交付成果、责任人和完成时限（精确到日）；为关键任务设置了合理的缓冲时间，并说明了设置理由。为至少5个核心服务环节设定了可量化的质量指标，描述了“计划-执行-检查-处理”的全过程质量监控流程，明确了当指标偏离时的具体纠偏措施和上报机制。风险识别清单详尽，覆盖安全、设备、人员、天气等，不少于10项，每项风险的应急预案包含明确的触发条件、处理流程（步骤化）、具体责任人及至少一种备用联系方式；明确列出了应急物资清单和预备队人员，并承诺资源到位时间。</w:t>
      </w:r>
    </w:p>
    <w:p w14:paraId="73EA7C5C">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24分）：准确复述了招标文件的所有核心需求，无遗漏或误解，对至少2项核心需求进行了简单的优劣态分析或关联性分析，提出了1-2项合理的服务优化建议。服务方案覆盖了主要流程，细分环节不少于11个，有清晰的服务流程和方法描述，逻辑自洽，提出1-2个项目明确的增值服务，并设定了考核目标。提供了图表化的进度计划，标出了不少于8个关键节点，有明确的时限和责任人，各项任务的先后逻辑关系清晰合理。为至少3个核心服务环节设定了质量指标，有明确的质量检查节点和负责人，提出了问题发生后的基本处理流程。识别了至少8项主要风险，对主要风险有完整的应对措施描述，责任到人，提及了必要的应急资源。</w:t>
      </w:r>
    </w:p>
    <w:p w14:paraId="2EE84A8E">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20分）：基本覆盖了招标文件的主要需求，但个别次要需求未被提及，对需求的理解停留在陈述层面，缺乏深入分析，提出的建议较为笼统，缺乏针对性。包含了招聘会的基本服务环节，细分环节不少于9个，描述了常规的服务方法，缺乏特色，提及1项增值服务但未设定考核目标。以表格形式列出了主要工作的时间安排，标出了不少于6个节点，但部分节点的责任人或时限不清晰，任务顺序基本正确。对质量的要求多为定性描述，缺乏量化指标，质量保障侧重于事后检查和问题处理，纠偏措施较为常规。识别了至少6项常见风险（如人流拥挤、设备故障），应对措施基本可行但不够具体或未完全责任到人，简单提及需要准备资源。</w:t>
      </w:r>
    </w:p>
    <w:p w14:paraId="2C75BE2E">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三档（</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仅回应了部分核心需求，但明显遗漏，对个别需求的理解存在明显偏差，未提出任何有价值的建议。缺少部分关键或辅助服务环节，细分环节不少于8个，服务方法描述模糊、不具体，未提供任何增值服务内容。仅用文字叙述了工作顺序，无可视化图表；节点数量少于5个，或描述非常模糊；部分任务安排逻辑不清。仅提出“确保质量”“客户满意”等笼统口号，质量保证措施描述空洞，不具操作性。识别风险少于5项，有重大遗漏，应对措施空泛，未提及应急资源。</w:t>
      </w:r>
    </w:p>
    <w:p w14:paraId="785FEB19">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10分）：对核心需求的回应严重不全，对需求的理解与项目关联性弱。服务内容描述极其简略，无法满足基本办会要求，服务流程与方法逻辑混乱。计划严重缺失或无法理解，未体现任何进度控制的概念。无任何实质性内容。仅列出1-2项风险或无风险意识，无实质性预案。</w:t>
      </w:r>
    </w:p>
    <w:p w14:paraId="491506C1">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5分）：出现以下任一情况：未提供需求理解与分析内容，方案内容与本项目完全无关；服务内容与方法论的内容完全无法体现其服务能力；方案被发现大面积抄袭或出现其他投标人名称等重大错误；方案内容无法证明其有能力履行合同；无实施计划与进度安排或无质量保障与措施相关内容或无应急预案与风险控制的内容。</w:t>
      </w:r>
    </w:p>
    <w:p w14:paraId="1987486A">
      <w:pPr>
        <w:spacing w:line="50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（2）拟投入本项目的执行团队人员配备方案（满分8分）</w:t>
      </w:r>
    </w:p>
    <w:p w14:paraId="05547DA2">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由评标委员会各成员根据各投标人提供的本项目“拟投入本项目的执行团队人员配备方案”（含①项目人员组织机构、②人员岗位与职责、③人员配备与安排明细、④人员技术培训计划措施、⑤人员考核与管理制度的响应情况及合理性、针对性、可行性等方面，独立评分，确定投标人档次。</w:t>
      </w:r>
    </w:p>
    <w:p w14:paraId="1F6C00D1">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五档（8分）：方案中5项内容均表述清晰、合理、可行，完全满足或优于招标文件要求的。</w:t>
      </w:r>
    </w:p>
    <w:p w14:paraId="79375837">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四档（6分）：方案中有4项内容表述清晰、合理、可行，满足招标文件要求的；</w:t>
      </w:r>
    </w:p>
    <w:p w14:paraId="08244ED8">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三档（4分）：方案中有3项内容表述清晰、合理、可行，满足招标文件要求的；</w:t>
      </w:r>
    </w:p>
    <w:p w14:paraId="56CEEA76">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二档（2分）：方案中有2项内容表述清晰、合理、可行，满足招标文件要求的。</w:t>
      </w:r>
    </w:p>
    <w:p w14:paraId="582D8B31">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一档（1分）：方案中仅有1项内容表述清晰、合理、可行，满足招标文件要求的。</w:t>
      </w:r>
    </w:p>
    <w:p w14:paraId="46F3B564">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注：供应商未提供上述相应内容的，不得分。</w:t>
      </w:r>
    </w:p>
    <w:p w14:paraId="55CE3665">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商务分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（满分</w:t>
      </w:r>
      <w:r>
        <w:rPr>
          <w:rFonts w:hint="eastAsia" w:ascii="仿宋" w:hAnsi="仿宋" w:eastAsia="仿宋" w:cs="仿宋"/>
          <w:b/>
          <w:color w:val="auto"/>
          <w:sz w:val="24"/>
          <w:szCs w:val="24"/>
          <w:highlight w:val="none"/>
          <w:lang w:val="en-US" w:eastAsia="zh-CN"/>
        </w:rPr>
        <w:t>36</w:t>
      </w:r>
      <w:r>
        <w:rPr>
          <w:rFonts w:hint="eastAsia" w:ascii="仿宋" w:hAnsi="仿宋" w:eastAsia="仿宋" w:cs="仿宋"/>
          <w:b/>
          <w:color w:val="auto"/>
          <w:sz w:val="24"/>
          <w:szCs w:val="24"/>
          <w:highlight w:val="none"/>
        </w:rPr>
        <w:t xml:space="preserve">分） </w:t>
      </w:r>
    </w:p>
    <w:p w14:paraId="6C806D37">
      <w:pPr>
        <w:spacing w:line="500" w:lineRule="exact"/>
        <w:ind w:firstLine="482" w:firstLineChars="200"/>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（1）投标人综合实力（满分5分）</w:t>
      </w:r>
    </w:p>
    <w:p w14:paraId="58FA760B">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投标人自有网络招聘平台且具有著作权登记的得5分，本项目满分5分。</w:t>
      </w:r>
    </w:p>
    <w:p w14:paraId="37116957">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（2）综合业绩（满分10分）</w:t>
      </w:r>
    </w:p>
    <w:p w14:paraId="0FED5E02">
      <w:pPr>
        <w:spacing w:line="500" w:lineRule="exact"/>
        <w:ind w:firstLine="480" w:firstLineChars="200"/>
        <w:rPr>
          <w:rFonts w:hint="eastAsia"/>
          <w:color w:val="auto"/>
          <w:highlight w:val="none"/>
          <w:lang w:val="en-US" w:eastAsia="zh-CN"/>
        </w:rPr>
      </w:pPr>
      <w:r>
        <w:rPr>
          <w:rFonts w:hint="eastAsia" w:ascii="仿宋" w:hAnsi="仿宋" w:eastAsia="仿宋" w:cs="仿宋"/>
          <w:bCs/>
          <w:color w:val="auto"/>
          <w:sz w:val="24"/>
          <w:szCs w:val="24"/>
          <w:highlight w:val="none"/>
          <w:lang w:val="en-US" w:eastAsia="zh-CN"/>
        </w:rPr>
        <w:t>投标人2022年以来具有招聘服务的业绩，承接过100家及以上企业招聘服务且无安全事故业绩的每一次得2分，承接过50家至100家（不含100家）企业招聘服务且无安全事故业绩的每一次得1.5分，承接过50家以下企业招聘服务且无安全事故业绩的每一次的1分；本项满分10分（无不良记录，以中标、成交通知书或签订的合同为准，并能清晰反映项目名称、项目内容、签订日期等，合同须附项目验收单等甲方针对项目给出的验收合格凭证，合同若不附项目验收单等甲方针对项目给出的验收合格凭证的为无效合同。不良记录包含部分履约、未履约、未完整履约等验收结论和行为。）</w:t>
      </w:r>
    </w:p>
    <w:p w14:paraId="0EBC25DD">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（3）服务评价（满分15分）</w:t>
      </w:r>
    </w:p>
    <w:p w14:paraId="3B12145D">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①投标人提供2023年-2025年以来在人力资源行政部门提交经营情况的年度报告的记录或公示记录的（以提供的网页查询截图或人力资源行政部门证明为准），每提供一年得1分，本项满分3分。</w:t>
      </w:r>
    </w:p>
    <w:p w14:paraId="2BF184CD">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投标人提供项目业绩的同时，提供有对应业绩采购方（甲方）针对项目给出的评价为评价内容为满意或优秀等积极评价的评价意见书，每提供一份得2分，最多得10分（以投标文件中提供相关评价内容证明材料，加盖投标人单位公章进行考核，否则不计分。）。</w:t>
      </w:r>
    </w:p>
    <w:p w14:paraId="5AE611D7">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③投标人2022-2023年入围人力资源行政部门发布的人力资源诚信服务示范单位的，得1分；2024年-2025年获得人力资源行政部门的人力资源诚信评价等级B级及以上级别的，得1分。本项满分2分（以投标文件中提供的网页查询截图为准）。</w:t>
      </w:r>
    </w:p>
    <w:p w14:paraId="614D8B8D">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（4）团队综合实力（满分6分）</w:t>
      </w:r>
    </w:p>
    <w:p w14:paraId="2D8E5157">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投标人拟投入参加项目实施人员持有职业指导师证，每提供一个证书得1分，本项满分6分（以投标文件中提供的盖有职业技能鉴定中心公章，含人力资源行政部门职业能力鉴定专用章的证书复印件为准）。</w:t>
      </w:r>
    </w:p>
    <w:p w14:paraId="52968235">
      <w:pPr>
        <w:shd w:val="clear" w:color="auto" w:fill="FFFFFF"/>
        <w:spacing w:line="50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注：未提供相关证明材料或证明材料不完整的不得分。</w:t>
      </w:r>
    </w:p>
    <w:p w14:paraId="5AF76631">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售后服务方案分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（满分</w:t>
      </w:r>
      <w:r>
        <w:rPr>
          <w:rFonts w:hint="eastAsia" w:ascii="仿宋" w:hAnsi="仿宋" w:eastAsia="仿宋" w:cs="仿宋"/>
          <w:b/>
          <w:color w:val="auto"/>
          <w:sz w:val="24"/>
          <w:szCs w:val="24"/>
          <w:highlight w:val="none"/>
          <w:lang w:val="en-US" w:eastAsia="zh-CN"/>
        </w:rPr>
        <w:t>13</w:t>
      </w:r>
      <w:r>
        <w:rPr>
          <w:rFonts w:hint="eastAsia" w:ascii="仿宋" w:hAnsi="仿宋" w:eastAsia="仿宋" w:cs="仿宋"/>
          <w:b/>
          <w:color w:val="auto"/>
          <w:sz w:val="24"/>
          <w:szCs w:val="24"/>
          <w:highlight w:val="none"/>
        </w:rPr>
        <w:t xml:space="preserve">分） </w:t>
      </w:r>
    </w:p>
    <w:p w14:paraId="0E0D664B">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由评标委员会</w:t>
      </w:r>
      <w:r>
        <w:rPr>
          <w:rFonts w:hint="eastAsia" w:ascii="仿宋" w:hAnsi="仿宋" w:eastAsia="仿宋" w:cs="仿宋"/>
          <w:bCs/>
          <w:color w:val="auto"/>
          <w:sz w:val="24"/>
          <w:szCs w:val="24"/>
          <w:highlight w:val="none"/>
          <w:lang w:val="en-US" w:eastAsia="zh-CN"/>
        </w:rPr>
        <w:t>各成员</w:t>
      </w:r>
      <w:r>
        <w:rPr>
          <w:rFonts w:hint="eastAsia" w:ascii="仿宋" w:hAnsi="仿宋" w:eastAsia="仿宋" w:cs="仿宋"/>
          <w:bCs/>
          <w:color w:val="auto"/>
          <w:sz w:val="24"/>
          <w:szCs w:val="24"/>
          <w:highlight w:val="none"/>
        </w:rPr>
        <w:t>根据各投标人提供</w:t>
      </w:r>
      <w:r>
        <w:rPr>
          <w:rFonts w:hint="eastAsia" w:ascii="仿宋" w:hAnsi="仿宋" w:eastAsia="仿宋" w:cs="仿宋"/>
          <w:bCs/>
          <w:color w:val="auto"/>
          <w:sz w:val="24"/>
          <w:szCs w:val="24"/>
          <w:highlight w:val="none"/>
          <w:lang w:val="en-US" w:eastAsia="zh-CN"/>
        </w:rPr>
        <w:t>的本项目“售后服务方案”（含①售后服务机制方案、②服务保障措施方案、③服务响应承诺及具体措施且应尽处理问题能力、④应急情景及问题解决方案、⑤承诺在后续服务中积极响应并配合采购人相关工作）的响应情况及合理性、针对性、可行性等方面，独立评分，确定磋商供应商档次。</w:t>
      </w:r>
    </w:p>
    <w:p w14:paraId="281D58A0">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13分）：售后服务方案内容5项均表述清晰、可行，且相互间无逻辑偏差。有到场解决时间及解决措施等。提供了其他增值服务承诺或其他实质性优惠措施及保障，且涵盖面广，能全面满足本项目需求的服务体系、服务内容、故障解决方案、响应时间等内容。</w:t>
      </w:r>
    </w:p>
    <w:p w14:paraId="7A95C1AC">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四档（11分）：售后服务方案内容有4项表述清晰可行，且相互间无逻辑偏差的；具体服务措施，能满足本项目需求的服务体系、服务内容、故障解决方案、响应时间等内容，有应急预案，有响应机制。</w:t>
      </w:r>
    </w:p>
    <w:p w14:paraId="4D02D6B8">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三档（8分）：售后服务方案内容有3项表述清晰可行，且相互间无逻辑偏差的；提出了具体服务措施，能满足本项目需求的服务体系、服务内容、故障解决方案、响应时间等内容，有应急预案，无响应机制。</w:t>
      </w:r>
    </w:p>
    <w:p w14:paraId="52ECE013">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二档（5分）：售后服务方案内容有2项表述清晰可行，且相互间略有逻辑偏差的。</w:t>
      </w:r>
    </w:p>
    <w:p w14:paraId="3AC3E6A0">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一档（3分）：售后服务方案有1项表述清晰可行，满足项目实施需求。</w:t>
      </w:r>
    </w:p>
    <w:p w14:paraId="76F72D55">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注：供应商未提供上述“售后服务方案分”相应内容的，相应项不得分。</w:t>
      </w:r>
    </w:p>
    <w:p w14:paraId="66470D2E">
      <w:pPr>
        <w:shd w:val="clear" w:color="auto" w:fill="FFFFFF"/>
        <w:spacing w:line="500" w:lineRule="exact"/>
        <w:ind w:firstLine="482" w:firstLineChars="200"/>
        <w:jc w:val="lef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5.</w:t>
      </w:r>
      <w:r>
        <w:rPr>
          <w:rFonts w:hint="eastAsia" w:ascii="仿宋" w:hAnsi="仿宋" w:eastAsia="仿宋" w:cs="仿宋"/>
          <w:b/>
          <w:color w:val="auto"/>
          <w:kern w:val="0"/>
          <w:sz w:val="24"/>
          <w:szCs w:val="24"/>
          <w:highlight w:val="none"/>
        </w:rPr>
        <w:t>本</w:t>
      </w:r>
      <w:r>
        <w:rPr>
          <w:rFonts w:hint="eastAsia" w:ascii="仿宋" w:hAnsi="仿宋" w:eastAsia="仿宋" w:cs="仿宋"/>
          <w:b/>
          <w:color w:val="auto"/>
          <w:kern w:val="0"/>
          <w:sz w:val="24"/>
          <w:szCs w:val="24"/>
          <w:highlight w:val="none"/>
          <w:lang w:val="en-US" w:eastAsia="zh-CN"/>
        </w:rPr>
        <w:t>分标</w:t>
      </w:r>
      <w:r>
        <w:rPr>
          <w:rFonts w:hint="eastAsia" w:ascii="仿宋" w:hAnsi="仿宋" w:eastAsia="仿宋" w:cs="仿宋"/>
          <w:b/>
          <w:color w:val="auto"/>
          <w:kern w:val="0"/>
          <w:sz w:val="24"/>
          <w:szCs w:val="24"/>
          <w:highlight w:val="none"/>
        </w:rPr>
        <w:t>总得分=1+2+3+4</w:t>
      </w:r>
    </w:p>
    <w:p w14:paraId="5E977B8E">
      <w:pPr>
        <w:shd w:val="clear" w:color="auto" w:fill="FFFFFF"/>
        <w:spacing w:line="500" w:lineRule="exact"/>
        <w:ind w:firstLine="482" w:firstLineChars="200"/>
        <w:jc w:val="left"/>
        <w:rPr>
          <w:rFonts w:hint="eastAsia" w:ascii="仿宋" w:hAnsi="仿宋" w:eastAsia="仿宋" w:cs="仿宋"/>
          <w:b/>
          <w:color w:val="auto"/>
          <w:kern w:val="0"/>
          <w:sz w:val="24"/>
          <w:szCs w:val="24"/>
          <w:highlight w:val="none"/>
        </w:rPr>
      </w:pPr>
    </w:p>
    <w:p w14:paraId="63AB6698">
      <w:pPr>
        <w:spacing w:line="360" w:lineRule="auto"/>
        <w:ind w:firstLine="487" w:firstLineChars="202"/>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分标5</w:t>
      </w:r>
      <w:r>
        <w:rPr>
          <w:rFonts w:hint="eastAsia" w:ascii="仿宋" w:hAnsi="仿宋" w:eastAsia="仿宋" w:cs="仿宋"/>
          <w:b/>
          <w:color w:val="auto"/>
          <w:sz w:val="24"/>
          <w:szCs w:val="24"/>
          <w:highlight w:val="none"/>
        </w:rPr>
        <w:t>评定方法</w:t>
      </w:r>
    </w:p>
    <w:p w14:paraId="39AF654B">
      <w:pPr>
        <w:pStyle w:val="9"/>
        <w:adjustRightInd w:val="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（一）对进入详评的，采用百分制综合评分法。</w:t>
      </w:r>
    </w:p>
    <w:p w14:paraId="30CEDC71">
      <w:pPr>
        <w:pStyle w:val="9"/>
        <w:adjustRightInd w:val="0"/>
        <w:spacing w:line="360" w:lineRule="auto"/>
        <w:ind w:firstLine="480" w:firstLineChars="200"/>
        <w:contextualSpacing/>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（二）计分办法（按四舍五入取至百分位）：</w:t>
      </w:r>
    </w:p>
    <w:p w14:paraId="12CC632D">
      <w:pPr>
        <w:spacing w:line="500" w:lineRule="exact"/>
        <w:ind w:firstLine="482" w:firstLineChars="200"/>
        <w:jc w:val="lef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w:t>
      </w:r>
      <w:r>
        <w:rPr>
          <w:rFonts w:hint="eastAsia" w:ascii="仿宋" w:hAnsi="仿宋" w:eastAsia="仿宋" w:cs="仿宋"/>
          <w:b/>
          <w:color w:val="auto"/>
          <w:kern w:val="0"/>
          <w:sz w:val="24"/>
          <w:szCs w:val="24"/>
          <w:highlight w:val="none"/>
        </w:rPr>
        <w:t>价格分……………………………………………………………………</w:t>
      </w:r>
      <w:r>
        <w:rPr>
          <w:rFonts w:hint="eastAsia" w:ascii="仿宋" w:hAnsi="仿宋" w:eastAsia="仿宋" w:cs="仿宋"/>
          <w:b/>
          <w:color w:val="auto"/>
          <w:kern w:val="0"/>
          <w:sz w:val="24"/>
          <w:szCs w:val="24"/>
          <w:highlight w:val="none"/>
          <w:lang w:eastAsia="zh-CN"/>
        </w:rPr>
        <w:t>（</w:t>
      </w:r>
      <w:r>
        <w:rPr>
          <w:rFonts w:hint="eastAsia" w:ascii="仿宋" w:hAnsi="仿宋" w:eastAsia="仿宋" w:cs="仿宋"/>
          <w:b/>
          <w:color w:val="auto"/>
          <w:kern w:val="0"/>
          <w:sz w:val="24"/>
          <w:szCs w:val="24"/>
          <w:highlight w:val="none"/>
          <w:lang w:val="en-US" w:eastAsia="zh-CN"/>
        </w:rPr>
        <w:t>满分</w:t>
      </w:r>
      <w:r>
        <w:rPr>
          <w:rFonts w:hint="eastAsia" w:ascii="仿宋" w:hAnsi="仿宋" w:eastAsia="仿宋" w:cs="仿宋"/>
          <w:b/>
          <w:color w:val="auto"/>
          <w:kern w:val="0"/>
          <w:sz w:val="24"/>
          <w:szCs w:val="24"/>
          <w:highlight w:val="none"/>
        </w:rPr>
        <w:t>1</w:t>
      </w:r>
      <w:r>
        <w:rPr>
          <w:rFonts w:hint="eastAsia" w:ascii="仿宋" w:hAnsi="仿宋" w:eastAsia="仿宋" w:cs="仿宋"/>
          <w:b/>
          <w:color w:val="auto"/>
          <w:kern w:val="0"/>
          <w:sz w:val="24"/>
          <w:szCs w:val="24"/>
          <w:highlight w:val="none"/>
          <w:lang w:val="en-US" w:eastAsia="zh-CN"/>
        </w:rPr>
        <w:t>5</w:t>
      </w:r>
      <w:r>
        <w:rPr>
          <w:rFonts w:hint="eastAsia" w:ascii="仿宋" w:hAnsi="仿宋" w:eastAsia="仿宋" w:cs="仿宋"/>
          <w:b/>
          <w:color w:val="auto"/>
          <w:kern w:val="0"/>
          <w:sz w:val="24"/>
          <w:szCs w:val="24"/>
          <w:highlight w:val="none"/>
        </w:rPr>
        <w:t>分</w:t>
      </w:r>
      <w:r>
        <w:rPr>
          <w:rFonts w:hint="eastAsia" w:ascii="仿宋" w:hAnsi="仿宋" w:eastAsia="仿宋" w:cs="仿宋"/>
          <w:b/>
          <w:color w:val="auto"/>
          <w:kern w:val="0"/>
          <w:sz w:val="24"/>
          <w:szCs w:val="24"/>
          <w:highlight w:val="none"/>
          <w:lang w:eastAsia="zh-CN"/>
        </w:rPr>
        <w:t>）</w:t>
      </w:r>
    </w:p>
    <w:p w14:paraId="4B089F56">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（1）价格分统一采用低价优先法计算，即满足</w:t>
      </w:r>
      <w:r>
        <w:rPr>
          <w:rFonts w:hint="eastAsia" w:ascii="仿宋" w:hAnsi="仿宋" w:eastAsia="仿宋" w:cs="仿宋"/>
          <w:color w:val="auto"/>
          <w:kern w:val="0"/>
          <w:sz w:val="24"/>
          <w:szCs w:val="24"/>
          <w:highlight w:val="none"/>
          <w:lang w:eastAsia="zh-CN"/>
        </w:rPr>
        <w:t>招标文件</w:t>
      </w:r>
      <w:r>
        <w:rPr>
          <w:rFonts w:hint="eastAsia" w:ascii="仿宋" w:hAnsi="仿宋" w:eastAsia="仿宋" w:cs="仿宋"/>
          <w:color w:val="auto"/>
          <w:kern w:val="0"/>
          <w:sz w:val="24"/>
          <w:szCs w:val="24"/>
          <w:highlight w:val="none"/>
        </w:rPr>
        <w:t>要求且评标报价最低的</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的评标报价为评标基准价，其价格分为满分。</w:t>
      </w:r>
    </w:p>
    <w:p w14:paraId="08C84DBE">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（2）按照《政府采购促进中小企业发展管理办法》（财库[2020]46号），对小型和微型企业的服务供应商（以</w:t>
      </w:r>
      <w:r>
        <w:rPr>
          <w:rFonts w:hint="eastAsia" w:ascii="仿宋" w:hAnsi="仿宋" w:eastAsia="仿宋" w:cs="仿宋"/>
          <w:color w:val="auto"/>
          <w:kern w:val="0"/>
          <w:sz w:val="24"/>
          <w:szCs w:val="24"/>
          <w:highlight w:val="none"/>
          <w:lang w:eastAsia="zh-CN"/>
        </w:rPr>
        <w:t>投标文件</w:t>
      </w:r>
      <w:r>
        <w:rPr>
          <w:rFonts w:hint="eastAsia" w:ascii="仿宋" w:hAnsi="仿宋" w:eastAsia="仿宋" w:cs="仿宋"/>
          <w:color w:val="auto"/>
          <w:kern w:val="0"/>
          <w:sz w:val="24"/>
          <w:szCs w:val="24"/>
          <w:highlight w:val="none"/>
        </w:rPr>
        <w:t>提供的符合规定的有关证明材料为准）的投标价给予20%的扣除，扣除后的报价为评审报价，即评审报价=投标报价×（1-20%）；除上述情况外，评审报价=投标报价。</w:t>
      </w:r>
    </w:p>
    <w:p w14:paraId="6D578202">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注：小型、微型企业提供中型企业的服务供应商，视同为中型企业。</w:t>
      </w:r>
    </w:p>
    <w:p w14:paraId="608A7F83">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根据《关于政府采购支持监狱企业发展有关问题的通知》（财库[2014]68号）和《关于促进残疾人就业政府采购政策的通知》（财库[2017]141号），监狱企业和符合条件的残疾人企业视同小型、微型企业，享受小型、微型企业评审中价格扣除的政府采购政策。</w:t>
      </w:r>
    </w:p>
    <w:p w14:paraId="3E88E9BB">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）其他供应商的价格分统一按照下列公式计算：</w:t>
      </w:r>
    </w:p>
    <w:p w14:paraId="4DB5502B">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评标基准价</w:t>
      </w:r>
    </w:p>
    <w:p w14:paraId="3CAF46A9">
      <w:pPr>
        <w:shd w:val="clear" w:color="auto" w:fill="FFFFFF"/>
        <w:spacing w:line="5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某有效</w:t>
      </w:r>
      <w:r>
        <w:rPr>
          <w:rFonts w:hint="eastAsia" w:ascii="仿宋" w:hAnsi="仿宋" w:eastAsia="仿宋" w:cs="仿宋"/>
          <w:color w:val="auto"/>
          <w:kern w:val="0"/>
          <w:sz w:val="24"/>
          <w:szCs w:val="24"/>
          <w:highlight w:val="none"/>
          <w:lang w:eastAsia="zh-CN"/>
        </w:rPr>
        <w:t>投标人</w:t>
      </w:r>
      <w:r>
        <w:rPr>
          <w:rFonts w:hint="eastAsia" w:ascii="仿宋" w:hAnsi="仿宋" w:eastAsia="仿宋" w:cs="仿宋"/>
          <w:color w:val="auto"/>
          <w:kern w:val="0"/>
          <w:sz w:val="24"/>
          <w:szCs w:val="24"/>
          <w:highlight w:val="none"/>
        </w:rPr>
        <w:t>价格分 =     ---------------------  × 1</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w:t>
      </w:r>
    </w:p>
    <w:p w14:paraId="6B86701D">
      <w:pPr>
        <w:pStyle w:val="9"/>
        <w:shd w:val="clear" w:color="auto" w:fill="FFFFFF"/>
        <w:spacing w:line="500" w:lineRule="exact"/>
        <w:ind w:firstLine="3600" w:firstLineChars="15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某有效</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评标报价</w:t>
      </w:r>
    </w:p>
    <w:p w14:paraId="6633CC3C">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技术</w:t>
      </w:r>
      <w:r>
        <w:rPr>
          <w:rFonts w:hint="eastAsia" w:ascii="仿宋" w:hAnsi="仿宋" w:eastAsia="仿宋" w:cs="仿宋"/>
          <w:b/>
          <w:color w:val="auto"/>
          <w:sz w:val="24"/>
          <w:szCs w:val="24"/>
          <w:highlight w:val="none"/>
          <w:lang w:val="en-US" w:eastAsia="zh-CN"/>
        </w:rPr>
        <w:t>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满分37</w:t>
      </w:r>
      <w:r>
        <w:rPr>
          <w:rFonts w:hint="eastAsia" w:ascii="仿宋" w:hAnsi="仿宋" w:eastAsia="仿宋" w:cs="仿宋"/>
          <w:b/>
          <w:color w:val="auto"/>
          <w:sz w:val="24"/>
          <w:szCs w:val="24"/>
          <w:highlight w:val="none"/>
        </w:rPr>
        <w:t>分）</w:t>
      </w:r>
    </w:p>
    <w:p w14:paraId="757286A1">
      <w:pPr>
        <w:spacing w:line="500" w:lineRule="exact"/>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（1）实施方案分（满分</w:t>
      </w:r>
      <w:r>
        <w:rPr>
          <w:rFonts w:hint="eastAsia" w:ascii="仿宋" w:hAnsi="仿宋" w:eastAsia="仿宋" w:cs="仿宋"/>
          <w:b/>
          <w:bCs w:val="0"/>
          <w:color w:val="auto"/>
          <w:sz w:val="24"/>
          <w:szCs w:val="24"/>
          <w:highlight w:val="none"/>
          <w:lang w:val="en-US" w:eastAsia="zh-CN"/>
        </w:rPr>
        <w:t>29</w:t>
      </w:r>
      <w:r>
        <w:rPr>
          <w:rFonts w:hint="eastAsia" w:ascii="仿宋" w:hAnsi="仿宋" w:eastAsia="仿宋" w:cs="仿宋"/>
          <w:b/>
          <w:bCs w:val="0"/>
          <w:color w:val="auto"/>
          <w:sz w:val="24"/>
          <w:szCs w:val="24"/>
          <w:highlight w:val="none"/>
        </w:rPr>
        <w:t>分）</w:t>
      </w:r>
    </w:p>
    <w:p w14:paraId="2020E963">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由评标委员会</w:t>
      </w:r>
      <w:r>
        <w:rPr>
          <w:rFonts w:hint="eastAsia" w:ascii="仿宋" w:hAnsi="仿宋" w:eastAsia="仿宋" w:cs="仿宋"/>
          <w:bCs/>
          <w:color w:val="auto"/>
          <w:sz w:val="24"/>
          <w:szCs w:val="24"/>
          <w:highlight w:val="none"/>
          <w:lang w:val="en-US" w:eastAsia="zh-CN"/>
        </w:rPr>
        <w:t>各成员</w:t>
      </w:r>
      <w:r>
        <w:rPr>
          <w:rFonts w:hint="eastAsia" w:ascii="仿宋" w:hAnsi="仿宋" w:eastAsia="仿宋" w:cs="仿宋"/>
          <w:bCs/>
          <w:color w:val="auto"/>
          <w:sz w:val="24"/>
          <w:szCs w:val="24"/>
          <w:highlight w:val="none"/>
        </w:rPr>
        <w:t>根据各投标人提供的实施方案</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包含但不限于①需求理解与分析；②服务内容与方法论；③实施计划与进度安排；④质量保证与措施；⑤应急预案与风险控制等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内容</w:t>
      </w:r>
      <w:r>
        <w:rPr>
          <w:rFonts w:hint="eastAsia" w:ascii="仿宋" w:hAnsi="仿宋" w:eastAsia="仿宋" w:cs="仿宋"/>
          <w:bCs/>
          <w:color w:val="auto"/>
          <w:sz w:val="24"/>
          <w:szCs w:val="24"/>
          <w:highlight w:val="none"/>
          <w:lang w:val="en-US" w:eastAsia="zh-CN"/>
        </w:rPr>
        <w:t>的</w:t>
      </w:r>
      <w:r>
        <w:rPr>
          <w:rFonts w:hint="eastAsia" w:ascii="仿宋" w:hAnsi="仿宋" w:eastAsia="仿宋" w:cs="仿宋"/>
          <w:bCs/>
          <w:color w:val="auto"/>
          <w:sz w:val="24"/>
          <w:szCs w:val="24"/>
          <w:highlight w:val="none"/>
        </w:rPr>
        <w:t>可行性、合理性、实用性</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匹配度</w:t>
      </w:r>
      <w:r>
        <w:rPr>
          <w:rFonts w:hint="eastAsia" w:ascii="仿宋" w:hAnsi="仿宋" w:eastAsia="仿宋" w:cs="仿宋"/>
          <w:bCs/>
          <w:color w:val="auto"/>
          <w:sz w:val="24"/>
          <w:szCs w:val="24"/>
          <w:highlight w:val="none"/>
        </w:rPr>
        <w:t>等</w:t>
      </w:r>
      <w:r>
        <w:rPr>
          <w:rFonts w:hint="eastAsia" w:ascii="仿宋" w:hAnsi="仿宋" w:eastAsia="仿宋" w:cs="仿宋"/>
          <w:bCs/>
          <w:color w:val="auto"/>
          <w:sz w:val="24"/>
          <w:szCs w:val="24"/>
          <w:highlight w:val="none"/>
          <w:lang w:val="en-US" w:eastAsia="zh-CN"/>
        </w:rPr>
        <w:t>进行</w:t>
      </w:r>
      <w:r>
        <w:rPr>
          <w:rFonts w:hint="eastAsia" w:ascii="仿宋" w:hAnsi="仿宋" w:eastAsia="仿宋" w:cs="仿宋"/>
          <w:bCs/>
          <w:color w:val="auto"/>
          <w:sz w:val="24"/>
          <w:szCs w:val="24"/>
          <w:highlight w:val="none"/>
        </w:rPr>
        <w:t>比较，确定投标人档次并</w:t>
      </w:r>
      <w:r>
        <w:rPr>
          <w:rFonts w:hint="eastAsia" w:ascii="仿宋" w:hAnsi="仿宋" w:eastAsia="仿宋" w:cs="仿宋"/>
          <w:bCs/>
          <w:color w:val="auto"/>
          <w:sz w:val="24"/>
          <w:szCs w:val="24"/>
          <w:highlight w:val="none"/>
          <w:lang w:val="en-US" w:eastAsia="zh-CN"/>
        </w:rPr>
        <w:t>独立</w:t>
      </w:r>
      <w:r>
        <w:rPr>
          <w:rFonts w:hint="eastAsia" w:ascii="仿宋" w:hAnsi="仿宋" w:eastAsia="仿宋" w:cs="仿宋"/>
          <w:bCs/>
          <w:color w:val="auto"/>
          <w:sz w:val="24"/>
          <w:szCs w:val="24"/>
          <w:highlight w:val="none"/>
        </w:rPr>
        <w:t>打分。</w:t>
      </w:r>
    </w:p>
    <w:p w14:paraId="3DDFE084">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六档（29分）：能用精炼语言准确概括招标文件全部核心需求，对潜在需求进行了量化分析，提出不少于3项基于需求分析的、具有前瞻性的服务建议。服务方案覆盖“会前-会中-会后”全流程，细分环节不少于12个，明确提出并应用了成熟的项目管理方法论并阐述其如何在本项目中应用；提出不少于3项可量化、可考核的增值服务。会使用专业工具制定计划，途中包含所有任务、依赖关系、里程碑和关键路径；明确标出不少于10个关键节点，每个节点均有明确的交付成果、责任人和完成时限（精确到日）；为关键任务设置了合理的缓冲时间，并说明了设置理由。为至少5个核心服务环节设定了可量化的质量指标，描述了“计划-执行-检查-处理”的全过程质量监控流程，明确了当指标偏离时的具体纠偏措施和上报机制。风险识别清单详尽，覆盖安全、设备、人员、天气等，不少于10项，每项风险的应急预案包含明确的触发条件、处理流程（步骤化）、具体责任人及至少一种备用联系方式；明确列出了应急物资清单和预备队人员，并承诺资源到位时间。</w:t>
      </w:r>
    </w:p>
    <w:p w14:paraId="7D00BA07">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25分）：准确复述了招标文件的所有核心需求，无遗漏或误解，对至少2项核心需求进行了简单的优劣态分析或关联性分析，提出了1-2项合理的服务优化建议。服务方案覆盖了主要流程，细分环节不少于11个，有清晰的服务流程和方法描述，逻辑自洽，提出1-2个项目明确的增值服务，并设定了考核目标。提供了图表化的进度计划，标出了不少于8个关键节点，有明确的时限和责任人，各项任务的先后逻辑关系清晰合理。为至少3个核心服务环节设定了质量指标，有明确的质量检查节点和负责人，提出了问题发生后的基本处理流程。识别了至少8项主要风险，对主要风险有完整的应对措施描述，责任到人，提及了必要的应急资源。</w:t>
      </w:r>
    </w:p>
    <w:p w14:paraId="5F3A88E1">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21分）：基本覆盖了招标文件的主要需求，但个别次要需求未被提及，对需求的理解停留在陈述层面，缺乏深入分析，提出的建议较为笼统，缺乏针对性。包含了招聘会的基本服务环节，细分环节不少于9个，描述了常规的服务方法，缺乏特色，提及1项增值服务但未设定考核目标。以表格形式列出了主要工作的时间安排，标出了不少于6个节点，但部分节点的责任人或时限不清晰，任务顺序基本正确。对质量的要求多为定性描述，缺乏量化指标，质量保障侧重于事后检查和问题处理，纠偏措施较为常规。识别了至少6项常见风险（如人流拥挤、设备故障），应对措施基本可行但不够具体或未完全责任到人，简单提及需要准备资源。</w:t>
      </w:r>
    </w:p>
    <w:p w14:paraId="6235354B">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三档（</w:t>
      </w:r>
      <w:r>
        <w:rPr>
          <w:rFonts w:hint="eastAsia" w:ascii="仿宋" w:hAnsi="仿宋" w:eastAsia="仿宋" w:cs="仿宋"/>
          <w:bCs/>
          <w:color w:val="auto"/>
          <w:sz w:val="24"/>
          <w:szCs w:val="24"/>
          <w:highlight w:val="none"/>
          <w:lang w:val="en-US" w:eastAsia="zh-CN"/>
        </w:rPr>
        <w:t>16</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仅回应了部分核心需求，但明显遗漏，对个别需求的理解存在明显偏差，未提出任何有价值的建议。缺少部分关键或辅助服务环节，细分环节不少于8个，服务方法描述模糊、不具体，未提供任何增值服务内容。仅用文字叙述了工作顺序，无可视化图表；节点数量少于5个，或描述非常模糊；部分任务安排逻辑不清。仅提出“确保质量”“客户满意”等笼统口号，质量保证措施描述空洞，不具操作性。识别风险少于5项，有重大遗漏，应对措施空泛，未提及应急资源。</w:t>
      </w:r>
    </w:p>
    <w:p w14:paraId="37B7C72A">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11分）：对核心需求的回应严重不全，对需求的理解与项目关联性弱。服务内容描述极其简略，无法满足基本办会要求，服务流程与方法逻辑混乱。计划严重缺失或无法理解，未体现任何进度控制的概念。无任何实质性内容。仅列出1-2项风险或无风险意识，无实质性预案。</w:t>
      </w:r>
    </w:p>
    <w:p w14:paraId="60BDFB60">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6分）：出现以下任一情况：未提供需求理解与分析内容，方案内容与本项目完全无关；服务内容与方法论的内容完全无法体现其服务能力；方案被发现大面积抄袭或出现其他投标人名称等重大错误；方案内容无法证明其有能力履行合同；无实施计划与进度安排或无质量保障与措施相关内容或无应急预案与风险控制的内容。</w:t>
      </w:r>
    </w:p>
    <w:p w14:paraId="7810E0E2">
      <w:pPr>
        <w:spacing w:line="50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（3）拟投入本项目的执行团队人员配备方案（满分8分）</w:t>
      </w:r>
    </w:p>
    <w:p w14:paraId="182D9818">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由评标委员会各成员根据各投标人提供的本项目“拟投入本项目的执行团队人员配备方案”（含①项目人员组织机构、②人员岗位与职责、③人员配备与安排明细、④人员技术培训计划措施、⑤人员考核与管理制度的响应情况及合理性、针对性、可行性等方面，独立评分，确定投标人档次。</w:t>
      </w:r>
    </w:p>
    <w:p w14:paraId="5B22AF58">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五档（8分）：方案中5项内容均表述清晰、合理、可行，完全满足或优于招标文件要求的。</w:t>
      </w:r>
    </w:p>
    <w:p w14:paraId="73DE107A">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四档（6分）：方案中有4项内容表述清晰、合理、可行，满足招标文件要求的；</w:t>
      </w:r>
    </w:p>
    <w:p w14:paraId="7603334A">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三档（4分）：方案中有3项内容表述清晰、合理、可行，满足招标文件要求的；</w:t>
      </w:r>
    </w:p>
    <w:p w14:paraId="31BBAAEE">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二档（2分）：方案中有2项内容表述清晰、合理、可行，满足招标文件要求的。</w:t>
      </w:r>
    </w:p>
    <w:p w14:paraId="49F6DDBB">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一档（1分）：方案中仅有1项内容表述清晰、合理、可行，满足招标文件要求的。</w:t>
      </w:r>
    </w:p>
    <w:p w14:paraId="1336181F">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注：供应商未提供上述相应内容的，不得分。</w:t>
      </w:r>
    </w:p>
    <w:p w14:paraId="6E908E29">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商务分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（满分</w:t>
      </w:r>
      <w:r>
        <w:rPr>
          <w:rFonts w:hint="eastAsia" w:ascii="仿宋" w:hAnsi="仿宋" w:eastAsia="仿宋" w:cs="仿宋"/>
          <w:b/>
          <w:color w:val="auto"/>
          <w:sz w:val="24"/>
          <w:szCs w:val="24"/>
          <w:highlight w:val="none"/>
          <w:lang w:val="en-US" w:eastAsia="zh-CN"/>
        </w:rPr>
        <w:t>35</w:t>
      </w:r>
      <w:r>
        <w:rPr>
          <w:rFonts w:hint="eastAsia" w:ascii="仿宋" w:hAnsi="仿宋" w:eastAsia="仿宋" w:cs="仿宋"/>
          <w:b/>
          <w:color w:val="auto"/>
          <w:sz w:val="24"/>
          <w:szCs w:val="24"/>
          <w:highlight w:val="none"/>
        </w:rPr>
        <w:t xml:space="preserve">分） </w:t>
      </w:r>
    </w:p>
    <w:p w14:paraId="1B20ED02">
      <w:pPr>
        <w:spacing w:line="500" w:lineRule="exact"/>
        <w:ind w:firstLine="482" w:firstLineChars="200"/>
        <w:rPr>
          <w:rFonts w:hint="default"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（1）投标人综合实力（满分5分）</w:t>
      </w:r>
    </w:p>
    <w:p w14:paraId="213B319E">
      <w:pPr>
        <w:spacing w:line="500" w:lineRule="exact"/>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投标人自有网络招聘平台且具有著作权登记的得5分，本项目满分5分。</w:t>
      </w:r>
    </w:p>
    <w:p w14:paraId="4F507EC7">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（2）综合业绩（满分12分）</w:t>
      </w:r>
    </w:p>
    <w:p w14:paraId="44D21B76">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2022年以来具有招聘服务的业绩，承接过100家及以上企业招聘服务且无安全事故业绩的每一次得2分，承接过50家至100家（不含100家）企业招聘服务业绩的每一次得1.5分，承接过50家企业以下招聘服务业绩的每一次的1分；本项满分12分（无不良记录，以中标、成交通知书或签订的合同为准，并能清晰反映项目名称、项目内容、签订日期等，合同须附项目验收单等甲方针对项目给出的验收合格凭证，合同若不附项目验收单等甲方针对项目给出的验收合格凭证的为无效合同。不良记录包含部分履约、未履约、未完整履约等验收结论和行为。）</w:t>
      </w:r>
    </w:p>
    <w:p w14:paraId="0ECB5B65">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（3）服务评价（满分15分）</w:t>
      </w:r>
    </w:p>
    <w:p w14:paraId="29861011">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①投标人提供2023年-2025年以来在人力资源行政部门提交经营情况的年度报告的记录或公示记录的（以提供的网页查询截图或人力资源行政部门证明为准），每提供一年得1分，本项满分3分。</w:t>
      </w:r>
    </w:p>
    <w:p w14:paraId="6103A911">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②投标人提供项目业绩的同时，提供有对应业绩采购方（甲方）针对项目给出的评价为评价内容为满意或优秀等积极评价的评价意见书，每提供一份得2分，最多得10分（以投标文件中提供相关评价内容证明材料，加盖投标人单位公章进行考核，否则不计分。）</w:t>
      </w:r>
    </w:p>
    <w:p w14:paraId="2B7E7D47">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③投标人2022-2023年入围人力资源行政部门发布的人力资源诚信服务示范单位的，得1分；2024年-2025年获得人力资源行政部门的人力资源诚信评价等级B级及以上级别的，得1分。本项满分2分（以投标文件中提供的网页查询截图为准）。</w:t>
      </w:r>
    </w:p>
    <w:p w14:paraId="7DAEC0FC">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（4）团队综合实力（满分3分）</w:t>
      </w:r>
    </w:p>
    <w:p w14:paraId="51CAB446">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投标人拟投入参加项目实施人员持有职业指导师证，每提供一个证书得1分，本项满分3分（以投标文件中提供的加盖职业技能鉴定中心公章，含人力资源行政部门职业能力鉴定专用章的证书复印件为准）。</w:t>
      </w:r>
    </w:p>
    <w:p w14:paraId="61751BD1">
      <w:pPr>
        <w:shd w:val="clear" w:color="auto" w:fill="FFFFFF"/>
        <w:spacing w:line="500" w:lineRule="exact"/>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注：未提供相关证明材料或证明材料不完整的不得分。</w:t>
      </w:r>
    </w:p>
    <w:p w14:paraId="0DF07568">
      <w:pPr>
        <w:spacing w:line="5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售后服务方案分</w:t>
      </w:r>
      <w:r>
        <w:rPr>
          <w:rFonts w:hint="eastAsia" w:ascii="仿宋" w:hAnsi="仿宋" w:eastAsia="仿宋" w:cs="仿宋"/>
          <w:b/>
          <w:color w:val="auto"/>
          <w:kern w:val="0"/>
          <w:sz w:val="24"/>
          <w:szCs w:val="24"/>
          <w:highlight w:val="none"/>
        </w:rPr>
        <w:t>………………………………………………………………</w:t>
      </w:r>
      <w:r>
        <w:rPr>
          <w:rFonts w:hint="eastAsia" w:ascii="仿宋" w:hAnsi="仿宋" w:eastAsia="仿宋" w:cs="仿宋"/>
          <w:b/>
          <w:color w:val="auto"/>
          <w:sz w:val="24"/>
          <w:szCs w:val="24"/>
          <w:highlight w:val="none"/>
        </w:rPr>
        <w:t>（满分</w:t>
      </w:r>
      <w:r>
        <w:rPr>
          <w:rFonts w:hint="eastAsia" w:ascii="仿宋" w:hAnsi="仿宋" w:eastAsia="仿宋" w:cs="仿宋"/>
          <w:b/>
          <w:color w:val="auto"/>
          <w:sz w:val="24"/>
          <w:szCs w:val="24"/>
          <w:highlight w:val="none"/>
          <w:lang w:val="en-US" w:eastAsia="zh-CN"/>
        </w:rPr>
        <w:t>13</w:t>
      </w:r>
      <w:r>
        <w:rPr>
          <w:rFonts w:hint="eastAsia" w:ascii="仿宋" w:hAnsi="仿宋" w:eastAsia="仿宋" w:cs="仿宋"/>
          <w:b/>
          <w:color w:val="auto"/>
          <w:sz w:val="24"/>
          <w:szCs w:val="24"/>
          <w:highlight w:val="none"/>
        </w:rPr>
        <w:t xml:space="preserve">分） </w:t>
      </w:r>
    </w:p>
    <w:p w14:paraId="43E53A6C">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由评标委员会</w:t>
      </w:r>
      <w:r>
        <w:rPr>
          <w:rFonts w:hint="eastAsia" w:ascii="仿宋" w:hAnsi="仿宋" w:eastAsia="仿宋" w:cs="仿宋"/>
          <w:bCs/>
          <w:color w:val="auto"/>
          <w:sz w:val="24"/>
          <w:szCs w:val="24"/>
          <w:highlight w:val="none"/>
          <w:lang w:val="en-US" w:eastAsia="zh-CN"/>
        </w:rPr>
        <w:t>各成员</w:t>
      </w:r>
      <w:r>
        <w:rPr>
          <w:rFonts w:hint="eastAsia" w:ascii="仿宋" w:hAnsi="仿宋" w:eastAsia="仿宋" w:cs="仿宋"/>
          <w:bCs/>
          <w:color w:val="auto"/>
          <w:sz w:val="24"/>
          <w:szCs w:val="24"/>
          <w:highlight w:val="none"/>
        </w:rPr>
        <w:t>根据各投标人提供</w:t>
      </w:r>
      <w:r>
        <w:rPr>
          <w:rFonts w:hint="eastAsia" w:ascii="仿宋" w:hAnsi="仿宋" w:eastAsia="仿宋" w:cs="仿宋"/>
          <w:bCs/>
          <w:color w:val="auto"/>
          <w:sz w:val="24"/>
          <w:szCs w:val="24"/>
          <w:highlight w:val="none"/>
          <w:lang w:val="en-US" w:eastAsia="zh-CN"/>
        </w:rPr>
        <w:t>的本项目“售后服务方案”（含①售后服务机制方案、②服务保障措施方案、③服务响应承诺及具体措施且应尽处理问题能力、④应急情景及问题解决方案、⑤承诺在后续服务中积极响应并配合采购人相关工作）的响应情况及合理性、针对性、可行性等方面，独立评分，确定磋商供应商档次。</w:t>
      </w:r>
    </w:p>
    <w:p w14:paraId="22E51350">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档（13分）：售后服务方案内容5项均表述清晰、可行，且相互间无逻辑偏差。有到场解决时间及解决措施等。提供了其他增值服务承诺或其他实质性优惠措施及保障，且涵盖面广，能全面满足本项目需求的服务体系、服务内容、故障解决方案、响应时间等内容。</w:t>
      </w:r>
    </w:p>
    <w:p w14:paraId="2E1392C0">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四档（11分）：售后服务方案内容有4项表述清晰可行，且相互间无逻辑偏差的；具体服务措施，能满足本项目需求的服务体系、服务内容、故障解决方案、响应时间等内容，有应急预案，有响应机制。</w:t>
      </w:r>
    </w:p>
    <w:p w14:paraId="039B8DB1">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三档（8分）：售后服务方案内容有3项表述清晰可行，且相互间无逻辑偏差的；提出了具体服务措施，能满足本项目需求的服务体系、服务内容、故障解决方案、响应时间等内容，有应急预案，无响应机制。</w:t>
      </w:r>
    </w:p>
    <w:p w14:paraId="0D0AC575">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二档（5分）：售后服务方案内容有2项表述清晰可行，且相互间略有逻辑偏差的。</w:t>
      </w:r>
    </w:p>
    <w:p w14:paraId="4620A3CE">
      <w:pPr>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一档（3分）：售后服务方案有1项表述清晰可行，满足项目实施需求。</w:t>
      </w:r>
    </w:p>
    <w:p w14:paraId="6BB8176F">
      <w:pPr>
        <w:spacing w:line="500" w:lineRule="exact"/>
        <w:ind w:firstLine="482" w:firstLineChars="20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注：供应商未提供上述“售后服务方案分”相应内容的，相应项不得分。</w:t>
      </w:r>
    </w:p>
    <w:p w14:paraId="1BA22884">
      <w:pPr>
        <w:spacing w:line="50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5.</w:t>
      </w:r>
      <w:r>
        <w:rPr>
          <w:rFonts w:hint="eastAsia" w:ascii="仿宋" w:hAnsi="仿宋" w:eastAsia="仿宋" w:cs="仿宋"/>
          <w:b/>
          <w:color w:val="auto"/>
          <w:kern w:val="0"/>
          <w:sz w:val="24"/>
          <w:szCs w:val="24"/>
          <w:highlight w:val="none"/>
        </w:rPr>
        <w:t>本</w:t>
      </w:r>
      <w:r>
        <w:rPr>
          <w:rFonts w:hint="eastAsia" w:ascii="仿宋" w:hAnsi="仿宋" w:eastAsia="仿宋" w:cs="仿宋"/>
          <w:b/>
          <w:color w:val="auto"/>
          <w:kern w:val="0"/>
          <w:sz w:val="24"/>
          <w:szCs w:val="24"/>
          <w:highlight w:val="none"/>
          <w:lang w:val="en-US" w:eastAsia="zh-CN"/>
        </w:rPr>
        <w:t>分标</w:t>
      </w:r>
      <w:r>
        <w:rPr>
          <w:rFonts w:hint="eastAsia" w:ascii="仿宋" w:hAnsi="仿宋" w:eastAsia="仿宋" w:cs="仿宋"/>
          <w:b/>
          <w:color w:val="auto"/>
          <w:kern w:val="0"/>
          <w:sz w:val="24"/>
          <w:szCs w:val="24"/>
          <w:highlight w:val="none"/>
        </w:rPr>
        <w:t>总得分=1+2+3+4</w:t>
      </w:r>
    </w:p>
    <w:p w14:paraId="1368F432">
      <w:pPr>
        <w:pStyle w:val="9"/>
        <w:spacing w:line="360" w:lineRule="exact"/>
        <w:ind w:firstLine="480" w:firstLineChars="200"/>
        <w:rPr>
          <w:rFonts w:hint="eastAsia" w:ascii="仿宋" w:hAnsi="仿宋" w:eastAsia="仿宋" w:cs="仿宋"/>
          <w:bCs/>
          <w:color w:val="auto"/>
          <w:sz w:val="24"/>
          <w:szCs w:val="24"/>
          <w:highlight w:val="none"/>
        </w:rPr>
      </w:pPr>
    </w:p>
    <w:bookmarkEnd w:id="29"/>
    <w:p w14:paraId="2ECA6996">
      <w:pPr>
        <w:pStyle w:val="9"/>
        <w:spacing w:line="360" w:lineRule="exact"/>
        <w:ind w:firstLine="472" w:firstLineChars="19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三、推荐及确定中标候选人原则</w:t>
      </w:r>
    </w:p>
    <w:p w14:paraId="6FF32C35">
      <w:pPr>
        <w:pStyle w:val="9"/>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一</w:t>
      </w:r>
      <w:r>
        <w:rPr>
          <w:rFonts w:hint="eastAsia" w:ascii="仿宋" w:hAnsi="仿宋" w:eastAsia="仿宋" w:cs="仿宋"/>
          <w:bCs/>
          <w:color w:val="auto"/>
          <w:sz w:val="24"/>
          <w:szCs w:val="24"/>
          <w:highlight w:val="none"/>
        </w:rPr>
        <w:t>）评标委员会根据综合得分由高到低排列次序，若得分相同时，以评标报价由低到高顺序排列；若得分相同且评标报价相同的，以投标报价由低到高顺序排列；若仍相同的，</w:t>
      </w:r>
      <w:r>
        <w:rPr>
          <w:rFonts w:hint="eastAsia" w:ascii="仿宋" w:hAnsi="仿宋" w:eastAsia="仿宋" w:cs="仿宋"/>
          <w:bCs/>
          <w:color w:val="auto"/>
          <w:sz w:val="24"/>
          <w:szCs w:val="24"/>
          <w:highlight w:val="none"/>
          <w:lang w:val="en-US" w:eastAsia="zh-CN"/>
        </w:rPr>
        <w:t>依次</w:t>
      </w:r>
      <w:r>
        <w:rPr>
          <w:rFonts w:hint="eastAsia" w:ascii="仿宋" w:hAnsi="仿宋" w:eastAsia="仿宋" w:cs="仿宋"/>
          <w:bCs/>
          <w:color w:val="auto"/>
          <w:sz w:val="24"/>
          <w:szCs w:val="24"/>
          <w:highlight w:val="none"/>
        </w:rPr>
        <w:t>按</w:t>
      </w:r>
      <w:r>
        <w:rPr>
          <w:rFonts w:hint="eastAsia" w:ascii="仿宋" w:hAnsi="仿宋" w:eastAsia="仿宋" w:cs="仿宋"/>
          <w:bCs/>
          <w:color w:val="auto"/>
          <w:sz w:val="24"/>
          <w:szCs w:val="24"/>
          <w:highlight w:val="none"/>
          <w:lang w:eastAsia="zh-CN"/>
        </w:rPr>
        <w:t>项目</w:t>
      </w:r>
      <w:r>
        <w:rPr>
          <w:rFonts w:hint="eastAsia" w:ascii="仿宋" w:hAnsi="仿宋" w:eastAsia="仿宋" w:cs="仿宋"/>
          <w:bCs/>
          <w:color w:val="auto"/>
          <w:sz w:val="24"/>
          <w:szCs w:val="24"/>
          <w:highlight w:val="none"/>
          <w:lang w:val="en-US" w:eastAsia="zh-CN"/>
        </w:rPr>
        <w:t>技术分、商务分、售后服务分</w:t>
      </w:r>
      <w:r>
        <w:rPr>
          <w:rFonts w:hint="eastAsia" w:ascii="仿宋" w:hAnsi="仿宋" w:eastAsia="仿宋" w:cs="仿宋"/>
          <w:bCs/>
          <w:color w:val="auto"/>
          <w:sz w:val="24"/>
          <w:szCs w:val="24"/>
          <w:highlight w:val="none"/>
        </w:rPr>
        <w:t>由高到低顺序排列并推荐</w:t>
      </w:r>
      <w:r>
        <w:rPr>
          <w:rFonts w:hint="eastAsia" w:ascii="仿宋" w:hAnsi="仿宋" w:eastAsia="仿宋" w:cs="仿宋"/>
          <w:bCs/>
          <w:color w:val="auto"/>
          <w:sz w:val="24"/>
          <w:szCs w:val="24"/>
          <w:highlight w:val="none"/>
          <w:lang w:eastAsia="zh-CN"/>
        </w:rPr>
        <w:t>中标候选供应商</w:t>
      </w:r>
      <w:r>
        <w:rPr>
          <w:rFonts w:hint="eastAsia" w:ascii="仿宋" w:hAnsi="仿宋" w:eastAsia="仿宋" w:cs="仿宋"/>
          <w:bCs/>
          <w:color w:val="auto"/>
          <w:sz w:val="24"/>
          <w:szCs w:val="24"/>
          <w:highlight w:val="none"/>
        </w:rPr>
        <w:t>。</w:t>
      </w:r>
    </w:p>
    <w:p w14:paraId="2FF6AD94">
      <w:pPr>
        <w:pStyle w:val="9"/>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二</w:t>
      </w:r>
      <w:r>
        <w:rPr>
          <w:rFonts w:hint="eastAsia" w:ascii="仿宋" w:hAnsi="仿宋" w:eastAsia="仿宋" w:cs="仿宋"/>
          <w:bCs/>
          <w:color w:val="auto"/>
          <w:sz w:val="24"/>
          <w:szCs w:val="24"/>
          <w:highlight w:val="none"/>
        </w:rPr>
        <w:t>）</w:t>
      </w:r>
      <w:r>
        <w:rPr>
          <w:rFonts w:hint="eastAsia" w:ascii="仿宋" w:hAnsi="仿宋" w:eastAsia="仿宋" w:cs="仿宋"/>
          <w:b/>
          <w:bCs/>
          <w:color w:val="auto"/>
          <w:kern w:val="2"/>
          <w:sz w:val="24"/>
          <w:szCs w:val="24"/>
          <w:highlight w:val="none"/>
          <w:lang w:val="en-US" w:eastAsia="zh-CN" w:bidi="ar-SA"/>
        </w:rPr>
        <w:t>本项目共分1、2、3、4、5五个分标，投标人可以参与任意一个或多个标段的分标，但最多只能成为其中一个分标的中标人。处理原则如下:评标是按由分标1→分标2→分标3→分标4→分标5的顺序依次进行评审。若某投标人被推荐为分标1的第一中标候选人，则在其余四个分标不再推荐为中标候选人，其他供应商排名依次自动上升一位。即已成为分标1第一中标候选人的供应商不应参与其余四个分标的候选排序，在实质性响应的供应商仍满足三家的情况下，相应分标可以继续评审及推荐中标候选人，否则，相应分标废标。</w:t>
      </w:r>
    </w:p>
    <w:p w14:paraId="14BB72FC">
      <w:pPr>
        <w:pStyle w:val="9"/>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三</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进入详评的</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供应商为五家以上(含五家)的，可推荐前三名为</w:t>
      </w:r>
      <w:r>
        <w:rPr>
          <w:rFonts w:hint="eastAsia" w:ascii="仿宋" w:hAnsi="仿宋" w:eastAsia="仿宋" w:cs="仿宋"/>
          <w:bCs/>
          <w:color w:val="auto"/>
          <w:sz w:val="24"/>
          <w:szCs w:val="24"/>
          <w:highlight w:val="none"/>
          <w:lang w:eastAsia="zh-CN"/>
        </w:rPr>
        <w:t>中标候选供应商</w:t>
      </w:r>
      <w:r>
        <w:rPr>
          <w:rFonts w:hint="eastAsia" w:ascii="仿宋" w:hAnsi="仿宋" w:eastAsia="仿宋" w:cs="仿宋"/>
          <w:bCs/>
          <w:color w:val="auto"/>
          <w:sz w:val="24"/>
          <w:szCs w:val="24"/>
          <w:highlight w:val="none"/>
        </w:rPr>
        <w:t>，进入详评的</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供应商为四家以下(含四家)的，可推荐前两名为</w:t>
      </w:r>
      <w:r>
        <w:rPr>
          <w:rFonts w:hint="eastAsia" w:ascii="仿宋" w:hAnsi="仿宋" w:eastAsia="仿宋" w:cs="仿宋"/>
          <w:bCs/>
          <w:color w:val="auto"/>
          <w:sz w:val="24"/>
          <w:szCs w:val="24"/>
          <w:highlight w:val="none"/>
          <w:lang w:eastAsia="zh-CN"/>
        </w:rPr>
        <w:t>中标候选供应商</w:t>
      </w:r>
      <w:r>
        <w:rPr>
          <w:rFonts w:hint="eastAsia" w:ascii="仿宋" w:hAnsi="仿宋" w:eastAsia="仿宋" w:cs="仿宋"/>
          <w:bCs/>
          <w:color w:val="auto"/>
          <w:sz w:val="24"/>
          <w:szCs w:val="24"/>
          <w:highlight w:val="none"/>
        </w:rPr>
        <w:t>。招标采购单位应当确定评审委员会推荐排名第一的</w:t>
      </w:r>
      <w:r>
        <w:rPr>
          <w:rFonts w:hint="eastAsia" w:ascii="仿宋" w:hAnsi="仿宋" w:eastAsia="仿宋" w:cs="仿宋"/>
          <w:bCs/>
          <w:color w:val="auto"/>
          <w:sz w:val="24"/>
          <w:szCs w:val="24"/>
          <w:highlight w:val="none"/>
          <w:lang w:eastAsia="zh-CN"/>
        </w:rPr>
        <w:t>中标候选供应商</w:t>
      </w:r>
      <w:r>
        <w:rPr>
          <w:rFonts w:hint="eastAsia" w:ascii="仿宋" w:hAnsi="仿宋" w:eastAsia="仿宋" w:cs="仿宋"/>
          <w:bCs/>
          <w:color w:val="auto"/>
          <w:sz w:val="24"/>
          <w:szCs w:val="24"/>
          <w:highlight w:val="none"/>
        </w:rPr>
        <w:t>为</w:t>
      </w:r>
      <w:r>
        <w:rPr>
          <w:rFonts w:hint="eastAsia" w:ascii="仿宋" w:hAnsi="仿宋" w:eastAsia="仿宋" w:cs="仿宋"/>
          <w:bCs/>
          <w:color w:val="auto"/>
          <w:sz w:val="24"/>
          <w:szCs w:val="24"/>
          <w:highlight w:val="none"/>
          <w:lang w:eastAsia="zh-CN"/>
        </w:rPr>
        <w:t>中标供应商</w:t>
      </w:r>
      <w:r>
        <w:rPr>
          <w:rFonts w:hint="eastAsia" w:ascii="仿宋" w:hAnsi="仿宋" w:eastAsia="仿宋" w:cs="仿宋"/>
          <w:bCs/>
          <w:color w:val="auto"/>
          <w:sz w:val="24"/>
          <w:szCs w:val="24"/>
          <w:highlight w:val="none"/>
        </w:rPr>
        <w:t>。</w:t>
      </w:r>
    </w:p>
    <w:p w14:paraId="56DBB822">
      <w:pPr>
        <w:pStyle w:val="9"/>
        <w:spacing w:line="48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hint="eastAsia" w:ascii="仿宋" w:hAnsi="仿宋" w:eastAsia="仿宋" w:cs="仿宋"/>
          <w:bCs/>
          <w:color w:val="auto"/>
          <w:sz w:val="24"/>
          <w:szCs w:val="24"/>
          <w:highlight w:val="none"/>
        </w:rPr>
        <w:t>）排名第一的</w:t>
      </w:r>
      <w:r>
        <w:rPr>
          <w:rFonts w:hint="eastAsia" w:ascii="仿宋" w:hAnsi="仿宋" w:eastAsia="仿宋" w:cs="仿宋"/>
          <w:bCs/>
          <w:color w:val="auto"/>
          <w:sz w:val="24"/>
          <w:szCs w:val="24"/>
          <w:highlight w:val="none"/>
          <w:lang w:eastAsia="zh-CN"/>
        </w:rPr>
        <w:t>中标候选供应商</w:t>
      </w:r>
      <w:r>
        <w:rPr>
          <w:rFonts w:hint="eastAsia" w:ascii="仿宋" w:hAnsi="仿宋" w:eastAsia="仿宋" w:cs="仿宋"/>
          <w:bCs/>
          <w:color w:val="auto"/>
          <w:sz w:val="24"/>
          <w:szCs w:val="24"/>
          <w:highlight w:val="none"/>
        </w:rPr>
        <w:t>放弃</w:t>
      </w:r>
      <w:r>
        <w:rPr>
          <w:rFonts w:hint="eastAsia" w:ascii="仿宋" w:hAnsi="仿宋" w:eastAsia="仿宋" w:cs="仿宋"/>
          <w:bCs/>
          <w:color w:val="auto"/>
          <w:sz w:val="24"/>
          <w:szCs w:val="24"/>
          <w:highlight w:val="none"/>
          <w:lang w:eastAsia="zh-CN"/>
        </w:rPr>
        <w:t>中标</w:t>
      </w:r>
      <w:r>
        <w:rPr>
          <w:rFonts w:hint="eastAsia" w:ascii="仿宋" w:hAnsi="仿宋" w:eastAsia="仿宋" w:cs="仿宋"/>
          <w:bCs/>
          <w:color w:val="auto"/>
          <w:sz w:val="24"/>
          <w:szCs w:val="24"/>
          <w:highlight w:val="none"/>
        </w:rPr>
        <w:t>、因不可抗力提出不能履行合同，或者招标文件规定应当提交履约保证金而在规定的期限内未能提交的，招标采购单位可以确定排名第二的</w:t>
      </w:r>
      <w:r>
        <w:rPr>
          <w:rFonts w:hint="eastAsia" w:ascii="仿宋" w:hAnsi="仿宋" w:eastAsia="仿宋" w:cs="仿宋"/>
          <w:bCs/>
          <w:color w:val="auto"/>
          <w:sz w:val="24"/>
          <w:szCs w:val="24"/>
          <w:highlight w:val="none"/>
          <w:lang w:eastAsia="zh-CN"/>
        </w:rPr>
        <w:t>中标候选供应商</w:t>
      </w:r>
      <w:r>
        <w:rPr>
          <w:rFonts w:hint="eastAsia" w:ascii="仿宋" w:hAnsi="仿宋" w:eastAsia="仿宋" w:cs="仿宋"/>
          <w:bCs/>
          <w:color w:val="auto"/>
          <w:sz w:val="24"/>
          <w:szCs w:val="24"/>
          <w:highlight w:val="none"/>
        </w:rPr>
        <w:t>为</w:t>
      </w:r>
      <w:r>
        <w:rPr>
          <w:rFonts w:hint="eastAsia" w:ascii="仿宋" w:hAnsi="仿宋" w:eastAsia="仿宋" w:cs="仿宋"/>
          <w:bCs/>
          <w:color w:val="auto"/>
          <w:sz w:val="24"/>
          <w:szCs w:val="24"/>
          <w:highlight w:val="none"/>
          <w:lang w:eastAsia="zh-CN"/>
        </w:rPr>
        <w:t>中标供应商</w:t>
      </w:r>
      <w:r>
        <w:rPr>
          <w:rFonts w:hint="eastAsia" w:ascii="仿宋" w:hAnsi="仿宋" w:eastAsia="仿宋" w:cs="仿宋"/>
          <w:bCs/>
          <w:color w:val="auto"/>
          <w:sz w:val="24"/>
          <w:szCs w:val="24"/>
          <w:highlight w:val="none"/>
        </w:rPr>
        <w:t>。</w:t>
      </w:r>
    </w:p>
    <w:p w14:paraId="41C37C7F">
      <w:pPr>
        <w:pStyle w:val="9"/>
        <w:spacing w:line="480" w:lineRule="exact"/>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五</w:t>
      </w:r>
      <w:r>
        <w:rPr>
          <w:rFonts w:hint="eastAsia" w:ascii="仿宋" w:hAnsi="仿宋" w:eastAsia="仿宋" w:cs="仿宋"/>
          <w:bCs/>
          <w:color w:val="auto"/>
          <w:sz w:val="24"/>
          <w:szCs w:val="24"/>
          <w:highlight w:val="none"/>
          <w:lang w:eastAsia="zh-CN"/>
        </w:rPr>
        <w:t>）第二中标候选供应商因前款规定的同样原因不能签订合同的，招标采购单位可以确定排名第三的中标候选供应商为中标供应商。</w:t>
      </w:r>
    </w:p>
    <w:p w14:paraId="5A8B9F91">
      <w:pPr>
        <w:pStyle w:val="9"/>
        <w:spacing w:line="480" w:lineRule="exact"/>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六</w:t>
      </w:r>
      <w:r>
        <w:rPr>
          <w:rFonts w:hint="eastAsia" w:ascii="仿宋" w:hAnsi="仿宋" w:eastAsia="仿宋" w:cs="仿宋"/>
          <w:bCs/>
          <w:color w:val="auto"/>
          <w:sz w:val="24"/>
          <w:szCs w:val="24"/>
          <w:highlight w:val="none"/>
          <w:lang w:eastAsia="zh-CN"/>
        </w:rPr>
        <w:t>）评标委员会认为，某投标供应商的最低投标报价或者某些分项报价明显不合理或者低于成本，有可能影响服务质量和不能诚信履约的，应当要求其在规定的期限内提供书面文件予以解释说明，并提交相关证明材料，否则，评标委员会可以取消该投标供应商的中标候选供应商资格，按顺序由排在后面的中标候选供应商递补，以此类推。</w:t>
      </w:r>
    </w:p>
    <w:p w14:paraId="34FFA421">
      <w:pPr>
        <w:pStyle w:val="5"/>
        <w:rPr>
          <w:rFonts w:hint="eastAsia" w:ascii="仿宋" w:hAnsi="仿宋" w:eastAsia="仿宋" w:cs="仿宋"/>
          <w:bCs/>
          <w:color w:val="auto"/>
          <w:sz w:val="24"/>
          <w:szCs w:val="24"/>
          <w:highlight w:val="none"/>
          <w:lang w:eastAsia="zh-CN"/>
        </w:rPr>
      </w:pPr>
    </w:p>
    <w:p w14:paraId="3DB80761">
      <w:pPr>
        <w:pStyle w:val="9"/>
        <w:spacing w:line="360" w:lineRule="exact"/>
        <w:ind w:firstLine="472" w:firstLineChars="196"/>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四、政府采购异常低价审查</w:t>
      </w:r>
    </w:p>
    <w:p w14:paraId="387673D9">
      <w:pPr>
        <w:spacing w:line="360" w:lineRule="auto"/>
        <w:ind w:firstLine="482" w:firstLineChars="200"/>
        <w:contextualSpacing/>
        <w:rPr>
          <w:rFonts w:hint="eastAsia" w:ascii="仿宋" w:hAnsi="仿宋" w:eastAsia="仿宋" w:cs="仿宋"/>
          <w:b/>
          <w:bCs/>
          <w:sz w:val="24"/>
        </w:rPr>
      </w:pPr>
      <w:r>
        <w:rPr>
          <w:rFonts w:hint="eastAsia" w:ascii="仿宋" w:hAnsi="仿宋" w:eastAsia="仿宋" w:cs="仿宋"/>
          <w:b/>
          <w:bCs/>
          <w:sz w:val="24"/>
        </w:rPr>
        <w:t>（一）政府采购评审中出现下列情形之一的，</w:t>
      </w:r>
      <w:r>
        <w:rPr>
          <w:rFonts w:hint="eastAsia" w:ascii="仿宋" w:hAnsi="仿宋" w:eastAsia="仿宋" w:cs="仿宋"/>
          <w:b/>
          <w:bCs/>
          <w:sz w:val="24"/>
          <w:lang w:val="en-US" w:eastAsia="zh-CN"/>
        </w:rPr>
        <w:t>评标委员会</w:t>
      </w:r>
      <w:r>
        <w:rPr>
          <w:rFonts w:hint="eastAsia" w:ascii="仿宋" w:hAnsi="仿宋" w:eastAsia="仿宋" w:cs="仿宋"/>
          <w:b/>
          <w:bCs/>
          <w:sz w:val="24"/>
        </w:rPr>
        <w:t>应当启动异常低价投标（响应）审查程序：</w:t>
      </w:r>
    </w:p>
    <w:p w14:paraId="0299C464">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1.投标报价低于全部通过符合性审查供应商投标报价平均值</w:t>
      </w:r>
      <w:r>
        <w:rPr>
          <w:rFonts w:hint="eastAsia" w:ascii="仿宋" w:hAnsi="仿宋" w:eastAsia="仿宋" w:cs="仿宋"/>
          <w:sz w:val="24"/>
          <w:highlight w:val="none"/>
          <w:lang w:val="en-US" w:eastAsia="zh-CN"/>
        </w:rPr>
        <w:t>50</w:t>
      </w:r>
      <w:r>
        <w:rPr>
          <w:rFonts w:hint="eastAsia" w:ascii="仿宋" w:hAnsi="仿宋" w:eastAsia="仿宋" w:cs="仿宋"/>
          <w:sz w:val="24"/>
          <w:highlight w:val="none"/>
        </w:rPr>
        <w:t>%的，即投标（响应）报价&lt;全部通过符合性审查供应商投标报价平均值×</w:t>
      </w:r>
      <w:r>
        <w:rPr>
          <w:rFonts w:hint="eastAsia" w:ascii="仿宋" w:hAnsi="仿宋" w:eastAsia="仿宋" w:cs="仿宋"/>
          <w:sz w:val="24"/>
          <w:highlight w:val="none"/>
          <w:lang w:val="en-US" w:eastAsia="zh-CN"/>
        </w:rPr>
        <w:t>50</w:t>
      </w:r>
      <w:r>
        <w:rPr>
          <w:rFonts w:hint="eastAsia" w:ascii="仿宋" w:hAnsi="仿宋" w:eastAsia="仿宋" w:cs="仿宋"/>
          <w:sz w:val="24"/>
          <w:highlight w:val="none"/>
        </w:rPr>
        <w:t>%；</w:t>
      </w:r>
    </w:p>
    <w:p w14:paraId="604F87B7">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2.投标报价低于通过符合性审查的次低报价供应商投标报价</w:t>
      </w:r>
      <w:r>
        <w:rPr>
          <w:rFonts w:hint="eastAsia" w:ascii="仿宋" w:hAnsi="仿宋" w:eastAsia="仿宋" w:cs="仿宋"/>
          <w:sz w:val="24"/>
          <w:highlight w:val="none"/>
          <w:lang w:val="en-US" w:eastAsia="zh-CN"/>
        </w:rPr>
        <w:t>50</w:t>
      </w:r>
      <w:r>
        <w:rPr>
          <w:rFonts w:hint="eastAsia" w:ascii="仿宋" w:hAnsi="仿宋" w:eastAsia="仿宋" w:cs="仿宋"/>
          <w:sz w:val="24"/>
          <w:highlight w:val="none"/>
        </w:rPr>
        <w:t>%的，即投标报价&lt;通过符合性审查的次低报价供应商投标报价×</w:t>
      </w:r>
      <w:r>
        <w:rPr>
          <w:rFonts w:hint="eastAsia" w:ascii="仿宋" w:hAnsi="仿宋" w:eastAsia="仿宋" w:cs="仿宋"/>
          <w:sz w:val="24"/>
          <w:highlight w:val="none"/>
          <w:lang w:val="en-US" w:eastAsia="zh-CN"/>
        </w:rPr>
        <w:t>50</w:t>
      </w:r>
      <w:r>
        <w:rPr>
          <w:rFonts w:hint="eastAsia" w:ascii="仿宋" w:hAnsi="仿宋" w:eastAsia="仿宋" w:cs="仿宋"/>
          <w:sz w:val="24"/>
          <w:highlight w:val="none"/>
        </w:rPr>
        <w:t>%；</w:t>
      </w:r>
    </w:p>
    <w:p w14:paraId="6612F1B2">
      <w:pPr>
        <w:spacing w:line="360" w:lineRule="auto"/>
        <w:ind w:firstLine="480" w:firstLineChars="200"/>
        <w:contextualSpacing/>
        <w:rPr>
          <w:rFonts w:hint="eastAsia" w:ascii="仿宋" w:hAnsi="仿宋" w:eastAsia="仿宋" w:cs="仿宋"/>
          <w:sz w:val="24"/>
          <w:highlight w:val="none"/>
        </w:rPr>
      </w:pPr>
      <w:r>
        <w:rPr>
          <w:rFonts w:hint="eastAsia" w:ascii="仿宋" w:hAnsi="仿宋" w:eastAsia="仿宋" w:cs="仿宋"/>
          <w:sz w:val="24"/>
          <w:highlight w:val="none"/>
        </w:rPr>
        <w:t>3.投标报价低于采购项目最高限价</w:t>
      </w:r>
      <w:r>
        <w:rPr>
          <w:rFonts w:hint="eastAsia" w:ascii="仿宋" w:hAnsi="仿宋" w:eastAsia="仿宋" w:cs="仿宋"/>
          <w:sz w:val="24"/>
          <w:highlight w:val="none"/>
          <w:lang w:val="en-US" w:eastAsia="zh-CN"/>
        </w:rPr>
        <w:t>45</w:t>
      </w:r>
      <w:r>
        <w:rPr>
          <w:rFonts w:hint="eastAsia" w:ascii="仿宋" w:hAnsi="仿宋" w:eastAsia="仿宋" w:cs="仿宋"/>
          <w:sz w:val="24"/>
          <w:highlight w:val="none"/>
        </w:rPr>
        <w:t>%的，即投标报价&lt;采购项目最高限价×</w:t>
      </w:r>
      <w:r>
        <w:rPr>
          <w:rFonts w:hint="eastAsia" w:ascii="仿宋" w:hAnsi="仿宋" w:eastAsia="仿宋" w:cs="仿宋"/>
          <w:sz w:val="24"/>
          <w:highlight w:val="none"/>
          <w:lang w:val="en-US" w:eastAsia="zh-CN"/>
        </w:rPr>
        <w:t>45</w:t>
      </w:r>
      <w:r>
        <w:rPr>
          <w:rFonts w:hint="eastAsia" w:ascii="仿宋" w:hAnsi="仿宋" w:eastAsia="仿宋" w:cs="仿宋"/>
          <w:sz w:val="24"/>
          <w:highlight w:val="none"/>
        </w:rPr>
        <w:t>%；</w:t>
      </w:r>
    </w:p>
    <w:p w14:paraId="510E94C4">
      <w:pPr>
        <w:spacing w:line="360" w:lineRule="auto"/>
        <w:ind w:firstLine="480" w:firstLineChars="200"/>
        <w:contextualSpacing/>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val="en-US" w:eastAsia="zh-CN"/>
        </w:rPr>
        <w:t>评标委员会</w:t>
      </w:r>
      <w:r>
        <w:rPr>
          <w:rFonts w:hint="eastAsia" w:ascii="仿宋" w:hAnsi="仿宋" w:eastAsia="仿宋" w:cs="仿宋"/>
          <w:sz w:val="24"/>
        </w:rPr>
        <w:t>基于专业判断，认为供应商报价过低，有可能影响</w:t>
      </w:r>
      <w:r>
        <w:rPr>
          <w:rFonts w:hint="eastAsia" w:ascii="仿宋" w:hAnsi="仿宋" w:eastAsia="仿宋" w:cs="仿宋"/>
          <w:sz w:val="24"/>
          <w:lang w:val="en-US" w:eastAsia="zh-CN"/>
        </w:rPr>
        <w:t>服务</w:t>
      </w:r>
      <w:r>
        <w:rPr>
          <w:rFonts w:hint="eastAsia" w:ascii="仿宋" w:hAnsi="仿宋" w:eastAsia="仿宋" w:cs="仿宋"/>
          <w:sz w:val="24"/>
        </w:rPr>
        <w:t>质量或者不能诚信履约的其他情形。</w:t>
      </w:r>
    </w:p>
    <w:p w14:paraId="3FA5B956">
      <w:pPr>
        <w:spacing w:line="360" w:lineRule="auto"/>
        <w:ind w:firstLine="480" w:firstLineChars="200"/>
        <w:contextualSpacing/>
        <w:rPr>
          <w:rFonts w:hint="eastAsia" w:ascii="仿宋" w:hAnsi="仿宋" w:eastAsia="仿宋" w:cs="仿宋"/>
          <w:sz w:val="24"/>
        </w:rPr>
      </w:pPr>
      <w:r>
        <w:rPr>
          <w:rFonts w:hint="eastAsia" w:ascii="仿宋" w:hAnsi="仿宋" w:eastAsia="仿宋" w:cs="仿宋"/>
          <w:sz w:val="24"/>
        </w:rPr>
        <w:t>相关法律法规对供应商报价有规定的，从其规定。</w:t>
      </w:r>
    </w:p>
    <w:p w14:paraId="71BE45D2">
      <w:pPr>
        <w:spacing w:line="360" w:lineRule="auto"/>
        <w:ind w:firstLine="480" w:firstLineChars="200"/>
        <w:contextualSpacing/>
        <w:rPr>
          <w:rFonts w:hint="eastAsia" w:ascii="仿宋" w:hAnsi="仿宋" w:eastAsia="仿宋" w:cs="仿宋"/>
          <w:sz w:val="24"/>
        </w:rPr>
      </w:pPr>
      <w:r>
        <w:rPr>
          <w:rFonts w:hint="eastAsia" w:ascii="仿宋" w:hAnsi="仿宋" w:eastAsia="仿宋" w:cs="仿宋"/>
          <w:sz w:val="24"/>
        </w:rPr>
        <w:t>（二）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人工、场地租赁、宣传物料、技术服务、直播带岗、餐饮服务</w:t>
      </w:r>
      <w:r>
        <w:rPr>
          <w:rFonts w:hint="eastAsia" w:ascii="仿宋" w:hAnsi="仿宋" w:eastAsia="仿宋" w:cs="仿宋"/>
          <w:sz w:val="24"/>
          <w:lang w:val="en-US" w:eastAsia="zh-CN"/>
        </w:rPr>
        <w:t>等</w:t>
      </w:r>
      <w:r>
        <w:rPr>
          <w:rFonts w:hint="eastAsia" w:ascii="仿宋" w:hAnsi="仿宋" w:eastAsia="仿宋" w:cs="仿宋"/>
          <w:sz w:val="24"/>
        </w:rPr>
        <w:t>，给予相关供应商的合理时间一般不少于30分钟。其中，属于第3项情形，供应商已随投标文件一并提交相关书面说明及必要的证明材料的，在评审现场可不再重复提交。</w:t>
      </w:r>
    </w:p>
    <w:p w14:paraId="3E0CAC44">
      <w:pPr>
        <w:spacing w:line="360" w:lineRule="auto"/>
        <w:ind w:firstLine="480" w:firstLineChars="200"/>
        <w:contextualSpacing/>
        <w:rPr>
          <w:rFonts w:hint="eastAsia" w:ascii="仿宋" w:hAnsi="仿宋" w:eastAsia="仿宋" w:cs="仿宋"/>
          <w:sz w:val="24"/>
        </w:rPr>
      </w:pPr>
      <w:r>
        <w:rPr>
          <w:rFonts w:hint="eastAsia" w:ascii="仿宋" w:hAnsi="仿宋" w:eastAsia="仿宋" w:cs="仿宋"/>
          <w:sz w:val="24"/>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26861CB7">
      <w:pPr>
        <w:spacing w:line="360" w:lineRule="auto"/>
        <w:ind w:firstLine="480" w:firstLineChars="200"/>
        <w:contextualSpacing/>
        <w:rPr>
          <w:rFonts w:hint="eastAsia" w:ascii="仿宋" w:hAnsi="仿宋" w:eastAsia="仿宋" w:cs="仿宋"/>
          <w:sz w:val="24"/>
        </w:rPr>
      </w:pPr>
      <w:r>
        <w:rPr>
          <w:rFonts w:hint="eastAsia" w:ascii="仿宋" w:hAnsi="仿宋" w:eastAsia="仿宋" w:cs="仿宋"/>
          <w:sz w:val="24"/>
        </w:rPr>
        <w:t>采购人、采购代理机构应当为评标委员会在评审现场及时获取同类项目中标价格、类似</w:t>
      </w:r>
      <w:r>
        <w:rPr>
          <w:rFonts w:hint="eastAsia" w:ascii="仿宋" w:hAnsi="仿宋" w:eastAsia="仿宋" w:cs="仿宋"/>
          <w:sz w:val="24"/>
          <w:lang w:val="en-US" w:eastAsia="zh-CN"/>
        </w:rPr>
        <w:t>服务</w:t>
      </w:r>
      <w:r>
        <w:rPr>
          <w:rFonts w:hint="eastAsia" w:ascii="仿宋" w:hAnsi="仿宋" w:eastAsia="仿宋" w:cs="仿宋"/>
          <w:sz w:val="24"/>
        </w:rPr>
        <w:t>市场价格水平、行业人工费用标准、国家有关部门指导行业协会发布的行业平均成本等相关信息资料提供便利。</w:t>
      </w:r>
      <w:r>
        <w:rPr>
          <w:rFonts w:hint="eastAsia" w:ascii="仿宋" w:hAnsi="仿宋" w:eastAsia="仿宋" w:cs="仿宋"/>
          <w:sz w:val="24"/>
          <w:lang w:val="en-US" w:eastAsia="zh-CN"/>
        </w:rPr>
        <w:t>谈判小组</w:t>
      </w:r>
      <w:r>
        <w:rPr>
          <w:rFonts w:hint="eastAsia" w:ascii="仿宋" w:hAnsi="仿宋" w:eastAsia="仿宋" w:cs="仿宋"/>
          <w:sz w:val="24"/>
        </w:rPr>
        <w:t>借助互联网等渠道查询相关信息的，应当严格遵守评审工作纪律，不得实施影响评审公正的行为。</w:t>
      </w:r>
    </w:p>
    <w:p w14:paraId="497661E2">
      <w:pPr>
        <w:spacing w:line="360" w:lineRule="auto"/>
        <w:ind w:firstLine="480" w:firstLineChars="200"/>
        <w:contextualSpacing/>
        <w:rPr>
          <w:rFonts w:hint="eastAsia" w:ascii="仿宋" w:hAnsi="仿宋" w:eastAsia="仿宋" w:cs="仿宋"/>
          <w:sz w:val="24"/>
          <w:lang w:eastAsia="zh-CN"/>
        </w:rPr>
      </w:pPr>
      <w:r>
        <w:rPr>
          <w:rFonts w:hint="eastAsia" w:ascii="仿宋" w:hAnsi="仿宋" w:eastAsia="仿宋" w:cs="仿宋"/>
          <w:sz w:val="24"/>
        </w:rPr>
        <w:t>异常低价投标审查的启动原因、审查意见和审查结果应当在评审报告中记录，并随供应商提供的相关书面说明及证明材料，以及评标委员会有关互联网浏览、查询历史一并归档。</w:t>
      </w:r>
    </w:p>
    <w:p w14:paraId="53D1D67C">
      <w:pPr>
        <w:pStyle w:val="8"/>
        <w:rPr>
          <w:rFonts w:hint="eastAsia" w:ascii="仿宋" w:hAnsi="仿宋" w:eastAsia="仿宋" w:cs="仿宋"/>
          <w:bCs/>
          <w:color w:val="auto"/>
          <w:sz w:val="24"/>
          <w:szCs w:val="24"/>
          <w:highlight w:val="none"/>
          <w:lang w:eastAsia="zh-CN"/>
        </w:rPr>
      </w:pPr>
    </w:p>
    <w:p w14:paraId="61B6DFED">
      <w:pPr>
        <w:spacing w:line="280" w:lineRule="exact"/>
        <w:rPr>
          <w:rFonts w:hint="eastAsia" w:ascii="仿宋" w:hAnsi="仿宋" w:eastAsia="仿宋" w:cs="仿宋"/>
          <w:b/>
          <w:bCs/>
          <w:color w:val="auto"/>
          <w:sz w:val="24"/>
          <w:szCs w:val="24"/>
          <w:highlight w:val="none"/>
        </w:rPr>
      </w:pPr>
    </w:p>
    <w:p w14:paraId="46B464D9">
      <w:pPr>
        <w:spacing w:line="280" w:lineRule="exact"/>
        <w:rPr>
          <w:rFonts w:hint="eastAsia" w:ascii="仿宋" w:hAnsi="仿宋" w:eastAsia="仿宋" w:cs="仿宋"/>
          <w:b/>
          <w:bCs/>
          <w:color w:val="auto"/>
          <w:sz w:val="24"/>
          <w:szCs w:val="24"/>
          <w:highlight w:val="none"/>
        </w:rPr>
      </w:pPr>
    </w:p>
    <w:p w14:paraId="3BAAB990">
      <w:pPr>
        <w:spacing w:line="280" w:lineRule="exact"/>
        <w:rPr>
          <w:rFonts w:hint="eastAsia" w:ascii="仿宋" w:hAnsi="仿宋" w:eastAsia="仿宋" w:cs="仿宋"/>
          <w:b/>
          <w:bCs/>
          <w:color w:val="auto"/>
          <w:sz w:val="24"/>
          <w:szCs w:val="24"/>
          <w:highlight w:val="none"/>
        </w:rPr>
      </w:pPr>
    </w:p>
    <w:p w14:paraId="5D184224">
      <w:pPr>
        <w:spacing w:line="280" w:lineRule="exact"/>
        <w:rPr>
          <w:rFonts w:hint="eastAsia" w:ascii="仿宋" w:hAnsi="仿宋" w:eastAsia="仿宋" w:cs="仿宋"/>
          <w:b/>
          <w:bCs/>
          <w:color w:val="auto"/>
          <w:sz w:val="24"/>
          <w:szCs w:val="24"/>
          <w:highlight w:val="none"/>
        </w:rPr>
      </w:pPr>
    </w:p>
    <w:p w14:paraId="7C25F7C2">
      <w:pPr>
        <w:spacing w:line="280" w:lineRule="exact"/>
        <w:rPr>
          <w:rFonts w:hint="eastAsia" w:ascii="仿宋" w:hAnsi="仿宋" w:eastAsia="仿宋" w:cs="仿宋"/>
          <w:b/>
          <w:bCs/>
          <w:color w:val="auto"/>
          <w:sz w:val="24"/>
          <w:szCs w:val="24"/>
          <w:highlight w:val="none"/>
        </w:rPr>
      </w:pPr>
    </w:p>
    <w:p w14:paraId="72E936A8">
      <w:pPr>
        <w:spacing w:line="280" w:lineRule="exact"/>
        <w:rPr>
          <w:rFonts w:hint="eastAsia" w:ascii="仿宋" w:hAnsi="仿宋" w:eastAsia="仿宋" w:cs="仿宋"/>
          <w:b/>
          <w:bCs/>
          <w:color w:val="auto"/>
          <w:sz w:val="24"/>
          <w:szCs w:val="24"/>
          <w:highlight w:val="none"/>
        </w:rPr>
      </w:pPr>
    </w:p>
    <w:p w14:paraId="0819974F">
      <w:pPr>
        <w:spacing w:line="280" w:lineRule="exact"/>
        <w:rPr>
          <w:rFonts w:hint="eastAsia" w:ascii="仿宋" w:hAnsi="仿宋" w:eastAsia="仿宋" w:cs="仿宋"/>
          <w:b/>
          <w:bCs/>
          <w:color w:val="auto"/>
          <w:sz w:val="24"/>
          <w:szCs w:val="24"/>
          <w:highlight w:val="none"/>
        </w:rPr>
      </w:pPr>
    </w:p>
    <w:p w14:paraId="3A576565">
      <w:pPr>
        <w:spacing w:line="280" w:lineRule="exact"/>
        <w:rPr>
          <w:rFonts w:hint="eastAsia" w:ascii="仿宋" w:hAnsi="仿宋" w:eastAsia="仿宋" w:cs="仿宋"/>
          <w:b/>
          <w:bCs/>
          <w:color w:val="auto"/>
          <w:sz w:val="24"/>
          <w:szCs w:val="24"/>
          <w:highlight w:val="none"/>
        </w:rPr>
      </w:pPr>
    </w:p>
    <w:p w14:paraId="13AF5A6D">
      <w:pPr>
        <w:spacing w:line="28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附表</w:t>
      </w:r>
    </w:p>
    <w:p w14:paraId="1BD4B2B1">
      <w:pPr>
        <w:widowControl/>
        <w:spacing w:before="156" w:beforeLines="50" w:after="156" w:afterLines="50" w:line="280" w:lineRule="exact"/>
        <w:jc w:val="center"/>
        <w:outlineLvl w:val="0"/>
        <w:rPr>
          <w:rFonts w:hint="eastAsia" w:ascii="仿宋" w:hAnsi="仿宋" w:eastAsia="仿宋" w:cs="仿宋"/>
          <w:b/>
          <w:bCs/>
          <w:color w:val="auto"/>
          <w:kern w:val="0"/>
          <w:sz w:val="24"/>
          <w:szCs w:val="24"/>
          <w:highlight w:val="none"/>
        </w:rPr>
      </w:pPr>
      <w:bookmarkStart w:id="32" w:name="_Toc28361_WPSOffice_Level2"/>
      <w:bookmarkStart w:id="33" w:name="_Toc29471"/>
      <w:bookmarkStart w:id="34" w:name="_Toc22578"/>
      <w:r>
        <w:rPr>
          <w:rFonts w:hint="eastAsia" w:ascii="仿宋" w:hAnsi="仿宋" w:eastAsia="仿宋" w:cs="仿宋"/>
          <w:b/>
          <w:bCs/>
          <w:color w:val="auto"/>
          <w:kern w:val="0"/>
          <w:sz w:val="24"/>
          <w:szCs w:val="24"/>
          <w:highlight w:val="none"/>
        </w:rPr>
        <w:t>统计上大中小微型企业划分标准</w:t>
      </w:r>
      <w:bookmarkEnd w:id="32"/>
      <w:bookmarkEnd w:id="33"/>
      <w:bookmarkEnd w:id="34"/>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1498"/>
        <w:gridCol w:w="707"/>
        <w:gridCol w:w="1123"/>
        <w:gridCol w:w="1698"/>
        <w:gridCol w:w="1423"/>
        <w:gridCol w:w="990"/>
      </w:tblGrid>
      <w:tr w14:paraId="5C9A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blHeader/>
          <w:jc w:val="center"/>
        </w:trPr>
        <w:tc>
          <w:tcPr>
            <w:tcW w:w="1977" w:type="dxa"/>
            <w:shd w:val="clear" w:color="auto" w:fill="FFFFFF"/>
            <w:noWrap w:val="0"/>
            <w:vAlign w:val="center"/>
          </w:tcPr>
          <w:p w14:paraId="773ACFB7">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行业名称</w:t>
            </w:r>
          </w:p>
        </w:tc>
        <w:tc>
          <w:tcPr>
            <w:tcW w:w="1498" w:type="dxa"/>
            <w:shd w:val="clear" w:color="auto" w:fill="FFFFFF"/>
            <w:noWrap w:val="0"/>
            <w:vAlign w:val="center"/>
          </w:tcPr>
          <w:p w14:paraId="31DE59ED">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指标名称</w:t>
            </w:r>
          </w:p>
        </w:tc>
        <w:tc>
          <w:tcPr>
            <w:tcW w:w="707" w:type="dxa"/>
            <w:shd w:val="clear" w:color="auto" w:fill="FFFFFF"/>
            <w:noWrap w:val="0"/>
            <w:vAlign w:val="center"/>
          </w:tcPr>
          <w:p w14:paraId="75FC33A8">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计量</w:t>
            </w:r>
            <w:r>
              <w:rPr>
                <w:rFonts w:hint="eastAsia" w:ascii="仿宋" w:hAnsi="仿宋" w:eastAsia="仿宋" w:cs="仿宋"/>
                <w:b/>
                <w:bCs/>
                <w:color w:val="auto"/>
                <w:kern w:val="0"/>
                <w:sz w:val="18"/>
                <w:szCs w:val="18"/>
                <w:highlight w:val="none"/>
              </w:rPr>
              <w:br w:type="textWrapping"/>
            </w:r>
            <w:r>
              <w:rPr>
                <w:rFonts w:hint="eastAsia" w:ascii="仿宋" w:hAnsi="仿宋" w:eastAsia="仿宋" w:cs="仿宋"/>
                <w:b/>
                <w:bCs/>
                <w:color w:val="auto"/>
                <w:kern w:val="0"/>
                <w:sz w:val="18"/>
                <w:szCs w:val="18"/>
                <w:highlight w:val="none"/>
              </w:rPr>
              <w:t>单位</w:t>
            </w:r>
          </w:p>
        </w:tc>
        <w:tc>
          <w:tcPr>
            <w:tcW w:w="1123" w:type="dxa"/>
            <w:shd w:val="clear" w:color="auto" w:fill="FFFFFF"/>
            <w:noWrap w:val="0"/>
            <w:vAlign w:val="center"/>
          </w:tcPr>
          <w:p w14:paraId="22424501">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大型</w:t>
            </w:r>
          </w:p>
        </w:tc>
        <w:tc>
          <w:tcPr>
            <w:tcW w:w="1698" w:type="dxa"/>
            <w:shd w:val="clear" w:color="auto" w:fill="FFFFFF"/>
            <w:noWrap w:val="0"/>
            <w:vAlign w:val="center"/>
          </w:tcPr>
          <w:p w14:paraId="08B08BBE">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中型</w:t>
            </w:r>
          </w:p>
        </w:tc>
        <w:tc>
          <w:tcPr>
            <w:tcW w:w="1423" w:type="dxa"/>
            <w:shd w:val="clear" w:color="auto" w:fill="FFFFFF"/>
            <w:noWrap w:val="0"/>
            <w:vAlign w:val="center"/>
          </w:tcPr>
          <w:p w14:paraId="18F491C1">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小型</w:t>
            </w:r>
          </w:p>
        </w:tc>
        <w:tc>
          <w:tcPr>
            <w:tcW w:w="990" w:type="dxa"/>
            <w:shd w:val="clear" w:color="auto" w:fill="FFFFFF"/>
            <w:noWrap w:val="0"/>
            <w:vAlign w:val="center"/>
          </w:tcPr>
          <w:p w14:paraId="5DA19332">
            <w:pPr>
              <w:widowControl/>
              <w:spacing w:line="280" w:lineRule="exact"/>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微型</w:t>
            </w:r>
          </w:p>
        </w:tc>
      </w:tr>
      <w:tr w14:paraId="52E1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noWrap w:val="0"/>
            <w:vAlign w:val="center"/>
          </w:tcPr>
          <w:p w14:paraId="6C979AC6">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农、林、牧、渔业</w:t>
            </w:r>
          </w:p>
        </w:tc>
        <w:tc>
          <w:tcPr>
            <w:tcW w:w="1498" w:type="dxa"/>
            <w:noWrap w:val="0"/>
            <w:vAlign w:val="center"/>
          </w:tcPr>
          <w:p w14:paraId="1D0A582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7641D30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78A84E6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w:t>
            </w:r>
          </w:p>
        </w:tc>
        <w:tc>
          <w:tcPr>
            <w:tcW w:w="1698" w:type="dxa"/>
            <w:noWrap w:val="0"/>
            <w:vAlign w:val="center"/>
          </w:tcPr>
          <w:p w14:paraId="59A3C70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423" w:type="dxa"/>
            <w:noWrap w:val="0"/>
            <w:vAlign w:val="center"/>
          </w:tcPr>
          <w:p w14:paraId="6638388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990" w:type="dxa"/>
            <w:noWrap w:val="0"/>
            <w:vAlign w:val="center"/>
          </w:tcPr>
          <w:p w14:paraId="0CCB4F9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11A0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restart"/>
            <w:noWrap w:val="0"/>
            <w:vAlign w:val="center"/>
          </w:tcPr>
          <w:p w14:paraId="22230B24">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工业 *</w:t>
            </w:r>
          </w:p>
        </w:tc>
        <w:tc>
          <w:tcPr>
            <w:tcW w:w="1498" w:type="dxa"/>
            <w:noWrap w:val="0"/>
            <w:vAlign w:val="center"/>
          </w:tcPr>
          <w:p w14:paraId="291BA8D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47FF21D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3EC8126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698" w:type="dxa"/>
            <w:noWrap w:val="0"/>
            <w:vAlign w:val="center"/>
          </w:tcPr>
          <w:p w14:paraId="331AA5E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3" w:type="dxa"/>
            <w:noWrap w:val="0"/>
            <w:vAlign w:val="center"/>
          </w:tcPr>
          <w:p w14:paraId="5DFF8CF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990" w:type="dxa"/>
            <w:noWrap w:val="0"/>
            <w:vAlign w:val="center"/>
          </w:tcPr>
          <w:p w14:paraId="224261F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95B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continue"/>
            <w:noWrap w:val="0"/>
            <w:vAlign w:val="center"/>
          </w:tcPr>
          <w:p w14:paraId="4B32F826">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210317F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0989DDF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4578192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Y≥40000</w:t>
            </w:r>
          </w:p>
        </w:tc>
        <w:tc>
          <w:tcPr>
            <w:tcW w:w="1698" w:type="dxa"/>
            <w:noWrap w:val="0"/>
            <w:vAlign w:val="center"/>
          </w:tcPr>
          <w:p w14:paraId="1EFD20A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423" w:type="dxa"/>
            <w:noWrap w:val="0"/>
            <w:vAlign w:val="center"/>
          </w:tcPr>
          <w:p w14:paraId="5708CE6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990" w:type="dxa"/>
            <w:noWrap w:val="0"/>
            <w:vAlign w:val="center"/>
          </w:tcPr>
          <w:p w14:paraId="0AAC679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2F5A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restart"/>
            <w:noWrap w:val="0"/>
            <w:vAlign w:val="center"/>
          </w:tcPr>
          <w:p w14:paraId="47F4C698">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建筑业</w:t>
            </w:r>
          </w:p>
        </w:tc>
        <w:tc>
          <w:tcPr>
            <w:tcW w:w="1498" w:type="dxa"/>
            <w:noWrap w:val="0"/>
            <w:vAlign w:val="center"/>
          </w:tcPr>
          <w:p w14:paraId="5BFE869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16F5B0D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0F4BFA2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Y≥80000</w:t>
            </w:r>
          </w:p>
        </w:tc>
        <w:tc>
          <w:tcPr>
            <w:tcW w:w="1698" w:type="dxa"/>
            <w:noWrap w:val="0"/>
            <w:vAlign w:val="center"/>
          </w:tcPr>
          <w:p w14:paraId="7389AFE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423" w:type="dxa"/>
            <w:noWrap w:val="0"/>
            <w:vAlign w:val="center"/>
          </w:tcPr>
          <w:p w14:paraId="5209DF9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990" w:type="dxa"/>
            <w:noWrap w:val="0"/>
            <w:vAlign w:val="center"/>
          </w:tcPr>
          <w:p w14:paraId="2237105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629C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continue"/>
            <w:noWrap w:val="0"/>
            <w:vAlign w:val="center"/>
          </w:tcPr>
          <w:p w14:paraId="29D78C20">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14CA37C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7" w:type="dxa"/>
            <w:noWrap w:val="0"/>
            <w:vAlign w:val="center"/>
          </w:tcPr>
          <w:p w14:paraId="4A6FEF1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0C5CCC2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Z≥80000</w:t>
            </w:r>
          </w:p>
        </w:tc>
        <w:tc>
          <w:tcPr>
            <w:tcW w:w="1698" w:type="dxa"/>
            <w:noWrap w:val="0"/>
            <w:vAlign w:val="center"/>
          </w:tcPr>
          <w:p w14:paraId="236A8BC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423" w:type="dxa"/>
            <w:noWrap w:val="0"/>
            <w:vAlign w:val="center"/>
          </w:tcPr>
          <w:p w14:paraId="03D915C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990" w:type="dxa"/>
            <w:noWrap w:val="0"/>
            <w:vAlign w:val="center"/>
          </w:tcPr>
          <w:p w14:paraId="6BF9691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56D9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restart"/>
            <w:noWrap w:val="0"/>
            <w:vAlign w:val="center"/>
          </w:tcPr>
          <w:p w14:paraId="2BAF15BE">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批发业</w:t>
            </w:r>
          </w:p>
        </w:tc>
        <w:tc>
          <w:tcPr>
            <w:tcW w:w="1498" w:type="dxa"/>
            <w:noWrap w:val="0"/>
            <w:vAlign w:val="center"/>
          </w:tcPr>
          <w:p w14:paraId="3C5CF1D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65FD2F9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78CA7E7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w:t>
            </w:r>
          </w:p>
        </w:tc>
        <w:tc>
          <w:tcPr>
            <w:tcW w:w="1698" w:type="dxa"/>
            <w:noWrap w:val="0"/>
            <w:vAlign w:val="center"/>
          </w:tcPr>
          <w:p w14:paraId="4123FE1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423" w:type="dxa"/>
            <w:noWrap w:val="0"/>
            <w:vAlign w:val="center"/>
          </w:tcPr>
          <w:p w14:paraId="153F3F0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990" w:type="dxa"/>
            <w:noWrap w:val="0"/>
            <w:vAlign w:val="center"/>
          </w:tcPr>
          <w:p w14:paraId="2758E41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3843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continue"/>
            <w:noWrap w:val="0"/>
            <w:vAlign w:val="center"/>
          </w:tcPr>
          <w:p w14:paraId="54E9D1EB">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06A4283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5804C4F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3CCD863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Y≥40000</w:t>
            </w:r>
          </w:p>
        </w:tc>
        <w:tc>
          <w:tcPr>
            <w:tcW w:w="1698" w:type="dxa"/>
            <w:noWrap w:val="0"/>
            <w:vAlign w:val="center"/>
          </w:tcPr>
          <w:p w14:paraId="66A3AF8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423" w:type="dxa"/>
            <w:noWrap w:val="0"/>
            <w:vAlign w:val="center"/>
          </w:tcPr>
          <w:p w14:paraId="758954A6">
            <w:pPr>
              <w:widowControl/>
              <w:spacing w:line="280" w:lineRule="exact"/>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990" w:type="dxa"/>
            <w:noWrap w:val="0"/>
            <w:vAlign w:val="center"/>
          </w:tcPr>
          <w:p w14:paraId="4DAEE3D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4276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restart"/>
            <w:noWrap w:val="0"/>
            <w:vAlign w:val="center"/>
          </w:tcPr>
          <w:p w14:paraId="3A329CC7">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零售业</w:t>
            </w:r>
          </w:p>
        </w:tc>
        <w:tc>
          <w:tcPr>
            <w:tcW w:w="1498" w:type="dxa"/>
            <w:noWrap w:val="0"/>
            <w:vAlign w:val="center"/>
          </w:tcPr>
          <w:p w14:paraId="3B13D6F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1CBA7A5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464AC80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698" w:type="dxa"/>
            <w:noWrap w:val="0"/>
            <w:vAlign w:val="center"/>
          </w:tcPr>
          <w:p w14:paraId="3FEF5D0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423" w:type="dxa"/>
            <w:noWrap w:val="0"/>
            <w:vAlign w:val="center"/>
          </w:tcPr>
          <w:p w14:paraId="6B30F240">
            <w:pPr>
              <w:widowControl/>
              <w:spacing w:line="280" w:lineRule="exact"/>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10≤X＜50 </w:t>
            </w:r>
          </w:p>
        </w:tc>
        <w:tc>
          <w:tcPr>
            <w:tcW w:w="990" w:type="dxa"/>
            <w:noWrap w:val="0"/>
            <w:vAlign w:val="center"/>
          </w:tcPr>
          <w:p w14:paraId="4FEEB74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018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continue"/>
            <w:noWrap w:val="0"/>
            <w:vAlign w:val="center"/>
          </w:tcPr>
          <w:p w14:paraId="24F90713">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7ECF6EA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07C60CA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3917D01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w:t>
            </w:r>
          </w:p>
        </w:tc>
        <w:tc>
          <w:tcPr>
            <w:tcW w:w="1698" w:type="dxa"/>
            <w:noWrap w:val="0"/>
            <w:vAlign w:val="center"/>
          </w:tcPr>
          <w:p w14:paraId="6576D11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423" w:type="dxa"/>
            <w:noWrap w:val="0"/>
            <w:vAlign w:val="center"/>
          </w:tcPr>
          <w:p w14:paraId="78B1BE0E">
            <w:pPr>
              <w:widowControl/>
              <w:spacing w:line="280" w:lineRule="exact"/>
              <w:ind w:left="-1" w:leftChars="-1" w:hanging="1"/>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990" w:type="dxa"/>
            <w:noWrap w:val="0"/>
            <w:vAlign w:val="center"/>
          </w:tcPr>
          <w:p w14:paraId="42D8241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4D9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restart"/>
            <w:noWrap w:val="0"/>
            <w:vAlign w:val="center"/>
          </w:tcPr>
          <w:p w14:paraId="6A26090D">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交通运输业 *</w:t>
            </w:r>
          </w:p>
        </w:tc>
        <w:tc>
          <w:tcPr>
            <w:tcW w:w="1498" w:type="dxa"/>
            <w:noWrap w:val="0"/>
            <w:vAlign w:val="center"/>
          </w:tcPr>
          <w:p w14:paraId="4B1A6B0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6FF7855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4DC1254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698" w:type="dxa"/>
            <w:noWrap w:val="0"/>
            <w:vAlign w:val="center"/>
          </w:tcPr>
          <w:p w14:paraId="4B7ECBE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3" w:type="dxa"/>
            <w:noWrap w:val="0"/>
            <w:vAlign w:val="center"/>
          </w:tcPr>
          <w:p w14:paraId="1DDD49B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990" w:type="dxa"/>
            <w:noWrap w:val="0"/>
            <w:vAlign w:val="center"/>
          </w:tcPr>
          <w:p w14:paraId="623A6C5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0C2F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continue"/>
            <w:noWrap w:val="0"/>
            <w:vAlign w:val="center"/>
          </w:tcPr>
          <w:p w14:paraId="7F1F7958">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7266FD5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3B85C17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4A32D3E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698" w:type="dxa"/>
            <w:noWrap w:val="0"/>
            <w:vAlign w:val="center"/>
          </w:tcPr>
          <w:p w14:paraId="45129B8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423" w:type="dxa"/>
            <w:noWrap w:val="0"/>
            <w:vAlign w:val="center"/>
          </w:tcPr>
          <w:p w14:paraId="3F4C0AD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990" w:type="dxa"/>
            <w:noWrap w:val="0"/>
            <w:vAlign w:val="center"/>
          </w:tcPr>
          <w:p w14:paraId="5E7E806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5F7F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restart"/>
            <w:noWrap w:val="0"/>
            <w:vAlign w:val="center"/>
          </w:tcPr>
          <w:p w14:paraId="749F360E">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仓储业*</w:t>
            </w:r>
          </w:p>
        </w:tc>
        <w:tc>
          <w:tcPr>
            <w:tcW w:w="1498" w:type="dxa"/>
            <w:noWrap w:val="0"/>
            <w:vAlign w:val="center"/>
          </w:tcPr>
          <w:p w14:paraId="51624BC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5A8C702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5491705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w:t>
            </w:r>
          </w:p>
        </w:tc>
        <w:tc>
          <w:tcPr>
            <w:tcW w:w="1698" w:type="dxa"/>
            <w:noWrap w:val="0"/>
            <w:vAlign w:val="center"/>
          </w:tcPr>
          <w:p w14:paraId="520A9E58">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423" w:type="dxa"/>
            <w:noWrap w:val="0"/>
            <w:vAlign w:val="center"/>
          </w:tcPr>
          <w:p w14:paraId="0229CC5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990" w:type="dxa"/>
            <w:noWrap w:val="0"/>
            <w:vAlign w:val="center"/>
          </w:tcPr>
          <w:p w14:paraId="1B3162B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7E09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continue"/>
            <w:noWrap w:val="0"/>
            <w:vAlign w:val="center"/>
          </w:tcPr>
          <w:p w14:paraId="7AC9C1E7">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732472F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2A236BA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5532B4A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698" w:type="dxa"/>
            <w:noWrap w:val="0"/>
            <w:vAlign w:val="center"/>
          </w:tcPr>
          <w:p w14:paraId="259B2E0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423" w:type="dxa"/>
            <w:noWrap w:val="0"/>
            <w:vAlign w:val="center"/>
          </w:tcPr>
          <w:p w14:paraId="0AA380B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990" w:type="dxa"/>
            <w:noWrap w:val="0"/>
            <w:vAlign w:val="center"/>
          </w:tcPr>
          <w:p w14:paraId="3F2076D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FD1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restart"/>
            <w:noWrap w:val="0"/>
            <w:vAlign w:val="center"/>
          </w:tcPr>
          <w:p w14:paraId="283F8E43">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邮政业</w:t>
            </w:r>
          </w:p>
        </w:tc>
        <w:tc>
          <w:tcPr>
            <w:tcW w:w="1498" w:type="dxa"/>
            <w:noWrap w:val="0"/>
            <w:vAlign w:val="center"/>
          </w:tcPr>
          <w:p w14:paraId="4F8A37C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6E5CF35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76F7427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698" w:type="dxa"/>
            <w:noWrap w:val="0"/>
            <w:vAlign w:val="center"/>
          </w:tcPr>
          <w:p w14:paraId="07BEBF8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3" w:type="dxa"/>
            <w:noWrap w:val="0"/>
            <w:vAlign w:val="center"/>
          </w:tcPr>
          <w:p w14:paraId="75519AB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990" w:type="dxa"/>
            <w:noWrap w:val="0"/>
            <w:vAlign w:val="center"/>
          </w:tcPr>
          <w:p w14:paraId="30BD43E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FB3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continue"/>
            <w:noWrap w:val="0"/>
            <w:vAlign w:val="center"/>
          </w:tcPr>
          <w:p w14:paraId="12B58121">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33AC17C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4226FC2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2515D0D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Y≥30000</w:t>
            </w:r>
          </w:p>
        </w:tc>
        <w:tc>
          <w:tcPr>
            <w:tcW w:w="1698" w:type="dxa"/>
            <w:noWrap w:val="0"/>
            <w:vAlign w:val="center"/>
          </w:tcPr>
          <w:p w14:paraId="6C4241C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423" w:type="dxa"/>
            <w:noWrap w:val="0"/>
            <w:vAlign w:val="center"/>
          </w:tcPr>
          <w:p w14:paraId="00EAC7E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990" w:type="dxa"/>
            <w:noWrap w:val="0"/>
            <w:vAlign w:val="center"/>
          </w:tcPr>
          <w:p w14:paraId="21C4438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23F4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restart"/>
            <w:noWrap w:val="0"/>
            <w:vAlign w:val="center"/>
          </w:tcPr>
          <w:p w14:paraId="01C30FA3">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住宿业</w:t>
            </w:r>
          </w:p>
        </w:tc>
        <w:tc>
          <w:tcPr>
            <w:tcW w:w="1498" w:type="dxa"/>
            <w:noWrap w:val="0"/>
            <w:vAlign w:val="center"/>
          </w:tcPr>
          <w:p w14:paraId="23424E9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4CC03F4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629D1DC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698" w:type="dxa"/>
            <w:noWrap w:val="0"/>
            <w:vAlign w:val="center"/>
          </w:tcPr>
          <w:p w14:paraId="227CA11C">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23" w:type="dxa"/>
            <w:noWrap w:val="0"/>
            <w:vAlign w:val="center"/>
          </w:tcPr>
          <w:p w14:paraId="7282497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0" w:type="dxa"/>
            <w:noWrap w:val="0"/>
            <w:vAlign w:val="center"/>
          </w:tcPr>
          <w:p w14:paraId="6119F9B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B98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continue"/>
            <w:noWrap w:val="0"/>
            <w:vAlign w:val="center"/>
          </w:tcPr>
          <w:p w14:paraId="7AE18163">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7D41A1A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00E7CAB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4198A8D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698" w:type="dxa"/>
            <w:noWrap w:val="0"/>
            <w:vAlign w:val="center"/>
          </w:tcPr>
          <w:p w14:paraId="1A882ED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23" w:type="dxa"/>
            <w:noWrap w:val="0"/>
            <w:vAlign w:val="center"/>
          </w:tcPr>
          <w:p w14:paraId="37E3D35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990" w:type="dxa"/>
            <w:noWrap w:val="0"/>
            <w:vAlign w:val="center"/>
          </w:tcPr>
          <w:p w14:paraId="6371A19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054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restart"/>
            <w:noWrap w:val="0"/>
            <w:vAlign w:val="center"/>
          </w:tcPr>
          <w:p w14:paraId="3B6753A5">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餐饮业</w:t>
            </w:r>
          </w:p>
        </w:tc>
        <w:tc>
          <w:tcPr>
            <w:tcW w:w="1498" w:type="dxa"/>
            <w:noWrap w:val="0"/>
            <w:vAlign w:val="center"/>
          </w:tcPr>
          <w:p w14:paraId="48CC987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5E67A7D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4B6D13E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698" w:type="dxa"/>
            <w:noWrap w:val="0"/>
            <w:vAlign w:val="center"/>
          </w:tcPr>
          <w:p w14:paraId="595161A9">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3" w:type="dxa"/>
            <w:noWrap w:val="0"/>
            <w:vAlign w:val="center"/>
          </w:tcPr>
          <w:p w14:paraId="1C4DB76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0" w:type="dxa"/>
            <w:noWrap w:val="0"/>
            <w:vAlign w:val="center"/>
          </w:tcPr>
          <w:p w14:paraId="731429A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871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continue"/>
            <w:noWrap w:val="0"/>
            <w:vAlign w:val="center"/>
          </w:tcPr>
          <w:p w14:paraId="5A14667F">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33F3731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4092903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0B48490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698" w:type="dxa"/>
            <w:noWrap w:val="0"/>
            <w:vAlign w:val="center"/>
          </w:tcPr>
          <w:p w14:paraId="374A15B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423" w:type="dxa"/>
            <w:noWrap w:val="0"/>
            <w:vAlign w:val="center"/>
          </w:tcPr>
          <w:p w14:paraId="0DC7FBF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990" w:type="dxa"/>
            <w:noWrap w:val="0"/>
            <w:vAlign w:val="center"/>
          </w:tcPr>
          <w:p w14:paraId="736AE2B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CB3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restart"/>
            <w:noWrap w:val="0"/>
            <w:vAlign w:val="center"/>
          </w:tcPr>
          <w:p w14:paraId="58821558">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信息传输业 *</w:t>
            </w:r>
          </w:p>
        </w:tc>
        <w:tc>
          <w:tcPr>
            <w:tcW w:w="1498" w:type="dxa"/>
            <w:noWrap w:val="0"/>
            <w:vAlign w:val="center"/>
          </w:tcPr>
          <w:p w14:paraId="4E9460B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53E536F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7BE851B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X≥2000</w:t>
            </w:r>
          </w:p>
        </w:tc>
        <w:tc>
          <w:tcPr>
            <w:tcW w:w="1698" w:type="dxa"/>
            <w:noWrap w:val="0"/>
            <w:vAlign w:val="center"/>
          </w:tcPr>
          <w:p w14:paraId="70740EE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423" w:type="dxa"/>
            <w:noWrap w:val="0"/>
            <w:vAlign w:val="center"/>
          </w:tcPr>
          <w:p w14:paraId="2E7B122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0" w:type="dxa"/>
            <w:noWrap w:val="0"/>
            <w:vAlign w:val="center"/>
          </w:tcPr>
          <w:p w14:paraId="2071F6B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5074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1977" w:type="dxa"/>
            <w:vMerge w:val="continue"/>
            <w:noWrap w:val="0"/>
            <w:vAlign w:val="center"/>
          </w:tcPr>
          <w:p w14:paraId="5D0B81AD">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50F2D4E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5AFD4AC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02C5CEC6">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Y≥100000</w:t>
            </w:r>
          </w:p>
        </w:tc>
        <w:tc>
          <w:tcPr>
            <w:tcW w:w="1698" w:type="dxa"/>
            <w:noWrap w:val="0"/>
            <w:vAlign w:val="center"/>
          </w:tcPr>
          <w:p w14:paraId="5FE5E5F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423" w:type="dxa"/>
            <w:noWrap w:val="0"/>
            <w:vAlign w:val="center"/>
          </w:tcPr>
          <w:p w14:paraId="5B773D8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990" w:type="dxa"/>
            <w:noWrap w:val="0"/>
            <w:vAlign w:val="center"/>
          </w:tcPr>
          <w:p w14:paraId="12A695C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8D4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977" w:type="dxa"/>
            <w:vMerge w:val="restart"/>
            <w:noWrap w:val="0"/>
            <w:vAlign w:val="center"/>
          </w:tcPr>
          <w:p w14:paraId="60112080">
            <w:pPr>
              <w:widowControl/>
              <w:spacing w:line="280" w:lineRule="exact"/>
              <w:jc w:val="left"/>
              <w:rPr>
                <w:rFonts w:hint="eastAsia" w:ascii="仿宋" w:hAnsi="仿宋" w:eastAsia="仿宋" w:cs="仿宋"/>
                <w:color w:val="auto"/>
                <w:spacing w:val="-12"/>
                <w:kern w:val="0"/>
                <w:sz w:val="18"/>
                <w:szCs w:val="18"/>
                <w:highlight w:val="none"/>
              </w:rPr>
            </w:pPr>
            <w:r>
              <w:rPr>
                <w:rFonts w:hint="eastAsia" w:ascii="仿宋" w:hAnsi="仿宋" w:eastAsia="仿宋" w:cs="仿宋"/>
                <w:color w:val="auto"/>
                <w:spacing w:val="-12"/>
                <w:kern w:val="0"/>
                <w:sz w:val="18"/>
                <w:szCs w:val="18"/>
                <w:highlight w:val="none"/>
              </w:rPr>
              <w:t>软件和信息技术服</w:t>
            </w:r>
            <w:r>
              <w:rPr>
                <w:rFonts w:hint="eastAsia" w:ascii="仿宋" w:hAnsi="仿宋" w:eastAsia="仿宋" w:cs="仿宋"/>
                <w:color w:val="auto"/>
                <w:kern w:val="0"/>
                <w:sz w:val="18"/>
                <w:szCs w:val="18"/>
                <w:highlight w:val="none"/>
              </w:rPr>
              <w:t>务业</w:t>
            </w:r>
          </w:p>
        </w:tc>
        <w:tc>
          <w:tcPr>
            <w:tcW w:w="1498" w:type="dxa"/>
            <w:noWrap w:val="0"/>
            <w:vAlign w:val="center"/>
          </w:tcPr>
          <w:p w14:paraId="66BDA94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3F19314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38BC330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698" w:type="dxa"/>
            <w:noWrap w:val="0"/>
            <w:vAlign w:val="center"/>
          </w:tcPr>
          <w:p w14:paraId="1CC853FA">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 xml:space="preserve">100≤X＜300 </w:t>
            </w:r>
          </w:p>
        </w:tc>
        <w:tc>
          <w:tcPr>
            <w:tcW w:w="1423" w:type="dxa"/>
            <w:noWrap w:val="0"/>
            <w:vAlign w:val="center"/>
          </w:tcPr>
          <w:p w14:paraId="71D1FE8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0" w:type="dxa"/>
            <w:noWrap w:val="0"/>
            <w:vAlign w:val="center"/>
          </w:tcPr>
          <w:p w14:paraId="680341F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571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977" w:type="dxa"/>
            <w:vMerge w:val="continue"/>
            <w:noWrap w:val="0"/>
            <w:vAlign w:val="center"/>
          </w:tcPr>
          <w:p w14:paraId="2F024A76">
            <w:pPr>
              <w:widowControl/>
              <w:spacing w:line="280" w:lineRule="exact"/>
              <w:jc w:val="left"/>
              <w:rPr>
                <w:rFonts w:hint="eastAsia" w:ascii="仿宋" w:hAnsi="仿宋" w:eastAsia="仿宋" w:cs="仿宋"/>
                <w:color w:val="auto"/>
                <w:spacing w:val="-12"/>
                <w:kern w:val="0"/>
                <w:sz w:val="18"/>
                <w:szCs w:val="18"/>
                <w:highlight w:val="none"/>
              </w:rPr>
            </w:pPr>
          </w:p>
        </w:tc>
        <w:tc>
          <w:tcPr>
            <w:tcW w:w="1498" w:type="dxa"/>
            <w:noWrap w:val="0"/>
            <w:vAlign w:val="center"/>
          </w:tcPr>
          <w:p w14:paraId="5D75346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0AF99670">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4F9CB4E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Y≥10000</w:t>
            </w:r>
          </w:p>
        </w:tc>
        <w:tc>
          <w:tcPr>
            <w:tcW w:w="1698" w:type="dxa"/>
            <w:noWrap w:val="0"/>
            <w:vAlign w:val="center"/>
          </w:tcPr>
          <w:p w14:paraId="44127D7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423" w:type="dxa"/>
            <w:noWrap w:val="0"/>
            <w:vAlign w:val="center"/>
          </w:tcPr>
          <w:p w14:paraId="12BB504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990" w:type="dxa"/>
            <w:noWrap w:val="0"/>
            <w:vAlign w:val="center"/>
          </w:tcPr>
          <w:p w14:paraId="38C992B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56D3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977" w:type="dxa"/>
            <w:vMerge w:val="restart"/>
            <w:noWrap w:val="0"/>
            <w:vAlign w:val="center"/>
          </w:tcPr>
          <w:p w14:paraId="2853C3B1">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房地产开发经营</w:t>
            </w:r>
          </w:p>
        </w:tc>
        <w:tc>
          <w:tcPr>
            <w:tcW w:w="1498" w:type="dxa"/>
            <w:noWrap w:val="0"/>
            <w:vAlign w:val="center"/>
          </w:tcPr>
          <w:p w14:paraId="4FB9823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41ED049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5269CB4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Y≥200000</w:t>
            </w:r>
          </w:p>
        </w:tc>
        <w:tc>
          <w:tcPr>
            <w:tcW w:w="1698" w:type="dxa"/>
            <w:noWrap w:val="0"/>
            <w:vAlign w:val="center"/>
          </w:tcPr>
          <w:p w14:paraId="644D1E4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423" w:type="dxa"/>
            <w:noWrap w:val="0"/>
            <w:vAlign w:val="center"/>
          </w:tcPr>
          <w:p w14:paraId="3945EF7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990" w:type="dxa"/>
            <w:noWrap w:val="0"/>
            <w:vAlign w:val="center"/>
          </w:tcPr>
          <w:p w14:paraId="4CDB0D7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1FCC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977" w:type="dxa"/>
            <w:vMerge w:val="continue"/>
            <w:noWrap w:val="0"/>
            <w:vAlign w:val="center"/>
          </w:tcPr>
          <w:p w14:paraId="30CA2365">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2433F92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7" w:type="dxa"/>
            <w:noWrap w:val="0"/>
            <w:vAlign w:val="center"/>
          </w:tcPr>
          <w:p w14:paraId="61EB3D5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7225767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Z≥10000</w:t>
            </w:r>
          </w:p>
        </w:tc>
        <w:tc>
          <w:tcPr>
            <w:tcW w:w="1698" w:type="dxa"/>
            <w:noWrap w:val="0"/>
            <w:vAlign w:val="center"/>
          </w:tcPr>
          <w:p w14:paraId="2F85ED4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423" w:type="dxa"/>
            <w:noWrap w:val="0"/>
            <w:vAlign w:val="center"/>
          </w:tcPr>
          <w:p w14:paraId="46894EA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2000≤Z＜5000</w:t>
            </w:r>
          </w:p>
        </w:tc>
        <w:tc>
          <w:tcPr>
            <w:tcW w:w="990" w:type="dxa"/>
            <w:noWrap w:val="0"/>
            <w:vAlign w:val="center"/>
          </w:tcPr>
          <w:p w14:paraId="5AFE15DA">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Z＜2000</w:t>
            </w:r>
          </w:p>
        </w:tc>
      </w:tr>
      <w:tr w14:paraId="7680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977" w:type="dxa"/>
            <w:vMerge w:val="restart"/>
            <w:noWrap w:val="0"/>
            <w:vAlign w:val="center"/>
          </w:tcPr>
          <w:p w14:paraId="0959F3C6">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物业管理</w:t>
            </w:r>
          </w:p>
        </w:tc>
        <w:tc>
          <w:tcPr>
            <w:tcW w:w="1498" w:type="dxa"/>
            <w:noWrap w:val="0"/>
            <w:vAlign w:val="center"/>
          </w:tcPr>
          <w:p w14:paraId="75B9419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4452A74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6C150E0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X≥1000</w:t>
            </w:r>
          </w:p>
        </w:tc>
        <w:tc>
          <w:tcPr>
            <w:tcW w:w="1698" w:type="dxa"/>
            <w:noWrap w:val="0"/>
            <w:vAlign w:val="center"/>
          </w:tcPr>
          <w:p w14:paraId="349AFC5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423" w:type="dxa"/>
            <w:noWrap w:val="0"/>
            <w:vAlign w:val="center"/>
          </w:tcPr>
          <w:p w14:paraId="1E74725C">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990" w:type="dxa"/>
            <w:noWrap w:val="0"/>
            <w:vAlign w:val="center"/>
          </w:tcPr>
          <w:p w14:paraId="5C496D1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5801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977" w:type="dxa"/>
            <w:vMerge w:val="continue"/>
            <w:noWrap w:val="0"/>
            <w:vAlign w:val="center"/>
          </w:tcPr>
          <w:p w14:paraId="262BB6B3">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43CD215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707" w:type="dxa"/>
            <w:noWrap w:val="0"/>
            <w:vAlign w:val="center"/>
          </w:tcPr>
          <w:p w14:paraId="76EE67FB">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39C856B2">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Y≥5000</w:t>
            </w:r>
          </w:p>
        </w:tc>
        <w:tc>
          <w:tcPr>
            <w:tcW w:w="1698" w:type="dxa"/>
            <w:noWrap w:val="0"/>
            <w:vAlign w:val="center"/>
          </w:tcPr>
          <w:p w14:paraId="1AC9E7DE">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423" w:type="dxa"/>
            <w:noWrap w:val="0"/>
            <w:vAlign w:val="center"/>
          </w:tcPr>
          <w:p w14:paraId="4911511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990" w:type="dxa"/>
            <w:noWrap w:val="0"/>
            <w:vAlign w:val="center"/>
          </w:tcPr>
          <w:p w14:paraId="181ADDA4">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013C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977" w:type="dxa"/>
            <w:vMerge w:val="restart"/>
            <w:noWrap w:val="0"/>
            <w:vAlign w:val="center"/>
          </w:tcPr>
          <w:p w14:paraId="42A4E90A">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租赁和商务服务业</w:t>
            </w:r>
          </w:p>
        </w:tc>
        <w:tc>
          <w:tcPr>
            <w:tcW w:w="1498" w:type="dxa"/>
            <w:noWrap w:val="0"/>
            <w:vAlign w:val="center"/>
          </w:tcPr>
          <w:p w14:paraId="35FF97D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3E0CEC3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028E7E6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698" w:type="dxa"/>
            <w:noWrap w:val="0"/>
            <w:vAlign w:val="center"/>
          </w:tcPr>
          <w:p w14:paraId="219C1791">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23" w:type="dxa"/>
            <w:noWrap w:val="0"/>
            <w:vAlign w:val="center"/>
          </w:tcPr>
          <w:p w14:paraId="5AD002D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0" w:type="dxa"/>
            <w:noWrap w:val="0"/>
            <w:vAlign w:val="center"/>
          </w:tcPr>
          <w:p w14:paraId="44FA099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6C89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jc w:val="center"/>
        </w:trPr>
        <w:tc>
          <w:tcPr>
            <w:tcW w:w="1977" w:type="dxa"/>
            <w:vMerge w:val="continue"/>
            <w:noWrap w:val="0"/>
            <w:vAlign w:val="center"/>
          </w:tcPr>
          <w:p w14:paraId="45BFB02B">
            <w:pPr>
              <w:widowControl/>
              <w:spacing w:line="280" w:lineRule="exact"/>
              <w:jc w:val="left"/>
              <w:rPr>
                <w:rFonts w:hint="eastAsia" w:ascii="仿宋" w:hAnsi="仿宋" w:eastAsia="仿宋" w:cs="仿宋"/>
                <w:color w:val="auto"/>
                <w:kern w:val="0"/>
                <w:sz w:val="18"/>
                <w:szCs w:val="18"/>
                <w:highlight w:val="none"/>
              </w:rPr>
            </w:pPr>
          </w:p>
        </w:tc>
        <w:tc>
          <w:tcPr>
            <w:tcW w:w="1498" w:type="dxa"/>
            <w:noWrap w:val="0"/>
            <w:vAlign w:val="center"/>
          </w:tcPr>
          <w:p w14:paraId="24E76951">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707" w:type="dxa"/>
            <w:noWrap w:val="0"/>
            <w:vAlign w:val="center"/>
          </w:tcPr>
          <w:p w14:paraId="700E4A3D">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3" w:type="dxa"/>
            <w:noWrap w:val="0"/>
            <w:vAlign w:val="center"/>
          </w:tcPr>
          <w:p w14:paraId="47F73113">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Z≥120000</w:t>
            </w:r>
          </w:p>
        </w:tc>
        <w:tc>
          <w:tcPr>
            <w:tcW w:w="1698" w:type="dxa"/>
            <w:noWrap w:val="0"/>
            <w:vAlign w:val="center"/>
          </w:tcPr>
          <w:p w14:paraId="45F473C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423" w:type="dxa"/>
            <w:noWrap w:val="0"/>
            <w:vAlign w:val="center"/>
          </w:tcPr>
          <w:p w14:paraId="22B3DF29">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990" w:type="dxa"/>
            <w:noWrap w:val="0"/>
            <w:vAlign w:val="center"/>
          </w:tcPr>
          <w:p w14:paraId="1F2789C5">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Z＜100</w:t>
            </w:r>
          </w:p>
        </w:tc>
      </w:tr>
      <w:tr w14:paraId="2CED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977" w:type="dxa"/>
            <w:noWrap w:val="0"/>
            <w:vAlign w:val="center"/>
          </w:tcPr>
          <w:p w14:paraId="3A874955">
            <w:pPr>
              <w:widowControl/>
              <w:spacing w:line="280" w:lineRule="exact"/>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其他未列明行业 *</w:t>
            </w:r>
          </w:p>
        </w:tc>
        <w:tc>
          <w:tcPr>
            <w:tcW w:w="1498" w:type="dxa"/>
            <w:noWrap w:val="0"/>
            <w:vAlign w:val="center"/>
          </w:tcPr>
          <w:p w14:paraId="7526B778">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707" w:type="dxa"/>
            <w:noWrap w:val="0"/>
            <w:vAlign w:val="center"/>
          </w:tcPr>
          <w:p w14:paraId="4913B1F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3" w:type="dxa"/>
            <w:noWrap w:val="0"/>
            <w:vAlign w:val="center"/>
          </w:tcPr>
          <w:p w14:paraId="55FB6ABE">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X≥300</w:t>
            </w:r>
          </w:p>
        </w:tc>
        <w:tc>
          <w:tcPr>
            <w:tcW w:w="1698" w:type="dxa"/>
            <w:noWrap w:val="0"/>
            <w:vAlign w:val="center"/>
          </w:tcPr>
          <w:p w14:paraId="422EAE3B">
            <w:pPr>
              <w:widowControl/>
              <w:spacing w:line="280" w:lineRule="exact"/>
              <w:ind w:left="1" w:leftChars="-51" w:hanging="108" w:hangingChars="60"/>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423" w:type="dxa"/>
            <w:noWrap w:val="0"/>
            <w:vAlign w:val="center"/>
          </w:tcPr>
          <w:p w14:paraId="0D49105F">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990" w:type="dxa"/>
            <w:noWrap w:val="0"/>
            <w:vAlign w:val="center"/>
          </w:tcPr>
          <w:p w14:paraId="24958CC7">
            <w:pPr>
              <w:widowControl/>
              <w:spacing w:line="280" w:lineRule="exact"/>
              <w:jc w:val="center"/>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684D66FF">
      <w:pPr>
        <w:widowControl/>
        <w:spacing w:line="280" w:lineRule="exact"/>
        <w:rPr>
          <w:rFonts w:hint="eastAsia" w:ascii="宋体" w:hAnsi="宋体" w:eastAsia="宋体" w:cs="宋体"/>
          <w:color w:val="auto"/>
          <w:spacing w:val="8"/>
          <w:kern w:val="0"/>
          <w:sz w:val="24"/>
          <w:highlight w:val="none"/>
        </w:rPr>
      </w:pPr>
    </w:p>
    <w:p w14:paraId="56D7CC7B">
      <w:pPr>
        <w:widowControl/>
        <w:spacing w:line="280" w:lineRule="exact"/>
        <w:rPr>
          <w:rFonts w:hint="eastAsia" w:ascii="宋体" w:hAnsi="宋体" w:eastAsia="宋体" w:cs="宋体"/>
          <w:color w:val="auto"/>
          <w:spacing w:val="8"/>
          <w:kern w:val="0"/>
          <w:sz w:val="24"/>
          <w:highlight w:val="none"/>
        </w:rPr>
      </w:pPr>
    </w:p>
    <w:p w14:paraId="340A8A84">
      <w:pPr>
        <w:widowControl/>
        <w:spacing w:line="280" w:lineRule="exact"/>
        <w:rPr>
          <w:rFonts w:hint="eastAsia" w:ascii="宋体" w:hAnsi="宋体" w:eastAsia="宋体" w:cs="宋体"/>
          <w:color w:val="auto"/>
          <w:spacing w:val="8"/>
          <w:kern w:val="0"/>
          <w:sz w:val="24"/>
          <w:highlight w:val="none"/>
        </w:rPr>
      </w:pPr>
    </w:p>
    <w:p w14:paraId="452ACCEE">
      <w:pPr>
        <w:widowControl/>
        <w:spacing w:line="440" w:lineRule="exact"/>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说明：</w:t>
      </w:r>
    </w:p>
    <w:p w14:paraId="60565E80">
      <w:pPr>
        <w:pStyle w:val="9"/>
        <w:adjustRightInd w:val="0"/>
        <w:spacing w:line="440" w:lineRule="exact"/>
        <w:ind w:firstLine="512" w:firstLineChars="200"/>
        <w:contextualSpacing/>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1.大型、中型和小型企业须同时满足所列指标的下限，否则下划一档；微型企业只须满足所列指标中的一项即可。</w:t>
      </w:r>
    </w:p>
    <w:p w14:paraId="236996DC">
      <w:pPr>
        <w:pStyle w:val="9"/>
        <w:adjustRightInd w:val="0"/>
        <w:spacing w:line="440" w:lineRule="exact"/>
        <w:ind w:firstLine="512" w:firstLineChars="200"/>
        <w:contextualSpacing/>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A6399BA">
      <w:pPr>
        <w:pStyle w:val="9"/>
        <w:spacing w:line="440" w:lineRule="exact"/>
        <w:ind w:firstLine="512" w:firstLineChars="200"/>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65D40B9">
      <w:pPr>
        <w:jc w:val="center"/>
        <w:rPr>
          <w:rStyle w:val="18"/>
          <w:rFonts w:hint="eastAsia" w:ascii="仿宋" w:hAnsi="仿宋" w:eastAsia="仿宋" w:cs="仿宋"/>
          <w:b/>
          <w:color w:val="auto"/>
          <w:highlight w:val="none"/>
          <w:lang w:val="en-US" w:eastAsia="zh-CN"/>
        </w:rPr>
      </w:pPr>
    </w:p>
    <w:p w14:paraId="56ECF6F1">
      <w:pPr>
        <w:pStyle w:val="4"/>
        <w:numPr>
          <w:ilvl w:val="3"/>
          <w:numId w:val="0"/>
        </w:numPr>
        <w:ind w:leftChars="0"/>
        <w:rPr>
          <w:rFonts w:hint="eastAsia"/>
          <w:color w:val="auto"/>
          <w:highlight w:val="none"/>
          <w:lang w:val="en-US" w:eastAsia="zh-CN"/>
        </w:rPr>
      </w:pPr>
    </w:p>
    <w:p w14:paraId="73E4AF74">
      <w:pPr>
        <w:rPr>
          <w:rStyle w:val="18"/>
          <w:rFonts w:hint="eastAsia" w:ascii="仿宋" w:hAnsi="仿宋" w:eastAsia="仿宋" w:cs="仿宋"/>
          <w:b/>
          <w:color w:val="auto"/>
          <w:highlight w:val="none"/>
          <w:lang w:val="en-US" w:eastAsia="zh-CN"/>
        </w:rPr>
      </w:pPr>
    </w:p>
    <w:p w14:paraId="538E68E9">
      <w:pPr>
        <w:pStyle w:val="4"/>
        <w:numPr>
          <w:ilvl w:val="3"/>
          <w:numId w:val="0"/>
        </w:numPr>
        <w:ind w:leftChars="0"/>
        <w:rPr>
          <w:rFonts w:hint="eastAsia"/>
          <w:color w:val="auto"/>
          <w:highlight w:val="none"/>
          <w:lang w:val="en-US" w:eastAsia="zh-CN"/>
        </w:rPr>
      </w:pPr>
    </w:p>
    <w:p w14:paraId="0D76E31D">
      <w:pPr>
        <w:rPr>
          <w:rFonts w:hint="eastAsia"/>
          <w:color w:val="auto"/>
          <w:highlight w:val="none"/>
          <w:lang w:val="en-US" w:eastAsia="zh-CN"/>
        </w:rPr>
      </w:pPr>
    </w:p>
    <w:p w14:paraId="42035C7C">
      <w:pPr>
        <w:rPr>
          <w:rFonts w:hint="eastAsia"/>
          <w:color w:val="auto"/>
          <w:highlight w:val="none"/>
          <w:lang w:val="en-US" w:eastAsia="zh-CN"/>
        </w:rPr>
      </w:pPr>
    </w:p>
    <w:p w14:paraId="531DFC77">
      <w:pPr>
        <w:rPr>
          <w:rFonts w:hint="eastAsia"/>
          <w:color w:val="auto"/>
          <w:highlight w:val="none"/>
          <w:lang w:val="en-US" w:eastAsia="zh-CN"/>
        </w:rPr>
      </w:pPr>
    </w:p>
    <w:p w14:paraId="0F111FF8">
      <w:pPr>
        <w:rPr>
          <w:rFonts w:hint="eastAsia"/>
          <w:color w:val="auto"/>
          <w:highlight w:val="none"/>
          <w:lang w:val="en-US" w:eastAsia="zh-CN"/>
        </w:rPr>
      </w:pPr>
    </w:p>
    <w:p w14:paraId="199EE630">
      <w:pPr>
        <w:rPr>
          <w:rFonts w:hint="eastAsia"/>
          <w:color w:val="auto"/>
          <w:highlight w:val="none"/>
          <w:lang w:val="en-US" w:eastAsia="zh-CN"/>
        </w:rPr>
      </w:pPr>
    </w:p>
    <w:p w14:paraId="2C2CE6A0">
      <w:pPr>
        <w:rPr>
          <w:rFonts w:hint="eastAsia"/>
          <w:color w:val="auto"/>
          <w:highlight w:val="none"/>
          <w:lang w:val="en-US" w:eastAsia="zh-CN"/>
        </w:rPr>
      </w:pPr>
    </w:p>
    <w:p w14:paraId="542340FF">
      <w:pPr>
        <w:rPr>
          <w:rFonts w:hint="eastAsia"/>
          <w:color w:val="auto"/>
          <w:highlight w:val="none"/>
          <w:lang w:val="en-US" w:eastAsia="zh-CN"/>
        </w:rPr>
      </w:pPr>
    </w:p>
    <w:p w14:paraId="50280F63">
      <w:pPr>
        <w:rPr>
          <w:rFonts w:hint="eastAsia"/>
          <w:color w:val="auto"/>
          <w:highlight w:val="none"/>
          <w:lang w:val="en-US" w:eastAsia="zh-CN"/>
        </w:rPr>
      </w:pPr>
    </w:p>
    <w:p w14:paraId="71C00A92">
      <w:pPr>
        <w:rPr>
          <w:rFonts w:hint="eastAsia"/>
          <w:color w:val="auto"/>
          <w:highlight w:val="none"/>
          <w:lang w:val="en-US" w:eastAsia="zh-CN"/>
        </w:rPr>
      </w:pPr>
    </w:p>
    <w:p w14:paraId="7E0309C8">
      <w:pPr>
        <w:jc w:val="center"/>
        <w:outlineLvl w:val="0"/>
        <w:rPr>
          <w:rStyle w:val="18"/>
          <w:rFonts w:hint="eastAsia" w:ascii="仿宋" w:hAnsi="仿宋" w:eastAsia="仿宋" w:cs="仿宋"/>
          <w:b/>
          <w:color w:val="auto"/>
          <w:highlight w:val="none"/>
          <w:lang w:val="en-US" w:eastAsia="zh-CN"/>
        </w:rPr>
      </w:pPr>
      <w:bookmarkStart w:id="35" w:name="_Toc32317"/>
      <w:bookmarkStart w:id="36" w:name="_Toc13583"/>
      <w:r>
        <w:rPr>
          <w:rStyle w:val="18"/>
          <w:rFonts w:hint="eastAsia" w:ascii="仿宋" w:hAnsi="仿宋" w:eastAsia="仿宋" w:cs="仿宋"/>
          <w:b/>
          <w:color w:val="auto"/>
          <w:highlight w:val="none"/>
          <w:lang w:val="en-US" w:eastAsia="zh-CN"/>
        </w:rPr>
        <w:t>第五章  政府采购合同（合同主要条款及格式）</w:t>
      </w:r>
      <w:bookmarkEnd w:id="35"/>
      <w:bookmarkEnd w:id="36"/>
    </w:p>
    <w:p w14:paraId="2D2B5892">
      <w:pPr>
        <w:spacing w:line="380" w:lineRule="exact"/>
        <w:jc w:val="center"/>
        <w:rPr>
          <w:rFonts w:hint="eastAsia" w:ascii="仿宋" w:hAnsi="仿宋" w:eastAsia="仿宋" w:cs="仿宋"/>
          <w:color w:val="auto"/>
          <w:highlight w:val="none"/>
        </w:rPr>
      </w:pPr>
    </w:p>
    <w:p w14:paraId="43B673C4">
      <w:pPr>
        <w:spacing w:line="400" w:lineRule="exact"/>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项目名称：</w:t>
      </w:r>
      <w:r>
        <w:rPr>
          <w:rFonts w:hint="eastAsia" w:ascii="仿宋" w:hAnsi="仿宋" w:eastAsia="仿宋" w:cs="仿宋"/>
          <w:color w:val="auto"/>
          <w:spacing w:val="-10"/>
          <w:sz w:val="24"/>
          <w:szCs w:val="24"/>
          <w:highlight w:val="none"/>
          <w:u w:val="single"/>
        </w:rPr>
        <w:tab/>
      </w:r>
      <w:r>
        <w:rPr>
          <w:rFonts w:hint="eastAsia" w:ascii="仿宋" w:hAnsi="仿宋" w:eastAsia="仿宋" w:cs="仿宋"/>
          <w:color w:val="auto"/>
          <w:spacing w:val="-10"/>
          <w:sz w:val="24"/>
          <w:szCs w:val="24"/>
          <w:highlight w:val="none"/>
          <w:u w:val="single"/>
        </w:rPr>
        <w:tab/>
      </w:r>
      <w:r>
        <w:rPr>
          <w:rFonts w:hint="eastAsia" w:ascii="仿宋" w:hAnsi="仿宋" w:eastAsia="仿宋" w:cs="仿宋"/>
          <w:color w:val="auto"/>
          <w:spacing w:val="-10"/>
          <w:sz w:val="24"/>
          <w:szCs w:val="24"/>
          <w:highlight w:val="none"/>
          <w:u w:val="single"/>
        </w:rPr>
        <w:tab/>
      </w:r>
      <w:r>
        <w:rPr>
          <w:rFonts w:hint="eastAsia" w:ascii="仿宋" w:hAnsi="仿宋" w:eastAsia="仿宋" w:cs="仿宋"/>
          <w:color w:val="auto"/>
          <w:spacing w:val="-10"/>
          <w:sz w:val="24"/>
          <w:szCs w:val="24"/>
          <w:highlight w:val="none"/>
          <w:u w:val="single"/>
        </w:rPr>
        <w:tab/>
      </w:r>
      <w:r>
        <w:rPr>
          <w:rFonts w:hint="eastAsia" w:ascii="仿宋" w:hAnsi="仿宋" w:eastAsia="仿宋" w:cs="仿宋"/>
          <w:color w:val="auto"/>
          <w:spacing w:val="-10"/>
          <w:sz w:val="24"/>
          <w:szCs w:val="24"/>
          <w:highlight w:val="none"/>
          <w:u w:val="single"/>
        </w:rPr>
        <w:tab/>
      </w:r>
      <w:r>
        <w:rPr>
          <w:rFonts w:hint="eastAsia" w:ascii="仿宋" w:hAnsi="仿宋" w:eastAsia="仿宋" w:cs="仿宋"/>
          <w:color w:val="auto"/>
          <w:spacing w:val="-10"/>
          <w:sz w:val="24"/>
          <w:szCs w:val="24"/>
          <w:highlight w:val="none"/>
          <w:u w:val="single"/>
        </w:rPr>
        <w:tab/>
      </w:r>
      <w:r>
        <w:rPr>
          <w:rFonts w:hint="eastAsia" w:ascii="仿宋" w:hAnsi="仿宋" w:eastAsia="仿宋" w:cs="仿宋"/>
          <w:color w:val="auto"/>
          <w:spacing w:val="-10"/>
          <w:sz w:val="24"/>
          <w:szCs w:val="24"/>
          <w:highlight w:val="none"/>
          <w:u w:val="single"/>
        </w:rPr>
        <w:tab/>
      </w:r>
      <w:r>
        <w:rPr>
          <w:rFonts w:hint="eastAsia" w:ascii="仿宋" w:hAnsi="仿宋" w:eastAsia="仿宋" w:cs="仿宋"/>
          <w:color w:val="auto"/>
          <w:spacing w:val="-10"/>
          <w:sz w:val="24"/>
          <w:szCs w:val="24"/>
          <w:highlight w:val="none"/>
          <w:u w:val="single"/>
        </w:rPr>
        <w:tab/>
      </w:r>
      <w:r>
        <w:rPr>
          <w:rFonts w:hint="eastAsia" w:ascii="仿宋" w:hAnsi="仿宋" w:eastAsia="仿宋" w:cs="仿宋"/>
          <w:color w:val="auto"/>
          <w:sz w:val="24"/>
          <w:szCs w:val="24"/>
          <w:highlight w:val="none"/>
        </w:rPr>
        <w:t xml:space="preserve">                  </w:t>
      </w:r>
    </w:p>
    <w:p w14:paraId="1BF448DC">
      <w:pPr>
        <w:spacing w:line="400" w:lineRule="exac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项目编号：</w:t>
      </w:r>
      <w:r>
        <w:rPr>
          <w:rFonts w:hint="eastAsia" w:ascii="仿宋" w:hAnsi="仿宋" w:eastAsia="仿宋" w:cs="仿宋"/>
          <w:bCs/>
          <w:color w:val="auto"/>
          <w:sz w:val="24"/>
          <w:szCs w:val="24"/>
          <w:highlight w:val="none"/>
          <w:u w:val="single"/>
        </w:rPr>
        <w:tab/>
      </w:r>
      <w:r>
        <w:rPr>
          <w:rFonts w:hint="eastAsia" w:ascii="仿宋" w:hAnsi="仿宋" w:eastAsia="仿宋" w:cs="仿宋"/>
          <w:bCs/>
          <w:color w:val="auto"/>
          <w:sz w:val="24"/>
          <w:szCs w:val="24"/>
          <w:highlight w:val="none"/>
          <w:u w:val="single"/>
        </w:rPr>
        <w:tab/>
      </w:r>
      <w:r>
        <w:rPr>
          <w:rFonts w:hint="eastAsia" w:ascii="仿宋" w:hAnsi="仿宋" w:eastAsia="仿宋" w:cs="仿宋"/>
          <w:bCs/>
          <w:color w:val="auto"/>
          <w:sz w:val="24"/>
          <w:szCs w:val="24"/>
          <w:highlight w:val="none"/>
          <w:u w:val="single"/>
        </w:rPr>
        <w:tab/>
      </w:r>
      <w:r>
        <w:rPr>
          <w:rFonts w:hint="eastAsia" w:ascii="仿宋" w:hAnsi="仿宋" w:eastAsia="仿宋" w:cs="仿宋"/>
          <w:bCs/>
          <w:color w:val="auto"/>
          <w:sz w:val="24"/>
          <w:szCs w:val="24"/>
          <w:highlight w:val="none"/>
          <w:u w:val="single"/>
        </w:rPr>
        <w:tab/>
      </w:r>
      <w:r>
        <w:rPr>
          <w:rFonts w:hint="eastAsia" w:ascii="仿宋" w:hAnsi="仿宋" w:eastAsia="仿宋" w:cs="仿宋"/>
          <w:bCs/>
          <w:color w:val="auto"/>
          <w:sz w:val="24"/>
          <w:szCs w:val="24"/>
          <w:highlight w:val="none"/>
          <w:u w:val="single"/>
        </w:rPr>
        <w:tab/>
      </w:r>
      <w:r>
        <w:rPr>
          <w:rFonts w:hint="eastAsia" w:ascii="仿宋" w:hAnsi="仿宋" w:eastAsia="仿宋" w:cs="仿宋"/>
          <w:bCs/>
          <w:color w:val="auto"/>
          <w:sz w:val="24"/>
          <w:szCs w:val="24"/>
          <w:highlight w:val="none"/>
          <w:u w:val="single"/>
        </w:rPr>
        <w:tab/>
      </w:r>
      <w:r>
        <w:rPr>
          <w:rFonts w:hint="eastAsia" w:ascii="仿宋" w:hAnsi="仿宋" w:eastAsia="仿宋" w:cs="仿宋"/>
          <w:bCs/>
          <w:color w:val="auto"/>
          <w:sz w:val="24"/>
          <w:szCs w:val="24"/>
          <w:highlight w:val="none"/>
          <w:u w:val="single"/>
        </w:rPr>
        <w:tab/>
      </w:r>
      <w:r>
        <w:rPr>
          <w:rFonts w:hint="eastAsia" w:ascii="仿宋" w:hAnsi="仿宋" w:eastAsia="仿宋" w:cs="仿宋"/>
          <w:bCs/>
          <w:color w:val="auto"/>
          <w:sz w:val="24"/>
          <w:szCs w:val="24"/>
          <w:highlight w:val="none"/>
          <w:u w:val="single"/>
        </w:rPr>
        <w:tab/>
      </w:r>
    </w:p>
    <w:p w14:paraId="6BA17DB0">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w:t>
      </w:r>
    </w:p>
    <w:p w14:paraId="2D75653E">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（成交供应商）</w:t>
      </w:r>
    </w:p>
    <w:p w14:paraId="673E2A26">
      <w:pPr>
        <w:spacing w:line="400" w:lineRule="exact"/>
        <w:rPr>
          <w:rFonts w:hint="eastAsia" w:ascii="仿宋" w:hAnsi="仿宋" w:eastAsia="仿宋" w:cs="仿宋"/>
          <w:color w:val="auto"/>
          <w:sz w:val="24"/>
          <w:szCs w:val="24"/>
          <w:highlight w:val="none"/>
        </w:rPr>
      </w:pPr>
    </w:p>
    <w:p w14:paraId="61AEAD2C">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根据《中华人民共和国政府采购法》、《中华人民共和国民法典》等法律、法规规定，按照采购、</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规定条款和成交供应商承诺、甲乙双方签订本采购合同。</w:t>
      </w:r>
    </w:p>
    <w:p w14:paraId="207D3C57">
      <w:pPr>
        <w:numPr>
          <w:ilvl w:val="0"/>
          <w:numId w:val="6"/>
        </w:numPr>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合同标的及合同金额</w:t>
      </w:r>
    </w:p>
    <w:tbl>
      <w:tblPr>
        <w:tblStyle w:val="16"/>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11"/>
        <w:gridCol w:w="4735"/>
        <w:gridCol w:w="876"/>
        <w:gridCol w:w="796"/>
      </w:tblGrid>
      <w:tr w14:paraId="6089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2711"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0D1E7F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服务名称</w:t>
            </w:r>
          </w:p>
        </w:tc>
        <w:tc>
          <w:tcPr>
            <w:tcW w:w="4735" w:type="dxa"/>
            <w:tcBorders>
              <w:top w:val="single" w:color="auto" w:sz="4" w:space="0"/>
              <w:left w:val="single" w:color="auto" w:sz="4" w:space="0"/>
              <w:bottom w:val="single" w:color="auto" w:sz="4" w:space="0"/>
              <w:right w:val="single" w:color="auto" w:sz="4" w:space="0"/>
            </w:tcBorders>
            <w:noWrap w:val="0"/>
            <w:vAlign w:val="center"/>
          </w:tcPr>
          <w:p w14:paraId="28691A85">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服务内容及承诺</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1F568619">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1E1457B">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r>
      <w:tr w14:paraId="46A0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2711" w:type="dxa"/>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0A34B47">
            <w:pPr>
              <w:spacing w:line="400" w:lineRule="exact"/>
              <w:jc w:val="center"/>
              <w:rPr>
                <w:rFonts w:hint="eastAsia" w:ascii="仿宋" w:hAnsi="仿宋" w:eastAsia="仿宋" w:cs="仿宋"/>
                <w:color w:val="auto"/>
                <w:sz w:val="24"/>
                <w:szCs w:val="24"/>
                <w:highlight w:val="none"/>
                <w:lang w:eastAsia="zh-CN"/>
              </w:rPr>
            </w:pPr>
          </w:p>
        </w:tc>
        <w:tc>
          <w:tcPr>
            <w:tcW w:w="4735" w:type="dxa"/>
            <w:tcBorders>
              <w:top w:val="single" w:color="auto" w:sz="4" w:space="0"/>
              <w:left w:val="single" w:color="auto" w:sz="4" w:space="0"/>
              <w:bottom w:val="single" w:color="auto" w:sz="4" w:space="0"/>
              <w:right w:val="single" w:color="auto" w:sz="4" w:space="0"/>
            </w:tcBorders>
            <w:noWrap w:val="0"/>
            <w:vAlign w:val="center"/>
          </w:tcPr>
          <w:p w14:paraId="48ADFA82">
            <w:pPr>
              <w:spacing w:line="400" w:lineRule="exact"/>
              <w:jc w:val="center"/>
              <w:rPr>
                <w:rFonts w:hint="eastAsia" w:ascii="仿宋" w:hAnsi="仿宋" w:eastAsia="仿宋" w:cs="仿宋"/>
                <w:color w:val="auto"/>
                <w:sz w:val="24"/>
                <w:szCs w:val="24"/>
                <w:highlight w:val="none"/>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0533979B">
            <w:pPr>
              <w:spacing w:line="400" w:lineRule="exact"/>
              <w:jc w:val="center"/>
              <w:rPr>
                <w:rFonts w:hint="eastAsia" w:ascii="仿宋" w:hAnsi="仿宋" w:eastAsia="仿宋" w:cs="仿宋"/>
                <w:color w:val="auto"/>
                <w:sz w:val="24"/>
                <w:szCs w:val="24"/>
                <w:highlight w:val="none"/>
              </w:rPr>
            </w:pPr>
          </w:p>
        </w:tc>
        <w:tc>
          <w:tcPr>
            <w:tcW w:w="796" w:type="dxa"/>
            <w:tcBorders>
              <w:top w:val="single" w:color="auto" w:sz="4" w:space="0"/>
              <w:left w:val="single" w:color="auto" w:sz="4" w:space="0"/>
              <w:bottom w:val="single" w:color="auto" w:sz="4" w:space="0"/>
              <w:right w:val="single" w:color="auto" w:sz="4" w:space="0"/>
            </w:tcBorders>
            <w:noWrap w:val="0"/>
            <w:vAlign w:val="center"/>
          </w:tcPr>
          <w:p w14:paraId="12D552EB">
            <w:pPr>
              <w:spacing w:line="400" w:lineRule="exact"/>
              <w:jc w:val="center"/>
              <w:rPr>
                <w:rFonts w:hint="eastAsia" w:ascii="仿宋" w:hAnsi="仿宋" w:eastAsia="仿宋" w:cs="仿宋"/>
                <w:color w:val="auto"/>
                <w:sz w:val="24"/>
                <w:szCs w:val="24"/>
                <w:highlight w:val="none"/>
              </w:rPr>
            </w:pPr>
          </w:p>
        </w:tc>
      </w:tr>
    </w:tbl>
    <w:p w14:paraId="1DED012A">
      <w:pPr>
        <w:spacing w:line="46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根据《成交通知书》的成交内容，合同的总金额为：（大写）</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val="en-US" w:eastAsia="zh-CN"/>
        </w:rPr>
        <w:t>合同金额</w:t>
      </w:r>
      <w:r>
        <w:rPr>
          <w:rFonts w:hint="eastAsia" w:ascii="仿宋" w:hAnsi="仿宋" w:eastAsia="仿宋" w:cs="仿宋"/>
          <w:color w:val="auto"/>
          <w:sz w:val="24"/>
          <w:szCs w:val="24"/>
          <w:highlight w:val="none"/>
        </w:rPr>
        <w:t>包括完成本次服务采购需求范围内所需的劳务费、技术服务费、策划设计、制作、现场执行、版权或知识产权、管理费、利润、验收、税金和风险等一切相关的全部费用。该价格不因投标人在计算报价中的失误、漏项、多项而做任何调整；投标人的报价在合同实施期间应保持不变。除此之外，采购人不再另行支付任何费用)。</w:t>
      </w:r>
    </w:p>
    <w:p w14:paraId="1AC84BE0">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第二条  质量保证</w:t>
      </w:r>
    </w:p>
    <w:p w14:paraId="6B522202">
      <w:pPr>
        <w:spacing w:line="46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乙方应按</w:t>
      </w: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color w:val="auto"/>
          <w:sz w:val="24"/>
          <w:szCs w:val="24"/>
          <w:highlight w:val="none"/>
        </w:rPr>
        <w:t>采购要求及</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承诺向甲方提供服务。</w:t>
      </w:r>
    </w:p>
    <w:p w14:paraId="488FA9F8">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第三条  </w:t>
      </w:r>
      <w:r>
        <w:rPr>
          <w:rFonts w:hint="eastAsia" w:ascii="仿宋" w:hAnsi="仿宋" w:eastAsia="仿宋" w:cs="仿宋"/>
          <w:b/>
          <w:color w:val="auto"/>
          <w:sz w:val="24"/>
          <w:szCs w:val="24"/>
          <w:highlight w:val="none"/>
          <w:lang w:val="en-US" w:eastAsia="zh-CN"/>
        </w:rPr>
        <w:t>服务</w:t>
      </w:r>
      <w:r>
        <w:rPr>
          <w:rFonts w:hint="eastAsia" w:ascii="仿宋" w:hAnsi="仿宋" w:eastAsia="仿宋" w:cs="仿宋"/>
          <w:b/>
          <w:color w:val="auto"/>
          <w:sz w:val="24"/>
          <w:szCs w:val="24"/>
          <w:highlight w:val="none"/>
        </w:rPr>
        <w:t>地点</w:t>
      </w:r>
    </w:p>
    <w:p w14:paraId="4AB08F8C">
      <w:pPr>
        <w:spacing w:line="460" w:lineRule="exact"/>
        <w:ind w:firstLine="470" w:firstLineChars="196"/>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sz w:val="24"/>
          <w:szCs w:val="24"/>
          <w:highlight w:val="none"/>
          <w:lang w:val="en-US" w:eastAsia="zh-CN"/>
        </w:rPr>
        <w:t>服务</w:t>
      </w:r>
      <w:r>
        <w:rPr>
          <w:rFonts w:hint="eastAsia" w:ascii="仿宋" w:hAnsi="仿宋" w:eastAsia="仿宋" w:cs="仿宋"/>
          <w:bCs/>
          <w:color w:val="auto"/>
          <w:sz w:val="24"/>
          <w:szCs w:val="24"/>
          <w:highlight w:val="none"/>
        </w:rPr>
        <w:t>地点：</w:t>
      </w:r>
      <w:r>
        <w:rPr>
          <w:rFonts w:hint="eastAsia" w:ascii="仿宋" w:hAnsi="仿宋" w:eastAsia="仿宋" w:cs="仿宋"/>
          <w:bCs/>
          <w:color w:val="auto"/>
          <w:sz w:val="24"/>
          <w:szCs w:val="24"/>
          <w:highlight w:val="none"/>
          <w:u w:val="single"/>
        </w:rPr>
        <w:t>桂林市采购人指定地点</w:t>
      </w:r>
      <w:r>
        <w:rPr>
          <w:rFonts w:hint="eastAsia" w:ascii="仿宋" w:hAnsi="仿宋" w:eastAsia="仿宋" w:cs="仿宋"/>
          <w:bCs/>
          <w:color w:val="auto"/>
          <w:sz w:val="24"/>
          <w:szCs w:val="24"/>
          <w:highlight w:val="none"/>
          <w:u w:val="single"/>
          <w:lang w:eastAsia="zh-CN"/>
        </w:rPr>
        <w:t>。</w:t>
      </w:r>
    </w:p>
    <w:p w14:paraId="6FB7AC36">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eastAsia="zh-CN"/>
        </w:rPr>
        <w:t>四</w:t>
      </w:r>
      <w:r>
        <w:rPr>
          <w:rFonts w:hint="eastAsia" w:ascii="仿宋" w:hAnsi="仿宋" w:eastAsia="仿宋" w:cs="仿宋"/>
          <w:b/>
          <w:color w:val="auto"/>
          <w:sz w:val="24"/>
          <w:szCs w:val="24"/>
          <w:highlight w:val="none"/>
        </w:rPr>
        <w:t>条  双方责任</w:t>
      </w:r>
    </w:p>
    <w:p w14:paraId="35577C8D">
      <w:pPr>
        <w:pStyle w:val="9"/>
        <w:spacing w:line="460" w:lineRule="exact"/>
        <w:ind w:firstLine="455" w:firstLineChars="18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1、甲方责任</w:t>
      </w:r>
    </w:p>
    <w:p w14:paraId="7725C7AA">
      <w:pPr>
        <w:spacing w:line="460" w:lineRule="exact"/>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1.1向乙方项目人员详细介绍项目情况。</w:t>
      </w:r>
    </w:p>
    <w:p w14:paraId="655CD86E">
      <w:pPr>
        <w:spacing w:line="46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1.2及时审定乙方提供的系统报告。</w:t>
      </w:r>
    </w:p>
    <w:p w14:paraId="1D6A10D4">
      <w:pPr>
        <w:spacing w:line="46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1.3向乙方提供相关文件资料，以便乙方能够及时、顺利地开展工作。</w:t>
      </w:r>
    </w:p>
    <w:p w14:paraId="23B72858">
      <w:pPr>
        <w:spacing w:line="460" w:lineRule="exact"/>
        <w:ind w:left="42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2、乙方责任</w:t>
      </w:r>
    </w:p>
    <w:p w14:paraId="19E05D27">
      <w:pPr>
        <w:spacing w:line="46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2.1乙方的合同义务不得转让或以其他方式形成实质转移，必须自行履行合同义务。</w:t>
      </w:r>
    </w:p>
    <w:p w14:paraId="4BBA7829">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2.2乙方保证使用的图片和文字不侵犯任何第三方的知识产权或其他权利，符合中华人民共和国的法律规定，对因违反相关法律规定而产生的相关责任，由乙方负责。</w:t>
      </w:r>
    </w:p>
    <w:p w14:paraId="40F3249A">
      <w:pPr>
        <w:spacing w:line="46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2.3在合同范围内为甲方提供良好的配套服务。</w:t>
      </w:r>
    </w:p>
    <w:p w14:paraId="2D07FEFF">
      <w:pPr>
        <w:spacing w:line="46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在项目服务过程中，乙方须接受甲方的监督，对甲方所提出的整改意见要及时进行整改。</w:t>
      </w:r>
    </w:p>
    <w:p w14:paraId="3828DE0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2.5乙方对项目负有保密义务，未经甲方允许，不得外泄项目任何信息；因乙方擅自外泄项目信息，而造成不良影响或损失的，乙方承担相应责任。</w:t>
      </w:r>
    </w:p>
    <w:p w14:paraId="530244B9">
      <w:pPr>
        <w:adjustRightInd w:val="0"/>
        <w:spacing w:line="460" w:lineRule="exact"/>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2.6乙方须提供一名指定的服务人员在工作过程中与甲方长期保持联系，并提供系统的业务咨询电话以便随时咨询联系。</w:t>
      </w:r>
    </w:p>
    <w:p w14:paraId="3B9F70EF">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eastAsia="zh-CN"/>
        </w:rPr>
        <w:t>五</w:t>
      </w:r>
      <w:r>
        <w:rPr>
          <w:rFonts w:hint="eastAsia" w:ascii="仿宋" w:hAnsi="仿宋" w:eastAsia="仿宋" w:cs="仿宋"/>
          <w:b/>
          <w:color w:val="auto"/>
          <w:sz w:val="24"/>
          <w:szCs w:val="24"/>
          <w:highlight w:val="none"/>
        </w:rPr>
        <w:t>条  权力保证</w:t>
      </w:r>
    </w:p>
    <w:p w14:paraId="58165D02">
      <w:pPr>
        <w:spacing w:line="46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1、乙方应保证所提供服务在使用时不会侵犯任何第三方的专利权或其他权利。</w:t>
      </w:r>
    </w:p>
    <w:p w14:paraId="74F3D54E">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2、乙方应按</w:t>
      </w: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color w:val="auto"/>
          <w:sz w:val="24"/>
          <w:szCs w:val="24"/>
          <w:highlight w:val="none"/>
        </w:rPr>
        <w:t>采购规定的时间向甲方提供使用服务的有关技术资料。</w:t>
      </w:r>
    </w:p>
    <w:p w14:paraId="13D35ED0">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eastAsia="zh-CN"/>
        </w:rPr>
        <w:t>六</w:t>
      </w:r>
      <w:r>
        <w:rPr>
          <w:rFonts w:hint="eastAsia" w:ascii="仿宋" w:hAnsi="仿宋" w:eastAsia="仿宋" w:cs="仿宋"/>
          <w:b/>
          <w:color w:val="auto"/>
          <w:sz w:val="24"/>
          <w:szCs w:val="24"/>
          <w:highlight w:val="none"/>
        </w:rPr>
        <w:t>条  服务期限</w:t>
      </w:r>
    </w:p>
    <w:p w14:paraId="5B2F16E9">
      <w:pPr>
        <w:spacing w:line="46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、服务期限：</w:t>
      </w:r>
      <w:r>
        <w:rPr>
          <w:rFonts w:hint="eastAsia" w:ascii="仿宋" w:hAnsi="仿宋" w:eastAsia="仿宋" w:cs="仿宋"/>
          <w:color w:val="auto"/>
          <w:sz w:val="24"/>
          <w:szCs w:val="24"/>
          <w:highlight w:val="none"/>
          <w:u w:val="single"/>
          <w:vertAlign w:val="baseline"/>
          <w:lang w:val="en-US" w:eastAsia="zh-CN"/>
        </w:rPr>
        <w:t xml:space="preserve">                               </w:t>
      </w:r>
      <w:r>
        <w:rPr>
          <w:rFonts w:hint="eastAsia" w:ascii="仿宋" w:hAnsi="仿宋" w:eastAsia="仿宋" w:cs="仿宋"/>
          <w:color w:val="auto"/>
          <w:sz w:val="24"/>
          <w:szCs w:val="24"/>
          <w:highlight w:val="none"/>
        </w:rPr>
        <w:t>。</w:t>
      </w:r>
    </w:p>
    <w:p w14:paraId="200585DC">
      <w:pPr>
        <w:spacing w:line="46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、乙方提供不符合</w:t>
      </w: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和本合同规定的服务，甲方有权拒绝接受。</w:t>
      </w:r>
    </w:p>
    <w:p w14:paraId="5697847B">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eastAsia="zh-CN"/>
        </w:rPr>
        <w:t>七</w:t>
      </w:r>
      <w:r>
        <w:rPr>
          <w:rFonts w:hint="eastAsia" w:ascii="仿宋" w:hAnsi="仿宋" w:eastAsia="仿宋" w:cs="仿宋"/>
          <w:b/>
          <w:color w:val="auto"/>
          <w:sz w:val="24"/>
          <w:szCs w:val="24"/>
          <w:highlight w:val="none"/>
        </w:rPr>
        <w:t>条 验收</w:t>
      </w:r>
    </w:p>
    <w:p w14:paraId="5B42A812">
      <w:pPr>
        <w:spacing w:line="460" w:lineRule="exact"/>
        <w:ind w:firstLine="472" w:firstLineChars="196"/>
        <w:rPr>
          <w:rFonts w:hint="eastAsia" w:ascii="仿宋" w:hAnsi="仿宋" w:eastAsia="仿宋" w:cs="仿宋"/>
          <w:color w:val="auto"/>
          <w:sz w:val="24"/>
          <w:szCs w:val="24"/>
          <w:highlight w:val="none"/>
          <w:u w:val="single"/>
        </w:rPr>
      </w:pP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u w:val="single"/>
        </w:rPr>
        <w:t xml:space="preserve">         （签订合同时双方约定）</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14:paraId="00ED110F">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sz w:val="24"/>
          <w:szCs w:val="24"/>
          <w:highlight w:val="none"/>
        </w:rPr>
        <w:t>条  税费</w:t>
      </w:r>
    </w:p>
    <w:p w14:paraId="40040F72">
      <w:pPr>
        <w:spacing w:line="460" w:lineRule="exact"/>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本合同执行中相关的一切税费均由乙方负担。</w:t>
      </w:r>
    </w:p>
    <w:p w14:paraId="376677E6">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w:t>
      </w:r>
      <w:r>
        <w:rPr>
          <w:rFonts w:hint="eastAsia" w:ascii="仿宋" w:hAnsi="仿宋" w:eastAsia="仿宋" w:cs="仿宋"/>
          <w:b/>
          <w:color w:val="auto"/>
          <w:sz w:val="24"/>
          <w:szCs w:val="24"/>
          <w:highlight w:val="none"/>
          <w:lang w:eastAsia="zh-CN"/>
        </w:rPr>
        <w:t>九</w:t>
      </w:r>
      <w:r>
        <w:rPr>
          <w:rFonts w:hint="eastAsia" w:ascii="仿宋" w:hAnsi="仿宋" w:eastAsia="仿宋" w:cs="仿宋"/>
          <w:b/>
          <w:color w:val="auto"/>
          <w:sz w:val="24"/>
          <w:szCs w:val="24"/>
          <w:highlight w:val="none"/>
        </w:rPr>
        <w:t>条　付款方式</w:t>
      </w:r>
    </w:p>
    <w:p w14:paraId="566B4E39">
      <w:pPr>
        <w:spacing w:line="46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合同签订后至少分2次支付合同款项，其中首次支付比例不高于本标段中标价的30%，全部款项支付完成不超过项目完成并验收后60日（具体支付时间和金额以财政每次批复的时间、批复的金额为准）。   </w:t>
      </w:r>
    </w:p>
    <w:p w14:paraId="4046FC28">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第十条  违约责任</w:t>
      </w:r>
    </w:p>
    <w:p w14:paraId="7A8C6F11">
      <w:pPr>
        <w:spacing w:line="460" w:lineRule="exact"/>
        <w:ind w:firstLine="472" w:firstLineChars="196"/>
        <w:rPr>
          <w:rStyle w:val="17"/>
          <w:rFonts w:hint="eastAsia" w:ascii="仿宋" w:hAnsi="仿宋" w:eastAsia="仿宋" w:cs="仿宋"/>
          <w:b/>
          <w:color w:val="auto"/>
          <w:sz w:val="24"/>
          <w:szCs w:val="24"/>
          <w:highlight w:val="none"/>
        </w:rPr>
      </w:pPr>
      <w:r>
        <w:rPr>
          <w:rStyle w:val="17"/>
          <w:rFonts w:hint="eastAsia" w:ascii="仿宋" w:hAnsi="仿宋" w:eastAsia="仿宋" w:cs="仿宋"/>
          <w:b/>
          <w:color w:val="auto"/>
          <w:sz w:val="24"/>
          <w:szCs w:val="24"/>
          <w:highlight w:val="none"/>
        </w:rPr>
        <w:t>（一）甲方违约责任</w:t>
      </w:r>
    </w:p>
    <w:p w14:paraId="43D22CBC">
      <w:pPr>
        <w:spacing w:line="460" w:lineRule="exact"/>
        <w:ind w:firstLine="470" w:firstLineChars="196"/>
        <w:rPr>
          <w:rStyle w:val="17"/>
          <w:rFonts w:hint="eastAsia" w:ascii="仿宋" w:hAnsi="仿宋" w:eastAsia="仿宋" w:cs="仿宋"/>
          <w:bCs w:val="0"/>
          <w:color w:val="auto"/>
          <w:sz w:val="24"/>
          <w:szCs w:val="24"/>
          <w:highlight w:val="none"/>
        </w:rPr>
      </w:pPr>
      <w:r>
        <w:rPr>
          <w:rStyle w:val="17"/>
          <w:rFonts w:hint="eastAsia" w:ascii="仿宋" w:hAnsi="仿宋" w:eastAsia="仿宋" w:cs="仿宋"/>
          <w:bCs w:val="0"/>
          <w:color w:val="auto"/>
          <w:sz w:val="24"/>
          <w:szCs w:val="24"/>
          <w:highlight w:val="none"/>
        </w:rPr>
        <w:t>1、甲方不得以任何形式对乙方产品的知识产权及商业运营权进行侵犯，包括但不仅限于以下行为：对乙方产品进行任何形式的复制、拷贝、翻译、转化与衍生、反汇编及反编译；将乙方产品转借他人使用；出售、出租、再授权等商业性使用；将其中的文字、声音、音乐、图像、照片、动画、录音录像、音频视频、软件以及应用程序做任何形式的商业性使用；进行超出授权范围的使用；在大众传播媒体上播放。在有证据证明甲方侵犯了乙方的知识产权的情况下，乙方有权在通知甲方的前提下，立即解除本合同，甲方应向乙方支付合同总金额20%的违约金，造成乙方损失的，甲方还应当赔偿损失。</w:t>
      </w:r>
    </w:p>
    <w:p w14:paraId="02536671">
      <w:pPr>
        <w:spacing w:line="460" w:lineRule="exact"/>
        <w:ind w:firstLine="470" w:firstLineChars="196"/>
        <w:rPr>
          <w:rStyle w:val="17"/>
          <w:rFonts w:hint="eastAsia" w:ascii="仿宋" w:hAnsi="仿宋" w:eastAsia="仿宋" w:cs="仿宋"/>
          <w:bCs w:val="0"/>
          <w:color w:val="auto"/>
          <w:sz w:val="24"/>
          <w:szCs w:val="24"/>
          <w:highlight w:val="none"/>
        </w:rPr>
      </w:pPr>
      <w:r>
        <w:rPr>
          <w:rStyle w:val="17"/>
          <w:rFonts w:hint="eastAsia" w:ascii="仿宋" w:hAnsi="仿宋" w:eastAsia="仿宋" w:cs="仿宋"/>
          <w:bCs w:val="0"/>
          <w:color w:val="auto"/>
          <w:sz w:val="24"/>
          <w:szCs w:val="24"/>
          <w:highlight w:val="none"/>
        </w:rPr>
        <w:t>2、甲方未能按照合同约定向乙方付款的，经乙方认可付款期限合理顺延后，甲方仍未能付款的，乙方有权暂停服务。</w:t>
      </w:r>
    </w:p>
    <w:p w14:paraId="36355240">
      <w:pPr>
        <w:spacing w:line="460" w:lineRule="exact"/>
        <w:ind w:firstLine="472" w:firstLineChars="196"/>
        <w:rPr>
          <w:rStyle w:val="17"/>
          <w:rFonts w:hint="eastAsia" w:ascii="仿宋" w:hAnsi="仿宋" w:eastAsia="仿宋" w:cs="仿宋"/>
          <w:b/>
          <w:color w:val="auto"/>
          <w:sz w:val="24"/>
          <w:szCs w:val="24"/>
          <w:highlight w:val="none"/>
        </w:rPr>
      </w:pPr>
      <w:r>
        <w:rPr>
          <w:rStyle w:val="17"/>
          <w:rFonts w:hint="eastAsia" w:ascii="仿宋" w:hAnsi="仿宋" w:eastAsia="仿宋" w:cs="仿宋"/>
          <w:b/>
          <w:color w:val="auto"/>
          <w:sz w:val="24"/>
          <w:szCs w:val="24"/>
          <w:highlight w:val="none"/>
        </w:rPr>
        <w:t>（二）乙方违约责任</w:t>
      </w:r>
    </w:p>
    <w:p w14:paraId="21622DA5">
      <w:pPr>
        <w:spacing w:line="460" w:lineRule="exact"/>
        <w:ind w:firstLine="470" w:firstLineChars="196"/>
        <w:rPr>
          <w:rStyle w:val="17"/>
          <w:rFonts w:hint="eastAsia" w:ascii="仿宋" w:hAnsi="仿宋" w:eastAsia="仿宋" w:cs="仿宋"/>
          <w:bCs w:val="0"/>
          <w:color w:val="auto"/>
          <w:sz w:val="24"/>
          <w:szCs w:val="24"/>
          <w:highlight w:val="none"/>
        </w:rPr>
      </w:pPr>
      <w:r>
        <w:rPr>
          <w:rStyle w:val="17"/>
          <w:rFonts w:hint="eastAsia" w:ascii="仿宋" w:hAnsi="仿宋" w:eastAsia="仿宋" w:cs="仿宋"/>
          <w:bCs w:val="0"/>
          <w:color w:val="auto"/>
          <w:sz w:val="24"/>
          <w:szCs w:val="24"/>
          <w:highlight w:val="none"/>
        </w:rPr>
        <w:t>1、乙方未能按项目实施服务方案和合同规定内容完成项目建设工作，甲方有权要求其采取补救措施。经甲方认可工期合理顺延后，乙方仍未能完成实施工作，造成甲方实际经济损失的，甲方有权拒付合同费用，并要求乙方承担项目合同金额20%的违约金。</w:t>
      </w:r>
    </w:p>
    <w:p w14:paraId="77A50B86">
      <w:pPr>
        <w:spacing w:line="460" w:lineRule="exact"/>
        <w:ind w:firstLine="470" w:firstLineChars="196"/>
        <w:rPr>
          <w:rStyle w:val="17"/>
          <w:rFonts w:hint="eastAsia" w:ascii="仿宋" w:hAnsi="仿宋" w:eastAsia="仿宋" w:cs="仿宋"/>
          <w:bCs w:val="0"/>
          <w:color w:val="auto"/>
          <w:sz w:val="24"/>
          <w:szCs w:val="24"/>
          <w:highlight w:val="none"/>
        </w:rPr>
      </w:pPr>
      <w:r>
        <w:rPr>
          <w:rStyle w:val="17"/>
          <w:rFonts w:hint="eastAsia" w:ascii="仿宋" w:hAnsi="仿宋" w:eastAsia="仿宋" w:cs="仿宋"/>
          <w:bCs w:val="0"/>
          <w:color w:val="auto"/>
          <w:sz w:val="24"/>
          <w:szCs w:val="24"/>
          <w:highlight w:val="none"/>
        </w:rPr>
        <w:t>2、乙方未能按照本合同约定提供相应的服务，或对甲方故障的处理不能满足甲方的工作要求，影响甲方应用和后续维护，甲方有权要求其采取补救措施，乙方未采取补救措施的，乙方应承担项目合同总金额20%的违约金。</w:t>
      </w:r>
    </w:p>
    <w:p w14:paraId="70BBDBF9">
      <w:pPr>
        <w:spacing w:line="460" w:lineRule="exact"/>
        <w:ind w:firstLine="470" w:firstLineChars="196"/>
        <w:rPr>
          <w:rStyle w:val="17"/>
          <w:rFonts w:hint="eastAsia" w:ascii="仿宋" w:hAnsi="仿宋" w:eastAsia="仿宋" w:cs="仿宋"/>
          <w:bCs w:val="0"/>
          <w:color w:val="auto"/>
          <w:sz w:val="24"/>
          <w:szCs w:val="24"/>
          <w:highlight w:val="none"/>
        </w:rPr>
      </w:pPr>
      <w:r>
        <w:rPr>
          <w:rStyle w:val="17"/>
          <w:rFonts w:hint="eastAsia" w:ascii="仿宋" w:hAnsi="仿宋" w:eastAsia="仿宋" w:cs="仿宋"/>
          <w:bCs w:val="0"/>
          <w:color w:val="auto"/>
          <w:sz w:val="24"/>
          <w:szCs w:val="24"/>
          <w:highlight w:val="none"/>
        </w:rPr>
        <w:t>3、任何一方无约定或法定理由解除合同的，过错方应当向对方支付合同总金额20%的违约金，给对方造成损失的，还应当赔偿对方损失。</w:t>
      </w:r>
    </w:p>
    <w:p w14:paraId="6765785B">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w:t>
      </w:r>
      <w:r>
        <w:rPr>
          <w:rFonts w:hint="eastAsia" w:ascii="仿宋" w:hAnsi="仿宋" w:eastAsia="仿宋" w:cs="仿宋"/>
          <w:b/>
          <w:color w:val="auto"/>
          <w:sz w:val="24"/>
          <w:szCs w:val="24"/>
          <w:highlight w:val="none"/>
          <w:lang w:eastAsia="zh-CN"/>
        </w:rPr>
        <w:t>一</w:t>
      </w:r>
      <w:r>
        <w:rPr>
          <w:rFonts w:hint="eastAsia" w:ascii="仿宋" w:hAnsi="仿宋" w:eastAsia="仿宋" w:cs="仿宋"/>
          <w:b/>
          <w:color w:val="auto"/>
          <w:sz w:val="24"/>
          <w:szCs w:val="24"/>
          <w:highlight w:val="none"/>
        </w:rPr>
        <w:t>条  不可抗力事件处理</w:t>
      </w:r>
    </w:p>
    <w:p w14:paraId="4C20E114">
      <w:pPr>
        <w:spacing w:line="460" w:lineRule="exact"/>
        <w:ind w:firstLine="470" w:firstLineChars="196"/>
        <w:rPr>
          <w:rStyle w:val="17"/>
          <w:rFonts w:hint="eastAsia" w:ascii="仿宋" w:hAnsi="仿宋" w:eastAsia="仿宋" w:cs="仿宋"/>
          <w:color w:val="auto"/>
          <w:sz w:val="24"/>
          <w:szCs w:val="24"/>
          <w:highlight w:val="none"/>
        </w:rPr>
      </w:pPr>
      <w:r>
        <w:rPr>
          <w:rStyle w:val="17"/>
          <w:rFonts w:hint="eastAsia" w:ascii="仿宋" w:hAnsi="仿宋" w:eastAsia="仿宋" w:cs="仿宋"/>
          <w:color w:val="auto"/>
          <w:sz w:val="24"/>
          <w:szCs w:val="24"/>
          <w:highlight w:val="none"/>
        </w:rPr>
        <w:t>1、在合同有效期内，乙方因不可抗力事件导致不能履行合同，则合同履行期可延长，其延长期与不可抗力影响期相同。</w:t>
      </w:r>
    </w:p>
    <w:p w14:paraId="5D098590">
      <w:pPr>
        <w:numPr>
          <w:ilvl w:val="0"/>
          <w:numId w:val="0"/>
        </w:numPr>
        <w:spacing w:line="460" w:lineRule="exact"/>
        <w:ind w:left="0" w:firstLine="470" w:firstLineChars="196"/>
        <w:rPr>
          <w:rStyle w:val="17"/>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Style w:val="17"/>
          <w:rFonts w:hint="eastAsia" w:ascii="仿宋" w:hAnsi="仿宋" w:eastAsia="仿宋" w:cs="仿宋"/>
          <w:color w:val="auto"/>
          <w:sz w:val="24"/>
          <w:szCs w:val="24"/>
          <w:highlight w:val="none"/>
        </w:rPr>
        <w:t>不可抗力事件发生后，应立即通知对方，并寄送有关权威机构出具的证明。</w:t>
      </w:r>
    </w:p>
    <w:p w14:paraId="5E2921B1">
      <w:pPr>
        <w:numPr>
          <w:ilvl w:val="0"/>
          <w:numId w:val="0"/>
        </w:numPr>
        <w:spacing w:line="460" w:lineRule="exact"/>
        <w:ind w:left="0" w:firstLine="470" w:firstLineChars="196"/>
        <w:rPr>
          <w:rStyle w:val="17"/>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Style w:val="17"/>
          <w:rFonts w:hint="eastAsia" w:ascii="仿宋" w:hAnsi="仿宋" w:eastAsia="仿宋" w:cs="仿宋"/>
          <w:color w:val="auto"/>
          <w:sz w:val="24"/>
          <w:szCs w:val="24"/>
          <w:highlight w:val="none"/>
        </w:rPr>
        <w:t>不可抗力事件延续一百二十天以上，双方应通过友好协商，确定是否继续履行合同。</w:t>
      </w:r>
    </w:p>
    <w:p w14:paraId="6E92C96C">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w:t>
      </w:r>
      <w:r>
        <w:rPr>
          <w:rFonts w:hint="eastAsia" w:ascii="仿宋" w:hAnsi="仿宋" w:eastAsia="仿宋" w:cs="仿宋"/>
          <w:b/>
          <w:color w:val="auto"/>
          <w:sz w:val="24"/>
          <w:szCs w:val="24"/>
          <w:highlight w:val="none"/>
          <w:lang w:eastAsia="zh-CN"/>
        </w:rPr>
        <w:t>二</w:t>
      </w:r>
      <w:r>
        <w:rPr>
          <w:rFonts w:hint="eastAsia" w:ascii="仿宋" w:hAnsi="仿宋" w:eastAsia="仿宋" w:cs="仿宋"/>
          <w:b/>
          <w:color w:val="auto"/>
          <w:sz w:val="24"/>
          <w:szCs w:val="24"/>
          <w:highlight w:val="none"/>
        </w:rPr>
        <w:t>条  合同争议解决</w:t>
      </w:r>
    </w:p>
    <w:p w14:paraId="0DB5973A">
      <w:pPr>
        <w:spacing w:line="460" w:lineRule="exact"/>
        <w:ind w:left="14"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1、因服务质量问题发生争议的，应邀请国家认可的质量检测机构对服务质量进行鉴定。服务符合标准的，鉴定费由甲方承担；服务不符合标准的，鉴定费由乙方承担。</w:t>
      </w:r>
    </w:p>
    <w:p w14:paraId="449AAE77">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2、因履行本合同引起的或与本合同有关的争议，甲乙双方应首先通过友好协商解决，如果协商不能解决，可向桂林市仲裁委员会申请仲裁。</w:t>
      </w:r>
    </w:p>
    <w:p w14:paraId="32466597">
      <w:pPr>
        <w:spacing w:line="460" w:lineRule="exact"/>
        <w:ind w:left="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3、诉讼期间，本合同继续履行。</w:t>
      </w:r>
    </w:p>
    <w:p w14:paraId="7820E2D5">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w:t>
      </w:r>
      <w:r>
        <w:rPr>
          <w:rFonts w:hint="eastAsia" w:ascii="仿宋" w:hAnsi="仿宋" w:eastAsia="仿宋" w:cs="仿宋"/>
          <w:b/>
          <w:color w:val="auto"/>
          <w:sz w:val="24"/>
          <w:szCs w:val="24"/>
          <w:highlight w:val="none"/>
          <w:lang w:eastAsia="zh-CN"/>
        </w:rPr>
        <w:t>三</w:t>
      </w:r>
      <w:r>
        <w:rPr>
          <w:rFonts w:hint="eastAsia" w:ascii="仿宋" w:hAnsi="仿宋" w:eastAsia="仿宋" w:cs="仿宋"/>
          <w:b/>
          <w:color w:val="auto"/>
          <w:sz w:val="24"/>
          <w:szCs w:val="24"/>
          <w:highlight w:val="none"/>
        </w:rPr>
        <w:t>条  合同生效及其它</w:t>
      </w:r>
    </w:p>
    <w:p w14:paraId="06D692A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1、合同经甲乙双方法定代表人或授权代表签字并加盖双方公章后生效。</w:t>
      </w:r>
    </w:p>
    <w:p w14:paraId="645D1FF1">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2、合同执行中涉及采购资金和采购内容修改或补充的，需经桂林市财政部门审批，并签订书面补充协议报桂林市政府采购管理办公室备案，方可作为主合同不可分割的一部分。</w:t>
      </w:r>
    </w:p>
    <w:p w14:paraId="50452654">
      <w:pPr>
        <w:spacing w:line="460" w:lineRule="exact"/>
        <w:ind w:left="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3、本合同未尽事宜，遵照《中华人民共和国民法典》有关条文执行。</w:t>
      </w:r>
    </w:p>
    <w:p w14:paraId="6080745E">
      <w:pPr>
        <w:spacing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w:t>
      </w:r>
      <w:r>
        <w:rPr>
          <w:rFonts w:hint="eastAsia" w:ascii="仿宋" w:hAnsi="仿宋" w:eastAsia="仿宋" w:cs="仿宋"/>
          <w:b/>
          <w:color w:val="auto"/>
          <w:sz w:val="24"/>
          <w:szCs w:val="24"/>
          <w:highlight w:val="none"/>
          <w:lang w:eastAsia="zh-CN"/>
        </w:rPr>
        <w:t>四</w:t>
      </w:r>
      <w:r>
        <w:rPr>
          <w:rFonts w:hint="eastAsia" w:ascii="仿宋" w:hAnsi="仿宋" w:eastAsia="仿宋" w:cs="仿宋"/>
          <w:b/>
          <w:color w:val="auto"/>
          <w:sz w:val="24"/>
          <w:szCs w:val="24"/>
          <w:highlight w:val="none"/>
        </w:rPr>
        <w:t>条  合同的变更、终止与转让</w:t>
      </w:r>
    </w:p>
    <w:p w14:paraId="2BC191AF">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除《中华人民共和国政府采购法》第五十条规定的情形外，本合同一经签订，甲乙双方不得擅自变更，中止或终止。</w:t>
      </w:r>
    </w:p>
    <w:p w14:paraId="1409075D">
      <w:pPr>
        <w:spacing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w:t>
      </w:r>
      <w:r>
        <w:rPr>
          <w:rFonts w:hint="eastAsia" w:ascii="仿宋" w:hAnsi="仿宋" w:eastAsia="仿宋" w:cs="仿宋"/>
          <w:b/>
          <w:color w:val="auto"/>
          <w:sz w:val="24"/>
          <w:szCs w:val="24"/>
          <w:highlight w:val="none"/>
          <w:lang w:eastAsia="zh-CN"/>
        </w:rPr>
        <w:t>五</w:t>
      </w:r>
      <w:r>
        <w:rPr>
          <w:rFonts w:hint="eastAsia" w:ascii="仿宋" w:hAnsi="仿宋" w:eastAsia="仿宋" w:cs="仿宋"/>
          <w:b/>
          <w:color w:val="auto"/>
          <w:sz w:val="24"/>
          <w:szCs w:val="24"/>
          <w:highlight w:val="none"/>
        </w:rPr>
        <w:t>条  签订本合同依据：</w:t>
      </w:r>
    </w:p>
    <w:p w14:paraId="190301E0">
      <w:pPr>
        <w:spacing w:line="460" w:lineRule="exact"/>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公开招标</w:t>
      </w:r>
      <w:r>
        <w:rPr>
          <w:rFonts w:hint="eastAsia" w:ascii="仿宋" w:hAnsi="仿宋" w:eastAsia="仿宋" w:cs="仿宋"/>
          <w:color w:val="auto"/>
          <w:sz w:val="24"/>
          <w:szCs w:val="24"/>
          <w:highlight w:val="none"/>
        </w:rPr>
        <w:t>采购；</w:t>
      </w:r>
    </w:p>
    <w:p w14:paraId="3C5CC8B9">
      <w:pPr>
        <w:spacing w:line="460" w:lineRule="exact"/>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2、乙方提供的投标（或应答）文件；</w:t>
      </w:r>
    </w:p>
    <w:p w14:paraId="6A7D6557">
      <w:pPr>
        <w:spacing w:line="460" w:lineRule="exact"/>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方案、</w:t>
      </w:r>
      <w:r>
        <w:rPr>
          <w:rFonts w:hint="eastAsia" w:ascii="仿宋" w:hAnsi="仿宋" w:eastAsia="仿宋" w:cs="仿宋"/>
          <w:color w:val="auto"/>
          <w:sz w:val="24"/>
          <w:szCs w:val="24"/>
          <w:highlight w:val="none"/>
          <w:lang w:val="en-US" w:eastAsia="zh-CN"/>
        </w:rPr>
        <w:t>服</w:t>
      </w:r>
      <w:r>
        <w:rPr>
          <w:rFonts w:hint="eastAsia" w:ascii="仿宋" w:hAnsi="仿宋" w:eastAsia="仿宋" w:cs="仿宋"/>
          <w:color w:val="auto"/>
          <w:sz w:val="24"/>
          <w:szCs w:val="24"/>
          <w:highlight w:val="none"/>
        </w:rPr>
        <w:t>务承诺方案；</w:t>
      </w:r>
    </w:p>
    <w:p w14:paraId="19CB24C2">
      <w:pPr>
        <w:spacing w:line="460" w:lineRule="exact"/>
        <w:ind w:left="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4、成交通知书。</w:t>
      </w:r>
    </w:p>
    <w:p w14:paraId="6A980AF8">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甲乙双方签字盖章后生效，一式六份，具有同等法律效力，甲、乙双方各二份。政府采购合同双方自签订之日起一个工作日内将合同原件两份交采购代理机构。采购代理机构将一份合同原件送桂林市政府采购管理办公室备案，一份由采购代理机构存档。</w:t>
      </w:r>
    </w:p>
    <w:p w14:paraId="2DA3196F">
      <w:pPr>
        <w:spacing w:line="400" w:lineRule="exact"/>
        <w:rPr>
          <w:rFonts w:hint="eastAsia" w:ascii="仿宋" w:hAnsi="仿宋" w:eastAsia="仿宋" w:cs="仿宋"/>
          <w:color w:val="auto"/>
          <w:sz w:val="24"/>
          <w:szCs w:val="24"/>
          <w:highlight w:val="none"/>
        </w:rPr>
      </w:pPr>
    </w:p>
    <w:p w14:paraId="19A29224">
      <w:pPr>
        <w:spacing w:line="4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甲方（公章）：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乙方（公章）：</w:t>
      </w:r>
      <w:r>
        <w:rPr>
          <w:rFonts w:hint="eastAsia" w:ascii="仿宋" w:hAnsi="仿宋" w:eastAsia="仿宋" w:cs="仿宋"/>
          <w:color w:val="auto"/>
          <w:sz w:val="24"/>
          <w:szCs w:val="24"/>
          <w:highlight w:val="none"/>
          <w:u w:val="single"/>
        </w:rPr>
        <w:t xml:space="preserve">　　　　           </w:t>
      </w:r>
    </w:p>
    <w:p w14:paraId="241957C4">
      <w:pPr>
        <w:spacing w:line="4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 xml:space="preserve">     法</w:t>
      </w:r>
      <w:r>
        <w:rPr>
          <w:rFonts w:hint="eastAsia" w:ascii="仿宋" w:hAnsi="仿宋" w:eastAsia="仿宋" w:cs="仿宋"/>
          <w:color w:val="auto"/>
          <w:sz w:val="24"/>
          <w:szCs w:val="24"/>
          <w:highlight w:val="none"/>
        </w:rPr>
        <w:t>定代表人：</w:t>
      </w:r>
      <w:r>
        <w:rPr>
          <w:rFonts w:hint="eastAsia" w:ascii="仿宋" w:hAnsi="仿宋" w:eastAsia="仿宋" w:cs="仿宋"/>
          <w:color w:val="auto"/>
          <w:sz w:val="24"/>
          <w:szCs w:val="24"/>
          <w:highlight w:val="none"/>
          <w:u w:val="single"/>
        </w:rPr>
        <w:t xml:space="preserve"> 　　　　　　　　　　</w:t>
      </w:r>
    </w:p>
    <w:p w14:paraId="6D6D1570">
      <w:pPr>
        <w:tabs>
          <w:tab w:val="left" w:pos="4680"/>
        </w:tabs>
        <w:spacing w:line="4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w:t>
      </w:r>
    </w:p>
    <w:p w14:paraId="6068F66A">
      <w:pPr>
        <w:tabs>
          <w:tab w:val="left" w:pos="5040"/>
        </w:tabs>
        <w:spacing w:line="4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话：</w:t>
      </w:r>
      <w:r>
        <w:rPr>
          <w:rFonts w:hint="eastAsia" w:ascii="仿宋" w:hAnsi="仿宋" w:eastAsia="仿宋" w:cs="仿宋"/>
          <w:color w:val="auto"/>
          <w:sz w:val="24"/>
          <w:szCs w:val="24"/>
          <w:highlight w:val="none"/>
          <w:u w:val="single"/>
        </w:rPr>
        <w:t xml:space="preserve"> 　　　　　　　　　　　</w:t>
      </w:r>
    </w:p>
    <w:p w14:paraId="3BD3B7BB">
      <w:pPr>
        <w:tabs>
          <w:tab w:val="left" w:pos="5040"/>
        </w:tabs>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开户名称：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 xml:space="preserve">     </w:t>
      </w:r>
    </w:p>
    <w:p w14:paraId="4B5E6936">
      <w:pPr>
        <w:tabs>
          <w:tab w:val="left" w:pos="5040"/>
        </w:tabs>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88750A8">
      <w:pPr>
        <w:tabs>
          <w:tab w:val="left" w:pos="5040"/>
        </w:tabs>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银行账号：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019C4731">
      <w:pPr>
        <w:spacing w:line="440" w:lineRule="atLeast"/>
        <w:jc w:val="left"/>
        <w:rPr>
          <w:rFonts w:hint="eastAsia" w:ascii="仿宋" w:hAnsi="仿宋" w:eastAsia="仿宋" w:cs="仿宋"/>
          <w:b/>
          <w:color w:val="auto"/>
          <w:sz w:val="32"/>
          <w:szCs w:val="32"/>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2CA70B3">
      <w:pPr>
        <w:pStyle w:val="19"/>
        <w:rPr>
          <w:rFonts w:hint="eastAsia" w:ascii="仿宋" w:hAnsi="仿宋" w:eastAsia="仿宋" w:cs="仿宋"/>
          <w:b/>
          <w:color w:val="auto"/>
          <w:sz w:val="32"/>
          <w:szCs w:val="32"/>
          <w:highlight w:val="none"/>
        </w:rPr>
      </w:pPr>
    </w:p>
    <w:p w14:paraId="352AD297">
      <w:pPr>
        <w:pStyle w:val="19"/>
        <w:rPr>
          <w:rFonts w:hint="eastAsia" w:ascii="仿宋" w:hAnsi="仿宋" w:eastAsia="仿宋" w:cs="仿宋"/>
          <w:b/>
          <w:color w:val="auto"/>
          <w:sz w:val="32"/>
          <w:szCs w:val="32"/>
          <w:highlight w:val="none"/>
        </w:rPr>
      </w:pPr>
    </w:p>
    <w:p w14:paraId="4F4DB5F8">
      <w:pPr>
        <w:pStyle w:val="19"/>
        <w:rPr>
          <w:rFonts w:hint="eastAsia" w:ascii="仿宋" w:hAnsi="仿宋" w:eastAsia="仿宋" w:cs="仿宋"/>
          <w:b/>
          <w:color w:val="auto"/>
          <w:sz w:val="32"/>
          <w:szCs w:val="32"/>
          <w:highlight w:val="none"/>
        </w:rPr>
      </w:pPr>
    </w:p>
    <w:p w14:paraId="225E4A38">
      <w:pPr>
        <w:pStyle w:val="19"/>
        <w:rPr>
          <w:rFonts w:hint="eastAsia" w:ascii="仿宋" w:hAnsi="仿宋" w:eastAsia="仿宋" w:cs="仿宋"/>
          <w:b/>
          <w:color w:val="auto"/>
          <w:sz w:val="32"/>
          <w:szCs w:val="32"/>
          <w:highlight w:val="none"/>
        </w:rPr>
      </w:pPr>
    </w:p>
    <w:p w14:paraId="4C9D8E99">
      <w:pPr>
        <w:pStyle w:val="19"/>
        <w:rPr>
          <w:rFonts w:hint="eastAsia" w:ascii="仿宋" w:hAnsi="仿宋" w:eastAsia="仿宋" w:cs="仿宋"/>
          <w:b/>
          <w:color w:val="auto"/>
          <w:sz w:val="32"/>
          <w:szCs w:val="32"/>
          <w:highlight w:val="none"/>
        </w:rPr>
      </w:pPr>
    </w:p>
    <w:p w14:paraId="4A9276E3">
      <w:pPr>
        <w:pStyle w:val="19"/>
        <w:rPr>
          <w:rFonts w:hint="eastAsia" w:ascii="仿宋" w:hAnsi="仿宋" w:eastAsia="仿宋" w:cs="仿宋"/>
          <w:b/>
          <w:color w:val="auto"/>
          <w:sz w:val="32"/>
          <w:szCs w:val="32"/>
          <w:highlight w:val="none"/>
        </w:rPr>
      </w:pPr>
    </w:p>
    <w:p w14:paraId="44A0E9F9">
      <w:pPr>
        <w:pStyle w:val="19"/>
        <w:rPr>
          <w:rFonts w:hint="eastAsia" w:ascii="仿宋" w:hAnsi="仿宋" w:eastAsia="仿宋" w:cs="仿宋"/>
          <w:b/>
          <w:color w:val="auto"/>
          <w:sz w:val="32"/>
          <w:szCs w:val="32"/>
          <w:highlight w:val="none"/>
        </w:rPr>
      </w:pPr>
    </w:p>
    <w:p w14:paraId="77FA6B31">
      <w:pPr>
        <w:pStyle w:val="19"/>
        <w:rPr>
          <w:rFonts w:hint="eastAsia" w:ascii="仿宋" w:hAnsi="仿宋" w:eastAsia="仿宋" w:cs="仿宋"/>
          <w:b/>
          <w:color w:val="auto"/>
          <w:sz w:val="32"/>
          <w:szCs w:val="32"/>
          <w:highlight w:val="none"/>
        </w:rPr>
      </w:pPr>
    </w:p>
    <w:p w14:paraId="59B76BEF">
      <w:pPr>
        <w:pStyle w:val="19"/>
        <w:rPr>
          <w:rFonts w:hint="eastAsia" w:ascii="仿宋" w:hAnsi="仿宋" w:eastAsia="仿宋" w:cs="仿宋"/>
          <w:b/>
          <w:color w:val="auto"/>
          <w:sz w:val="32"/>
          <w:szCs w:val="32"/>
          <w:highlight w:val="none"/>
        </w:rPr>
      </w:pPr>
    </w:p>
    <w:p w14:paraId="2AC94FF0">
      <w:pPr>
        <w:pStyle w:val="19"/>
        <w:rPr>
          <w:rFonts w:hint="eastAsia" w:ascii="仿宋" w:hAnsi="仿宋" w:eastAsia="仿宋" w:cs="仿宋"/>
          <w:b/>
          <w:color w:val="auto"/>
          <w:sz w:val="32"/>
          <w:szCs w:val="32"/>
          <w:highlight w:val="none"/>
        </w:rPr>
      </w:pPr>
    </w:p>
    <w:p w14:paraId="29994BFF">
      <w:pPr>
        <w:jc w:val="center"/>
        <w:outlineLvl w:val="0"/>
        <w:rPr>
          <w:rStyle w:val="18"/>
          <w:rFonts w:hint="eastAsia" w:ascii="仿宋" w:hAnsi="仿宋" w:eastAsia="仿宋" w:cs="仿宋"/>
          <w:b/>
          <w:color w:val="auto"/>
          <w:highlight w:val="none"/>
          <w:lang w:val="en-US" w:eastAsia="zh-CN"/>
        </w:rPr>
      </w:pPr>
      <w:bookmarkStart w:id="37" w:name="_Toc19390"/>
      <w:bookmarkStart w:id="38" w:name="_Toc21514"/>
      <w:r>
        <w:rPr>
          <w:rStyle w:val="18"/>
          <w:rFonts w:hint="eastAsia" w:ascii="仿宋" w:hAnsi="仿宋" w:eastAsia="仿宋" w:cs="仿宋"/>
          <w:b/>
          <w:color w:val="auto"/>
          <w:highlight w:val="none"/>
          <w:lang w:val="en-US" w:eastAsia="zh-CN"/>
        </w:rPr>
        <w:t>第六章  投标文件（格式）</w:t>
      </w:r>
      <w:bookmarkEnd w:id="37"/>
      <w:bookmarkEnd w:id="38"/>
    </w:p>
    <w:p w14:paraId="2C46D685">
      <w:pPr>
        <w:spacing w:line="400" w:lineRule="exact"/>
        <w:jc w:val="center"/>
        <w:rPr>
          <w:rFonts w:hint="eastAsia" w:ascii="仿宋" w:hAnsi="仿宋" w:eastAsia="仿宋" w:cs="仿宋"/>
          <w:b/>
          <w:color w:val="auto"/>
          <w:sz w:val="32"/>
          <w:szCs w:val="32"/>
          <w:highlight w:val="none"/>
        </w:rPr>
      </w:pPr>
    </w:p>
    <w:p w14:paraId="7F69AD5A">
      <w:pPr>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投标文件目录</w:t>
      </w:r>
    </w:p>
    <w:p w14:paraId="03F9A1DA">
      <w:pPr>
        <w:tabs>
          <w:tab w:val="left" w:pos="1305"/>
        </w:tabs>
        <w:spacing w:line="460" w:lineRule="exact"/>
        <w:ind w:firstLine="482" w:firstLineChars="200"/>
        <w:rPr>
          <w:rFonts w:hint="eastAsia" w:ascii="仿宋" w:hAnsi="仿宋" w:eastAsia="仿宋" w:cs="仿宋"/>
          <w:b/>
          <w:color w:val="auto"/>
          <w:sz w:val="24"/>
          <w:highlight w:val="none"/>
        </w:rPr>
      </w:pPr>
    </w:p>
    <w:p w14:paraId="60C19B27">
      <w:pPr>
        <w:tabs>
          <w:tab w:val="left" w:pos="1305"/>
        </w:tabs>
        <w:spacing w:line="52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一、资格性响应证明材料目录</w:t>
      </w:r>
    </w:p>
    <w:p w14:paraId="0F42C3F1">
      <w:pPr>
        <w:tabs>
          <w:tab w:val="left" w:pos="1305"/>
        </w:tabs>
        <w:spacing w:line="36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1.投标人相应的法定代表人(负责人)身份证正反面复印件</w:t>
      </w:r>
      <w:r>
        <w:rPr>
          <w:rFonts w:hint="eastAsia" w:ascii="仿宋" w:hAnsi="仿宋" w:eastAsia="仿宋" w:cs="仿宋"/>
          <w:b/>
          <w:color w:val="auto"/>
          <w:sz w:val="24"/>
          <w:szCs w:val="24"/>
          <w:highlight w:val="none"/>
        </w:rPr>
        <w:t>（必须提供）；</w:t>
      </w:r>
    </w:p>
    <w:p w14:paraId="29A2FD07">
      <w:pPr>
        <w:tabs>
          <w:tab w:val="left" w:pos="1305"/>
        </w:tabs>
        <w:spacing w:line="36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2.投标人的</w:t>
      </w:r>
      <w:r>
        <w:rPr>
          <w:rFonts w:hint="eastAsia" w:ascii="仿宋" w:hAnsi="仿宋" w:eastAsia="仿宋" w:cs="仿宋"/>
          <w:color w:val="auto"/>
          <w:sz w:val="24"/>
          <w:szCs w:val="24"/>
          <w:highlight w:val="none"/>
          <w:lang w:eastAsia="zh-CN"/>
        </w:rPr>
        <w:t>授权委托书原件、委托代理人身份证正反面复印件以及由县级以上（含县级）社会养老保险经办机构出具的供应商为委托代理人交纳的投标文件递交截止时间前半年内任意连续三个月社保证明复印件</w:t>
      </w:r>
      <w:r>
        <w:rPr>
          <w:rFonts w:hint="eastAsia" w:ascii="仿宋" w:hAnsi="仿宋" w:eastAsia="仿宋" w:cs="仿宋"/>
          <w:b/>
          <w:color w:val="auto"/>
          <w:sz w:val="24"/>
          <w:szCs w:val="24"/>
          <w:highlight w:val="none"/>
        </w:rPr>
        <w:t>（委托代理时必须提供）；</w:t>
      </w:r>
    </w:p>
    <w:p w14:paraId="13D1082C">
      <w:pPr>
        <w:tabs>
          <w:tab w:val="left" w:pos="1305"/>
        </w:tabs>
        <w:spacing w:line="36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3.投标人的法人或者其他组织营业执照等证明文件复印件</w:t>
      </w:r>
      <w:r>
        <w:rPr>
          <w:rFonts w:hint="eastAsia" w:ascii="仿宋" w:hAnsi="仿宋" w:eastAsia="仿宋" w:cs="仿宋"/>
          <w:b/>
          <w:color w:val="auto"/>
          <w:sz w:val="24"/>
          <w:szCs w:val="24"/>
          <w:highlight w:val="none"/>
        </w:rPr>
        <w:t>（必须提供）；</w:t>
      </w:r>
    </w:p>
    <w:p w14:paraId="2CA43344">
      <w:pPr>
        <w:tabs>
          <w:tab w:val="left" w:pos="1305"/>
        </w:tabs>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①法人包括企业法人、机关法人、事业单位法人和社会团体法人；其他组织主要包括合伙企业、非企业专业服务机构、个体工商户、农村承包经营户。②如投标人为企业（包括合伙企业），应提供市场监督管理部门（或行政审批部门）注册的有效“企业法人营业执照”或“营业执照；投标人为事业单位，应提供有效的“事业单位法人证书”；投标人为非企业专业服务机构的，应提供执业许可证等证明文件；投标人为个体工商户，应提供有效的“个体工商户营业执照”。③如投标人为企业法人的分支机构的，除应提供营业执照复印件外，还应提供其所属的总公司授权其参加政府采购活动的授权文件或授权其独立开展经营业务活动的证明材料复印件。</w:t>
      </w:r>
    </w:p>
    <w:p w14:paraId="174427CB">
      <w:pPr>
        <w:tabs>
          <w:tab w:val="left" w:pos="1305"/>
        </w:tabs>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投标人有效的</w:t>
      </w:r>
      <w:r>
        <w:rPr>
          <w:rFonts w:hint="eastAsia" w:ascii="仿宋" w:hAnsi="仿宋" w:eastAsia="仿宋" w:cs="仿宋"/>
          <w:color w:val="auto"/>
          <w:sz w:val="24"/>
          <w:szCs w:val="24"/>
          <w:highlight w:val="none"/>
        </w:rPr>
        <w:t>《人力资源服务许可证》</w:t>
      </w:r>
      <w:r>
        <w:rPr>
          <w:rFonts w:hint="eastAsia" w:ascii="仿宋" w:hAnsi="仿宋" w:eastAsia="仿宋" w:cs="仿宋"/>
          <w:color w:val="auto"/>
          <w:sz w:val="24"/>
          <w:szCs w:val="24"/>
          <w:highlight w:val="none"/>
          <w:lang w:val="en-US" w:eastAsia="zh-CN"/>
        </w:rPr>
        <w:t>复印件</w:t>
      </w:r>
      <w:r>
        <w:rPr>
          <w:rFonts w:hint="eastAsia" w:ascii="仿宋" w:hAnsi="仿宋" w:eastAsia="仿宋" w:cs="仿宋"/>
          <w:b/>
          <w:color w:val="auto"/>
          <w:sz w:val="24"/>
          <w:szCs w:val="24"/>
          <w:highlight w:val="none"/>
        </w:rPr>
        <w:t>（必须提供）</w:t>
      </w:r>
    </w:p>
    <w:p w14:paraId="58B30F56">
      <w:pPr>
        <w:tabs>
          <w:tab w:val="left" w:pos="1305"/>
        </w:tabs>
        <w:spacing w:line="3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投标人2024或2025年度的财务状况报告复印件（或2024年银行出具的资信证明复印件）</w:t>
      </w:r>
      <w:r>
        <w:rPr>
          <w:rFonts w:hint="eastAsia" w:ascii="仿宋" w:hAnsi="仿宋" w:eastAsia="仿宋" w:cs="仿宋"/>
          <w:b/>
          <w:color w:val="auto"/>
          <w:sz w:val="24"/>
          <w:szCs w:val="24"/>
          <w:highlight w:val="none"/>
        </w:rPr>
        <w:t>（必须提供，可以是</w:t>
      </w:r>
      <w:r>
        <w:rPr>
          <w:rFonts w:hint="eastAsia" w:ascii="仿宋" w:hAnsi="仿宋" w:eastAsia="仿宋" w:cs="仿宋"/>
          <w:b/>
          <w:color w:val="auto"/>
          <w:sz w:val="24"/>
          <w:szCs w:val="24"/>
          <w:highlight w:val="none"/>
          <w:lang w:eastAsia="zh-CN"/>
        </w:rPr>
        <w:t>投标</w:t>
      </w:r>
      <w:r>
        <w:rPr>
          <w:rFonts w:hint="eastAsia" w:ascii="仿宋" w:hAnsi="仿宋" w:eastAsia="仿宋" w:cs="仿宋"/>
          <w:b/>
          <w:color w:val="auto"/>
          <w:sz w:val="24"/>
          <w:szCs w:val="24"/>
          <w:highlight w:val="none"/>
        </w:rPr>
        <w:t>供应商自行编制也可是通过第三方审计公司编制，如为自行编制至少须提供现金流量表、负债表及利润表）；</w:t>
      </w:r>
    </w:p>
    <w:p w14:paraId="5C4C9916">
      <w:pPr>
        <w:tabs>
          <w:tab w:val="left" w:pos="1305"/>
        </w:tabs>
        <w:spacing w:line="3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投标人投标截止时间前半年内任意连续三个月依法缴纳税收的相关材料复印件</w:t>
      </w:r>
      <w:r>
        <w:rPr>
          <w:rFonts w:hint="eastAsia" w:ascii="仿宋" w:hAnsi="仿宋" w:eastAsia="仿宋" w:cs="仿宋"/>
          <w:b/>
          <w:color w:val="auto"/>
          <w:sz w:val="24"/>
          <w:szCs w:val="24"/>
          <w:highlight w:val="none"/>
        </w:rPr>
        <w:t>（必须提供）；</w:t>
      </w:r>
    </w:p>
    <w:p w14:paraId="15D21340">
      <w:pPr>
        <w:tabs>
          <w:tab w:val="left" w:pos="1305"/>
        </w:tabs>
        <w:spacing w:line="360" w:lineRule="exact"/>
        <w:ind w:firstLine="472" w:firstLineChars="197"/>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.投标人参加政府采购活动前3年内在经营活动中没有重大违法记录及有关信用信息的书面声明</w:t>
      </w:r>
      <w:r>
        <w:rPr>
          <w:rFonts w:hint="eastAsia" w:ascii="仿宋" w:hAnsi="仿宋" w:eastAsia="仿宋" w:cs="仿宋"/>
          <w:b/>
          <w:color w:val="auto"/>
          <w:sz w:val="24"/>
          <w:szCs w:val="24"/>
          <w:highlight w:val="none"/>
        </w:rPr>
        <w:t>（必须提供）；</w:t>
      </w:r>
    </w:p>
    <w:p w14:paraId="5AC93206">
      <w:pPr>
        <w:tabs>
          <w:tab w:val="left" w:pos="1305"/>
        </w:tabs>
        <w:spacing w:line="360" w:lineRule="exact"/>
        <w:ind w:firstLine="472" w:firstLineChars="1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.投标人参加本项目无围标串标行为的承诺函</w:t>
      </w:r>
      <w:r>
        <w:rPr>
          <w:rFonts w:hint="eastAsia" w:ascii="仿宋" w:hAnsi="仿宋" w:eastAsia="仿宋" w:cs="仿宋"/>
          <w:b/>
          <w:bCs/>
          <w:color w:val="auto"/>
          <w:sz w:val="24"/>
          <w:szCs w:val="24"/>
          <w:highlight w:val="none"/>
        </w:rPr>
        <w:t>（必须提供）</w:t>
      </w:r>
      <w:r>
        <w:rPr>
          <w:rFonts w:hint="eastAsia" w:ascii="仿宋" w:hAnsi="仿宋" w:eastAsia="仿宋" w:cs="仿宋"/>
          <w:b/>
          <w:bCs/>
          <w:color w:val="auto"/>
          <w:sz w:val="24"/>
          <w:szCs w:val="24"/>
          <w:highlight w:val="none"/>
          <w:lang w:eastAsia="zh-CN"/>
        </w:rPr>
        <w:t>。</w:t>
      </w:r>
    </w:p>
    <w:p w14:paraId="40B7B0BE">
      <w:pPr>
        <w:tabs>
          <w:tab w:val="left" w:pos="1305"/>
        </w:tabs>
        <w:spacing w:line="320" w:lineRule="exact"/>
        <w:rPr>
          <w:rFonts w:hint="eastAsia" w:ascii="仿宋" w:hAnsi="仿宋" w:eastAsia="仿宋" w:cs="仿宋"/>
          <w:color w:val="auto"/>
          <w:sz w:val="24"/>
          <w:szCs w:val="24"/>
          <w:highlight w:val="none"/>
        </w:rPr>
      </w:pPr>
    </w:p>
    <w:p w14:paraId="3D96833E">
      <w:pPr>
        <w:tabs>
          <w:tab w:val="left" w:pos="1305"/>
        </w:tabs>
        <w:spacing w:line="52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 二、商务、技术性响应及其他证明材料目录</w:t>
      </w:r>
    </w:p>
    <w:p w14:paraId="3C0BF678">
      <w:pPr>
        <w:tabs>
          <w:tab w:val="left" w:pos="1305"/>
        </w:tabs>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1.投标报价表</w:t>
      </w:r>
      <w:r>
        <w:rPr>
          <w:rFonts w:hint="eastAsia" w:ascii="仿宋" w:hAnsi="仿宋" w:eastAsia="仿宋" w:cs="仿宋"/>
          <w:b/>
          <w:bCs/>
          <w:color w:val="auto"/>
          <w:sz w:val="24"/>
          <w:szCs w:val="24"/>
          <w:highlight w:val="none"/>
        </w:rPr>
        <w:t>（必须提供）</w:t>
      </w:r>
      <w:r>
        <w:rPr>
          <w:rFonts w:hint="eastAsia" w:ascii="仿宋" w:hAnsi="仿宋" w:eastAsia="仿宋" w:cs="仿宋"/>
          <w:b w:val="0"/>
          <w:bCs w:val="0"/>
          <w:color w:val="auto"/>
          <w:sz w:val="24"/>
          <w:szCs w:val="24"/>
          <w:highlight w:val="none"/>
        </w:rPr>
        <w:t>；</w:t>
      </w:r>
    </w:p>
    <w:p w14:paraId="177550CD">
      <w:pPr>
        <w:tabs>
          <w:tab w:val="left" w:pos="1305"/>
        </w:tabs>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rPr>
        <w:t>服务（技术）响应、商务偏离情况说明表（格式见附件）</w:t>
      </w:r>
      <w:r>
        <w:rPr>
          <w:rFonts w:hint="eastAsia" w:ascii="仿宋" w:hAnsi="仿宋" w:eastAsia="仿宋" w:cs="仿宋"/>
          <w:b/>
          <w:bCs/>
          <w:color w:val="auto"/>
          <w:sz w:val="24"/>
          <w:szCs w:val="24"/>
          <w:highlight w:val="none"/>
        </w:rPr>
        <w:t>（必须提供）</w:t>
      </w:r>
      <w:r>
        <w:rPr>
          <w:rFonts w:hint="eastAsia" w:ascii="仿宋" w:hAnsi="仿宋" w:eastAsia="仿宋" w:cs="仿宋"/>
          <w:b w:val="0"/>
          <w:bCs w:val="0"/>
          <w:color w:val="auto"/>
          <w:sz w:val="24"/>
          <w:szCs w:val="24"/>
          <w:highlight w:val="none"/>
        </w:rPr>
        <w:t>；</w:t>
      </w:r>
    </w:p>
    <w:p w14:paraId="5D4A1A83">
      <w:pPr>
        <w:numPr>
          <w:ilvl w:val="0"/>
          <w:numId w:val="0"/>
        </w:numPr>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投标人针对本项目的实施方案</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必须提供</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rPr>
        <w:t>；</w:t>
      </w:r>
    </w:p>
    <w:p w14:paraId="0BA76612">
      <w:pPr>
        <w:tabs>
          <w:tab w:val="left" w:pos="1305"/>
        </w:tabs>
        <w:spacing w:line="360" w:lineRule="exact"/>
        <w:ind w:firstLine="600" w:firstLineChars="250"/>
        <w:rPr>
          <w:rFonts w:hint="eastAsia" w:ascii="仿宋" w:hAnsi="仿宋" w:eastAsia="仿宋" w:cs="仿宋"/>
          <w:b w:val="0"/>
          <w:bCs w:val="0"/>
          <w:color w:val="auto"/>
          <w:sz w:val="24"/>
          <w:szCs w:val="24"/>
          <w:highlight w:val="none"/>
        </w:rPr>
      </w:pPr>
      <w:r>
        <w:rPr>
          <w:rFonts w:hint="eastAsia" w:ascii="仿宋" w:hAnsi="仿宋" w:eastAsia="仿宋" w:cs="仿宋"/>
          <w:b w:val="0"/>
          <w:bCs/>
          <w:color w:val="auto"/>
          <w:sz w:val="24"/>
          <w:szCs w:val="24"/>
          <w:highlight w:val="none"/>
        </w:rPr>
        <w:t>相应方案可从内容的科学性、合理性、针对性方面编制，内容包括但不限于</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项目组织方案</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管理措施、</w:t>
      </w:r>
      <w:r>
        <w:rPr>
          <w:rFonts w:hint="eastAsia" w:ascii="仿宋" w:hAnsi="仿宋" w:eastAsia="仿宋" w:cs="仿宋"/>
          <w:b w:val="0"/>
          <w:bCs/>
          <w:color w:val="auto"/>
          <w:sz w:val="24"/>
          <w:szCs w:val="24"/>
          <w:highlight w:val="none"/>
        </w:rPr>
        <w:t>系统安全工作方案、服务保障、</w:t>
      </w:r>
      <w:r>
        <w:rPr>
          <w:rFonts w:hint="eastAsia" w:ascii="仿宋" w:hAnsi="仿宋" w:eastAsia="仿宋" w:cs="仿宋"/>
          <w:b w:val="0"/>
          <w:bCs/>
          <w:color w:val="auto"/>
          <w:sz w:val="24"/>
          <w:szCs w:val="24"/>
          <w:highlight w:val="none"/>
          <w:lang w:val="en-US" w:eastAsia="zh-CN"/>
        </w:rPr>
        <w:t>项目组织机构、合理化建议</w:t>
      </w:r>
      <w:r>
        <w:rPr>
          <w:rFonts w:hint="eastAsia" w:ascii="仿宋" w:hAnsi="仿宋" w:eastAsia="仿宋" w:cs="仿宋"/>
          <w:b w:val="0"/>
          <w:bCs/>
          <w:color w:val="auto"/>
          <w:sz w:val="24"/>
          <w:szCs w:val="24"/>
          <w:highlight w:val="none"/>
        </w:rPr>
        <w:t>等</w:t>
      </w:r>
      <w:r>
        <w:rPr>
          <w:rFonts w:hint="eastAsia" w:ascii="仿宋" w:hAnsi="仿宋" w:eastAsia="仿宋" w:cs="仿宋"/>
          <w:b w:val="0"/>
          <w:bCs w:val="0"/>
          <w:color w:val="auto"/>
          <w:sz w:val="24"/>
          <w:szCs w:val="24"/>
          <w:highlight w:val="none"/>
          <w:lang w:eastAsia="zh-CN"/>
        </w:rPr>
        <w:t>。</w:t>
      </w:r>
    </w:p>
    <w:p w14:paraId="5C78C732">
      <w:pPr>
        <w:numPr>
          <w:ilvl w:val="0"/>
          <w:numId w:val="7"/>
        </w:numPr>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color w:val="auto"/>
          <w:sz w:val="24"/>
          <w:szCs w:val="24"/>
          <w:highlight w:val="none"/>
          <w:lang w:eastAsia="zh-CN"/>
        </w:rPr>
        <w:t>投标人针对本项目的</w:t>
      </w:r>
      <w:r>
        <w:rPr>
          <w:rFonts w:hint="eastAsia" w:ascii="仿宋" w:hAnsi="仿宋" w:eastAsia="仿宋" w:cs="仿宋"/>
          <w:b w:val="0"/>
          <w:bCs/>
          <w:color w:val="auto"/>
          <w:sz w:val="24"/>
          <w:szCs w:val="24"/>
          <w:highlight w:val="none"/>
          <w:lang w:val="en-US" w:eastAsia="zh-CN"/>
        </w:rPr>
        <w:t>售后服务</w:t>
      </w:r>
      <w:r>
        <w:rPr>
          <w:rFonts w:hint="eastAsia" w:ascii="仿宋" w:hAnsi="仿宋" w:eastAsia="仿宋" w:cs="仿宋"/>
          <w:b w:val="0"/>
          <w:bCs/>
          <w:color w:val="auto"/>
          <w:sz w:val="24"/>
          <w:szCs w:val="24"/>
          <w:highlight w:val="none"/>
          <w:lang w:eastAsia="zh-CN"/>
        </w:rPr>
        <w:t>方案</w:t>
      </w:r>
      <w:r>
        <w:rPr>
          <w:rFonts w:hint="eastAsia" w:ascii="仿宋" w:hAnsi="仿宋" w:eastAsia="仿宋" w:cs="仿宋"/>
          <w:b w:val="0"/>
          <w:bCs/>
          <w:color w:val="auto"/>
          <w:sz w:val="24"/>
          <w:szCs w:val="24"/>
          <w:highlight w:val="none"/>
        </w:rPr>
        <w:t>（如有，请提供）</w:t>
      </w:r>
      <w:r>
        <w:rPr>
          <w:rFonts w:hint="eastAsia" w:ascii="仿宋" w:hAnsi="仿宋" w:eastAsia="仿宋" w:cs="仿宋"/>
          <w:b w:val="0"/>
          <w:bCs w:val="0"/>
          <w:color w:val="auto"/>
          <w:sz w:val="24"/>
          <w:szCs w:val="24"/>
          <w:highlight w:val="none"/>
        </w:rPr>
        <w:t>；</w:t>
      </w:r>
    </w:p>
    <w:p w14:paraId="668FAA51">
      <w:pPr>
        <w:pStyle w:val="6"/>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相应方案可从内容的合理性、针对性、可行性方面编制，</w:t>
      </w:r>
      <w:r>
        <w:rPr>
          <w:rFonts w:hint="eastAsia" w:ascii="仿宋" w:hAnsi="仿宋" w:eastAsia="仿宋" w:cs="仿宋"/>
          <w:b w:val="0"/>
          <w:bCs/>
          <w:color w:val="auto"/>
          <w:sz w:val="24"/>
          <w:szCs w:val="24"/>
          <w:highlight w:val="none"/>
        </w:rPr>
        <w:t>内容包括但不限于</w:t>
      </w:r>
      <w:r>
        <w:rPr>
          <w:rFonts w:hint="eastAsia" w:ascii="仿宋" w:hAnsi="仿宋" w:eastAsia="仿宋" w:cs="仿宋"/>
          <w:b w:val="0"/>
          <w:bCs/>
          <w:color w:val="auto"/>
          <w:sz w:val="24"/>
          <w:szCs w:val="24"/>
          <w:highlight w:val="none"/>
          <w:lang w:eastAsia="zh-CN"/>
        </w:rPr>
        <w:t>：</w:t>
      </w:r>
      <w:r>
        <w:rPr>
          <w:rFonts w:hint="eastAsia" w:ascii="仿宋" w:hAnsi="仿宋" w:eastAsia="仿宋" w:cs="仿宋"/>
          <w:bCs/>
          <w:color w:val="auto"/>
          <w:sz w:val="24"/>
          <w:szCs w:val="24"/>
          <w:highlight w:val="none"/>
        </w:rPr>
        <w:t>售后服务机制方案、服务保障措施方案、服务响应承诺及具体措施且应尽处理问题能力、应急情景及问题解决方案、承诺在后续服务中积极响应并配合采购人相关工作</w:t>
      </w:r>
      <w:r>
        <w:rPr>
          <w:rFonts w:hint="eastAsia" w:ascii="仿宋" w:hAnsi="仿宋" w:eastAsia="仿宋" w:cs="仿宋"/>
          <w:b w:val="0"/>
          <w:bCs/>
          <w:color w:val="auto"/>
          <w:sz w:val="24"/>
          <w:szCs w:val="24"/>
          <w:highlight w:val="none"/>
          <w:lang w:eastAsia="zh-CN"/>
        </w:rPr>
        <w:t>。</w:t>
      </w:r>
    </w:p>
    <w:p w14:paraId="0D5A06DB">
      <w:pPr>
        <w:spacing w:line="3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5.投标人的拟投入本项目的执行团队人员配备方案（如有，请提供）；</w:t>
      </w:r>
    </w:p>
    <w:p w14:paraId="5743290B">
      <w:pPr>
        <w:tabs>
          <w:tab w:val="left" w:pos="1305"/>
        </w:tabs>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该方案可从内容的完整性、针对性、合理性等方面进行编制，包含但不限于主要负责人员名单、主要人员个人资历情况及在职证明，组织结构图等内容等。</w:t>
      </w:r>
    </w:p>
    <w:p w14:paraId="01F2F89A">
      <w:pPr>
        <w:spacing w:line="36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.供应商201</w:t>
      </w: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lang w:val="en-US" w:eastAsia="zh-CN"/>
        </w:rPr>
        <w:t>1月1日</w:t>
      </w:r>
      <w:r>
        <w:rPr>
          <w:rFonts w:hint="eastAsia" w:ascii="仿宋" w:hAnsi="仿宋" w:eastAsia="仿宋" w:cs="仿宋"/>
          <w:b w:val="0"/>
          <w:bCs/>
          <w:color w:val="auto"/>
          <w:sz w:val="24"/>
          <w:szCs w:val="24"/>
          <w:highlight w:val="none"/>
        </w:rPr>
        <w:t>以来，具有同类项目业绩[无不良记录，以提供中标（成交）通知书或签订的服务项目合同复印件为准，并能清晰反映项目的服务名称、服务内容等]（如有，请提供）；</w:t>
      </w:r>
    </w:p>
    <w:p w14:paraId="4B28AF19">
      <w:pPr>
        <w:tabs>
          <w:tab w:val="left" w:pos="7140"/>
        </w:tabs>
        <w:spacing w:line="36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w:t>
      </w:r>
      <w:r>
        <w:rPr>
          <w:rFonts w:hint="eastAsia" w:ascii="仿宋" w:hAnsi="仿宋" w:eastAsia="仿宋" w:cs="仿宋"/>
          <w:color w:val="auto"/>
          <w:sz w:val="24"/>
          <w:szCs w:val="24"/>
          <w:highlight w:val="none"/>
        </w:rPr>
        <w:t>如所提供服务企业属于小型、微型企业【中小微型企业划分标准按照《国家统计局关于印发《统计上大中小微型企业划分办法〔2017〕》的通知》（国统字〔2017〕213号）执行，具体划分标准见第四章评标办法中附表《统计上大中小微型企业划分标准》】；</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根据财政部、司法部关于政府采购支持监狱企业发展有关问题的通知（财库[2014]68号）及</w:t>
      </w:r>
      <w:r>
        <w:rPr>
          <w:rFonts w:hint="eastAsia" w:ascii="仿宋" w:hAnsi="仿宋" w:eastAsia="仿宋" w:cs="仿宋"/>
          <w:bCs/>
          <w:color w:val="auto"/>
          <w:sz w:val="24"/>
          <w:szCs w:val="24"/>
          <w:highlight w:val="none"/>
        </w:rPr>
        <w:t>《关于促进残疾人就业政府采购政策的通知》（财库〔2017〕141号）的规定，</w:t>
      </w:r>
      <w:r>
        <w:rPr>
          <w:rFonts w:hint="eastAsia" w:ascii="仿宋" w:hAnsi="仿宋" w:eastAsia="仿宋" w:cs="仿宋"/>
          <w:color w:val="auto"/>
          <w:sz w:val="24"/>
          <w:szCs w:val="24"/>
          <w:highlight w:val="none"/>
        </w:rPr>
        <w:t>监狱企业、残疾人福利单位视同小型、微型企业。投标人根据自身情况，相应提供以下证明材料</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如有，请提供</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①投标人如为符合政策要求的中小企业且承接本项目全部服务的，提供《中小企业声明函》（并对声明的真实性负责）。</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②投标人如属于监狱企业且承接本项目全部服务的，提供由省级以上监狱管理局、戒毒管理局(含新疆生产建设兵团)出具的属于监狱企业的证明文件。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③投标人如属于符合条件的残疾人福利性单位且承接本项目全部服务的，提供《残疾人福利性单位声明函》（并对声明的真实性负责）。</w:t>
      </w:r>
    </w:p>
    <w:p w14:paraId="1A173349">
      <w:pPr>
        <w:spacing w:line="36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投标人可结合本项目的评标办法视自身情况自行提交相关证明材料（如有，请提供）。</w:t>
      </w:r>
    </w:p>
    <w:p w14:paraId="1A2E324F">
      <w:pPr>
        <w:tabs>
          <w:tab w:val="left" w:pos="1305"/>
        </w:tabs>
        <w:spacing w:line="520" w:lineRule="exact"/>
        <w:rPr>
          <w:rFonts w:hint="eastAsia" w:ascii="仿宋" w:hAnsi="仿宋" w:eastAsia="仿宋" w:cs="仿宋"/>
          <w:color w:val="auto"/>
          <w:szCs w:val="21"/>
          <w:highlight w:val="none"/>
        </w:rPr>
      </w:pPr>
    </w:p>
    <w:p w14:paraId="23E3F6AA">
      <w:pPr>
        <w:pStyle w:val="19"/>
        <w:rPr>
          <w:rFonts w:hint="eastAsia" w:ascii="仿宋" w:hAnsi="仿宋" w:eastAsia="仿宋" w:cs="仿宋"/>
          <w:color w:val="auto"/>
          <w:highlight w:val="none"/>
        </w:rPr>
      </w:pPr>
    </w:p>
    <w:p w14:paraId="7038240A">
      <w:pPr>
        <w:pStyle w:val="19"/>
        <w:rPr>
          <w:rFonts w:hint="eastAsia" w:ascii="仿宋" w:hAnsi="仿宋" w:eastAsia="仿宋" w:cs="仿宋"/>
          <w:color w:val="auto"/>
          <w:highlight w:val="none"/>
        </w:rPr>
      </w:pPr>
    </w:p>
    <w:p w14:paraId="2EEEF4A4">
      <w:pPr>
        <w:pStyle w:val="19"/>
        <w:rPr>
          <w:rFonts w:hint="eastAsia" w:ascii="仿宋" w:hAnsi="仿宋" w:eastAsia="仿宋" w:cs="仿宋"/>
          <w:color w:val="auto"/>
          <w:highlight w:val="none"/>
        </w:rPr>
      </w:pPr>
    </w:p>
    <w:p w14:paraId="3B367284">
      <w:pPr>
        <w:pStyle w:val="19"/>
        <w:rPr>
          <w:rFonts w:hint="eastAsia" w:ascii="仿宋" w:hAnsi="仿宋" w:eastAsia="仿宋" w:cs="仿宋"/>
          <w:color w:val="auto"/>
          <w:highlight w:val="none"/>
        </w:rPr>
      </w:pPr>
    </w:p>
    <w:p w14:paraId="1A945FA5">
      <w:pPr>
        <w:pStyle w:val="19"/>
        <w:rPr>
          <w:rFonts w:hint="eastAsia" w:ascii="仿宋" w:hAnsi="仿宋" w:eastAsia="仿宋" w:cs="仿宋"/>
          <w:color w:val="auto"/>
          <w:highlight w:val="none"/>
        </w:rPr>
      </w:pPr>
    </w:p>
    <w:p w14:paraId="662922FE">
      <w:pPr>
        <w:tabs>
          <w:tab w:val="left" w:pos="1305"/>
        </w:tabs>
        <w:spacing w:line="520" w:lineRule="exact"/>
        <w:rPr>
          <w:rFonts w:hint="eastAsia" w:ascii="仿宋" w:hAnsi="仿宋" w:eastAsia="仿宋" w:cs="仿宋"/>
          <w:b/>
          <w:color w:val="auto"/>
          <w:sz w:val="32"/>
          <w:szCs w:val="32"/>
          <w:highlight w:val="none"/>
        </w:rPr>
      </w:pPr>
    </w:p>
    <w:p w14:paraId="65A4FCA8">
      <w:pPr>
        <w:pStyle w:val="8"/>
        <w:rPr>
          <w:rFonts w:hint="eastAsia" w:ascii="仿宋" w:hAnsi="仿宋" w:eastAsia="仿宋" w:cs="仿宋"/>
          <w:b/>
          <w:color w:val="auto"/>
          <w:sz w:val="32"/>
          <w:szCs w:val="32"/>
          <w:highlight w:val="none"/>
        </w:rPr>
      </w:pPr>
    </w:p>
    <w:p w14:paraId="67E6CE62">
      <w:pPr>
        <w:pStyle w:val="8"/>
        <w:rPr>
          <w:rFonts w:hint="eastAsia" w:ascii="仿宋" w:hAnsi="仿宋" w:eastAsia="仿宋" w:cs="仿宋"/>
          <w:b/>
          <w:color w:val="auto"/>
          <w:sz w:val="32"/>
          <w:szCs w:val="32"/>
          <w:highlight w:val="none"/>
        </w:rPr>
      </w:pPr>
    </w:p>
    <w:p w14:paraId="7EDD342E">
      <w:pPr>
        <w:pStyle w:val="8"/>
        <w:rPr>
          <w:rFonts w:hint="eastAsia" w:ascii="仿宋" w:hAnsi="仿宋" w:eastAsia="仿宋" w:cs="仿宋"/>
          <w:b/>
          <w:color w:val="auto"/>
          <w:sz w:val="32"/>
          <w:szCs w:val="32"/>
          <w:highlight w:val="none"/>
        </w:rPr>
      </w:pPr>
    </w:p>
    <w:p w14:paraId="40E43884">
      <w:pPr>
        <w:pStyle w:val="8"/>
        <w:rPr>
          <w:rFonts w:hint="eastAsia" w:ascii="仿宋" w:hAnsi="仿宋" w:eastAsia="仿宋" w:cs="仿宋"/>
          <w:b/>
          <w:color w:val="auto"/>
          <w:sz w:val="32"/>
          <w:szCs w:val="32"/>
          <w:highlight w:val="none"/>
        </w:rPr>
      </w:pPr>
    </w:p>
    <w:p w14:paraId="224EC772">
      <w:pPr>
        <w:pStyle w:val="8"/>
        <w:rPr>
          <w:rFonts w:hint="eastAsia" w:ascii="仿宋" w:hAnsi="仿宋" w:eastAsia="仿宋" w:cs="仿宋"/>
          <w:b/>
          <w:color w:val="auto"/>
          <w:sz w:val="32"/>
          <w:szCs w:val="32"/>
          <w:highlight w:val="none"/>
        </w:rPr>
      </w:pPr>
    </w:p>
    <w:p w14:paraId="0C48F658">
      <w:pPr>
        <w:pStyle w:val="8"/>
        <w:rPr>
          <w:rFonts w:hint="eastAsia" w:ascii="仿宋" w:hAnsi="仿宋" w:eastAsia="仿宋" w:cs="仿宋"/>
          <w:b/>
          <w:color w:val="auto"/>
          <w:sz w:val="32"/>
          <w:szCs w:val="32"/>
          <w:highlight w:val="none"/>
        </w:rPr>
      </w:pPr>
    </w:p>
    <w:p w14:paraId="6C26D618">
      <w:pPr>
        <w:pStyle w:val="8"/>
        <w:rPr>
          <w:rFonts w:hint="eastAsia" w:ascii="仿宋" w:hAnsi="仿宋" w:eastAsia="仿宋" w:cs="仿宋"/>
          <w:b/>
          <w:color w:val="auto"/>
          <w:sz w:val="32"/>
          <w:szCs w:val="32"/>
          <w:highlight w:val="none"/>
        </w:rPr>
      </w:pPr>
    </w:p>
    <w:p w14:paraId="291F815E">
      <w:pPr>
        <w:pStyle w:val="8"/>
        <w:rPr>
          <w:rFonts w:hint="eastAsia" w:ascii="仿宋" w:hAnsi="仿宋" w:eastAsia="仿宋" w:cs="仿宋"/>
          <w:b/>
          <w:color w:val="auto"/>
          <w:sz w:val="32"/>
          <w:szCs w:val="32"/>
          <w:highlight w:val="none"/>
        </w:rPr>
      </w:pPr>
    </w:p>
    <w:p w14:paraId="5A0FA3E4">
      <w:pPr>
        <w:pStyle w:val="8"/>
        <w:rPr>
          <w:rFonts w:hint="eastAsia" w:ascii="仿宋" w:hAnsi="仿宋" w:eastAsia="仿宋" w:cs="仿宋"/>
          <w:b/>
          <w:color w:val="auto"/>
          <w:sz w:val="32"/>
          <w:szCs w:val="32"/>
          <w:highlight w:val="none"/>
        </w:rPr>
      </w:pPr>
    </w:p>
    <w:p w14:paraId="17341CD4">
      <w:pPr>
        <w:tabs>
          <w:tab w:val="left" w:pos="1305"/>
        </w:tabs>
        <w:spacing w:line="520" w:lineRule="exact"/>
        <w:rPr>
          <w:rFonts w:hint="eastAsia" w:ascii="仿宋" w:hAnsi="仿宋" w:eastAsia="仿宋" w:cs="仿宋"/>
          <w:color w:val="auto"/>
          <w:sz w:val="24"/>
          <w:highlight w:val="none"/>
        </w:rPr>
      </w:pP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rPr>
        <w:t>、资格性响应证明材料</w:t>
      </w:r>
    </w:p>
    <w:p w14:paraId="40F4FCA8">
      <w:pPr>
        <w:pStyle w:val="9"/>
        <w:spacing w:line="400" w:lineRule="exact"/>
        <w:ind w:left="840" w:leftChars="400"/>
        <w:rPr>
          <w:rFonts w:hint="eastAsia" w:ascii="仿宋" w:hAnsi="仿宋" w:eastAsia="仿宋" w:cs="仿宋"/>
          <w:bCs/>
          <w:color w:val="auto"/>
          <w:szCs w:val="21"/>
          <w:highlight w:val="none"/>
        </w:rPr>
      </w:pPr>
    </w:p>
    <w:p w14:paraId="5B1E33CD">
      <w:pPr>
        <w:tabs>
          <w:tab w:val="left" w:pos="1305"/>
        </w:tabs>
        <w:spacing w:line="400" w:lineRule="exact"/>
        <w:rPr>
          <w:rFonts w:hint="eastAsia" w:ascii="仿宋" w:hAnsi="仿宋" w:eastAsia="仿宋" w:cs="仿宋"/>
          <w:color w:val="auto"/>
          <w:szCs w:val="21"/>
          <w:highlight w:val="none"/>
        </w:rPr>
      </w:pPr>
      <w:r>
        <w:rPr>
          <w:rFonts w:hint="eastAsia" w:ascii="仿宋" w:hAnsi="仿宋" w:eastAsia="仿宋" w:cs="仿宋"/>
          <w:b/>
          <w:color w:val="auto"/>
          <w:sz w:val="32"/>
          <w:szCs w:val="32"/>
          <w:highlight w:val="none"/>
        </w:rPr>
        <w:t>1.</w:t>
      </w:r>
      <w:r>
        <w:rPr>
          <w:rFonts w:hint="eastAsia" w:ascii="仿宋" w:hAnsi="仿宋" w:eastAsia="仿宋" w:cs="仿宋"/>
          <w:color w:val="auto"/>
          <w:highlight w:val="none"/>
        </w:rPr>
        <w:t xml:space="preserve"> </w:t>
      </w:r>
      <w:r>
        <w:rPr>
          <w:rFonts w:hint="eastAsia" w:ascii="仿宋" w:hAnsi="仿宋" w:eastAsia="仿宋" w:cs="仿宋"/>
          <w:b/>
          <w:color w:val="auto"/>
          <w:sz w:val="32"/>
          <w:szCs w:val="32"/>
          <w:highlight w:val="none"/>
        </w:rPr>
        <w:t>投标人相应的法定代表人(负责人)身份证正反面复印件（必须提供）</w:t>
      </w:r>
    </w:p>
    <w:p w14:paraId="16D8404A">
      <w:pPr>
        <w:tabs>
          <w:tab w:val="left" w:pos="1305"/>
        </w:tabs>
        <w:spacing w:line="400" w:lineRule="exact"/>
        <w:ind w:firstLine="643" w:firstLineChars="200"/>
        <w:rPr>
          <w:rFonts w:hint="eastAsia" w:ascii="仿宋" w:hAnsi="仿宋" w:eastAsia="仿宋" w:cs="仿宋"/>
          <w:b/>
          <w:color w:val="auto"/>
          <w:sz w:val="32"/>
          <w:szCs w:val="32"/>
          <w:highlight w:val="none"/>
        </w:rPr>
      </w:pPr>
    </w:p>
    <w:p w14:paraId="703560E5">
      <w:pPr>
        <w:tabs>
          <w:tab w:val="left" w:pos="1305"/>
        </w:tabs>
        <w:spacing w:line="400" w:lineRule="exact"/>
        <w:ind w:firstLine="643" w:firstLineChars="200"/>
        <w:rPr>
          <w:rFonts w:hint="eastAsia" w:ascii="仿宋" w:hAnsi="仿宋" w:eastAsia="仿宋" w:cs="仿宋"/>
          <w:b/>
          <w:color w:val="auto"/>
          <w:sz w:val="32"/>
          <w:szCs w:val="32"/>
          <w:highlight w:val="none"/>
        </w:rPr>
      </w:pPr>
    </w:p>
    <w:p w14:paraId="7600ECD3">
      <w:pPr>
        <w:tabs>
          <w:tab w:val="left" w:pos="1305"/>
        </w:tabs>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2.投标人的</w:t>
      </w:r>
      <w:r>
        <w:rPr>
          <w:rFonts w:hint="eastAsia" w:ascii="仿宋" w:hAnsi="仿宋" w:eastAsia="仿宋" w:cs="仿宋"/>
          <w:b/>
          <w:color w:val="auto"/>
          <w:sz w:val="32"/>
          <w:szCs w:val="32"/>
          <w:highlight w:val="none"/>
          <w:lang w:eastAsia="zh-CN"/>
        </w:rPr>
        <w:t>授权委托书原件、委托代理人身份证正反面复印件以及由县级以上（含县级）社会养老保险经办机构出具的供应商为委托代理人交纳的投标文件递交截止时间前半年内任意连续三个月社保证明复印件</w:t>
      </w:r>
      <w:r>
        <w:rPr>
          <w:rFonts w:hint="eastAsia" w:ascii="仿宋" w:hAnsi="仿宋" w:eastAsia="仿宋" w:cs="仿宋"/>
          <w:b/>
          <w:color w:val="auto"/>
          <w:sz w:val="32"/>
          <w:szCs w:val="32"/>
          <w:highlight w:val="none"/>
        </w:rPr>
        <w:t>（委托代理时必须提供）</w:t>
      </w:r>
    </w:p>
    <w:p w14:paraId="7631E13E">
      <w:pPr>
        <w:spacing w:line="400" w:lineRule="exact"/>
        <w:rPr>
          <w:rFonts w:hint="eastAsia" w:ascii="仿宋" w:hAnsi="仿宋" w:eastAsia="仿宋" w:cs="仿宋"/>
          <w:b/>
          <w:color w:val="auto"/>
          <w:sz w:val="30"/>
          <w:szCs w:val="30"/>
          <w:highlight w:val="none"/>
        </w:rPr>
      </w:pPr>
    </w:p>
    <w:p w14:paraId="247F69DF">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528B4501">
      <w:pPr>
        <w:pStyle w:val="9"/>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授权委托书（格式）</w:t>
      </w:r>
    </w:p>
    <w:p w14:paraId="726E6157">
      <w:pPr>
        <w:snapToGrid w:val="0"/>
        <w:spacing w:line="400" w:lineRule="exact"/>
        <w:outlineLvl w:val="4"/>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rPr>
        <w:t>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eastAsia="zh-CN"/>
        </w:rPr>
        <w:t>广西科文招标有限公司</w:t>
      </w:r>
    </w:p>
    <w:p w14:paraId="412C5772">
      <w:pPr>
        <w:snapToGrid w:val="0"/>
        <w:spacing w:line="400" w:lineRule="exact"/>
        <w:outlineLvl w:val="9"/>
        <w:rPr>
          <w:rFonts w:hint="eastAsia" w:ascii="仿宋" w:hAnsi="仿宋" w:eastAsia="仿宋" w:cs="仿宋"/>
          <w:color w:val="auto"/>
          <w:sz w:val="24"/>
          <w:szCs w:val="24"/>
          <w:highlight w:val="none"/>
          <w:u w:val="single"/>
        </w:rPr>
      </w:pPr>
    </w:p>
    <w:p w14:paraId="47D3DF59">
      <w:pPr>
        <w:pStyle w:val="9"/>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我</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（投标人名称）的法定代表人（负责人），现授权委托本单位在职职工</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（姓名）以我公司名义参加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 xml:space="preserve">（项目名称及项目编号）        </w:t>
      </w:r>
      <w:r>
        <w:rPr>
          <w:rFonts w:hint="eastAsia" w:ascii="仿宋" w:hAnsi="仿宋" w:eastAsia="仿宋" w:cs="仿宋"/>
          <w:color w:val="auto"/>
          <w:sz w:val="24"/>
          <w:szCs w:val="24"/>
          <w:highlight w:val="none"/>
        </w:rPr>
        <w:t>项目的投标活动，并代表我方全权办理针对上述项目的投标、开标、评标、签约等具体事务和签署相关文件。</w:t>
      </w:r>
    </w:p>
    <w:p w14:paraId="2EB2474D">
      <w:pPr>
        <w:pStyle w:val="9"/>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我方对被授权人的签字事项负全部责任。</w:t>
      </w:r>
    </w:p>
    <w:p w14:paraId="5EFBEDC6">
      <w:pPr>
        <w:pStyle w:val="9"/>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授权委托代理期限：自即日起至该项目政府采购活动结束。</w:t>
      </w:r>
    </w:p>
    <w:p w14:paraId="727E6326">
      <w:pPr>
        <w:pStyle w:val="9"/>
        <w:spacing w:line="40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14:paraId="30BA6E1D">
      <w:pPr>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代理人无转委托权，特此委托。 </w:t>
      </w:r>
    </w:p>
    <w:p w14:paraId="5C637A79">
      <w:pPr>
        <w:snapToGrid w:val="0"/>
        <w:spacing w:line="400" w:lineRule="exact"/>
        <w:ind w:firstLine="525"/>
        <w:outlineLvl w:val="9"/>
        <w:rPr>
          <w:rFonts w:hint="eastAsia" w:ascii="仿宋" w:hAnsi="仿宋" w:eastAsia="仿宋" w:cs="仿宋"/>
          <w:color w:val="auto"/>
          <w:sz w:val="24"/>
          <w:szCs w:val="24"/>
          <w:highlight w:val="none"/>
        </w:rPr>
      </w:pPr>
    </w:p>
    <w:p w14:paraId="1A9C8883">
      <w:pPr>
        <w:snapToGrid w:val="0"/>
        <w:spacing w:line="400" w:lineRule="exact"/>
        <w:ind w:firstLine="420"/>
        <w:outlineLvl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我已在下面签字，以资证明。</w:t>
      </w:r>
    </w:p>
    <w:p w14:paraId="0FE3C261">
      <w:pPr>
        <w:snapToGrid w:val="0"/>
        <w:spacing w:line="400" w:lineRule="exact"/>
        <w:ind w:firstLine="420"/>
        <w:outlineLvl w:val="9"/>
        <w:rPr>
          <w:rFonts w:hint="eastAsia" w:ascii="仿宋" w:hAnsi="仿宋" w:eastAsia="仿宋" w:cs="仿宋"/>
          <w:color w:val="auto"/>
          <w:sz w:val="24"/>
          <w:szCs w:val="24"/>
          <w:highlight w:val="none"/>
        </w:rPr>
      </w:pPr>
    </w:p>
    <w:p w14:paraId="16390C95">
      <w:pPr>
        <w:snapToGrid w:val="0"/>
        <w:spacing w:line="400" w:lineRule="exact"/>
        <w:ind w:firstLine="420"/>
        <w:outlineLvl w:val="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70BE59DC">
      <w:pPr>
        <w:snapToGrid w:val="0"/>
        <w:spacing w:line="400" w:lineRule="exact"/>
        <w:ind w:firstLine="420"/>
        <w:outlineLvl w:val="9"/>
        <w:rPr>
          <w:rFonts w:hint="eastAsia" w:ascii="仿宋" w:hAnsi="仿宋" w:eastAsia="仿宋" w:cs="仿宋"/>
          <w:color w:val="auto"/>
          <w:sz w:val="24"/>
          <w:szCs w:val="24"/>
          <w:highlight w:val="none"/>
        </w:rPr>
      </w:pPr>
    </w:p>
    <w:p w14:paraId="28C067EC">
      <w:pPr>
        <w:snapToGrid w:val="0"/>
        <w:spacing w:line="400" w:lineRule="exact"/>
        <w:ind w:firstLine="420"/>
        <w:outlineLvl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法定代表人（负责人）签字（或者电子签名）：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D60CF7">
      <w:pPr>
        <w:pStyle w:val="19"/>
        <w:rPr>
          <w:rFonts w:hint="eastAsia" w:ascii="仿宋" w:hAnsi="仿宋" w:eastAsia="仿宋" w:cs="仿宋"/>
          <w:color w:val="auto"/>
          <w:highlight w:val="none"/>
        </w:rPr>
      </w:pPr>
    </w:p>
    <w:p w14:paraId="61BD791D">
      <w:pPr>
        <w:tabs>
          <w:tab w:val="left" w:pos="1305"/>
        </w:tabs>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附：委托代理人身份证正反面复印件以及投标人为委托代理人交纳的2023年2月以来任意连续3个月的社保证明复印件（委托代理时必须提供）。</w:t>
      </w:r>
    </w:p>
    <w:p w14:paraId="72601B8B">
      <w:pPr>
        <w:pStyle w:val="9"/>
        <w:jc w:val="center"/>
        <w:rPr>
          <w:rFonts w:hint="eastAsia" w:ascii="仿宋" w:hAnsi="仿宋" w:eastAsia="仿宋" w:cs="仿宋"/>
          <w:b/>
          <w:color w:val="auto"/>
          <w:sz w:val="32"/>
          <w:highlight w:val="none"/>
        </w:rPr>
      </w:pPr>
    </w:p>
    <w:p w14:paraId="6442723E">
      <w:pPr>
        <w:rPr>
          <w:rFonts w:hint="eastAsia" w:ascii="仿宋" w:hAnsi="仿宋" w:eastAsia="仿宋" w:cs="仿宋"/>
          <w:color w:val="auto"/>
          <w:highlight w:val="none"/>
        </w:rPr>
      </w:pPr>
    </w:p>
    <w:p w14:paraId="7BCF3044">
      <w:pPr>
        <w:pStyle w:val="9"/>
        <w:spacing w:line="400" w:lineRule="exact"/>
        <w:rPr>
          <w:rFonts w:hint="eastAsia" w:ascii="仿宋" w:hAnsi="仿宋" w:eastAsia="仿宋" w:cs="仿宋"/>
          <w:b/>
          <w:color w:val="auto"/>
          <w:sz w:val="32"/>
          <w:szCs w:val="32"/>
          <w:highlight w:val="none"/>
        </w:rPr>
      </w:pPr>
    </w:p>
    <w:p w14:paraId="34A9D788">
      <w:pPr>
        <w:pStyle w:val="9"/>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3.投标人的法人或者其他组织营业执照等证明文件复印件（必须提供）</w:t>
      </w:r>
    </w:p>
    <w:p w14:paraId="75C4D4A1">
      <w:pPr>
        <w:tabs>
          <w:tab w:val="left" w:pos="1305"/>
        </w:tabs>
        <w:spacing w:line="38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③如投标人为企业法人的分支机构的，除应提供营业执照复印件外，还应提供其所属的总公司授权其参加政府采购活动的授权文件或授权其独立开展经营业务活动的证明材料复印件。</w:t>
      </w:r>
    </w:p>
    <w:p w14:paraId="2D9C01AC">
      <w:pPr>
        <w:tabs>
          <w:tab w:val="left" w:pos="1305"/>
        </w:tabs>
        <w:spacing w:line="400" w:lineRule="exact"/>
        <w:rPr>
          <w:rFonts w:hint="eastAsia" w:ascii="仿宋" w:hAnsi="仿宋" w:eastAsia="仿宋" w:cs="仿宋"/>
          <w:b/>
          <w:color w:val="auto"/>
          <w:sz w:val="32"/>
          <w:szCs w:val="32"/>
          <w:highlight w:val="none"/>
        </w:rPr>
      </w:pPr>
    </w:p>
    <w:p w14:paraId="17B7E36D">
      <w:pPr>
        <w:pStyle w:val="19"/>
        <w:rPr>
          <w:rFonts w:hint="eastAsia" w:ascii="仿宋" w:hAnsi="仿宋" w:eastAsia="仿宋" w:cs="仿宋"/>
          <w:color w:val="auto"/>
          <w:highlight w:val="none"/>
        </w:rPr>
      </w:pPr>
    </w:p>
    <w:p w14:paraId="20567B61">
      <w:pPr>
        <w:pStyle w:val="19"/>
        <w:rPr>
          <w:rFonts w:hint="eastAsia" w:ascii="仿宋" w:hAnsi="仿宋" w:eastAsia="仿宋" w:cs="仿宋"/>
          <w:color w:val="auto"/>
          <w:highlight w:val="none"/>
        </w:rPr>
      </w:pPr>
    </w:p>
    <w:p w14:paraId="57407780">
      <w:pPr>
        <w:pStyle w:val="19"/>
        <w:rPr>
          <w:rFonts w:hint="eastAsia" w:ascii="仿宋" w:hAnsi="仿宋" w:eastAsia="仿宋" w:cs="仿宋"/>
          <w:color w:val="auto"/>
          <w:highlight w:val="none"/>
        </w:rPr>
      </w:pPr>
    </w:p>
    <w:p w14:paraId="79FF3DC0">
      <w:pPr>
        <w:pStyle w:val="9"/>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4.投标人有效的《人力资源服务许可证》复印件（必须提供）</w:t>
      </w:r>
    </w:p>
    <w:p w14:paraId="0DC08CFD">
      <w:pPr>
        <w:pStyle w:val="9"/>
        <w:spacing w:line="400" w:lineRule="exact"/>
        <w:rPr>
          <w:rFonts w:hint="eastAsia" w:ascii="仿宋" w:hAnsi="仿宋" w:eastAsia="仿宋" w:cs="仿宋"/>
          <w:b/>
          <w:color w:val="auto"/>
          <w:sz w:val="32"/>
          <w:szCs w:val="32"/>
          <w:highlight w:val="none"/>
        </w:rPr>
      </w:pPr>
    </w:p>
    <w:p w14:paraId="357A8EE3">
      <w:pPr>
        <w:pStyle w:val="9"/>
        <w:spacing w:line="400" w:lineRule="exact"/>
        <w:rPr>
          <w:rFonts w:hint="eastAsia" w:ascii="仿宋" w:hAnsi="仿宋" w:eastAsia="仿宋" w:cs="仿宋"/>
          <w:b/>
          <w:color w:val="auto"/>
          <w:sz w:val="32"/>
          <w:szCs w:val="32"/>
          <w:highlight w:val="none"/>
        </w:rPr>
      </w:pPr>
    </w:p>
    <w:p w14:paraId="289F4647">
      <w:pPr>
        <w:pStyle w:val="9"/>
        <w:spacing w:line="400" w:lineRule="exact"/>
        <w:rPr>
          <w:rFonts w:hint="eastAsia" w:ascii="仿宋" w:hAnsi="仿宋" w:eastAsia="仿宋" w:cs="仿宋"/>
          <w:b/>
          <w:color w:val="auto"/>
          <w:sz w:val="32"/>
          <w:szCs w:val="32"/>
          <w:highlight w:val="none"/>
        </w:rPr>
      </w:pPr>
    </w:p>
    <w:p w14:paraId="6BDAFA55">
      <w:pPr>
        <w:pStyle w:val="5"/>
        <w:rPr>
          <w:rFonts w:hint="eastAsia"/>
        </w:rPr>
      </w:pPr>
    </w:p>
    <w:p w14:paraId="5B360453">
      <w:pPr>
        <w:pStyle w:val="9"/>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5.</w:t>
      </w:r>
      <w:r>
        <w:rPr>
          <w:rFonts w:hint="eastAsia" w:ascii="仿宋" w:hAnsi="仿宋" w:eastAsia="仿宋" w:cs="仿宋"/>
          <w:b/>
          <w:color w:val="auto"/>
          <w:sz w:val="32"/>
          <w:szCs w:val="32"/>
          <w:highlight w:val="none"/>
        </w:rPr>
        <w:t>投标人</w:t>
      </w:r>
      <w:r>
        <w:rPr>
          <w:rFonts w:hint="eastAsia" w:ascii="仿宋" w:hAnsi="仿宋" w:eastAsia="仿宋" w:cs="仿宋"/>
          <w:b/>
          <w:color w:val="auto"/>
          <w:sz w:val="32"/>
          <w:szCs w:val="32"/>
          <w:highlight w:val="none"/>
          <w:lang w:eastAsia="zh-CN"/>
        </w:rPr>
        <w:t>2024或2025年度</w:t>
      </w:r>
      <w:r>
        <w:rPr>
          <w:rFonts w:hint="eastAsia" w:ascii="仿宋" w:hAnsi="仿宋" w:eastAsia="仿宋" w:cs="仿宋"/>
          <w:b/>
          <w:color w:val="auto"/>
          <w:sz w:val="32"/>
          <w:szCs w:val="32"/>
          <w:highlight w:val="none"/>
        </w:rPr>
        <w:t>的财务状况报告复印件（或2024年银行出具的资信证明复印件）（必须提供，可以是</w:t>
      </w:r>
      <w:r>
        <w:rPr>
          <w:rFonts w:hint="eastAsia" w:ascii="仿宋" w:hAnsi="仿宋" w:eastAsia="仿宋" w:cs="仿宋"/>
          <w:b/>
          <w:color w:val="auto"/>
          <w:sz w:val="32"/>
          <w:szCs w:val="32"/>
          <w:highlight w:val="none"/>
          <w:lang w:eastAsia="zh-CN"/>
        </w:rPr>
        <w:t>投标</w:t>
      </w:r>
      <w:r>
        <w:rPr>
          <w:rFonts w:hint="eastAsia" w:ascii="仿宋" w:hAnsi="仿宋" w:eastAsia="仿宋" w:cs="仿宋"/>
          <w:b/>
          <w:color w:val="auto"/>
          <w:sz w:val="32"/>
          <w:szCs w:val="32"/>
          <w:highlight w:val="none"/>
        </w:rPr>
        <w:t>供应商自行编制也可是通过第三方审计公司编制，如为自行编制至少须提供现金流量表、负债表及利润表）</w:t>
      </w:r>
    </w:p>
    <w:p w14:paraId="008835D9">
      <w:pPr>
        <w:rPr>
          <w:rFonts w:hint="eastAsia" w:ascii="仿宋" w:hAnsi="仿宋" w:eastAsia="仿宋" w:cs="仿宋"/>
          <w:color w:val="auto"/>
          <w:highlight w:val="none"/>
        </w:rPr>
      </w:pPr>
    </w:p>
    <w:p w14:paraId="5AC09308">
      <w:pPr>
        <w:pStyle w:val="19"/>
        <w:rPr>
          <w:rFonts w:hint="eastAsia" w:ascii="仿宋" w:hAnsi="仿宋" w:eastAsia="仿宋" w:cs="仿宋"/>
          <w:color w:val="auto"/>
          <w:highlight w:val="none"/>
        </w:rPr>
      </w:pPr>
    </w:p>
    <w:p w14:paraId="5AEE74DE">
      <w:pPr>
        <w:pStyle w:val="19"/>
        <w:rPr>
          <w:rFonts w:hint="eastAsia" w:ascii="仿宋" w:hAnsi="仿宋" w:eastAsia="仿宋" w:cs="仿宋"/>
          <w:color w:val="auto"/>
          <w:highlight w:val="none"/>
        </w:rPr>
      </w:pPr>
    </w:p>
    <w:p w14:paraId="6A5A9C49">
      <w:pPr>
        <w:pStyle w:val="19"/>
        <w:rPr>
          <w:rFonts w:hint="eastAsia" w:ascii="仿宋" w:hAnsi="仿宋" w:eastAsia="仿宋" w:cs="仿宋"/>
          <w:color w:val="auto"/>
          <w:highlight w:val="none"/>
        </w:rPr>
      </w:pPr>
    </w:p>
    <w:p w14:paraId="70000363">
      <w:pPr>
        <w:pStyle w:val="9"/>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投标人投标截止时间前半年内任意连续三个月依法缴纳税收的相关材料复印件</w:t>
      </w:r>
      <w:r>
        <w:rPr>
          <w:rFonts w:hint="eastAsia" w:ascii="仿宋" w:hAnsi="仿宋" w:eastAsia="仿宋" w:cs="仿宋"/>
          <w:b/>
          <w:color w:val="auto"/>
          <w:sz w:val="32"/>
          <w:szCs w:val="32"/>
          <w:highlight w:val="none"/>
        </w:rPr>
        <w:t>（必须提供）</w:t>
      </w:r>
    </w:p>
    <w:p w14:paraId="3BD64177">
      <w:pPr>
        <w:pStyle w:val="19"/>
        <w:rPr>
          <w:rFonts w:hint="eastAsia" w:ascii="仿宋" w:hAnsi="仿宋" w:eastAsia="仿宋" w:cs="仿宋"/>
          <w:color w:val="auto"/>
          <w:highlight w:val="none"/>
        </w:rPr>
      </w:pPr>
    </w:p>
    <w:p w14:paraId="596CF933">
      <w:pPr>
        <w:pStyle w:val="19"/>
        <w:rPr>
          <w:rFonts w:hint="eastAsia" w:ascii="仿宋" w:hAnsi="仿宋" w:eastAsia="仿宋" w:cs="仿宋"/>
          <w:color w:val="auto"/>
          <w:highlight w:val="none"/>
        </w:rPr>
      </w:pPr>
    </w:p>
    <w:p w14:paraId="2EF260E5">
      <w:pPr>
        <w:pStyle w:val="19"/>
        <w:rPr>
          <w:rFonts w:hint="eastAsia" w:ascii="仿宋" w:hAnsi="仿宋" w:eastAsia="仿宋" w:cs="仿宋"/>
          <w:color w:val="auto"/>
          <w:highlight w:val="none"/>
        </w:rPr>
      </w:pPr>
    </w:p>
    <w:p w14:paraId="2E9E225C">
      <w:pPr>
        <w:pStyle w:val="19"/>
        <w:rPr>
          <w:rFonts w:hint="eastAsia" w:ascii="仿宋" w:hAnsi="仿宋" w:eastAsia="仿宋" w:cs="仿宋"/>
          <w:color w:val="auto"/>
          <w:highlight w:val="none"/>
        </w:rPr>
      </w:pPr>
    </w:p>
    <w:p w14:paraId="7F2EC730">
      <w:pPr>
        <w:pStyle w:val="19"/>
        <w:rPr>
          <w:rFonts w:hint="eastAsia" w:ascii="仿宋" w:hAnsi="仿宋" w:eastAsia="仿宋" w:cs="仿宋"/>
          <w:color w:val="auto"/>
          <w:highlight w:val="none"/>
        </w:rPr>
      </w:pPr>
    </w:p>
    <w:p w14:paraId="5B04CA81">
      <w:pPr>
        <w:pStyle w:val="19"/>
        <w:rPr>
          <w:rFonts w:hint="eastAsia" w:ascii="仿宋" w:hAnsi="仿宋" w:eastAsia="仿宋" w:cs="仿宋"/>
          <w:color w:val="auto"/>
          <w:highlight w:val="none"/>
        </w:rPr>
      </w:pPr>
    </w:p>
    <w:p w14:paraId="4771DEBE">
      <w:pPr>
        <w:pStyle w:val="19"/>
        <w:rPr>
          <w:rFonts w:hint="eastAsia" w:ascii="仿宋" w:hAnsi="仿宋" w:eastAsia="仿宋" w:cs="仿宋"/>
          <w:color w:val="auto"/>
          <w:highlight w:val="none"/>
        </w:rPr>
      </w:pPr>
    </w:p>
    <w:p w14:paraId="6B1B029A">
      <w:pPr>
        <w:pStyle w:val="19"/>
        <w:rPr>
          <w:rFonts w:hint="eastAsia" w:ascii="仿宋" w:hAnsi="仿宋" w:eastAsia="仿宋" w:cs="仿宋"/>
          <w:color w:val="auto"/>
          <w:highlight w:val="none"/>
        </w:rPr>
      </w:pPr>
    </w:p>
    <w:p w14:paraId="41D880A1">
      <w:pPr>
        <w:pStyle w:val="19"/>
        <w:rPr>
          <w:rFonts w:hint="eastAsia" w:ascii="仿宋" w:hAnsi="仿宋" w:eastAsia="仿宋" w:cs="仿宋"/>
          <w:color w:val="auto"/>
          <w:highlight w:val="none"/>
        </w:rPr>
      </w:pPr>
    </w:p>
    <w:p w14:paraId="2F2F097A">
      <w:pPr>
        <w:pStyle w:val="19"/>
        <w:rPr>
          <w:rFonts w:hint="eastAsia" w:ascii="仿宋" w:hAnsi="仿宋" w:eastAsia="仿宋" w:cs="仿宋"/>
          <w:color w:val="auto"/>
          <w:highlight w:val="none"/>
        </w:rPr>
      </w:pPr>
    </w:p>
    <w:p w14:paraId="00028A7B">
      <w:pPr>
        <w:pStyle w:val="19"/>
        <w:rPr>
          <w:rFonts w:hint="eastAsia" w:ascii="仿宋" w:hAnsi="仿宋" w:eastAsia="仿宋" w:cs="仿宋"/>
          <w:color w:val="auto"/>
          <w:highlight w:val="none"/>
        </w:rPr>
      </w:pPr>
    </w:p>
    <w:p w14:paraId="5FEC49EE">
      <w:pPr>
        <w:pStyle w:val="19"/>
        <w:rPr>
          <w:rFonts w:hint="eastAsia" w:ascii="仿宋" w:hAnsi="仿宋" w:eastAsia="仿宋" w:cs="仿宋"/>
          <w:color w:val="auto"/>
          <w:highlight w:val="none"/>
        </w:rPr>
      </w:pPr>
    </w:p>
    <w:p w14:paraId="3B49FE43">
      <w:pPr>
        <w:pStyle w:val="9"/>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7</w:t>
      </w:r>
      <w:r>
        <w:rPr>
          <w:rFonts w:hint="eastAsia" w:ascii="仿宋" w:hAnsi="仿宋" w:eastAsia="仿宋" w:cs="仿宋"/>
          <w:b/>
          <w:color w:val="auto"/>
          <w:sz w:val="32"/>
          <w:szCs w:val="32"/>
          <w:highlight w:val="none"/>
        </w:rPr>
        <w:t>.投标人参加政府采购活动前3年内在经营活动中没有重大违法记录及有关信用信息的书面声明（必须提供）</w:t>
      </w:r>
    </w:p>
    <w:p w14:paraId="235AA134">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337C793B">
      <w:pPr>
        <w:pStyle w:val="9"/>
        <w:spacing w:line="400" w:lineRule="exact"/>
        <w:jc w:val="center"/>
        <w:rPr>
          <w:rFonts w:hint="eastAsia" w:ascii="仿宋" w:hAnsi="仿宋" w:eastAsia="仿宋" w:cs="仿宋"/>
          <w:b/>
          <w:color w:val="auto"/>
          <w:sz w:val="32"/>
          <w:szCs w:val="32"/>
          <w:highlight w:val="none"/>
        </w:rPr>
      </w:pPr>
    </w:p>
    <w:p w14:paraId="216AB8AD">
      <w:pPr>
        <w:pStyle w:val="9"/>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声   明（格式）</w:t>
      </w:r>
    </w:p>
    <w:p w14:paraId="5550CA8B">
      <w:pPr>
        <w:snapToGrid w:val="0"/>
        <w:spacing w:line="400" w:lineRule="exact"/>
        <w:outlineLvl w:val="9"/>
        <w:rPr>
          <w:rFonts w:hint="eastAsia" w:ascii="仿宋" w:hAnsi="仿宋" w:eastAsia="仿宋" w:cs="仿宋"/>
          <w:b/>
          <w:color w:val="auto"/>
          <w:sz w:val="24"/>
          <w:szCs w:val="24"/>
          <w:highlight w:val="none"/>
        </w:rPr>
      </w:pPr>
    </w:p>
    <w:p w14:paraId="024F9395">
      <w:pPr>
        <w:snapToGrid w:val="0"/>
        <w:spacing w:line="400" w:lineRule="exact"/>
        <w:outlineLvl w:val="4"/>
        <w:rPr>
          <w:rFonts w:hint="eastAsia"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rPr>
        <w:t>致</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eastAsia="zh-CN"/>
        </w:rPr>
        <w:t>广西科文招标有限公司</w:t>
      </w:r>
    </w:p>
    <w:p w14:paraId="5D3CA990">
      <w:pPr>
        <w:snapToGrid w:val="0"/>
        <w:spacing w:line="400" w:lineRule="exact"/>
        <w:outlineLvl w:val="9"/>
        <w:rPr>
          <w:rFonts w:hint="eastAsia" w:ascii="仿宋" w:hAnsi="仿宋" w:eastAsia="仿宋" w:cs="仿宋"/>
          <w:color w:val="auto"/>
          <w:sz w:val="24"/>
          <w:szCs w:val="24"/>
          <w:highlight w:val="none"/>
          <w:u w:val="single"/>
        </w:rPr>
      </w:pPr>
    </w:p>
    <w:p w14:paraId="624EF810">
      <w:pPr>
        <w:pStyle w:val="9"/>
        <w:spacing w:line="3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CC20445">
      <w:pPr>
        <w:snapToGrid w:val="0"/>
        <w:spacing w:line="400" w:lineRule="exact"/>
        <w:ind w:firstLine="5160" w:firstLineChars="2150"/>
        <w:outlineLvl w:val="9"/>
        <w:rPr>
          <w:rFonts w:hint="eastAsia" w:ascii="仿宋" w:hAnsi="仿宋" w:eastAsia="仿宋" w:cs="仿宋"/>
          <w:color w:val="auto"/>
          <w:sz w:val="24"/>
          <w:szCs w:val="24"/>
          <w:highlight w:val="none"/>
        </w:rPr>
      </w:pPr>
    </w:p>
    <w:p w14:paraId="2D4D221A">
      <w:pPr>
        <w:snapToGrid w:val="0"/>
        <w:spacing w:line="400" w:lineRule="exact"/>
        <w:outlineLvl w:val="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3D46EC7E">
      <w:pPr>
        <w:spacing w:line="340" w:lineRule="exact"/>
        <w:rPr>
          <w:rFonts w:hint="eastAsia" w:ascii="仿宋" w:hAnsi="仿宋" w:eastAsia="仿宋" w:cs="仿宋"/>
          <w:color w:val="auto"/>
          <w:sz w:val="24"/>
          <w:szCs w:val="24"/>
          <w:highlight w:val="none"/>
        </w:rPr>
      </w:pPr>
    </w:p>
    <w:p w14:paraId="625FDEC9">
      <w:pPr>
        <w:spacing w:line="3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法定代表人(负责人)或相应委托代理人签字（或者电子签名）：</w:t>
      </w:r>
      <w:r>
        <w:rPr>
          <w:rFonts w:hint="eastAsia" w:ascii="仿宋" w:hAnsi="仿宋" w:eastAsia="仿宋" w:cs="仿宋"/>
          <w:color w:val="auto"/>
          <w:sz w:val="24"/>
          <w:szCs w:val="24"/>
          <w:highlight w:val="none"/>
          <w:u w:val="single"/>
        </w:rPr>
        <w:t xml:space="preserve">                              </w:t>
      </w:r>
    </w:p>
    <w:p w14:paraId="7E405CBC">
      <w:pPr>
        <w:spacing w:line="340" w:lineRule="exact"/>
        <w:ind w:firstLine="1920" w:firstLineChars="800"/>
        <w:rPr>
          <w:rFonts w:hint="eastAsia" w:ascii="仿宋" w:hAnsi="仿宋" w:eastAsia="仿宋" w:cs="仿宋"/>
          <w:color w:val="auto"/>
          <w:sz w:val="24"/>
          <w:szCs w:val="24"/>
          <w:highlight w:val="none"/>
        </w:rPr>
      </w:pPr>
    </w:p>
    <w:p w14:paraId="0BAFDF06">
      <w:pPr>
        <w:spacing w:line="3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日          期：</w:t>
      </w:r>
      <w:r>
        <w:rPr>
          <w:rFonts w:hint="eastAsia" w:ascii="仿宋" w:hAnsi="仿宋" w:eastAsia="仿宋" w:cs="仿宋"/>
          <w:color w:val="auto"/>
          <w:sz w:val="24"/>
          <w:szCs w:val="24"/>
          <w:highlight w:val="none"/>
          <w:u w:val="single"/>
        </w:rPr>
        <w:t xml:space="preserve">                                                   </w:t>
      </w:r>
    </w:p>
    <w:p w14:paraId="6045F05D">
      <w:pPr>
        <w:spacing w:line="340" w:lineRule="exact"/>
        <w:ind w:firstLine="2160" w:firstLineChars="900"/>
        <w:rPr>
          <w:rFonts w:hint="eastAsia" w:ascii="仿宋" w:hAnsi="仿宋" w:eastAsia="仿宋" w:cs="仿宋"/>
          <w:color w:val="auto"/>
          <w:sz w:val="24"/>
          <w:szCs w:val="24"/>
          <w:highlight w:val="none"/>
          <w:u w:val="single"/>
        </w:rPr>
      </w:pPr>
    </w:p>
    <w:p w14:paraId="551B2229">
      <w:pPr>
        <w:spacing w:line="340" w:lineRule="exact"/>
        <w:ind w:firstLine="1890" w:firstLineChars="900"/>
        <w:rPr>
          <w:rFonts w:hint="eastAsia" w:ascii="仿宋" w:hAnsi="仿宋" w:eastAsia="仿宋" w:cs="仿宋"/>
          <w:color w:val="auto"/>
          <w:highlight w:val="none"/>
          <w:u w:val="single"/>
        </w:rPr>
      </w:pPr>
    </w:p>
    <w:p w14:paraId="4BDFD42D">
      <w:pPr>
        <w:spacing w:line="340" w:lineRule="exact"/>
        <w:ind w:firstLine="1890" w:firstLineChars="900"/>
        <w:rPr>
          <w:rFonts w:hint="eastAsia" w:ascii="仿宋" w:hAnsi="仿宋" w:eastAsia="仿宋" w:cs="仿宋"/>
          <w:color w:val="auto"/>
          <w:highlight w:val="none"/>
          <w:u w:val="single"/>
        </w:rPr>
      </w:pPr>
    </w:p>
    <w:p w14:paraId="276DAE17">
      <w:pPr>
        <w:pStyle w:val="19"/>
        <w:rPr>
          <w:rFonts w:hint="eastAsia" w:ascii="仿宋" w:hAnsi="仿宋" w:eastAsia="仿宋" w:cs="仿宋"/>
          <w:color w:val="auto"/>
          <w:highlight w:val="none"/>
        </w:rPr>
      </w:pPr>
    </w:p>
    <w:p w14:paraId="668A9A50">
      <w:pPr>
        <w:pStyle w:val="19"/>
        <w:rPr>
          <w:rFonts w:hint="eastAsia" w:ascii="仿宋" w:hAnsi="仿宋" w:eastAsia="仿宋" w:cs="仿宋"/>
          <w:color w:val="auto"/>
          <w:highlight w:val="none"/>
        </w:rPr>
      </w:pPr>
    </w:p>
    <w:p w14:paraId="3FC71FCC">
      <w:pPr>
        <w:pStyle w:val="19"/>
        <w:rPr>
          <w:rFonts w:hint="eastAsia" w:ascii="仿宋" w:hAnsi="仿宋" w:eastAsia="仿宋" w:cs="仿宋"/>
          <w:color w:val="auto"/>
          <w:highlight w:val="none"/>
        </w:rPr>
      </w:pPr>
    </w:p>
    <w:p w14:paraId="5680A03C">
      <w:pPr>
        <w:pStyle w:val="19"/>
        <w:rPr>
          <w:rFonts w:hint="eastAsia" w:ascii="仿宋" w:hAnsi="仿宋" w:eastAsia="仿宋" w:cs="仿宋"/>
          <w:color w:val="auto"/>
          <w:highlight w:val="none"/>
        </w:rPr>
      </w:pPr>
    </w:p>
    <w:p w14:paraId="614BDF8D">
      <w:pPr>
        <w:pStyle w:val="19"/>
        <w:rPr>
          <w:rFonts w:hint="eastAsia" w:ascii="仿宋" w:hAnsi="仿宋" w:eastAsia="仿宋" w:cs="仿宋"/>
          <w:color w:val="auto"/>
          <w:highlight w:val="none"/>
        </w:rPr>
      </w:pPr>
    </w:p>
    <w:p w14:paraId="5C8B09FE">
      <w:pPr>
        <w:pStyle w:val="19"/>
        <w:rPr>
          <w:rFonts w:hint="eastAsia" w:ascii="仿宋" w:hAnsi="仿宋" w:eastAsia="仿宋" w:cs="仿宋"/>
          <w:color w:val="auto"/>
          <w:highlight w:val="none"/>
        </w:rPr>
      </w:pPr>
    </w:p>
    <w:p w14:paraId="2A83630A">
      <w:pPr>
        <w:pStyle w:val="19"/>
        <w:rPr>
          <w:rFonts w:hint="eastAsia" w:ascii="仿宋" w:hAnsi="仿宋" w:eastAsia="仿宋" w:cs="仿宋"/>
          <w:color w:val="auto"/>
          <w:highlight w:val="none"/>
        </w:rPr>
      </w:pPr>
    </w:p>
    <w:p w14:paraId="02EA8C06">
      <w:pPr>
        <w:pStyle w:val="19"/>
        <w:rPr>
          <w:rFonts w:hint="eastAsia" w:ascii="仿宋" w:hAnsi="仿宋" w:eastAsia="仿宋" w:cs="仿宋"/>
          <w:color w:val="auto"/>
          <w:highlight w:val="none"/>
        </w:rPr>
      </w:pPr>
    </w:p>
    <w:p w14:paraId="590463B7">
      <w:pPr>
        <w:pStyle w:val="19"/>
        <w:rPr>
          <w:rFonts w:hint="eastAsia" w:ascii="仿宋" w:hAnsi="仿宋" w:eastAsia="仿宋" w:cs="仿宋"/>
          <w:color w:val="auto"/>
          <w:highlight w:val="none"/>
        </w:rPr>
      </w:pPr>
    </w:p>
    <w:p w14:paraId="49BF58A9">
      <w:pPr>
        <w:pStyle w:val="19"/>
        <w:rPr>
          <w:rFonts w:hint="eastAsia" w:ascii="仿宋" w:hAnsi="仿宋" w:eastAsia="仿宋" w:cs="仿宋"/>
          <w:color w:val="auto"/>
          <w:highlight w:val="none"/>
        </w:rPr>
      </w:pPr>
    </w:p>
    <w:p w14:paraId="07B8DF93">
      <w:pPr>
        <w:pStyle w:val="19"/>
        <w:rPr>
          <w:rFonts w:hint="eastAsia" w:ascii="仿宋" w:hAnsi="仿宋" w:eastAsia="仿宋" w:cs="仿宋"/>
          <w:color w:val="auto"/>
          <w:highlight w:val="none"/>
        </w:rPr>
      </w:pPr>
    </w:p>
    <w:p w14:paraId="44996800">
      <w:pPr>
        <w:pStyle w:val="19"/>
        <w:rPr>
          <w:rFonts w:hint="eastAsia" w:ascii="仿宋" w:hAnsi="仿宋" w:eastAsia="仿宋" w:cs="仿宋"/>
          <w:color w:val="auto"/>
          <w:highlight w:val="none"/>
        </w:rPr>
      </w:pPr>
    </w:p>
    <w:p w14:paraId="48F8CE66">
      <w:pPr>
        <w:pStyle w:val="19"/>
        <w:rPr>
          <w:rFonts w:hint="eastAsia" w:ascii="仿宋" w:hAnsi="仿宋" w:eastAsia="仿宋" w:cs="仿宋"/>
          <w:color w:val="auto"/>
          <w:highlight w:val="none"/>
        </w:rPr>
      </w:pPr>
    </w:p>
    <w:p w14:paraId="49082284">
      <w:pPr>
        <w:pStyle w:val="19"/>
        <w:rPr>
          <w:rFonts w:hint="eastAsia" w:ascii="仿宋" w:hAnsi="仿宋" w:eastAsia="仿宋" w:cs="仿宋"/>
          <w:color w:val="auto"/>
          <w:highlight w:val="none"/>
        </w:rPr>
      </w:pPr>
    </w:p>
    <w:p w14:paraId="2A51D37D">
      <w:pPr>
        <w:pStyle w:val="19"/>
        <w:rPr>
          <w:rFonts w:hint="eastAsia" w:ascii="仿宋" w:hAnsi="仿宋" w:eastAsia="仿宋" w:cs="仿宋"/>
          <w:color w:val="auto"/>
          <w:highlight w:val="none"/>
        </w:rPr>
      </w:pPr>
    </w:p>
    <w:p w14:paraId="45550B0E">
      <w:pPr>
        <w:pStyle w:val="19"/>
        <w:rPr>
          <w:rFonts w:hint="eastAsia" w:ascii="仿宋" w:hAnsi="仿宋" w:eastAsia="仿宋" w:cs="仿宋"/>
          <w:color w:val="auto"/>
          <w:highlight w:val="none"/>
        </w:rPr>
      </w:pPr>
    </w:p>
    <w:p w14:paraId="79DB0034">
      <w:pPr>
        <w:pStyle w:val="19"/>
        <w:rPr>
          <w:rFonts w:hint="eastAsia" w:ascii="仿宋" w:hAnsi="仿宋" w:eastAsia="仿宋" w:cs="仿宋"/>
          <w:color w:val="auto"/>
          <w:highlight w:val="none"/>
        </w:rPr>
      </w:pPr>
    </w:p>
    <w:p w14:paraId="41E1F57B">
      <w:pPr>
        <w:pStyle w:val="19"/>
        <w:rPr>
          <w:rFonts w:hint="eastAsia" w:ascii="仿宋" w:hAnsi="仿宋" w:eastAsia="仿宋" w:cs="仿宋"/>
          <w:color w:val="auto"/>
          <w:highlight w:val="none"/>
        </w:rPr>
      </w:pPr>
    </w:p>
    <w:p w14:paraId="056CCB81">
      <w:pPr>
        <w:pStyle w:val="9"/>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lang w:val="en-US" w:eastAsia="zh-CN"/>
        </w:rPr>
        <w:t>8</w:t>
      </w:r>
      <w:r>
        <w:rPr>
          <w:rFonts w:hint="eastAsia" w:ascii="仿宋" w:hAnsi="仿宋" w:eastAsia="仿宋" w:cs="仿宋"/>
          <w:b/>
          <w:color w:val="auto"/>
          <w:kern w:val="0"/>
          <w:sz w:val="32"/>
          <w:szCs w:val="32"/>
          <w:highlight w:val="none"/>
        </w:rPr>
        <w:t>.</w:t>
      </w:r>
      <w:r>
        <w:rPr>
          <w:rFonts w:hint="eastAsia" w:ascii="仿宋" w:hAnsi="仿宋" w:eastAsia="仿宋" w:cs="仿宋"/>
          <w:b/>
          <w:color w:val="auto"/>
          <w:sz w:val="32"/>
          <w:szCs w:val="32"/>
          <w:highlight w:val="none"/>
        </w:rPr>
        <w:t>投标人参加本项目无围标串标行为的承诺函（必须提供）</w:t>
      </w:r>
    </w:p>
    <w:p w14:paraId="74D2C330">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4C716546">
      <w:pPr>
        <w:pStyle w:val="9"/>
        <w:spacing w:line="400" w:lineRule="exact"/>
        <w:jc w:val="center"/>
        <w:rPr>
          <w:rFonts w:hint="eastAsia" w:ascii="仿宋" w:hAnsi="仿宋" w:eastAsia="仿宋" w:cs="仿宋"/>
          <w:b/>
          <w:color w:val="auto"/>
          <w:sz w:val="32"/>
          <w:szCs w:val="32"/>
          <w:highlight w:val="none"/>
        </w:rPr>
      </w:pPr>
    </w:p>
    <w:p w14:paraId="2A37A5C3">
      <w:pPr>
        <w:pStyle w:val="9"/>
        <w:spacing w:line="40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投标人参加本项目无围标串标行为的承诺函（格式）</w:t>
      </w:r>
    </w:p>
    <w:p w14:paraId="0C1FF998">
      <w:pPr>
        <w:spacing w:line="400" w:lineRule="exact"/>
        <w:rPr>
          <w:rFonts w:hint="eastAsia" w:ascii="仿宋" w:hAnsi="仿宋" w:eastAsia="仿宋" w:cs="仿宋"/>
          <w:b/>
          <w:color w:val="auto"/>
          <w:sz w:val="32"/>
          <w:szCs w:val="32"/>
          <w:highlight w:val="none"/>
        </w:rPr>
      </w:pPr>
    </w:p>
    <w:p w14:paraId="6B15BDF7">
      <w:pPr>
        <w:snapToGrid w:val="0"/>
        <w:spacing w:before="165" w:beforeLines="50" w:after="50" w:line="32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一、我公司承诺无下列相互串通投标的情形：</w:t>
      </w:r>
    </w:p>
    <w:p w14:paraId="5CF1E3C3">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1.不同投标人的投标文件由同一单位或者个人编制；</w:t>
      </w:r>
    </w:p>
    <w:p w14:paraId="2A2AA8B2">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2.不同投标人委托同一单位或者个人办理投标事宜；</w:t>
      </w:r>
    </w:p>
    <w:p w14:paraId="1BA00002">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3.不同的投标人的投标文件载明的项目管理员为同一个人；</w:t>
      </w:r>
    </w:p>
    <w:p w14:paraId="73CA2E7F">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4.不同投标人的投标文件异常一致或投标报价呈规律性差异； </w:t>
      </w:r>
    </w:p>
    <w:p w14:paraId="08BC8E71">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5.不同投标人的投标文件相互混装。</w:t>
      </w:r>
    </w:p>
    <w:p w14:paraId="69E0EA8C">
      <w:pPr>
        <w:snapToGrid w:val="0"/>
        <w:spacing w:before="165" w:beforeLines="50" w:after="50" w:line="32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二、我公司承诺无下列恶意串通的情形：</w:t>
      </w:r>
    </w:p>
    <w:p w14:paraId="012E0B70">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1.供应商直接或者间接从采购人或者采购代理机构处获得其他供应商的相关信息并修改其投标文件或者</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w:t>
      </w:r>
    </w:p>
    <w:p w14:paraId="0D00FF52">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2.供应商按照采购人或者采购代理机构的授意撤换、修改投标文件或者</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w:t>
      </w:r>
    </w:p>
    <w:p w14:paraId="6722AB31">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3.供应商之间协商报价、技术方案等投标文件或者</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的实质性内容；</w:t>
      </w:r>
    </w:p>
    <w:p w14:paraId="40617524">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4.属于同一集团、协会、商会等组织成员的供应商按照该组织要求协同参加政府采购活动；</w:t>
      </w:r>
    </w:p>
    <w:p w14:paraId="75D679B5">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5.供应商之间事先约定一致抬高或者压低投标报价,或者在招标项目中事先约定轮流以高价位或者低价位中标,或者事先约定由某一特定供应商中标,然后再参加投标；</w:t>
      </w:r>
    </w:p>
    <w:p w14:paraId="02EFC5D2">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6.供应商之间商定部分供应商放弃参加政府采购活动或者放弃中标；</w:t>
      </w:r>
    </w:p>
    <w:p w14:paraId="38B7F83B">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7.供应商与采购人或者采购代理机构之间、供应商相互之间，为谋求特定供应商中标或者排斥其他供应商的其他串通行为。</w:t>
      </w:r>
    </w:p>
    <w:p w14:paraId="4D42F0AA">
      <w:pPr>
        <w:snapToGrid w:val="0"/>
        <w:spacing w:before="165" w:beforeLines="50" w:after="50" w:line="320" w:lineRule="exact"/>
        <w:ind w:firstLine="470" w:firstLineChars="196"/>
        <w:jc w:val="left"/>
        <w:rPr>
          <w:rFonts w:hint="eastAsia" w:ascii="仿宋" w:hAnsi="仿宋" w:eastAsia="仿宋" w:cs="仿宋"/>
          <w:color w:val="auto"/>
          <w:sz w:val="24"/>
          <w:highlight w:val="none"/>
        </w:rPr>
      </w:pPr>
    </w:p>
    <w:p w14:paraId="6736420C">
      <w:pPr>
        <w:snapToGrid w:val="0"/>
        <w:spacing w:before="165" w:beforeLines="50" w:after="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以上情形一经核查属实，我方愿意承担一切后果，并不再寻求任何旨在减轻或免除法律责任的辩解。</w:t>
      </w:r>
    </w:p>
    <w:p w14:paraId="538F874F">
      <w:pPr>
        <w:snapToGrid w:val="0"/>
        <w:spacing w:line="400" w:lineRule="exact"/>
        <w:outlineLvl w:val="4"/>
        <w:rPr>
          <w:rFonts w:hint="eastAsia" w:ascii="仿宋" w:hAnsi="仿宋" w:eastAsia="仿宋" w:cs="仿宋"/>
          <w:color w:val="auto"/>
          <w:sz w:val="24"/>
          <w:szCs w:val="24"/>
          <w:highlight w:val="none"/>
        </w:rPr>
      </w:pPr>
    </w:p>
    <w:p w14:paraId="7CFA3B49">
      <w:pPr>
        <w:snapToGrid w:val="0"/>
        <w:spacing w:line="400" w:lineRule="exact"/>
        <w:outlineLvl w:val="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22B3574C">
      <w:pPr>
        <w:pStyle w:val="9"/>
        <w:spacing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法定代表人(负责人)或相应的委托代理人签字（或者电子签名）：</w:t>
      </w:r>
      <w:r>
        <w:rPr>
          <w:rFonts w:hint="eastAsia" w:ascii="仿宋" w:hAnsi="仿宋" w:eastAsia="仿宋" w:cs="仿宋"/>
          <w:color w:val="auto"/>
          <w:sz w:val="24"/>
          <w:szCs w:val="24"/>
          <w:highlight w:val="none"/>
          <w:u w:val="single"/>
        </w:rPr>
        <w:t xml:space="preserve">                              </w:t>
      </w:r>
    </w:p>
    <w:p w14:paraId="281383D5">
      <w:pPr>
        <w:pStyle w:val="9"/>
        <w:spacing w:line="44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11833C1E">
      <w:pPr>
        <w:rPr>
          <w:rFonts w:hint="eastAsia" w:ascii="仿宋" w:hAnsi="仿宋" w:eastAsia="仿宋" w:cs="仿宋"/>
          <w:b/>
          <w:color w:val="auto"/>
          <w:highlight w:val="none"/>
        </w:rPr>
      </w:pPr>
    </w:p>
    <w:p w14:paraId="7CB9D91C">
      <w:pPr>
        <w:pStyle w:val="9"/>
        <w:spacing w:line="400" w:lineRule="exact"/>
        <w:rPr>
          <w:rFonts w:hint="eastAsia" w:ascii="仿宋" w:hAnsi="仿宋" w:eastAsia="仿宋" w:cs="仿宋"/>
          <w:b/>
          <w:color w:val="auto"/>
          <w:kern w:val="0"/>
          <w:sz w:val="32"/>
          <w:szCs w:val="32"/>
          <w:highlight w:val="none"/>
        </w:rPr>
      </w:pPr>
    </w:p>
    <w:p w14:paraId="3E717F29">
      <w:pPr>
        <w:spacing w:line="400" w:lineRule="exact"/>
        <w:rPr>
          <w:rFonts w:hint="eastAsia" w:ascii="仿宋" w:hAnsi="仿宋" w:eastAsia="仿宋" w:cs="仿宋"/>
          <w:b/>
          <w:color w:val="auto"/>
          <w:sz w:val="32"/>
          <w:szCs w:val="32"/>
          <w:highlight w:val="none"/>
        </w:rPr>
      </w:pPr>
    </w:p>
    <w:p w14:paraId="1299A570">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二、商务、技术性响应及其他有效证明材料</w:t>
      </w:r>
    </w:p>
    <w:p w14:paraId="76C4DA69">
      <w:pPr>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1</w:t>
      </w:r>
      <w:r>
        <w:rPr>
          <w:rFonts w:hint="eastAsia" w:ascii="仿宋" w:hAnsi="仿宋" w:eastAsia="仿宋" w:cs="仿宋"/>
          <w:b/>
          <w:color w:val="auto"/>
          <w:sz w:val="32"/>
          <w:szCs w:val="32"/>
          <w:highlight w:val="none"/>
        </w:rPr>
        <w:t>.投标报价表及分项报价明细表（必须提供）</w:t>
      </w:r>
    </w:p>
    <w:p w14:paraId="18E5D8F3">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2819E9F7">
      <w:pPr>
        <w:spacing w:line="440" w:lineRule="atLeas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投标报价表（格式）</w:t>
      </w:r>
    </w:p>
    <w:p w14:paraId="0F5C1DC0">
      <w:pPr>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eastAsia="zh-CN"/>
        </w:rPr>
        <w:t>广西科文招标有限公司</w:t>
      </w:r>
    </w:p>
    <w:p w14:paraId="1B03878D">
      <w:pPr>
        <w:pStyle w:val="9"/>
        <w:spacing w:line="3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根据贵方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项目招标文件，项目编号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（姓名）经正式授权并代表投标人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投标单位名称），提交投标文件，并做出如下报价： </w:t>
      </w:r>
    </w:p>
    <w:p w14:paraId="7BA4476B">
      <w:pPr>
        <w:pStyle w:val="9"/>
        <w:spacing w:line="360" w:lineRule="exact"/>
        <w:ind w:firstLine="42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分标：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856"/>
        <w:gridCol w:w="2441"/>
        <w:gridCol w:w="1827"/>
        <w:gridCol w:w="4397"/>
      </w:tblGrid>
      <w:tr w14:paraId="03C0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83" w:hRule="atLeast"/>
          <w:jc w:val="center"/>
        </w:trPr>
        <w:tc>
          <w:tcPr>
            <w:tcW w:w="856" w:type="dxa"/>
            <w:noWrap w:val="0"/>
            <w:vAlign w:val="center"/>
          </w:tcPr>
          <w:p w14:paraId="177DB0FA">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项号</w:t>
            </w:r>
          </w:p>
        </w:tc>
        <w:tc>
          <w:tcPr>
            <w:tcW w:w="2441" w:type="dxa"/>
            <w:noWrap w:val="0"/>
            <w:vAlign w:val="center"/>
          </w:tcPr>
          <w:p w14:paraId="4623804C">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服务项目名称</w:t>
            </w:r>
          </w:p>
        </w:tc>
        <w:tc>
          <w:tcPr>
            <w:tcW w:w="1827" w:type="dxa"/>
            <w:noWrap w:val="0"/>
            <w:vAlign w:val="center"/>
          </w:tcPr>
          <w:p w14:paraId="6FC68AAA">
            <w:pPr>
              <w:jc w:val="center"/>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数量及单位</w:t>
            </w:r>
          </w:p>
        </w:tc>
        <w:tc>
          <w:tcPr>
            <w:tcW w:w="4397" w:type="dxa"/>
            <w:noWrap w:val="0"/>
            <w:vAlign w:val="center"/>
          </w:tcPr>
          <w:p w14:paraId="64E52176">
            <w:pPr>
              <w:ind w:firstLine="42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单价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p>
        </w:tc>
      </w:tr>
      <w:tr w14:paraId="027D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01" w:hRule="atLeast"/>
          <w:jc w:val="center"/>
        </w:trPr>
        <w:tc>
          <w:tcPr>
            <w:tcW w:w="856" w:type="dxa"/>
            <w:noWrap w:val="0"/>
            <w:vAlign w:val="center"/>
          </w:tcPr>
          <w:p w14:paraId="4B6AEC51">
            <w:pPr>
              <w:jc w:val="center"/>
              <w:rPr>
                <w:rFonts w:hint="eastAsia"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1</w:t>
            </w:r>
          </w:p>
        </w:tc>
        <w:tc>
          <w:tcPr>
            <w:tcW w:w="2441" w:type="dxa"/>
            <w:noWrap w:val="0"/>
            <w:vAlign w:val="center"/>
          </w:tcPr>
          <w:p w14:paraId="333339E5">
            <w:pPr>
              <w:spacing w:line="400" w:lineRule="exact"/>
              <w:jc w:val="center"/>
              <w:rPr>
                <w:rFonts w:hint="eastAsia" w:ascii="仿宋" w:hAnsi="仿宋" w:eastAsia="仿宋" w:cs="仿宋"/>
                <w:color w:val="auto"/>
                <w:spacing w:val="-20"/>
                <w:sz w:val="24"/>
                <w:szCs w:val="24"/>
                <w:highlight w:val="none"/>
                <w:lang w:eastAsia="zh-CN"/>
              </w:rPr>
            </w:pPr>
          </w:p>
        </w:tc>
        <w:tc>
          <w:tcPr>
            <w:tcW w:w="1827" w:type="dxa"/>
            <w:noWrap w:val="0"/>
            <w:vAlign w:val="center"/>
          </w:tcPr>
          <w:p w14:paraId="56981CB2">
            <w:pPr>
              <w:spacing w:line="400" w:lineRule="exact"/>
              <w:jc w:val="center"/>
              <w:rPr>
                <w:rFonts w:hint="eastAsia" w:ascii="仿宋" w:hAnsi="仿宋" w:eastAsia="仿宋" w:cs="仿宋"/>
                <w:color w:val="auto"/>
                <w:sz w:val="24"/>
                <w:szCs w:val="24"/>
                <w:highlight w:val="none"/>
              </w:rPr>
            </w:pPr>
          </w:p>
        </w:tc>
        <w:tc>
          <w:tcPr>
            <w:tcW w:w="4397" w:type="dxa"/>
            <w:noWrap w:val="0"/>
            <w:vAlign w:val="center"/>
          </w:tcPr>
          <w:p w14:paraId="220A7F81">
            <w:pPr>
              <w:jc w:val="both"/>
              <w:rPr>
                <w:rFonts w:hint="eastAsia" w:ascii="仿宋" w:hAnsi="仿宋" w:eastAsia="仿宋" w:cs="仿宋"/>
                <w:color w:val="auto"/>
                <w:sz w:val="24"/>
                <w:szCs w:val="24"/>
                <w:highlight w:val="none"/>
              </w:rPr>
            </w:pPr>
          </w:p>
        </w:tc>
      </w:tr>
      <w:tr w14:paraId="25D0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61" w:hRule="atLeast"/>
          <w:jc w:val="center"/>
        </w:trPr>
        <w:tc>
          <w:tcPr>
            <w:tcW w:w="856" w:type="dxa"/>
            <w:noWrap w:val="0"/>
            <w:vAlign w:val="center"/>
          </w:tcPr>
          <w:p w14:paraId="0952195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441" w:type="dxa"/>
            <w:noWrap w:val="0"/>
            <w:vAlign w:val="center"/>
          </w:tcPr>
          <w:p w14:paraId="285D7739">
            <w:pPr>
              <w:spacing w:line="400" w:lineRule="exact"/>
              <w:jc w:val="center"/>
              <w:rPr>
                <w:rFonts w:hint="eastAsia" w:ascii="仿宋" w:hAnsi="仿宋" w:eastAsia="仿宋" w:cs="仿宋"/>
                <w:color w:val="auto"/>
                <w:spacing w:val="-20"/>
                <w:sz w:val="24"/>
                <w:szCs w:val="24"/>
                <w:highlight w:val="none"/>
                <w:lang w:eastAsia="zh-CN"/>
              </w:rPr>
            </w:pPr>
          </w:p>
        </w:tc>
        <w:tc>
          <w:tcPr>
            <w:tcW w:w="1827" w:type="dxa"/>
            <w:noWrap w:val="0"/>
            <w:vAlign w:val="center"/>
          </w:tcPr>
          <w:p w14:paraId="3579AF14">
            <w:pPr>
              <w:spacing w:line="400" w:lineRule="exact"/>
              <w:jc w:val="center"/>
              <w:rPr>
                <w:rFonts w:hint="eastAsia" w:ascii="仿宋" w:hAnsi="仿宋" w:eastAsia="仿宋" w:cs="仿宋"/>
                <w:color w:val="auto"/>
                <w:sz w:val="24"/>
                <w:szCs w:val="24"/>
                <w:highlight w:val="none"/>
              </w:rPr>
            </w:pPr>
          </w:p>
        </w:tc>
        <w:tc>
          <w:tcPr>
            <w:tcW w:w="4397" w:type="dxa"/>
            <w:noWrap w:val="0"/>
            <w:vAlign w:val="center"/>
          </w:tcPr>
          <w:p w14:paraId="76159F33">
            <w:pPr>
              <w:jc w:val="both"/>
              <w:rPr>
                <w:rFonts w:hint="eastAsia" w:ascii="仿宋" w:hAnsi="仿宋" w:eastAsia="仿宋" w:cs="仿宋"/>
                <w:color w:val="auto"/>
                <w:sz w:val="24"/>
                <w:szCs w:val="24"/>
                <w:highlight w:val="none"/>
              </w:rPr>
            </w:pPr>
          </w:p>
        </w:tc>
      </w:tr>
      <w:tr w14:paraId="76C0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388" w:hRule="atLeast"/>
          <w:jc w:val="center"/>
        </w:trPr>
        <w:tc>
          <w:tcPr>
            <w:tcW w:w="856" w:type="dxa"/>
            <w:noWrap w:val="0"/>
            <w:vAlign w:val="center"/>
          </w:tcPr>
          <w:p w14:paraId="0C86C888">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441" w:type="dxa"/>
            <w:noWrap w:val="0"/>
            <w:vAlign w:val="center"/>
          </w:tcPr>
          <w:p w14:paraId="67089549">
            <w:pPr>
              <w:spacing w:line="400" w:lineRule="exact"/>
              <w:jc w:val="center"/>
              <w:rPr>
                <w:rFonts w:hint="eastAsia" w:ascii="仿宋" w:hAnsi="仿宋" w:eastAsia="仿宋" w:cs="仿宋"/>
                <w:color w:val="auto"/>
                <w:spacing w:val="-20"/>
                <w:sz w:val="24"/>
                <w:szCs w:val="24"/>
                <w:highlight w:val="none"/>
                <w:lang w:eastAsia="zh-CN"/>
              </w:rPr>
            </w:pPr>
          </w:p>
        </w:tc>
        <w:tc>
          <w:tcPr>
            <w:tcW w:w="1827" w:type="dxa"/>
            <w:noWrap w:val="0"/>
            <w:vAlign w:val="center"/>
          </w:tcPr>
          <w:p w14:paraId="623A2C1C">
            <w:pPr>
              <w:spacing w:line="400" w:lineRule="exact"/>
              <w:jc w:val="center"/>
              <w:rPr>
                <w:rFonts w:hint="eastAsia" w:ascii="仿宋" w:hAnsi="仿宋" w:eastAsia="仿宋" w:cs="仿宋"/>
                <w:color w:val="auto"/>
                <w:sz w:val="24"/>
                <w:szCs w:val="24"/>
                <w:highlight w:val="none"/>
              </w:rPr>
            </w:pPr>
          </w:p>
        </w:tc>
        <w:tc>
          <w:tcPr>
            <w:tcW w:w="4397" w:type="dxa"/>
            <w:noWrap w:val="0"/>
            <w:vAlign w:val="center"/>
          </w:tcPr>
          <w:p w14:paraId="181AD826">
            <w:pPr>
              <w:jc w:val="both"/>
              <w:rPr>
                <w:rFonts w:hint="eastAsia" w:ascii="仿宋" w:hAnsi="仿宋" w:eastAsia="仿宋" w:cs="仿宋"/>
                <w:color w:val="auto"/>
                <w:sz w:val="24"/>
                <w:szCs w:val="24"/>
                <w:highlight w:val="none"/>
              </w:rPr>
            </w:pPr>
          </w:p>
        </w:tc>
      </w:tr>
      <w:tr w14:paraId="5C26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01" w:hRule="atLeast"/>
          <w:jc w:val="center"/>
        </w:trPr>
        <w:tc>
          <w:tcPr>
            <w:tcW w:w="856" w:type="dxa"/>
            <w:noWrap w:val="0"/>
            <w:vAlign w:val="center"/>
          </w:tcPr>
          <w:p w14:paraId="4D1F105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441" w:type="dxa"/>
            <w:noWrap w:val="0"/>
            <w:vAlign w:val="center"/>
          </w:tcPr>
          <w:p w14:paraId="0DAA4EB5">
            <w:pPr>
              <w:spacing w:line="400" w:lineRule="exact"/>
              <w:jc w:val="center"/>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20"/>
                <w:sz w:val="24"/>
                <w:szCs w:val="24"/>
                <w:highlight w:val="none"/>
                <w:lang w:eastAsia="zh-CN"/>
              </w:rPr>
              <w:t>……</w:t>
            </w:r>
          </w:p>
        </w:tc>
        <w:tc>
          <w:tcPr>
            <w:tcW w:w="1827" w:type="dxa"/>
            <w:noWrap w:val="0"/>
            <w:vAlign w:val="center"/>
          </w:tcPr>
          <w:p w14:paraId="19BE8343">
            <w:pPr>
              <w:spacing w:line="400" w:lineRule="exact"/>
              <w:jc w:val="center"/>
              <w:rPr>
                <w:rFonts w:hint="eastAsia" w:ascii="仿宋" w:hAnsi="仿宋" w:eastAsia="仿宋" w:cs="仿宋"/>
                <w:color w:val="auto"/>
                <w:sz w:val="24"/>
                <w:szCs w:val="24"/>
                <w:highlight w:val="none"/>
              </w:rPr>
            </w:pPr>
          </w:p>
        </w:tc>
        <w:tc>
          <w:tcPr>
            <w:tcW w:w="4397" w:type="dxa"/>
            <w:noWrap w:val="0"/>
            <w:vAlign w:val="center"/>
          </w:tcPr>
          <w:p w14:paraId="2EE277A4">
            <w:pPr>
              <w:jc w:val="both"/>
              <w:rPr>
                <w:rFonts w:hint="eastAsia" w:ascii="仿宋" w:hAnsi="仿宋" w:eastAsia="仿宋" w:cs="仿宋"/>
                <w:color w:val="auto"/>
                <w:sz w:val="24"/>
                <w:szCs w:val="24"/>
                <w:highlight w:val="none"/>
              </w:rPr>
            </w:pPr>
          </w:p>
        </w:tc>
      </w:tr>
      <w:tr w14:paraId="0C32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56" w:hRule="atLeast"/>
          <w:jc w:val="center"/>
        </w:trPr>
        <w:tc>
          <w:tcPr>
            <w:tcW w:w="856" w:type="dxa"/>
            <w:noWrap w:val="0"/>
            <w:vAlign w:val="center"/>
          </w:tcPr>
          <w:p w14:paraId="2441FD15">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w:t>
            </w:r>
          </w:p>
        </w:tc>
        <w:tc>
          <w:tcPr>
            <w:tcW w:w="8665" w:type="dxa"/>
            <w:gridSpan w:val="3"/>
            <w:noWrap w:val="0"/>
            <w:vAlign w:val="center"/>
          </w:tcPr>
          <w:p w14:paraId="241E30FF">
            <w:pPr>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元（小写：</w:t>
            </w:r>
            <w:r>
              <w:rPr>
                <w:rFonts w:hint="default" w:ascii="Arial" w:hAnsi="Arial" w:eastAsia="仿宋" w:cs="Arial"/>
                <w:color w:val="auto"/>
                <w:sz w:val="24"/>
                <w:szCs w:val="24"/>
                <w:highlight w:val="none"/>
                <w:u w:val="none"/>
                <w:lang w:val="en-US" w:eastAsia="zh-CN"/>
              </w:rPr>
              <w:t>¥</w:t>
            </w:r>
            <w:r>
              <w:rPr>
                <w:rFonts w:hint="eastAsia" w:ascii="仿宋" w:hAnsi="仿宋" w:eastAsia="仿宋" w:cs="仿宋"/>
                <w:color w:val="auto"/>
                <w:sz w:val="24"/>
                <w:szCs w:val="24"/>
                <w:highlight w:val="none"/>
                <w:u w:val="none"/>
                <w:lang w:val="en-US" w:eastAsia="zh-CN"/>
              </w:rPr>
              <w:t xml:space="preserve">            ）</w:t>
            </w:r>
          </w:p>
        </w:tc>
      </w:tr>
      <w:tr w14:paraId="3410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39" w:hRule="atLeast"/>
          <w:jc w:val="center"/>
        </w:trPr>
        <w:tc>
          <w:tcPr>
            <w:tcW w:w="9521" w:type="dxa"/>
            <w:gridSpan w:val="4"/>
            <w:noWrap w:val="0"/>
            <w:vAlign w:val="center"/>
          </w:tcPr>
          <w:p w14:paraId="561571ED">
            <w:pPr>
              <w:ind w:firstLine="420"/>
              <w:rPr>
                <w:rFonts w:hint="eastAsia"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服务时间：</w:t>
            </w:r>
            <w:r>
              <w:rPr>
                <w:rFonts w:hint="eastAsia" w:ascii="仿宋" w:hAnsi="仿宋" w:eastAsia="仿宋" w:cs="仿宋"/>
                <w:color w:val="auto"/>
                <w:kern w:val="0"/>
                <w:sz w:val="24"/>
                <w:szCs w:val="24"/>
                <w:highlight w:val="none"/>
                <w:u w:val="single"/>
              </w:rPr>
              <w:t xml:space="preserve">            </w:t>
            </w:r>
          </w:p>
        </w:tc>
      </w:tr>
      <w:tr w14:paraId="1829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459" w:hRule="atLeast"/>
          <w:jc w:val="center"/>
        </w:trPr>
        <w:tc>
          <w:tcPr>
            <w:tcW w:w="9521" w:type="dxa"/>
            <w:gridSpan w:val="4"/>
            <w:noWrap w:val="0"/>
            <w:vAlign w:val="center"/>
          </w:tcPr>
          <w:p w14:paraId="5ECABCD2">
            <w:pPr>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说明：</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投标报价应包括完成本次服务采购需求范围内所需的劳务费、技术服务费、策划设计、制作、现场执行、版权或知识产权、管理费、利润、验收、税金和风险等一切相关的全部费用。该价格不因投标人在计算报价中的失误、漏项、多项而做任何调整；投标人的报价在合同实施期间应保持不变。除此之外，采购人不再另行支付任何费用。</w:t>
            </w:r>
          </w:p>
        </w:tc>
      </w:tr>
    </w:tbl>
    <w:p w14:paraId="1B9AF4BB">
      <w:pPr>
        <w:pStyle w:val="9"/>
        <w:spacing w:line="320" w:lineRule="exact"/>
        <w:ind w:firstLine="420"/>
        <w:rPr>
          <w:rFonts w:hint="eastAsia" w:ascii="仿宋" w:hAnsi="仿宋" w:eastAsia="仿宋" w:cs="仿宋"/>
          <w:color w:val="auto"/>
          <w:highlight w:val="none"/>
        </w:rPr>
      </w:pPr>
    </w:p>
    <w:p w14:paraId="606429DA">
      <w:pPr>
        <w:pStyle w:val="9"/>
        <w:spacing w:line="32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与本投标有关的正式通讯地址为：</w:t>
      </w:r>
    </w:p>
    <w:p w14:paraId="567297E2">
      <w:pPr>
        <w:pStyle w:val="9"/>
        <w:spacing w:line="32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1EBF9DCD">
      <w:pPr>
        <w:pStyle w:val="9"/>
        <w:spacing w:line="320" w:lineRule="exact"/>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办公电话：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7F8B3CCA">
      <w:pPr>
        <w:pStyle w:val="9"/>
        <w:spacing w:line="320" w:lineRule="exact"/>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委托代理人联系电话：</w:t>
      </w:r>
      <w:r>
        <w:rPr>
          <w:rFonts w:hint="eastAsia" w:ascii="仿宋" w:hAnsi="仿宋" w:eastAsia="仿宋" w:cs="仿宋"/>
          <w:color w:val="auto"/>
          <w:sz w:val="24"/>
          <w:szCs w:val="24"/>
          <w:highlight w:val="none"/>
          <w:u w:val="single"/>
        </w:rPr>
        <w:t xml:space="preserve">                </w:t>
      </w:r>
    </w:p>
    <w:p w14:paraId="29404679">
      <w:pPr>
        <w:pStyle w:val="9"/>
        <w:spacing w:line="32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开户名称：</w:t>
      </w:r>
      <w:r>
        <w:rPr>
          <w:rFonts w:hint="eastAsia" w:ascii="仿宋" w:hAnsi="仿宋" w:eastAsia="仿宋" w:cs="仿宋"/>
          <w:color w:val="auto"/>
          <w:sz w:val="24"/>
          <w:szCs w:val="24"/>
          <w:highlight w:val="none"/>
          <w:u w:val="single"/>
        </w:rPr>
        <w:t xml:space="preserve">                                        </w:t>
      </w:r>
    </w:p>
    <w:p w14:paraId="044D08A8">
      <w:pPr>
        <w:pStyle w:val="9"/>
        <w:spacing w:line="32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p>
    <w:p w14:paraId="792FF0AC">
      <w:pPr>
        <w:pStyle w:val="9"/>
        <w:spacing w:line="32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r>
        <w:rPr>
          <w:rFonts w:hint="eastAsia" w:ascii="仿宋" w:hAnsi="仿宋" w:eastAsia="仿宋" w:cs="仿宋"/>
          <w:color w:val="auto"/>
          <w:sz w:val="24"/>
          <w:szCs w:val="24"/>
          <w:highlight w:val="none"/>
          <w:u w:val="single"/>
        </w:rPr>
        <w:t xml:space="preserve">                                   　　　   </w:t>
      </w:r>
    </w:p>
    <w:p w14:paraId="13FABD74">
      <w:pPr>
        <w:snapToGrid w:val="0"/>
        <w:spacing w:line="320" w:lineRule="exact"/>
        <w:jc w:val="left"/>
        <w:outlineLvl w:val="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投标人电子签章：</w:t>
      </w:r>
      <w:r>
        <w:rPr>
          <w:rFonts w:hint="eastAsia" w:ascii="仿宋" w:hAnsi="仿宋" w:eastAsia="仿宋" w:cs="仿宋"/>
          <w:color w:val="auto"/>
          <w:sz w:val="24"/>
          <w:szCs w:val="24"/>
          <w:highlight w:val="none"/>
          <w:u w:val="single"/>
        </w:rPr>
        <w:t xml:space="preserve">                                     </w:t>
      </w:r>
    </w:p>
    <w:p w14:paraId="6A4E3161">
      <w:pPr>
        <w:pStyle w:val="9"/>
        <w:spacing w:line="320" w:lineRule="exact"/>
        <w:ind w:firstLine="42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法定代表人(负责人)或相应的委托代理人签字（或者电子签名）：</w:t>
      </w:r>
      <w:r>
        <w:rPr>
          <w:rFonts w:hint="eastAsia" w:ascii="仿宋" w:hAnsi="仿宋" w:eastAsia="仿宋" w:cs="仿宋"/>
          <w:color w:val="auto"/>
          <w:sz w:val="24"/>
          <w:szCs w:val="24"/>
          <w:highlight w:val="none"/>
          <w:u w:val="single"/>
        </w:rPr>
        <w:t xml:space="preserve">                              </w:t>
      </w:r>
    </w:p>
    <w:p w14:paraId="45ADEF31">
      <w:pPr>
        <w:spacing w:line="32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日     期：</w:t>
      </w:r>
      <w:r>
        <w:rPr>
          <w:rFonts w:hint="eastAsia" w:ascii="仿宋" w:hAnsi="仿宋" w:eastAsia="仿宋" w:cs="仿宋"/>
          <w:color w:val="auto"/>
          <w:sz w:val="24"/>
          <w:szCs w:val="24"/>
          <w:highlight w:val="none"/>
          <w:u w:val="single"/>
        </w:rPr>
        <w:t xml:space="preserve">                                                   </w:t>
      </w:r>
    </w:p>
    <w:p w14:paraId="25D26668">
      <w:pPr>
        <w:pStyle w:val="9"/>
        <w:spacing w:line="500" w:lineRule="exact"/>
        <w:ind w:left="422" w:hanging="482" w:hanging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p>
    <w:p w14:paraId="63E451C6">
      <w:pPr>
        <w:pStyle w:val="9"/>
        <w:spacing w:line="460" w:lineRule="exact"/>
        <w:ind w:firstLine="42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1.投标人必须按本投标报价表（格式）要求注明清楚联系方式（包括地址、邮编、邮箱、电话等），从而确保中标结果等相关信息能及时通知到位。</w:t>
      </w:r>
    </w:p>
    <w:p w14:paraId="69122E7B">
      <w:pPr>
        <w:spacing w:line="320" w:lineRule="exact"/>
        <w:rPr>
          <w:rFonts w:hint="eastAsia" w:ascii="仿宋" w:hAnsi="仿宋" w:eastAsia="仿宋" w:cs="仿宋"/>
          <w:b/>
          <w:bCs/>
          <w:color w:val="auto"/>
          <w:sz w:val="32"/>
          <w:szCs w:val="32"/>
          <w:highlight w:val="none"/>
        </w:rPr>
      </w:pPr>
    </w:p>
    <w:p w14:paraId="2B093446">
      <w:pPr>
        <w:numPr>
          <w:ilvl w:val="0"/>
          <w:numId w:val="8"/>
        </w:numPr>
        <w:spacing w:line="320" w:lineRule="exact"/>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投标人服务（技术）响应、商务偏离情况说明表（必须提供）</w:t>
      </w:r>
    </w:p>
    <w:p w14:paraId="652CA2CB">
      <w:pPr>
        <w:spacing w:before="63" w:line="215" w:lineRule="auto"/>
        <w:jc w:val="center"/>
        <w:rPr>
          <w:rFonts w:hint="eastAsia" w:ascii="仿宋" w:hAnsi="仿宋" w:eastAsia="仿宋" w:cs="仿宋"/>
          <w:b/>
          <w:bCs/>
          <w:sz w:val="28"/>
          <w:szCs w:val="28"/>
          <w:highlight w:val="none"/>
          <w:lang w:val="en-US" w:eastAsia="zh-CN"/>
        </w:rPr>
      </w:pPr>
    </w:p>
    <w:p w14:paraId="11C7FBBC">
      <w:pPr>
        <w:spacing w:before="63" w:line="215"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服务（技术）</w:t>
      </w:r>
      <w:r>
        <w:rPr>
          <w:rFonts w:hint="eastAsia" w:ascii="仿宋" w:hAnsi="仿宋" w:eastAsia="仿宋" w:cs="仿宋"/>
          <w:b/>
          <w:bCs/>
          <w:sz w:val="28"/>
          <w:szCs w:val="28"/>
          <w:highlight w:val="none"/>
          <w:lang w:eastAsia="zh-CN"/>
        </w:rPr>
        <w:t>、商务要求响应情况表</w:t>
      </w:r>
    </w:p>
    <w:tbl>
      <w:tblPr>
        <w:tblStyle w:val="24"/>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3520"/>
        <w:gridCol w:w="3270"/>
        <w:gridCol w:w="1706"/>
      </w:tblGrid>
      <w:tr w14:paraId="7DBDB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602" w:type="dxa"/>
            <w:noWrap w:val="0"/>
            <w:vAlign w:val="center"/>
          </w:tcPr>
          <w:p w14:paraId="4A42AD7A">
            <w:pPr>
              <w:pStyle w:val="23"/>
              <w:spacing w:before="277" w:line="229" w:lineRule="auto"/>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3520" w:type="dxa"/>
            <w:noWrap w:val="0"/>
            <w:vAlign w:val="center"/>
          </w:tcPr>
          <w:p w14:paraId="56E401CC">
            <w:pPr>
              <w:pStyle w:val="23"/>
              <w:spacing w:before="277" w:line="227" w:lineRule="auto"/>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val="en-US" w:eastAsia="zh-CN"/>
              </w:rPr>
              <w:t>招标</w:t>
            </w:r>
            <w:r>
              <w:rPr>
                <w:rFonts w:hint="eastAsia" w:ascii="仿宋" w:hAnsi="仿宋" w:eastAsia="仿宋" w:cs="仿宋"/>
                <w:spacing w:val="8"/>
                <w:sz w:val="24"/>
                <w:szCs w:val="24"/>
                <w:highlight w:val="none"/>
              </w:rPr>
              <w:t>文件要求</w:t>
            </w:r>
          </w:p>
        </w:tc>
        <w:tc>
          <w:tcPr>
            <w:tcW w:w="3270" w:type="dxa"/>
            <w:noWrap w:val="0"/>
            <w:vAlign w:val="center"/>
          </w:tcPr>
          <w:p w14:paraId="6A72A03D">
            <w:pPr>
              <w:pStyle w:val="23"/>
              <w:spacing w:before="277" w:line="228" w:lineRule="auto"/>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lang w:val="en-US" w:eastAsia="zh-CN"/>
              </w:rPr>
              <w:t>投标</w:t>
            </w:r>
            <w:r>
              <w:rPr>
                <w:rFonts w:hint="eastAsia" w:ascii="仿宋" w:hAnsi="仿宋" w:eastAsia="仿宋" w:cs="仿宋"/>
                <w:spacing w:val="7"/>
                <w:sz w:val="24"/>
                <w:szCs w:val="24"/>
                <w:highlight w:val="none"/>
              </w:rPr>
              <w:t>文件的响应情况</w:t>
            </w:r>
          </w:p>
        </w:tc>
        <w:tc>
          <w:tcPr>
            <w:tcW w:w="1706" w:type="dxa"/>
            <w:noWrap w:val="0"/>
            <w:vAlign w:val="center"/>
          </w:tcPr>
          <w:p w14:paraId="32053904">
            <w:pPr>
              <w:pStyle w:val="23"/>
              <w:spacing w:before="277" w:line="228" w:lineRule="auto"/>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响应情况说明</w:t>
            </w:r>
          </w:p>
        </w:tc>
      </w:tr>
      <w:tr w14:paraId="5F71E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02" w:type="dxa"/>
            <w:noWrap w:val="0"/>
            <w:vAlign w:val="center"/>
          </w:tcPr>
          <w:p w14:paraId="3DE63412">
            <w:pPr>
              <w:jc w:val="center"/>
              <w:rPr>
                <w:rFonts w:hint="eastAsia" w:ascii="仿宋" w:hAnsi="仿宋" w:eastAsia="仿宋" w:cs="仿宋"/>
                <w:sz w:val="24"/>
                <w:szCs w:val="24"/>
                <w:highlight w:val="none"/>
              </w:rPr>
            </w:pPr>
          </w:p>
        </w:tc>
        <w:tc>
          <w:tcPr>
            <w:tcW w:w="3520" w:type="dxa"/>
            <w:noWrap w:val="0"/>
            <w:vAlign w:val="center"/>
          </w:tcPr>
          <w:p w14:paraId="30768D51">
            <w:pPr>
              <w:jc w:val="center"/>
              <w:rPr>
                <w:rFonts w:hint="eastAsia" w:ascii="仿宋" w:hAnsi="仿宋" w:eastAsia="仿宋" w:cs="仿宋"/>
                <w:sz w:val="24"/>
                <w:szCs w:val="24"/>
                <w:highlight w:val="none"/>
              </w:rPr>
            </w:pPr>
          </w:p>
        </w:tc>
        <w:tc>
          <w:tcPr>
            <w:tcW w:w="3270" w:type="dxa"/>
            <w:noWrap w:val="0"/>
            <w:vAlign w:val="center"/>
          </w:tcPr>
          <w:p w14:paraId="0C43E958">
            <w:pPr>
              <w:jc w:val="center"/>
              <w:rPr>
                <w:rFonts w:hint="eastAsia" w:ascii="仿宋" w:hAnsi="仿宋" w:eastAsia="仿宋" w:cs="仿宋"/>
                <w:sz w:val="24"/>
                <w:szCs w:val="24"/>
                <w:highlight w:val="none"/>
              </w:rPr>
            </w:pPr>
          </w:p>
        </w:tc>
        <w:tc>
          <w:tcPr>
            <w:tcW w:w="1706" w:type="dxa"/>
            <w:noWrap w:val="0"/>
            <w:vAlign w:val="center"/>
          </w:tcPr>
          <w:p w14:paraId="1735C2DC">
            <w:pPr>
              <w:jc w:val="center"/>
              <w:rPr>
                <w:rFonts w:hint="eastAsia" w:ascii="仿宋" w:hAnsi="仿宋" w:eastAsia="仿宋" w:cs="仿宋"/>
                <w:sz w:val="24"/>
                <w:szCs w:val="24"/>
                <w:highlight w:val="none"/>
              </w:rPr>
            </w:pPr>
          </w:p>
        </w:tc>
      </w:tr>
      <w:tr w14:paraId="2540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02" w:type="dxa"/>
            <w:noWrap w:val="0"/>
            <w:vAlign w:val="center"/>
          </w:tcPr>
          <w:p w14:paraId="2FED11DD">
            <w:pPr>
              <w:jc w:val="center"/>
              <w:rPr>
                <w:rFonts w:hint="eastAsia" w:ascii="仿宋" w:hAnsi="仿宋" w:eastAsia="仿宋" w:cs="仿宋"/>
                <w:sz w:val="24"/>
                <w:szCs w:val="24"/>
                <w:highlight w:val="none"/>
              </w:rPr>
            </w:pPr>
          </w:p>
        </w:tc>
        <w:tc>
          <w:tcPr>
            <w:tcW w:w="3520" w:type="dxa"/>
            <w:noWrap w:val="0"/>
            <w:vAlign w:val="center"/>
          </w:tcPr>
          <w:p w14:paraId="1AF1952E">
            <w:pPr>
              <w:jc w:val="center"/>
              <w:rPr>
                <w:rFonts w:hint="eastAsia" w:ascii="仿宋" w:hAnsi="仿宋" w:eastAsia="仿宋" w:cs="仿宋"/>
                <w:sz w:val="24"/>
                <w:szCs w:val="24"/>
                <w:highlight w:val="none"/>
              </w:rPr>
            </w:pPr>
          </w:p>
        </w:tc>
        <w:tc>
          <w:tcPr>
            <w:tcW w:w="3270" w:type="dxa"/>
            <w:noWrap w:val="0"/>
            <w:vAlign w:val="center"/>
          </w:tcPr>
          <w:p w14:paraId="661FBCCD">
            <w:pPr>
              <w:jc w:val="center"/>
              <w:rPr>
                <w:rFonts w:hint="eastAsia" w:ascii="仿宋" w:hAnsi="仿宋" w:eastAsia="仿宋" w:cs="仿宋"/>
                <w:sz w:val="24"/>
                <w:szCs w:val="24"/>
                <w:highlight w:val="none"/>
              </w:rPr>
            </w:pPr>
          </w:p>
        </w:tc>
        <w:tc>
          <w:tcPr>
            <w:tcW w:w="1706" w:type="dxa"/>
            <w:noWrap w:val="0"/>
            <w:vAlign w:val="center"/>
          </w:tcPr>
          <w:p w14:paraId="3BB99FF7">
            <w:pPr>
              <w:jc w:val="center"/>
              <w:rPr>
                <w:rFonts w:hint="eastAsia" w:ascii="仿宋" w:hAnsi="仿宋" w:eastAsia="仿宋" w:cs="仿宋"/>
                <w:sz w:val="24"/>
                <w:szCs w:val="24"/>
                <w:highlight w:val="none"/>
              </w:rPr>
            </w:pPr>
          </w:p>
        </w:tc>
      </w:tr>
      <w:tr w14:paraId="7DB28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02" w:type="dxa"/>
            <w:noWrap w:val="0"/>
            <w:vAlign w:val="center"/>
          </w:tcPr>
          <w:p w14:paraId="03DAA2A7">
            <w:pPr>
              <w:jc w:val="center"/>
              <w:rPr>
                <w:rFonts w:hint="eastAsia" w:ascii="仿宋" w:hAnsi="仿宋" w:eastAsia="仿宋" w:cs="仿宋"/>
                <w:sz w:val="24"/>
                <w:szCs w:val="24"/>
                <w:highlight w:val="none"/>
              </w:rPr>
            </w:pPr>
          </w:p>
        </w:tc>
        <w:tc>
          <w:tcPr>
            <w:tcW w:w="3520" w:type="dxa"/>
            <w:noWrap w:val="0"/>
            <w:vAlign w:val="center"/>
          </w:tcPr>
          <w:p w14:paraId="27FCE4BE">
            <w:pPr>
              <w:jc w:val="center"/>
              <w:rPr>
                <w:rFonts w:hint="eastAsia" w:ascii="仿宋" w:hAnsi="仿宋" w:eastAsia="仿宋" w:cs="仿宋"/>
                <w:sz w:val="24"/>
                <w:szCs w:val="24"/>
                <w:highlight w:val="none"/>
              </w:rPr>
            </w:pPr>
          </w:p>
        </w:tc>
        <w:tc>
          <w:tcPr>
            <w:tcW w:w="3270" w:type="dxa"/>
            <w:noWrap w:val="0"/>
            <w:vAlign w:val="center"/>
          </w:tcPr>
          <w:p w14:paraId="757049F2">
            <w:pPr>
              <w:jc w:val="center"/>
              <w:rPr>
                <w:rFonts w:hint="eastAsia" w:ascii="仿宋" w:hAnsi="仿宋" w:eastAsia="仿宋" w:cs="仿宋"/>
                <w:sz w:val="24"/>
                <w:szCs w:val="24"/>
                <w:highlight w:val="none"/>
              </w:rPr>
            </w:pPr>
          </w:p>
        </w:tc>
        <w:tc>
          <w:tcPr>
            <w:tcW w:w="1706" w:type="dxa"/>
            <w:noWrap w:val="0"/>
            <w:vAlign w:val="center"/>
          </w:tcPr>
          <w:p w14:paraId="1C81836F">
            <w:pPr>
              <w:jc w:val="center"/>
              <w:rPr>
                <w:rFonts w:hint="eastAsia" w:ascii="仿宋" w:hAnsi="仿宋" w:eastAsia="仿宋" w:cs="仿宋"/>
                <w:sz w:val="24"/>
                <w:szCs w:val="24"/>
                <w:highlight w:val="none"/>
              </w:rPr>
            </w:pPr>
          </w:p>
        </w:tc>
      </w:tr>
      <w:tr w14:paraId="78129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602" w:type="dxa"/>
            <w:noWrap w:val="0"/>
            <w:vAlign w:val="center"/>
          </w:tcPr>
          <w:p w14:paraId="2B7E87E9">
            <w:pPr>
              <w:jc w:val="center"/>
              <w:rPr>
                <w:rFonts w:hint="eastAsia" w:ascii="仿宋" w:hAnsi="仿宋" w:eastAsia="仿宋" w:cs="仿宋"/>
                <w:sz w:val="24"/>
                <w:szCs w:val="24"/>
                <w:highlight w:val="none"/>
              </w:rPr>
            </w:pPr>
          </w:p>
        </w:tc>
        <w:tc>
          <w:tcPr>
            <w:tcW w:w="3520" w:type="dxa"/>
            <w:noWrap w:val="0"/>
            <w:vAlign w:val="center"/>
          </w:tcPr>
          <w:p w14:paraId="111E62A7">
            <w:pPr>
              <w:jc w:val="center"/>
              <w:rPr>
                <w:rFonts w:hint="eastAsia" w:ascii="仿宋" w:hAnsi="仿宋" w:eastAsia="仿宋" w:cs="仿宋"/>
                <w:sz w:val="24"/>
                <w:szCs w:val="24"/>
                <w:highlight w:val="none"/>
              </w:rPr>
            </w:pPr>
          </w:p>
        </w:tc>
        <w:tc>
          <w:tcPr>
            <w:tcW w:w="3270" w:type="dxa"/>
            <w:noWrap w:val="0"/>
            <w:vAlign w:val="center"/>
          </w:tcPr>
          <w:p w14:paraId="2ECFEDE0">
            <w:pPr>
              <w:jc w:val="center"/>
              <w:rPr>
                <w:rFonts w:hint="eastAsia" w:ascii="仿宋" w:hAnsi="仿宋" w:eastAsia="仿宋" w:cs="仿宋"/>
                <w:sz w:val="24"/>
                <w:szCs w:val="24"/>
                <w:highlight w:val="none"/>
              </w:rPr>
            </w:pPr>
          </w:p>
        </w:tc>
        <w:tc>
          <w:tcPr>
            <w:tcW w:w="1706" w:type="dxa"/>
            <w:noWrap w:val="0"/>
            <w:vAlign w:val="center"/>
          </w:tcPr>
          <w:p w14:paraId="3A6B07F6">
            <w:pPr>
              <w:jc w:val="center"/>
              <w:rPr>
                <w:rFonts w:hint="eastAsia" w:ascii="仿宋" w:hAnsi="仿宋" w:eastAsia="仿宋" w:cs="仿宋"/>
                <w:sz w:val="24"/>
                <w:szCs w:val="24"/>
                <w:highlight w:val="none"/>
              </w:rPr>
            </w:pPr>
          </w:p>
        </w:tc>
      </w:tr>
      <w:tr w14:paraId="6AC8B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602" w:type="dxa"/>
            <w:noWrap w:val="0"/>
            <w:vAlign w:val="center"/>
          </w:tcPr>
          <w:p w14:paraId="7F45B32D">
            <w:pPr>
              <w:jc w:val="center"/>
              <w:rPr>
                <w:rFonts w:hint="eastAsia" w:ascii="仿宋" w:hAnsi="仿宋" w:eastAsia="仿宋" w:cs="仿宋"/>
                <w:sz w:val="24"/>
                <w:szCs w:val="24"/>
                <w:highlight w:val="none"/>
              </w:rPr>
            </w:pPr>
          </w:p>
        </w:tc>
        <w:tc>
          <w:tcPr>
            <w:tcW w:w="3520" w:type="dxa"/>
            <w:noWrap w:val="0"/>
            <w:vAlign w:val="center"/>
          </w:tcPr>
          <w:p w14:paraId="1AC3C742">
            <w:pPr>
              <w:jc w:val="center"/>
              <w:rPr>
                <w:rFonts w:hint="eastAsia" w:ascii="仿宋" w:hAnsi="仿宋" w:eastAsia="仿宋" w:cs="仿宋"/>
                <w:sz w:val="24"/>
                <w:szCs w:val="24"/>
                <w:highlight w:val="none"/>
              </w:rPr>
            </w:pPr>
          </w:p>
        </w:tc>
        <w:tc>
          <w:tcPr>
            <w:tcW w:w="3270" w:type="dxa"/>
            <w:noWrap w:val="0"/>
            <w:vAlign w:val="center"/>
          </w:tcPr>
          <w:p w14:paraId="28D47FEF">
            <w:pPr>
              <w:jc w:val="center"/>
              <w:rPr>
                <w:rFonts w:hint="eastAsia" w:ascii="仿宋" w:hAnsi="仿宋" w:eastAsia="仿宋" w:cs="仿宋"/>
                <w:sz w:val="24"/>
                <w:szCs w:val="24"/>
                <w:highlight w:val="none"/>
              </w:rPr>
            </w:pPr>
          </w:p>
        </w:tc>
        <w:tc>
          <w:tcPr>
            <w:tcW w:w="1706" w:type="dxa"/>
            <w:noWrap w:val="0"/>
            <w:vAlign w:val="center"/>
          </w:tcPr>
          <w:p w14:paraId="74886825">
            <w:pPr>
              <w:jc w:val="center"/>
              <w:rPr>
                <w:rFonts w:hint="eastAsia" w:ascii="仿宋" w:hAnsi="仿宋" w:eastAsia="仿宋" w:cs="仿宋"/>
                <w:sz w:val="24"/>
                <w:szCs w:val="24"/>
                <w:highlight w:val="none"/>
              </w:rPr>
            </w:pPr>
          </w:p>
        </w:tc>
      </w:tr>
    </w:tbl>
    <w:p w14:paraId="43E4D51C">
      <w:pPr>
        <w:pStyle w:val="5"/>
        <w:rPr>
          <w:rFonts w:hint="eastAsia"/>
          <w:highlight w:val="none"/>
        </w:rPr>
      </w:pPr>
    </w:p>
    <w:p w14:paraId="6B54BC62">
      <w:pPr>
        <w:rPr>
          <w:rFonts w:hint="eastAsia"/>
          <w:highlight w:val="none"/>
        </w:rPr>
      </w:pPr>
    </w:p>
    <w:p w14:paraId="2DBA0FF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说明：应对照</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采购文件第</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章《</w:t>
      </w:r>
      <w:r>
        <w:rPr>
          <w:rFonts w:hint="eastAsia" w:ascii="仿宋" w:hAnsi="仿宋" w:eastAsia="仿宋" w:cs="仿宋"/>
          <w:sz w:val="24"/>
          <w:szCs w:val="24"/>
          <w:highlight w:val="none"/>
          <w:lang w:val="en-US" w:eastAsia="zh-CN"/>
        </w:rPr>
        <w:t>项目需求</w:t>
      </w:r>
      <w:r>
        <w:rPr>
          <w:rFonts w:hint="eastAsia" w:ascii="仿宋" w:hAnsi="仿宋" w:eastAsia="仿宋" w:cs="仿宋"/>
          <w:sz w:val="24"/>
          <w:szCs w:val="24"/>
          <w:highlight w:val="none"/>
        </w:rPr>
        <w:t>》中的“</w:t>
      </w:r>
      <w:r>
        <w:rPr>
          <w:rFonts w:hint="eastAsia" w:ascii="仿宋" w:hAnsi="仿宋" w:eastAsia="仿宋" w:cs="仿宋"/>
          <w:sz w:val="24"/>
          <w:szCs w:val="24"/>
          <w:highlight w:val="none"/>
          <w:lang w:val="en-US" w:eastAsia="zh-CN"/>
        </w:rPr>
        <w:t>技术要求</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及“商务要求”</w:t>
      </w:r>
      <w:r>
        <w:rPr>
          <w:rFonts w:hint="eastAsia" w:ascii="仿宋" w:hAnsi="仿宋" w:eastAsia="仿宋" w:cs="仿宋"/>
          <w:sz w:val="24"/>
          <w:szCs w:val="24"/>
          <w:highlight w:val="none"/>
        </w:rPr>
        <w:t>，逐条</w:t>
      </w:r>
      <w:r>
        <w:rPr>
          <w:rFonts w:hint="eastAsia" w:ascii="仿宋" w:hAnsi="仿宋" w:eastAsia="仿宋" w:cs="仿宋"/>
          <w:sz w:val="24"/>
          <w:szCs w:val="24"/>
          <w:highlight w:val="none"/>
          <w:lang w:val="en-US" w:eastAsia="zh-CN"/>
        </w:rPr>
        <w:t>对</w:t>
      </w:r>
      <w:r>
        <w:rPr>
          <w:rFonts w:hint="eastAsia" w:ascii="仿宋" w:hAnsi="仿宋" w:eastAsia="仿宋" w:cs="仿宋"/>
          <w:sz w:val="24"/>
          <w:szCs w:val="24"/>
          <w:highlight w:val="none"/>
        </w:rPr>
        <w:t>应做出实质性的响应，并</w:t>
      </w:r>
      <w:r>
        <w:rPr>
          <w:rFonts w:hint="eastAsia" w:ascii="仿宋" w:hAnsi="仿宋" w:eastAsia="仿宋" w:cs="仿宋"/>
          <w:sz w:val="24"/>
          <w:szCs w:val="24"/>
          <w:highlight w:val="none"/>
          <w:lang w:val="en-US" w:eastAsia="zh-CN"/>
        </w:rPr>
        <w:t>说</w:t>
      </w:r>
      <w:r>
        <w:rPr>
          <w:rFonts w:hint="eastAsia" w:ascii="仿宋" w:hAnsi="仿宋" w:eastAsia="仿宋" w:cs="仿宋"/>
          <w:sz w:val="24"/>
          <w:szCs w:val="24"/>
          <w:highlight w:val="none"/>
        </w:rPr>
        <w:t>明与技术</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rPr>
        <w:t>条文的响应和偏离。如果仅注明“符合”、“满足”或简单复制</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文件要求，将导致</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被拒绝。</w:t>
      </w:r>
    </w:p>
    <w:p w14:paraId="2C61394B">
      <w:pPr>
        <w:widowControl/>
        <w:ind w:firstLine="3092" w:firstLineChars="1100"/>
        <w:jc w:val="left"/>
        <w:rPr>
          <w:rFonts w:hint="eastAsia" w:ascii="仿宋" w:hAnsi="仿宋" w:eastAsia="仿宋" w:cs="仿宋"/>
          <w:b/>
          <w:kern w:val="0"/>
          <w:sz w:val="28"/>
          <w:szCs w:val="28"/>
          <w:highlight w:val="none"/>
          <w:lang w:bidi="ar"/>
        </w:rPr>
      </w:pPr>
    </w:p>
    <w:p w14:paraId="336B2EB7">
      <w:pPr>
        <w:widowControl/>
        <w:ind w:firstLine="3092" w:firstLineChars="1100"/>
        <w:jc w:val="left"/>
        <w:rPr>
          <w:rFonts w:hint="eastAsia" w:ascii="仿宋" w:hAnsi="仿宋" w:eastAsia="仿宋" w:cs="仿宋"/>
          <w:b/>
          <w:kern w:val="0"/>
          <w:sz w:val="28"/>
          <w:szCs w:val="28"/>
          <w:highlight w:val="none"/>
          <w:lang w:bidi="ar"/>
        </w:rPr>
      </w:pPr>
    </w:p>
    <w:p w14:paraId="237E2A87">
      <w:pPr>
        <w:snapToGrid w:val="0"/>
        <w:spacing w:line="600" w:lineRule="exact"/>
        <w:jc w:val="left"/>
        <w:outlineLvl w:val="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40486BB9">
      <w:pPr>
        <w:pStyle w:val="9"/>
        <w:spacing w:line="6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法定代表人(负责人)或相应的委托代理人签字（或者电子签名）：</w:t>
      </w:r>
      <w:r>
        <w:rPr>
          <w:rFonts w:hint="eastAsia" w:ascii="仿宋" w:hAnsi="仿宋" w:eastAsia="仿宋" w:cs="仿宋"/>
          <w:color w:val="auto"/>
          <w:sz w:val="24"/>
          <w:szCs w:val="24"/>
          <w:highlight w:val="none"/>
          <w:u w:val="single"/>
        </w:rPr>
        <w:t xml:space="preserve">                              </w:t>
      </w:r>
    </w:p>
    <w:p w14:paraId="40A578CC">
      <w:pPr>
        <w:spacing w:line="6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7EFC4938">
      <w:pPr>
        <w:spacing w:line="320" w:lineRule="exact"/>
        <w:rPr>
          <w:rFonts w:hint="eastAsia" w:ascii="仿宋" w:hAnsi="仿宋" w:eastAsia="仿宋" w:cs="仿宋"/>
          <w:b/>
          <w:bCs/>
          <w:color w:val="auto"/>
          <w:sz w:val="32"/>
          <w:szCs w:val="32"/>
          <w:highlight w:val="none"/>
        </w:rPr>
      </w:pPr>
    </w:p>
    <w:p w14:paraId="6519ED44">
      <w:pPr>
        <w:spacing w:line="320" w:lineRule="exact"/>
        <w:rPr>
          <w:rFonts w:hint="eastAsia" w:ascii="仿宋" w:hAnsi="仿宋" w:eastAsia="仿宋" w:cs="仿宋"/>
          <w:b/>
          <w:bCs/>
          <w:color w:val="auto"/>
          <w:sz w:val="32"/>
          <w:szCs w:val="32"/>
          <w:highlight w:val="none"/>
        </w:rPr>
      </w:pPr>
    </w:p>
    <w:p w14:paraId="094C97B3">
      <w:pPr>
        <w:spacing w:line="320" w:lineRule="exact"/>
        <w:rPr>
          <w:rFonts w:hint="eastAsia" w:ascii="仿宋" w:hAnsi="仿宋" w:eastAsia="仿宋" w:cs="仿宋"/>
          <w:b/>
          <w:bCs/>
          <w:color w:val="auto"/>
          <w:sz w:val="32"/>
          <w:szCs w:val="32"/>
          <w:highlight w:val="none"/>
        </w:rPr>
      </w:pPr>
    </w:p>
    <w:p w14:paraId="7B099C03">
      <w:pPr>
        <w:spacing w:line="320" w:lineRule="exact"/>
        <w:rPr>
          <w:rFonts w:hint="eastAsia" w:ascii="仿宋" w:hAnsi="仿宋" w:eastAsia="仿宋" w:cs="仿宋"/>
          <w:b/>
          <w:bCs/>
          <w:color w:val="auto"/>
          <w:sz w:val="32"/>
          <w:szCs w:val="32"/>
          <w:highlight w:val="none"/>
        </w:rPr>
      </w:pPr>
    </w:p>
    <w:p w14:paraId="75498D74">
      <w:pPr>
        <w:spacing w:line="320" w:lineRule="exact"/>
        <w:rPr>
          <w:rFonts w:hint="eastAsia" w:ascii="仿宋" w:hAnsi="仿宋" w:eastAsia="仿宋" w:cs="仿宋"/>
          <w:b/>
          <w:bCs/>
          <w:color w:val="auto"/>
          <w:sz w:val="32"/>
          <w:szCs w:val="32"/>
          <w:highlight w:val="none"/>
        </w:rPr>
      </w:pPr>
    </w:p>
    <w:p w14:paraId="28851B91">
      <w:pPr>
        <w:spacing w:line="320" w:lineRule="exact"/>
        <w:rPr>
          <w:rFonts w:hint="eastAsia" w:ascii="仿宋" w:hAnsi="仿宋" w:eastAsia="仿宋" w:cs="仿宋"/>
          <w:b/>
          <w:bCs/>
          <w:color w:val="auto"/>
          <w:sz w:val="32"/>
          <w:szCs w:val="32"/>
          <w:highlight w:val="none"/>
        </w:rPr>
      </w:pPr>
    </w:p>
    <w:p w14:paraId="170B27FF">
      <w:pPr>
        <w:spacing w:line="320" w:lineRule="exact"/>
        <w:rPr>
          <w:rFonts w:hint="eastAsia" w:ascii="仿宋" w:hAnsi="仿宋" w:eastAsia="仿宋" w:cs="仿宋"/>
          <w:b/>
          <w:bCs/>
          <w:color w:val="auto"/>
          <w:sz w:val="32"/>
          <w:szCs w:val="32"/>
          <w:highlight w:val="none"/>
        </w:rPr>
      </w:pPr>
    </w:p>
    <w:p w14:paraId="42CE2A89">
      <w:pPr>
        <w:spacing w:line="320" w:lineRule="exact"/>
        <w:rPr>
          <w:rFonts w:hint="eastAsia" w:ascii="仿宋" w:hAnsi="仿宋" w:eastAsia="仿宋" w:cs="仿宋"/>
          <w:b/>
          <w:bCs/>
          <w:color w:val="auto"/>
          <w:sz w:val="32"/>
          <w:szCs w:val="32"/>
          <w:highlight w:val="none"/>
        </w:rPr>
      </w:pPr>
    </w:p>
    <w:p w14:paraId="56827509">
      <w:pPr>
        <w:spacing w:line="320" w:lineRule="exact"/>
        <w:rPr>
          <w:rFonts w:hint="eastAsia" w:ascii="仿宋" w:hAnsi="仿宋" w:eastAsia="仿宋" w:cs="仿宋"/>
          <w:b/>
          <w:bCs/>
          <w:color w:val="auto"/>
          <w:sz w:val="32"/>
          <w:szCs w:val="32"/>
          <w:highlight w:val="none"/>
        </w:rPr>
      </w:pPr>
    </w:p>
    <w:p w14:paraId="49CC8C16">
      <w:pPr>
        <w:spacing w:line="320" w:lineRule="exact"/>
        <w:rPr>
          <w:rFonts w:hint="eastAsia" w:ascii="仿宋" w:hAnsi="仿宋" w:eastAsia="仿宋" w:cs="仿宋"/>
          <w:b/>
          <w:bCs/>
          <w:color w:val="auto"/>
          <w:sz w:val="32"/>
          <w:szCs w:val="32"/>
          <w:highlight w:val="none"/>
        </w:rPr>
      </w:pPr>
    </w:p>
    <w:p w14:paraId="678E1C5D">
      <w:pPr>
        <w:spacing w:line="320" w:lineRule="exact"/>
        <w:rPr>
          <w:rFonts w:hint="eastAsia" w:ascii="仿宋" w:hAnsi="仿宋" w:eastAsia="仿宋" w:cs="仿宋"/>
          <w:b/>
          <w:bCs/>
          <w:color w:val="auto"/>
          <w:sz w:val="32"/>
          <w:szCs w:val="32"/>
          <w:highlight w:val="none"/>
        </w:rPr>
      </w:pPr>
    </w:p>
    <w:p w14:paraId="0D8D682F">
      <w:pPr>
        <w:spacing w:line="320" w:lineRule="exact"/>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3.</w:t>
      </w:r>
      <w:r>
        <w:rPr>
          <w:rFonts w:hint="eastAsia" w:ascii="仿宋" w:hAnsi="仿宋" w:eastAsia="仿宋" w:cs="仿宋"/>
          <w:b/>
          <w:bCs/>
          <w:color w:val="auto"/>
          <w:sz w:val="32"/>
          <w:szCs w:val="32"/>
          <w:highlight w:val="none"/>
          <w:lang w:eastAsia="zh-CN"/>
        </w:rPr>
        <w:t>投标人针对本项目的实施方案（必须提供）</w:t>
      </w:r>
    </w:p>
    <w:p w14:paraId="0F7922BB">
      <w:pPr>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30"/>
          <w:szCs w:val="30"/>
          <w:highlight w:val="none"/>
        </w:rPr>
        <w:t>附件：</w:t>
      </w:r>
    </w:p>
    <w:p w14:paraId="136B6BDF">
      <w:pPr>
        <w:pStyle w:val="9"/>
        <w:jc w:val="center"/>
        <w:rPr>
          <w:rFonts w:hint="eastAsia" w:ascii="仿宋" w:hAnsi="仿宋" w:eastAsia="仿宋" w:cs="仿宋"/>
          <w:color w:val="auto"/>
          <w:sz w:val="30"/>
          <w:highlight w:val="none"/>
        </w:rPr>
      </w:pPr>
      <w:r>
        <w:rPr>
          <w:rFonts w:hint="eastAsia" w:ascii="仿宋" w:hAnsi="仿宋" w:eastAsia="仿宋" w:cs="仿宋"/>
          <w:b/>
          <w:bCs/>
          <w:color w:val="auto"/>
          <w:sz w:val="32"/>
          <w:highlight w:val="none"/>
        </w:rPr>
        <w:t>针对本项目的实施方案（格式）</w:t>
      </w:r>
    </w:p>
    <w:p w14:paraId="5301B999">
      <w:pPr>
        <w:spacing w:line="320" w:lineRule="exact"/>
        <w:ind w:firstLine="422" w:firstLineChars="200"/>
        <w:rPr>
          <w:rFonts w:hint="eastAsia" w:ascii="仿宋" w:hAnsi="仿宋" w:eastAsia="仿宋" w:cs="仿宋"/>
          <w:b/>
          <w:bCs/>
          <w:color w:val="auto"/>
          <w:szCs w:val="21"/>
          <w:highlight w:val="none"/>
        </w:rPr>
      </w:pPr>
    </w:p>
    <w:p w14:paraId="3B32B35B">
      <w:pPr>
        <w:rPr>
          <w:rFonts w:hint="eastAsia" w:ascii="仿宋" w:hAnsi="仿宋" w:eastAsia="仿宋" w:cs="仿宋"/>
          <w:color w:val="auto"/>
          <w:highlight w:val="none"/>
        </w:rPr>
      </w:pPr>
    </w:p>
    <w:p w14:paraId="0A561061">
      <w:pPr>
        <w:snapToGrid w:val="0"/>
        <w:spacing w:line="600" w:lineRule="exact"/>
        <w:jc w:val="left"/>
        <w:outlineLvl w:val="9"/>
        <w:rPr>
          <w:rFonts w:hint="eastAsia" w:ascii="仿宋" w:hAnsi="仿宋" w:eastAsia="仿宋" w:cs="仿宋"/>
          <w:color w:val="auto"/>
          <w:sz w:val="24"/>
          <w:szCs w:val="24"/>
          <w:highlight w:val="none"/>
        </w:rPr>
      </w:pPr>
    </w:p>
    <w:p w14:paraId="68B4C993">
      <w:pPr>
        <w:snapToGrid w:val="0"/>
        <w:spacing w:line="600" w:lineRule="exact"/>
        <w:jc w:val="left"/>
        <w:outlineLvl w:val="9"/>
        <w:rPr>
          <w:rFonts w:hint="eastAsia" w:ascii="仿宋" w:hAnsi="仿宋" w:eastAsia="仿宋" w:cs="仿宋"/>
          <w:color w:val="auto"/>
          <w:sz w:val="24"/>
          <w:szCs w:val="24"/>
          <w:highlight w:val="none"/>
        </w:rPr>
      </w:pPr>
    </w:p>
    <w:p w14:paraId="12780EC0">
      <w:pPr>
        <w:snapToGrid w:val="0"/>
        <w:spacing w:line="600" w:lineRule="exact"/>
        <w:jc w:val="left"/>
        <w:outlineLvl w:val="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742C4556">
      <w:pPr>
        <w:pStyle w:val="9"/>
        <w:spacing w:line="6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法定代表人(负责人)或相应的委托代理人签字（或者电子签名）：</w:t>
      </w:r>
      <w:r>
        <w:rPr>
          <w:rFonts w:hint="eastAsia" w:ascii="仿宋" w:hAnsi="仿宋" w:eastAsia="仿宋" w:cs="仿宋"/>
          <w:color w:val="auto"/>
          <w:sz w:val="24"/>
          <w:szCs w:val="24"/>
          <w:highlight w:val="none"/>
          <w:u w:val="single"/>
        </w:rPr>
        <w:t xml:space="preserve">                              </w:t>
      </w:r>
    </w:p>
    <w:p w14:paraId="20D2AB07">
      <w:pPr>
        <w:spacing w:line="6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6C9A1D32">
      <w:pPr>
        <w:pStyle w:val="19"/>
        <w:rPr>
          <w:rFonts w:hint="eastAsia" w:ascii="仿宋" w:hAnsi="仿宋" w:eastAsia="仿宋" w:cs="仿宋"/>
          <w:color w:val="auto"/>
          <w:highlight w:val="none"/>
        </w:rPr>
      </w:pPr>
    </w:p>
    <w:p w14:paraId="0220D4F5">
      <w:pPr>
        <w:pStyle w:val="19"/>
        <w:rPr>
          <w:rFonts w:hint="eastAsia" w:ascii="仿宋" w:hAnsi="仿宋" w:eastAsia="仿宋" w:cs="仿宋"/>
          <w:color w:val="auto"/>
          <w:highlight w:val="none"/>
        </w:rPr>
      </w:pPr>
    </w:p>
    <w:p w14:paraId="13642BD9">
      <w:pPr>
        <w:pStyle w:val="19"/>
        <w:rPr>
          <w:rFonts w:hint="eastAsia" w:ascii="仿宋" w:hAnsi="仿宋" w:eastAsia="仿宋" w:cs="仿宋"/>
          <w:color w:val="auto"/>
          <w:highlight w:val="none"/>
        </w:rPr>
      </w:pPr>
    </w:p>
    <w:p w14:paraId="0BB786FC">
      <w:pPr>
        <w:pStyle w:val="19"/>
        <w:rPr>
          <w:rFonts w:hint="eastAsia" w:ascii="仿宋" w:hAnsi="仿宋" w:eastAsia="仿宋" w:cs="仿宋"/>
          <w:color w:val="auto"/>
          <w:highlight w:val="none"/>
        </w:rPr>
      </w:pPr>
    </w:p>
    <w:p w14:paraId="3E4E138A">
      <w:pPr>
        <w:pStyle w:val="19"/>
        <w:rPr>
          <w:rFonts w:hint="eastAsia" w:ascii="仿宋" w:hAnsi="仿宋" w:eastAsia="仿宋" w:cs="仿宋"/>
          <w:color w:val="auto"/>
          <w:highlight w:val="none"/>
        </w:rPr>
      </w:pPr>
    </w:p>
    <w:p w14:paraId="75359FB1">
      <w:pPr>
        <w:spacing w:line="320" w:lineRule="exac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4.</w:t>
      </w:r>
      <w:r>
        <w:rPr>
          <w:rFonts w:hint="eastAsia" w:ascii="仿宋" w:hAnsi="仿宋" w:eastAsia="仿宋" w:cs="仿宋"/>
          <w:b/>
          <w:bCs/>
          <w:color w:val="auto"/>
          <w:sz w:val="32"/>
          <w:szCs w:val="32"/>
          <w:highlight w:val="none"/>
          <w:lang w:eastAsia="zh-CN"/>
        </w:rPr>
        <w:t>投标人针对本项目的售后服务方案</w:t>
      </w:r>
      <w:r>
        <w:rPr>
          <w:rFonts w:hint="eastAsia" w:ascii="仿宋" w:hAnsi="仿宋" w:eastAsia="仿宋" w:cs="仿宋"/>
          <w:b/>
          <w:bCs/>
          <w:color w:val="auto"/>
          <w:sz w:val="32"/>
          <w:szCs w:val="32"/>
          <w:highlight w:val="none"/>
        </w:rPr>
        <w:t>（如有，请提供）</w:t>
      </w:r>
    </w:p>
    <w:p w14:paraId="6204EE82">
      <w:pPr>
        <w:spacing w:line="320" w:lineRule="exact"/>
        <w:rPr>
          <w:rFonts w:hint="eastAsia" w:ascii="仿宋" w:hAnsi="仿宋" w:eastAsia="仿宋" w:cs="仿宋"/>
          <w:b/>
          <w:bCs/>
          <w:color w:val="auto"/>
          <w:sz w:val="32"/>
          <w:szCs w:val="32"/>
          <w:highlight w:val="none"/>
        </w:rPr>
      </w:pPr>
    </w:p>
    <w:p w14:paraId="6D481478">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5BF62AB7">
      <w:pPr>
        <w:pStyle w:val="9"/>
        <w:ind w:firstLine="472" w:firstLineChars="147"/>
        <w:jc w:val="center"/>
        <w:rPr>
          <w:rFonts w:hint="eastAsia" w:ascii="仿宋" w:hAnsi="仿宋" w:eastAsia="仿宋" w:cs="仿宋"/>
          <w:b/>
          <w:bCs/>
          <w:color w:val="auto"/>
          <w:sz w:val="32"/>
          <w:highlight w:val="none"/>
        </w:rPr>
      </w:pPr>
      <w:r>
        <w:rPr>
          <w:rFonts w:hint="eastAsia" w:ascii="仿宋" w:hAnsi="仿宋" w:eastAsia="仿宋" w:cs="仿宋"/>
          <w:b/>
          <w:bCs/>
          <w:color w:val="auto"/>
          <w:sz w:val="32"/>
          <w:szCs w:val="32"/>
          <w:highlight w:val="none"/>
          <w:lang w:eastAsia="zh-CN"/>
        </w:rPr>
        <w:t>售后</w:t>
      </w:r>
      <w:r>
        <w:rPr>
          <w:rFonts w:hint="eastAsia" w:ascii="仿宋" w:hAnsi="仿宋" w:eastAsia="仿宋" w:cs="仿宋"/>
          <w:b/>
          <w:bCs/>
          <w:color w:val="auto"/>
          <w:sz w:val="32"/>
          <w:szCs w:val="32"/>
          <w:highlight w:val="none"/>
        </w:rPr>
        <w:t>服</w:t>
      </w:r>
      <w:r>
        <w:rPr>
          <w:rFonts w:hint="eastAsia" w:ascii="仿宋" w:hAnsi="仿宋" w:eastAsia="仿宋" w:cs="仿宋"/>
          <w:b/>
          <w:bCs/>
          <w:color w:val="auto"/>
          <w:sz w:val="32"/>
          <w:szCs w:val="32"/>
          <w:highlight w:val="none"/>
          <w:lang w:eastAsia="zh-CN"/>
        </w:rPr>
        <w:t>务</w:t>
      </w:r>
      <w:r>
        <w:rPr>
          <w:rFonts w:hint="eastAsia" w:ascii="仿宋" w:hAnsi="仿宋" w:eastAsia="仿宋" w:cs="仿宋"/>
          <w:b/>
          <w:bCs/>
          <w:color w:val="auto"/>
          <w:sz w:val="32"/>
          <w:szCs w:val="32"/>
          <w:highlight w:val="none"/>
        </w:rPr>
        <w:t>方案</w:t>
      </w:r>
      <w:r>
        <w:rPr>
          <w:rFonts w:hint="eastAsia" w:ascii="仿宋" w:hAnsi="仿宋" w:eastAsia="仿宋" w:cs="仿宋"/>
          <w:b/>
          <w:bCs/>
          <w:color w:val="auto"/>
          <w:sz w:val="32"/>
          <w:highlight w:val="none"/>
        </w:rPr>
        <w:t>（格式）</w:t>
      </w:r>
    </w:p>
    <w:p w14:paraId="743C4E81">
      <w:pPr>
        <w:spacing w:line="320" w:lineRule="exact"/>
        <w:rPr>
          <w:rFonts w:hint="eastAsia" w:ascii="仿宋" w:hAnsi="仿宋" w:eastAsia="仿宋" w:cs="仿宋"/>
          <w:b/>
          <w:bCs/>
          <w:color w:val="auto"/>
          <w:sz w:val="28"/>
          <w:szCs w:val="28"/>
          <w:highlight w:val="none"/>
        </w:rPr>
      </w:pPr>
    </w:p>
    <w:p w14:paraId="340440A6">
      <w:pPr>
        <w:spacing w:line="320" w:lineRule="exact"/>
        <w:rPr>
          <w:rFonts w:hint="eastAsia" w:ascii="仿宋" w:hAnsi="仿宋" w:eastAsia="仿宋" w:cs="仿宋"/>
          <w:b/>
          <w:bCs/>
          <w:color w:val="auto"/>
          <w:sz w:val="28"/>
          <w:szCs w:val="28"/>
          <w:highlight w:val="none"/>
        </w:rPr>
      </w:pPr>
    </w:p>
    <w:p w14:paraId="7C1E244B">
      <w:pPr>
        <w:snapToGrid w:val="0"/>
        <w:spacing w:line="600" w:lineRule="exact"/>
        <w:jc w:val="left"/>
        <w:outlineLvl w:val="9"/>
        <w:rPr>
          <w:rFonts w:hint="eastAsia" w:ascii="仿宋" w:hAnsi="仿宋" w:eastAsia="仿宋" w:cs="仿宋"/>
          <w:color w:val="auto"/>
          <w:szCs w:val="21"/>
          <w:highlight w:val="none"/>
        </w:rPr>
      </w:pPr>
    </w:p>
    <w:p w14:paraId="55AFDB7E">
      <w:pPr>
        <w:snapToGrid w:val="0"/>
        <w:spacing w:line="600" w:lineRule="exact"/>
        <w:jc w:val="left"/>
        <w:outlineLvl w:val="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07FD4EAB">
      <w:pPr>
        <w:pStyle w:val="9"/>
        <w:spacing w:line="6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法定代表人(负责人)或相应的委托代理人签字（或者电子签名）：</w:t>
      </w:r>
      <w:r>
        <w:rPr>
          <w:rFonts w:hint="eastAsia" w:ascii="仿宋" w:hAnsi="仿宋" w:eastAsia="仿宋" w:cs="仿宋"/>
          <w:color w:val="auto"/>
          <w:sz w:val="24"/>
          <w:szCs w:val="24"/>
          <w:highlight w:val="none"/>
          <w:u w:val="single"/>
        </w:rPr>
        <w:t xml:space="preserve">                              </w:t>
      </w:r>
    </w:p>
    <w:p w14:paraId="75399D93">
      <w:pPr>
        <w:spacing w:line="6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644240C7">
      <w:pPr>
        <w:pStyle w:val="19"/>
        <w:rPr>
          <w:rFonts w:hint="eastAsia" w:ascii="仿宋" w:hAnsi="仿宋" w:eastAsia="仿宋" w:cs="仿宋"/>
          <w:color w:val="auto"/>
          <w:highlight w:val="none"/>
        </w:rPr>
      </w:pPr>
    </w:p>
    <w:p w14:paraId="79172361">
      <w:pPr>
        <w:pStyle w:val="5"/>
        <w:ind w:left="0"/>
        <w:rPr>
          <w:rFonts w:hint="eastAsia" w:ascii="仿宋" w:hAnsi="仿宋" w:eastAsia="仿宋" w:cs="仿宋"/>
          <w:color w:val="auto"/>
          <w:highlight w:val="none"/>
        </w:rPr>
      </w:pPr>
    </w:p>
    <w:p w14:paraId="732C62BE">
      <w:pPr>
        <w:rPr>
          <w:rFonts w:hint="eastAsia" w:ascii="仿宋" w:hAnsi="仿宋" w:eastAsia="仿宋" w:cs="仿宋"/>
          <w:b/>
          <w:bCs/>
          <w:color w:val="auto"/>
          <w:sz w:val="32"/>
          <w:szCs w:val="32"/>
          <w:highlight w:val="none"/>
        </w:rPr>
      </w:pPr>
    </w:p>
    <w:p w14:paraId="4009A3BE">
      <w:pPr>
        <w:rPr>
          <w:rFonts w:hint="eastAsia" w:ascii="仿宋" w:hAnsi="仿宋" w:eastAsia="仿宋" w:cs="仿宋"/>
          <w:b/>
          <w:bCs/>
          <w:color w:val="auto"/>
          <w:sz w:val="32"/>
          <w:szCs w:val="32"/>
          <w:highlight w:val="none"/>
        </w:rPr>
      </w:pPr>
    </w:p>
    <w:p w14:paraId="4586120F">
      <w:pPr>
        <w:rPr>
          <w:rFonts w:hint="eastAsia" w:ascii="仿宋" w:hAnsi="仿宋" w:eastAsia="仿宋" w:cs="仿宋"/>
          <w:b/>
          <w:bCs/>
          <w:color w:val="auto"/>
          <w:sz w:val="32"/>
          <w:szCs w:val="32"/>
          <w:highlight w:val="none"/>
        </w:rPr>
      </w:pPr>
    </w:p>
    <w:p w14:paraId="7A2E18BD">
      <w:pP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5.投标人的拟投入本项目的执行团队人员配备方案（如有，请提供）</w:t>
      </w:r>
    </w:p>
    <w:p w14:paraId="7C205FB3">
      <w:pPr>
        <w:spacing w:line="400" w:lineRule="exac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附件：</w:t>
      </w:r>
    </w:p>
    <w:p w14:paraId="729CF494">
      <w:pPr>
        <w:pStyle w:val="9"/>
        <w:ind w:firstLine="472" w:firstLineChars="147"/>
        <w:jc w:val="center"/>
        <w:rPr>
          <w:rFonts w:hint="eastAsia" w:ascii="仿宋" w:hAnsi="仿宋" w:eastAsia="仿宋" w:cs="仿宋"/>
          <w:b/>
          <w:bCs/>
          <w:color w:val="auto"/>
          <w:sz w:val="32"/>
          <w:highlight w:val="none"/>
        </w:rPr>
      </w:pPr>
      <w:r>
        <w:rPr>
          <w:rFonts w:hint="eastAsia" w:ascii="仿宋" w:hAnsi="仿宋" w:eastAsia="仿宋" w:cs="仿宋"/>
          <w:b/>
          <w:bCs/>
          <w:color w:val="auto"/>
          <w:sz w:val="32"/>
          <w:szCs w:val="32"/>
          <w:highlight w:val="none"/>
        </w:rPr>
        <w:t>执行团队人员配备方案</w:t>
      </w:r>
      <w:r>
        <w:rPr>
          <w:rFonts w:hint="eastAsia" w:ascii="仿宋" w:hAnsi="仿宋" w:eastAsia="仿宋" w:cs="仿宋"/>
          <w:b/>
          <w:bCs/>
          <w:color w:val="auto"/>
          <w:sz w:val="32"/>
          <w:highlight w:val="none"/>
        </w:rPr>
        <w:t>（格式）</w:t>
      </w:r>
    </w:p>
    <w:p w14:paraId="447AE361">
      <w:pPr>
        <w:pStyle w:val="9"/>
        <w:ind w:firstLine="602" w:firstLineChars="250"/>
        <w:rPr>
          <w:rFonts w:hint="eastAsia" w:ascii="仿宋" w:hAnsi="仿宋" w:eastAsia="仿宋" w:cs="仿宋"/>
          <w:b/>
          <w:color w:val="auto"/>
          <w:sz w:val="24"/>
          <w:szCs w:val="24"/>
          <w:highlight w:val="none"/>
        </w:rPr>
      </w:pPr>
    </w:p>
    <w:p w14:paraId="74114B72">
      <w:pPr>
        <w:pStyle w:val="9"/>
        <w:spacing w:line="400" w:lineRule="exact"/>
        <w:ind w:left="720"/>
        <w:rPr>
          <w:rFonts w:hint="eastAsia" w:ascii="仿宋" w:hAnsi="仿宋" w:eastAsia="仿宋" w:cs="仿宋"/>
          <w:b/>
          <w:bCs/>
          <w:color w:val="auto"/>
          <w:sz w:val="28"/>
          <w:szCs w:val="28"/>
          <w:highlight w:val="none"/>
        </w:rPr>
      </w:pPr>
    </w:p>
    <w:p w14:paraId="6FC9466F">
      <w:pPr>
        <w:pStyle w:val="9"/>
        <w:spacing w:line="40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主要负责人员名单、主要人员个人资历情况及在职证明，组织结构图等内容等</w:t>
      </w:r>
    </w:p>
    <w:p w14:paraId="44EDC668">
      <w:pPr>
        <w:pStyle w:val="9"/>
        <w:spacing w:line="400" w:lineRule="exact"/>
        <w:ind w:left="720" w:firstLine="1"/>
        <w:rPr>
          <w:rFonts w:hint="eastAsia" w:ascii="仿宋" w:hAnsi="仿宋" w:eastAsia="仿宋" w:cs="仿宋"/>
          <w:b/>
          <w:bCs/>
          <w:color w:val="auto"/>
          <w:sz w:val="28"/>
          <w:szCs w:val="28"/>
          <w:highlight w:val="none"/>
        </w:rPr>
      </w:pPr>
    </w:p>
    <w:p w14:paraId="6C0132F0">
      <w:pPr>
        <w:pStyle w:val="9"/>
        <w:spacing w:line="400" w:lineRule="exact"/>
        <w:rPr>
          <w:rFonts w:hint="eastAsia" w:ascii="仿宋" w:hAnsi="仿宋" w:eastAsia="仿宋" w:cs="仿宋"/>
          <w:b/>
          <w:bCs/>
          <w:color w:val="auto"/>
          <w:sz w:val="24"/>
          <w:szCs w:val="24"/>
          <w:highlight w:val="none"/>
        </w:rPr>
      </w:pPr>
    </w:p>
    <w:p w14:paraId="1EAD69E0">
      <w:pPr>
        <w:pStyle w:val="9"/>
        <w:spacing w:line="400" w:lineRule="exact"/>
        <w:rPr>
          <w:rFonts w:hint="eastAsia" w:ascii="仿宋" w:hAnsi="仿宋" w:eastAsia="仿宋" w:cs="仿宋"/>
          <w:b/>
          <w:bCs/>
          <w:color w:val="auto"/>
          <w:sz w:val="24"/>
          <w:szCs w:val="24"/>
          <w:highlight w:val="none"/>
        </w:rPr>
      </w:pPr>
    </w:p>
    <w:p w14:paraId="286CD6FF">
      <w:pPr>
        <w:pStyle w:val="9"/>
        <w:spacing w:line="400" w:lineRule="exact"/>
        <w:rPr>
          <w:rFonts w:hint="eastAsia" w:ascii="仿宋" w:hAnsi="仿宋" w:eastAsia="仿宋" w:cs="仿宋"/>
          <w:b/>
          <w:bCs/>
          <w:color w:val="auto"/>
          <w:sz w:val="24"/>
          <w:szCs w:val="24"/>
          <w:highlight w:val="none"/>
        </w:rPr>
      </w:pPr>
    </w:p>
    <w:p w14:paraId="655BB58C">
      <w:pPr>
        <w:snapToGrid w:val="0"/>
        <w:spacing w:line="600" w:lineRule="exact"/>
        <w:jc w:val="left"/>
        <w:outlineLvl w:val="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3E559C8E">
      <w:pPr>
        <w:pStyle w:val="9"/>
        <w:spacing w:line="6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法定代表人(负责人)或相应的委托代理人签字（或者电子签名）：</w:t>
      </w:r>
      <w:r>
        <w:rPr>
          <w:rFonts w:hint="eastAsia" w:ascii="仿宋" w:hAnsi="仿宋" w:eastAsia="仿宋" w:cs="仿宋"/>
          <w:color w:val="auto"/>
          <w:sz w:val="24"/>
          <w:szCs w:val="24"/>
          <w:highlight w:val="none"/>
          <w:u w:val="single"/>
        </w:rPr>
        <w:t xml:space="preserve">                              </w:t>
      </w:r>
    </w:p>
    <w:p w14:paraId="23B83B92">
      <w:pPr>
        <w:spacing w:line="600" w:lineRule="exact"/>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6761C374">
      <w:pPr>
        <w:pStyle w:val="9"/>
        <w:spacing w:line="400" w:lineRule="exact"/>
        <w:rPr>
          <w:rFonts w:hint="eastAsia" w:ascii="仿宋" w:hAnsi="仿宋" w:eastAsia="仿宋" w:cs="仿宋"/>
          <w:b/>
          <w:color w:val="auto"/>
          <w:sz w:val="32"/>
          <w:szCs w:val="32"/>
          <w:highlight w:val="none"/>
        </w:rPr>
      </w:pPr>
    </w:p>
    <w:p w14:paraId="3284A763">
      <w:pPr>
        <w:pStyle w:val="9"/>
        <w:spacing w:line="400" w:lineRule="exact"/>
        <w:rPr>
          <w:rFonts w:hint="eastAsia" w:ascii="仿宋" w:hAnsi="仿宋" w:eastAsia="仿宋" w:cs="仿宋"/>
          <w:b/>
          <w:color w:val="auto"/>
          <w:sz w:val="32"/>
          <w:szCs w:val="32"/>
          <w:highlight w:val="none"/>
        </w:rPr>
      </w:pPr>
    </w:p>
    <w:p w14:paraId="685EB6BB">
      <w:pPr>
        <w:pStyle w:val="19"/>
        <w:rPr>
          <w:rFonts w:hint="eastAsia" w:ascii="仿宋" w:hAnsi="仿宋" w:eastAsia="仿宋" w:cs="仿宋"/>
          <w:b/>
          <w:color w:val="auto"/>
          <w:sz w:val="32"/>
          <w:szCs w:val="32"/>
          <w:highlight w:val="none"/>
        </w:rPr>
      </w:pPr>
    </w:p>
    <w:p w14:paraId="11F39925">
      <w:pPr>
        <w:pStyle w:val="19"/>
        <w:rPr>
          <w:rFonts w:hint="eastAsia" w:ascii="仿宋" w:hAnsi="仿宋" w:eastAsia="仿宋" w:cs="仿宋"/>
          <w:b/>
          <w:color w:val="auto"/>
          <w:sz w:val="32"/>
          <w:szCs w:val="32"/>
          <w:highlight w:val="none"/>
        </w:rPr>
      </w:pPr>
    </w:p>
    <w:p w14:paraId="7D4260C7">
      <w:pPr>
        <w:pStyle w:val="9"/>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rPr>
        <w:t>.供应商同类项目业绩</w:t>
      </w:r>
      <w:r>
        <w:rPr>
          <w:rFonts w:hint="eastAsia" w:ascii="仿宋" w:hAnsi="仿宋" w:eastAsia="仿宋" w:cs="仿宋"/>
          <w:b/>
          <w:color w:val="auto"/>
          <w:sz w:val="32"/>
          <w:szCs w:val="32"/>
          <w:highlight w:val="none"/>
          <w:lang w:val="en-US" w:eastAsia="zh-CN"/>
        </w:rPr>
        <w:t>证明材料</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根据评分办法中相关要求提供）（</w:t>
      </w:r>
      <w:r>
        <w:rPr>
          <w:rFonts w:hint="eastAsia" w:ascii="仿宋" w:hAnsi="仿宋" w:eastAsia="仿宋" w:cs="仿宋"/>
          <w:b/>
          <w:color w:val="auto"/>
          <w:sz w:val="32"/>
          <w:szCs w:val="32"/>
          <w:highlight w:val="none"/>
        </w:rPr>
        <w:t>如有，请提供）</w:t>
      </w:r>
    </w:p>
    <w:p w14:paraId="7A970FB5">
      <w:pPr>
        <w:pStyle w:val="19"/>
        <w:rPr>
          <w:rFonts w:hint="eastAsia" w:ascii="仿宋" w:hAnsi="仿宋" w:eastAsia="仿宋" w:cs="仿宋"/>
          <w:color w:val="auto"/>
          <w:highlight w:val="none"/>
        </w:rPr>
      </w:pPr>
    </w:p>
    <w:p w14:paraId="3C0C8EB3">
      <w:pPr>
        <w:pStyle w:val="5"/>
        <w:ind w:left="0"/>
        <w:rPr>
          <w:rFonts w:hint="eastAsia" w:ascii="仿宋" w:hAnsi="仿宋" w:eastAsia="仿宋" w:cs="仿宋"/>
          <w:color w:val="auto"/>
          <w:highlight w:val="none"/>
        </w:rPr>
      </w:pPr>
    </w:p>
    <w:p w14:paraId="1768B9F3">
      <w:pPr>
        <w:rPr>
          <w:rFonts w:hint="eastAsia" w:ascii="仿宋" w:hAnsi="仿宋" w:eastAsia="仿宋" w:cs="仿宋"/>
          <w:color w:val="auto"/>
          <w:highlight w:val="none"/>
        </w:rPr>
      </w:pPr>
    </w:p>
    <w:p w14:paraId="085C79AA">
      <w:pPr>
        <w:pStyle w:val="4"/>
        <w:numPr>
          <w:ilvl w:val="0"/>
          <w:numId w:val="0"/>
        </w:numPr>
        <w:ind w:leftChars="0"/>
        <w:rPr>
          <w:rFonts w:hint="eastAsia"/>
          <w:color w:val="auto"/>
          <w:highlight w:val="none"/>
        </w:rPr>
      </w:pPr>
    </w:p>
    <w:p w14:paraId="67A1A917">
      <w:pPr>
        <w:rPr>
          <w:rFonts w:hint="eastAsia" w:ascii="仿宋" w:hAnsi="仿宋" w:eastAsia="仿宋" w:cs="仿宋"/>
          <w:color w:val="auto"/>
          <w:highlight w:val="none"/>
        </w:rPr>
      </w:pPr>
    </w:p>
    <w:p w14:paraId="4FE77CE3">
      <w:pPr>
        <w:pStyle w:val="19"/>
        <w:rPr>
          <w:rFonts w:hint="eastAsia" w:ascii="仿宋" w:hAnsi="仿宋" w:eastAsia="仿宋" w:cs="仿宋"/>
          <w:color w:val="auto"/>
          <w:highlight w:val="none"/>
        </w:rPr>
      </w:pPr>
    </w:p>
    <w:p w14:paraId="3A2D1186">
      <w:pPr>
        <w:pStyle w:val="19"/>
        <w:rPr>
          <w:rFonts w:hint="eastAsia" w:ascii="仿宋" w:hAnsi="仿宋" w:eastAsia="仿宋" w:cs="仿宋"/>
          <w:color w:val="auto"/>
          <w:highlight w:val="none"/>
        </w:rPr>
      </w:pPr>
    </w:p>
    <w:p w14:paraId="46CAE1A8">
      <w:pPr>
        <w:pStyle w:val="19"/>
        <w:rPr>
          <w:rFonts w:hint="eastAsia" w:ascii="仿宋" w:hAnsi="仿宋" w:eastAsia="仿宋" w:cs="仿宋"/>
          <w:color w:val="auto"/>
          <w:highlight w:val="none"/>
        </w:rPr>
      </w:pPr>
    </w:p>
    <w:p w14:paraId="0D84BF0D">
      <w:pPr>
        <w:pStyle w:val="19"/>
        <w:rPr>
          <w:rFonts w:hint="eastAsia" w:ascii="仿宋" w:hAnsi="仿宋" w:eastAsia="仿宋" w:cs="仿宋"/>
          <w:color w:val="auto"/>
          <w:highlight w:val="none"/>
        </w:rPr>
      </w:pPr>
    </w:p>
    <w:p w14:paraId="488A4378">
      <w:pPr>
        <w:pStyle w:val="19"/>
        <w:rPr>
          <w:rFonts w:hint="eastAsia" w:ascii="仿宋" w:hAnsi="仿宋" w:eastAsia="仿宋" w:cs="仿宋"/>
          <w:color w:val="auto"/>
          <w:highlight w:val="none"/>
        </w:rPr>
      </w:pPr>
    </w:p>
    <w:p w14:paraId="4EB01B6F">
      <w:pPr>
        <w:pStyle w:val="19"/>
        <w:rPr>
          <w:rFonts w:hint="eastAsia" w:ascii="仿宋" w:hAnsi="仿宋" w:eastAsia="仿宋" w:cs="仿宋"/>
          <w:color w:val="auto"/>
          <w:highlight w:val="none"/>
        </w:rPr>
      </w:pPr>
    </w:p>
    <w:p w14:paraId="434617D1">
      <w:pPr>
        <w:pStyle w:val="19"/>
        <w:rPr>
          <w:rFonts w:hint="eastAsia" w:ascii="仿宋" w:hAnsi="仿宋" w:eastAsia="仿宋" w:cs="仿宋"/>
          <w:color w:val="auto"/>
          <w:highlight w:val="none"/>
        </w:rPr>
      </w:pPr>
    </w:p>
    <w:p w14:paraId="4C4A41CF">
      <w:pPr>
        <w:pStyle w:val="19"/>
        <w:rPr>
          <w:rFonts w:hint="eastAsia" w:ascii="仿宋" w:hAnsi="仿宋" w:eastAsia="仿宋" w:cs="仿宋"/>
          <w:color w:val="auto"/>
          <w:highlight w:val="none"/>
        </w:rPr>
      </w:pPr>
    </w:p>
    <w:p w14:paraId="28E2443D">
      <w:pPr>
        <w:pStyle w:val="9"/>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lang w:val="en-US" w:eastAsia="zh-CN"/>
        </w:rPr>
        <w:t>7.如所提供服务企业属于小型、微型企业【中小微型企业划分标准按照《国家统计局关于印发《统计上大中小微型企业划分办法〔2017〕》的通知》（国统字〔2017〕213号）执行，具体划分标准见第四章评标办法中附表《统计上大中小微型企业划分标准》】</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eastAsia="zh-CN"/>
        </w:rPr>
        <w:t>及</w:t>
      </w:r>
      <w:r>
        <w:rPr>
          <w:rFonts w:hint="eastAsia" w:ascii="仿宋" w:hAnsi="仿宋" w:eastAsia="仿宋" w:cs="仿宋"/>
          <w:b/>
          <w:color w:val="auto"/>
          <w:kern w:val="0"/>
          <w:sz w:val="32"/>
          <w:szCs w:val="32"/>
          <w:highlight w:val="none"/>
        </w:rPr>
        <w:t>根据财政部、司法部关于政府采购支持监狱企业发展有关问题的通知（财库[2014]68号）及《关于促进残疾人就业政府采购政策的通知》（财库〔2017〕141号）的规定，监狱企业、残疾人福利单位视同小型、微型企业。投标人根据自身情况，相应提供以下证明材料（必须提供）</w:t>
      </w:r>
    </w:p>
    <w:p w14:paraId="70413752">
      <w:pPr>
        <w:pStyle w:val="9"/>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8044749">
      <w:pPr>
        <w:pStyle w:val="9"/>
        <w:rPr>
          <w:rFonts w:hint="eastAsia" w:ascii="仿宋" w:hAnsi="仿宋" w:eastAsia="仿宋" w:cs="仿宋"/>
          <w:color w:val="auto"/>
          <w:sz w:val="28"/>
          <w:szCs w:val="28"/>
          <w:highlight w:val="none"/>
        </w:rPr>
      </w:pPr>
      <w:r>
        <w:rPr>
          <w:rFonts w:hint="eastAsia" w:ascii="仿宋" w:hAnsi="仿宋" w:eastAsia="仿宋" w:cs="仿宋"/>
          <w:b/>
          <w:color w:val="auto"/>
          <w:sz w:val="32"/>
          <w:szCs w:val="32"/>
          <w:highlight w:val="none"/>
        </w:rPr>
        <w:t>（1）投标人如为符合政策要求的中小企业且承接本项目全部服务的，提供《中小企业声明函》（并对声明的真实性负责）</w:t>
      </w:r>
      <w:r>
        <w:rPr>
          <w:rFonts w:hint="eastAsia" w:ascii="仿宋" w:hAnsi="仿宋" w:eastAsia="仿宋" w:cs="仿宋"/>
          <w:color w:val="auto"/>
          <w:highlight w:val="none"/>
        </w:rPr>
        <w:br w:type="textWrapping"/>
      </w:r>
      <w:r>
        <w:rPr>
          <w:rFonts w:hint="eastAsia" w:ascii="仿宋" w:hAnsi="仿宋" w:eastAsia="仿宋" w:cs="仿宋"/>
          <w:b/>
          <w:color w:val="auto"/>
          <w:sz w:val="32"/>
          <w:szCs w:val="32"/>
          <w:highlight w:val="none"/>
        </w:rPr>
        <w:t>附件：</w:t>
      </w:r>
    </w:p>
    <w:p w14:paraId="7CEC9A66">
      <w:pPr>
        <w:snapToGrid w:val="0"/>
        <w:spacing w:before="165" w:beforeLines="50" w:after="50" w:line="320" w:lineRule="exact"/>
        <w:ind w:firstLine="643"/>
        <w:jc w:val="center"/>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2"/>
          <w:szCs w:val="32"/>
          <w:highlight w:val="none"/>
        </w:rPr>
        <w:t>中小企业声明函（格式）</w:t>
      </w:r>
    </w:p>
    <w:p w14:paraId="13BC1B95">
      <w:pPr>
        <w:ind w:firstLine="480"/>
        <w:rPr>
          <w:rFonts w:hint="eastAsia" w:ascii="仿宋" w:hAnsi="仿宋" w:eastAsia="仿宋" w:cs="仿宋"/>
          <w:color w:val="auto"/>
          <w:kern w:val="0"/>
          <w:sz w:val="24"/>
          <w:szCs w:val="22"/>
          <w:highlight w:val="none"/>
        </w:rPr>
      </w:pPr>
    </w:p>
    <w:p w14:paraId="253186B1">
      <w:pPr>
        <w:spacing w:line="540" w:lineRule="exact"/>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本公司郑重声明，根据《政府采购促进中小企业发展管理办法》（财库﹝2020﹞46 号）的规定，本公司参加</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（项目名称）</w:t>
      </w:r>
      <w:r>
        <w:rPr>
          <w:rFonts w:hint="eastAsia" w:ascii="仿宋" w:hAnsi="仿宋" w:eastAsia="仿宋" w:cs="仿宋"/>
          <w:color w:val="auto"/>
          <w:kern w:val="0"/>
          <w:sz w:val="24"/>
          <w:szCs w:val="24"/>
          <w:highlight w:val="none"/>
        </w:rPr>
        <w:t>采购活动，服务全部由符合政策要求的中小企业承接。相关企业的具体情况如下：</w:t>
      </w:r>
    </w:p>
    <w:p w14:paraId="6F3348D9">
      <w:pPr>
        <w:spacing w:line="540" w:lineRule="exact"/>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行业；承接企业为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3CC0E8E5">
      <w:pPr>
        <w:spacing w:line="540" w:lineRule="exact"/>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2DFAA5B9">
      <w:pPr>
        <w:spacing w:line="540" w:lineRule="exact"/>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7148453A">
      <w:pPr>
        <w:tabs>
          <w:tab w:val="left" w:pos="4860"/>
        </w:tabs>
        <w:spacing w:line="588" w:lineRule="exact"/>
        <w:ind w:right="1560" w:firstLine="420"/>
        <w:jc w:val="center"/>
        <w:rPr>
          <w:rFonts w:hint="eastAsia" w:ascii="仿宋" w:hAnsi="仿宋" w:eastAsia="仿宋" w:cs="仿宋"/>
          <w:color w:val="auto"/>
          <w:kern w:val="0"/>
          <w:sz w:val="24"/>
          <w:szCs w:val="24"/>
          <w:highlight w:val="none"/>
        </w:rPr>
      </w:pPr>
    </w:p>
    <w:p w14:paraId="6AE6B670">
      <w:pPr>
        <w:tabs>
          <w:tab w:val="left" w:pos="4860"/>
        </w:tabs>
        <w:spacing w:line="588" w:lineRule="exact"/>
        <w:ind w:right="1560" w:firstLine="42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sz w:val="24"/>
          <w:szCs w:val="24"/>
          <w:highlight w:val="none"/>
        </w:rPr>
        <w:t>投标人电子签章</w:t>
      </w:r>
      <w:r>
        <w:rPr>
          <w:rFonts w:hint="eastAsia" w:ascii="仿宋" w:hAnsi="仿宋" w:eastAsia="仿宋" w:cs="仿宋"/>
          <w:color w:val="auto"/>
          <w:kern w:val="0"/>
          <w:sz w:val="24"/>
          <w:szCs w:val="24"/>
          <w:highlight w:val="none"/>
        </w:rPr>
        <w:t xml:space="preserve">： </w:t>
      </w:r>
    </w:p>
    <w:p w14:paraId="7A1A33FC">
      <w:pPr>
        <w:snapToGrid w:val="0"/>
        <w:spacing w:before="165" w:beforeLines="50" w:after="50"/>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6019953C">
      <w:pPr>
        <w:snapToGrid w:val="0"/>
        <w:spacing w:before="165" w:beforeLines="50" w:after="50"/>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  期：</w:t>
      </w:r>
    </w:p>
    <w:p w14:paraId="1E74ACAC">
      <w:pPr>
        <w:pStyle w:val="9"/>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（2）投标人如属于监狱企业且承接本项目全部服务的，提供由省级以上监狱管理局、戒毒管理局(含新疆生产建设兵团)出具的属于监狱企业的证明文件。</w:t>
      </w:r>
    </w:p>
    <w:p w14:paraId="12425655">
      <w:pPr>
        <w:pStyle w:val="19"/>
        <w:rPr>
          <w:rFonts w:hint="eastAsia" w:ascii="仿宋" w:hAnsi="仿宋" w:eastAsia="仿宋" w:cs="仿宋"/>
          <w:color w:val="auto"/>
          <w:highlight w:val="none"/>
        </w:rPr>
      </w:pPr>
    </w:p>
    <w:p w14:paraId="7FE58444">
      <w:pPr>
        <w:pStyle w:val="9"/>
        <w:spacing w:line="400" w:lineRule="exact"/>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（3）投标人如属于符合条件的残疾人福利性单位且承接本项目全部服务的，提供《残疾人福利性单位声明函》（并对声明的真实性负责）；</w:t>
      </w:r>
    </w:p>
    <w:p w14:paraId="25E11BE8">
      <w:pPr>
        <w:pStyle w:val="9"/>
        <w:ind w:firstLine="472" w:firstLineChars="147"/>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附件：</w:t>
      </w:r>
    </w:p>
    <w:p w14:paraId="08122B3F">
      <w:pPr>
        <w:pStyle w:val="9"/>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残疾人福利性单位声明函（格式）</w:t>
      </w:r>
    </w:p>
    <w:p w14:paraId="09FEC18B">
      <w:pPr>
        <w:spacing w:line="588" w:lineRule="exact"/>
        <w:rPr>
          <w:rFonts w:hint="eastAsia" w:ascii="仿宋" w:hAnsi="仿宋" w:eastAsia="仿宋" w:cs="仿宋"/>
          <w:b/>
          <w:color w:val="auto"/>
          <w:spacing w:val="6"/>
          <w:sz w:val="30"/>
          <w:szCs w:val="30"/>
          <w:highlight w:val="none"/>
        </w:rPr>
      </w:pPr>
    </w:p>
    <w:p w14:paraId="6C70A61B">
      <w:pPr>
        <w:spacing w:line="588" w:lineRule="exact"/>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8C1961">
      <w:pPr>
        <w:spacing w:line="588" w:lineRule="exact"/>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72C99598">
      <w:pPr>
        <w:spacing w:line="588" w:lineRule="exact"/>
        <w:ind w:firstLine="504" w:firstLineChars="200"/>
        <w:rPr>
          <w:rFonts w:hint="eastAsia" w:ascii="仿宋" w:hAnsi="仿宋" w:eastAsia="仿宋" w:cs="仿宋"/>
          <w:color w:val="auto"/>
          <w:spacing w:val="6"/>
          <w:sz w:val="24"/>
          <w:szCs w:val="24"/>
          <w:highlight w:val="none"/>
        </w:rPr>
      </w:pPr>
    </w:p>
    <w:p w14:paraId="72215048">
      <w:pPr>
        <w:tabs>
          <w:tab w:val="left" w:pos="4860"/>
        </w:tabs>
        <w:spacing w:line="588" w:lineRule="exact"/>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单位电子签章：</w:t>
      </w:r>
    </w:p>
    <w:p w14:paraId="5294D51B">
      <w:pPr>
        <w:tabs>
          <w:tab w:val="left" w:pos="4860"/>
        </w:tabs>
        <w:spacing w:line="588" w:lineRule="exact"/>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7665B866">
      <w:pPr>
        <w:spacing w:line="340" w:lineRule="exact"/>
        <w:ind w:firstLine="1890" w:firstLineChars="900"/>
        <w:rPr>
          <w:rFonts w:hint="eastAsia" w:ascii="仿宋" w:hAnsi="仿宋" w:eastAsia="仿宋" w:cs="仿宋"/>
          <w:color w:val="auto"/>
          <w:highlight w:val="none"/>
          <w:u w:val="single"/>
        </w:rPr>
      </w:pPr>
    </w:p>
    <w:p w14:paraId="77393E64">
      <w:pPr>
        <w:spacing w:line="340" w:lineRule="exact"/>
        <w:ind w:firstLine="1890" w:firstLineChars="900"/>
        <w:rPr>
          <w:rFonts w:hint="eastAsia" w:ascii="仿宋" w:hAnsi="仿宋" w:eastAsia="仿宋" w:cs="仿宋"/>
          <w:color w:val="auto"/>
          <w:highlight w:val="none"/>
          <w:u w:val="single"/>
        </w:rPr>
      </w:pPr>
    </w:p>
    <w:p w14:paraId="023CD5E9">
      <w:pPr>
        <w:spacing w:line="500" w:lineRule="exact"/>
        <w:ind w:firstLine="643"/>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p>
    <w:p w14:paraId="72EDCC4E">
      <w:pPr>
        <w:spacing w:line="50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（1）《中小企业声明函》中从业人员、营业收入、资产总额填报上一年度数据，无上一年度数据的新成立企业可不填报。</w:t>
      </w:r>
    </w:p>
    <w:p w14:paraId="0EEA15EC">
      <w:pPr>
        <w:spacing w:line="50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2）中小企业在政府采购活动过程中，请根据自己的真实情况出具《中小企业声明函》或由省级以上监狱管理局、戒毒管理局(含新疆生产建设兵团)出具的属于监狱企业的证明文件或《残疾人福利性单位声明函》。采购人或采购代理机构在公告中标结果时，同时公告以上相应材料，接受社会监督。</w:t>
      </w:r>
    </w:p>
    <w:p w14:paraId="4779E622">
      <w:pPr>
        <w:rPr>
          <w:rFonts w:hint="eastAsia" w:ascii="仿宋" w:hAnsi="仿宋" w:eastAsia="仿宋" w:cs="仿宋"/>
          <w:color w:val="auto"/>
          <w:highlight w:val="none"/>
          <w:u w:val="single"/>
        </w:rPr>
      </w:pPr>
    </w:p>
    <w:p w14:paraId="6E1CA145">
      <w:pPr>
        <w:pStyle w:val="19"/>
        <w:rPr>
          <w:rFonts w:hint="eastAsia" w:ascii="仿宋" w:hAnsi="仿宋" w:eastAsia="仿宋" w:cs="仿宋"/>
          <w:color w:val="auto"/>
          <w:highlight w:val="none"/>
        </w:rPr>
      </w:pPr>
    </w:p>
    <w:p w14:paraId="57A2772F">
      <w:pPr>
        <w:pStyle w:val="9"/>
        <w:spacing w:line="400" w:lineRule="exact"/>
        <w:rPr>
          <w:color w:val="auto"/>
          <w:highlight w:val="none"/>
        </w:rPr>
      </w:pPr>
      <w:r>
        <w:rPr>
          <w:rFonts w:hint="eastAsia" w:ascii="仿宋" w:hAnsi="仿宋" w:eastAsia="仿宋" w:cs="仿宋"/>
          <w:b/>
          <w:color w:val="auto"/>
          <w:sz w:val="32"/>
          <w:szCs w:val="32"/>
          <w:highlight w:val="none"/>
        </w:rPr>
        <w:t>8.投标人可结合本项目的评标办法视自身情况自行提交相关证明材料（如有，请提供）</w:t>
      </w:r>
    </w:p>
    <w:sectPr>
      <w:footerReference r:id="rId3" w:type="default"/>
      <w:pgSz w:w="11906" w:h="16838"/>
      <w:pgMar w:top="1134" w:right="1134" w:bottom="162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0AB4">
    <w:pPr>
      <w:pStyle w:val="10"/>
      <w:tabs>
        <w:tab w:val="center" w:pos="481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64B55">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A64B55">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17491B"/>
    <w:multiLevelType w:val="singleLevel"/>
    <w:tmpl w:val="D717491B"/>
    <w:lvl w:ilvl="0" w:tentative="0">
      <w:start w:val="1"/>
      <w:numFmt w:val="chineseCounting"/>
      <w:suff w:val="nothing"/>
      <w:lvlText w:val="%1、"/>
      <w:lvlJc w:val="left"/>
      <w:rPr>
        <w:rFonts w:hint="eastAsia"/>
      </w:rPr>
    </w:lvl>
  </w:abstractNum>
  <w:abstractNum w:abstractNumId="1">
    <w:nsid w:val="F98C33BB"/>
    <w:multiLevelType w:val="singleLevel"/>
    <w:tmpl w:val="F98C33BB"/>
    <w:lvl w:ilvl="0" w:tentative="0">
      <w:start w:val="1"/>
      <w:numFmt w:val="chineseCounting"/>
      <w:suff w:val="space"/>
      <w:lvlText w:val="第%1章"/>
      <w:lvlJc w:val="left"/>
      <w:rPr>
        <w:rFonts w:hint="eastAsia"/>
      </w:rPr>
    </w:lvl>
  </w:abstractNum>
  <w:abstractNum w:abstractNumId="2">
    <w:nsid w:val="0BBBCFE3"/>
    <w:multiLevelType w:val="multilevel"/>
    <w:tmpl w:val="0BBBCFE3"/>
    <w:lvl w:ilvl="0" w:tentative="0">
      <w:start w:val="1"/>
      <w:numFmt w:val="chineseCounting"/>
      <w:pStyle w:val="2"/>
      <w:suff w:val="nothing"/>
      <w:lvlText w:val="        第%1章  "/>
      <w:lvlJc w:val="left"/>
      <w:pPr>
        <w:tabs>
          <w:tab w:val="left" w:pos="0"/>
        </w:tabs>
        <w:ind w:left="0" w:firstLine="0"/>
      </w:pPr>
      <w:rPr>
        <w:rFonts w:hint="eastAsia" w:ascii="仿宋" w:hAnsi="仿宋" w:eastAsia="仿宋" w:cs="仿宋"/>
        <w:b/>
        <w:sz w:val="32"/>
        <w:szCs w:val="32"/>
      </w:rPr>
    </w:lvl>
    <w:lvl w:ilvl="1" w:tentative="0">
      <w:start w:val="1"/>
      <w:numFmt w:val="decimal"/>
      <w:pStyle w:val="3"/>
      <w:isLgl/>
      <w:lvlText w:val="%1.%2 "/>
      <w:lvlJc w:val="left"/>
      <w:pPr>
        <w:tabs>
          <w:tab w:val="left" w:pos="420"/>
        </w:tabs>
        <w:ind w:left="575" w:hanging="575"/>
      </w:pPr>
      <w:rPr>
        <w:rFonts w:hint="eastAsia" w:ascii="宋体" w:hAnsi="宋体" w:eastAsia="宋体" w:cs="宋体"/>
        <w:sz w:val="24"/>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pStyle w:val="4"/>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3">
    <w:nsid w:val="2220B187"/>
    <w:multiLevelType w:val="singleLevel"/>
    <w:tmpl w:val="2220B187"/>
    <w:lvl w:ilvl="0" w:tentative="0">
      <w:start w:val="2"/>
      <w:numFmt w:val="decimal"/>
      <w:lvlText w:val="%1."/>
      <w:lvlJc w:val="left"/>
      <w:pPr>
        <w:tabs>
          <w:tab w:val="left" w:pos="312"/>
        </w:tabs>
      </w:pPr>
    </w:lvl>
  </w:abstractNum>
  <w:abstractNum w:abstractNumId="4">
    <w:nsid w:val="3C7339B6"/>
    <w:multiLevelType w:val="multilevel"/>
    <w:tmpl w:val="3C7339B6"/>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5">
    <w:nsid w:val="486F2BC6"/>
    <w:multiLevelType w:val="singleLevel"/>
    <w:tmpl w:val="486F2BC6"/>
    <w:lvl w:ilvl="0" w:tentative="0">
      <w:start w:val="4"/>
      <w:numFmt w:val="decimal"/>
      <w:suff w:val="nothing"/>
      <w:lvlText w:val="（%1）"/>
      <w:lvlJc w:val="left"/>
    </w:lvl>
  </w:abstractNum>
  <w:abstractNum w:abstractNumId="6">
    <w:nsid w:val="4C91F04C"/>
    <w:multiLevelType w:val="singleLevel"/>
    <w:tmpl w:val="4C91F04C"/>
    <w:lvl w:ilvl="0" w:tentative="0">
      <w:start w:val="3"/>
      <w:numFmt w:val="chineseCounting"/>
      <w:suff w:val="space"/>
      <w:lvlText w:val="第%1章"/>
      <w:lvlJc w:val="left"/>
      <w:rPr>
        <w:rFonts w:hint="eastAsia"/>
      </w:rPr>
    </w:lvl>
  </w:abstractNum>
  <w:abstractNum w:abstractNumId="7">
    <w:nsid w:val="6FC2B8DF"/>
    <w:multiLevelType w:val="singleLevel"/>
    <w:tmpl w:val="6FC2B8DF"/>
    <w:lvl w:ilvl="0" w:tentative="0">
      <w:start w:val="4"/>
      <w:numFmt w:val="decimal"/>
      <w:lvlText w:val="%1."/>
      <w:lvlJc w:val="left"/>
      <w:pPr>
        <w:tabs>
          <w:tab w:val="left" w:pos="312"/>
        </w:tabs>
      </w:pPr>
    </w:lvl>
  </w:abstractNum>
  <w:num w:numId="1">
    <w:abstractNumId w:val="2"/>
  </w:num>
  <w:num w:numId="2">
    <w:abstractNumId w:val="1"/>
  </w:num>
  <w:num w:numId="3">
    <w:abstractNumId w:val="5"/>
  </w:num>
  <w:num w:numId="4">
    <w:abstractNumId w:val="6"/>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00EA9"/>
    <w:rsid w:val="00286D97"/>
    <w:rsid w:val="003F23D6"/>
    <w:rsid w:val="00A505B4"/>
    <w:rsid w:val="019329D2"/>
    <w:rsid w:val="01BB5A85"/>
    <w:rsid w:val="021234BD"/>
    <w:rsid w:val="02986A19"/>
    <w:rsid w:val="030D2310"/>
    <w:rsid w:val="0440101F"/>
    <w:rsid w:val="049B749C"/>
    <w:rsid w:val="04E106F1"/>
    <w:rsid w:val="067A4160"/>
    <w:rsid w:val="07372051"/>
    <w:rsid w:val="07842FF3"/>
    <w:rsid w:val="07C75183"/>
    <w:rsid w:val="07EF6488"/>
    <w:rsid w:val="0817778D"/>
    <w:rsid w:val="0858402D"/>
    <w:rsid w:val="085F360E"/>
    <w:rsid w:val="08C2594B"/>
    <w:rsid w:val="08D31906"/>
    <w:rsid w:val="094620D8"/>
    <w:rsid w:val="094933C2"/>
    <w:rsid w:val="094C3466"/>
    <w:rsid w:val="09EC1A68"/>
    <w:rsid w:val="0A1E3055"/>
    <w:rsid w:val="0A2D14EA"/>
    <w:rsid w:val="0A59408D"/>
    <w:rsid w:val="0A912C08"/>
    <w:rsid w:val="0B330D82"/>
    <w:rsid w:val="0B996E37"/>
    <w:rsid w:val="0BD64B14"/>
    <w:rsid w:val="0C5C1C12"/>
    <w:rsid w:val="0C851169"/>
    <w:rsid w:val="0CB87AAF"/>
    <w:rsid w:val="0E770F85"/>
    <w:rsid w:val="0E7F7A41"/>
    <w:rsid w:val="0EBE6ECF"/>
    <w:rsid w:val="0ED10695"/>
    <w:rsid w:val="0F2E3D3A"/>
    <w:rsid w:val="10E5650B"/>
    <w:rsid w:val="110A60E1"/>
    <w:rsid w:val="120B2110"/>
    <w:rsid w:val="13F20CE3"/>
    <w:rsid w:val="14D20FD1"/>
    <w:rsid w:val="150F0169"/>
    <w:rsid w:val="15996C0B"/>
    <w:rsid w:val="15DB44F0"/>
    <w:rsid w:val="196D57DE"/>
    <w:rsid w:val="19A5109C"/>
    <w:rsid w:val="19C239FC"/>
    <w:rsid w:val="1B5543FC"/>
    <w:rsid w:val="1BFF6654"/>
    <w:rsid w:val="1CA218C3"/>
    <w:rsid w:val="1CE26164"/>
    <w:rsid w:val="1D1A3B4F"/>
    <w:rsid w:val="1DA97F2F"/>
    <w:rsid w:val="1DD67A76"/>
    <w:rsid w:val="1E22472F"/>
    <w:rsid w:val="1EC012EC"/>
    <w:rsid w:val="1F3F5AEF"/>
    <w:rsid w:val="1FBA6F24"/>
    <w:rsid w:val="1FD9384E"/>
    <w:rsid w:val="20482782"/>
    <w:rsid w:val="213D1BBA"/>
    <w:rsid w:val="213E2E90"/>
    <w:rsid w:val="21AD0AEE"/>
    <w:rsid w:val="221943D6"/>
    <w:rsid w:val="227550F7"/>
    <w:rsid w:val="243C084F"/>
    <w:rsid w:val="24B6415E"/>
    <w:rsid w:val="24D25680"/>
    <w:rsid w:val="25310CD4"/>
    <w:rsid w:val="25800EA9"/>
    <w:rsid w:val="277E65FB"/>
    <w:rsid w:val="28031977"/>
    <w:rsid w:val="2886653D"/>
    <w:rsid w:val="28C66939"/>
    <w:rsid w:val="294206B6"/>
    <w:rsid w:val="29946A38"/>
    <w:rsid w:val="2A2102CB"/>
    <w:rsid w:val="2A6110DD"/>
    <w:rsid w:val="2B8F74B6"/>
    <w:rsid w:val="2C1C30F7"/>
    <w:rsid w:val="2C2422F5"/>
    <w:rsid w:val="2D0756CF"/>
    <w:rsid w:val="2DA84860"/>
    <w:rsid w:val="2DD22C88"/>
    <w:rsid w:val="2DFD38B2"/>
    <w:rsid w:val="2F032695"/>
    <w:rsid w:val="30191A45"/>
    <w:rsid w:val="316D5522"/>
    <w:rsid w:val="31BB7257"/>
    <w:rsid w:val="31C12394"/>
    <w:rsid w:val="331F7372"/>
    <w:rsid w:val="332130EA"/>
    <w:rsid w:val="33AD2BD0"/>
    <w:rsid w:val="33E41108"/>
    <w:rsid w:val="34000F51"/>
    <w:rsid w:val="3445105A"/>
    <w:rsid w:val="348F22D5"/>
    <w:rsid w:val="34B8182C"/>
    <w:rsid w:val="35100708"/>
    <w:rsid w:val="35D73F34"/>
    <w:rsid w:val="35F11419"/>
    <w:rsid w:val="360A2D80"/>
    <w:rsid w:val="36714388"/>
    <w:rsid w:val="36A24542"/>
    <w:rsid w:val="36DF3E60"/>
    <w:rsid w:val="36FF04E7"/>
    <w:rsid w:val="372E6D18"/>
    <w:rsid w:val="37DF3574"/>
    <w:rsid w:val="383B4C4E"/>
    <w:rsid w:val="38C15422"/>
    <w:rsid w:val="393671C3"/>
    <w:rsid w:val="39567866"/>
    <w:rsid w:val="39D5638E"/>
    <w:rsid w:val="3A2B7FD8"/>
    <w:rsid w:val="3A65563B"/>
    <w:rsid w:val="3ABB2076"/>
    <w:rsid w:val="3AC4220A"/>
    <w:rsid w:val="3B0949EF"/>
    <w:rsid w:val="3B550AA1"/>
    <w:rsid w:val="3B887419"/>
    <w:rsid w:val="3C3458C9"/>
    <w:rsid w:val="3C5502A8"/>
    <w:rsid w:val="3C81292C"/>
    <w:rsid w:val="3D39606F"/>
    <w:rsid w:val="3D96293D"/>
    <w:rsid w:val="3E691DE9"/>
    <w:rsid w:val="3F8A23C6"/>
    <w:rsid w:val="3FD17C46"/>
    <w:rsid w:val="40414DCB"/>
    <w:rsid w:val="40955117"/>
    <w:rsid w:val="40E2128F"/>
    <w:rsid w:val="40F541DB"/>
    <w:rsid w:val="410B1343"/>
    <w:rsid w:val="41B25855"/>
    <w:rsid w:val="41E27A8D"/>
    <w:rsid w:val="4278084D"/>
    <w:rsid w:val="435631DA"/>
    <w:rsid w:val="43D66B58"/>
    <w:rsid w:val="43FE2FD4"/>
    <w:rsid w:val="43FE4C25"/>
    <w:rsid w:val="444035EC"/>
    <w:rsid w:val="447A08AC"/>
    <w:rsid w:val="45B94801"/>
    <w:rsid w:val="465B295F"/>
    <w:rsid w:val="469320F9"/>
    <w:rsid w:val="470923BB"/>
    <w:rsid w:val="47AB5220"/>
    <w:rsid w:val="4803505C"/>
    <w:rsid w:val="48A4239B"/>
    <w:rsid w:val="48F36E7F"/>
    <w:rsid w:val="492B2B84"/>
    <w:rsid w:val="49CD147E"/>
    <w:rsid w:val="4A712751"/>
    <w:rsid w:val="4AE20F59"/>
    <w:rsid w:val="4AF07A66"/>
    <w:rsid w:val="4B2772B4"/>
    <w:rsid w:val="4B2B6DA4"/>
    <w:rsid w:val="4B2D35EC"/>
    <w:rsid w:val="4C003D8D"/>
    <w:rsid w:val="4CE362DF"/>
    <w:rsid w:val="4CF60CEC"/>
    <w:rsid w:val="4D9A1FBF"/>
    <w:rsid w:val="4E7740AE"/>
    <w:rsid w:val="4EF838F1"/>
    <w:rsid w:val="4F0272D2"/>
    <w:rsid w:val="4F8D62E0"/>
    <w:rsid w:val="4FFF6109"/>
    <w:rsid w:val="503009B9"/>
    <w:rsid w:val="50B138A7"/>
    <w:rsid w:val="5234189C"/>
    <w:rsid w:val="52727066"/>
    <w:rsid w:val="52D970E6"/>
    <w:rsid w:val="53513120"/>
    <w:rsid w:val="53B35B89"/>
    <w:rsid w:val="53B8319F"/>
    <w:rsid w:val="53D11CA9"/>
    <w:rsid w:val="544B5DC1"/>
    <w:rsid w:val="54947768"/>
    <w:rsid w:val="54AB5F5C"/>
    <w:rsid w:val="54B55930"/>
    <w:rsid w:val="54BE2A37"/>
    <w:rsid w:val="54FF095A"/>
    <w:rsid w:val="56045C00"/>
    <w:rsid w:val="57D23CC6"/>
    <w:rsid w:val="58461706"/>
    <w:rsid w:val="588A18E5"/>
    <w:rsid w:val="58A67A6A"/>
    <w:rsid w:val="598623E0"/>
    <w:rsid w:val="59A83BD6"/>
    <w:rsid w:val="5A132704"/>
    <w:rsid w:val="5A6C3B7B"/>
    <w:rsid w:val="5B70435F"/>
    <w:rsid w:val="5BC30933"/>
    <w:rsid w:val="5C853E3A"/>
    <w:rsid w:val="5CB0541E"/>
    <w:rsid w:val="5D011713"/>
    <w:rsid w:val="5D1A0A26"/>
    <w:rsid w:val="5F1E6A3E"/>
    <w:rsid w:val="611C2A0D"/>
    <w:rsid w:val="615F10FE"/>
    <w:rsid w:val="618927A0"/>
    <w:rsid w:val="619743F4"/>
    <w:rsid w:val="6299419B"/>
    <w:rsid w:val="6367429A"/>
    <w:rsid w:val="642D2550"/>
    <w:rsid w:val="64D140C0"/>
    <w:rsid w:val="65C510A6"/>
    <w:rsid w:val="66CC67A7"/>
    <w:rsid w:val="670818F0"/>
    <w:rsid w:val="67380427"/>
    <w:rsid w:val="68E3757D"/>
    <w:rsid w:val="690A7914"/>
    <w:rsid w:val="69112CDD"/>
    <w:rsid w:val="69A5357D"/>
    <w:rsid w:val="69E71077"/>
    <w:rsid w:val="6C3045F5"/>
    <w:rsid w:val="6D3C22F3"/>
    <w:rsid w:val="6D413DAD"/>
    <w:rsid w:val="6D6B4986"/>
    <w:rsid w:val="6D997745"/>
    <w:rsid w:val="6DBB1C79"/>
    <w:rsid w:val="6DF016A4"/>
    <w:rsid w:val="6F321C00"/>
    <w:rsid w:val="6FFE7D34"/>
    <w:rsid w:val="70800D73"/>
    <w:rsid w:val="70FF1FB5"/>
    <w:rsid w:val="715B1511"/>
    <w:rsid w:val="71D62D16"/>
    <w:rsid w:val="72402885"/>
    <w:rsid w:val="7295497F"/>
    <w:rsid w:val="731A76E0"/>
    <w:rsid w:val="736B748E"/>
    <w:rsid w:val="73EA0CFB"/>
    <w:rsid w:val="73F8574B"/>
    <w:rsid w:val="740718AD"/>
    <w:rsid w:val="74216B76"/>
    <w:rsid w:val="74C23A26"/>
    <w:rsid w:val="75041948"/>
    <w:rsid w:val="75A5137D"/>
    <w:rsid w:val="77DC5ECE"/>
    <w:rsid w:val="77FC71CE"/>
    <w:rsid w:val="78104AA8"/>
    <w:rsid w:val="78E10822"/>
    <w:rsid w:val="78F63C9E"/>
    <w:rsid w:val="792C5CEF"/>
    <w:rsid w:val="794964C4"/>
    <w:rsid w:val="7A1E525A"/>
    <w:rsid w:val="7A4078C7"/>
    <w:rsid w:val="7BC71922"/>
    <w:rsid w:val="7C6026CD"/>
    <w:rsid w:val="7C923CDE"/>
    <w:rsid w:val="7CCE4C0B"/>
    <w:rsid w:val="7D1C7A4B"/>
    <w:rsid w:val="7D43322A"/>
    <w:rsid w:val="7F73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numPr>
        <w:ilvl w:val="0"/>
        <w:numId w:val="1"/>
      </w:numPr>
      <w:spacing w:before="340" w:beforeLines="0" w:beforeAutospacing="0" w:after="330" w:afterLines="0" w:afterAutospacing="0" w:line="576" w:lineRule="auto"/>
      <w:outlineLvl w:val="0"/>
    </w:pPr>
    <w:rPr>
      <w:b/>
      <w:kern w:val="44"/>
      <w:sz w:val="32"/>
      <w:szCs w:val="20"/>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4"/>
    <w:basedOn w:val="1"/>
    <w:next w:val="1"/>
    <w:qFormat/>
    <w:uiPriority w:val="9"/>
    <w:pPr>
      <w:keepNext/>
      <w:keepLines/>
      <w:numPr>
        <w:ilvl w:val="3"/>
        <w:numId w:val="1"/>
      </w:numPr>
      <w:spacing w:before="280" w:after="290" w:line="376" w:lineRule="auto"/>
      <w:ind w:left="864" w:hanging="864"/>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index 8"/>
    <w:basedOn w:val="1"/>
    <w:qFormat/>
    <w:uiPriority w:val="99"/>
    <w:pPr>
      <w:ind w:left="2940"/>
    </w:pPr>
  </w:style>
  <w:style w:type="paragraph" w:styleId="6">
    <w:name w:val="annotation text"/>
    <w:basedOn w:val="1"/>
    <w:qFormat/>
    <w:uiPriority w:val="0"/>
    <w:pPr>
      <w:jc w:val="left"/>
    </w:pPr>
  </w:style>
  <w:style w:type="paragraph" w:styleId="7">
    <w:name w:val="Body Text"/>
    <w:basedOn w:val="1"/>
    <w:next w:val="1"/>
    <w:unhideWhenUsed/>
    <w:qFormat/>
    <w:uiPriority w:val="0"/>
    <w:pPr>
      <w:spacing w:after="120"/>
    </w:pPr>
  </w:style>
  <w:style w:type="paragraph" w:styleId="8">
    <w:name w:val="Block Text"/>
    <w:basedOn w:val="1"/>
    <w:qFormat/>
    <w:uiPriority w:val="99"/>
    <w:pPr>
      <w:adjustRightInd w:val="0"/>
      <w:spacing w:line="400" w:lineRule="exact"/>
      <w:ind w:left="420" w:right="33" w:firstLine="1044" w:firstLineChars="200"/>
      <w:jc w:val="left"/>
      <w:textAlignment w:val="baseline"/>
    </w:pPr>
    <w:rPr>
      <w:kern w:val="0"/>
      <w:sz w:val="24"/>
      <w:szCs w:val="20"/>
    </w:rPr>
  </w:style>
  <w:style w:type="paragraph" w:styleId="9">
    <w:name w:val="Plain Text"/>
    <w:basedOn w:val="1"/>
    <w:qFormat/>
    <w:uiPriority w:val="0"/>
    <w:rPr>
      <w:rFonts w:ascii="宋体" w:hAnsi="Courier New"/>
      <w:szCs w:val="20"/>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style>
  <w:style w:type="paragraph" w:styleId="13">
    <w:name w:val="toc 6"/>
    <w:basedOn w:val="1"/>
    <w:next w:val="1"/>
    <w:qFormat/>
    <w:uiPriority w:val="0"/>
    <w:pPr>
      <w:spacing w:line="360" w:lineRule="auto"/>
      <w:ind w:left="1200" w:firstLine="200" w:firstLineChars="200"/>
      <w:jc w:val="left"/>
    </w:pPr>
    <w:rPr>
      <w:rFonts w:ascii="Calibri" w:hAnsi="Calibri" w:cs="Calibri"/>
      <w:sz w:val="18"/>
      <w:szCs w:val="18"/>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5">
    <w:name w:val="Body Text First Indent"/>
    <w:basedOn w:val="7"/>
    <w:next w:val="13"/>
    <w:unhideWhenUsed/>
    <w:qFormat/>
    <w:uiPriority w:val="99"/>
    <w:pPr>
      <w:ind w:firstLine="420" w:firstLineChars="100"/>
    </w:pPr>
  </w:style>
  <w:style w:type="character" w:customStyle="1" w:styleId="18">
    <w:name w:val="标题 1 Char"/>
    <w:link w:val="2"/>
    <w:qFormat/>
    <w:uiPriority w:val="0"/>
    <w:rPr>
      <w:b/>
      <w:kern w:val="44"/>
      <w:sz w:val="32"/>
      <w:szCs w:val="20"/>
    </w:rPr>
  </w:style>
  <w:style w:type="paragraph" w:customStyle="1" w:styleId="19">
    <w:name w:val="PlainText"/>
    <w:basedOn w:val="1"/>
    <w:qFormat/>
    <w:uiPriority w:val="0"/>
    <w:pPr>
      <w:spacing w:line="240" w:lineRule="auto"/>
      <w:jc w:val="both"/>
    </w:pPr>
    <w:rPr>
      <w:rFonts w:ascii="宋体" w:hAnsi="Courier New" w:eastAsia="宋体"/>
      <w:kern w:val="2"/>
      <w:sz w:val="21"/>
      <w:szCs w:val="21"/>
      <w:lang w:val="en-US" w:eastAsia="zh-CN" w:bidi="ar-SA"/>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1"/>
    <w:basedOn w:val="1"/>
    <w:next w:val="9"/>
    <w:qFormat/>
    <w:uiPriority w:val="0"/>
    <w:rPr>
      <w:rFonts w:ascii="宋体" w:hAnsi="Courier New" w:eastAsia="宋体" w:cs="Times New Roman"/>
      <w:szCs w:val="20"/>
    </w:rPr>
  </w:style>
  <w:style w:type="paragraph" w:customStyle="1" w:styleId="22">
    <w:name w:val="Char"/>
    <w:basedOn w:val="1"/>
    <w:qFormat/>
    <w:uiPriority w:val="0"/>
    <w:rPr>
      <w:rFonts w:ascii="Times New Roman" w:hAnsi="Times New Roman" w:eastAsia="宋体" w:cs="Times New Roman"/>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file:///C:\Users\Administrator\AppData\Roaming\Tencent\Users\84332323\QQ\WinTemp\RichOle\IBTSMDNQID2EUB%252525252525252525252525252525252525257B1%252525252525252525252525252525252525255D6~PD(5.png"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21420</Words>
  <Characters>22910</Characters>
  <Lines>0</Lines>
  <Paragraphs>0</Paragraphs>
  <TotalTime>235</TotalTime>
  <ScaleCrop>false</ScaleCrop>
  <LinksUpToDate>false</LinksUpToDate>
  <CharactersWithSpaces>26075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2025-05-06T07:26:00Z</dcterms:created>
  <dc:creator>林雨音</dc:creator>
  <cp:lastModifiedBy>  小妮子  </cp:lastModifiedBy>
  <cp:lastPrinted>2025-05-12T01:50:00Z</cp:lastPrinted>
  <dcterms:modified xsi:type="dcterms:W3CDTF">2026-03-11T07:47:00Z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6CF8EF4337114C15A0F659CAA9F2283D_13</vt:lpwstr>
  </property>
  <property fmtid="{D5CDD505-2E9C-101B-9397-08002B2CF9AE}" pid="4" name="KSOTemplateDocerSaveRecord">
    <vt:lpwstr>eyJoZGlkIjoiYmU1MzFkYWFkMzkyNTE3MTNkODk3OTcyMjU3YjY0OGIiLCJ1c2VySWQiOiI0NzAzNDEwMTAifQ==</vt:lpwstr>
  </property>
</Properties>
</file>