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F91A">
      <w:pPr>
        <w:pStyle w:val="40"/>
        <w:shd w:val="clear" w:color="auto" w:fill="FFFFFF"/>
        <w:spacing w:before="0" w:beforeAutospacing="0" w:after="0" w:afterAutospacing="0"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color w:val="auto"/>
          <w:sz w:val="44"/>
          <w:szCs w:val="44"/>
          <w:highlight w:val="none"/>
        </w:rPr>
        <w:drawing>
          <wp:inline distT="0" distB="0" distL="114300" distR="114300">
            <wp:extent cx="488315" cy="488315"/>
            <wp:effectExtent l="0" t="0" r="6985" b="6985"/>
            <wp:docPr id="2" name="图片 1"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dc398a9-b84f-48b4-b641-18b8eedbf416"/>
                    <pic:cNvPicPr>
                      <a:picLocks noChangeAspect="1"/>
                    </pic:cNvPicPr>
                  </pic:nvPicPr>
                  <pic:blipFill>
                    <a:blip r:embed="rId21"/>
                    <a:stretch>
                      <a:fillRect/>
                    </a:stretch>
                  </pic:blipFill>
                  <pic:spPr>
                    <a:xfrm>
                      <a:off x="0" y="0"/>
                      <a:ext cx="488315" cy="488315"/>
                    </a:xfrm>
                    <a:prstGeom prst="rect">
                      <a:avLst/>
                    </a:prstGeom>
                    <a:noFill/>
                    <a:ln>
                      <a:noFill/>
                    </a:ln>
                  </pic:spPr>
                </pic:pic>
              </a:graphicData>
            </a:graphic>
          </wp:inline>
        </w:drawing>
      </w:r>
    </w:p>
    <w:p w14:paraId="46A44E31">
      <w:pPr>
        <w:jc w:val="center"/>
        <w:rPr>
          <w:rFonts w:hint="eastAsia" w:ascii="仿宋" w:hAnsi="仿宋" w:eastAsia="仿宋" w:cs="仿宋"/>
          <w:b/>
          <w:bCs/>
          <w:color w:val="auto"/>
          <w:sz w:val="52"/>
          <w:highlight w:val="none"/>
        </w:rPr>
      </w:pPr>
      <w:r>
        <w:rPr>
          <w:rFonts w:hint="eastAsia" w:ascii="仿宋" w:hAnsi="仿宋" w:eastAsia="仿宋" w:cs="仿宋"/>
          <w:b/>
          <w:bCs/>
          <w:color w:val="auto"/>
          <w:sz w:val="44"/>
          <w:szCs w:val="44"/>
          <w:highlight w:val="none"/>
        </w:rPr>
        <w:t>公诚管理咨询有限公司</w:t>
      </w:r>
    </w:p>
    <w:p w14:paraId="6A0E4711">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Gongcheng Management Consulting Co. , Ltd.</w:t>
      </w:r>
    </w:p>
    <w:p w14:paraId="68B52681">
      <w:pPr>
        <w:spacing w:after="120"/>
        <w:ind w:firstLine="404"/>
        <w:rPr>
          <w:rFonts w:hint="eastAsia" w:ascii="仿宋" w:hAnsi="仿宋" w:eastAsia="仿宋" w:cs="仿宋"/>
          <w:b/>
          <w:bCs/>
          <w:color w:val="auto"/>
          <w:sz w:val="10"/>
          <w:highlight w:val="none"/>
        </w:rPr>
      </w:pPr>
      <w:r>
        <w:rPr>
          <w:rFonts w:hint="eastAsia" w:ascii="仿宋" w:hAnsi="仿宋" w:eastAsia="仿宋" w:cs="仿宋"/>
          <w:color w:val="auto"/>
          <w:sz w:val="20"/>
          <w:highlight w:val="none"/>
          <w:u w:val="single"/>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58420</wp:posOffset>
                </wp:positionV>
                <wp:extent cx="6282055" cy="0"/>
                <wp:effectExtent l="0" t="13970" r="4445" b="14605"/>
                <wp:wrapNone/>
                <wp:docPr id="1" name="直接连接符 1"/>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8pt;margin-top:4.6pt;height:0pt;width:494.65pt;z-index:251661312;mso-width-relative:page;mso-height-relative:page;" filled="f" stroked="t" coordsize="21600,21600" o:gfxdata="UEsDBAoAAAAAAIdO4kAAAAAAAAAAAAAAAAAEAAAAZHJzL1BLAwQUAAAACACHTuJARcUsVNYAAAAH&#10;AQAADwAAAGRycy9kb3ducmV2LnhtbE2OwU7DMBBE70j8g7WVuKDWbimhTeP0gATi0EsDH7CJlyQi&#10;XofYbdp+PS4XOI5m9OZl25PtxJEG3zrWMJ8pEMSVMy3XGj7eX6YrED4gG+wck4YzedjmtzcZpsaN&#10;vKdjEWoRIexT1NCE0KdS+qohi37meuLYfbrBYohxqKUZcIxw28mFUom02HJ8aLCn54aqr+JgNezL&#10;Fe7e1HfhzpxcxkvhX+/7Suu7yVxtQAQ6hb8xXPWjOuTRqXQHNl50GqbLxyRONawXIGK/Xj48gSh/&#10;s8wz+d8//wFQSwMEFAAAAAgAh07iQM/G1vr4AQAA8QMAAA4AAABkcnMvZTJvRG9jLnhtbK1TO24b&#10;MRDtA+QOBPtoJQFyhIVWLiw7TZAIyKcfcUktAf7AobXSJXKBAOmSKmX63Cb2MTLkyoLjNCq8BTFD&#10;Dt/Me/u4uNxbw3Yyovau4ZPRmDPphG+12zb808ebV3POMIFrwXgnG36QyC+XL18s+lDLqe+8aWVk&#10;BOKw7kPDu5RCXVUoOmkBRz5IR4fKRwuJ0rit2gg9oVtTTcfji6r3sQ3RC4lIu6vhkB8R4zmAXikt&#10;5MqLWytdGlCjNJCIEnY6IF+WaZWSIr1XCmVipuHENJWVmlC8yWu1XEC9jRA6LY4jwDkjPOFkQTtq&#10;eoJaQQJ2G/V/UFaL6NGrNBLeVgORogixmIyfaPOhgyALF5Iaw0l0fD5Y8W63jky35ATOHFj64Xdf&#10;f/358v3+9zda737+YJMsUh+wptort47HDMM6ZsZ7FS1TRofPGSPvECu2LxIfThLLfWKCNi+m8+l4&#10;NuNMPJxVA0S+GCKmN9JbloOGG+0ye6hh9xYTtaXSh5K8bRzrGz6dz15nPCAvKvIAhTYQH3Tbchm9&#10;0e2NNiZfwbjdXJnIdpD9UL7MjoD/KctdVoDdUFeOBqd0Etpr17J0CKSUowfC8wxWtpwZSe8pRwQI&#10;dQJtzqmk1sblC7K49Ug0yz0InKONbw9F9ypn5IQy8dG12WqPc4ofv9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FLFTWAAAABwEAAA8AAAAAAAAAAQAgAAAAIgAAAGRycy9kb3ducmV2LnhtbFBL&#10;AQIUABQAAAAIAIdO4kDPxtb6+AEAAPEDAAAOAAAAAAAAAAEAIAAAACUBAABkcnMvZTJvRG9jLnht&#10;bFBLBQYAAAAABgAGAFkBAACPBQAAAAA=&#10;">
                <v:fill on="f" focussize="0,0"/>
                <v:stroke weight="2.25pt" color="#000000" joinstyle="round"/>
                <v:imagedata o:title=""/>
                <o:lock v:ext="edit" aspectratio="f"/>
              </v:line>
            </w:pict>
          </mc:Fallback>
        </mc:AlternateContent>
      </w:r>
      <w:r>
        <w:rPr>
          <w:rFonts w:hint="eastAsia" w:ascii="仿宋" w:hAnsi="仿宋" w:eastAsia="仿宋" w:cs="仿宋"/>
          <w:b/>
          <w:bCs/>
          <w:color w:val="auto"/>
          <w:sz w:val="10"/>
          <w:highlight w:val="none"/>
        </w:rPr>
        <w:t xml:space="preserve">                                                                                                                                                                                       </w:t>
      </w:r>
    </w:p>
    <w:p w14:paraId="6E941C61">
      <w:pPr>
        <w:spacing w:before="120" w:beforeLines="50" w:line="360" w:lineRule="auto"/>
        <w:jc w:val="center"/>
        <w:rPr>
          <w:rFonts w:hint="eastAsia" w:ascii="仿宋" w:hAnsi="仿宋" w:eastAsia="仿宋" w:cs="仿宋"/>
          <w:color w:val="auto"/>
          <w:sz w:val="52"/>
          <w:szCs w:val="52"/>
          <w:highlight w:val="none"/>
        </w:rPr>
      </w:pPr>
    </w:p>
    <w:p w14:paraId="032215AB">
      <w:pPr>
        <w:spacing w:before="120" w:beforeLines="50" w:line="360" w:lineRule="auto"/>
        <w:jc w:val="center"/>
        <w:rPr>
          <w:rFonts w:hint="eastAsia" w:ascii="仿宋" w:hAnsi="仿宋" w:eastAsia="仿宋" w:cs="仿宋"/>
          <w:b/>
          <w:color w:val="auto"/>
          <w:sz w:val="48"/>
          <w:szCs w:val="48"/>
          <w:highlight w:val="none"/>
        </w:rPr>
      </w:pPr>
    </w:p>
    <w:p w14:paraId="6B040714">
      <w:pPr>
        <w:snapToGrid w:val="0"/>
        <w:spacing w:before="120" w:beforeLines="50"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招 标 文 件</w:t>
      </w:r>
    </w:p>
    <w:p w14:paraId="2F49C8D7">
      <w:pPr>
        <w:snapToGrid w:val="0"/>
        <w:spacing w:before="120" w:beforeLines="50" w:line="360" w:lineRule="auto"/>
        <w:jc w:val="center"/>
        <w:rPr>
          <w:rFonts w:hint="eastAsia" w:ascii="仿宋" w:hAnsi="仿宋" w:eastAsia="仿宋" w:cs="仿宋"/>
          <w:color w:val="auto"/>
          <w:sz w:val="72"/>
          <w:szCs w:val="72"/>
          <w:highlight w:val="none"/>
        </w:rPr>
      </w:pPr>
    </w:p>
    <w:p w14:paraId="621F3760">
      <w:pPr>
        <w:snapToGrid w:val="0"/>
        <w:spacing w:before="120" w:beforeLines="50" w:line="360" w:lineRule="auto"/>
        <w:rPr>
          <w:rFonts w:hint="eastAsia" w:ascii="仿宋" w:hAnsi="仿宋" w:eastAsia="仿宋" w:cs="仿宋"/>
          <w:color w:val="auto"/>
          <w:sz w:val="30"/>
          <w:szCs w:val="72"/>
          <w:highlight w:val="none"/>
        </w:rPr>
      </w:pPr>
    </w:p>
    <w:p w14:paraId="670C67C3">
      <w:pPr>
        <w:snapToGrid w:val="0"/>
        <w:spacing w:before="120" w:beforeLines="50" w:line="360" w:lineRule="auto"/>
        <w:ind w:firstLine="426" w:firstLineChars="149"/>
        <w:rPr>
          <w:rFonts w:hint="default" w:ascii="仿宋" w:hAnsi="仿宋" w:eastAsia="仿宋" w:cs="仿宋"/>
          <w:b/>
          <w:bCs/>
          <w:color w:val="auto"/>
          <w:w w:val="95"/>
          <w:sz w:val="30"/>
          <w:szCs w:val="30"/>
          <w:highlight w:val="none"/>
          <w:lang w:val="en-US" w:eastAsia="zh-CN"/>
        </w:rPr>
      </w:pPr>
      <w:r>
        <w:rPr>
          <w:rFonts w:hint="eastAsia" w:ascii="仿宋" w:hAnsi="仿宋" w:eastAsia="仿宋" w:cs="仿宋"/>
          <w:b/>
          <w:bCs/>
          <w:color w:val="auto"/>
          <w:w w:val="95"/>
          <w:sz w:val="30"/>
          <w:szCs w:val="30"/>
          <w:highlight w:val="none"/>
        </w:rPr>
        <w:t>项目名称：</w:t>
      </w:r>
      <w:r>
        <w:rPr>
          <w:rFonts w:hint="eastAsia" w:ascii="仿宋" w:hAnsi="仿宋" w:eastAsia="仿宋" w:cs="仿宋"/>
          <w:b/>
          <w:bCs/>
          <w:color w:val="auto"/>
          <w:w w:val="95"/>
          <w:sz w:val="30"/>
          <w:szCs w:val="30"/>
          <w:highlight w:val="none"/>
          <w:lang w:eastAsia="zh-CN"/>
        </w:rPr>
        <w:t>广西壮族自治区人民医院手术显微镜采购</w:t>
      </w:r>
    </w:p>
    <w:p w14:paraId="0DF9037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w:t>
      </w:r>
      <w:r>
        <w:rPr>
          <w:rFonts w:hint="eastAsia" w:ascii="仿宋" w:hAnsi="仿宋" w:eastAsia="仿宋" w:cs="仿宋"/>
          <w:b/>
          <w:bCs/>
          <w:color w:val="auto"/>
          <w:w w:val="95"/>
          <w:sz w:val="30"/>
          <w:szCs w:val="30"/>
          <w:highlight w:val="none"/>
          <w:lang w:eastAsia="zh-CN"/>
        </w:rPr>
        <w:t xml:space="preserve"> GXZC2025-G1-003672-GCZX</w:t>
      </w:r>
    </w:p>
    <w:p w14:paraId="21303434">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人：广西壮族自治区人民医院</w:t>
      </w:r>
    </w:p>
    <w:p w14:paraId="14DC758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采购代理机构：公诚管理咨询有限公司 </w:t>
      </w:r>
    </w:p>
    <w:p w14:paraId="73D79CBD">
      <w:pPr>
        <w:pStyle w:val="23"/>
        <w:snapToGrid w:val="0"/>
        <w:spacing w:before="50" w:after="120" w:line="360" w:lineRule="auto"/>
        <w:ind w:firstLine="841" w:firstLineChars="294"/>
        <w:jc w:val="center"/>
        <w:rPr>
          <w:rFonts w:hint="eastAsia" w:ascii="仿宋" w:hAnsi="仿宋" w:eastAsia="仿宋" w:cs="仿宋"/>
          <w:color w:val="auto"/>
          <w:szCs w:val="2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12</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04</w:t>
      </w:r>
      <w:r>
        <w:rPr>
          <w:rFonts w:hint="eastAsia" w:ascii="仿宋" w:hAnsi="仿宋" w:eastAsia="仿宋" w:cs="仿宋"/>
          <w:b/>
          <w:bCs/>
          <w:color w:val="auto"/>
          <w:w w:val="95"/>
          <w:sz w:val="30"/>
          <w:szCs w:val="30"/>
          <w:highlight w:val="none"/>
        </w:rPr>
        <w:t>日</w:t>
      </w:r>
    </w:p>
    <w:p w14:paraId="26F7830E">
      <w:pPr>
        <w:pStyle w:val="14"/>
        <w:ind w:firstLine="803"/>
        <w:jc w:val="center"/>
        <w:rPr>
          <w:rFonts w:hint="eastAsia" w:ascii="仿宋" w:hAnsi="仿宋" w:eastAsia="仿宋" w:cs="仿宋"/>
          <w:b/>
          <w:bCs/>
          <w:color w:val="auto"/>
          <w:kern w:val="0"/>
          <w:sz w:val="32"/>
          <w:szCs w:val="32"/>
          <w:highlight w:val="none"/>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cols w:space="720" w:num="1"/>
          <w:titlePg/>
          <w:docGrid w:linePitch="312" w:charSpace="0"/>
        </w:sectPr>
      </w:pPr>
    </w:p>
    <w:p w14:paraId="082957AB">
      <w:pPr>
        <w:pStyle w:val="14"/>
        <w:ind w:firstLine="803"/>
        <w:jc w:val="center"/>
        <w:rPr>
          <w:rFonts w:hint="eastAsia" w:ascii="仿宋" w:hAnsi="仿宋" w:eastAsia="仿宋" w:cs="仿宋"/>
          <w:b/>
          <w:bCs/>
          <w:color w:val="auto"/>
          <w:kern w:val="0"/>
          <w:sz w:val="32"/>
          <w:szCs w:val="32"/>
          <w:highlight w:val="none"/>
        </w:rPr>
      </w:pPr>
    </w:p>
    <w:p w14:paraId="1DEAB994">
      <w:pPr>
        <w:pStyle w:val="14"/>
        <w:ind w:firstLine="803"/>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757001F0">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"1-2"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_Toc10218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第一章 招标公告</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_Toc10218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2</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2275FA72">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_Toc5473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第二章  采购需求</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_Toc5473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6</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7B3167CD">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_Toc9429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第三章  投标人须知</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_Toc9429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13</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0C1784A3">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_Toc16318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第四章  评标方法及评标标准</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_Toc16318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44</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21C3B516">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_Toc32157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第五章  拟签订的合同文本</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_Toc32157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52</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0D9B564D">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_Toc14909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第六章　投标文件格式</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_Toc14909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67</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10078387">
      <w:pPr>
        <w:pStyle w:val="37"/>
        <w:tabs>
          <w:tab w:val="right" w:leader="dot" w:pos="9412"/>
        </w:tabs>
        <w:spacing w:line="360" w:lineRule="auto"/>
        <w:rPr>
          <w:rFonts w:hint="eastAsia" w:ascii="仿宋" w:hAnsi="仿宋" w:eastAsia="仿宋" w:cs="仿宋"/>
          <w:color w:val="auto"/>
          <w:sz w:val="30"/>
          <w:szCs w:val="30"/>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_Toc8591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第七章</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其他文件</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_Toc8591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90</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highlight w:val="none"/>
        </w:rPr>
        <w:fldChar w:fldCharType="end"/>
      </w:r>
    </w:p>
    <w:p w14:paraId="4CB989A9">
      <w:pPr>
        <w:spacing w:line="360" w:lineRule="auto"/>
        <w:rPr>
          <w:rFonts w:hint="eastAsia" w:ascii="仿宋" w:hAnsi="仿宋" w:eastAsia="仿宋" w:cs="仿宋"/>
          <w:b/>
          <w:color w:val="auto"/>
          <w:sz w:val="24"/>
          <w:highlight w:val="none"/>
        </w:rPr>
        <w:sectPr>
          <w:footerReference r:id="rId9" w:type="first"/>
          <w:footerReference r:id="rId8" w:type="default"/>
          <w:pgSz w:w="11906" w:h="16838"/>
          <w:pgMar w:top="1134" w:right="1247" w:bottom="1560" w:left="1247" w:header="851" w:footer="992" w:gutter="0"/>
          <w:pgNumType w:fmt="decimal" w:start="1"/>
          <w:cols w:space="720" w:num="1"/>
          <w:titlePg/>
          <w:docGrid w:linePitch="312" w:charSpace="0"/>
        </w:sectPr>
      </w:pPr>
      <w:r>
        <w:rPr>
          <w:rFonts w:hint="eastAsia" w:ascii="仿宋" w:hAnsi="仿宋" w:eastAsia="仿宋" w:cs="仿宋"/>
          <w:color w:val="auto"/>
          <w:sz w:val="30"/>
          <w:szCs w:val="30"/>
          <w:highlight w:val="none"/>
        </w:rPr>
        <w:fldChar w:fldCharType="end"/>
      </w:r>
      <w:bookmarkStart w:id="0" w:name="_Toc254970489"/>
      <w:bookmarkStart w:id="1" w:name="_Toc19686829"/>
      <w:bookmarkStart w:id="2" w:name="_Toc254970630"/>
    </w:p>
    <w:p w14:paraId="58C0E617">
      <w:pPr>
        <w:pStyle w:val="3"/>
        <w:keepNext w:val="0"/>
        <w:keepLines w:val="0"/>
        <w:tabs>
          <w:tab w:val="left" w:pos="345"/>
        </w:tabs>
        <w:spacing w:before="480" w:line="415" w:lineRule="auto"/>
        <w:jc w:val="center"/>
        <w:rPr>
          <w:rFonts w:hint="eastAsia" w:ascii="仿宋" w:hAnsi="仿宋" w:eastAsia="仿宋" w:cs="仿宋"/>
          <w:b w:val="0"/>
          <w:color w:val="auto"/>
          <w:sz w:val="44"/>
          <w:szCs w:val="44"/>
          <w:highlight w:val="none"/>
        </w:rPr>
      </w:pPr>
      <w:bookmarkStart w:id="3" w:name="_Toc10218"/>
      <w:bookmarkStart w:id="4" w:name="_Toc11048"/>
      <w:bookmarkStart w:id="178" w:name="_GoBack"/>
      <w:bookmarkEnd w:id="178"/>
      <w:r>
        <w:rPr>
          <w:rFonts w:hint="eastAsia" w:ascii="仿宋" w:hAnsi="仿宋" w:eastAsia="仿宋" w:cs="仿宋"/>
          <w:color w:val="auto"/>
          <w:highlight w:val="none"/>
        </w:rPr>
        <w:t>第一章</w:t>
      </w:r>
      <w:bookmarkEnd w:id="0"/>
      <w:bookmarkEnd w:id="1"/>
      <w:bookmarkEnd w:id="2"/>
      <w:bookmarkStart w:id="5" w:name="_Toc35393789"/>
      <w:bookmarkStart w:id="6" w:name="_Toc28359001"/>
      <w:r>
        <w:rPr>
          <w:rFonts w:hint="eastAsia" w:ascii="仿宋" w:hAnsi="仿宋" w:eastAsia="仿宋" w:cs="仿宋"/>
          <w:color w:val="auto"/>
          <w:highlight w:val="none"/>
        </w:rPr>
        <w:t xml:space="preserve"> </w:t>
      </w:r>
      <w:bookmarkStart w:id="7" w:name="_Hlk118122539"/>
      <w:bookmarkStart w:id="8" w:name="_Hlk114670500"/>
      <w:r>
        <w:rPr>
          <w:rFonts w:hint="eastAsia" w:ascii="仿宋" w:hAnsi="仿宋" w:eastAsia="仿宋" w:cs="仿宋"/>
          <w:color w:val="auto"/>
          <w:highlight w:val="none"/>
        </w:rPr>
        <w:t>招标公告</w:t>
      </w:r>
      <w:bookmarkEnd w:id="3"/>
      <w:bookmarkEnd w:id="4"/>
      <w:bookmarkEnd w:id="5"/>
      <w:bookmarkEnd w:id="6"/>
    </w:p>
    <w:p w14:paraId="3A393542">
      <w:pPr>
        <w:pBdr>
          <w:top w:val="single" w:color="auto" w:sz="4" w:space="1"/>
          <w:left w:val="single" w:color="auto" w:sz="4" w:space="1"/>
          <w:bottom w:val="single" w:color="auto" w:sz="4" w:space="1"/>
          <w:right w:val="single" w:color="auto" w:sz="4" w:space="4"/>
        </w:pBd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7038F4B">
      <w:pPr>
        <w:pBdr>
          <w:top w:val="single" w:color="auto" w:sz="4" w:space="1"/>
          <w:left w:val="single" w:color="auto" w:sz="4" w:space="1"/>
          <w:bottom w:val="single" w:color="auto" w:sz="4" w:space="1"/>
          <w:right w:val="single" w:color="auto" w:sz="4" w:space="4"/>
        </w:pBdr>
        <w:spacing w:line="400" w:lineRule="exact"/>
        <w:ind w:firstLine="480" w:firstLineChars="200"/>
        <w:rPr>
          <w:rFonts w:hint="eastAsia" w:ascii="仿宋" w:hAnsi="仿宋" w:eastAsia="仿宋" w:cs="仿宋"/>
          <w:color w:val="auto"/>
          <w:sz w:val="24"/>
          <w:highlight w:val="none"/>
        </w:rPr>
      </w:pPr>
      <w:bookmarkStart w:id="9" w:name="_Toc28359002"/>
      <w:bookmarkStart w:id="10" w:name="_Toc35393621"/>
      <w:bookmarkStart w:id="11" w:name="_Toc35393790"/>
      <w:bookmarkStart w:id="12" w:name="_Toc28359079"/>
      <w:bookmarkStart w:id="13" w:name="_Hlk24379207"/>
      <w:r>
        <w:rPr>
          <w:rFonts w:hint="eastAsia" w:ascii="仿宋" w:hAnsi="仿宋" w:eastAsia="仿宋" w:cs="仿宋"/>
          <w:color w:val="auto"/>
          <w:sz w:val="24"/>
          <w:highlight w:val="none"/>
          <w:lang w:eastAsia="zh-CN"/>
        </w:rPr>
        <w:t>广西壮族自治区人民医院手术显微镜采购</w:t>
      </w:r>
      <w:r>
        <w:rPr>
          <w:rFonts w:hint="eastAsia" w:ascii="仿宋" w:hAnsi="仿宋" w:eastAsia="仿宋" w:cs="仿宋"/>
          <w:color w:val="auto"/>
          <w:sz w:val="24"/>
          <w:highlight w:val="none"/>
        </w:rPr>
        <w:t>招标项目的潜在投标人应在广西政府采购云平台（https://www.gcy.zfcg.gxzf.gov.cn/）获取招标文件，并于</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u w:val="single"/>
        </w:rPr>
        <w:t>日9时30分</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rPr>
        <w:t>北京时间）前递交投标文件</w:t>
      </w:r>
      <w:r>
        <w:rPr>
          <w:rFonts w:hint="eastAsia" w:ascii="仿宋" w:hAnsi="仿宋" w:eastAsia="仿宋" w:cs="仿宋"/>
          <w:color w:val="auto"/>
          <w:sz w:val="24"/>
          <w:highlight w:val="none"/>
        </w:rPr>
        <w:t>。</w:t>
      </w:r>
    </w:p>
    <w:p w14:paraId="2206D69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w:t>
      </w:r>
      <w:bookmarkEnd w:id="9"/>
      <w:bookmarkEnd w:id="10"/>
      <w:bookmarkEnd w:id="11"/>
      <w:bookmarkEnd w:id="12"/>
      <w:r>
        <w:rPr>
          <w:rFonts w:hint="eastAsia" w:ascii="仿宋" w:hAnsi="仿宋" w:eastAsia="仿宋" w:cs="仿宋"/>
          <w:b/>
          <w:bCs/>
          <w:color w:val="auto"/>
          <w:sz w:val="24"/>
          <w:highlight w:val="none"/>
        </w:rPr>
        <w:t>况</w:t>
      </w:r>
    </w:p>
    <w:bookmarkEnd w:id="13"/>
    <w:p w14:paraId="07A5C355">
      <w:pPr>
        <w:tabs>
          <w:tab w:val="left" w:pos="3633"/>
        </w:tabs>
        <w:spacing w:line="400" w:lineRule="exact"/>
        <w:ind w:firstLine="480" w:firstLineChars="200"/>
        <w:rPr>
          <w:rFonts w:hint="eastAsia" w:ascii="仿宋" w:hAnsi="仿宋" w:eastAsia="仿宋" w:cs="仿宋"/>
          <w:color w:val="auto"/>
          <w:sz w:val="24"/>
          <w:highlight w:val="none"/>
          <w:lang w:eastAsia="zh-CN"/>
        </w:rPr>
      </w:pPr>
      <w:bookmarkStart w:id="14" w:name="_Toc28359003"/>
      <w:bookmarkStart w:id="15" w:name="_Toc28359080"/>
      <w:bookmarkStart w:id="16" w:name="_Toc35393791"/>
      <w:bookmarkStart w:id="17" w:name="_Toc35393622"/>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GXZC2025-G1-003672-GCZX</w:t>
      </w:r>
    </w:p>
    <w:p w14:paraId="51AB6698">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bookmarkStart w:id="18" w:name="_Hlk171670178"/>
      <w:r>
        <w:rPr>
          <w:rFonts w:hint="eastAsia" w:ascii="仿宋" w:hAnsi="仿宋" w:eastAsia="仿宋" w:cs="仿宋"/>
          <w:color w:val="auto"/>
          <w:sz w:val="24"/>
          <w:highlight w:val="none"/>
          <w:lang w:eastAsia="zh-CN"/>
        </w:rPr>
        <w:t>广西壮族自治区人民医院手术显微镜采购</w:t>
      </w:r>
    </w:p>
    <w:bookmarkEnd w:id="18"/>
    <w:p w14:paraId="07CF5741">
      <w:pPr>
        <w:spacing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380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46B6BC2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320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5A40FC1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6266FBFF">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手术显微镜</w:t>
      </w:r>
    </w:p>
    <w:p w14:paraId="18CCEC9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数量: 1套</w:t>
      </w:r>
    </w:p>
    <w:p w14:paraId="6141FB7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380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61266EA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color w:val="auto"/>
          <w:sz w:val="24"/>
          <w:highlight w:val="none"/>
          <w:lang w:eastAsia="zh-CN"/>
        </w:rPr>
        <w:t>手术显微镜</w:t>
      </w:r>
      <w:r>
        <w:rPr>
          <w:rFonts w:hint="eastAsia" w:ascii="仿宋" w:hAnsi="仿宋" w:eastAsia="仿宋" w:cs="仿宋"/>
          <w:color w:val="auto"/>
          <w:sz w:val="24"/>
          <w:highlight w:val="none"/>
        </w:rPr>
        <w:t>1套；具体详见招标文件第二章采购需求。</w:t>
      </w:r>
    </w:p>
    <w:p w14:paraId="5773A4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320</w:t>
      </w:r>
      <w:r>
        <w:rPr>
          <w:rFonts w:hint="eastAsia" w:ascii="仿宋" w:hAnsi="仿宋" w:eastAsia="仿宋" w:cs="仿宋"/>
          <w:color w:val="auto"/>
          <w:sz w:val="24"/>
          <w:highlight w:val="none"/>
          <w:lang w:eastAsia="zh-CN"/>
        </w:rPr>
        <w:t>0000.00</w:t>
      </w:r>
      <w:r>
        <w:rPr>
          <w:rFonts w:hint="eastAsia" w:ascii="仿宋" w:hAnsi="仿宋" w:eastAsia="仿宋" w:cs="仿宋"/>
          <w:color w:val="auto"/>
          <w:sz w:val="24"/>
          <w:highlight w:val="none"/>
        </w:rPr>
        <w:t>元</w:t>
      </w:r>
    </w:p>
    <w:p w14:paraId="21EFC92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3405FC7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67F6480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81081DF">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bookmarkEnd w:id="14"/>
      <w:bookmarkEnd w:id="15"/>
      <w:bookmarkEnd w:id="16"/>
      <w:bookmarkEnd w:id="17"/>
      <w:r>
        <w:rPr>
          <w:rFonts w:hint="eastAsia" w:ascii="仿宋" w:hAnsi="仿宋" w:eastAsia="仿宋" w:cs="仿宋"/>
          <w:b/>
          <w:bCs/>
          <w:color w:val="auto"/>
          <w:sz w:val="24"/>
          <w:highlight w:val="none"/>
        </w:rPr>
        <w:t>申请人的资格要求</w:t>
      </w:r>
    </w:p>
    <w:p w14:paraId="156D7338">
      <w:pPr>
        <w:spacing w:line="400" w:lineRule="exact"/>
        <w:ind w:firstLine="648" w:firstLineChars="270"/>
        <w:rPr>
          <w:rFonts w:hint="eastAsia" w:ascii="仿宋" w:hAnsi="仿宋" w:eastAsia="仿宋" w:cs="仿宋"/>
          <w:color w:val="auto"/>
          <w:sz w:val="24"/>
          <w:highlight w:val="none"/>
        </w:rPr>
      </w:pPr>
      <w:bookmarkStart w:id="19" w:name="_Toc35393792"/>
      <w:bookmarkStart w:id="20" w:name="_Toc28359004"/>
      <w:bookmarkStart w:id="21" w:name="_Toc28359081"/>
      <w:bookmarkStart w:id="22" w:name="_Toc35393623"/>
      <w:r>
        <w:rPr>
          <w:rFonts w:hint="eastAsia" w:ascii="仿宋" w:hAnsi="仿宋" w:eastAsia="仿宋" w:cs="仿宋"/>
          <w:color w:val="auto"/>
          <w:sz w:val="24"/>
          <w:highlight w:val="none"/>
        </w:rPr>
        <w:t>1.满足《中华人民共和国政府采购法》第二十二条规定；</w:t>
      </w:r>
    </w:p>
    <w:p w14:paraId="2557D8E4">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2.落实政府采购政策需满足的资格要求：本项目为非专门面向中小企业采购的项目。</w:t>
      </w:r>
    </w:p>
    <w:p w14:paraId="60222D6C">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41151F7E">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（1）供应商按《医疗器械监督管理条例》（国务院令第739号）医疗器械分类管理要求具备有效的医疗器械经营备案凭证或者经营许可证（符合《医疗器械监督管理条例》（国务院令第739号）第四十一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p>
    <w:p w14:paraId="219E0876">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64E6A7">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）在“信用中国”网站(www.creditchina.gov.cn) 被列入失信被执行人、重大税收违法失信主体；中国政府采购网(www.ccgp.gov.cn)被列入政府采购严重违法失信行为记录名单及其他不符合《中华人民共和国政府采购法》第二十二条规定条件的供应商，不得参与政府采购活动。</w:t>
      </w:r>
    </w:p>
    <w:p w14:paraId="5D777BB7">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19"/>
      <w:bookmarkEnd w:id="20"/>
      <w:bookmarkEnd w:id="21"/>
      <w:bookmarkEnd w:id="22"/>
    </w:p>
    <w:p w14:paraId="08901F94">
      <w:pPr>
        <w:spacing w:line="400" w:lineRule="exact"/>
        <w:ind w:firstLine="540"/>
        <w:rPr>
          <w:rFonts w:hint="eastAsia" w:ascii="仿宋" w:hAnsi="仿宋" w:eastAsia="仿宋" w:cs="仿宋"/>
          <w:bCs/>
          <w:color w:val="auto"/>
          <w:kern w:val="0"/>
          <w:sz w:val="24"/>
          <w:highlight w:val="none"/>
        </w:rPr>
      </w:pPr>
      <w:bookmarkStart w:id="23" w:name="_Toc28359005"/>
      <w:bookmarkStart w:id="24" w:name="_Toc28359082"/>
      <w:bookmarkStart w:id="25" w:name="_Toc35393793"/>
      <w:bookmarkStart w:id="26" w:name="_Toc35393624"/>
      <w:r>
        <w:rPr>
          <w:rFonts w:hint="eastAsia" w:ascii="仿宋" w:hAnsi="仿宋" w:eastAsia="仿宋" w:cs="仿宋"/>
          <w:bCs/>
          <w:color w:val="auto"/>
          <w:kern w:val="0"/>
          <w:sz w:val="24"/>
          <w:highlight w:val="none"/>
        </w:rPr>
        <w:t xml:space="preserve">时间： </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12</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04</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kern w:val="0"/>
          <w:sz w:val="24"/>
          <w:highlight w:val="none"/>
        </w:rPr>
        <w:t>至</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12</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11</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kern w:val="0"/>
          <w:sz w:val="24"/>
          <w:highlight w:val="none"/>
        </w:rPr>
        <w:t>，每天上午</w:t>
      </w:r>
      <w:r>
        <w:rPr>
          <w:rFonts w:hint="eastAsia" w:ascii="仿宋" w:hAnsi="仿宋" w:eastAsia="仿宋" w:cs="仿宋"/>
          <w:bCs/>
          <w:color w:val="auto"/>
          <w:kern w:val="0"/>
          <w:sz w:val="24"/>
          <w:highlight w:val="none"/>
          <w:u w:val="single"/>
        </w:rPr>
        <w:t>0：00至11：59</w:t>
      </w: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u w:val="single"/>
        </w:rPr>
        <w:t>下午12：00至23:59</w:t>
      </w:r>
      <w:r>
        <w:rPr>
          <w:rFonts w:hint="eastAsia" w:ascii="仿宋" w:hAnsi="仿宋" w:eastAsia="仿宋" w:cs="仿宋"/>
          <w:bCs/>
          <w:color w:val="auto"/>
          <w:kern w:val="0"/>
          <w:sz w:val="24"/>
          <w:highlight w:val="none"/>
        </w:rPr>
        <w:t>（北京时间，法定节假日除外）</w:t>
      </w:r>
    </w:p>
    <w:p w14:paraId="11F2FB2D">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43D5BECC">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65F1C03">
      <w:pPr>
        <w:spacing w:line="400" w:lineRule="exact"/>
        <w:ind w:firstLine="54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售价（元）：0</w:t>
      </w:r>
    </w:p>
    <w:p w14:paraId="2B280FC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23"/>
      <w:bookmarkEnd w:id="24"/>
      <w:r>
        <w:rPr>
          <w:rFonts w:hint="eastAsia" w:ascii="仿宋" w:hAnsi="仿宋" w:eastAsia="仿宋" w:cs="仿宋"/>
          <w:b/>
          <w:bCs/>
          <w:color w:val="auto"/>
          <w:sz w:val="24"/>
          <w:highlight w:val="none"/>
        </w:rPr>
        <w:t>截止时间、开标时间和地点</w:t>
      </w:r>
      <w:bookmarkEnd w:id="25"/>
      <w:bookmarkEnd w:id="26"/>
    </w:p>
    <w:p w14:paraId="371279BA">
      <w:pPr>
        <w:spacing w:line="400" w:lineRule="exact"/>
        <w:ind w:firstLine="480" w:firstLineChars="200"/>
        <w:rPr>
          <w:rFonts w:hint="eastAsia" w:ascii="仿宋" w:hAnsi="仿宋" w:eastAsia="仿宋" w:cs="仿宋"/>
          <w:color w:val="auto"/>
          <w:sz w:val="24"/>
          <w:highlight w:val="none"/>
        </w:rPr>
      </w:pPr>
      <w:bookmarkStart w:id="27" w:name="_Toc35393625"/>
      <w:bookmarkStart w:id="28" w:name="_Toc28359007"/>
      <w:bookmarkStart w:id="29" w:name="_Toc35393794"/>
      <w:bookmarkStart w:id="30" w:name="_Toc28359084"/>
      <w:r>
        <w:rPr>
          <w:rFonts w:hint="eastAsia" w:ascii="仿宋" w:hAnsi="仿宋" w:eastAsia="仿宋" w:cs="仿宋"/>
          <w:bCs/>
          <w:color w:val="auto"/>
          <w:sz w:val="24"/>
          <w:highlight w:val="none"/>
        </w:rPr>
        <w:t>提交投标文件截止时间：</w:t>
      </w:r>
      <w:bookmarkStart w:id="31" w:name="_Hlk85632302"/>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12</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25</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sz w:val="24"/>
          <w:highlight w:val="none"/>
          <w:u w:val="single"/>
        </w:rPr>
        <w:t>9时30分</w:t>
      </w:r>
      <w:bookmarkEnd w:id="31"/>
      <w:r>
        <w:rPr>
          <w:rFonts w:hint="eastAsia" w:ascii="仿宋" w:hAnsi="仿宋" w:eastAsia="仿宋" w:cs="仿宋"/>
          <w:bCs/>
          <w:color w:val="auto"/>
          <w:sz w:val="24"/>
          <w:highlight w:val="none"/>
        </w:rPr>
        <w:t>（北京时间）</w:t>
      </w:r>
    </w:p>
    <w:p w14:paraId="791B824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7A9661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bCs/>
          <w:color w:val="auto"/>
          <w:kern w:val="0"/>
          <w:sz w:val="24"/>
          <w:highlight w:val="none"/>
          <w:u w:val="single"/>
        </w:rPr>
        <w:t>2025年</w:t>
      </w:r>
      <w:r>
        <w:rPr>
          <w:rFonts w:hint="eastAsia" w:ascii="仿宋" w:hAnsi="仿宋" w:eastAsia="仿宋" w:cs="仿宋"/>
          <w:bCs/>
          <w:color w:val="auto"/>
          <w:kern w:val="0"/>
          <w:sz w:val="24"/>
          <w:highlight w:val="none"/>
          <w:u w:val="single"/>
          <w:lang w:val="en-US" w:eastAsia="zh-CN"/>
        </w:rPr>
        <w:t>12</w:t>
      </w:r>
      <w:r>
        <w:rPr>
          <w:rFonts w:hint="eastAsia" w:ascii="仿宋" w:hAnsi="仿宋" w:eastAsia="仿宋" w:cs="仿宋"/>
          <w:bCs/>
          <w:color w:val="auto"/>
          <w:kern w:val="0"/>
          <w:sz w:val="24"/>
          <w:highlight w:val="none"/>
          <w:u w:val="single"/>
        </w:rPr>
        <w:t>月</w:t>
      </w:r>
      <w:r>
        <w:rPr>
          <w:rFonts w:hint="eastAsia" w:ascii="仿宋" w:hAnsi="仿宋" w:eastAsia="仿宋" w:cs="仿宋"/>
          <w:bCs/>
          <w:color w:val="auto"/>
          <w:kern w:val="0"/>
          <w:sz w:val="24"/>
          <w:highlight w:val="none"/>
          <w:u w:val="single"/>
          <w:lang w:val="en-US" w:eastAsia="zh-CN"/>
        </w:rPr>
        <w:t>25</w:t>
      </w:r>
      <w:r>
        <w:rPr>
          <w:rFonts w:hint="eastAsia" w:ascii="仿宋" w:hAnsi="仿宋" w:eastAsia="仿宋" w:cs="仿宋"/>
          <w:bCs/>
          <w:color w:val="auto"/>
          <w:kern w:val="0"/>
          <w:sz w:val="24"/>
          <w:highlight w:val="none"/>
          <w:u w:val="single"/>
        </w:rPr>
        <w:t>日</w:t>
      </w:r>
      <w:r>
        <w:rPr>
          <w:rFonts w:hint="eastAsia" w:ascii="仿宋" w:hAnsi="仿宋" w:eastAsia="仿宋" w:cs="仿宋"/>
          <w:bCs/>
          <w:color w:val="auto"/>
          <w:sz w:val="24"/>
          <w:highlight w:val="none"/>
          <w:u w:val="single"/>
        </w:rPr>
        <w:t>9时30分</w:t>
      </w:r>
      <w:r>
        <w:rPr>
          <w:rFonts w:hint="eastAsia" w:ascii="仿宋" w:hAnsi="仿宋" w:eastAsia="仿宋" w:cs="仿宋"/>
          <w:bCs/>
          <w:color w:val="auto"/>
          <w:sz w:val="24"/>
          <w:highlight w:val="none"/>
        </w:rPr>
        <w:t>（北京时间）</w:t>
      </w:r>
    </w:p>
    <w:p w14:paraId="3B7C102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开标地点：本项目将在广西政府采购云平台（https://www.gcy.zfcg.gxzf.gov.cn/）电子开标大厅解密、开标。</w:t>
      </w:r>
    </w:p>
    <w:p w14:paraId="4C99FEB8">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7"/>
      <w:bookmarkEnd w:id="28"/>
      <w:bookmarkEnd w:id="29"/>
      <w:bookmarkEnd w:id="30"/>
    </w:p>
    <w:p w14:paraId="3305ED3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5E241E8D">
      <w:pPr>
        <w:spacing w:line="400" w:lineRule="exact"/>
        <w:rPr>
          <w:rFonts w:hint="eastAsia" w:ascii="仿宋" w:hAnsi="仿宋" w:eastAsia="仿宋" w:cs="仿宋"/>
          <w:b/>
          <w:bCs/>
          <w:color w:val="auto"/>
          <w:sz w:val="24"/>
          <w:highlight w:val="none"/>
        </w:rPr>
      </w:pPr>
      <w:bookmarkStart w:id="32" w:name="_Toc35393795"/>
      <w:bookmarkStart w:id="33" w:name="_Toc35393626"/>
      <w:r>
        <w:rPr>
          <w:rFonts w:hint="eastAsia" w:ascii="仿宋" w:hAnsi="仿宋" w:eastAsia="仿宋" w:cs="仿宋"/>
          <w:b/>
          <w:bCs/>
          <w:color w:val="auto"/>
          <w:sz w:val="24"/>
          <w:highlight w:val="none"/>
        </w:rPr>
        <w:t>六、其他补充事宜</w:t>
      </w:r>
      <w:bookmarkEnd w:id="32"/>
      <w:bookmarkEnd w:id="33"/>
    </w:p>
    <w:p w14:paraId="575B3F3A">
      <w:pPr>
        <w:spacing w:line="400" w:lineRule="exact"/>
        <w:ind w:firstLine="480" w:firstLineChars="200"/>
        <w:rPr>
          <w:rFonts w:hint="eastAsia" w:ascii="仿宋" w:hAnsi="仿宋" w:eastAsia="仿宋" w:cs="仿宋"/>
          <w:color w:val="auto"/>
          <w:sz w:val="24"/>
          <w:highlight w:val="none"/>
        </w:rPr>
      </w:pPr>
      <w:bookmarkStart w:id="34" w:name="_Toc35393627"/>
      <w:bookmarkStart w:id="35" w:name="_Toc28359085"/>
      <w:bookmarkStart w:id="36" w:name="_Toc35393796"/>
      <w:bookmarkStart w:id="37" w:name="_Toc28359008"/>
      <w:r>
        <w:rPr>
          <w:rFonts w:hint="eastAsia" w:ascii="仿宋" w:hAnsi="仿宋" w:eastAsia="仿宋" w:cs="仿宋"/>
          <w:color w:val="auto"/>
          <w:sz w:val="24"/>
          <w:highlight w:val="none"/>
        </w:rPr>
        <w:t>1.投标保证金</w:t>
      </w:r>
    </w:p>
    <w:p w14:paraId="2929A985">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投标保证金金额：人民币大写</w:t>
      </w:r>
      <w:r>
        <w:rPr>
          <w:rFonts w:hint="eastAsia" w:ascii="仿宋" w:hAnsi="仿宋" w:eastAsia="仿宋" w:cs="仿宋"/>
          <w:color w:val="auto"/>
          <w:kern w:val="0"/>
          <w:sz w:val="24"/>
          <w:highlight w:val="none"/>
          <w:lang w:val="en-US" w:eastAsia="zh-CN"/>
        </w:rPr>
        <w:t>叁万元整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30000</w:t>
      </w:r>
      <w:r>
        <w:rPr>
          <w:rFonts w:hint="eastAsia" w:ascii="仿宋" w:hAnsi="仿宋" w:eastAsia="仿宋" w:cs="仿宋"/>
          <w:color w:val="auto"/>
          <w:kern w:val="0"/>
          <w:sz w:val="24"/>
          <w:highlight w:val="none"/>
          <w:lang w:eastAsia="zh-CN"/>
        </w:rPr>
        <w:t>.00</w:t>
      </w:r>
      <w:r>
        <w:rPr>
          <w:rFonts w:hint="eastAsia" w:ascii="仿宋" w:hAnsi="仿宋" w:eastAsia="仿宋" w:cs="仿宋"/>
          <w:color w:val="auto"/>
          <w:kern w:val="0"/>
          <w:sz w:val="24"/>
          <w:highlight w:val="none"/>
        </w:rPr>
        <w:t>）。</w:t>
      </w:r>
    </w:p>
    <w:p w14:paraId="386D12E6">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采用银行转账方式的，在投标文件递交截至时间前交至采购代理机构指定账户并且到账（开户银行：中信银行广州花园支行，开户名称：公诚管理咨询有限公司，银行账号：</w:t>
      </w:r>
      <w:r>
        <w:rPr>
          <w:rFonts w:hint="eastAsia" w:ascii="仿宋" w:hAnsi="仿宋" w:eastAsia="仿宋" w:cs="仿宋"/>
          <w:color w:val="auto"/>
          <w:kern w:val="0"/>
          <w:sz w:val="24"/>
          <w:highlight w:val="none"/>
          <w:lang w:eastAsia="zh-CN"/>
        </w:rPr>
        <w:t>3110910037672532958</w:t>
      </w:r>
      <w:r>
        <w:rPr>
          <w:rFonts w:hint="eastAsia" w:ascii="仿宋" w:hAnsi="仿宋" w:eastAsia="仿宋" w:cs="仿宋"/>
          <w:color w:val="auto"/>
          <w:kern w:val="0"/>
          <w:sz w:val="24"/>
          <w:highlight w:val="none"/>
        </w:rPr>
        <w:t>；采用支票、汇票、本票或者金融、担保机构出具的保函、保险机构的保单等方式的，投标人必须将支票、汇票、本票或者金融、担保机构出具的保函、保险机构保单的原件在投标文件递交截至时间前单独密封递交至广西壮族自治区公共资源交易中心开标室（具体详见当天大厅显示屏）提交给采购人或代理机构，否则视为无效投标保证金。</w:t>
      </w:r>
    </w:p>
    <w:p w14:paraId="592C12D6">
      <w:pPr>
        <w:spacing w:line="400" w:lineRule="exact"/>
        <w:ind w:firstLine="480" w:firstLineChars="200"/>
        <w:rPr>
          <w:rFonts w:hint="eastAsia" w:ascii="仿宋" w:hAnsi="仿宋" w:eastAsia="仿宋" w:cs="仿宋"/>
          <w:color w:val="auto"/>
          <w:sz w:val="24"/>
          <w:highlight w:val="none"/>
        </w:rPr>
      </w:pPr>
      <w:bookmarkStart w:id="38" w:name="_Hlk37429585"/>
      <w:r>
        <w:rPr>
          <w:rFonts w:hint="eastAsia" w:ascii="仿宋" w:hAnsi="仿宋" w:eastAsia="仿宋" w:cs="仿宋"/>
          <w:color w:val="auto"/>
          <w:sz w:val="24"/>
          <w:highlight w:val="none"/>
        </w:rPr>
        <w:t>2.</w:t>
      </w:r>
      <w:bookmarkStart w:id="39" w:name="_Hlk37429595"/>
      <w:r>
        <w:rPr>
          <w:rFonts w:hint="eastAsia" w:ascii="仿宋" w:hAnsi="仿宋" w:eastAsia="仿宋" w:cs="仿宋"/>
          <w:color w:val="auto"/>
          <w:sz w:val="24"/>
          <w:highlight w:val="none"/>
        </w:rPr>
        <w:t>网上查询地址：</w:t>
      </w:r>
      <w:r>
        <w:rPr>
          <w:rFonts w:hint="eastAsia" w:ascii="仿宋" w:hAnsi="仿宋" w:eastAsia="仿宋" w:cs="仿宋"/>
          <w:color w:val="auto"/>
          <w:kern w:val="0"/>
          <w:sz w:val="24"/>
          <w:highlight w:val="none"/>
        </w:rPr>
        <w:t>www.ccgp.gov.cn（中国政府采购网）、zfcg.gxzf.gov.cn（广西壮族自治区政府采购网）</w:t>
      </w:r>
      <w:bookmarkEnd w:id="38"/>
      <w:r>
        <w:rPr>
          <w:rFonts w:hint="eastAsia" w:ascii="仿宋" w:hAnsi="仿宋" w:eastAsia="仿宋" w:cs="仿宋"/>
          <w:color w:val="auto"/>
          <w:kern w:val="0"/>
          <w:sz w:val="24"/>
          <w:highlight w:val="none"/>
        </w:rPr>
        <w:t>、gxggzy.gxzf.gov.cn（广西壮族自治区公共资源交易中心）。</w:t>
      </w:r>
    </w:p>
    <w:bookmarkEnd w:id="39"/>
    <w:p w14:paraId="5733FC7D">
      <w:pPr>
        <w:spacing w:line="400" w:lineRule="exact"/>
        <w:ind w:firstLine="480" w:firstLineChars="200"/>
        <w:rPr>
          <w:rFonts w:hint="eastAsia" w:ascii="仿宋" w:hAnsi="仿宋" w:eastAsia="仿宋" w:cs="仿宋"/>
          <w:color w:val="auto"/>
          <w:sz w:val="24"/>
          <w:highlight w:val="none"/>
        </w:rPr>
      </w:pPr>
      <w:bookmarkStart w:id="40" w:name="_Hlk37429674"/>
      <w:r>
        <w:rPr>
          <w:rFonts w:hint="eastAsia" w:ascii="仿宋" w:hAnsi="仿宋" w:eastAsia="仿宋" w:cs="仿宋"/>
          <w:color w:val="auto"/>
          <w:sz w:val="24"/>
          <w:highlight w:val="none"/>
        </w:rPr>
        <w:t>3.本项目需要落实的政府采购政策</w:t>
      </w:r>
    </w:p>
    <w:p w14:paraId="20878348">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735C1E9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161168CC">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06B3DD3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144EA18F">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bookmarkEnd w:id="40"/>
    </w:p>
    <w:p w14:paraId="581BAB0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4.注意事项：</w:t>
      </w:r>
    </w:p>
    <w:p w14:paraId="28E6EA6F">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14:paraId="17AE84A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（2）为确保网上操作合法、有效和安全，请供应商确保在电子投标过程中能够对相关数据电文进行加密和使用电子签章，妥善保管CA数字证书并使用有效的CA数字证书参与整个招标活动。</w:t>
      </w:r>
    </w:p>
    <w:p w14:paraId="289EFD17">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（3）CA证书在线解密：投标人投标时，需携带制作投标文件时用来加密的有效数字证书（CA认证）登录广西政府采购云平台电子开标大厅现场按规定时间对加密的投标文件进行解密。</w:t>
      </w:r>
    </w:p>
    <w:p w14:paraId="3358C4F1">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1FCF2244">
      <w:pPr>
        <w:spacing w:line="40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5.本项目非专门面向中小企业采购项目。</w:t>
      </w:r>
    </w:p>
    <w:p w14:paraId="6104AD3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6.监督部门</w:t>
      </w:r>
    </w:p>
    <w:p w14:paraId="630C249D">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称：广西壮族自治区财政厅政府采购监督管理处</w:t>
      </w:r>
    </w:p>
    <w:p w14:paraId="37730083">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话：0771-5331544</w:t>
      </w:r>
    </w:p>
    <w:p w14:paraId="26ADB95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34"/>
      <w:bookmarkEnd w:id="35"/>
      <w:bookmarkEnd w:id="36"/>
      <w:bookmarkEnd w:id="37"/>
    </w:p>
    <w:p w14:paraId="1D533DA3">
      <w:pPr>
        <w:tabs>
          <w:tab w:val="left" w:pos="426"/>
        </w:tabs>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99E5C44">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kern w:val="0"/>
          <w:sz w:val="24"/>
          <w:highlight w:val="none"/>
        </w:rPr>
        <w:t>广西壮族自治区人民医院</w:t>
      </w:r>
    </w:p>
    <w:p w14:paraId="78A017E0">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址：南宁市桃源路6号</w:t>
      </w:r>
    </w:p>
    <w:p w14:paraId="3C3669B6">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1" w:name="_Toc28359009"/>
      <w:bookmarkStart w:id="42" w:name="_Toc28359086"/>
      <w:r>
        <w:rPr>
          <w:rFonts w:hint="eastAsia" w:ascii="仿宋" w:hAnsi="仿宋" w:eastAsia="仿宋" w:cs="仿宋"/>
          <w:color w:val="auto"/>
          <w:sz w:val="24"/>
          <w:highlight w:val="none"/>
        </w:rPr>
        <w:t>石芳铭  0771-5722430</w:t>
      </w:r>
    </w:p>
    <w:p w14:paraId="5673DDF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41"/>
      <w:bookmarkEnd w:id="42"/>
    </w:p>
    <w:p w14:paraId="1A52711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称：公诚管理咨询有限公司</w:t>
      </w:r>
    </w:p>
    <w:p w14:paraId="4186572E">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址：广西南宁市青秀区金湖北路52-1号东方曼哈顿25楼</w:t>
      </w:r>
    </w:p>
    <w:p w14:paraId="2FA67E72">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3" w:name="_Toc28359087"/>
      <w:bookmarkStart w:id="44" w:name="_Toc28359010"/>
      <w:r>
        <w:rPr>
          <w:rFonts w:hint="eastAsia" w:ascii="仿宋" w:hAnsi="仿宋" w:eastAsia="仿宋" w:cs="仿宋"/>
          <w:color w:val="auto"/>
          <w:sz w:val="24"/>
          <w:highlight w:val="none"/>
          <w:lang w:val="en-US" w:eastAsia="zh-CN"/>
        </w:rPr>
        <w:t>陈雅冰、劳德、王鹏程、盛菲、李涛</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p>
    <w:p w14:paraId="7B776869">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43"/>
      <w:bookmarkEnd w:id="44"/>
    </w:p>
    <w:p w14:paraId="3F26A6AC">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陈雅冰、劳德、王鹏程、盛菲、李涛</w:t>
      </w:r>
    </w:p>
    <w:p w14:paraId="761123A4">
      <w:pPr>
        <w:tabs>
          <w:tab w:val="left" w:pos="426"/>
        </w:tabs>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bookmarkEnd w:id="7"/>
    </w:p>
    <w:bookmarkEnd w:id="8"/>
    <w:p w14:paraId="1C47BB1D">
      <w:pPr>
        <w:rPr>
          <w:rFonts w:hint="eastAsia" w:ascii="仿宋" w:hAnsi="仿宋" w:eastAsia="仿宋" w:cs="仿宋"/>
          <w:color w:val="auto"/>
          <w:highlight w:val="none"/>
        </w:rPr>
      </w:pPr>
      <w:bookmarkStart w:id="45" w:name="_Toc254970526"/>
      <w:bookmarkStart w:id="46" w:name="_Toc254970667"/>
      <w:r>
        <w:rPr>
          <w:rFonts w:hint="eastAsia" w:ascii="仿宋" w:hAnsi="仿宋" w:eastAsia="仿宋" w:cs="仿宋"/>
          <w:color w:val="auto"/>
          <w:highlight w:val="none"/>
        </w:rPr>
        <w:br w:type="page"/>
      </w:r>
    </w:p>
    <w:bookmarkEnd w:id="45"/>
    <w:bookmarkEnd w:id="46"/>
    <w:p w14:paraId="4A7FA4DF">
      <w:pPr>
        <w:pStyle w:val="3"/>
        <w:keepNext w:val="0"/>
        <w:keepLines w:val="0"/>
        <w:tabs>
          <w:tab w:val="center" w:pos="4766"/>
          <w:tab w:val="left" w:pos="8409"/>
        </w:tabs>
        <w:jc w:val="center"/>
        <w:rPr>
          <w:rFonts w:hint="eastAsia" w:ascii="仿宋" w:hAnsi="仿宋" w:eastAsia="仿宋" w:cs="仿宋"/>
          <w:color w:val="auto"/>
          <w:sz w:val="30"/>
          <w:szCs w:val="30"/>
          <w:highlight w:val="none"/>
          <w:lang w:eastAsia="zh-CN"/>
        </w:rPr>
      </w:pPr>
      <w:bookmarkStart w:id="47" w:name="_Toc5473"/>
      <w:bookmarkStart w:id="48" w:name="_Toc19686830"/>
      <w:bookmarkStart w:id="49" w:name="_Toc32145"/>
      <w:r>
        <w:rPr>
          <w:rFonts w:hint="eastAsia" w:ascii="仿宋" w:hAnsi="仿宋" w:eastAsia="仿宋" w:cs="仿宋"/>
          <w:color w:val="auto"/>
          <w:highlight w:val="none"/>
        </w:rPr>
        <w:t>第二章  采购需求</w:t>
      </w:r>
      <w:bookmarkEnd w:id="47"/>
      <w:bookmarkEnd w:id="48"/>
      <w:bookmarkEnd w:id="49"/>
    </w:p>
    <w:p w14:paraId="78A0CA34">
      <w:pPr>
        <w:spacing w:line="360" w:lineRule="auto"/>
        <w:jc w:val="left"/>
        <w:rPr>
          <w:rFonts w:hint="eastAsia" w:ascii="仿宋" w:hAnsi="仿宋" w:eastAsia="仿宋" w:cs="仿宋"/>
          <w:color w:val="auto"/>
          <w:sz w:val="24"/>
          <w:highlight w:val="none"/>
        </w:rPr>
      </w:pPr>
      <w:bookmarkStart w:id="50" w:name="_Toc254970490"/>
      <w:bookmarkStart w:id="51" w:name="_Toc254970631"/>
      <w:r>
        <w:rPr>
          <w:rFonts w:hint="eastAsia" w:ascii="仿宋" w:hAnsi="仿宋" w:eastAsia="仿宋" w:cs="仿宋"/>
          <w:color w:val="auto"/>
          <w:sz w:val="24"/>
          <w:highlight w:val="none"/>
        </w:rPr>
        <w:t>说明：</w:t>
      </w:r>
    </w:p>
    <w:p w14:paraId="6AAF021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446123B5">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“实质性要求”</w:t>
      </w:r>
      <w:r>
        <w:rPr>
          <w:rFonts w:hint="eastAsia" w:ascii="仿宋" w:hAnsi="仿宋" w:eastAsia="仿宋" w:cs="仿宋"/>
          <w:color w:val="auto"/>
          <w:sz w:val="24"/>
          <w:highlight w:val="none"/>
        </w:rPr>
        <w:t>是指招标文件中已经指明不满足则投标无效的条款，或者不能负偏离的条款，或者采购需求中带“▲”的条款。</w:t>
      </w:r>
    </w:p>
    <w:p w14:paraId="43DE3B5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3.投标人应根据自身实际情况响应招标文件采购需求中的各项需求，</w:t>
      </w:r>
      <w:r>
        <w:rPr>
          <w:rFonts w:hint="eastAsia" w:ascii="仿宋" w:hAnsi="仿宋" w:eastAsia="仿宋" w:cs="仿宋"/>
          <w:b/>
          <w:bCs/>
          <w:color w:val="auto"/>
          <w:sz w:val="24"/>
          <w:highlight w:val="none"/>
        </w:rPr>
        <w:t>对于重要技术条款（标注“◆”的条款）应当在投标文件中提供</w:t>
      </w:r>
      <w:r>
        <w:rPr>
          <w:rFonts w:hint="eastAsia" w:ascii="仿宋" w:hAnsi="仿宋" w:eastAsia="仿宋" w:cs="仿宋"/>
          <w:b/>
          <w:bCs/>
          <w:color w:val="auto"/>
          <w:sz w:val="24"/>
          <w:highlight w:val="none"/>
          <w:lang w:eastAsia="zh-CN"/>
        </w:rPr>
        <w:t>技术证明资料</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技术证明资料</w:t>
      </w:r>
      <w:r>
        <w:rPr>
          <w:rFonts w:hint="eastAsia" w:ascii="仿宋" w:hAnsi="仿宋" w:eastAsia="仿宋" w:cs="仿宋"/>
          <w:b/>
          <w:bCs/>
          <w:color w:val="auto"/>
          <w:sz w:val="24"/>
          <w:highlight w:val="none"/>
        </w:rPr>
        <w:t>以投标货物生产厂家公开发布的产品彩页或说明书（体现技术参数，可以是从生产厂家网页下载的PDF或HTM文件或在食品药品监督管理部门备案的技术参数或国家认定的第三方检测机构</w:t>
      </w:r>
      <w:r>
        <w:rPr>
          <w:rFonts w:hint="eastAsia" w:ascii="仿宋" w:hAnsi="仿宋" w:eastAsia="仿宋" w:cs="仿宋"/>
          <w:b/>
          <w:bCs/>
          <w:color w:val="auto"/>
          <w:sz w:val="24"/>
          <w:highlight w:val="none"/>
          <w:lang w:val="en-US" w:eastAsia="zh-CN"/>
        </w:rPr>
        <w:t>出具的</w:t>
      </w:r>
      <w:r>
        <w:rPr>
          <w:rFonts w:hint="eastAsia" w:ascii="仿宋" w:hAnsi="仿宋" w:eastAsia="仿宋" w:cs="仿宋"/>
          <w:b/>
          <w:bCs/>
          <w:color w:val="auto"/>
          <w:sz w:val="24"/>
          <w:highlight w:val="none"/>
        </w:rPr>
        <w:t>检测报告）或招标文件中允许的其它形式为准。</w:t>
      </w:r>
      <w:r>
        <w:rPr>
          <w:rFonts w:hint="eastAsia" w:ascii="仿宋" w:hAnsi="仿宋" w:eastAsia="仿宋" w:cs="仿宋"/>
          <w:color w:val="auto"/>
          <w:sz w:val="24"/>
          <w:highlight w:val="none"/>
        </w:rPr>
        <w:t>凡不符合上述要求的，将视为无效</w:t>
      </w:r>
      <w:r>
        <w:rPr>
          <w:rFonts w:hint="eastAsia" w:ascii="仿宋" w:hAnsi="仿宋" w:eastAsia="仿宋" w:cs="仿宋"/>
          <w:color w:val="auto"/>
          <w:sz w:val="24"/>
          <w:highlight w:val="none"/>
          <w:lang w:eastAsia="zh-CN"/>
        </w:rPr>
        <w:t>技术证明资料</w:t>
      </w:r>
      <w:r>
        <w:rPr>
          <w:rFonts w:hint="eastAsia" w:ascii="仿宋" w:hAnsi="仿宋" w:eastAsia="仿宋" w:cs="仿宋"/>
          <w:color w:val="auto"/>
          <w:sz w:val="24"/>
          <w:highlight w:val="none"/>
        </w:rPr>
        <w:t>。</w:t>
      </w:r>
      <w:bookmarkEnd w:id="50"/>
      <w:bookmarkEnd w:id="51"/>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34"/>
        <w:gridCol w:w="850"/>
        <w:gridCol w:w="613"/>
        <w:gridCol w:w="5713"/>
        <w:gridCol w:w="475"/>
      </w:tblGrid>
      <w:tr w14:paraId="47A6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011" w:type="dxa"/>
            <w:gridSpan w:val="6"/>
            <w:tcBorders>
              <w:right w:val="single" w:color="auto" w:sz="4" w:space="0"/>
            </w:tcBorders>
            <w:vAlign w:val="center"/>
          </w:tcPr>
          <w:p w14:paraId="45BC996E">
            <w:pPr>
              <w:spacing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一、技术条款</w:t>
            </w:r>
          </w:p>
        </w:tc>
      </w:tr>
      <w:tr w14:paraId="2004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45EBB841">
            <w:pPr>
              <w:spacing w:line="240" w:lineRule="auto"/>
              <w:jc w:val="center"/>
              <w:rPr>
                <w:rFonts w:hint="eastAsia" w:ascii="仿宋" w:hAnsi="仿宋" w:eastAsia="仿宋" w:cs="仿宋"/>
                <w:color w:val="auto"/>
                <w:sz w:val="24"/>
                <w:szCs w:val="24"/>
                <w:highlight w:val="none"/>
              </w:rPr>
            </w:pPr>
            <w:bookmarkStart w:id="52" w:name="_Hlk117247000"/>
            <w:r>
              <w:rPr>
                <w:rFonts w:hint="eastAsia" w:ascii="仿宋" w:hAnsi="仿宋" w:eastAsia="仿宋" w:cs="仿宋"/>
                <w:color w:val="auto"/>
                <w:sz w:val="24"/>
                <w:szCs w:val="24"/>
                <w:highlight w:val="none"/>
              </w:rPr>
              <w:t>序号</w:t>
            </w:r>
          </w:p>
        </w:tc>
        <w:tc>
          <w:tcPr>
            <w:tcW w:w="934" w:type="dxa"/>
            <w:vAlign w:val="center"/>
          </w:tcPr>
          <w:p w14:paraId="024A5329">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采购标的</w:t>
            </w:r>
          </w:p>
        </w:tc>
        <w:tc>
          <w:tcPr>
            <w:tcW w:w="850" w:type="dxa"/>
            <w:tcBorders>
              <w:right w:val="single" w:color="auto" w:sz="4" w:space="0"/>
            </w:tcBorders>
            <w:vAlign w:val="center"/>
          </w:tcPr>
          <w:p w14:paraId="7AB9C16F">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6326" w:type="dxa"/>
            <w:gridSpan w:val="2"/>
            <w:tcBorders>
              <w:left w:val="single" w:color="auto" w:sz="4" w:space="0"/>
              <w:right w:val="single" w:color="auto" w:sz="4" w:space="0"/>
            </w:tcBorders>
            <w:vAlign w:val="center"/>
          </w:tcPr>
          <w:p w14:paraId="2804DF6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技术指标要求</w:t>
            </w:r>
          </w:p>
        </w:tc>
        <w:tc>
          <w:tcPr>
            <w:tcW w:w="475" w:type="dxa"/>
            <w:tcBorders>
              <w:left w:val="single" w:color="auto" w:sz="4" w:space="0"/>
              <w:right w:val="single" w:color="auto" w:sz="4" w:space="0"/>
            </w:tcBorders>
            <w:vAlign w:val="center"/>
          </w:tcPr>
          <w:p w14:paraId="2E278450">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E9B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603A8EDC">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34" w:type="dxa"/>
            <w:vAlign w:val="center"/>
          </w:tcPr>
          <w:p w14:paraId="7407A7D1">
            <w:pPr>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手术显微镜</w:t>
            </w:r>
          </w:p>
        </w:tc>
        <w:tc>
          <w:tcPr>
            <w:tcW w:w="850" w:type="dxa"/>
            <w:tcBorders>
              <w:right w:val="single" w:color="auto" w:sz="4" w:space="0"/>
            </w:tcBorders>
            <w:vAlign w:val="center"/>
          </w:tcPr>
          <w:p w14:paraId="01E7B499">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1套</w:t>
            </w:r>
          </w:p>
        </w:tc>
        <w:tc>
          <w:tcPr>
            <w:tcW w:w="6326" w:type="dxa"/>
            <w:gridSpan w:val="2"/>
            <w:tcBorders>
              <w:left w:val="single" w:color="auto" w:sz="4" w:space="0"/>
              <w:right w:val="single" w:color="auto" w:sz="4" w:space="0"/>
            </w:tcBorders>
            <w:vAlign w:val="center"/>
          </w:tcPr>
          <w:p w14:paraId="0E70B440">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1.光学部分</w:t>
            </w:r>
          </w:p>
          <w:p w14:paraId="366AECD7">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1.1光学：全镜组复消色差，光学镀膜保护；</w:t>
            </w:r>
          </w:p>
          <w:p w14:paraId="6E18C31F">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▲1.2工作距离：最小工作距离≤200mm，且可在单一物镜下连续变焦；</w:t>
            </w:r>
          </w:p>
          <w:p w14:paraId="334586C4">
            <w:p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lang w:val="en-US" w:eastAsia="zh-CN"/>
              </w:rPr>
              <w:t>◆1.3工作距</w:t>
            </w:r>
            <w:r>
              <w:rPr>
                <w:rFonts w:hint="eastAsia" w:ascii="仿宋" w:hAnsi="仿宋" w:eastAsia="仿宋" w:cs="仿宋"/>
                <w:b/>
                <w:bCs w:val="0"/>
                <w:color w:val="auto"/>
                <w:sz w:val="24"/>
                <w:szCs w:val="24"/>
                <w:highlight w:val="none"/>
                <w:lang w:val="en-US" w:eastAsia="zh-CN"/>
              </w:rPr>
              <w:t>离：最大工作距离≥610mm，且可在单一物镜下连续变焦；</w:t>
            </w:r>
            <w:r>
              <w:rPr>
                <w:rFonts w:hint="eastAsia" w:ascii="仿宋" w:hAnsi="仿宋" w:eastAsia="仿宋" w:cs="仿宋"/>
                <w:b/>
                <w:bCs w:val="0"/>
                <w:color w:val="auto"/>
                <w:sz w:val="24"/>
                <w:szCs w:val="24"/>
                <w:highlight w:val="none"/>
              </w:rPr>
              <w:t>（投标文件应提供相应技术证明资料）</w:t>
            </w:r>
          </w:p>
          <w:p w14:paraId="46D4881E">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1.4放大倍数：最小放大倍数≤2.0x，最大放大倍数≥16.2x（12.5x 目镜下）；</w:t>
            </w:r>
          </w:p>
          <w:p w14:paraId="1EE936DB">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1.5变焦模式：电动连续变焦（速度可调），同时在主镜上配备手动精细调焦；</w:t>
            </w:r>
          </w:p>
          <w:p w14:paraId="497DBB9D">
            <w:p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◆1.6锁定焦点功能：在工作距离范围内，可任意改变观察角度和观察距离，调整后始终保持视场中心清晰、不失焦；</w:t>
            </w:r>
            <w:r>
              <w:rPr>
                <w:rFonts w:hint="eastAsia" w:ascii="仿宋" w:hAnsi="仿宋" w:eastAsia="仿宋" w:cs="仿宋"/>
                <w:b/>
                <w:bCs w:val="0"/>
                <w:color w:val="auto"/>
                <w:sz w:val="24"/>
                <w:szCs w:val="24"/>
                <w:highlight w:val="none"/>
              </w:rPr>
              <w:t>（投标文件应提供相应技术证明资料）</w:t>
            </w:r>
          </w:p>
          <w:p w14:paraId="48BE967D">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1.7双激光自动对焦：全内置设计，无需外挂模块；</w:t>
            </w:r>
          </w:p>
          <w:p w14:paraId="5418FB47">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1.8调焦变倍联动：自动匹配调焦速度与放大倍率，高倍时调焦速度慢，低倍时调焦速度快；</w:t>
            </w:r>
          </w:p>
          <w:p w14:paraId="4D67411F">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1.9主刀镜：0-180°可调双目镜筒，可进行多角度设定；</w:t>
            </w:r>
          </w:p>
          <w:p w14:paraId="0F1264CF">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1.10目镜：广角目镜，眼杯高度可调，10x或12.5x可选；屈光补偿范围至少包括-7D—+5D；</w:t>
            </w:r>
          </w:p>
          <w:p w14:paraId="0330E80D">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1.11助手镜：侧面双关节旋转立体</w:t>
            </w:r>
            <w:r>
              <w:rPr>
                <w:rFonts w:hint="eastAsia" w:ascii="仿宋" w:hAnsi="仿宋" w:eastAsia="仿宋" w:cs="仿宋"/>
                <w:bCs/>
                <w:color w:val="auto"/>
                <w:sz w:val="24"/>
                <w:szCs w:val="24"/>
                <w:lang w:val="en-US" w:eastAsia="zh-CN"/>
              </w:rPr>
              <w:t>助手镜，“悬浮”设计且带锁控装置；</w:t>
            </w:r>
          </w:p>
          <w:p w14:paraId="778EC6ED">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2.照明部分</w:t>
            </w:r>
          </w:p>
          <w:p w14:paraId="6AC2C9BA">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▲2.1光源：主光源与备用光源皆为氙灯，集成化设计无外挂，主、备用光源可一键切换，并有氙灯寿命显示；</w:t>
            </w:r>
          </w:p>
          <w:p w14:paraId="1D694CD3">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2.2照明安全控制：可实现光亮度与工作距离联动，光照范围与术野联动，结合自定义照明亮度预警设置，可防止术中组织灼伤；</w:t>
            </w:r>
          </w:p>
          <w:p w14:paraId="1C30310B">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2.3辅助照明：除主照明外，提供侧向补光辅助照明，解决深腔手术区域照明阴影的问题，可单独开关；</w:t>
            </w:r>
          </w:p>
          <w:p w14:paraId="716E258E">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3.支架部分</w:t>
            </w:r>
          </w:p>
          <w:p w14:paraId="7EAE14D4">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lang w:val="en-US" w:eastAsia="zh-CN"/>
              </w:rPr>
              <w:t>3.1落地式支架；</w:t>
            </w:r>
          </w:p>
          <w:p w14:paraId="4C5B3CD2">
            <w:p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▲3.2平衡调校方式：无需分步或多次操作，通过自动平衡系统或一键式全自动平衡四连杆支架；</w:t>
            </w:r>
          </w:p>
          <w:p w14:paraId="1DEF33E5">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3.3术前术中自动平衡：通过触控屏自动术中平衡，提升手术效率；</w:t>
            </w:r>
          </w:p>
          <w:p w14:paraId="6635705C">
            <w:p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◆3.4六功能电磁关节锁：微电机控制关节移动；</w:t>
            </w:r>
            <w:r>
              <w:rPr>
                <w:rFonts w:hint="eastAsia" w:ascii="仿宋" w:hAnsi="仿宋" w:eastAsia="仿宋" w:cs="仿宋"/>
                <w:b/>
                <w:bCs w:val="0"/>
                <w:color w:val="auto"/>
                <w:sz w:val="24"/>
                <w:szCs w:val="24"/>
                <w:highlight w:val="none"/>
              </w:rPr>
              <w:t>（投标文件应提供相应技术证明资料）</w:t>
            </w:r>
          </w:p>
          <w:p w14:paraId="65F1DAB3">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3.5集成化手柄：左右对称，万向关节，可通过触控屏个性化设置各个按钮功能，如：拍照、录像、自动对焦等功能；</w:t>
            </w:r>
          </w:p>
          <w:p w14:paraId="3B7F67CD">
            <w:p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▲3.6升级倍数记忆功能，可指定变倍系数，一键切换为预设倍数，宏观和微观视野切换提高手术效率；</w:t>
            </w:r>
          </w:p>
          <w:p w14:paraId="0277A363">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3.7自动抽真空消毒罩设计：避免无菌罩术中下坠造成的视野遮挡和污染风险，保证手术安全；</w:t>
            </w:r>
          </w:p>
          <w:p w14:paraId="13B04757">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3.8支架限位保护：支架最低限位设计</w:t>
            </w:r>
            <w:r>
              <w:rPr>
                <w:rFonts w:hint="eastAsia" w:ascii="仿宋" w:hAnsi="仿宋" w:eastAsia="仿宋" w:cs="仿宋"/>
                <w:bCs/>
                <w:color w:val="auto"/>
                <w:sz w:val="24"/>
                <w:szCs w:val="24"/>
                <w:lang w:val="en-US" w:eastAsia="zh-CN"/>
              </w:rPr>
              <w:t>，距离地面一定高度支架锁定，防止意外跌落，充分保证病人安全；</w:t>
            </w:r>
          </w:p>
          <w:p w14:paraId="3153E799">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3.9电磁锁：整机电磁锁可实现二级解锁功能，由手柄进行分项编程控制；</w:t>
            </w:r>
          </w:p>
          <w:p w14:paraId="030B3C2D">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3.10通过脚踏开关可以控制支架及光学主镜的解锁和移动；</w:t>
            </w:r>
          </w:p>
          <w:p w14:paraId="5CDD6550">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3.11支架占地面积：≤ 820mm*820mm ；支架最大水平伸展范围：≥1635mm；</w:t>
            </w:r>
          </w:p>
          <w:p w14:paraId="0FFA05C4">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4.操作控制系统</w:t>
            </w:r>
          </w:p>
          <w:p w14:paraId="23C0436F">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4.1用户设置：可以设置个性化用户参数，数量不限；</w:t>
            </w:r>
          </w:p>
          <w:p w14:paraId="0825A48F">
            <w:pPr>
              <w:spacing w:line="240" w:lineRule="auto"/>
              <w:textAlignment w:val="baseline"/>
              <w:rPr>
                <w:rFonts w:hint="eastAsia" w:ascii="仿宋" w:hAnsi="仿宋" w:eastAsia="仿宋" w:cs="仿宋"/>
                <w:b/>
                <w:bCs w:val="0"/>
                <w:color w:val="auto"/>
                <w:sz w:val="24"/>
                <w:szCs w:val="24"/>
                <w:lang w:val="en-US" w:eastAsia="zh-CN"/>
              </w:rPr>
            </w:pPr>
            <w:r>
              <w:rPr>
                <w:rFonts w:hint="eastAsia" w:ascii="仿宋" w:hAnsi="仿宋" w:eastAsia="仿宋" w:cs="仿宋"/>
                <w:bCs/>
                <w:color w:val="auto"/>
                <w:sz w:val="24"/>
                <w:szCs w:val="24"/>
                <w:lang w:val="en-US" w:eastAsia="zh-CN"/>
              </w:rPr>
              <w:t>4.2患者档案管理：可以建立患者档案，存储患者手术照片、录像等资料；</w:t>
            </w:r>
          </w:p>
          <w:p w14:paraId="4AF0254B">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5.高性能图形塔式工作站</w:t>
            </w:r>
          </w:p>
          <w:p w14:paraId="544F4440">
            <w:pPr>
              <w:spacing w:line="240" w:lineRule="auto"/>
              <w:textAlignment w:val="baseline"/>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lang w:val="en-US" w:eastAsia="zh-CN"/>
              </w:rPr>
              <w:t>◆5.1处理器（CPU）：满足或优于i7-14700（或 i7-14700K）；核心/线程数，20</w:t>
            </w:r>
            <w:r>
              <w:rPr>
                <w:rFonts w:hint="eastAsia" w:ascii="仿宋" w:hAnsi="仿宋" w:eastAsia="仿宋" w:cs="仿宋"/>
                <w:b/>
                <w:bCs w:val="0"/>
                <w:color w:val="auto"/>
                <w:sz w:val="24"/>
                <w:szCs w:val="24"/>
                <w:highlight w:val="none"/>
                <w:lang w:val="en-US" w:eastAsia="zh-CN"/>
              </w:rPr>
              <w:t>核（8P+12E）/28线程；基础频率≥2.1 GHz，睿频≥5.4 GHz。</w:t>
            </w:r>
            <w:r>
              <w:rPr>
                <w:rFonts w:hint="eastAsia" w:ascii="仿宋" w:hAnsi="仿宋" w:eastAsia="仿宋" w:cs="仿宋"/>
                <w:b/>
                <w:bCs w:val="0"/>
                <w:color w:val="auto"/>
                <w:sz w:val="24"/>
                <w:szCs w:val="24"/>
                <w:highlight w:val="none"/>
              </w:rPr>
              <w:t>（投标文件应提供相应技术证明资料）</w:t>
            </w:r>
          </w:p>
          <w:p w14:paraId="4376D1FB">
            <w:p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◆5.2显卡（GPU）：</w:t>
            </w:r>
            <w:r>
              <w:rPr>
                <w:rFonts w:hint="eastAsia" w:ascii="仿宋" w:hAnsi="仿宋" w:eastAsia="仿宋" w:cs="仿宋"/>
                <w:b/>
                <w:bCs w:val="0"/>
                <w:color w:val="auto"/>
                <w:sz w:val="24"/>
                <w:szCs w:val="24"/>
                <w:lang w:val="en-US" w:eastAsia="zh-CN"/>
              </w:rPr>
              <w:t>满足或优于</w:t>
            </w:r>
            <w:r>
              <w:rPr>
                <w:rFonts w:hint="eastAsia" w:ascii="仿宋" w:hAnsi="仿宋" w:eastAsia="仿宋" w:cs="仿宋"/>
                <w:b/>
                <w:bCs w:val="0"/>
                <w:color w:val="auto"/>
                <w:sz w:val="24"/>
                <w:szCs w:val="24"/>
                <w:highlight w:val="none"/>
                <w:lang w:val="en-US" w:eastAsia="zh-CN"/>
              </w:rPr>
              <w:t>RTX 5000 Ada系列，支持RTX 5070（12GB GDDR6显存）；CUDA核心数≥5888个；显存带宽≥504 GB/s；NVIDIA Studio或Quadro驱动。</w:t>
            </w:r>
            <w:r>
              <w:rPr>
                <w:rFonts w:hint="eastAsia" w:ascii="仿宋" w:hAnsi="仿宋" w:eastAsia="仿宋" w:cs="仿宋"/>
                <w:b/>
                <w:bCs w:val="0"/>
                <w:color w:val="auto"/>
                <w:sz w:val="24"/>
                <w:szCs w:val="24"/>
                <w:highlight w:val="none"/>
              </w:rPr>
              <w:t>（投标文件应提供相应技术证明资料）</w:t>
            </w:r>
          </w:p>
          <w:p w14:paraId="1E23152A">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5.3内存（RAM）：容量≥192GB DDR5 ECC ；频率≥4800 MHz ；插槽数≥4×DIMM（支持未来扩展）；ECC内存，防止数据损坏。</w:t>
            </w:r>
          </w:p>
          <w:p w14:paraId="595F7F50">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5.4存储：主硬盘≥ 2TB NVMe SSD（PCIe 4.0，读取≥7000 MB/s）；副硬盘≥ 8TB 7200 RPM HDD；扩展性至少2个M.2插槽 + 2个3.5英寸SATA位。</w:t>
            </w:r>
          </w:p>
          <w:p w14:paraId="2B0595A4">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5.5电源额定功率: 700W 80Plus；支持热插拔。</w:t>
            </w:r>
          </w:p>
          <w:p w14:paraId="68EECB24">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5.6主板与扩展：芯片组Intel W680；PCIe插槽≥1×PCIe 5.0x16（显卡）+ 2×PCIe 4.0 x4（扩展卡）； 端口至少6×USB 3.2 Gen2（含Type-C）、2×Thunderbolt 4。</w:t>
            </w:r>
          </w:p>
          <w:p w14:paraId="0039437E">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5.7散热与可靠性：专用静音散热方案（噪音≤35dB）， MTBF平均无故障时间≥100,000小时。</w:t>
            </w:r>
          </w:p>
          <w:p w14:paraId="7316BE6D">
            <w:pPr>
              <w:spacing w:line="240" w:lineRule="auto"/>
              <w:textAlignment w:val="baseline"/>
              <w:rPr>
                <w:color w:val="auto"/>
              </w:rPr>
            </w:pPr>
            <w:r>
              <w:rPr>
                <w:rFonts w:hint="eastAsia" w:ascii="仿宋" w:hAnsi="仿宋" w:eastAsia="仿宋" w:cs="仿宋"/>
                <w:bCs/>
                <w:color w:val="auto"/>
                <w:sz w:val="24"/>
                <w:szCs w:val="24"/>
                <w:lang w:val="en-US" w:eastAsia="zh-CN"/>
              </w:rPr>
              <w:t>5.8操作系统与认证预装系统至少支持Windows 11 Pro for Workstations</w:t>
            </w:r>
            <w:r>
              <w:rPr>
                <w:rFonts w:hint="eastAsia" w:ascii="仿宋" w:hAnsi="仿宋" w:eastAsia="仿宋" w:cs="仿宋"/>
                <w:bCs/>
                <w:color w:val="auto"/>
                <w:sz w:val="24"/>
              </w:rPr>
              <w:t>（或Linux认证版本）</w:t>
            </w:r>
            <w:r>
              <w:rPr>
                <w:rFonts w:hint="eastAsia" w:ascii="仿宋" w:hAnsi="仿宋" w:eastAsia="仿宋" w:cs="仿宋"/>
                <w:bCs/>
                <w:color w:val="auto"/>
                <w:sz w:val="24"/>
                <w:szCs w:val="24"/>
                <w:lang w:val="en-US" w:eastAsia="zh-CN"/>
              </w:rPr>
              <w:t>。</w:t>
            </w:r>
          </w:p>
          <w:p w14:paraId="5938075B">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5.9机箱符合塔式设计+免工具拆卸。</w:t>
            </w:r>
          </w:p>
          <w:p w14:paraId="128BA70D">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6.颈部荧光内窥镜</w:t>
            </w:r>
          </w:p>
          <w:p w14:paraId="48146C5B">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6.1用于NIR/ICG荧光成像系统；</w:t>
            </w:r>
          </w:p>
          <w:p w14:paraId="5C137FED">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6.2 HOPKINS II 柱状晶体镜，蓝宝石镜面，高通光量；</w:t>
            </w:r>
          </w:p>
          <w:p w14:paraId="526B4E0C">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6.3 镜身带颜色标识，方便选择使用；</w:t>
            </w:r>
          </w:p>
          <w:p w14:paraId="0F8796EB">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6.4 视向角0°，视场角80°；</w:t>
            </w:r>
          </w:p>
          <w:p w14:paraId="69E2CE6E">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6.5 直径5.2mm，工作长度29cm；</w:t>
            </w:r>
          </w:p>
          <w:p w14:paraId="26282CEF">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6.6 高光学分辨率，可高温高压消毒；</w:t>
            </w:r>
          </w:p>
          <w:p w14:paraId="139AA891">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6.7 标准照明体下的显色指数Ra≥85；</w:t>
            </w:r>
          </w:p>
          <w:p w14:paraId="0AE198A9">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6.8 有效景深范围3mm–150mm；</w:t>
            </w:r>
          </w:p>
          <w:p w14:paraId="1248AECF">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6.9 进液防护等级：IPX7；</w:t>
            </w:r>
          </w:p>
          <w:p w14:paraId="44FA3394">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6.10 光纤接口整合多个适配器，可拆分设计，兼容其他品牌导光束。</w:t>
            </w:r>
          </w:p>
          <w:p w14:paraId="729AD5FB">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7.显示器</w:t>
            </w:r>
          </w:p>
          <w:p w14:paraId="50B3E2AE">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7.1原生 10bit OLED 面板，屏幕尺寸≥27英寸16:9 标准比例。分辨率：4K UHD（3840×2160），像素密度 ≥ 163 PPI。</w:t>
            </w:r>
          </w:p>
          <w:p w14:paraId="17EA4347">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7.2色域覆盖：99% DCI-P3 / 99% Adobe RGB / 100% sRGB。色深≥原生 10bit（10.7亿色）。</w:t>
            </w:r>
          </w:p>
          <w:p w14:paraId="5EB24D37">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7.3典型亮度 ≥ 250 cd/m²，HDR 峰值亮度 ≥ 540 cd/m²。原生 OLED 特性，对比度≥ 1,000,000:1；响应时间≤ 0.1ms GTG。</w:t>
            </w:r>
          </w:p>
          <w:p w14:paraId="701642F6">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7.4 USB-C 接口≥ 1个，支持 90W PD 供电。HDMI 2.1 ≥ 2（支持 4K@120Hz）、DP 1.4 ≥ 1、USB Hub ≥ 4（含上行接口）。</w:t>
            </w:r>
          </w:p>
          <w:p w14:paraId="1C6D2349">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7.5 HDR 支持HDR10/HLG。</w:t>
            </w:r>
          </w:p>
          <w:p w14:paraId="67516889">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7.6内置环境光传感器（自动亮度调节）、硬件防烧屏技术（像素刷新/位移）。</w:t>
            </w:r>
          </w:p>
          <w:p w14:paraId="3FD7E93A">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7.7支架调节支持升降（≥120mm）/倾斜（-5°~20°）/旋转（±90°）。</w:t>
            </w:r>
          </w:p>
          <w:p w14:paraId="051D20AE">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7.8外观材质：金属底座 + 超窄边框（边框宽度 ≤ 5mm）。</w:t>
            </w:r>
          </w:p>
          <w:p w14:paraId="04FAF539">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7.9 配置可移动台车1台。</w:t>
            </w:r>
          </w:p>
          <w:p w14:paraId="55B93406">
            <w:pPr>
              <w:spacing w:line="240" w:lineRule="auto"/>
              <w:textAlignment w:val="baseline"/>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8.配置清单</w:t>
            </w:r>
          </w:p>
          <w:p w14:paraId="5A538A15">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（1）主镜系统1个</w:t>
            </w:r>
          </w:p>
          <w:p w14:paraId="2082A5CF">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（2）落地式支架1个</w:t>
            </w:r>
          </w:p>
          <w:p w14:paraId="484F13CF">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（3）防尘套1个</w:t>
            </w:r>
          </w:p>
          <w:p w14:paraId="565B9B39">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（4）双氙灯照明系统1套</w:t>
            </w:r>
          </w:p>
          <w:p w14:paraId="68BB406A">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（5）主刀可调双目镜筒1套</w:t>
            </w:r>
          </w:p>
          <w:p w14:paraId="0798E772">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（6）12.5x广角插入式目镜2对</w:t>
            </w:r>
          </w:p>
          <w:p w14:paraId="1249A9E6">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（7）侧面分光器1个</w:t>
            </w:r>
          </w:p>
          <w:p w14:paraId="72738442">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（8）助手镜1个</w:t>
            </w:r>
          </w:p>
          <w:p w14:paraId="667B6D33">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（9）xy移动模块1套</w:t>
            </w:r>
          </w:p>
          <w:p w14:paraId="5CBF1803">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（10）内置4K摄像头1个</w:t>
            </w:r>
          </w:p>
          <w:p w14:paraId="36AAC9AF">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（11）消毒套（含物镜保护镜）10盒</w:t>
            </w:r>
          </w:p>
          <w:p w14:paraId="4FD2C294">
            <w:pPr>
              <w:spacing w:line="240" w:lineRule="auto"/>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（12）自动平衡模块1套</w:t>
            </w:r>
          </w:p>
          <w:p w14:paraId="5D4E2CF7">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lang w:val="en-US" w:eastAsia="zh-CN"/>
              </w:rPr>
              <w:t>（13）医用</w:t>
            </w:r>
            <w:r>
              <w:rPr>
                <w:rFonts w:hint="eastAsia" w:ascii="仿宋" w:hAnsi="仿宋" w:eastAsia="仿宋" w:cs="仿宋"/>
                <w:bCs/>
                <w:color w:val="auto"/>
                <w:sz w:val="24"/>
                <w:szCs w:val="24"/>
                <w:highlight w:val="none"/>
                <w:lang w:val="en-US" w:eastAsia="zh-CN"/>
              </w:rPr>
              <w:t>监视器2台</w:t>
            </w:r>
          </w:p>
          <w:p w14:paraId="305A663D">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（14）可移动台车显示器1套</w:t>
            </w:r>
          </w:p>
          <w:p w14:paraId="4A841571">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（15）高性能图形塔式工作站1套</w:t>
            </w:r>
          </w:p>
          <w:p w14:paraId="108EC89A">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（16）颈部荧光内窥镜 1套</w:t>
            </w:r>
          </w:p>
          <w:p w14:paraId="71148105">
            <w:p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（17）训练镜 1套</w:t>
            </w:r>
          </w:p>
          <w:p w14:paraId="6846A354">
            <w:pPr>
              <w:spacing w:line="240" w:lineRule="auto"/>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（18）耳显微手术器械1套</w:t>
            </w:r>
          </w:p>
          <w:p w14:paraId="36D9C162">
            <w:pPr>
              <w:spacing w:line="240" w:lineRule="auto"/>
              <w:textAlignment w:val="baseline"/>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highlight w:val="none"/>
              </w:rPr>
              <w:t>▲</w:t>
            </w:r>
            <w:r>
              <w:rPr>
                <w:rFonts w:hint="eastAsia" w:ascii="仿宋" w:hAnsi="仿宋" w:eastAsia="仿宋" w:cs="仿宋"/>
                <w:b/>
                <w:bCs w:val="0"/>
                <w:color w:val="auto"/>
                <w:sz w:val="24"/>
                <w:highlight w:val="none"/>
                <w:lang w:val="en-US" w:eastAsia="zh-CN"/>
              </w:rPr>
              <w:t>9.设备使用年限≥8年。</w:t>
            </w:r>
          </w:p>
        </w:tc>
        <w:tc>
          <w:tcPr>
            <w:tcW w:w="475" w:type="dxa"/>
            <w:tcBorders>
              <w:left w:val="single" w:color="auto" w:sz="4" w:space="0"/>
              <w:right w:val="single" w:color="auto" w:sz="4" w:space="0"/>
            </w:tcBorders>
            <w:vAlign w:val="center"/>
          </w:tcPr>
          <w:p w14:paraId="1EA8A5C9">
            <w:pPr>
              <w:spacing w:line="240" w:lineRule="auto"/>
              <w:rPr>
                <w:rFonts w:hint="eastAsia" w:ascii="仿宋" w:hAnsi="仿宋" w:eastAsia="仿宋" w:cs="仿宋"/>
                <w:color w:val="auto"/>
                <w:sz w:val="24"/>
                <w:szCs w:val="24"/>
                <w:highlight w:val="none"/>
              </w:rPr>
            </w:pPr>
          </w:p>
        </w:tc>
      </w:tr>
      <w:tr w14:paraId="2D2C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77D5DBE">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二、商务条款</w:t>
            </w:r>
          </w:p>
        </w:tc>
      </w:tr>
      <w:tr w14:paraId="31769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5BC5E3">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合同签订时间</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88909">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自中标通知书发出之日起</w:t>
            </w:r>
            <w:r>
              <w:rPr>
                <w:rFonts w:hint="eastAsia" w:ascii="仿宋" w:hAnsi="仿宋" w:eastAsia="仿宋" w:cs="仿宋"/>
                <w:color w:val="auto"/>
                <w:sz w:val="24"/>
                <w:szCs w:val="24"/>
                <w:highlight w:val="none"/>
                <w:u w:val="single"/>
              </w:rPr>
              <w:t xml:space="preserve"> 25 </w:t>
            </w:r>
            <w:r>
              <w:rPr>
                <w:rFonts w:hint="eastAsia" w:ascii="仿宋" w:hAnsi="仿宋" w:eastAsia="仿宋" w:cs="仿宋"/>
                <w:color w:val="auto"/>
                <w:sz w:val="24"/>
                <w:szCs w:val="24"/>
                <w:highlight w:val="none"/>
              </w:rPr>
              <w:t>日内。</w:t>
            </w:r>
          </w:p>
        </w:tc>
      </w:tr>
      <w:tr w14:paraId="65A42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F9ADE9">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交付时间及地点</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F1C85">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1.交付时间：</w:t>
            </w:r>
            <w:r>
              <w:rPr>
                <w:rFonts w:hint="eastAsia" w:ascii="仿宋" w:hAnsi="仿宋" w:eastAsia="仿宋" w:cs="仿宋"/>
                <w:color w:val="auto"/>
                <w:sz w:val="24"/>
                <w:szCs w:val="24"/>
                <w:highlight w:val="none"/>
                <w:lang w:eastAsia="zh-CN"/>
              </w:rPr>
              <w:t>自合同签订之日起60日历天内全部货物交货并安装调试完毕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14:paraId="6439F115">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2.交付地点：广西南宁市采购人指定地点。</w:t>
            </w:r>
          </w:p>
        </w:tc>
      </w:tr>
      <w:tr w14:paraId="19BF2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589B97">
            <w:pPr>
              <w:spacing w:line="24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▲付款方式</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4197B">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合同签订后，采购人支付合同金额的30%作为预付款，</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所有货物交货安装调试完毕并验收合格后支付剩余合同款。每次支付前，</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需开具合法有效的全额发票，</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未开具合法有效的全额发票的，采购人有权不支付合同款。</w:t>
            </w:r>
          </w:p>
        </w:tc>
      </w:tr>
      <w:tr w14:paraId="0899E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167F875B">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▲售后服务要求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17676204">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1.提供维护手册、维修手册、软件备份、故障代码表、备件清单。保修期外，提供维修密码及所附软件在该项目的永久使用权并承担相应费用。</w:t>
            </w:r>
          </w:p>
          <w:p w14:paraId="5D5274F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2.相关人员培训:标的包含医护人员及工程人员的培训计划费用，设备装机验收后，现场提供对采购人的1次或多次基本培训，使采购人使用人员及工程人员，熟练掌握全部功能及基本维修。</w:t>
            </w:r>
          </w:p>
          <w:p w14:paraId="6B1543F5">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其中医务人员专项培训</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人次，工程人员专项培训</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人次，视采购人时间安排确定。</w:t>
            </w:r>
          </w:p>
          <w:p w14:paraId="6722A0E8">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3.提供7*24小时售后服务，接到用户通知后2小时内作出实质响应（远程解决或做出预备维护动作），并在24小时内恢复设备运行</w:t>
            </w:r>
            <w:r>
              <w:rPr>
                <w:rFonts w:hint="eastAsia" w:ascii="仿宋" w:hAnsi="仿宋" w:eastAsia="仿宋" w:cs="仿宋"/>
                <w:color w:val="auto"/>
                <w:sz w:val="24"/>
                <w:szCs w:val="24"/>
                <w:highlight w:val="none"/>
                <w:lang w:eastAsia="zh-CN"/>
              </w:rPr>
              <w:t>。</w:t>
            </w:r>
          </w:p>
          <w:p w14:paraId="5DB37237">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4.保修期内发生故障的设备如无法在24小时内修复，则应提供备用设备以保证系统的连续稳定运行，并在5个工作日内修复故障设备或更换新设备，5个工作日内不能解决的，由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lang w:val="en-US" w:eastAsia="zh-CN"/>
              </w:rPr>
              <w:t>提供替代设备。保障系统正常运行，在无相同型号的同种设备时，则应更换同类设备中较高型号的产品。所产生的费用，均包含在响应报价中，采购人不再承担任何费用。</w:t>
            </w:r>
          </w:p>
          <w:p w14:paraId="05A0A165">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响应报价中，采购人不再承担任何费用。</w:t>
            </w:r>
          </w:p>
          <w:p w14:paraId="676B5BC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highlight w:val="none"/>
              </w:rPr>
              <w:t>按国家有关产品“三包”规定执行“三包”，除特别说明外，质保期不得少于</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年，自设备验收合格并能正常使用之日算起。如投标文件中提供产品生产厂家对质保期的承诺，与投标人承诺不一致的，以生产厂家承诺为准。</w:t>
            </w:r>
          </w:p>
          <w:p w14:paraId="221C957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总体项目要求：交钥匙工程：中标人负责全部产品的安装调试后直接交付运行。在保修期内，中标人保证采购人能够合法应用该器械/服务。在此过程中，采购人应当提供一切必要支持。若可能出现的后续证件、手续，中标人必须提供办理的流程及方法</w:t>
            </w:r>
            <w:r>
              <w:rPr>
                <w:rFonts w:hint="eastAsia" w:ascii="仿宋" w:hAnsi="仿宋" w:eastAsia="仿宋" w:cs="仿宋"/>
                <w:color w:val="auto"/>
                <w:sz w:val="24"/>
                <w:szCs w:val="24"/>
                <w:highlight w:val="none"/>
              </w:rPr>
              <w:t>。</w:t>
            </w:r>
          </w:p>
        </w:tc>
      </w:tr>
      <w:tr w14:paraId="2526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5AD56336">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▲投标报价</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8DC774F">
            <w:pPr>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r>
              <w:rPr>
                <w:rFonts w:hint="eastAsia" w:ascii="仿宋" w:hAnsi="仿宋" w:eastAsia="仿宋" w:cs="仿宋"/>
                <w:color w:val="auto"/>
                <w:sz w:val="24"/>
                <w:szCs w:val="24"/>
                <w:highlight w:val="none"/>
              </w:rPr>
              <w:t>。</w:t>
            </w:r>
          </w:p>
          <w:p w14:paraId="04EFE418">
            <w:pPr>
              <w:snapToGrid w:val="0"/>
              <w:spacing w:line="24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2.投标报价包含验收费用。</w:t>
            </w:r>
          </w:p>
        </w:tc>
      </w:tr>
      <w:tr w14:paraId="6F197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4B848AB4">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▲验收标准、验收方法</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5FAC2596">
            <w:pPr>
              <w:spacing w:line="240" w:lineRule="auto"/>
              <w:rPr>
                <w:rFonts w:hint="eastAsia" w:ascii="仿宋" w:hAnsi="仿宋" w:eastAsia="仿宋" w:cs="仿宋"/>
                <w:color w:val="auto"/>
                <w:sz w:val="24"/>
                <w:szCs w:val="24"/>
                <w:highlight w:val="none"/>
              </w:rPr>
            </w:pPr>
            <w:bookmarkStart w:id="53" w:name="_Hlk117247198"/>
            <w:r>
              <w:rPr>
                <w:rFonts w:hint="eastAsia" w:ascii="仿宋" w:hAnsi="仿宋" w:eastAsia="仿宋" w:cs="仿宋"/>
                <w:color w:val="auto"/>
                <w:sz w:val="24"/>
                <w:szCs w:val="24"/>
                <w:highlight w:val="none"/>
              </w:rPr>
              <w:t>1.采购人在中标人交货并提交验收申请后组织验收。</w:t>
            </w:r>
          </w:p>
          <w:p w14:paraId="6A2ACDDF">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0728D0D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43DF6526">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4.中标人需负责安装、调试，并培训采购人的使用操作人员，直到设备运行符合技术要求，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使用人员熟练掌握全部功能及基本维修，采购人方可验收。</w:t>
            </w:r>
          </w:p>
          <w:p w14:paraId="6C383560">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5.采购人组织验收，中标人必须到场配合，验收合格后双方签署验收合格凭证。</w:t>
            </w:r>
          </w:p>
          <w:p w14:paraId="4364842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0CD4B2AD">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7.验收产生的费用中标人负责。</w:t>
            </w:r>
            <w:bookmarkEnd w:id="53"/>
          </w:p>
        </w:tc>
      </w:tr>
      <w:tr w14:paraId="05FE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98B1045">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bCs/>
                <w:color w:val="auto"/>
                <w:sz w:val="24"/>
                <w:szCs w:val="24"/>
                <w:highlight w:val="none"/>
              </w:rPr>
              <w:t>商务条款其他要求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B549372">
            <w:pPr>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1.中标人保证向采购人提供的货物是合格、全新、完整、未使用过的。到货前，中标人向采购人告知并提供必要的安装前准备材料。如安装过程中损坏了机房、控制间、设备间</w:t>
            </w:r>
            <w:r>
              <w:rPr>
                <w:rFonts w:hint="eastAsia" w:ascii="仿宋" w:hAnsi="仿宋" w:eastAsia="仿宋" w:cs="仿宋"/>
                <w:b w:val="0"/>
                <w:bCs w:val="0"/>
                <w:color w:val="auto"/>
                <w:sz w:val="24"/>
                <w:szCs w:val="24"/>
                <w:highlight w:val="none"/>
              </w:rPr>
              <w:t>装修，由中标人及厂家负责承担维修恢复工作。</w:t>
            </w:r>
          </w:p>
          <w:p w14:paraId="72A3E355">
            <w:pPr>
              <w:spacing w:line="240" w:lineRule="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采购人在货物交货验收阶段发现货物的技术参数指标达不到投标文</w:t>
            </w:r>
            <w:r>
              <w:rPr>
                <w:rFonts w:hint="eastAsia" w:ascii="仿宋" w:hAnsi="仿宋" w:eastAsia="仿宋" w:cs="仿宋"/>
                <w:color w:val="auto"/>
                <w:sz w:val="24"/>
                <w:szCs w:val="24"/>
                <w:highlight w:val="none"/>
              </w:rPr>
              <w:t>件响应的技术规格要求的，属虚假应标行为，采购人将终止合同拒收货物，追究该</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违约责任，赔偿采购人因采购时间延长造成采购人经济等方面损失，视情况采购人将违约情况上报政府采购监督管理部门。</w:t>
            </w:r>
          </w:p>
          <w:p w14:paraId="08F94791">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.供应商所投产品属于医疗器械管理范畴的，须按《医疗器械注册与备案管理办法》（国家市场监督管理总局令第47号）医疗器械注册与备案要求提供有效的医疗器械注册备案凭证或医疗器械注册证。</w:t>
            </w:r>
          </w:p>
          <w:p w14:paraId="43AC1DEB">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提供投标产品对外公开的产品彩页或说明书（体现技术参数，可以是从生产厂家网页下载的PDF或HTM文件或在食品药品监督管理部门备案的技术参数或国家认定的第三方检测机构出具的检测报告），以供评标时核对。当投标文件提供的仪器性能参数与该仪器生产商提供的性能参数不符合时，以后者为准。</w:t>
            </w:r>
          </w:p>
          <w:p w14:paraId="249255FE">
            <w:pPr>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.投标人</w:t>
            </w:r>
            <w:r>
              <w:rPr>
                <w:rFonts w:hint="eastAsia" w:ascii="仿宋" w:hAnsi="仿宋" w:eastAsia="仿宋" w:cs="仿宋"/>
                <w:b/>
                <w:color w:val="auto"/>
                <w:sz w:val="24"/>
                <w:szCs w:val="24"/>
                <w:highlight w:val="none"/>
                <w:lang w:val="en-US" w:eastAsia="zh-CN"/>
              </w:rPr>
              <w:t>如非产品制造商，</w:t>
            </w:r>
            <w:r>
              <w:rPr>
                <w:rFonts w:hint="eastAsia" w:ascii="仿宋" w:hAnsi="仿宋" w:eastAsia="仿宋" w:cs="仿宋"/>
                <w:b/>
                <w:color w:val="auto"/>
                <w:sz w:val="24"/>
                <w:szCs w:val="24"/>
                <w:highlight w:val="none"/>
              </w:rPr>
              <w:t>在供货时必须提供所投标产品生产厂家合法授权的厂家代理商出具的授权书，原件备查。</w:t>
            </w:r>
          </w:p>
        </w:tc>
      </w:tr>
      <w:tr w14:paraId="4AB11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118466AA">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三、核心产品</w:t>
            </w:r>
          </w:p>
        </w:tc>
      </w:tr>
      <w:tr w14:paraId="627D2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76E0674">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本标项核心产品为：</w:t>
            </w:r>
            <w:r>
              <w:rPr>
                <w:rFonts w:hint="eastAsia" w:ascii="仿宋" w:hAnsi="仿宋" w:eastAsia="仿宋" w:cs="仿宋"/>
                <w:b/>
                <w:color w:val="auto"/>
                <w:sz w:val="24"/>
                <w:szCs w:val="24"/>
                <w:highlight w:val="none"/>
                <w:lang w:eastAsia="zh-CN"/>
              </w:rPr>
              <w:t>手术显微镜</w:t>
            </w:r>
            <w:r>
              <w:rPr>
                <w:rFonts w:hint="eastAsia" w:ascii="仿宋" w:hAnsi="仿宋" w:eastAsia="仿宋" w:cs="仿宋"/>
                <w:b/>
                <w:color w:val="auto"/>
                <w:sz w:val="24"/>
                <w:szCs w:val="24"/>
                <w:highlight w:val="none"/>
              </w:rPr>
              <w:t>。</w:t>
            </w:r>
          </w:p>
        </w:tc>
      </w:tr>
      <w:tr w14:paraId="043E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8ABE87E">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四、其他要求</w:t>
            </w:r>
          </w:p>
        </w:tc>
      </w:tr>
      <w:tr w14:paraId="70297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10" w:type="dxa"/>
            <w:gridSpan w:val="3"/>
            <w:tcBorders>
              <w:top w:val="single" w:color="auto" w:sz="4" w:space="0"/>
              <w:left w:val="single" w:color="auto" w:sz="4" w:space="0"/>
              <w:bottom w:val="single" w:color="auto" w:sz="4" w:space="0"/>
              <w:right w:val="single" w:color="auto" w:sz="4" w:space="0"/>
            </w:tcBorders>
            <w:vAlign w:val="center"/>
          </w:tcPr>
          <w:p w14:paraId="5DAF000C">
            <w:pPr>
              <w:spacing w:line="24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其他技术及服务要求</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70A908F3">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投标人根据自身情况提供技术及项目实施方案（包含但不限于管理措施、具体实施流程、进度安排、质量保证措施、风险防范措施、安装调试等）。</w:t>
            </w:r>
          </w:p>
        </w:tc>
      </w:tr>
      <w:tr w14:paraId="2C51E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F0710EA">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五、本项目标的所属行业</w:t>
            </w:r>
          </w:p>
        </w:tc>
      </w:tr>
      <w:tr w14:paraId="6DA7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8662D8C">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DA4B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ED2877D">
            <w:pPr>
              <w:spacing w:line="24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六、进口产品说明</w:t>
            </w:r>
          </w:p>
        </w:tc>
      </w:tr>
      <w:tr w14:paraId="35198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3105855">
            <w:pPr>
              <w:spacing w:line="24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本标项“</w:t>
            </w:r>
            <w:r>
              <w:rPr>
                <w:rFonts w:hint="eastAsia" w:ascii="仿宋" w:hAnsi="仿宋" w:eastAsia="仿宋" w:cs="仿宋"/>
                <w:b/>
                <w:bCs/>
                <w:color w:val="auto"/>
                <w:sz w:val="24"/>
                <w:szCs w:val="24"/>
                <w:highlight w:val="none"/>
                <w:lang w:eastAsia="zh-CN"/>
              </w:rPr>
              <w:t>手术显微镜</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不</w:t>
            </w:r>
            <w:r>
              <w:rPr>
                <w:rFonts w:hint="eastAsia" w:ascii="仿宋" w:hAnsi="仿宋" w:eastAsia="仿宋" w:cs="仿宋"/>
                <w:b/>
                <w:bCs/>
                <w:color w:val="auto"/>
                <w:sz w:val="24"/>
                <w:szCs w:val="24"/>
                <w:highlight w:val="none"/>
              </w:rPr>
              <w:t>接受进口设备参与投标。</w:t>
            </w:r>
          </w:p>
        </w:tc>
      </w:tr>
      <w:bookmarkEnd w:id="52"/>
    </w:tbl>
    <w:p w14:paraId="424B32E1">
      <w:pPr>
        <w:rPr>
          <w:rFonts w:hint="eastAsia" w:ascii="仿宋" w:hAnsi="仿宋" w:eastAsia="仿宋" w:cs="仿宋"/>
          <w:color w:val="auto"/>
          <w:highlight w:val="none"/>
        </w:rPr>
      </w:pPr>
    </w:p>
    <w:p w14:paraId="25D26FD7">
      <w:pPr>
        <w:rPr>
          <w:rFonts w:hint="eastAsia" w:ascii="仿宋" w:hAnsi="仿宋" w:eastAsia="仿宋" w:cs="仿宋"/>
          <w:color w:val="auto"/>
          <w:highlight w:val="none"/>
        </w:rPr>
      </w:pPr>
    </w:p>
    <w:p w14:paraId="6A233C3E">
      <w:pPr>
        <w:pStyle w:val="3"/>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54" w:name="_Toc19686831"/>
      <w:bookmarkStart w:id="55" w:name="_Toc14005"/>
      <w:bookmarkStart w:id="56" w:name="_Toc9429"/>
      <w:r>
        <w:rPr>
          <w:rFonts w:hint="eastAsia" w:ascii="仿宋" w:hAnsi="仿宋" w:eastAsia="仿宋" w:cs="仿宋"/>
          <w:color w:val="auto"/>
          <w:highlight w:val="none"/>
        </w:rPr>
        <w:t>第三章  投标人须知</w:t>
      </w:r>
      <w:bookmarkEnd w:id="54"/>
      <w:bookmarkEnd w:id="55"/>
      <w:bookmarkEnd w:id="56"/>
    </w:p>
    <w:p w14:paraId="65732DC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投标人须知前附表</w:t>
      </w:r>
    </w:p>
    <w:tbl>
      <w:tblPr>
        <w:tblStyle w:val="45"/>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606"/>
      </w:tblGrid>
      <w:tr w14:paraId="78263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D9D9D9"/>
            <w:vAlign w:val="center"/>
          </w:tcPr>
          <w:p w14:paraId="2E170315">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8606" w:type="dxa"/>
            <w:tcBorders>
              <w:top w:val="single" w:color="auto" w:sz="4" w:space="0"/>
              <w:left w:val="single" w:color="auto" w:sz="4" w:space="0"/>
              <w:bottom w:val="single" w:color="auto" w:sz="4" w:space="0"/>
              <w:right w:val="single" w:color="auto" w:sz="4" w:space="0"/>
            </w:tcBorders>
            <w:shd w:val="clear" w:color="auto" w:fill="D9D9D9"/>
            <w:vAlign w:val="center"/>
          </w:tcPr>
          <w:p w14:paraId="05EFD02C">
            <w:pPr>
              <w:snapToGrid w:val="0"/>
              <w:spacing w:line="4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133A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46B02F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06" w:type="dxa"/>
            <w:tcBorders>
              <w:top w:val="single" w:color="auto" w:sz="4" w:space="0"/>
              <w:left w:val="single" w:color="auto" w:sz="4" w:space="0"/>
              <w:bottom w:val="single" w:color="auto" w:sz="4" w:space="0"/>
              <w:right w:val="single" w:color="auto" w:sz="4" w:space="0"/>
            </w:tcBorders>
            <w:vAlign w:val="center"/>
          </w:tcPr>
          <w:p w14:paraId="315C973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投标人的资格要求：详见招标公告。</w:t>
            </w:r>
          </w:p>
        </w:tc>
      </w:tr>
      <w:tr w14:paraId="0E686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7F060E7">
            <w:pPr>
              <w:spacing w:line="400" w:lineRule="exact"/>
              <w:jc w:val="center"/>
              <w:rPr>
                <w:rFonts w:hint="eastAsia" w:ascii="仿宋" w:hAnsi="仿宋" w:eastAsia="仿宋" w:cs="仿宋"/>
                <w:color w:val="auto"/>
                <w:sz w:val="24"/>
                <w:highlight w:val="none"/>
              </w:rPr>
            </w:pPr>
            <w:bookmarkStart w:id="57" w:name="_9.2"/>
            <w:bookmarkEnd w:id="57"/>
            <w:bookmarkStart w:id="58" w:name="_8.1"/>
            <w:bookmarkEnd w:id="58"/>
            <w:bookmarkStart w:id="59" w:name="_5"/>
            <w:bookmarkEnd w:id="59"/>
            <w:r>
              <w:rPr>
                <w:rFonts w:hint="eastAsia" w:ascii="仿宋" w:hAnsi="仿宋" w:eastAsia="仿宋" w:cs="仿宋"/>
                <w:color w:val="auto"/>
                <w:sz w:val="24"/>
                <w:highlight w:val="none"/>
              </w:rPr>
              <w:t>6.1</w:t>
            </w:r>
          </w:p>
        </w:tc>
        <w:tc>
          <w:tcPr>
            <w:tcW w:w="8606" w:type="dxa"/>
            <w:tcBorders>
              <w:top w:val="single" w:color="auto" w:sz="4" w:space="0"/>
              <w:left w:val="single" w:color="auto" w:sz="4" w:space="0"/>
              <w:bottom w:val="single" w:color="auto" w:sz="4" w:space="0"/>
              <w:right w:val="single" w:color="auto" w:sz="4" w:space="0"/>
            </w:tcBorders>
            <w:vAlign w:val="center"/>
          </w:tcPr>
          <w:p w14:paraId="29FA0131">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本项目是否接受联合体投标：详见招标公告。</w:t>
            </w:r>
          </w:p>
        </w:tc>
      </w:tr>
      <w:tr w14:paraId="5AE22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CA182E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06" w:type="dxa"/>
            <w:tcBorders>
              <w:top w:val="single" w:color="auto" w:sz="4" w:space="0"/>
              <w:left w:val="single" w:color="auto" w:sz="4" w:space="0"/>
              <w:bottom w:val="single" w:color="auto" w:sz="4" w:space="0"/>
              <w:right w:val="single" w:color="auto" w:sz="4" w:space="0"/>
            </w:tcBorders>
            <w:vAlign w:val="center"/>
          </w:tcPr>
          <w:p w14:paraId="7ADE5A09">
            <w:pPr>
              <w:pStyle w:val="14"/>
              <w:spacing w:line="400" w:lineRule="exact"/>
              <w:rPr>
                <w:rFonts w:hint="eastAsia" w:ascii="仿宋" w:hAnsi="仿宋" w:eastAsia="仿宋" w:cs="仿宋"/>
                <w:color w:val="auto"/>
                <w:sz w:val="24"/>
                <w:highlight w:val="none"/>
              </w:rPr>
            </w:pPr>
            <w:bookmarkStart w:id="60" w:name="_Hlk54105293"/>
            <w:r>
              <w:rPr>
                <w:rFonts w:hint="eastAsia" w:ascii="仿宋" w:hAnsi="仿宋" w:eastAsia="仿宋" w:cs="仿宋"/>
                <w:color w:val="auto"/>
                <w:sz w:val="24"/>
                <w:highlight w:val="none"/>
              </w:rPr>
              <w:t>如接受联合体投标，</w:t>
            </w:r>
            <w:bookmarkEnd w:id="60"/>
            <w:r>
              <w:rPr>
                <w:rFonts w:hint="eastAsia" w:ascii="仿宋" w:hAnsi="仿宋" w:eastAsia="仿宋" w:cs="仿宋"/>
                <w:color w:val="auto"/>
                <w:sz w:val="24"/>
                <w:highlight w:val="none"/>
              </w:rPr>
              <w:t>联合体投标要求如下：无</w:t>
            </w:r>
          </w:p>
        </w:tc>
      </w:tr>
      <w:tr w14:paraId="26EA0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F652A6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7.2</w:t>
            </w:r>
          </w:p>
        </w:tc>
        <w:tc>
          <w:tcPr>
            <w:tcW w:w="8606" w:type="dxa"/>
            <w:tcBorders>
              <w:top w:val="single" w:color="auto" w:sz="4" w:space="0"/>
              <w:left w:val="single" w:color="auto" w:sz="4" w:space="0"/>
              <w:bottom w:val="single" w:color="auto" w:sz="4" w:space="0"/>
              <w:right w:val="single" w:color="auto" w:sz="4" w:space="0"/>
            </w:tcBorders>
            <w:vAlign w:val="center"/>
          </w:tcPr>
          <w:p w14:paraId="003B2770">
            <w:pPr>
              <w:pStyle w:val="14"/>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不允许分包</w:t>
            </w:r>
          </w:p>
          <w:p w14:paraId="490DCBE6">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□允许分包</w:t>
            </w:r>
          </w:p>
          <w:p w14:paraId="2167E9A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29345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53705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A59200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p>
        </w:tc>
        <w:tc>
          <w:tcPr>
            <w:tcW w:w="8606" w:type="dxa"/>
            <w:tcBorders>
              <w:top w:val="single" w:color="auto" w:sz="4" w:space="0"/>
              <w:left w:val="single" w:color="auto" w:sz="4" w:space="0"/>
              <w:bottom w:val="single" w:color="auto" w:sz="4" w:space="0"/>
              <w:right w:val="single" w:color="auto" w:sz="4" w:space="0"/>
            </w:tcBorders>
            <w:vAlign w:val="center"/>
          </w:tcPr>
          <w:p w14:paraId="4C634A8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不组织现场考察</w:t>
            </w:r>
          </w:p>
          <w:p w14:paraId="493E7D4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□组织现场考察：</w:t>
            </w:r>
          </w:p>
          <w:p w14:paraId="068303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08D3479">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B2E2D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52AEA75">
            <w:pPr>
              <w:snapToGrid w:val="0"/>
              <w:spacing w:line="40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5B7468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不组织召开开标前答疑会</w:t>
            </w:r>
          </w:p>
          <w:p w14:paraId="7E7CCCE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□组织召开开标前答疑会</w:t>
            </w:r>
          </w:p>
          <w:p w14:paraId="5F40795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会议开始时间：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4AB42B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12B3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restart"/>
            <w:tcBorders>
              <w:top w:val="single" w:color="auto" w:sz="4" w:space="0"/>
              <w:left w:val="single" w:color="auto" w:sz="4" w:space="0"/>
              <w:right w:val="single" w:color="auto" w:sz="4" w:space="0"/>
            </w:tcBorders>
            <w:vAlign w:val="center"/>
          </w:tcPr>
          <w:p w14:paraId="1AA09916">
            <w:pPr>
              <w:spacing w:line="400" w:lineRule="exact"/>
              <w:jc w:val="center"/>
              <w:rPr>
                <w:rFonts w:hint="eastAsia" w:ascii="仿宋" w:hAnsi="仿宋" w:eastAsia="仿宋" w:cs="仿宋"/>
                <w:color w:val="auto"/>
                <w:sz w:val="24"/>
                <w:highlight w:val="none"/>
              </w:rPr>
            </w:pPr>
            <w:bookmarkStart w:id="61" w:name="_13.1"/>
            <w:bookmarkEnd w:id="61"/>
            <w:r>
              <w:rPr>
                <w:rFonts w:hint="eastAsia" w:ascii="仿宋" w:hAnsi="仿宋" w:eastAsia="仿宋" w:cs="仿宋"/>
                <w:color w:val="auto"/>
                <w:sz w:val="24"/>
                <w:highlight w:val="none"/>
              </w:rPr>
              <w:t>13.</w:t>
            </w:r>
            <w:bookmarkStart w:id="62" w:name="_Hlt19632543"/>
            <w:r>
              <w:rPr>
                <w:rFonts w:hint="eastAsia" w:ascii="仿宋" w:hAnsi="仿宋" w:eastAsia="仿宋" w:cs="仿宋"/>
                <w:color w:val="auto"/>
                <w:sz w:val="24"/>
                <w:highlight w:val="none"/>
              </w:rPr>
              <w:t>1</w:t>
            </w:r>
            <w:bookmarkEnd w:id="62"/>
          </w:p>
        </w:tc>
        <w:tc>
          <w:tcPr>
            <w:tcW w:w="8606" w:type="dxa"/>
            <w:tcBorders>
              <w:top w:val="single" w:color="auto" w:sz="4" w:space="0"/>
              <w:left w:val="single" w:color="auto" w:sz="4" w:space="0"/>
              <w:bottom w:val="single" w:color="auto" w:sz="4" w:space="0"/>
              <w:right w:val="single" w:color="auto" w:sz="4" w:space="0"/>
            </w:tcBorders>
            <w:vAlign w:val="center"/>
          </w:tcPr>
          <w:p w14:paraId="693DCC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报价文件：</w:t>
            </w:r>
          </w:p>
          <w:p w14:paraId="09C54B0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Cs/>
                <w:color w:val="auto"/>
                <w:sz w:val="24"/>
                <w:highlight w:val="none"/>
              </w:rPr>
              <w:t xml:space="preserve">开标一览表（格式后附）； </w:t>
            </w:r>
            <w:r>
              <w:rPr>
                <w:rFonts w:hint="eastAsia" w:ascii="仿宋" w:hAnsi="仿宋" w:eastAsia="仿宋" w:cs="仿宋"/>
                <w:b/>
                <w:color w:val="auto"/>
                <w:sz w:val="24"/>
                <w:highlight w:val="none"/>
              </w:rPr>
              <w:t>（必须提供，否则作无效投标处理）</w:t>
            </w:r>
          </w:p>
          <w:p w14:paraId="5DE9AAC4">
            <w:pPr>
              <w:snapToGrid w:val="0"/>
              <w:spacing w:line="400" w:lineRule="exact"/>
              <w:jc w:val="lef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Cs/>
                <w:color w:val="auto"/>
                <w:sz w:val="24"/>
                <w:highlight w:val="none"/>
              </w:rPr>
              <w:t xml:space="preserve">报价明细表（格式后附）； </w:t>
            </w:r>
            <w:r>
              <w:rPr>
                <w:rFonts w:hint="eastAsia" w:ascii="仿宋" w:hAnsi="仿宋" w:eastAsia="仿宋" w:cs="仿宋"/>
                <w:b/>
                <w:color w:val="auto"/>
                <w:sz w:val="24"/>
                <w:highlight w:val="none"/>
              </w:rPr>
              <w:t>（必须提供，否则作无效投标处理）</w:t>
            </w:r>
          </w:p>
          <w:p w14:paraId="50AFEA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Cs/>
                <w:color w:val="auto"/>
                <w:sz w:val="24"/>
                <w:highlight w:val="none"/>
              </w:rPr>
              <w:t>投标</w:t>
            </w:r>
            <w:r>
              <w:rPr>
                <w:rFonts w:hint="eastAsia" w:ascii="仿宋" w:hAnsi="仿宋" w:eastAsia="仿宋" w:cs="仿宋"/>
                <w:color w:val="auto"/>
                <w:sz w:val="24"/>
                <w:highlight w:val="none"/>
              </w:rPr>
              <w:t>人针对报价需要说明的其他文件和说明（格式自拟）。</w:t>
            </w:r>
          </w:p>
          <w:p w14:paraId="6790F37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注：开标一览表必须由法定代表人或者委托代理人在规定签章处逐一签字（或者电子签名）并加盖投标人公章（或电子签章），否则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4AAC4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445506EA">
            <w:pPr>
              <w:spacing w:line="400" w:lineRule="exact"/>
              <w:ind w:firstLine="480" w:firstLineChars="200"/>
              <w:rPr>
                <w:rFonts w:hint="eastAsia" w:ascii="仿宋" w:hAnsi="仿宋" w:eastAsia="仿宋" w:cs="仿宋"/>
                <w:color w:val="auto"/>
                <w:sz w:val="24"/>
                <w:highlight w:val="none"/>
              </w:rPr>
            </w:pPr>
            <w:bookmarkStart w:id="63" w:name="_13.2"/>
            <w:bookmarkEnd w:id="63"/>
          </w:p>
        </w:tc>
        <w:tc>
          <w:tcPr>
            <w:tcW w:w="8606" w:type="dxa"/>
            <w:tcBorders>
              <w:top w:val="single" w:color="auto" w:sz="4" w:space="0"/>
              <w:left w:val="single" w:color="auto" w:sz="4" w:space="0"/>
              <w:bottom w:val="single" w:color="auto" w:sz="4" w:space="0"/>
              <w:right w:val="single" w:color="auto" w:sz="4" w:space="0"/>
            </w:tcBorders>
            <w:vAlign w:val="center"/>
          </w:tcPr>
          <w:p w14:paraId="585BB68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7D1C3DE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color w:val="auto"/>
                <w:sz w:val="24"/>
                <w:highlight w:val="none"/>
              </w:rPr>
              <w:t>投标人为法人或者其他组织的提供营业执照等证明文件（如营业执照或者事业单位法人证书或者</w:t>
            </w:r>
            <w:r>
              <w:rPr>
                <w:rStyle w:val="87"/>
                <w:rFonts w:hint="eastAsia" w:ascii="仿宋" w:hAnsi="仿宋" w:eastAsia="仿宋" w:cs="仿宋"/>
                <w:color w:val="auto"/>
                <w:sz w:val="24"/>
                <w:szCs w:val="24"/>
                <w:highlight w:val="none"/>
              </w:rPr>
              <w:t>执业许可证</w:t>
            </w:r>
            <w:r>
              <w:rPr>
                <w:rFonts w:hint="eastAsia" w:ascii="仿宋" w:hAnsi="仿宋" w:eastAsia="仿宋" w:cs="仿宋"/>
                <w:color w:val="auto"/>
                <w:sz w:val="24"/>
                <w:highlight w:val="none"/>
              </w:rPr>
              <w:t>等），投标人为自然人的，提供身份证扫描件；（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09E58ADF">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供应商按《医疗器械监督管理条例》（国务院令第739号）医疗器械分类管理要求具备有效的医疗器械经营备案凭证或者经营许可证（符合《医疗器械监督管理条例》（国务院令第739号）第四十一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3A978E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color w:val="auto"/>
                <w:sz w:val="24"/>
                <w:highlight w:val="none"/>
              </w:rPr>
              <w:t>投标人依法缴纳税收的相关材料（2025年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至投标文件提交截止时间内任意1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bCs/>
                <w:color w:val="auto"/>
                <w:sz w:val="24"/>
                <w:highlight w:val="none"/>
              </w:rPr>
              <w:t>（必须提供，否则作无效投标处理）</w:t>
            </w:r>
          </w:p>
          <w:p w14:paraId="3697FBC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投标人依法缴纳社会保障资金的相关材料（2025年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月至投标文件提交截止时间内任意1个月的依法缴纳社会保障资金的缴费凭证复印件；依法不需要缴纳社会保障资金的供应商，必须提供相应文件证明不需要缴纳社会保障资金。从成立之日起到</w:t>
            </w:r>
            <w:bookmarkStart w:id="64" w:name="_Hlk166139661"/>
            <w:r>
              <w:rPr>
                <w:rFonts w:hint="eastAsia" w:ascii="仿宋" w:hAnsi="仿宋" w:eastAsia="仿宋" w:cs="仿宋"/>
                <w:color w:val="auto"/>
                <w:sz w:val="24"/>
                <w:highlight w:val="none"/>
              </w:rPr>
              <w:t>投标文件提交截止时间</w:t>
            </w:r>
            <w:bookmarkEnd w:id="64"/>
            <w:r>
              <w:rPr>
                <w:rFonts w:hint="eastAsia" w:ascii="仿宋" w:hAnsi="仿宋" w:eastAsia="仿宋" w:cs="仿宋"/>
                <w:color w:val="auto"/>
                <w:sz w:val="24"/>
                <w:highlight w:val="none"/>
              </w:rPr>
              <w:t>止不足要求月数的只需提供从成立之日起的依法缴纳社会保障资金的相应证明文件）；（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D85F0A5">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投标人财务状况报告（应提供</w:t>
            </w:r>
            <w:r>
              <w:rPr>
                <w:rFonts w:hint="eastAsia" w:ascii="仿宋" w:hAnsi="仿宋" w:eastAsia="仿宋" w:cs="仿宋"/>
                <w:b/>
                <w:bCs/>
                <w:color w:val="auto"/>
                <w:sz w:val="24"/>
                <w:highlight w:val="none"/>
              </w:rPr>
              <w:t>2024年</w:t>
            </w:r>
            <w:r>
              <w:rPr>
                <w:rFonts w:hint="eastAsia" w:ascii="仿宋" w:hAnsi="仿宋" w:eastAsia="仿宋" w:cs="仿宋"/>
                <w:color w:val="auto"/>
                <w:sz w:val="24"/>
                <w:highlight w:val="none"/>
              </w:rPr>
              <w:t>的财务报表或经审计的财务报告或者银行出具的资信证明扫描件；供应商属于成立时间在规定年度之后的，需提供成立之日起至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提交截止时间前的月报表或银行出具的资信证明；资信证明应在有效期内，未注明有效期的，银行出具时间至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提交截止时间不超过一年。）；（</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DEBC63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投标人直接控股、管理关系信息表（格式后附）；（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105888B">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投标声明（格式后附）；（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F46974E">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w:t>
            </w:r>
          </w:p>
          <w:p w14:paraId="72065BB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153E24F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color w:val="auto"/>
                <w:sz w:val="24"/>
                <w:highlight w:val="none"/>
              </w:rPr>
              <w:t xml:space="preserve"> 以上标明“必须提供”的材料，必须加盖投标人公章（或电子签章）；必须提供的材料在第六章“投标文件格式”中有要求法定代表人或委托代理人签字的，必须由法定代表人或委托代理人签字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，否则按无效投标处理。</w:t>
            </w:r>
          </w:p>
          <w:p w14:paraId="4C1900A3">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2.投标声明必须由法定代表人</w:t>
            </w:r>
            <w:r>
              <w:rPr>
                <w:rFonts w:hint="eastAsia" w:ascii="仿宋" w:hAnsi="仿宋" w:eastAsia="仿宋" w:cs="仿宋"/>
                <w:b/>
                <w:bCs/>
                <w:color w:val="auto"/>
                <w:sz w:val="24"/>
                <w:highlight w:val="none"/>
              </w:rPr>
              <w:t>或委托代理人</w:t>
            </w:r>
            <w:r>
              <w:rPr>
                <w:rFonts w:hint="eastAsia" w:ascii="仿宋" w:hAnsi="仿宋" w:eastAsia="仿宋" w:cs="仿宋"/>
                <w:b/>
                <w:color w:val="auto"/>
                <w:sz w:val="24"/>
                <w:highlight w:val="none"/>
              </w:rPr>
              <w:t>在规定签章处签字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并加盖投标人公章（或电子签章），否则作无效投标处理。</w:t>
            </w:r>
          </w:p>
          <w:p w14:paraId="1C374D67">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3.投标人直接控股、管理关系信息表必须由法定代表人或者委托代理人在规定签章处签字（或者电子签名）并加盖投标人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EFFF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0F621795">
            <w:pPr>
              <w:spacing w:line="400" w:lineRule="exact"/>
              <w:ind w:firstLine="480" w:firstLineChars="200"/>
              <w:rPr>
                <w:rFonts w:hint="eastAsia" w:ascii="仿宋" w:hAnsi="仿宋" w:eastAsia="仿宋" w:cs="仿宋"/>
                <w:color w:val="auto"/>
                <w:sz w:val="24"/>
                <w:highlight w:val="none"/>
              </w:rPr>
            </w:pPr>
          </w:p>
        </w:tc>
        <w:tc>
          <w:tcPr>
            <w:tcW w:w="8606" w:type="dxa"/>
            <w:tcBorders>
              <w:top w:val="single" w:color="auto" w:sz="4" w:space="0"/>
              <w:left w:val="single" w:color="auto" w:sz="4" w:space="0"/>
              <w:bottom w:val="single" w:color="auto" w:sz="4" w:space="0"/>
              <w:right w:val="single" w:color="auto" w:sz="4" w:space="0"/>
            </w:tcBorders>
            <w:vAlign w:val="center"/>
          </w:tcPr>
          <w:p w14:paraId="4F75522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商务文件：</w:t>
            </w:r>
          </w:p>
          <w:p w14:paraId="4E49BDD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color w:val="auto"/>
                <w:sz w:val="24"/>
                <w:highlight w:val="none"/>
              </w:rPr>
              <w:t>无串通投标行为的承诺函（格式后附）；（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60C057C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投标函（格式后附）；（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3958E9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投标保证金提交凭证；</w:t>
            </w:r>
            <w:r>
              <w:rPr>
                <w:rFonts w:hint="eastAsia" w:ascii="仿宋" w:hAnsi="仿宋" w:eastAsia="仿宋" w:cs="仿宋"/>
                <w:b/>
                <w:color w:val="auto"/>
                <w:sz w:val="24"/>
                <w:highlight w:val="none"/>
              </w:rPr>
              <w:t>（必须提供，否则作无效投标处理）</w:t>
            </w:r>
          </w:p>
          <w:p w14:paraId="16DD24BD">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color w:val="auto"/>
                <w:sz w:val="24"/>
                <w:highlight w:val="none"/>
              </w:rPr>
              <w:t>法定代表人身份证明及法定代表人有效身份证正反面复印件（格式后附）；（</w:t>
            </w:r>
            <w:r>
              <w:rPr>
                <w:rFonts w:hint="eastAsia" w:ascii="仿宋" w:hAnsi="仿宋" w:eastAsia="仿宋" w:cs="仿宋"/>
                <w:b/>
                <w:bCs/>
                <w:color w:val="auto"/>
                <w:sz w:val="24"/>
                <w:highlight w:val="none"/>
              </w:rPr>
              <w:t>除自然人投标外</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29825EE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法定代表人授权委托书及委托代理人有效身份证正反面复印件（格式后附）；（</w:t>
            </w:r>
            <w:r>
              <w:rPr>
                <w:rFonts w:hint="eastAsia" w:ascii="仿宋" w:hAnsi="仿宋" w:eastAsia="仿宋" w:cs="仿宋"/>
                <w:b/>
                <w:color w:val="auto"/>
                <w:sz w:val="24"/>
                <w:highlight w:val="none"/>
              </w:rPr>
              <w:t>委托时必须提供，否则作无效投标处理</w:t>
            </w:r>
            <w:r>
              <w:rPr>
                <w:rFonts w:hint="eastAsia" w:ascii="仿宋" w:hAnsi="仿宋" w:eastAsia="仿宋" w:cs="仿宋"/>
                <w:color w:val="auto"/>
                <w:sz w:val="24"/>
                <w:highlight w:val="none"/>
              </w:rPr>
              <w:t>）</w:t>
            </w:r>
          </w:p>
          <w:p w14:paraId="46322C0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6.</w:t>
            </w:r>
            <w:r>
              <w:rPr>
                <w:rFonts w:hint="eastAsia" w:ascii="仿宋" w:hAnsi="仿宋" w:eastAsia="仿宋" w:cs="仿宋"/>
                <w:color w:val="auto"/>
                <w:sz w:val="24"/>
                <w:highlight w:val="none"/>
              </w:rPr>
              <w:t>商务条款偏离表（格式后附）；（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47301A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7.</w:t>
            </w:r>
            <w:r>
              <w:rPr>
                <w:rFonts w:hint="eastAsia" w:ascii="仿宋" w:hAnsi="仿宋" w:eastAsia="仿宋" w:cs="仿宋"/>
                <w:color w:val="auto"/>
                <w:sz w:val="24"/>
                <w:highlight w:val="none"/>
              </w:rPr>
              <w:t>投标人情况介绍（格式自拟）；</w:t>
            </w:r>
          </w:p>
          <w:p w14:paraId="3E64D4A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8.</w:t>
            </w:r>
            <w:r>
              <w:rPr>
                <w:rFonts w:hint="eastAsia" w:ascii="仿宋" w:hAnsi="仿宋" w:eastAsia="仿宋" w:cs="仿宋"/>
                <w:color w:val="auto"/>
                <w:sz w:val="24"/>
                <w:highlight w:val="none"/>
              </w:rPr>
              <w:t>中小企业声明函（格式后附）；（如有，请提供）</w:t>
            </w:r>
            <w:r>
              <w:rPr>
                <w:rFonts w:hint="eastAsia" w:ascii="仿宋" w:hAnsi="仿宋" w:eastAsia="仿宋" w:cs="仿宋"/>
                <w:b/>
                <w:color w:val="auto"/>
                <w:sz w:val="24"/>
                <w:highlight w:val="none"/>
              </w:rPr>
              <w:t xml:space="preserve"> </w:t>
            </w:r>
          </w:p>
          <w:p w14:paraId="1581E931">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9.</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847FC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29B6920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1.投标函必须由法定代表人或者委托代理人在规定签章处逐一签字（或者电子签名）并加盖投标人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p w14:paraId="46787C3E">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2.法定代表人授权委托书必须由法定代表人及委托代理人签字（或者电子签名）并加盖投标人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，否则作无效投标处理。</w:t>
            </w:r>
          </w:p>
          <w:p w14:paraId="602F9CAF">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AA7F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21DE0A27">
            <w:pPr>
              <w:spacing w:line="400" w:lineRule="exact"/>
              <w:ind w:firstLine="480" w:firstLineChars="200"/>
              <w:rPr>
                <w:rFonts w:hint="eastAsia" w:ascii="仿宋" w:hAnsi="仿宋" w:eastAsia="仿宋" w:cs="仿宋"/>
                <w:color w:val="auto"/>
                <w:sz w:val="24"/>
                <w:highlight w:val="none"/>
              </w:rPr>
            </w:pPr>
            <w:bookmarkStart w:id="65" w:name="_13.3"/>
            <w:bookmarkEnd w:id="65"/>
          </w:p>
        </w:tc>
        <w:tc>
          <w:tcPr>
            <w:tcW w:w="8606" w:type="dxa"/>
            <w:tcBorders>
              <w:top w:val="single" w:color="auto" w:sz="4" w:space="0"/>
              <w:left w:val="single" w:color="auto" w:sz="4" w:space="0"/>
              <w:bottom w:val="single" w:color="auto" w:sz="4" w:space="0"/>
              <w:right w:val="single" w:color="auto" w:sz="4" w:space="0"/>
            </w:tcBorders>
            <w:vAlign w:val="center"/>
          </w:tcPr>
          <w:p w14:paraId="0BB39A2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技术文件：</w:t>
            </w:r>
          </w:p>
          <w:p w14:paraId="69E7D72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color w:val="auto"/>
                <w:sz w:val="24"/>
                <w:highlight w:val="none"/>
              </w:rPr>
              <w:t>技术偏离表（格式后附）；（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41677A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设备性能配置清单（格式后附）；（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7E99BA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 xml:space="preserve">售后服务承诺（格式自拟）； </w:t>
            </w:r>
          </w:p>
          <w:p w14:paraId="512D1BB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4.项目实施方案（格式自拟）；</w:t>
            </w:r>
          </w:p>
          <w:p w14:paraId="5D418E28">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A39405">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0A87227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7B8F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57DED9C">
            <w:pPr>
              <w:spacing w:line="400" w:lineRule="exact"/>
              <w:jc w:val="center"/>
              <w:rPr>
                <w:rFonts w:hint="eastAsia" w:ascii="仿宋" w:hAnsi="仿宋" w:eastAsia="仿宋" w:cs="仿宋"/>
                <w:color w:val="auto"/>
                <w:sz w:val="24"/>
                <w:highlight w:val="none"/>
              </w:rPr>
            </w:pPr>
            <w:bookmarkStart w:id="66" w:name="_13.5"/>
            <w:bookmarkEnd w:id="66"/>
            <w:bookmarkStart w:id="67" w:name="_13.4"/>
            <w:bookmarkEnd w:id="67"/>
            <w:r>
              <w:rPr>
                <w:rFonts w:hint="eastAsia" w:ascii="仿宋" w:hAnsi="仿宋" w:eastAsia="仿宋" w:cs="仿宋"/>
                <w:color w:val="auto"/>
                <w:sz w:val="24"/>
                <w:highlight w:val="none"/>
              </w:rPr>
              <w:t>13.2</w:t>
            </w:r>
          </w:p>
        </w:tc>
        <w:tc>
          <w:tcPr>
            <w:tcW w:w="8606" w:type="dxa"/>
            <w:tcBorders>
              <w:top w:val="single" w:color="auto" w:sz="4" w:space="0"/>
              <w:left w:val="single" w:color="auto" w:sz="4" w:space="0"/>
              <w:bottom w:val="single" w:color="auto" w:sz="4" w:space="0"/>
              <w:right w:val="single" w:color="auto" w:sz="4" w:space="0"/>
            </w:tcBorders>
            <w:vAlign w:val="center"/>
          </w:tcPr>
          <w:p w14:paraId="5B7995A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投标文件编制要求：</w:t>
            </w:r>
          </w:p>
          <w:p w14:paraId="1360557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投标文件应按报价文件、资格证明文件、商务文件、技术文件分别编制，报价文件、资格证明文件分别生成电子文件，商务文件和技术文件按顺序合并生成电子文件。</w:t>
            </w:r>
          </w:p>
          <w:p w14:paraId="1371B5C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提交方式：本项目为全流程电子化项目，通过广西政府采购云平台（https://www.gcy.zfcg.gxzf.gov.cn/）实行在线电子投标，潜在投标人应先安装“政采云电子交易客户端”（请自行前往广西政府采购云平台进行下载），并按照本项目招标文件和广西政府采购云平台的要求编制、加密后在投标文件提交截止时间前通过网络上传至广西政府采购云平台，潜在投标人在广西政府采购云平台提交电子版投标文件时，请填写参加远程开标活动经办人联系方式。</w:t>
            </w:r>
          </w:p>
          <w:p w14:paraId="77620A0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潜在投标人将无法参与本项目政府采购活动，潜在投标人应当在投标文件提交截止时间前，完成电子交易平台上的CA数字证书办理及投标文件的提交。完成CA数字证书办理预计7日左右，潜在投标人只需办理其中一家CA数字证书及签章，建议各潜在投标人抓紧时间办理，且广西政府采购云平台电子投标具体操作流程如不懂，请提前熟悉，如有问题可拨打广西政府采购云平台客户服务热线95763进行咨询。</w:t>
            </w:r>
          </w:p>
          <w:p w14:paraId="7014FD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（3）为确保网上操作合法、有效和安全，请潜在投标人确保在电子投标过程中能够对相关数据电文进行加密和使用电子签章，妥善保管CA数字证书并使用有效的CA数字证书参与整个招标活动。</w:t>
            </w:r>
          </w:p>
        </w:tc>
      </w:tr>
      <w:tr w14:paraId="1B02F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C3C79D5">
            <w:pPr>
              <w:spacing w:line="400" w:lineRule="exact"/>
              <w:jc w:val="center"/>
              <w:rPr>
                <w:rFonts w:hint="eastAsia" w:ascii="仿宋" w:hAnsi="仿宋" w:eastAsia="仿宋" w:cs="仿宋"/>
                <w:color w:val="auto"/>
                <w:sz w:val="24"/>
                <w:highlight w:val="none"/>
              </w:rPr>
            </w:pPr>
            <w:bookmarkStart w:id="68" w:name="_16.2"/>
            <w:bookmarkEnd w:id="68"/>
            <w:r>
              <w:rPr>
                <w:rFonts w:hint="eastAsia" w:ascii="仿宋" w:hAnsi="仿宋" w:eastAsia="仿宋" w:cs="仿宋"/>
                <w:color w:val="auto"/>
                <w:sz w:val="24"/>
                <w:highlight w:val="none"/>
              </w:rPr>
              <w:t>16</w:t>
            </w:r>
            <w:bookmarkStart w:id="69" w:name="_Hlt19194067"/>
            <w:bookmarkStart w:id="70" w:name="_Hlt19693758"/>
            <w:bookmarkStart w:id="71" w:name="_Hlt19693759"/>
            <w:bookmarkStart w:id="72" w:name="_Hlt19194066"/>
            <w:r>
              <w:rPr>
                <w:rFonts w:hint="eastAsia" w:ascii="仿宋" w:hAnsi="仿宋" w:eastAsia="仿宋" w:cs="仿宋"/>
                <w:color w:val="auto"/>
                <w:sz w:val="24"/>
                <w:highlight w:val="none"/>
              </w:rPr>
              <w:t>.</w:t>
            </w:r>
            <w:bookmarkEnd w:id="69"/>
            <w:bookmarkEnd w:id="70"/>
            <w:bookmarkEnd w:id="71"/>
            <w:bookmarkEnd w:id="72"/>
            <w:r>
              <w:rPr>
                <w:rFonts w:hint="eastAsia" w:ascii="仿宋" w:hAnsi="仿宋" w:eastAsia="仿宋" w:cs="仿宋"/>
                <w:color w:val="auto"/>
                <w:sz w:val="24"/>
                <w:highlight w:val="none"/>
              </w:rPr>
              <w:t>2</w:t>
            </w:r>
          </w:p>
        </w:tc>
        <w:tc>
          <w:tcPr>
            <w:tcW w:w="8606" w:type="dxa"/>
            <w:tcBorders>
              <w:top w:val="single" w:color="auto" w:sz="4" w:space="0"/>
              <w:left w:val="single" w:color="auto" w:sz="4" w:space="0"/>
              <w:bottom w:val="single" w:color="auto" w:sz="4" w:space="0"/>
              <w:right w:val="single" w:color="auto" w:sz="4" w:space="0"/>
            </w:tcBorders>
            <w:vAlign w:val="center"/>
          </w:tcPr>
          <w:p w14:paraId="1FF42EB2">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r>
              <w:rPr>
                <w:rFonts w:hint="eastAsia" w:ascii="仿宋" w:hAnsi="仿宋" w:eastAsia="仿宋" w:cs="仿宋"/>
                <w:color w:val="auto"/>
                <w:sz w:val="24"/>
                <w:highlight w:val="none"/>
              </w:rPr>
              <w:t>。</w:t>
            </w:r>
          </w:p>
          <w:p w14:paraId="219E5866">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☑投标报价包含验收费用</w:t>
            </w:r>
          </w:p>
          <w:p w14:paraId="46BC859E">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□投标报价不包含验收费用</w:t>
            </w:r>
          </w:p>
        </w:tc>
      </w:tr>
      <w:tr w14:paraId="13A0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CB46EFA">
            <w:pPr>
              <w:spacing w:line="400" w:lineRule="exact"/>
              <w:jc w:val="center"/>
              <w:rPr>
                <w:rFonts w:hint="eastAsia" w:ascii="仿宋" w:hAnsi="仿宋" w:eastAsia="仿宋" w:cs="仿宋"/>
                <w:color w:val="auto"/>
                <w:sz w:val="24"/>
                <w:highlight w:val="none"/>
              </w:rPr>
            </w:pPr>
            <w:bookmarkStart w:id="73" w:name="_17.1"/>
            <w:bookmarkEnd w:id="73"/>
            <w:r>
              <w:rPr>
                <w:rFonts w:hint="eastAsia" w:ascii="仿宋" w:hAnsi="仿宋" w:eastAsia="仿宋" w:cs="仿宋"/>
                <w:color w:val="auto"/>
                <w:sz w:val="24"/>
                <w:highlight w:val="none"/>
              </w:rPr>
              <w:t>17.2</w:t>
            </w:r>
          </w:p>
        </w:tc>
        <w:tc>
          <w:tcPr>
            <w:tcW w:w="8606" w:type="dxa"/>
            <w:tcBorders>
              <w:top w:val="single" w:color="auto" w:sz="4" w:space="0"/>
              <w:left w:val="single" w:color="auto" w:sz="4" w:space="0"/>
              <w:bottom w:val="single" w:color="auto" w:sz="4" w:space="0"/>
              <w:right w:val="single" w:color="auto" w:sz="4" w:space="0"/>
            </w:tcBorders>
            <w:vAlign w:val="center"/>
          </w:tcPr>
          <w:p w14:paraId="603A7EF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投标有效期：自投标截止之日起 120日。</w:t>
            </w:r>
          </w:p>
        </w:tc>
      </w:tr>
      <w:tr w14:paraId="4D662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D2B1DE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8606" w:type="dxa"/>
            <w:tcBorders>
              <w:top w:val="single" w:color="auto" w:sz="4" w:space="0"/>
              <w:left w:val="single" w:color="auto" w:sz="4" w:space="0"/>
              <w:bottom w:val="single" w:color="auto" w:sz="4" w:space="0"/>
              <w:right w:val="single" w:color="auto" w:sz="4" w:space="0"/>
            </w:tcBorders>
            <w:vAlign w:val="center"/>
          </w:tcPr>
          <w:p w14:paraId="44E0FD64">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投标保证金金额：人民币大写叁万元整（￥30000.00）</w:t>
            </w:r>
            <w:r>
              <w:rPr>
                <w:rFonts w:hint="eastAsia" w:ascii="仿宋" w:hAnsi="仿宋" w:eastAsia="仿宋" w:cs="仿宋"/>
                <w:b/>
                <w:bCs/>
                <w:color w:val="auto"/>
                <w:kern w:val="0"/>
                <w:sz w:val="24"/>
                <w:highlight w:val="none"/>
              </w:rPr>
              <w:t>。</w:t>
            </w:r>
          </w:p>
          <w:p w14:paraId="073607BA">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w:t>
            </w:r>
          </w:p>
          <w:p w14:paraId="1037F6C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相关要求：</w:t>
            </w:r>
          </w:p>
          <w:p w14:paraId="36C0F234">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1.采用银行转账方式的，在投标文件递交截至时间前交至采购代理机构指定账户并且到账银行转账底单扫描件作为投标保证金提交凭证，</w:t>
            </w:r>
            <w:r>
              <w:rPr>
                <w:rFonts w:hint="eastAsia" w:ascii="仿宋" w:hAnsi="仿宋" w:eastAsia="仿宋" w:cs="仿宋"/>
                <w:b/>
                <w:bCs/>
                <w:color w:val="auto"/>
                <w:kern w:val="0"/>
                <w:sz w:val="24"/>
                <w:highlight w:val="none"/>
              </w:rPr>
              <w:t>放置于投标文件中，否则视为无效投标保证金。</w:t>
            </w:r>
          </w:p>
          <w:p w14:paraId="76C0CDE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用支票、汇票、本票或者金融、担保机构出具的保函、保险机构的保单等方式的，投标人必须将支票、汇票、本票或者金融、担保机构出具的保函（纸质保函）、保险机构保单的原件在投标文件递交截至时间前单独密封递交至广西壮族自治区公共资源交易中心开标室（具体详见当天大厅显示屏）提交给采购人或代理机构，</w:t>
            </w:r>
            <w:r>
              <w:rPr>
                <w:rFonts w:hint="eastAsia" w:ascii="仿宋" w:hAnsi="仿宋" w:eastAsia="仿宋" w:cs="仿宋"/>
                <w:color w:val="auto"/>
                <w:sz w:val="24"/>
                <w:highlight w:val="none"/>
              </w:rPr>
              <w:t>由采购人或者采购代理机构向投标人出具回执，并妥善保管。</w:t>
            </w:r>
            <w:r>
              <w:rPr>
                <w:rFonts w:hint="eastAsia" w:ascii="仿宋" w:hAnsi="仿宋" w:eastAsia="仿宋" w:cs="仿宋"/>
                <w:color w:val="auto"/>
                <w:kern w:val="0"/>
                <w:sz w:val="24"/>
                <w:highlight w:val="none"/>
              </w:rPr>
              <w:t>原件扫描件作为投标保证金提交凭证，放置于投标文件中，否则视为无效投标保证金。</w:t>
            </w:r>
          </w:p>
          <w:p w14:paraId="717375E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3.代理机构指定账户：</w:t>
            </w:r>
          </w:p>
          <w:p w14:paraId="046FB20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1CDA848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4394F82A">
            <w:pPr>
              <w:spacing w:line="40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银行账号：</w:t>
            </w:r>
            <w:r>
              <w:rPr>
                <w:rFonts w:hint="eastAsia" w:ascii="仿宋" w:hAnsi="仿宋" w:eastAsia="仿宋" w:cs="仿宋"/>
                <w:color w:val="auto"/>
                <w:kern w:val="0"/>
                <w:sz w:val="24"/>
                <w:highlight w:val="none"/>
                <w:lang w:eastAsia="zh-CN"/>
              </w:rPr>
              <w:t>3110910037672532958</w:t>
            </w:r>
          </w:p>
          <w:p w14:paraId="1EB40B0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 </w:t>
            </w:r>
          </w:p>
          <w:p w14:paraId="3C689CC0">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1、投标保证金在投标文件递交截止时间后提交的，或者不按规定交纳方式交纳的，或者未足额交纳的（包含保函额度不足的），视为无效投标保证金。</w:t>
            </w:r>
          </w:p>
          <w:p w14:paraId="7D60480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2、投标人采用现钞方式或者从个人账户（自然人投标除外）转出的投标保证金，视为无效投标保证金。</w:t>
            </w:r>
          </w:p>
          <w:p w14:paraId="43AE453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3、支票、汇票或者本票出现无效或者背书情形的，视为无效投标保证金。</w:t>
            </w:r>
          </w:p>
          <w:p w14:paraId="24783B6C">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4、保函、保单有效期低于投标有效期的，视为无效投标保证金。</w:t>
            </w:r>
          </w:p>
          <w:p w14:paraId="73E5B36D">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5、采用金融、担保机构出具保函的，必须为无条件保函，否则视为无效投标保证金。</w:t>
            </w:r>
          </w:p>
        </w:tc>
      </w:tr>
      <w:tr w14:paraId="18243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AD3C77E">
            <w:pPr>
              <w:spacing w:line="400" w:lineRule="exact"/>
              <w:jc w:val="center"/>
              <w:rPr>
                <w:rFonts w:hint="eastAsia" w:ascii="仿宋" w:hAnsi="仿宋" w:eastAsia="仿宋" w:cs="仿宋"/>
                <w:color w:val="auto"/>
                <w:sz w:val="24"/>
                <w:highlight w:val="none"/>
              </w:rPr>
            </w:pPr>
            <w:bookmarkStart w:id="74" w:name="_18"/>
            <w:bookmarkEnd w:id="74"/>
            <w:r>
              <w:rPr>
                <w:rFonts w:hint="eastAsia" w:ascii="仿宋" w:hAnsi="仿宋" w:eastAsia="仿宋" w:cs="仿宋"/>
                <w:color w:val="auto"/>
                <w:sz w:val="24"/>
                <w:highlight w:val="none"/>
              </w:rPr>
              <w:t>20.0</w:t>
            </w:r>
          </w:p>
        </w:tc>
        <w:tc>
          <w:tcPr>
            <w:tcW w:w="8606" w:type="dxa"/>
            <w:tcBorders>
              <w:top w:val="single" w:color="auto" w:sz="4" w:space="0"/>
              <w:left w:val="single" w:color="auto" w:sz="4" w:space="0"/>
              <w:bottom w:val="single" w:color="auto" w:sz="4" w:space="0"/>
              <w:right w:val="single" w:color="auto" w:sz="4" w:space="0"/>
            </w:tcBorders>
            <w:vAlign w:val="center"/>
          </w:tcPr>
          <w:p w14:paraId="2B5662EA">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本项目不接受备份文件。</w:t>
            </w:r>
          </w:p>
        </w:tc>
      </w:tr>
      <w:tr w14:paraId="2E570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65E378A">
            <w:pPr>
              <w:spacing w:line="400" w:lineRule="exact"/>
              <w:jc w:val="center"/>
              <w:rPr>
                <w:rFonts w:hint="eastAsia" w:ascii="仿宋" w:hAnsi="仿宋" w:eastAsia="仿宋" w:cs="仿宋"/>
                <w:color w:val="auto"/>
                <w:sz w:val="24"/>
                <w:highlight w:val="none"/>
              </w:rPr>
            </w:pPr>
            <w:bookmarkStart w:id="75" w:name="_21.1"/>
            <w:bookmarkEnd w:id="75"/>
            <w:bookmarkStart w:id="76" w:name="_19.2"/>
            <w:bookmarkEnd w:id="76"/>
            <w:r>
              <w:rPr>
                <w:rFonts w:hint="eastAsia" w:ascii="仿宋" w:hAnsi="仿宋" w:eastAsia="仿宋" w:cs="仿宋"/>
                <w:color w:val="auto"/>
                <w:sz w:val="24"/>
                <w:highlight w:val="none"/>
              </w:rPr>
              <w:t>21.1</w:t>
            </w:r>
          </w:p>
        </w:tc>
        <w:tc>
          <w:tcPr>
            <w:tcW w:w="8606" w:type="dxa"/>
            <w:tcBorders>
              <w:top w:val="single" w:color="auto" w:sz="4" w:space="0"/>
              <w:left w:val="single" w:color="auto" w:sz="4" w:space="0"/>
              <w:bottom w:val="single" w:color="auto" w:sz="4" w:space="0"/>
              <w:right w:val="single" w:color="auto" w:sz="4" w:space="0"/>
            </w:tcBorders>
            <w:vAlign w:val="center"/>
          </w:tcPr>
          <w:p w14:paraId="25923095">
            <w:pPr>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bCs/>
                <w:color w:val="auto"/>
                <w:sz w:val="24"/>
                <w:highlight w:val="none"/>
              </w:rPr>
              <w:t>提交投标文件截止时间</w:t>
            </w:r>
            <w:r>
              <w:rPr>
                <w:rFonts w:hint="eastAsia" w:ascii="仿宋" w:hAnsi="仿宋" w:eastAsia="仿宋" w:cs="仿宋"/>
                <w:color w:val="auto"/>
                <w:sz w:val="24"/>
                <w:highlight w:val="none"/>
              </w:rPr>
              <w:t>：详见招标公告</w:t>
            </w:r>
          </w:p>
          <w:p w14:paraId="0D604028">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提交投标文件截止地点</w:t>
            </w:r>
            <w:r>
              <w:rPr>
                <w:rFonts w:hint="eastAsia" w:ascii="仿宋" w:hAnsi="仿宋" w:eastAsia="仿宋" w:cs="仿宋"/>
                <w:color w:val="auto"/>
                <w:sz w:val="24"/>
                <w:highlight w:val="none"/>
              </w:rPr>
              <w:t>：详见招标公告</w:t>
            </w:r>
          </w:p>
        </w:tc>
      </w:tr>
      <w:tr w14:paraId="5C71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B9A0A59">
            <w:pPr>
              <w:spacing w:line="400" w:lineRule="exact"/>
              <w:jc w:val="center"/>
              <w:rPr>
                <w:rFonts w:hint="eastAsia" w:ascii="仿宋" w:hAnsi="仿宋" w:eastAsia="仿宋" w:cs="仿宋"/>
                <w:color w:val="auto"/>
                <w:sz w:val="24"/>
                <w:highlight w:val="none"/>
              </w:rPr>
            </w:pPr>
            <w:bookmarkStart w:id="77" w:name="_23"/>
            <w:bookmarkEnd w:id="77"/>
            <w:r>
              <w:rPr>
                <w:rFonts w:hint="eastAsia" w:ascii="仿宋" w:hAnsi="仿宋" w:eastAsia="仿宋" w:cs="仿宋"/>
                <w:color w:val="auto"/>
                <w:sz w:val="24"/>
                <w:highlight w:val="none"/>
              </w:rPr>
              <w:t>23</w:t>
            </w:r>
          </w:p>
        </w:tc>
        <w:tc>
          <w:tcPr>
            <w:tcW w:w="8606" w:type="dxa"/>
            <w:tcBorders>
              <w:top w:val="single" w:color="auto" w:sz="4" w:space="0"/>
              <w:left w:val="single" w:color="auto" w:sz="4" w:space="0"/>
              <w:bottom w:val="single" w:color="auto" w:sz="4" w:space="0"/>
              <w:right w:val="single" w:color="auto" w:sz="4" w:space="0"/>
            </w:tcBorders>
            <w:vAlign w:val="center"/>
          </w:tcPr>
          <w:p w14:paraId="07A122A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开标时间：详见招标公告</w:t>
            </w:r>
          </w:p>
          <w:p w14:paraId="7262BB7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开标地点：详见招标公告</w:t>
            </w:r>
          </w:p>
        </w:tc>
      </w:tr>
      <w:tr w14:paraId="3682A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BFA37EA">
            <w:pPr>
              <w:spacing w:line="400" w:lineRule="exact"/>
              <w:jc w:val="center"/>
              <w:rPr>
                <w:rFonts w:hint="eastAsia" w:ascii="仿宋" w:hAnsi="仿宋" w:eastAsia="仿宋" w:cs="仿宋"/>
                <w:color w:val="auto"/>
                <w:sz w:val="24"/>
                <w:highlight w:val="none"/>
              </w:rPr>
            </w:pPr>
            <w:bookmarkStart w:id="78" w:name="_25.3"/>
            <w:bookmarkEnd w:id="78"/>
            <w:r>
              <w:rPr>
                <w:rFonts w:hint="eastAsia" w:ascii="仿宋" w:hAnsi="仿宋" w:eastAsia="仿宋" w:cs="仿宋"/>
                <w:color w:val="auto"/>
                <w:sz w:val="24"/>
                <w:highlight w:val="none"/>
              </w:rPr>
              <w:t>25.3（2）</w:t>
            </w:r>
          </w:p>
        </w:tc>
        <w:tc>
          <w:tcPr>
            <w:tcW w:w="8606" w:type="dxa"/>
            <w:tcBorders>
              <w:top w:val="single" w:color="auto" w:sz="4" w:space="0"/>
              <w:left w:val="single" w:color="auto" w:sz="4" w:space="0"/>
              <w:bottom w:val="single" w:color="auto" w:sz="4" w:space="0"/>
              <w:right w:val="single" w:color="auto" w:sz="4" w:space="0"/>
            </w:tcBorders>
            <w:vAlign w:val="center"/>
          </w:tcPr>
          <w:p w14:paraId="4952DF7D">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采购人或者采购代理机构在资格审查结束前，对投标人进行信用查询。</w:t>
            </w:r>
          </w:p>
          <w:p w14:paraId="1441BD8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查询渠道：“信用中国”网站(www.creditchina.gov.cn) 、中国政府采购网(www.ccgp.gov.cn)。</w:t>
            </w:r>
          </w:p>
          <w:p w14:paraId="525CDFD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信用查询截止时点：资格审查结束前</w:t>
            </w:r>
          </w:p>
          <w:p w14:paraId="3F2B0A4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查询记录和证据留存方式：在查询网站中直接打印查询记录，打印材料作为评审资料保存。</w:t>
            </w:r>
          </w:p>
          <w:p w14:paraId="412A6A94">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9A0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A67D86D">
            <w:pPr>
              <w:spacing w:line="400" w:lineRule="exact"/>
              <w:jc w:val="center"/>
              <w:rPr>
                <w:rFonts w:hint="eastAsia" w:ascii="仿宋" w:hAnsi="仿宋" w:eastAsia="仿宋" w:cs="仿宋"/>
                <w:color w:val="auto"/>
                <w:sz w:val="24"/>
                <w:highlight w:val="none"/>
              </w:rPr>
            </w:pPr>
            <w:bookmarkStart w:id="79" w:name="_26"/>
            <w:bookmarkEnd w:id="79"/>
            <w:r>
              <w:rPr>
                <w:rFonts w:hint="eastAsia" w:ascii="仿宋" w:hAnsi="仿宋" w:eastAsia="仿宋" w:cs="仿宋"/>
                <w:color w:val="auto"/>
                <w:sz w:val="24"/>
                <w:highlight w:val="none"/>
              </w:rPr>
              <w:t>26</w:t>
            </w:r>
          </w:p>
        </w:tc>
        <w:tc>
          <w:tcPr>
            <w:tcW w:w="8606" w:type="dxa"/>
            <w:tcBorders>
              <w:top w:val="single" w:color="auto" w:sz="4" w:space="0"/>
              <w:left w:val="single" w:color="auto" w:sz="4" w:space="0"/>
              <w:bottom w:val="single" w:color="auto" w:sz="4" w:space="0"/>
              <w:right w:val="single" w:color="auto" w:sz="4" w:space="0"/>
            </w:tcBorders>
            <w:vAlign w:val="center"/>
          </w:tcPr>
          <w:p w14:paraId="39806DC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评标委员会的人数：</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人</w:t>
            </w:r>
          </w:p>
        </w:tc>
      </w:tr>
      <w:tr w14:paraId="4CEF3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3DBD784">
            <w:pPr>
              <w:spacing w:line="400" w:lineRule="exact"/>
              <w:jc w:val="center"/>
              <w:rPr>
                <w:rFonts w:hint="eastAsia" w:ascii="仿宋" w:hAnsi="仿宋" w:eastAsia="仿宋" w:cs="仿宋"/>
                <w:color w:val="auto"/>
                <w:sz w:val="24"/>
                <w:highlight w:val="none"/>
              </w:rPr>
            </w:pPr>
            <w:bookmarkStart w:id="80" w:name="_28.3"/>
            <w:bookmarkEnd w:id="80"/>
            <w:r>
              <w:rPr>
                <w:rFonts w:hint="eastAsia" w:ascii="仿宋" w:hAnsi="仿宋" w:eastAsia="仿宋" w:cs="仿宋"/>
                <w:color w:val="auto"/>
                <w:sz w:val="24"/>
                <w:highlight w:val="none"/>
              </w:rPr>
              <w:t>30.1</w:t>
            </w:r>
          </w:p>
        </w:tc>
        <w:tc>
          <w:tcPr>
            <w:tcW w:w="8606" w:type="dxa"/>
            <w:tcBorders>
              <w:top w:val="single" w:color="auto" w:sz="4" w:space="0"/>
              <w:left w:val="single" w:color="auto" w:sz="4" w:space="0"/>
              <w:bottom w:val="single" w:color="auto" w:sz="4" w:space="0"/>
              <w:right w:val="single" w:color="auto" w:sz="4" w:space="0"/>
            </w:tcBorders>
            <w:vAlign w:val="center"/>
          </w:tcPr>
          <w:p w14:paraId="68447E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    ☑综合评分法       □最低评标价法</w:t>
            </w:r>
          </w:p>
        </w:tc>
      </w:tr>
      <w:tr w14:paraId="0D08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6BBF6AE">
            <w:pPr>
              <w:spacing w:line="400" w:lineRule="exact"/>
              <w:jc w:val="center"/>
              <w:rPr>
                <w:rFonts w:hint="eastAsia" w:ascii="仿宋" w:hAnsi="仿宋" w:eastAsia="仿宋" w:cs="仿宋"/>
                <w:color w:val="auto"/>
                <w:sz w:val="24"/>
                <w:highlight w:val="none"/>
              </w:rPr>
            </w:pPr>
            <w:bookmarkStart w:id="81" w:name="_29.2.2（2）"/>
            <w:bookmarkEnd w:id="81"/>
            <w:r>
              <w:rPr>
                <w:rFonts w:hint="eastAsia" w:ascii="仿宋" w:hAnsi="仿宋" w:eastAsia="仿宋" w:cs="仿宋"/>
                <w:color w:val="auto"/>
                <w:sz w:val="24"/>
                <w:highlight w:val="none"/>
              </w:rPr>
              <w:t>31.1</w:t>
            </w:r>
          </w:p>
        </w:tc>
        <w:tc>
          <w:tcPr>
            <w:tcW w:w="8606" w:type="dxa"/>
            <w:tcBorders>
              <w:top w:val="single" w:color="auto" w:sz="4" w:space="0"/>
              <w:left w:val="single" w:color="auto" w:sz="4" w:space="0"/>
              <w:bottom w:val="single" w:color="auto" w:sz="4" w:space="0"/>
              <w:right w:val="single" w:color="auto" w:sz="4" w:space="0"/>
            </w:tcBorders>
            <w:vAlign w:val="center"/>
          </w:tcPr>
          <w:p w14:paraId="7E26087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采购人确定中标人时，出现中标候选人并列的情形，采购人按以下的方式确定中标人：</w:t>
            </w:r>
          </w:p>
          <w:p w14:paraId="5AA6C6A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☑政策分得分高的优先、技术评分高的优先、商务评分高的优先、项目质保期长优先、交货期短优先、故障响应时间短优先的顺序； </w:t>
            </w:r>
          </w:p>
          <w:p w14:paraId="2719DD5C">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□随机抽取</w:t>
            </w:r>
          </w:p>
        </w:tc>
      </w:tr>
      <w:tr w14:paraId="7EA40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93EA4CC">
            <w:pPr>
              <w:spacing w:line="400" w:lineRule="exact"/>
              <w:jc w:val="center"/>
              <w:rPr>
                <w:rFonts w:hint="eastAsia" w:ascii="仿宋" w:hAnsi="仿宋" w:eastAsia="仿宋" w:cs="仿宋"/>
                <w:color w:val="auto"/>
                <w:sz w:val="24"/>
                <w:highlight w:val="none"/>
              </w:rPr>
            </w:pPr>
            <w:bookmarkStart w:id="82" w:name="_39.1"/>
            <w:bookmarkEnd w:id="82"/>
            <w:r>
              <w:rPr>
                <w:rFonts w:hint="eastAsia" w:ascii="仿宋" w:hAnsi="仿宋" w:eastAsia="仿宋" w:cs="仿宋"/>
                <w:color w:val="auto"/>
                <w:sz w:val="24"/>
                <w:highlight w:val="none"/>
              </w:rPr>
              <w:t>36</w:t>
            </w:r>
          </w:p>
        </w:tc>
        <w:tc>
          <w:tcPr>
            <w:tcW w:w="8606" w:type="dxa"/>
            <w:tcBorders>
              <w:top w:val="single" w:color="auto" w:sz="4" w:space="0"/>
              <w:left w:val="single" w:color="auto" w:sz="4" w:space="0"/>
              <w:bottom w:val="single" w:color="auto" w:sz="4" w:space="0"/>
              <w:right w:val="single" w:color="auto" w:sz="4" w:space="0"/>
            </w:tcBorders>
            <w:vAlign w:val="center"/>
          </w:tcPr>
          <w:p w14:paraId="20064C0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履约保证金金额：按中标金额的 5 %（如</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为中小微企业，按中标金额的2%）。</w:t>
            </w:r>
          </w:p>
          <w:p w14:paraId="19E0E6D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履约保证金提交方式：银行转账、支票、汇票、本票或者金融、担保机构出具的保函、保险机构的保单等方式。</w:t>
            </w:r>
          </w:p>
          <w:p w14:paraId="61ED70A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自项目验收合格及成交供应商履行完质保义务后，由成交供应商向履约保证金收取单位提供《广西壮族自治区政府采购项目合同验收书》（详见附件1）及《政府采购项目履约保证金退付意见书》（详见附件2），保证金收取单位在收到合格材料后无息退还。</w:t>
            </w:r>
          </w:p>
          <w:p w14:paraId="6D651786">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履约保证金指定账户：</w:t>
            </w:r>
          </w:p>
          <w:p w14:paraId="5F26E91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开户名称：广西壮族自治区人民医院</w:t>
            </w:r>
          </w:p>
          <w:p w14:paraId="3E78280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开户银行：中国民生银行股份有限公司南宁金湖支行</w:t>
            </w:r>
          </w:p>
          <w:p w14:paraId="6F43DCC1">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银行账号：631333260</w:t>
            </w:r>
          </w:p>
          <w:p w14:paraId="3A555AE7">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49E3608">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bookmarkStart w:id="83" w:name="_Hlk166140633"/>
            <w:r>
              <w:rPr>
                <w:rFonts w:hint="eastAsia" w:ascii="仿宋" w:hAnsi="仿宋" w:eastAsia="仿宋" w:cs="仿宋"/>
                <w:color w:val="auto"/>
                <w:sz w:val="24"/>
                <w:highlight w:val="none"/>
              </w:rPr>
              <w:t>符合《广西壮族自治区财政厅关于规范政府采购货物和服务项目保证金管理的通知》桂财采〔2022〕8号 文件要求的，按照相关要求执行（中小企业收取的履约保证金数额为中标金额的2%）</w:t>
            </w:r>
            <w:bookmarkEnd w:id="83"/>
            <w:r>
              <w:rPr>
                <w:rFonts w:hint="eastAsia" w:ascii="仿宋" w:hAnsi="仿宋" w:eastAsia="仿宋" w:cs="仿宋"/>
                <w:color w:val="auto"/>
                <w:sz w:val="24"/>
                <w:highlight w:val="none"/>
              </w:rPr>
              <w:t>。</w:t>
            </w:r>
          </w:p>
          <w:p w14:paraId="53532FE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 中标人在签订合同之前，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履约保证金自项目验收合格后，待中标人履行完质保义务后无息退还。</w:t>
            </w:r>
          </w:p>
        </w:tc>
      </w:tr>
      <w:tr w14:paraId="58126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81E1CDC">
            <w:pPr>
              <w:spacing w:line="400" w:lineRule="exact"/>
              <w:jc w:val="center"/>
              <w:rPr>
                <w:rFonts w:hint="eastAsia" w:ascii="仿宋" w:hAnsi="仿宋" w:eastAsia="仿宋" w:cs="仿宋"/>
                <w:color w:val="auto"/>
                <w:sz w:val="24"/>
                <w:highlight w:val="none"/>
              </w:rPr>
            </w:pPr>
            <w:bookmarkStart w:id="84" w:name="_40.1"/>
            <w:bookmarkEnd w:id="84"/>
            <w:r>
              <w:rPr>
                <w:rFonts w:hint="eastAsia" w:ascii="仿宋" w:hAnsi="仿宋" w:eastAsia="仿宋" w:cs="仿宋"/>
                <w:color w:val="auto"/>
                <w:sz w:val="24"/>
                <w:highlight w:val="none"/>
              </w:rPr>
              <w:t>37.1</w:t>
            </w:r>
          </w:p>
        </w:tc>
        <w:tc>
          <w:tcPr>
            <w:tcW w:w="8606" w:type="dxa"/>
            <w:tcBorders>
              <w:top w:val="single" w:color="auto" w:sz="4" w:space="0"/>
              <w:left w:val="single" w:color="auto" w:sz="4" w:space="0"/>
              <w:bottom w:val="single" w:color="auto" w:sz="4" w:space="0"/>
              <w:right w:val="single" w:color="auto" w:sz="4" w:space="0"/>
            </w:tcBorders>
            <w:vAlign w:val="center"/>
          </w:tcPr>
          <w:p w14:paraId="712331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签订合同携带的证明材料：</w:t>
            </w:r>
          </w:p>
          <w:p w14:paraId="22551B6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委托代理人负责签订合同的，须携带授权委托书及委托代理人身份证原件等其他资格证件。</w:t>
            </w:r>
          </w:p>
          <w:p w14:paraId="1A7FF38F">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法定代表人负责签订合同的，须携带法定代表人身份证明原件及身份证原件等其他证明材料。</w:t>
            </w:r>
          </w:p>
        </w:tc>
      </w:tr>
      <w:tr w14:paraId="748D2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A0ADE2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38.2</w:t>
            </w:r>
          </w:p>
        </w:tc>
        <w:tc>
          <w:tcPr>
            <w:tcW w:w="8606" w:type="dxa"/>
            <w:tcBorders>
              <w:top w:val="single" w:color="auto" w:sz="4" w:space="0"/>
              <w:left w:val="single" w:color="auto" w:sz="4" w:space="0"/>
              <w:bottom w:val="single" w:color="auto" w:sz="4" w:space="0"/>
              <w:right w:val="single" w:color="auto" w:sz="4" w:space="0"/>
            </w:tcBorders>
            <w:vAlign w:val="center"/>
          </w:tcPr>
          <w:p w14:paraId="34967188">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接收质疑函方式：以书面形式</w:t>
            </w:r>
          </w:p>
          <w:p w14:paraId="45CA301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质疑联系部门及联系方式：公诚管理咨询有限公司；联系人：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/0771-5583003；邮箱：gcgxjkzb@163.com。</w:t>
            </w:r>
          </w:p>
          <w:p w14:paraId="597F169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通讯地址：广西南宁市青秀区金湖北路52-1号东方曼哈顿25楼</w:t>
            </w:r>
          </w:p>
          <w:p w14:paraId="621CF5BB">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现场提交质疑办理业务时间：每天8时30分到12时00分，14时30分到18时 00分，业务时间以外、双休日和法定节假日不办理业务。</w:t>
            </w:r>
          </w:p>
        </w:tc>
      </w:tr>
      <w:tr w14:paraId="01E4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EE36642">
            <w:pPr>
              <w:spacing w:line="400" w:lineRule="exact"/>
              <w:jc w:val="center"/>
              <w:rPr>
                <w:rFonts w:hint="eastAsia" w:ascii="仿宋" w:hAnsi="仿宋" w:eastAsia="仿宋" w:cs="仿宋"/>
                <w:color w:val="auto"/>
                <w:sz w:val="24"/>
                <w:highlight w:val="none"/>
              </w:rPr>
            </w:pPr>
            <w:bookmarkStart w:id="85" w:name="_41"/>
            <w:bookmarkEnd w:id="85"/>
            <w:bookmarkStart w:id="86" w:name="_42"/>
            <w:bookmarkEnd w:id="86"/>
            <w:r>
              <w:rPr>
                <w:rFonts w:hint="eastAsia" w:ascii="仿宋" w:hAnsi="仿宋" w:eastAsia="仿宋" w:cs="仿宋"/>
                <w:color w:val="auto"/>
                <w:sz w:val="24"/>
                <w:highlight w:val="none"/>
              </w:rPr>
              <w:t>40</w:t>
            </w:r>
          </w:p>
        </w:tc>
        <w:tc>
          <w:tcPr>
            <w:tcW w:w="8606" w:type="dxa"/>
            <w:tcBorders>
              <w:top w:val="single" w:color="auto" w:sz="4" w:space="0"/>
              <w:left w:val="single" w:color="auto" w:sz="4" w:space="0"/>
              <w:bottom w:val="single" w:color="auto" w:sz="4" w:space="0"/>
              <w:right w:val="single" w:color="auto" w:sz="4" w:space="0"/>
            </w:tcBorders>
            <w:vAlign w:val="center"/>
          </w:tcPr>
          <w:p w14:paraId="4AC161F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1.采购代理费支付方式：</w:t>
            </w:r>
          </w:p>
          <w:p w14:paraId="2E722E00">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☑本项目代理服务费由</w:t>
            </w:r>
            <w:r>
              <w:rPr>
                <w:rFonts w:hint="eastAsia" w:ascii="仿宋" w:hAnsi="仿宋" w:eastAsia="仿宋" w:cs="仿宋"/>
                <w:color w:val="auto"/>
                <w:sz w:val="24"/>
                <w:szCs w:val="24"/>
                <w:highlight w:val="none"/>
                <w:u w:val="single"/>
              </w:rPr>
              <w:t>中标人</w:t>
            </w:r>
            <w:r>
              <w:rPr>
                <w:rFonts w:hint="eastAsia" w:ascii="仿宋" w:hAnsi="仿宋" w:eastAsia="仿宋" w:cs="仿宋"/>
                <w:color w:val="auto"/>
                <w:sz w:val="24"/>
                <w:szCs w:val="24"/>
                <w:highlight w:val="none"/>
              </w:rPr>
              <w:t>向采购代理机构支付。</w:t>
            </w:r>
          </w:p>
          <w:p w14:paraId="290278CF">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□采购人支付。</w:t>
            </w:r>
          </w:p>
          <w:p w14:paraId="514E6229">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2.采购代理费收取标准：</w:t>
            </w:r>
          </w:p>
          <w:p w14:paraId="2E39512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采购代理机构向中标人收取代理服务费。以项目中标金额为计费额，按</w:t>
            </w:r>
            <w:r>
              <w:rPr>
                <w:rFonts w:hint="eastAsia" w:ascii="仿宋" w:hAnsi="仿宋" w:eastAsia="仿宋" w:cs="仿宋"/>
                <w:b/>
                <w:bCs/>
                <w:color w:val="auto"/>
                <w:sz w:val="24"/>
                <w:szCs w:val="24"/>
                <w:highlight w:val="none"/>
                <w:u w:val="single"/>
              </w:rPr>
              <w:t>货物类</w:t>
            </w:r>
            <w:r>
              <w:rPr>
                <w:rFonts w:hint="eastAsia" w:ascii="仿宋" w:hAnsi="仿宋" w:eastAsia="仿宋" w:cs="仿宋"/>
                <w:color w:val="auto"/>
                <w:sz w:val="24"/>
                <w:szCs w:val="24"/>
                <w:highlight w:val="none"/>
              </w:rPr>
              <w:t xml:space="preserve"> 差额定率累进法下浮20%计取，具体详见投标人须知正文40。</w:t>
            </w:r>
          </w:p>
          <w:p w14:paraId="5882634E">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05F99197">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449CE86D">
            <w:pPr>
              <w:pStyle w:val="23"/>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银行账号：</w:t>
            </w:r>
            <w:r>
              <w:rPr>
                <w:rFonts w:hint="eastAsia" w:ascii="仿宋" w:hAnsi="仿宋" w:eastAsia="仿宋" w:cs="仿宋"/>
                <w:color w:val="auto"/>
                <w:sz w:val="24"/>
                <w:szCs w:val="24"/>
                <w:highlight w:val="none"/>
                <w:lang w:eastAsia="zh-CN"/>
              </w:rPr>
              <w:t>3110910037672532958</w:t>
            </w:r>
          </w:p>
        </w:tc>
      </w:tr>
      <w:tr w14:paraId="45E8B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BC8F57A">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41.1</w:t>
            </w:r>
          </w:p>
        </w:tc>
        <w:tc>
          <w:tcPr>
            <w:tcW w:w="8606" w:type="dxa"/>
            <w:tcBorders>
              <w:top w:val="single" w:color="auto" w:sz="4" w:space="0"/>
              <w:left w:val="single" w:color="auto" w:sz="4" w:space="0"/>
              <w:bottom w:val="single" w:color="auto" w:sz="4" w:space="0"/>
              <w:right w:val="single" w:color="auto" w:sz="4" w:space="0"/>
            </w:tcBorders>
            <w:vAlign w:val="center"/>
          </w:tcPr>
          <w:p w14:paraId="65044F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B1BD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47CDE58">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41.2</w:t>
            </w:r>
          </w:p>
        </w:tc>
        <w:tc>
          <w:tcPr>
            <w:tcW w:w="8606" w:type="dxa"/>
            <w:tcBorders>
              <w:top w:val="single" w:color="auto" w:sz="4" w:space="0"/>
              <w:left w:val="single" w:color="auto" w:sz="4" w:space="0"/>
              <w:bottom w:val="single" w:color="auto" w:sz="4" w:space="0"/>
              <w:right w:val="single" w:color="auto" w:sz="4" w:space="0"/>
            </w:tcBorders>
            <w:vAlign w:val="center"/>
          </w:tcPr>
          <w:p w14:paraId="3657D5B7">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59964CE">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45E95CAD">
            <w:pPr>
              <w:pStyle w:val="23"/>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EDAF32C">
            <w:pPr>
              <w:pStyle w:val="23"/>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4.自然人投标的，招标文件规定盖公章或电子签章处由自然人摁手指指印。</w:t>
            </w:r>
          </w:p>
          <w:p w14:paraId="720BBBF8">
            <w:pPr>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5.本招标文件所称的“以上”“以下”“以内”“届满”，包括本数；所称的“不满”“超过”“以外”，不包括本数，法律、行政法规、管理办法等另有规定的，从其规定。</w:t>
            </w:r>
          </w:p>
          <w:p w14:paraId="2D48CC79">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6.根据《关于印发中小企业划型标准规定的通知》（工信部联企业〔2011〕300号），</w:t>
            </w:r>
            <w:bookmarkStart w:id="87" w:name="_Hlk114736424"/>
            <w:r>
              <w:rPr>
                <w:rFonts w:hint="eastAsia" w:ascii="仿宋" w:hAnsi="仿宋" w:eastAsia="仿宋" w:cs="仿宋"/>
                <w:color w:val="auto"/>
                <w:sz w:val="24"/>
                <w:highlight w:val="none"/>
              </w:rPr>
              <w:t>本项目所属行业：</w:t>
            </w:r>
            <w:r>
              <w:rPr>
                <w:rFonts w:hint="eastAsia" w:ascii="仿宋" w:hAnsi="仿宋" w:eastAsia="仿宋" w:cs="仿宋"/>
                <w:b/>
                <w:bCs/>
                <w:color w:val="auto"/>
                <w:sz w:val="24"/>
                <w:highlight w:val="none"/>
                <w:u w:val="single"/>
              </w:rPr>
              <w:t>工业（包括采矿业，制造业，电力、热力、燃气及水生产和供应业）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，行业划型标准为：</w:t>
            </w:r>
            <w:r>
              <w:rPr>
                <w:rFonts w:hint="eastAsia" w:ascii="仿宋" w:hAnsi="仿宋" w:eastAsia="仿宋" w:cs="仿宋"/>
                <w:color w:val="auto"/>
                <w:sz w:val="24"/>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sz w:val="24"/>
                <w:highlight w:val="none"/>
              </w:rPr>
              <w:t>。</w:t>
            </w:r>
            <w:bookmarkEnd w:id="87"/>
          </w:p>
          <w:p w14:paraId="7EBE653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7.偏离认定说明</w:t>
            </w:r>
          </w:p>
          <w:p w14:paraId="2FEF8E0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投标人根据采购需求中技术参数为基准，填写响应表，对于响应表或证明材料与技术参数不符的，按如下规定：</w:t>
            </w:r>
          </w:p>
          <w:p w14:paraId="4D487585">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3C723F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（2）响应表中响应的内容与证明材料不一致的，以证明材料为准作为评审依据。</w:t>
            </w:r>
          </w:p>
          <w:p w14:paraId="25176A4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（3）同时出现以上两种情况的，按照（1）-（2）顺序认定。</w:t>
            </w:r>
          </w:p>
          <w:p w14:paraId="1E041FB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（4）响应表与采购需求中技术参数比较有漏项的，如为实质性参数漏项，视为未响应；如为非实质性参数漏项，视为负偏离。</w:t>
            </w:r>
          </w:p>
          <w:p w14:paraId="4DF5F1C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（5）一项技术参数有多条小项要求的，必须全部响应。如只响应部分参数，视为漏项，按照（4）判定。评审时以每一条技术参数为评审依据。</w:t>
            </w:r>
          </w:p>
          <w:p w14:paraId="45E996E0">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2A9294A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7D188A7E">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（8）对于单边任意参数的要求，例“长度≥50cm”，若响应为50 cm均视为无偏离；若50cm以上任意一个数值，视为正偏离；若响应小于50cm，视为负偏离。</w:t>
            </w:r>
          </w:p>
          <w:p w14:paraId="7B06C5E6">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（9）如采购需求中技术参数有特殊要求与上述说明不一致的，以特殊要求为准。</w:t>
            </w:r>
          </w:p>
        </w:tc>
      </w:tr>
    </w:tbl>
    <w:p w14:paraId="6FE6A3DA">
      <w:pPr>
        <w:snapToGrid w:val="0"/>
        <w:rPr>
          <w:rFonts w:hint="eastAsia" w:ascii="仿宋" w:hAnsi="仿宋" w:eastAsia="仿宋" w:cs="仿宋"/>
          <w:color w:val="auto"/>
          <w:sz w:val="24"/>
          <w:szCs w:val="20"/>
          <w:highlight w:val="none"/>
        </w:rPr>
      </w:pPr>
    </w:p>
    <w:p w14:paraId="1A88CF2C">
      <w:pPr>
        <w:jc w:val="center"/>
        <w:outlineLvl w:val="1"/>
        <w:rPr>
          <w:rFonts w:hint="eastAsia" w:ascii="仿宋" w:hAnsi="仿宋" w:eastAsia="仿宋" w:cs="仿宋"/>
          <w:color w:val="auto"/>
          <w:highlight w:val="none"/>
        </w:rPr>
      </w:pPr>
      <w:r>
        <w:rPr>
          <w:rFonts w:hint="eastAsia" w:ascii="仿宋" w:hAnsi="仿宋" w:eastAsia="仿宋" w:cs="仿宋"/>
          <w:color w:val="auto"/>
          <w:sz w:val="24"/>
          <w:szCs w:val="20"/>
          <w:highlight w:val="none"/>
        </w:rPr>
        <w:br w:type="page"/>
      </w:r>
      <w:bookmarkStart w:id="88" w:name="_Toc11898"/>
      <w:bookmarkStart w:id="89" w:name="_Toc11867"/>
      <w:bookmarkStart w:id="90" w:name="_Toc25567"/>
      <w:r>
        <w:rPr>
          <w:rFonts w:hint="eastAsia" w:ascii="仿宋" w:hAnsi="仿宋" w:eastAsia="仿宋" w:cs="仿宋"/>
          <w:color w:val="auto"/>
          <w:sz w:val="36"/>
          <w:szCs w:val="36"/>
          <w:highlight w:val="none"/>
        </w:rPr>
        <w:t>投标人须知正文</w:t>
      </w:r>
      <w:bookmarkEnd w:id="88"/>
      <w:bookmarkEnd w:id="89"/>
      <w:bookmarkEnd w:id="90"/>
    </w:p>
    <w:p w14:paraId="7B778D9A">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041736A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1" w:name="_Toc254970668"/>
      <w:bookmarkStart w:id="92" w:name="_Toc254970527"/>
      <w:r>
        <w:rPr>
          <w:rFonts w:hint="eastAsia" w:ascii="仿宋" w:hAnsi="仿宋" w:eastAsia="仿宋" w:cs="仿宋"/>
          <w:color w:val="auto"/>
          <w:sz w:val="24"/>
          <w:highlight w:val="none"/>
        </w:rPr>
        <w:t>1.适用范围</w:t>
      </w:r>
      <w:bookmarkEnd w:id="91"/>
      <w:bookmarkEnd w:id="92"/>
    </w:p>
    <w:p w14:paraId="4069A51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70AB2EA">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1.2本招标文件</w:t>
      </w:r>
      <w:r>
        <w:rPr>
          <w:rFonts w:hint="eastAsia" w:ascii="仿宋" w:hAnsi="仿宋" w:eastAsia="仿宋" w:cs="仿宋"/>
          <w:color w:val="auto"/>
          <w:spacing w:val="-6"/>
          <w:sz w:val="24"/>
          <w:highlight w:val="none"/>
        </w:rPr>
        <w:t>适用于本项目的所有采购程序和环节（法律、法规另有规定的，从其规定）。</w:t>
      </w:r>
    </w:p>
    <w:p w14:paraId="5E04CC2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3" w:name="_Toc254970528"/>
      <w:bookmarkStart w:id="94" w:name="_Toc254970669"/>
      <w:r>
        <w:rPr>
          <w:rFonts w:hint="eastAsia" w:ascii="仿宋" w:hAnsi="仿宋" w:eastAsia="仿宋" w:cs="仿宋"/>
          <w:color w:val="auto"/>
          <w:sz w:val="24"/>
          <w:highlight w:val="none"/>
        </w:rPr>
        <w:t>2.定义</w:t>
      </w:r>
      <w:bookmarkEnd w:id="93"/>
      <w:bookmarkEnd w:id="94"/>
    </w:p>
    <w:p w14:paraId="5580E81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2.1“采购人”是指依法进行政府采购的国家机关、事业单位、团体组织。</w:t>
      </w:r>
    </w:p>
    <w:p w14:paraId="540BA1ED">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2.2“采购代理机构”是指政府采购代理机构（以下简称采购代理机构）是指集中采购机构以外、受采购人委托从事政府采购代理业务的社会中介机构。</w:t>
      </w:r>
    </w:p>
    <w:p w14:paraId="585C7AD8">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2.3“供应商”是指向采购人提供货物、工程或者服务的法人、其他组织或者自然人。</w:t>
      </w:r>
    </w:p>
    <w:p w14:paraId="1C0C0C83">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2.4“投标人”是指响应招标、参加投标竞争的法人、非法人组织或者自然人。</w:t>
      </w:r>
    </w:p>
    <w:p w14:paraId="202BF65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2.5“货物”是指各种形态和种类的物品，包括原材料、燃料、设备、产品等。</w:t>
      </w:r>
    </w:p>
    <w:p w14:paraId="65FD3F4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43F0DD00">
      <w:pPr>
        <w:pStyle w:val="5"/>
        <w:keepNext w:val="0"/>
        <w:keepLines w:val="0"/>
        <w:numPr>
          <w:ilvl w:val="0"/>
          <w:numId w:val="0"/>
        </w:numPr>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2.7“书面形式”是指合同书、信件和数据电文（包括电报、电传、传真、电子数据交换和电子邮件）等可以有形地表现所载内容的形式。</w:t>
      </w:r>
    </w:p>
    <w:p w14:paraId="0EF952E9">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2.8“实质性要求”是指招标文件中已经指明不满足则投标无效的条款，或者不能负偏离的条款，或者采购需求中带“▲”的条款。</w:t>
      </w:r>
    </w:p>
    <w:p w14:paraId="1949BB5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2.9 “正偏离”，是指投标文件对招标文件“采购需求”中有关条款作出的响应优于条款基础要求并有利于采购人的情形。</w:t>
      </w:r>
    </w:p>
    <w:p w14:paraId="3BCB7D3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2.10“负偏离”，是指投标文件对招标文件“采购需求”中有关条款作出的响应不满足条款要求，导致采购人要求不能得到满足的情形。</w:t>
      </w:r>
    </w:p>
    <w:p w14:paraId="3AF9FEA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bookmarkStart w:id="95" w:name="_Toc254970670"/>
      <w:bookmarkStart w:id="96" w:name="_Toc254970529"/>
    </w:p>
    <w:p w14:paraId="34F3CB6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95"/>
      <w:bookmarkEnd w:id="96"/>
      <w:r>
        <w:rPr>
          <w:rFonts w:hint="eastAsia" w:ascii="仿宋" w:hAnsi="仿宋" w:eastAsia="仿宋" w:cs="仿宋"/>
          <w:color w:val="auto"/>
          <w:sz w:val="24"/>
          <w:highlight w:val="none"/>
        </w:rPr>
        <w:t>投标人的资格要求</w:t>
      </w:r>
    </w:p>
    <w:p w14:paraId="552C8E4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投标人的资格要求详见“投标人须知前附表”。</w:t>
      </w:r>
    </w:p>
    <w:p w14:paraId="7657F52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7" w:name="_Toc254970671"/>
      <w:bookmarkStart w:id="98" w:name="_Toc254970530"/>
      <w:r>
        <w:rPr>
          <w:rFonts w:hint="eastAsia" w:ascii="仿宋" w:hAnsi="仿宋" w:eastAsia="仿宋" w:cs="仿宋"/>
          <w:color w:val="auto"/>
          <w:sz w:val="24"/>
          <w:highlight w:val="none"/>
        </w:rPr>
        <w:t>4.投标委托</w:t>
      </w:r>
      <w:bookmarkEnd w:id="97"/>
      <w:bookmarkEnd w:id="98"/>
    </w:p>
    <w:p w14:paraId="3036E93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投标人代表参加投标活动过程中必须持个人有效身份证件。如投标人代表不是法定代表人，须持有法定代表人授权委托书（按第六章要求格式填写）。</w:t>
      </w:r>
    </w:p>
    <w:p w14:paraId="0422B65A">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9" w:name="_5.投标费用"/>
      <w:bookmarkEnd w:id="99"/>
      <w:bookmarkStart w:id="100" w:name="_Toc254970531"/>
      <w:bookmarkStart w:id="101" w:name="_Toc254970672"/>
      <w:r>
        <w:rPr>
          <w:rFonts w:hint="eastAsia" w:ascii="仿宋" w:hAnsi="仿宋" w:eastAsia="仿宋" w:cs="仿宋"/>
          <w:color w:val="auto"/>
          <w:sz w:val="24"/>
          <w:highlight w:val="none"/>
        </w:rPr>
        <w:t>5.投标费用</w:t>
      </w:r>
      <w:bookmarkEnd w:id="100"/>
      <w:bookmarkEnd w:id="101"/>
    </w:p>
    <w:p w14:paraId="17BF7A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3419DD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0BD4825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6.1本项目是否接受联合体投标，详见“投标人须知前附表”。</w:t>
      </w:r>
    </w:p>
    <w:p w14:paraId="72F927A8">
      <w:pPr>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6.2如接受联合体投标，联合体投标要求详见“投标人须知前附表”。</w:t>
      </w:r>
    </w:p>
    <w:p w14:paraId="18395E8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6.3根据《政府采购促进中小企业发展管理办法》以及广西壮族自治区财政厅关于贯彻落实政府采购支持中小企业发展政策的通知（桂财采〔2022〕31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B2471E3">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7.转包与分包</w:t>
      </w:r>
    </w:p>
    <w:p w14:paraId="31F0F1F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7.1本项目不允许转包。</w:t>
      </w:r>
    </w:p>
    <w:p w14:paraId="4CAED4EB">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9B96A0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2" w:name="_Toc254970673"/>
      <w:bookmarkStart w:id="103" w:name="_Toc254970532"/>
      <w:r>
        <w:rPr>
          <w:rFonts w:hint="eastAsia" w:ascii="仿宋" w:hAnsi="仿宋" w:eastAsia="仿宋" w:cs="仿宋"/>
          <w:color w:val="auto"/>
          <w:sz w:val="24"/>
          <w:highlight w:val="none"/>
        </w:rPr>
        <w:t>8.特别说明：</w:t>
      </w:r>
      <w:bookmarkEnd w:id="102"/>
      <w:bookmarkEnd w:id="103"/>
    </w:p>
    <w:p w14:paraId="011B9F2D">
      <w:pPr>
        <w:spacing w:line="360" w:lineRule="auto"/>
        <w:ind w:firstLine="482" w:firstLineChars="200"/>
        <w:rPr>
          <w:rFonts w:hint="eastAsia" w:ascii="仿宋" w:hAnsi="仿宋" w:eastAsia="仿宋" w:cs="仿宋"/>
          <w:b/>
          <w:bCs/>
          <w:color w:val="auto"/>
          <w:sz w:val="24"/>
          <w:highlight w:val="none"/>
        </w:rPr>
      </w:pPr>
      <w:bookmarkStart w:id="104" w:name="_8.1提供相同品牌产品且通过资格审查、符合性审查的不同投标人参加同一合"/>
      <w:bookmarkEnd w:id="104"/>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\l "_8.1" </w:instrText>
      </w:r>
      <w:r>
        <w:rPr>
          <w:rFonts w:hint="eastAsia" w:ascii="仿宋" w:hAnsi="仿宋" w:eastAsia="仿宋" w:cs="仿宋"/>
          <w:b/>
          <w:bCs/>
          <w:color w:val="auto"/>
          <w:sz w:val="24"/>
          <w:highlight w:val="none"/>
        </w:rPr>
        <w:fldChar w:fldCharType="separate"/>
      </w:r>
      <w:r>
        <w:rPr>
          <w:rStyle w:val="51"/>
          <w:rFonts w:hint="eastAsia" w:ascii="仿宋" w:hAnsi="仿宋" w:eastAsia="仿宋" w:cs="仿宋"/>
          <w:b/>
          <w:bCs/>
          <w:color w:val="auto"/>
          <w:sz w:val="24"/>
          <w:highlight w:val="none"/>
          <w:u w:val="none"/>
        </w:rPr>
        <w:t>8.1</w:t>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2D63D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非单一产品采购项目，多家投标人提供的核心产品品牌相同的，按前款规定处理。</w:t>
      </w:r>
    </w:p>
    <w:p w14:paraId="16B6747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8.2如果本招标文件要求投标人提供资格、信誉、荣誉、业绩与企业认证等材料的，则投标人所提供的以上材料必须为投标人所拥有。</w:t>
      </w:r>
    </w:p>
    <w:p w14:paraId="50610DC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8.3投标人应仔细阅读招标文件的所有内容，按照招标文件的要求提交投标文件，并对所提供的全部资料的真实性承担法律责任。</w:t>
      </w:r>
    </w:p>
    <w:p w14:paraId="5077A0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8.4投标人在投标活动中提供任何虚假材料，将报监管部门查处；中标后发现的，中标人须依照《中华人民共和国消费者权益保护法》规定赔偿采购人，且民事赔偿并不免除违法投标人的行政与刑事责任。</w:t>
      </w:r>
    </w:p>
    <w:p w14:paraId="65B964A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61B2F66D">
      <w:pPr>
        <w:pStyle w:val="5"/>
        <w:keepNext w:val="0"/>
        <w:keepLines w:val="0"/>
        <w:spacing w:before="0" w:after="0" w:line="360" w:lineRule="auto"/>
        <w:ind w:firstLine="422"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9.1在政府采购活动中，采购人员及相关人员与供应商有下列利害关系之一的，应当回避：</w:t>
      </w:r>
    </w:p>
    <w:p w14:paraId="4B6D202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（1）参加采购活动前3年内与供应商存在劳动关系；</w:t>
      </w:r>
    </w:p>
    <w:p w14:paraId="2C62B33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（2）参加采购活动前3年内担任供应商的董事、监事；</w:t>
      </w:r>
    </w:p>
    <w:p w14:paraId="273D17B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（3）参加采购活动前3年内是供应商的控股股东或者实际控制人；</w:t>
      </w:r>
    </w:p>
    <w:p w14:paraId="27F68D6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（4）与供应商的法定代表人或者负责人有夫妻、直系血亲、三代以内旁系血亲或者近姻亲关系；</w:t>
      </w:r>
    </w:p>
    <w:p w14:paraId="7184C8F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（5）与供应商有其他可能影响政府采购活动公平、公正进行的关系。</w:t>
      </w:r>
    </w:p>
    <w:p w14:paraId="195545C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D061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9.2有下列情形之一的视为投标人相互串通投标，投标文件将被视为无效：</w:t>
      </w:r>
    </w:p>
    <w:p w14:paraId="1F55DEB3">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（1）不同投标人的投标文件由同一单位或者个人编制；或者不同投标人报名的IP地址一致的；或者编制标书硬件设备CPU编号、硬盘编号、网卡地址一致的情况；</w:t>
      </w:r>
    </w:p>
    <w:p w14:paraId="1ECFDC01">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（2）不同投标人委托同一单位或者个人办理投标事宜；</w:t>
      </w:r>
    </w:p>
    <w:p w14:paraId="07CE585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（3）不同的投标人的投标文件载明的项目管理员为同一个人；</w:t>
      </w:r>
    </w:p>
    <w:p w14:paraId="31D2EB7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（4）不同投标人的投标文件异常一致或者投标报价呈规律性差异；</w:t>
      </w:r>
    </w:p>
    <w:p w14:paraId="29CA0E45">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（5）不同投标人的投标文件相互混装；</w:t>
      </w:r>
    </w:p>
    <w:p w14:paraId="2C508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（6）不同投标人的投标保证金从同一单位或者个人账户转出。</w:t>
      </w:r>
    </w:p>
    <w:p w14:paraId="400063F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9.3供应商有下列情形之一的，属于恶意串通行为，将报同级监督管理部门：</w:t>
      </w:r>
    </w:p>
    <w:p w14:paraId="7A95675B">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（1）供应商直接或者间接从采购人或者采购代理机构处获得其他供应商的相关信息并修改其投标文件或者响应文件；</w:t>
      </w:r>
    </w:p>
    <w:p w14:paraId="04B47C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（2）供应商按照采购人或者采购代理机构的授意撤换、修改投标文件或者响应文件；</w:t>
      </w:r>
    </w:p>
    <w:p w14:paraId="2712C4C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（3）供应商之间协商报价、技术方案等投标文件或者响应文件的实质性内容；</w:t>
      </w:r>
    </w:p>
    <w:p w14:paraId="4F1D67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（4）属于同一集团、协会、商会等组织成员的供应商按照该组织要求协同参加政府采购活动；</w:t>
      </w:r>
    </w:p>
    <w:p w14:paraId="200994F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4EB2655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（6）供应商之间商定部分供应商放弃参加政府采购活动或者放弃中标；</w:t>
      </w:r>
    </w:p>
    <w:p w14:paraId="26107CF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（7）供应商与采购人或者采购代理机构之间、供应商相互之间，为谋求特定供应商中标或者排斥其他供应商的其他串通行为。</w:t>
      </w:r>
    </w:p>
    <w:p w14:paraId="1C48B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br w:type="column"/>
      </w:r>
    </w:p>
    <w:p w14:paraId="38148074">
      <w:pPr>
        <w:pStyle w:val="4"/>
        <w:keepNext w:val="0"/>
        <w:keepLines w:val="0"/>
        <w:jc w:val="center"/>
        <w:rPr>
          <w:rFonts w:hint="eastAsia" w:ascii="仿宋" w:hAnsi="仿宋" w:eastAsia="仿宋" w:cs="仿宋"/>
          <w:color w:val="auto"/>
          <w:sz w:val="24"/>
          <w:szCs w:val="24"/>
          <w:highlight w:val="none"/>
        </w:rPr>
      </w:pPr>
      <w:bookmarkStart w:id="105" w:name="_Toc254970534"/>
      <w:bookmarkStart w:id="106" w:name="_Toc254970675"/>
      <w:r>
        <w:rPr>
          <w:rFonts w:hint="eastAsia" w:ascii="仿宋" w:hAnsi="仿宋" w:eastAsia="仿宋" w:cs="仿宋"/>
          <w:color w:val="auto"/>
          <w:sz w:val="24"/>
          <w:szCs w:val="24"/>
          <w:highlight w:val="none"/>
        </w:rPr>
        <w:t>二、招标文件</w:t>
      </w:r>
      <w:bookmarkEnd w:id="105"/>
      <w:bookmarkEnd w:id="106"/>
    </w:p>
    <w:p w14:paraId="19FD620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0483226F">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10.1招标公告；</w:t>
      </w:r>
    </w:p>
    <w:p w14:paraId="73DA88BE">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10.2采购需求； </w:t>
      </w:r>
    </w:p>
    <w:p w14:paraId="05DF608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10.3投标人须知；</w:t>
      </w:r>
    </w:p>
    <w:p w14:paraId="34E6BDEB">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10.4评标方法及评标标准；</w:t>
      </w:r>
    </w:p>
    <w:p w14:paraId="2CBE4D92">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10.5拟签订的合同文本；</w:t>
      </w:r>
    </w:p>
    <w:p w14:paraId="7B26954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10.6投标文件格式。</w:t>
      </w:r>
    </w:p>
    <w:p w14:paraId="0EDEC43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7209D7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64811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23BAB1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bookmarkStart w:id="107" w:name="_Hlk53134511"/>
      <w:r>
        <w:rPr>
          <w:rFonts w:hint="eastAsia" w:ascii="仿宋" w:hAnsi="仿宋" w:eastAsia="仿宋" w:cs="仿宋"/>
          <w:color w:val="auto"/>
          <w:sz w:val="24"/>
          <w:highlight w:val="none"/>
        </w:rPr>
        <w:t>采购人或者采购代理机构可以在招标文件提供期限截止后，组织已获取招标文件的潜在投标人现场考察或者召开开标前答疑会，具体详见“投标人须知前附表”。</w:t>
      </w:r>
    </w:p>
    <w:p w14:paraId="2ED4FA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bookmarkEnd w:id="107"/>
    <w:p w14:paraId="4D626F5F">
      <w:pPr>
        <w:pStyle w:val="4"/>
        <w:keepNext w:val="0"/>
        <w:keepLines w:val="0"/>
        <w:jc w:val="center"/>
        <w:rPr>
          <w:rFonts w:hint="eastAsia" w:ascii="仿宋" w:hAnsi="仿宋" w:eastAsia="仿宋" w:cs="仿宋"/>
          <w:color w:val="auto"/>
          <w:sz w:val="24"/>
          <w:szCs w:val="24"/>
          <w:highlight w:val="none"/>
        </w:rPr>
      </w:pPr>
      <w:bookmarkStart w:id="108" w:name="_Toc254970535"/>
      <w:bookmarkStart w:id="109" w:name="_Toc254970676"/>
      <w:r>
        <w:rPr>
          <w:rFonts w:hint="eastAsia" w:ascii="仿宋" w:hAnsi="仿宋" w:eastAsia="仿宋" w:cs="仿宋"/>
          <w:color w:val="auto"/>
          <w:sz w:val="24"/>
          <w:szCs w:val="24"/>
          <w:highlight w:val="none"/>
        </w:rPr>
        <w:t>三、投标文件的编制</w:t>
      </w:r>
      <w:bookmarkEnd w:id="108"/>
      <w:bookmarkEnd w:id="109"/>
    </w:p>
    <w:p w14:paraId="06AFC47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10" w:name="_Toc254970677"/>
      <w:bookmarkStart w:id="111" w:name="_Toc254970536"/>
      <w:bookmarkStart w:id="112" w:name="_Toc254970685"/>
      <w:bookmarkStart w:id="113" w:name="_Toc254970544"/>
      <w:r>
        <w:rPr>
          <w:rFonts w:hint="eastAsia" w:ascii="仿宋" w:hAnsi="仿宋" w:eastAsia="仿宋" w:cs="仿宋"/>
          <w:color w:val="auto"/>
          <w:sz w:val="24"/>
          <w:highlight w:val="none"/>
        </w:rPr>
        <w:t>12.投标文件的编制原则</w:t>
      </w:r>
    </w:p>
    <w:p w14:paraId="3D618FA7">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投标人必须按照招标文件的要求编制投标文件。投标文件必须对招标文件提出的要求和条件作出明确响应。</w:t>
      </w:r>
    </w:p>
    <w:p w14:paraId="2091A44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110"/>
      <w:bookmarkEnd w:id="111"/>
    </w:p>
    <w:p w14:paraId="535C27D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投标文件由报价文件、资格证明文件、商务文件、技术文件四部分组成。</w:t>
      </w:r>
    </w:p>
    <w:p w14:paraId="5EB7A656">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4" w:name="_13.1报价文件:_具体材料见“投标人须知前附表”。"/>
      <w:bookmarkEnd w:id="114"/>
      <w:r>
        <w:rPr>
          <w:rFonts w:hint="eastAsia" w:ascii="仿宋" w:hAnsi="仿宋" w:eastAsia="仿宋" w:cs="仿宋"/>
          <w:b w:val="0"/>
          <w:color w:val="auto"/>
          <w:sz w:val="24"/>
          <w:highlight w:val="none"/>
        </w:rPr>
        <w:t>（1）报价文件：具体材料见“投标人须知前附表”。</w:t>
      </w:r>
    </w:p>
    <w:p w14:paraId="4EB0911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5" w:name="_13.2资格证明文件：具体材料见“投标人须知前附表”。"/>
      <w:bookmarkEnd w:id="115"/>
      <w:r>
        <w:rPr>
          <w:rFonts w:hint="eastAsia" w:ascii="仿宋" w:hAnsi="仿宋" w:eastAsia="仿宋" w:cs="仿宋"/>
          <w:b w:val="0"/>
          <w:color w:val="auto"/>
          <w:sz w:val="24"/>
          <w:highlight w:val="none"/>
        </w:rPr>
        <w:t>（2）资格证明文件：具体材料见“投标人须知前附表”。</w:t>
      </w:r>
    </w:p>
    <w:p w14:paraId="68B6C3E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6" w:name="_13.3商务文件:_具体材料见“投标人须知前附表”。"/>
      <w:bookmarkEnd w:id="116"/>
      <w:r>
        <w:rPr>
          <w:rFonts w:hint="eastAsia" w:ascii="仿宋" w:hAnsi="仿宋" w:eastAsia="仿宋" w:cs="仿宋"/>
          <w:b w:val="0"/>
          <w:color w:val="auto"/>
          <w:sz w:val="24"/>
          <w:highlight w:val="none"/>
        </w:rPr>
        <w:t>（3）商务文件：具体材料见“投标人须知前附表”。</w:t>
      </w:r>
    </w:p>
    <w:p w14:paraId="3BADECC4">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7" w:name="_13.4技术文件：具体材料见“投标人须知前附表”。"/>
      <w:bookmarkEnd w:id="117"/>
      <w:r>
        <w:rPr>
          <w:rFonts w:hint="eastAsia" w:ascii="仿宋" w:hAnsi="仿宋" w:eastAsia="仿宋" w:cs="仿宋"/>
          <w:b w:val="0"/>
          <w:color w:val="auto"/>
          <w:sz w:val="24"/>
          <w:highlight w:val="none"/>
        </w:rPr>
        <w:t>（4）技术文件：具体材料见“投标人须知前附表”。</w:t>
      </w:r>
    </w:p>
    <w:p w14:paraId="4CAE6D73">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18" w:name="_13.5投标文件电子版：具体材料见“投标人须知前附表”。"/>
      <w:bookmarkEnd w:id="118"/>
      <w:bookmarkStart w:id="119" w:name="_Toc254970537"/>
      <w:bookmarkStart w:id="120" w:name="_Toc254970678"/>
      <w:r>
        <w:rPr>
          <w:rFonts w:hint="eastAsia" w:ascii="仿宋" w:hAnsi="仿宋" w:eastAsia="仿宋" w:cs="仿宋"/>
          <w:color w:val="auto"/>
          <w:sz w:val="24"/>
          <w:highlight w:val="none"/>
        </w:rPr>
        <w:t>14.投标文件的语言及计量</w:t>
      </w:r>
      <w:bookmarkEnd w:id="119"/>
      <w:bookmarkEnd w:id="120"/>
    </w:p>
    <w:p w14:paraId="3D6D41EF">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14.1语言文字</w:t>
      </w:r>
    </w:p>
    <w:p w14:paraId="62A6E8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B523D95">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14.2投标计量单位</w:t>
      </w:r>
    </w:p>
    <w:p w14:paraId="506CB6A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招标文件已有明确规定的，使用招标文件规定的计量单位；招标文件没有规定的，应采用中华人民共和国法定计量单位，货币种类为人民币，否则视同未响应。</w:t>
      </w:r>
    </w:p>
    <w:p w14:paraId="47FF772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2EEE56DC">
      <w:pPr>
        <w:pStyle w:val="23"/>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投标人没有按照招标文件要求提供全部资料，或者投标人没有对招标文件作出实质性响应是投标人的风险，并可能导致其投标被拒绝。</w:t>
      </w:r>
    </w:p>
    <w:p w14:paraId="1BDDB16E">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1" w:name="_Toc254970679"/>
      <w:bookmarkStart w:id="122" w:name="_Toc254970538"/>
      <w:r>
        <w:rPr>
          <w:rFonts w:hint="eastAsia" w:ascii="仿宋" w:hAnsi="仿宋" w:eastAsia="仿宋" w:cs="仿宋"/>
          <w:color w:val="auto"/>
          <w:sz w:val="24"/>
          <w:highlight w:val="none"/>
        </w:rPr>
        <w:t>16.投标报价</w:t>
      </w:r>
      <w:bookmarkEnd w:id="121"/>
      <w:bookmarkEnd w:id="122"/>
    </w:p>
    <w:p w14:paraId="7D5156C1">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16.1投标报价应按“第六章　投标文件格式”中“开标一览表”格式填写。</w:t>
      </w:r>
    </w:p>
    <w:p w14:paraId="2AD7B2C2">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3" w:name="_16.2投标报价具体定义见投标人须知前附表。"/>
      <w:bookmarkEnd w:id="123"/>
      <w:r>
        <w:rPr>
          <w:rFonts w:hint="eastAsia" w:ascii="仿宋" w:hAnsi="仿宋" w:eastAsia="仿宋" w:cs="仿宋"/>
          <w:b w:val="0"/>
          <w:color w:val="auto"/>
          <w:sz w:val="24"/>
          <w:highlight w:val="none"/>
        </w:rPr>
        <w:t>16.2投标报价具体包括内容详见“投标人须知前附表”。</w:t>
      </w:r>
    </w:p>
    <w:p w14:paraId="2CE86732">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16.3投标人必须就所投每个分标的全部内容分别作完整唯一总价报价，不得存在漏项报价；投标人必须就所投分标的单项内容作唯一报价。</w:t>
      </w:r>
    </w:p>
    <w:p w14:paraId="27A4335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629E554B">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4" w:name="_17.1投标有效期应按“投标人须知中的前附表”规定的期限。"/>
      <w:bookmarkEnd w:id="124"/>
      <w:r>
        <w:rPr>
          <w:rFonts w:hint="eastAsia" w:ascii="仿宋" w:hAnsi="仿宋" w:eastAsia="仿宋" w:cs="仿宋"/>
          <w:b w:val="0"/>
          <w:color w:val="auto"/>
          <w:sz w:val="24"/>
          <w:highlight w:val="none"/>
        </w:rPr>
        <w:t>17.1投标有效期是指为保证采购人有足够的时间在开标后完成评标、定标、合同签订等工作而要求投标人提交的投标文件在一定时间内保持有效的期限。</w:t>
      </w:r>
    </w:p>
    <w:p w14:paraId="11735DE3">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17.2</w:t>
      </w:r>
      <w:bookmarkStart w:id="125" w:name="_Toc254970681"/>
      <w:bookmarkStart w:id="126" w:name="_Toc254970540"/>
      <w:r>
        <w:rPr>
          <w:rFonts w:hint="eastAsia" w:ascii="仿宋" w:hAnsi="仿宋" w:eastAsia="仿宋" w:cs="仿宋"/>
          <w:b w:val="0"/>
          <w:color w:val="auto"/>
          <w:sz w:val="24"/>
          <w:highlight w:val="none"/>
        </w:rPr>
        <w:t xml:space="preserve"> 投标有效期应按规定的期限作出承诺，具体详见“投标人须知前附表”。</w:t>
      </w:r>
    </w:p>
    <w:p w14:paraId="23FC3F3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17.3投标人的投标文件在投标有效期内均保持有效。</w:t>
      </w:r>
      <w:bookmarkEnd w:id="125"/>
      <w:bookmarkEnd w:id="126"/>
    </w:p>
    <w:p w14:paraId="3709A005">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7" w:name="_18.投标保证金"/>
      <w:bookmarkEnd w:id="127"/>
      <w:bookmarkStart w:id="128" w:name="_Toc254970682"/>
      <w:bookmarkStart w:id="129" w:name="_Toc254970541"/>
      <w:r>
        <w:rPr>
          <w:rFonts w:hint="eastAsia" w:ascii="仿宋" w:hAnsi="仿宋" w:eastAsia="仿宋" w:cs="仿宋"/>
          <w:color w:val="auto"/>
          <w:sz w:val="24"/>
          <w:highlight w:val="none"/>
        </w:rPr>
        <w:t>18.投标保证金</w:t>
      </w:r>
      <w:bookmarkEnd w:id="128"/>
      <w:bookmarkEnd w:id="129"/>
    </w:p>
    <w:p w14:paraId="2ECB4445">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18.1投标人须按“投标人须知前附表” 的规定提交投标保证金。</w:t>
      </w:r>
    </w:p>
    <w:p w14:paraId="6640453C">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18.2投标保证金的退还</w:t>
      </w:r>
    </w:p>
    <w:p w14:paraId="2D45C964">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18.2.1未中标人的投标保证金自中标通知书发出之日起5个工作日内退还，退还方式如下：</w:t>
      </w:r>
    </w:p>
    <w:p w14:paraId="5811DD91">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（1）采用银行转账方式的，以转账方式退回到投标人银行账户。</w:t>
      </w:r>
    </w:p>
    <w:p w14:paraId="0813AFD8">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采用支票、汇票、本票或者金融、担保机构出具的保函方式的，由投标人代表持相关授权证明材料至采购人或者采购代理机构办理支票、汇票、本票或者金融、担保机构出具的保函、保险机构的保单原件退还手续。</w:t>
      </w:r>
    </w:p>
    <w:p w14:paraId="7FB2E137">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18.2.2中标人的投标保证金自采购合同签订之日起5个工作日内退还，退还方式同本须知正文第18.2.1。 </w:t>
      </w:r>
    </w:p>
    <w:p w14:paraId="311DAA04">
      <w:pPr>
        <w:pStyle w:val="5"/>
        <w:keepNext w:val="0"/>
        <w:keepLines w:val="0"/>
        <w:numPr>
          <w:ilvl w:val="0"/>
          <w:numId w:val="0"/>
        </w:numPr>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18.3除逾期退还投标保证金和终止招标的情形以外，投标保证金采用银行转账缴纳方式的按银行同期存款利息计息退还。</w:t>
      </w:r>
    </w:p>
    <w:p w14:paraId="2ED9B4CA">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18.4投标人有下列情形之一的，投标保证金将不予退还： </w:t>
      </w:r>
    </w:p>
    <w:p w14:paraId="23016FE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（1）投标人在投标有效期内撤销投标文件的；</w:t>
      </w:r>
    </w:p>
    <w:p w14:paraId="5ACD6AD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1B7B6C9E">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（3）投标人在投标过程中弄虚作假，提供虚假材料的；</w:t>
      </w:r>
    </w:p>
    <w:p w14:paraId="1D209465">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（4）中标人无正当理由不与采购人签订合同的；</w:t>
      </w:r>
    </w:p>
    <w:p w14:paraId="30DDDEA8">
      <w:pPr>
        <w:snapToGrid w:val="0"/>
        <w:spacing w:line="360" w:lineRule="auto"/>
        <w:ind w:firstLine="480" w:firstLineChars="200"/>
        <w:rPr>
          <w:rFonts w:hint="eastAsia" w:ascii="仿宋" w:hAnsi="仿宋" w:eastAsia="仿宋" w:cs="仿宋"/>
          <w:color w:val="auto"/>
          <w:sz w:val="24"/>
          <w:highlight w:val="none"/>
        </w:rPr>
      </w:pPr>
      <w:bookmarkStart w:id="130" w:name="_Toc254970542"/>
      <w:bookmarkStart w:id="131" w:name="_Toc254970683"/>
      <w:r>
        <w:rPr>
          <w:rFonts w:hint="eastAsia" w:ascii="仿宋" w:hAnsi="仿宋" w:eastAsia="仿宋" w:cs="仿宋"/>
          <w:color w:val="auto"/>
          <w:sz w:val="24"/>
          <w:highlight w:val="none"/>
        </w:rPr>
        <w:t>（5）投标人出现本章第9.2、9.3情形的；</w:t>
      </w:r>
    </w:p>
    <w:p w14:paraId="6EC910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（6）其他严重扰乱招投标程序的。</w:t>
      </w:r>
    </w:p>
    <w:p w14:paraId="2F64CF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19.投标文件的</w:t>
      </w:r>
      <w:bookmarkEnd w:id="130"/>
      <w:bookmarkEnd w:id="131"/>
      <w:r>
        <w:rPr>
          <w:rFonts w:hint="eastAsia" w:ascii="仿宋" w:hAnsi="仿宋" w:eastAsia="仿宋" w:cs="仿宋"/>
          <w:color w:val="auto"/>
          <w:sz w:val="24"/>
          <w:highlight w:val="none"/>
        </w:rPr>
        <w:t>编制</w:t>
      </w:r>
    </w:p>
    <w:p w14:paraId="01B584B1">
      <w:pPr>
        <w:pStyle w:val="5"/>
        <w:keepNext w:val="0"/>
        <w:keepLines w:val="0"/>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0EDE43F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bookmarkStart w:id="132" w:name="_19.2投标文件应按报价文件、资格证明文件、商务文件、技术文件分别编制"/>
      <w:bookmarkEnd w:id="132"/>
      <w:r>
        <w:rPr>
          <w:rFonts w:hint="eastAsia" w:ascii="仿宋" w:hAnsi="仿宋" w:eastAsia="仿宋" w:cs="仿宋"/>
          <w:b w:val="0"/>
          <w:color w:val="auto"/>
          <w:sz w:val="24"/>
          <w:highlight w:val="none"/>
        </w:rPr>
        <w:t xml:space="preserve"> 19.2投标文件按照招标文件第六章格式要求在规定位置进行签署、盖章。投标人的投标文件未按照招标文件要求签署、盖章的，</w:t>
      </w:r>
      <w:r>
        <w:rPr>
          <w:rFonts w:hint="eastAsia" w:ascii="仿宋" w:hAnsi="仿宋" w:eastAsia="仿宋" w:cs="仿宋"/>
          <w:bCs/>
          <w:color w:val="auto"/>
          <w:sz w:val="24"/>
          <w:highlight w:val="none"/>
        </w:rPr>
        <w:t>其投标无效</w:t>
      </w:r>
      <w:r>
        <w:rPr>
          <w:rFonts w:hint="eastAsia" w:ascii="仿宋" w:hAnsi="仿宋" w:eastAsia="仿宋" w:cs="仿宋"/>
          <w:b w:val="0"/>
          <w:color w:val="auto"/>
          <w:sz w:val="24"/>
          <w:highlight w:val="none"/>
        </w:rPr>
        <w:t>。招标文件要求法定代表人或委托代理人签字的部分应使用CA签章；如法定代表人或委托代理人未办理CA锁的，可以打印手写签字后扫描或者拍照做成PDF格式上传，无签字的作无效投标处理。骑缝盖公章不视为在规定位置盖章。</w:t>
      </w:r>
    </w:p>
    <w:p w14:paraId="3F0C469C">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19.3为确保网上操作合法、有效和安全，投标人应当在投标截止时间前完成在广西政府采购云平台的身份认证，确保在电子投标过程中能够对相关数据电文进行加密和使用电子签章。</w:t>
      </w:r>
    </w:p>
    <w:p w14:paraId="2122E88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19.4投标文件中标注的投标人名称应与主体资格证明（如营业执照、事业单位法人证书、执业许可证、自然人身份证等）及公章（或电子签章）一致，并与广西政府采购云平台中获取招标文件的投标人名称一致，投标人为自然人的，标注的投标人名称应与身份证姓名及签名一致，</w:t>
      </w:r>
      <w:r>
        <w:rPr>
          <w:rFonts w:hint="eastAsia" w:ascii="仿宋" w:hAnsi="仿宋" w:eastAsia="仿宋" w:cs="仿宋"/>
          <w:color w:val="auto"/>
          <w:sz w:val="24"/>
          <w:highlight w:val="none"/>
        </w:rPr>
        <w:t>否则按无效投标处理</w:t>
      </w:r>
      <w:r>
        <w:rPr>
          <w:rFonts w:hint="eastAsia" w:ascii="仿宋" w:hAnsi="仿宋" w:eastAsia="仿宋" w:cs="仿宋"/>
          <w:b w:val="0"/>
          <w:color w:val="auto"/>
          <w:sz w:val="24"/>
          <w:highlight w:val="none"/>
        </w:rPr>
        <w:t>。</w:t>
      </w:r>
    </w:p>
    <w:p w14:paraId="0B66EABB">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5A1C5D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19.6对招标文件的实质性要求和条件作出响应是指投标人必须对招标文件中标注为实质性要求和条件的服务内容及要求、商务条款及其它内容作出满足或者优于原要求和条件的承诺。</w:t>
      </w:r>
    </w:p>
    <w:p w14:paraId="2CB08C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20.备份投标文件</w:t>
      </w:r>
    </w:p>
    <w:p w14:paraId="496085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详见在“投标人须知前附表”</w:t>
      </w:r>
    </w:p>
    <w:p w14:paraId="04C040A1">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20.1.投标人如提交电子备份文件的，应将电子备份投标文件装入到一个投标文件袋内加以密封（要求文件袋无明显缝隙露出袋内文件）；电子备份投标文件袋在每一封贴处密封签章【公章、密封章、法定代表人（负责人）、委托代理人签字等均可】。</w:t>
      </w:r>
    </w:p>
    <w:p w14:paraId="63E7FB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电子备份投标文件袋的包装封面上应注明投标人名称、投标人地址、投标文件名称（电子备份投标文件）、投标项目名称、项目编号、并加盖投标人公章，并注明“开标时才能启封”。</w:t>
      </w:r>
    </w:p>
    <w:p w14:paraId="30852FFA">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20.2逾期送达或者未按照招标文件要求密封的电子备份投标文件将被拒绝，由此造成电子备份投标文件被误投或提前拆封的风险由投标人承担。</w:t>
      </w:r>
    </w:p>
    <w:p w14:paraId="59FFDA2F">
      <w:pPr>
        <w:pStyle w:val="5"/>
        <w:keepNext w:val="0"/>
        <w:keepLines w:val="0"/>
        <w:spacing w:before="0" w:after="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20.3投标人在投标截止时间之前，可以对已提交的电子备份投标文件进行修改或撤回，并书面通知采购人；投标截止时间后，投标人不得撤回、修改电子备份投标文件。修改后重新递交的电子备份投标文件应当按本招标文件的要求签署、盖章和密封。</w:t>
      </w:r>
    </w:p>
    <w:p w14:paraId="6152FE5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21.投标文件的密封</w:t>
      </w:r>
    </w:p>
    <w:p w14:paraId="41959C8D">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投标文件必须在“投标人须知前附表”规定的投标文件提交截止时间和提交地点提交电子投标文件。电子投标文件应在制作完成后，在投标文件提交截止时间前通过有效数字证书（CA认证锁）进行电子签章、加密，然后通过网络将加密的电子投标文件递交至广西政府采购云平台（https://www.gcy.zfcg.gxzf.gov.cn/）。 </w:t>
      </w:r>
    </w:p>
    <w:p w14:paraId="08341C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22.投标文件的提交</w:t>
      </w:r>
    </w:p>
    <w:p w14:paraId="05622ACB">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bookmarkStart w:id="133" w:name="_21.1投标人必须在“投标人须知中的前附表”规定的投标文件接收时间和投"/>
      <w:bookmarkEnd w:id="133"/>
      <w:r>
        <w:rPr>
          <w:rFonts w:hint="eastAsia" w:ascii="仿宋" w:hAnsi="仿宋" w:eastAsia="仿宋" w:cs="仿宋"/>
          <w:b w:val="0"/>
          <w:color w:val="auto"/>
          <w:sz w:val="24"/>
          <w:highlight w:val="none"/>
        </w:rPr>
        <w:t>22.1投标人必须在“投标人须知前附表”规定的投标文件接收时间和投标地点提交投标文件。</w:t>
      </w:r>
    </w:p>
    <w:p w14:paraId="0DB9903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22.2采购代理机构工作人员收到投标文件后，应当如实记载投标文件的送达时间和密封情况，签收保存，并向投标人出具签收回执。</w:t>
      </w:r>
    </w:p>
    <w:p w14:paraId="0853E441">
      <w:pPr>
        <w:pStyle w:val="5"/>
        <w:keepNext w:val="0"/>
        <w:keepLines w:val="0"/>
        <w:numPr>
          <w:ilvl w:val="0"/>
          <w:numId w:val="0"/>
        </w:numPr>
        <w:spacing w:before="0" w:after="0" w:line="360" w:lineRule="auto"/>
        <w:ind w:left="420"/>
        <w:rPr>
          <w:rFonts w:hint="eastAsia" w:ascii="仿宋" w:hAnsi="仿宋" w:eastAsia="仿宋" w:cs="仿宋"/>
          <w:color w:val="auto"/>
          <w:sz w:val="24"/>
          <w:highlight w:val="none"/>
        </w:rPr>
      </w:pPr>
      <w:r>
        <w:rPr>
          <w:rFonts w:hint="eastAsia" w:ascii="仿宋" w:hAnsi="仿宋" w:eastAsia="仿宋" w:cs="仿宋"/>
          <w:b w:val="0"/>
          <w:color w:val="auto"/>
          <w:sz w:val="24"/>
          <w:highlight w:val="none"/>
        </w:rPr>
        <w:t>22.3未在规定时间内提交或者未按照招标文件要求密封或者标记的电子投标文件，将予以拒收。</w:t>
      </w:r>
    </w:p>
    <w:p w14:paraId="227159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23.投标文件的补充、修改、撤回与退回</w:t>
      </w:r>
    </w:p>
    <w:p w14:paraId="3A3F0790">
      <w:pPr>
        <w:snapToGrid w:val="0"/>
        <w:spacing w:line="360" w:lineRule="auto"/>
        <w:ind w:firstLine="420"/>
        <w:jc w:val="left"/>
        <w:rPr>
          <w:rFonts w:hint="eastAsia" w:ascii="仿宋" w:hAnsi="仿宋" w:eastAsia="仿宋" w:cs="仿宋"/>
          <w:color w:val="auto"/>
          <w:sz w:val="24"/>
          <w:highlight w:val="none"/>
        </w:rPr>
      </w:pPr>
      <w:bookmarkStart w:id="134" w:name="_Toc254970543"/>
      <w:bookmarkStart w:id="135" w:name="_Toc254970684"/>
      <w:r>
        <w:rPr>
          <w:rFonts w:hint="eastAsia" w:ascii="仿宋" w:hAnsi="仿宋" w:eastAsia="仿宋" w:cs="仿宋"/>
          <w:color w:val="auto"/>
          <w:sz w:val="24"/>
          <w:highlight w:val="none"/>
        </w:rPr>
        <w:t>23.1投标人在投标截止时间之前，可以对已提交的投标文件进行补充、修改或者撤回，并书面通知采购人或者采购代理机构。补充、修改的内容必须按照本须知前附表第19.2条签署、盖章，并按照本须知正文第21条密封后，作为投标文件的组成部分</w:t>
      </w:r>
      <w:r>
        <w:rPr>
          <w:rFonts w:hint="eastAsia" w:ascii="仿宋" w:hAnsi="仿宋" w:eastAsia="仿宋" w:cs="仿宋"/>
          <w:b/>
          <w:color w:val="auto"/>
          <w:sz w:val="24"/>
          <w:highlight w:val="none"/>
        </w:rPr>
        <w:t>。</w:t>
      </w:r>
    </w:p>
    <w:bookmarkEnd w:id="134"/>
    <w:bookmarkEnd w:id="135"/>
    <w:p w14:paraId="14F4DC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23.2在投标截止时间止提交投标文件的投标人不足3家时，应当由投标人签字领回投标文件（如需提交纸质投标文件时），除此之外采购人和采购代理机构对已提交的投标文件概不退回。</w:t>
      </w:r>
    </w:p>
    <w:p w14:paraId="558233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 投标人在投标截止时间后向采购人、采购代理机构书面申请撤回投标文件的，将根据本须知正文18.4的规定不予退还其投标保证金。</w:t>
      </w:r>
    </w:p>
    <w:p w14:paraId="5932A9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p w14:paraId="67F02919">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四、开    标</w:t>
      </w:r>
      <w:bookmarkEnd w:id="112"/>
      <w:bookmarkEnd w:id="113"/>
    </w:p>
    <w:p w14:paraId="7206786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6" w:name="_23.开标时间和地点"/>
      <w:bookmarkEnd w:id="136"/>
      <w:r>
        <w:rPr>
          <w:rFonts w:hint="eastAsia" w:ascii="仿宋" w:hAnsi="仿宋" w:eastAsia="仿宋" w:cs="仿宋"/>
          <w:color w:val="auto"/>
          <w:sz w:val="24"/>
          <w:highlight w:val="none"/>
        </w:rPr>
        <w:t>24.开标时间和地点</w:t>
      </w:r>
    </w:p>
    <w:p w14:paraId="133CD04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24.1开标时间及地点详见“投标人须知前附表”</w:t>
      </w:r>
    </w:p>
    <w:p w14:paraId="61DD0C9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24.2如投标人成功解密投标文件，但未在广西政府采购云平台电子开标大厅参加开标的，视同认可开标过程和结果，由此产生的后果由投标人自行负责。投标人不足3家的，不得开标。</w:t>
      </w:r>
    </w:p>
    <w:p w14:paraId="2B2CBA4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25.开标程序</w:t>
      </w:r>
    </w:p>
    <w:p w14:paraId="0D8260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25.1开标形式：</w:t>
      </w:r>
    </w:p>
    <w:p w14:paraId="049B7C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（1）开标的准备工作由采购代理机构负责落实，采购人或采购代理机构必须基于</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选取评审专家，如采购人或采购代理机构未按规定选取专家的，视为本次开评标无效，应当重新采购；</w:t>
      </w:r>
    </w:p>
    <w:p w14:paraId="20F15E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（2）采购人或采购代理机构将按照招标文件规定的时间通过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5051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25.2开标程序：</w:t>
      </w:r>
    </w:p>
    <w:p w14:paraId="57296C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（1）解密电子投标文件。</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按开标时间自动提取所有投标文件。采购代理机构依托</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向各投标人发出电子加密投标文件【开始解密】通知，由投标人按招标文件规定的时间内自行进行投标文件解密。投标人的法定代表人或其委托代理人须携带加密时所用的CA锁准时登录到</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开标大厅签到并对电子投标文件解密，在线解密时间为30分钟。开标后5分钟投标人还未进行解密的，代理机构要通知投标人。通知后，投标文件仍未按时解密，或者投标人没预留联系方式或预留联系方式无效，导致代理机构无法联系到投标人进行解密的，均视为无效投标。</w:t>
      </w:r>
    </w:p>
    <w:p w14:paraId="2DF209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（解密异常情况处理：详见本章30.3 电子交易活动的中止。）</w:t>
      </w:r>
    </w:p>
    <w:p w14:paraId="36D560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（2）电子唱标。投标文件解密结束，各投标人报价均在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远程不见面开标大厅展示；</w:t>
      </w:r>
    </w:p>
    <w:p w14:paraId="2F07FC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（3）签署电子《政府采购活动现场确认声明书》。通过邮件形式在远程不见面开标大厅发送各投标人签署电子《政府采购活动现场确认声明书》。</w:t>
      </w:r>
    </w:p>
    <w:p w14:paraId="162F1B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EBA7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F6DE0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（6）开标结束。</w:t>
      </w:r>
    </w:p>
    <w:p w14:paraId="61273A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特别说明：如遇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电子化开标或评审程序调整的，按调整后执行。</w:t>
      </w:r>
    </w:p>
    <w:p w14:paraId="14764EDE">
      <w:pPr>
        <w:pStyle w:val="4"/>
        <w:keepNext w:val="0"/>
        <w:keepLines w:val="0"/>
        <w:jc w:val="center"/>
        <w:rPr>
          <w:rFonts w:hint="eastAsia" w:ascii="仿宋" w:hAnsi="仿宋" w:eastAsia="仿宋" w:cs="仿宋"/>
          <w:color w:val="auto"/>
          <w:sz w:val="24"/>
          <w:szCs w:val="24"/>
          <w:highlight w:val="none"/>
        </w:rPr>
        <w:sectPr>
          <w:headerReference r:id="rId11" w:type="first"/>
          <w:footerReference r:id="rId13" w:type="first"/>
          <w:headerReference r:id="rId10" w:type="default"/>
          <w:footerReference r:id="rId12" w:type="default"/>
          <w:pgSz w:w="11906" w:h="16838"/>
          <w:pgMar w:top="1134" w:right="1247" w:bottom="1559" w:left="1247" w:header="851" w:footer="992" w:gutter="0"/>
          <w:pgNumType w:fmt="decimal"/>
          <w:cols w:space="720" w:num="1"/>
          <w:titlePg/>
          <w:docGrid w:linePitch="312" w:charSpace="0"/>
        </w:sectPr>
      </w:pPr>
    </w:p>
    <w:p w14:paraId="6A2BC23C">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五、资格审查</w:t>
      </w:r>
    </w:p>
    <w:p w14:paraId="0159993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26.资格审查</w:t>
      </w:r>
    </w:p>
    <w:p w14:paraId="284E5A9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26.1开标结束后，</w:t>
      </w:r>
      <w:r>
        <w:rPr>
          <w:rFonts w:hint="eastAsia" w:ascii="仿宋" w:hAnsi="仿宋" w:eastAsia="仿宋" w:cs="仿宋"/>
          <w:bCs/>
          <w:color w:val="auto"/>
          <w:sz w:val="24"/>
          <w:highlight w:val="none"/>
        </w:rPr>
        <w:t>采购人或采购代理机构依法通过电子投标文件对投标人的资格进行线上审查</w:t>
      </w:r>
      <w:r>
        <w:rPr>
          <w:rFonts w:hint="eastAsia" w:ascii="仿宋" w:hAnsi="仿宋" w:eastAsia="仿宋" w:cs="仿宋"/>
          <w:b w:val="0"/>
          <w:color w:val="auto"/>
          <w:sz w:val="24"/>
          <w:highlight w:val="none"/>
        </w:rPr>
        <w:t>。</w:t>
      </w:r>
    </w:p>
    <w:p w14:paraId="5ECE701A">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26.2采购人或采购代理机构依据法律法规和招标文件的规定，对投标人的基本资格条件、特定资格条件进行审查。</w:t>
      </w:r>
    </w:p>
    <w:p w14:paraId="4F390EED">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26.3资格审查标准为详见“第四章 评标方法及评标标准”。本项目资格审查采用合格制，凡符合招标文件规定的投标人资格要求的投标人均通过资格审查。</w:t>
      </w:r>
    </w:p>
    <w:p w14:paraId="6D9D0C7C">
      <w:pPr>
        <w:pStyle w:val="5"/>
        <w:keepNext w:val="0"/>
        <w:keepLines w:val="0"/>
        <w:numPr>
          <w:ilvl w:val="0"/>
          <w:numId w:val="0"/>
        </w:numPr>
        <w:spacing w:before="0" w:after="0" w:line="360" w:lineRule="auto"/>
        <w:ind w:firstLine="482" w:firstLineChars="200"/>
        <w:rPr>
          <w:rFonts w:hint="eastAsia" w:ascii="仿宋" w:hAnsi="仿宋" w:eastAsia="仿宋" w:cs="仿宋"/>
          <w:color w:val="auto"/>
          <w:sz w:val="24"/>
          <w:highlight w:val="none"/>
        </w:rPr>
      </w:pPr>
      <w:bookmarkStart w:id="137" w:name="_25.3_投标人有下列情形之一的，资格审查不通过而导致其投标无效："/>
      <w:bookmarkEnd w:id="137"/>
      <w:r>
        <w:rPr>
          <w:rFonts w:hint="eastAsia" w:ascii="仿宋" w:hAnsi="仿宋" w:eastAsia="仿宋" w:cs="仿宋"/>
          <w:color w:val="auto"/>
          <w:sz w:val="24"/>
          <w:highlight w:val="none"/>
        </w:rPr>
        <w:t>26.4 投标人有下列情形之一的，资格审查不通过，作无效投标处理：</w:t>
      </w:r>
    </w:p>
    <w:p w14:paraId="46987113">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（1）未按招标文件规定的方式获取本招标文件的投标人；</w:t>
      </w:r>
    </w:p>
    <w:p w14:paraId="306E311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（2）不具备招标文件中规定的资格要求的；（注：其中信用查询规则见“投标人须知前附表”）</w:t>
      </w:r>
    </w:p>
    <w:p w14:paraId="5F07E728">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（3）投标文件未提供任一项“投标人须知前附表”资格证明文件规定的“必须提供”的文件资料的；</w:t>
      </w:r>
    </w:p>
    <w:p w14:paraId="3EF2EAF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（4）投标文件提供的资格证明文件出现任一项不符合“投标人须知前附表”资格证明文件规定的“必须提供”的文件资料要求或者无效的。</w:t>
      </w:r>
    </w:p>
    <w:p w14:paraId="22E1EC2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26.5资格审查的合格投标人不足3家的，不得评标。</w:t>
      </w:r>
    </w:p>
    <w:p w14:paraId="6E560582">
      <w:pPr>
        <w:keepNext w:val="0"/>
        <w:keepLines w:val="0"/>
        <w:spacing w:before="0" w:after="0" w:line="360" w:lineRule="auto"/>
        <w:ind w:left="420" w:leftChars="200"/>
        <w:outlineLvl w:val="9"/>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br w:type="column"/>
      </w:r>
    </w:p>
    <w:p w14:paraId="088F0FBF">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六、评   标</w:t>
      </w:r>
    </w:p>
    <w:p w14:paraId="4EB3196D">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8" w:name="_26.组建评标委员会"/>
      <w:bookmarkEnd w:id="138"/>
      <w:bookmarkStart w:id="139" w:name="_Toc254970546"/>
      <w:bookmarkStart w:id="140" w:name="_Toc254970687"/>
      <w:r>
        <w:rPr>
          <w:rFonts w:hint="eastAsia" w:ascii="仿宋" w:hAnsi="仿宋" w:eastAsia="仿宋" w:cs="仿宋"/>
          <w:color w:val="auto"/>
          <w:sz w:val="24"/>
          <w:highlight w:val="none"/>
        </w:rPr>
        <w:t>27.组建评标委员会</w:t>
      </w:r>
    </w:p>
    <w:p w14:paraId="2B19CE8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评标委员会由采购人代表和评审专家组成，具体人数详见“投标人须知前附表”，其中评审专家不得少于成员总数的三分之二。</w:t>
      </w:r>
    </w:p>
    <w:p w14:paraId="7E3AEFEA">
      <w:pPr>
        <w:pStyle w:val="23"/>
        <w:snapToGrid w:val="0"/>
        <w:spacing w:line="360" w:lineRule="auto"/>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参加过采购项目前期咨询论证的专家，不得参加该采购项目的评审活动。</w:t>
      </w:r>
    </w:p>
    <w:p w14:paraId="1C6926B2">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28.评标的依据</w:t>
      </w:r>
    </w:p>
    <w:p w14:paraId="4936FEB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评标委员会以招标文件为依据对投标文件进行评审，“第四章 评标方法和评标标准”没有规定的方法、评审因素和标准，不作为评标依据。</w:t>
      </w:r>
    </w:p>
    <w:p w14:paraId="07D8CF0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29.评标原则</w:t>
      </w:r>
    </w:p>
    <w:p w14:paraId="021D0F8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1EC2F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29.2评委表决。在评标过程中出现法律法规和招标文件均没有明确规定的情形时，由评标委员会现场协商解决，协商不一致的，由全体评委投票表决，以得票率二分之一以上专家的意见为准。</w:t>
      </w:r>
      <w:bookmarkStart w:id="141" w:name="_28.3评标方法。本项目将按须知前附表规定的评标办法进行评标，具体评标"/>
      <w:bookmarkEnd w:id="141"/>
    </w:p>
    <w:p w14:paraId="61D87C6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F873D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29.4评标过程的监控。本项目评标过程实行全程录音、录像监控，投标人在评标过程中所进行的试图影响评标结果的不公正活动，可能导致其投标按无效处理。</w:t>
      </w:r>
    </w:p>
    <w:p w14:paraId="6C0204B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30.评标方法及评标标准</w:t>
      </w:r>
    </w:p>
    <w:p w14:paraId="0B0B574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30.1本项目的评标方法详见“投标人须知前附表”。</w:t>
      </w:r>
    </w:p>
    <w:p w14:paraId="4415D8A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评标委员会按照“第四章 评标方法和评标标准”规定的方法、评审因素、标准和程序对投标文件进行评审。</w:t>
      </w:r>
    </w:p>
    <w:p w14:paraId="531BA64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电子交易活动的中止。采购过程中出现以下情形，导致电子交易平台无法正常运行，或者无法保证电子交易的公平、公正和安全时，采购代理机构可中止电子交易活动：</w:t>
      </w:r>
    </w:p>
    <w:p w14:paraId="4109B8D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2539CAFC">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7D02667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7E8E258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1445F3E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（4）其他无法保证电子交易的公平、公正和安全的情况。</w:t>
      </w:r>
    </w:p>
    <w:p w14:paraId="7DC8E06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出现以上情形，不影响采购公平、公正性的，采购组织机构可以待上述情形消除后继续组织电子交易活动；影响或可能影响采购公平、公正性的，应当重新采购。采购代理机构必须对原有的资料及信息作出妥善保密处理，并报财政部门备案。</w:t>
      </w:r>
    </w:p>
    <w:p w14:paraId="131931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77E48F02">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bookmarkEnd w:id="139"/>
      <w:bookmarkEnd w:id="140"/>
      <w:r>
        <w:rPr>
          <w:rFonts w:hint="eastAsia" w:ascii="仿宋" w:hAnsi="仿宋" w:eastAsia="仿宋" w:cs="仿宋"/>
          <w:color w:val="auto"/>
          <w:sz w:val="24"/>
          <w:szCs w:val="24"/>
          <w:highlight w:val="none"/>
        </w:rPr>
        <w:t>中标和合同</w:t>
      </w:r>
    </w:p>
    <w:p w14:paraId="55D54372">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2" w:name="_八、其他事项"/>
      <w:bookmarkEnd w:id="142"/>
      <w:r>
        <w:rPr>
          <w:rFonts w:hint="eastAsia" w:ascii="仿宋" w:hAnsi="仿宋" w:eastAsia="仿宋" w:cs="仿宋"/>
          <w:color w:val="auto"/>
          <w:sz w:val="24"/>
          <w:highlight w:val="none"/>
        </w:rPr>
        <w:t>31 确定中标人</w:t>
      </w:r>
    </w:p>
    <w:p w14:paraId="058F495A">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31.1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0C9B7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31.2采购人在收到评标报告5个工作日内未按评标报告推荐的中标候选人顺序确定中标人，又不能说明合法理由的，视同按评标报告推荐的顺序确定排名第一的中标候选人为中标人。</w:t>
      </w:r>
    </w:p>
    <w:p w14:paraId="2E57369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381D3E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166795F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32.结果公告</w:t>
      </w:r>
    </w:p>
    <w:p w14:paraId="4441744A">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32.1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5EF358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排名第二的中标候选人因前款规定的同样原因被取消中标资格的，采购人可以确定排名第三的中标候选人为中标人，以此类推。</w:t>
      </w:r>
    </w:p>
    <w:p w14:paraId="457A0F2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以上信息查询记录及相关证据与采购文件一并保存。</w:t>
      </w:r>
    </w:p>
    <w:p w14:paraId="5B5E33D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51CF4BB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33.发出中标通知书</w:t>
      </w:r>
    </w:p>
    <w:p w14:paraId="59B6E7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4567CAC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34.无义务解释未中标原因</w:t>
      </w:r>
    </w:p>
    <w:p w14:paraId="14E2FD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采购代理机构无义务向未中标的投标人解释未中标原因和退还投标文件。</w:t>
      </w:r>
    </w:p>
    <w:p w14:paraId="2FCA0AF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35.合同授予标准</w:t>
      </w:r>
    </w:p>
    <w:p w14:paraId="6EBD242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合同将授予被确定实质上响应招标文件要求，具备履行合同能力的中标人（招标文件另有约定多名中标人的除外）。</w:t>
      </w:r>
    </w:p>
    <w:p w14:paraId="72218A84">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36.履约保证金</w:t>
      </w:r>
    </w:p>
    <w:p w14:paraId="387799EF">
      <w:pPr>
        <w:spacing w:line="360" w:lineRule="auto"/>
        <w:ind w:firstLine="480" w:firstLineChars="200"/>
        <w:rPr>
          <w:rFonts w:hint="eastAsia" w:ascii="仿宋" w:hAnsi="仿宋" w:eastAsia="仿宋" w:cs="仿宋"/>
          <w:color w:val="auto"/>
          <w:sz w:val="24"/>
          <w:highlight w:val="none"/>
        </w:rPr>
      </w:pPr>
      <w:bookmarkStart w:id="143" w:name="_39.1中标人须于签订合同前按本须知前附表规定的金额转账或电汇到指定账"/>
      <w:bookmarkEnd w:id="143"/>
      <w:r>
        <w:rPr>
          <w:rFonts w:hint="eastAsia" w:ascii="仿宋" w:hAnsi="仿宋" w:eastAsia="仿宋" w:cs="仿宋"/>
          <w:color w:val="auto"/>
          <w:sz w:val="24"/>
          <w:highlight w:val="none"/>
        </w:rPr>
        <w:t>详见须知前附表。</w:t>
      </w:r>
    </w:p>
    <w:p w14:paraId="444F4CF0">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37.签订合同</w:t>
      </w:r>
    </w:p>
    <w:p w14:paraId="080BE021">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4" w:name="_40.1投标人接到中标通知书后，按须知前附表规定向采购人出示相关资格证"/>
      <w:bookmarkEnd w:id="144"/>
      <w:r>
        <w:rPr>
          <w:rFonts w:hint="eastAsia" w:ascii="仿宋" w:hAnsi="仿宋" w:eastAsia="仿宋" w:cs="仿宋"/>
          <w:b w:val="0"/>
          <w:color w:val="auto"/>
          <w:sz w:val="24"/>
          <w:highlight w:val="none"/>
        </w:rPr>
        <w:t xml:space="preserve"> 37.1投标人领取电子中标通知书后，按“投标人须知前附表”规定向采购人出示相关证明材料，经采购人核验合格后方可签订合同。</w:t>
      </w:r>
    </w:p>
    <w:p w14:paraId="6DFDF35D">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37.2签订合同时间：按中标通知书规定的时间与采购人签订合同（最长不能超过25日）。</w:t>
      </w:r>
    </w:p>
    <w:p w14:paraId="5EEA39BF">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37.3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3330B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6FA9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37.5采购人或中标人不得单方面向合同另一方提出任何招标文件没有约定的条件或不合理的要求，作为签订合同的条件；也不得协商另行订立背离招标文件和合同实质性内容的协议。</w:t>
      </w:r>
    </w:p>
    <w:p w14:paraId="5FDF5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37.6如签订合同并生效后，供应商无故拒绝或延期，除按照合同条款处理外，将承担相应的法律责任。</w:t>
      </w:r>
    </w:p>
    <w:p w14:paraId="6A4D54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37.7采购人需追加与合同标的相同的货物或者服务的，在不改变原合同条款且已报财政部门批准落实资金的前提下，可从原中标人处添购，所签订的补充添置合同的采购资金总额不超过原采购合同金额的10%。</w:t>
      </w:r>
    </w:p>
    <w:p w14:paraId="6570A306">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5" w:name="_41.政府采购合同公告"/>
      <w:bookmarkEnd w:id="145"/>
      <w:r>
        <w:rPr>
          <w:rFonts w:hint="eastAsia" w:ascii="仿宋" w:hAnsi="仿宋" w:eastAsia="仿宋" w:cs="仿宋"/>
          <w:color w:val="auto"/>
          <w:sz w:val="24"/>
          <w:highlight w:val="none"/>
        </w:rPr>
        <w:t>38.政府采购合同公告</w:t>
      </w:r>
    </w:p>
    <w:p w14:paraId="7BACD0B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在以下媒体上发布“广西壮族自治区政府采购网”（http://zfcg.gxzf.gov.cn）上公告，但政府采购合同中涉及国家秘密、商业秘密的内容除外。</w:t>
      </w:r>
    </w:p>
    <w:p w14:paraId="0F0E3D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39.询问、质疑和投诉</w:t>
      </w:r>
    </w:p>
    <w:p w14:paraId="7312E7E8">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39.1供应商对政府采购活动事项有疑问的，可以向采购人提出询问，采购人应当及时作出答复，但答复的内容不得涉及商业秘密。</w:t>
      </w:r>
    </w:p>
    <w:p w14:paraId="1FEC78C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39.2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EA291D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（1）对可以质疑的招标文件提出质疑的，为收到招标文件之日或者招标文件公告期限届满之日；</w:t>
      </w:r>
    </w:p>
    <w:p w14:paraId="0A93F71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32F3C1C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（3）对中标结果提出质疑的，为中标结果公告期限届满之日。</w:t>
      </w:r>
    </w:p>
    <w:p w14:paraId="468E7C1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0B9E2556">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6" w:name="_9.2质疑、投诉应当采用书面形式，质疑函、投诉书均应明确阐述招标文件、"/>
      <w:bookmarkEnd w:id="146"/>
      <w:r>
        <w:rPr>
          <w:rFonts w:hint="eastAsia" w:ascii="仿宋" w:hAnsi="仿宋" w:eastAsia="仿宋" w:cs="仿宋"/>
          <w:b w:val="0"/>
          <w:color w:val="auto"/>
          <w:sz w:val="24"/>
          <w:highlight w:val="none"/>
        </w:rPr>
        <w:t xml:space="preserve"> 39.3 </w:t>
      </w:r>
      <w:r>
        <w:rPr>
          <w:rFonts w:hint="eastAsia" w:ascii="仿宋" w:hAnsi="仿宋" w:eastAsia="仿宋" w:cs="仿宋"/>
          <w:bCs/>
          <w:color w:val="auto"/>
          <w:sz w:val="24"/>
          <w:highlight w:val="none"/>
        </w:rPr>
        <w:t>供应商提出质疑应当提交质疑函和必要的证明材料，针对同一采购程序环节的质疑必须在法定质疑期内一次性提出。质疑函应当包括下列内容（质疑函格式后附）：</w:t>
      </w:r>
    </w:p>
    <w:p w14:paraId="3DD31B0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（1）供应商的姓名或者名称、地址、邮编、联系人及联系电话；</w:t>
      </w:r>
    </w:p>
    <w:p w14:paraId="4A36E066">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14:paraId="12472CC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（3）具体、明确的质疑事项和与质疑事项相关的请求；</w:t>
      </w:r>
    </w:p>
    <w:p w14:paraId="4D95BFA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14:paraId="2489532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（5）必要的法律依据；</w:t>
      </w:r>
    </w:p>
    <w:p w14:paraId="4845B69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（6）提出质疑的日期。</w:t>
      </w:r>
    </w:p>
    <w:p w14:paraId="15EA442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供应商为自然人的，应当由本人签字；供应商为法人或者其他组织的，应当由法定代表人、主要负责人，或者其委托代理人签字或者盖章，并加盖公章。</w:t>
      </w:r>
    </w:p>
    <w:p w14:paraId="72D32E5E">
      <w:pPr>
        <w:pStyle w:val="5"/>
        <w:keepNext w:val="0"/>
        <w:keepLines w:val="0"/>
        <w:snapToGrid w:val="0"/>
        <w:spacing w:before="0" w:after="0"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9.4采购人、采购代理机构认为供应商质疑不成立，或者成立但未对中标结果构成影响的，继续开展采购活动；认为供应商质疑成立且影响或者可能影响中标结果的，按照下列情况处理：</w:t>
      </w:r>
    </w:p>
    <w:p w14:paraId="4AA9DD7F">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5E12BDD6">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（二）对采购过程、中标结果提出的质疑，合格供应商符合法定数量时，可以从合格的中标候选人中另行确定中标人的，应当依法另行确定中标人；否则应当重新开展采购活动。</w:t>
      </w:r>
    </w:p>
    <w:p w14:paraId="6321D272">
      <w:pPr>
        <w:pStyle w:val="23"/>
        <w:snapToGrid w:val="0"/>
        <w:spacing w:line="360" w:lineRule="auto"/>
        <w:ind w:firstLine="42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质疑答复导致中标结果改变的，采购人或者采购代理机构应当将有关情况书面报告本级财政部门。</w:t>
      </w:r>
    </w:p>
    <w:p w14:paraId="42CB3371">
      <w:pPr>
        <w:pStyle w:val="23"/>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39.5</w:t>
      </w:r>
      <w:r>
        <w:rPr>
          <w:rFonts w:hint="eastAsia" w:ascii="仿宋" w:hAnsi="仿宋" w:eastAsia="仿宋" w:cs="仿宋"/>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620C3BF">
      <w:pPr>
        <w:pStyle w:val="23"/>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column"/>
      </w:r>
    </w:p>
    <w:p w14:paraId="557B63B3">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八、其他事项</w:t>
      </w:r>
    </w:p>
    <w:p w14:paraId="1C5D06A0">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7" w:name="_42.代理服务费"/>
      <w:bookmarkEnd w:id="147"/>
      <w:r>
        <w:rPr>
          <w:rFonts w:hint="eastAsia" w:ascii="仿宋" w:hAnsi="仿宋" w:eastAsia="仿宋" w:cs="仿宋"/>
          <w:color w:val="auto"/>
          <w:sz w:val="24"/>
          <w:highlight w:val="none"/>
        </w:rPr>
        <w:t>40.代理服务费</w:t>
      </w:r>
    </w:p>
    <w:p w14:paraId="03AE8DD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40.1代理服务收费标准及缴费账户详见“投标人须知前附表”，投标人为联合体的，可以由联合体中的一方或者多方共同交纳代理服务费。</w:t>
      </w:r>
    </w:p>
    <w:p w14:paraId="76E210FE">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40.2代理服务收费标准：</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BCA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472" w:type="dxa"/>
            <w:tcBorders>
              <w:tl2br w:val="single" w:color="auto" w:sz="4" w:space="0"/>
            </w:tcBorders>
          </w:tcPr>
          <w:p w14:paraId="4092F81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6268B7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中标金额</w:t>
            </w:r>
          </w:p>
        </w:tc>
        <w:tc>
          <w:tcPr>
            <w:tcW w:w="1659" w:type="dxa"/>
            <w:vAlign w:val="center"/>
          </w:tcPr>
          <w:p w14:paraId="561DD119">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6E9905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38E913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32F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8CE9D4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6A940DF6">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1.5%                </w:t>
            </w:r>
          </w:p>
        </w:tc>
        <w:tc>
          <w:tcPr>
            <w:tcW w:w="1687" w:type="dxa"/>
          </w:tcPr>
          <w:p w14:paraId="2925DA5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659" w:type="dxa"/>
          </w:tcPr>
          <w:p w14:paraId="666CF6A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1.0% </w:t>
            </w:r>
          </w:p>
        </w:tc>
      </w:tr>
      <w:tr w14:paraId="40EC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CE1A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63A57D4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1.1%                 </w:t>
            </w:r>
          </w:p>
        </w:tc>
        <w:tc>
          <w:tcPr>
            <w:tcW w:w="1687" w:type="dxa"/>
          </w:tcPr>
          <w:p w14:paraId="0EE6B8F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659" w:type="dxa"/>
          </w:tcPr>
          <w:p w14:paraId="7490270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0.7% </w:t>
            </w:r>
          </w:p>
        </w:tc>
      </w:tr>
      <w:tr w14:paraId="3A28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1005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5474EF52">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0.8%                </w:t>
            </w:r>
          </w:p>
        </w:tc>
        <w:tc>
          <w:tcPr>
            <w:tcW w:w="1687" w:type="dxa"/>
          </w:tcPr>
          <w:p w14:paraId="1C2DE23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659" w:type="dxa"/>
          </w:tcPr>
          <w:p w14:paraId="5DF89ED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084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9853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18CA136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0.5%                </w:t>
            </w:r>
          </w:p>
        </w:tc>
        <w:tc>
          <w:tcPr>
            <w:tcW w:w="1687" w:type="dxa"/>
          </w:tcPr>
          <w:p w14:paraId="4788A8E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659" w:type="dxa"/>
          </w:tcPr>
          <w:p w14:paraId="166238B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0.35% </w:t>
            </w:r>
          </w:p>
        </w:tc>
      </w:tr>
      <w:tr w14:paraId="340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EC227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68363C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0.25%                 </w:t>
            </w:r>
          </w:p>
        </w:tc>
        <w:tc>
          <w:tcPr>
            <w:tcW w:w="1687" w:type="dxa"/>
          </w:tcPr>
          <w:p w14:paraId="7F6CBB9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659" w:type="dxa"/>
          </w:tcPr>
          <w:p w14:paraId="690AB13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r w14:paraId="48C8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31E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1～5亿元</w:t>
            </w:r>
          </w:p>
        </w:tc>
        <w:tc>
          <w:tcPr>
            <w:tcW w:w="1659" w:type="dxa"/>
          </w:tcPr>
          <w:p w14:paraId="13F6A8A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c>
          <w:tcPr>
            <w:tcW w:w="1687" w:type="dxa"/>
          </w:tcPr>
          <w:p w14:paraId="27730B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c>
          <w:tcPr>
            <w:tcW w:w="1659" w:type="dxa"/>
          </w:tcPr>
          <w:p w14:paraId="0CC03F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r>
      <w:tr w14:paraId="01A1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FA8C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5～10亿元</w:t>
            </w:r>
          </w:p>
        </w:tc>
        <w:tc>
          <w:tcPr>
            <w:tcW w:w="1659" w:type="dxa"/>
          </w:tcPr>
          <w:p w14:paraId="3A3A56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c>
          <w:tcPr>
            <w:tcW w:w="1687" w:type="dxa"/>
          </w:tcPr>
          <w:p w14:paraId="4826A69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0.035%</w:t>
            </w:r>
          </w:p>
        </w:tc>
        <w:tc>
          <w:tcPr>
            <w:tcW w:w="1659" w:type="dxa"/>
          </w:tcPr>
          <w:p w14:paraId="180275E4">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r>
      <w:tr w14:paraId="024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4CB8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10～50亿元</w:t>
            </w:r>
          </w:p>
        </w:tc>
        <w:tc>
          <w:tcPr>
            <w:tcW w:w="1659" w:type="dxa"/>
          </w:tcPr>
          <w:p w14:paraId="6892DE86">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87" w:type="dxa"/>
          </w:tcPr>
          <w:p w14:paraId="54B3BAB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59" w:type="dxa"/>
          </w:tcPr>
          <w:p w14:paraId="29ACA4B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r>
      <w:tr w14:paraId="7F3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4524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50～100亿元</w:t>
            </w:r>
          </w:p>
        </w:tc>
        <w:tc>
          <w:tcPr>
            <w:tcW w:w="1659" w:type="dxa"/>
          </w:tcPr>
          <w:p w14:paraId="50A14C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0.006%</w:t>
            </w:r>
          </w:p>
        </w:tc>
        <w:tc>
          <w:tcPr>
            <w:tcW w:w="1687" w:type="dxa"/>
          </w:tcPr>
          <w:p w14:paraId="46D2AD78">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c>
          <w:tcPr>
            <w:tcW w:w="1659" w:type="dxa"/>
          </w:tcPr>
          <w:p w14:paraId="03FAD7D2">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r>
      <w:tr w14:paraId="72C9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A36E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100亿以上</w:t>
            </w:r>
          </w:p>
        </w:tc>
        <w:tc>
          <w:tcPr>
            <w:tcW w:w="1659" w:type="dxa"/>
          </w:tcPr>
          <w:p w14:paraId="5F55293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0.004%</w:t>
            </w:r>
          </w:p>
        </w:tc>
        <w:tc>
          <w:tcPr>
            <w:tcW w:w="1687" w:type="dxa"/>
          </w:tcPr>
          <w:p w14:paraId="0C6198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c>
          <w:tcPr>
            <w:tcW w:w="1659" w:type="dxa"/>
          </w:tcPr>
          <w:p w14:paraId="1F7CCD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r>
    </w:tbl>
    <w:p w14:paraId="56091C7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A1E341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（1）按本表费率计算的收费为采购代理的收费基准价格；</w:t>
      </w:r>
    </w:p>
    <w:p w14:paraId="4D11E64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654BF3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例如：某服务采购代理业务中标金额或者暂定价为150万元，下浮20%计取，计算采购代理收费额如下：</w:t>
      </w:r>
    </w:p>
    <w:p w14:paraId="0A6CB5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100 万元 ×l.5 ％＝ 1.5 万元</w:t>
      </w:r>
    </w:p>
    <w:p w14:paraId="7ABF15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150 － 100 ）万元 ×0.8％＝ 0.4万元</w:t>
      </w:r>
    </w:p>
    <w:p w14:paraId="7481FE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合计收费＝ （1.5 ＋ 0.4）×80%＝ 1.52万元</w:t>
      </w:r>
    </w:p>
    <w:p w14:paraId="4E0B1EE2">
      <w:pPr>
        <w:pStyle w:val="5"/>
        <w:keepNext w:val="0"/>
        <w:keepLines w:val="0"/>
        <w:spacing w:before="0" w:after="0" w:line="280" w:lineRule="exact"/>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需要补充的其他内容</w:t>
      </w:r>
    </w:p>
    <w:p w14:paraId="4B2A7FF1">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41.1本招标文件解释规则详见“投标人须知前附表”。</w:t>
      </w:r>
    </w:p>
    <w:p w14:paraId="5271A42D">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其他事项详见“投标人须知前附表”。</w:t>
      </w:r>
    </w:p>
    <w:p w14:paraId="453C845D">
      <w:pPr>
        <w:pStyle w:val="23"/>
        <w:snapToGrid w:val="0"/>
        <w:spacing w:before="120" w:after="12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附件1：</w:t>
      </w:r>
    </w:p>
    <w:p w14:paraId="69754332">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广西壮族自治区政府采购项目合同验收书（格式）</w:t>
      </w:r>
    </w:p>
    <w:p w14:paraId="15382190">
      <w:pPr>
        <w:shd w:val="clear" w:color="auto" w:fill="FFFFFF"/>
        <w:snapToGrid w:val="0"/>
        <w:spacing w:line="320" w:lineRule="atLeas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rPr>
        <w:t>） 政府采购项目中标（或者成交）投标人（</w:t>
      </w:r>
      <w:r>
        <w:rPr>
          <w:rFonts w:hint="eastAsia" w:ascii="仿宋" w:hAnsi="仿宋" w:eastAsia="仿宋" w:cs="仿宋"/>
          <w:color w:val="auto"/>
          <w:kern w:val="0"/>
          <w:sz w:val="24"/>
          <w:highlight w:val="none"/>
          <w:u w:val="single"/>
        </w:rPr>
        <w:t xml:space="preserve"> 公司名称 </w:t>
      </w:r>
      <w:r>
        <w:rPr>
          <w:rFonts w:hint="eastAsia" w:ascii="仿宋" w:hAnsi="仿宋" w:eastAsia="仿宋" w:cs="仿宋"/>
          <w:color w:val="auto"/>
          <w:kern w:val="0"/>
          <w:sz w:val="24"/>
          <w:highlight w:val="none"/>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C27DC2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3F24CBF">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10FF5466">
            <w:pPr>
              <w:snapToGrid w:val="0"/>
              <w:spacing w:before="100" w:beforeAutospacing="1" w:after="100" w:afterAutospacing="1" w:line="320" w:lineRule="atLeast"/>
              <w:ind w:firstLine="48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□自行验收 □委托验收</w:t>
            </w:r>
          </w:p>
        </w:tc>
      </w:tr>
      <w:tr w14:paraId="1F5A9B3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9D06FC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921" w:type="dxa"/>
            <w:tcBorders>
              <w:top w:val="nil"/>
              <w:left w:val="nil"/>
              <w:bottom w:val="single" w:color="auto" w:sz="8" w:space="0"/>
              <w:right w:val="single" w:color="auto" w:sz="8" w:space="0"/>
            </w:tcBorders>
            <w:vAlign w:val="center"/>
          </w:tcPr>
          <w:p w14:paraId="3559001D">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w:t>
            </w:r>
          </w:p>
        </w:tc>
        <w:tc>
          <w:tcPr>
            <w:tcW w:w="2902" w:type="dxa"/>
            <w:gridSpan w:val="3"/>
            <w:tcBorders>
              <w:top w:val="nil"/>
              <w:left w:val="nil"/>
              <w:bottom w:val="single" w:color="auto" w:sz="8" w:space="0"/>
              <w:right w:val="single" w:color="auto" w:sz="8" w:space="0"/>
            </w:tcBorders>
            <w:vAlign w:val="center"/>
          </w:tcPr>
          <w:p w14:paraId="5622B7B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1DDCDAA">
            <w:pPr>
              <w:snapToGrid w:val="0"/>
              <w:spacing w:before="100" w:beforeAutospacing="1" w:after="100" w:afterAutospacing="1" w:line="32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354" w:type="dxa"/>
            <w:tcBorders>
              <w:top w:val="nil"/>
              <w:left w:val="nil"/>
              <w:bottom w:val="single" w:color="auto" w:sz="8" w:space="0"/>
              <w:right w:val="single" w:color="auto" w:sz="8" w:space="0"/>
            </w:tcBorders>
            <w:vAlign w:val="center"/>
          </w:tcPr>
          <w:p w14:paraId="38AE860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 额</w:t>
            </w:r>
          </w:p>
        </w:tc>
      </w:tr>
      <w:tr w14:paraId="056DD27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18BFE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7E23D9B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80CD2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5FFF3C47">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D1CEBA">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0CDED4B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7ACBBAE">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33D0E3DC">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49C96A7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17D2424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62A66CF">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0F4DEA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9C32C3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056DC7EA">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51714FD">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4BD508E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E7E92C">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3281FF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19C6D50">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 计</w:t>
            </w:r>
          </w:p>
        </w:tc>
        <w:tc>
          <w:tcPr>
            <w:tcW w:w="863" w:type="dxa"/>
            <w:gridSpan w:val="2"/>
            <w:tcBorders>
              <w:top w:val="nil"/>
              <w:left w:val="nil"/>
              <w:bottom w:val="single" w:color="auto" w:sz="8" w:space="0"/>
              <w:right w:val="single" w:color="auto" w:sz="8" w:space="0"/>
            </w:tcBorders>
            <w:vAlign w:val="center"/>
          </w:tcPr>
          <w:p w14:paraId="2F8431EB">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62F52504">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12B4F7F">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BB99FFC">
            <w:pPr>
              <w:snapToGrid w:val="0"/>
              <w:spacing w:before="100" w:beforeAutospacing="1" w:after="100" w:afterAutospacing="1" w:line="320" w:lineRule="atLeast"/>
              <w:ind w:firstLine="2"/>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合计大写金额： 亿 仟 佰 拾 万 仟 佰 拾 元</w:t>
            </w:r>
          </w:p>
        </w:tc>
      </w:tr>
      <w:tr w14:paraId="6E917EBF">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B0821A5">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实际供货日期</w:t>
            </w:r>
          </w:p>
        </w:tc>
        <w:tc>
          <w:tcPr>
            <w:tcW w:w="2719" w:type="dxa"/>
            <w:gridSpan w:val="2"/>
            <w:tcBorders>
              <w:top w:val="nil"/>
              <w:left w:val="nil"/>
              <w:bottom w:val="single" w:color="auto" w:sz="8" w:space="0"/>
              <w:right w:val="single" w:color="auto" w:sz="8" w:space="0"/>
            </w:tcBorders>
            <w:vAlign w:val="center"/>
          </w:tcPr>
          <w:p w14:paraId="71A02DB9">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30A47F7F">
            <w:pPr>
              <w:snapToGrid w:val="0"/>
              <w:spacing w:before="100" w:beforeAutospacing="1" w:after="100" w:afterAutospacing="1" w:line="320" w:lineRule="atLeast"/>
              <w:ind w:firstLine="46"/>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25CB18C0">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674F2BD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65DBE72">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719" w:type="dxa"/>
            <w:gridSpan w:val="2"/>
            <w:tcBorders>
              <w:top w:val="nil"/>
              <w:left w:val="nil"/>
              <w:bottom w:val="single" w:color="auto" w:sz="8" w:space="0"/>
              <w:right w:val="single" w:color="auto" w:sz="8" w:space="0"/>
            </w:tcBorders>
            <w:vAlign w:val="center"/>
          </w:tcPr>
          <w:p w14:paraId="6314D7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1CE9072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3039" w:type="dxa"/>
            <w:gridSpan w:val="2"/>
            <w:tcBorders>
              <w:top w:val="nil"/>
              <w:left w:val="nil"/>
              <w:bottom w:val="single" w:color="auto" w:sz="8" w:space="0"/>
              <w:right w:val="single" w:color="auto" w:sz="8" w:space="0"/>
            </w:tcBorders>
            <w:vAlign w:val="center"/>
          </w:tcPr>
          <w:p w14:paraId="270BDAD5">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F4D961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D6F24B">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5347045">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0352A3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D34695">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验收小组意见</w:t>
            </w:r>
          </w:p>
        </w:tc>
        <w:tc>
          <w:tcPr>
            <w:tcW w:w="8040" w:type="dxa"/>
            <w:gridSpan w:val="7"/>
            <w:tcBorders>
              <w:top w:val="nil"/>
              <w:left w:val="nil"/>
              <w:bottom w:val="single" w:color="auto" w:sz="8" w:space="0"/>
              <w:right w:val="single" w:color="auto" w:sz="8" w:space="0"/>
            </w:tcBorders>
            <w:vAlign w:val="center"/>
          </w:tcPr>
          <w:p w14:paraId="2453E0C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验收结论性意见：</w:t>
            </w:r>
          </w:p>
        </w:tc>
      </w:tr>
      <w:tr w14:paraId="485DEC0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6DCA164">
            <w:pPr>
              <w:jc w:val="left"/>
              <w:rPr>
                <w:rFonts w:hint="eastAsia" w:ascii="仿宋" w:hAnsi="仿宋" w:eastAsia="仿宋" w:cs="仿宋"/>
                <w:color w:val="auto"/>
                <w:kern w:val="0"/>
                <w:sz w:val="24"/>
                <w:highlight w:val="none"/>
              </w:rPr>
            </w:pPr>
          </w:p>
        </w:tc>
        <w:tc>
          <w:tcPr>
            <w:tcW w:w="8040" w:type="dxa"/>
            <w:gridSpan w:val="7"/>
            <w:tcBorders>
              <w:top w:val="nil"/>
              <w:left w:val="nil"/>
              <w:bottom w:val="single" w:color="auto" w:sz="8" w:space="0"/>
              <w:right w:val="single" w:color="auto" w:sz="8" w:space="0"/>
            </w:tcBorders>
            <w:vAlign w:val="center"/>
          </w:tcPr>
          <w:p w14:paraId="37A9DAD0">
            <w:pPr>
              <w:spacing w:before="100" w:beforeAutospacing="1" w:after="100" w:afterAutospacing="1" w:line="320" w:lineRule="atLeast"/>
              <w:ind w:firstLine="9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有异议的意见和说明理由：</w:t>
            </w:r>
          </w:p>
          <w:p w14:paraId="4C309EF6">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w:t>
            </w:r>
          </w:p>
        </w:tc>
      </w:tr>
      <w:tr w14:paraId="09BD082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A22263">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验收小组成员签字：</w:t>
            </w:r>
          </w:p>
        </w:tc>
      </w:tr>
      <w:tr w14:paraId="5B055AA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E0E56E">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监督人员或者其他相关人员签字：</w:t>
            </w:r>
          </w:p>
          <w:p w14:paraId="0CA81B5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或者受邀机构的意见（盖章）：</w:t>
            </w:r>
          </w:p>
        </w:tc>
      </w:tr>
      <w:tr w14:paraId="5BD9657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4E66D07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中标或者成交人负责人签字或者盖章：</w:t>
            </w:r>
          </w:p>
          <w:p w14:paraId="70AE0D47">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7FBB4431">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采购人或者受托机构的意见（盖章）：</w:t>
            </w:r>
          </w:p>
          <w:p w14:paraId="71E01EA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r>
    </w:tbl>
    <w:p w14:paraId="7FF41EDE">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附件2：</w:t>
      </w:r>
    </w:p>
    <w:p w14:paraId="7559360D">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政府采购项目履约保证金退付意见书（参考）</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60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8" w:type="dxa"/>
            <w:vMerge w:val="restart"/>
            <w:vAlign w:val="center"/>
          </w:tcPr>
          <w:p w14:paraId="346411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w:t>
            </w:r>
          </w:p>
          <w:p w14:paraId="2988104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w:t>
            </w:r>
          </w:p>
          <w:p w14:paraId="2E5DC3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w:t>
            </w:r>
          </w:p>
          <w:p w14:paraId="207B5B6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w:t>
            </w:r>
          </w:p>
          <w:p w14:paraId="4C157E3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w:t>
            </w:r>
          </w:p>
        </w:tc>
        <w:tc>
          <w:tcPr>
            <w:tcW w:w="8456" w:type="dxa"/>
            <w:vAlign w:val="center"/>
          </w:tcPr>
          <w:p w14:paraId="487ECCE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r>
      <w:tr w14:paraId="69D0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8" w:type="dxa"/>
            <w:vMerge w:val="continue"/>
            <w:vAlign w:val="center"/>
          </w:tcPr>
          <w:p w14:paraId="762ACB51">
            <w:pPr>
              <w:rPr>
                <w:rFonts w:hint="eastAsia" w:ascii="仿宋" w:hAnsi="仿宋" w:eastAsia="仿宋" w:cs="仿宋"/>
                <w:color w:val="auto"/>
                <w:sz w:val="24"/>
                <w:highlight w:val="none"/>
              </w:rPr>
            </w:pPr>
          </w:p>
        </w:tc>
        <w:tc>
          <w:tcPr>
            <w:tcW w:w="8456" w:type="dxa"/>
            <w:vAlign w:val="center"/>
          </w:tcPr>
          <w:p w14:paraId="70DF40A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r>
      <w:tr w14:paraId="237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14:paraId="2664B16B">
            <w:pPr>
              <w:rPr>
                <w:rFonts w:hint="eastAsia" w:ascii="仿宋" w:hAnsi="仿宋" w:eastAsia="仿宋" w:cs="仿宋"/>
                <w:color w:val="auto"/>
                <w:sz w:val="24"/>
                <w:highlight w:val="none"/>
              </w:rPr>
            </w:pPr>
          </w:p>
        </w:tc>
        <w:tc>
          <w:tcPr>
            <w:tcW w:w="8456" w:type="dxa"/>
            <w:vAlign w:val="center"/>
          </w:tcPr>
          <w:p w14:paraId="6BF68182">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1CA037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该项目已于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日验收并交付使用。根据合同规定，该项目的履约保证金期限于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日已满，请将履约保证金</w:t>
            </w:r>
          </w:p>
          <w:p w14:paraId="6FC346C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（小写）退付到达以下帐户。</w:t>
            </w:r>
          </w:p>
          <w:p w14:paraId="4DF33A18">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14:paraId="643554E9">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1C027001">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p>
          <w:p w14:paraId="40FED4E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w:t>
            </w:r>
          </w:p>
          <w:p w14:paraId="1DEFA776">
            <w:pPr>
              <w:spacing w:line="400" w:lineRule="exact"/>
              <w:rPr>
                <w:rFonts w:hint="eastAsia" w:ascii="仿宋" w:hAnsi="仿宋" w:eastAsia="仿宋" w:cs="仿宋"/>
                <w:color w:val="auto"/>
                <w:sz w:val="24"/>
                <w:highlight w:val="none"/>
              </w:rPr>
            </w:pPr>
          </w:p>
          <w:p w14:paraId="205E1A8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投标人签章：</w:t>
            </w:r>
          </w:p>
          <w:p w14:paraId="2A9CC8E8">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5CA9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6496B5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w:t>
            </w:r>
          </w:p>
          <w:p w14:paraId="1F7004E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购</w:t>
            </w:r>
          </w:p>
          <w:p w14:paraId="4857EC2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2837C48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意</w:t>
            </w:r>
          </w:p>
          <w:p w14:paraId="0009E93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p>
        </w:tc>
        <w:tc>
          <w:tcPr>
            <w:tcW w:w="8456" w:type="dxa"/>
            <w:vAlign w:val="center"/>
          </w:tcPr>
          <w:p w14:paraId="40FFBD15">
            <w:pPr>
              <w:rPr>
                <w:rFonts w:hint="eastAsia" w:ascii="仿宋" w:hAnsi="仿宋" w:eastAsia="仿宋" w:cs="仿宋"/>
                <w:color w:val="auto"/>
                <w:sz w:val="24"/>
                <w:highlight w:val="none"/>
              </w:rPr>
            </w:pPr>
          </w:p>
          <w:p w14:paraId="75626275">
            <w:pPr>
              <w:rPr>
                <w:rFonts w:hint="eastAsia" w:ascii="仿宋" w:hAnsi="仿宋" w:eastAsia="仿宋" w:cs="仿宋"/>
                <w:color w:val="auto"/>
                <w:sz w:val="24"/>
                <w:highlight w:val="none"/>
              </w:rPr>
            </w:pPr>
            <w:r>
              <w:rPr>
                <w:rFonts w:hint="eastAsia" w:ascii="仿宋" w:hAnsi="仿宋" w:eastAsia="仿宋" w:cs="仿宋"/>
                <w:color w:val="auto"/>
                <w:sz w:val="24"/>
                <w:highlight w:val="none"/>
              </w:rPr>
              <w:t>退付意见：（是否同意退付履约保证金及退付金额）</w:t>
            </w:r>
          </w:p>
          <w:p w14:paraId="4E557C99">
            <w:pPr>
              <w:rPr>
                <w:rFonts w:hint="eastAsia" w:ascii="仿宋" w:hAnsi="仿宋" w:eastAsia="仿宋" w:cs="仿宋"/>
                <w:color w:val="auto"/>
                <w:sz w:val="24"/>
                <w:highlight w:val="none"/>
              </w:rPr>
            </w:pPr>
          </w:p>
          <w:p w14:paraId="29193A66">
            <w:pPr>
              <w:rPr>
                <w:rFonts w:hint="eastAsia" w:ascii="仿宋" w:hAnsi="仿宋" w:eastAsia="仿宋" w:cs="仿宋"/>
                <w:color w:val="auto"/>
                <w:sz w:val="24"/>
                <w:highlight w:val="none"/>
              </w:rPr>
            </w:pPr>
          </w:p>
          <w:p w14:paraId="586F1B72">
            <w:pPr>
              <w:rPr>
                <w:rFonts w:hint="eastAsia" w:ascii="仿宋" w:hAnsi="仿宋" w:eastAsia="仿宋" w:cs="仿宋"/>
                <w:color w:val="auto"/>
                <w:sz w:val="24"/>
                <w:highlight w:val="none"/>
              </w:rPr>
            </w:pPr>
          </w:p>
          <w:p w14:paraId="7032D0AD">
            <w:pPr>
              <w:rPr>
                <w:rFonts w:hint="eastAsia" w:ascii="仿宋" w:hAnsi="仿宋" w:eastAsia="仿宋" w:cs="仿宋"/>
                <w:color w:val="auto"/>
                <w:sz w:val="24"/>
                <w:highlight w:val="none"/>
              </w:rPr>
            </w:pPr>
          </w:p>
          <w:p w14:paraId="0266BF7D">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                         采购人签章</w:t>
            </w:r>
          </w:p>
          <w:p w14:paraId="3A7CC33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5B2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14:paraId="301CFC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8456" w:type="dxa"/>
            <w:vAlign w:val="center"/>
          </w:tcPr>
          <w:p w14:paraId="5DC4B419">
            <w:pPr>
              <w:rPr>
                <w:rFonts w:hint="eastAsia" w:ascii="仿宋" w:hAnsi="仿宋" w:eastAsia="仿宋" w:cs="仿宋"/>
                <w:color w:val="auto"/>
                <w:sz w:val="24"/>
                <w:highlight w:val="none"/>
              </w:rPr>
            </w:pPr>
          </w:p>
        </w:tc>
      </w:tr>
    </w:tbl>
    <w:p w14:paraId="20DBE32C">
      <w:pPr>
        <w:pStyle w:val="16"/>
        <w:ind w:left="480" w:leftChars="114" w:hanging="241" w:hangingChars="100"/>
        <w:rPr>
          <w:rFonts w:hint="eastAsia" w:ascii="仿宋" w:hAnsi="仿宋" w:eastAsia="仿宋" w:cs="仿宋"/>
          <w:b/>
          <w:bCs/>
          <w:color w:val="auto"/>
          <w:highlight w:val="none"/>
        </w:rPr>
      </w:pPr>
      <w:r>
        <w:rPr>
          <w:rFonts w:hint="eastAsia" w:ascii="仿宋" w:hAnsi="仿宋" w:eastAsia="仿宋" w:cs="仿宋"/>
          <w:b/>
          <w:bCs/>
          <w:color w:val="auto"/>
          <w:highlight w:val="none"/>
        </w:rPr>
        <w:t>注：投标人凭经采购人审批的退付意见书到保证金收取单位办理履约保证金退付事宜。</w:t>
      </w:r>
    </w:p>
    <w:p w14:paraId="241B1AB6">
      <w:pPr>
        <w:pStyle w:val="23"/>
        <w:snapToGrid w:val="0"/>
        <w:spacing w:before="120" w:after="120"/>
        <w:ind w:firstLine="400" w:firstLineChars="200"/>
        <w:rPr>
          <w:rFonts w:hint="eastAsia" w:ascii="仿宋" w:hAnsi="仿宋" w:eastAsia="仿宋" w:cs="仿宋"/>
          <w:color w:val="auto"/>
          <w:sz w:val="36"/>
          <w:szCs w:val="36"/>
          <w:highlight w:val="none"/>
        </w:rPr>
      </w:pPr>
      <w:r>
        <w:rPr>
          <w:rFonts w:hint="eastAsia" w:ascii="仿宋" w:hAnsi="仿宋" w:eastAsia="仿宋" w:cs="仿宋"/>
          <w:color w:val="auto"/>
          <w:highlight w:val="none"/>
        </w:rPr>
        <w:br w:type="page"/>
      </w:r>
      <w:bookmarkStart w:id="148" w:name="_Toc19686832"/>
      <w:bookmarkStart w:id="149" w:name="_Toc254970689"/>
      <w:bookmarkStart w:id="150" w:name="_Toc254970548"/>
      <w:bookmarkStart w:id="151" w:name="_Toc330456896"/>
    </w:p>
    <w:p w14:paraId="362BBE8A">
      <w:pPr>
        <w:jc w:val="center"/>
        <w:outlineLvl w:val="1"/>
        <w:rPr>
          <w:rFonts w:hint="eastAsia" w:ascii="仿宋" w:hAnsi="仿宋" w:eastAsia="仿宋" w:cs="仿宋"/>
          <w:color w:val="auto"/>
          <w:sz w:val="36"/>
          <w:szCs w:val="36"/>
          <w:highlight w:val="none"/>
        </w:rPr>
      </w:pPr>
      <w:bookmarkStart w:id="152" w:name="_Toc16318"/>
      <w:bookmarkStart w:id="153" w:name="_Toc419"/>
      <w:r>
        <w:rPr>
          <w:rFonts w:hint="eastAsia" w:ascii="仿宋" w:hAnsi="仿宋" w:eastAsia="仿宋" w:cs="仿宋"/>
          <w:color w:val="auto"/>
          <w:sz w:val="36"/>
          <w:szCs w:val="36"/>
          <w:highlight w:val="none"/>
        </w:rPr>
        <w:t>第四章  评标方法及评标标准</w:t>
      </w:r>
      <w:bookmarkEnd w:id="148"/>
      <w:bookmarkEnd w:id="149"/>
      <w:bookmarkEnd w:id="150"/>
      <w:bookmarkEnd w:id="151"/>
      <w:bookmarkEnd w:id="152"/>
      <w:bookmarkEnd w:id="153"/>
    </w:p>
    <w:p w14:paraId="2C123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一、评标方法</w:t>
      </w:r>
    </w:p>
    <w:p w14:paraId="61F78C14">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14:paraId="43C96930">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最低评标价法，是指投标文件满足招标文件全部实质性要求，且投标报价最低的投标人为中标候选人的评标方法。</w:t>
      </w:r>
    </w:p>
    <w:p w14:paraId="49DE7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二、评标程序</w:t>
      </w:r>
    </w:p>
    <w:p w14:paraId="2D75AE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1.符合性审查</w:t>
      </w:r>
    </w:p>
    <w:p w14:paraId="51A91265">
      <w:pPr>
        <w:pStyle w:val="23"/>
        <w:snapToGrid w:val="0"/>
        <w:spacing w:line="360" w:lineRule="auto"/>
        <w:ind w:left="1" w:firstLine="42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6A5BB7C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2.符合性审查不通过而导致投标无效的情形</w:t>
      </w:r>
    </w:p>
    <w:p w14:paraId="4C5271C3">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投标人的投标文件中存在对招标文件的任何实质性要求和条件的负偏离，将被视为投标无效。</w:t>
      </w:r>
    </w:p>
    <w:p w14:paraId="53D8EB3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2.1在报价评审时，如发现下列情形之一的，将被视为投标无效：</w:t>
      </w:r>
    </w:p>
    <w:p w14:paraId="5B3B18C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投标文件未提供“投标人须知前附表”第13.1条规定中“必须提供”的文件资料的;</w:t>
      </w:r>
    </w:p>
    <w:p w14:paraId="05584C62">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未采用人民币报价或者未按照招标文件标明的币种报价的；</w:t>
      </w:r>
    </w:p>
    <w:p w14:paraId="0DB266EC">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报价超出招标文件规定最高限价，或者超出采购预算金额的；</w:t>
      </w:r>
    </w:p>
    <w:p w14:paraId="791504B3">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9D09CB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修正后的报价，投标人不确认的；</w:t>
      </w:r>
    </w:p>
    <w:p w14:paraId="62724C30">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投标人属于本章第5条第（2）项情形的。</w:t>
      </w:r>
    </w:p>
    <w:p w14:paraId="153776A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2.2在商务评审时，如发现下列情形之一的，将被视为投标无效：</w:t>
      </w:r>
    </w:p>
    <w:p w14:paraId="3318A9B9">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投标文件未按招标文件要求签署、盖章的；</w:t>
      </w:r>
    </w:p>
    <w:p w14:paraId="4A9D9CDE">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委托代理人未能出具有效身份证明或者出具的身份证明与授权委托书中的信息不符的； </w:t>
      </w:r>
    </w:p>
    <w:p w14:paraId="3534445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为无效投标保证金的或者未按照招标文件的规定提交投标保证金的；</w:t>
      </w:r>
    </w:p>
    <w:p w14:paraId="35029387">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投标文件未提供“投标人须知前附表”第13.1条规定中“必须提供”或者“委托时必须提供”的文件资料的;</w:t>
      </w:r>
    </w:p>
    <w:p w14:paraId="2D640DF3">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投标有效期、项目完成时间（交货时间、服务完成时间或者服务期等）、质保期、售后服务等招标文件中标“▲”的商务条款发生负偏离的；</w:t>
      </w:r>
    </w:p>
    <w:p w14:paraId="2A5BD3FF">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商务条款评审允许负偏离的条款数超过“投标人须知前附表”规定项数的（如有）。</w:t>
      </w:r>
    </w:p>
    <w:p w14:paraId="28DB70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投标文件的实质性内容未使用中文表述、使用计量单位不符合招标文件要求的；</w:t>
      </w:r>
    </w:p>
    <w:p w14:paraId="4E306C21">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投标文件中的文件资料因填写不齐全或者内容虚假或者出现其他情形而导致被评标委员会认定无效的；</w:t>
      </w:r>
    </w:p>
    <w:p w14:paraId="2AB7A432">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w:t>
      </w:r>
    </w:p>
    <w:p w14:paraId="2E053A7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未响应招标文件实质性要求的；</w:t>
      </w:r>
    </w:p>
    <w:p w14:paraId="45FA29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属于投标人须知正文第9.2条情形的；</w:t>
      </w:r>
    </w:p>
    <w:p w14:paraId="6A0E112C">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法律、法规和招标文件规定的其他无效情形。</w:t>
      </w:r>
    </w:p>
    <w:p w14:paraId="669406C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2.3在技术评审时，如发现下列情形之一的，将被视为投标无效：</w:t>
      </w:r>
    </w:p>
    <w:p w14:paraId="17587A06">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（1）明显不满足招标文件要求的技术规格、安全、质量标准，或者与招标文件中标“▲”的技术需求发生负偏离的；</w:t>
      </w:r>
    </w:p>
    <w:p w14:paraId="2518BC2C">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（2）技术需求评审允许负偏离的条款数超过“投标人须知前附表”规定项数的</w:t>
      </w:r>
      <w:r>
        <w:rPr>
          <w:rFonts w:hint="eastAsia" w:ascii="仿宋" w:hAnsi="仿宋" w:eastAsia="仿宋" w:cs="仿宋"/>
          <w:b/>
          <w:color w:val="auto"/>
          <w:sz w:val="24"/>
          <w:highlight w:val="none"/>
        </w:rPr>
        <w:t>（如有）</w:t>
      </w:r>
      <w:r>
        <w:rPr>
          <w:rFonts w:hint="eastAsia" w:ascii="仿宋" w:hAnsi="仿宋" w:eastAsia="仿宋" w:cs="仿宋"/>
          <w:b/>
          <w:color w:val="auto"/>
          <w:kern w:val="2"/>
          <w:sz w:val="24"/>
          <w:szCs w:val="24"/>
          <w:highlight w:val="none"/>
        </w:rPr>
        <w:t>；</w:t>
      </w:r>
    </w:p>
    <w:p w14:paraId="702882A9">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（3）投标文件未提供“投标人须知前附表”第13.1条规定中“必须提供”的文件资料的;</w:t>
      </w:r>
    </w:p>
    <w:p w14:paraId="3E0CDDBD">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（4）虚假投标，或者出现其他情形而导致被评标委员会认定无效的；</w:t>
      </w:r>
    </w:p>
    <w:p w14:paraId="74209E27">
      <w:pPr>
        <w:pStyle w:val="17"/>
        <w:snapToGrid w:val="0"/>
        <w:spacing w:line="360" w:lineRule="auto"/>
        <w:ind w:firstLine="472" w:firstLineChars="196"/>
        <w:rPr>
          <w:rFonts w:hint="eastAsia" w:ascii="仿宋" w:hAnsi="仿宋" w:eastAsia="仿宋" w:cs="仿宋"/>
          <w:color w:val="auto"/>
          <w:sz w:val="24"/>
          <w:szCs w:val="24"/>
          <w:highlight w:val="none"/>
        </w:rPr>
      </w:pPr>
      <w:r>
        <w:rPr>
          <w:rFonts w:hint="eastAsia" w:ascii="仿宋" w:hAnsi="仿宋" w:eastAsia="仿宋" w:cs="仿宋"/>
          <w:b/>
          <w:color w:val="auto"/>
          <w:kern w:val="2"/>
          <w:sz w:val="24"/>
          <w:szCs w:val="24"/>
          <w:highlight w:val="none"/>
        </w:rPr>
        <w:t>（5）投标技术方案不明确，招标文件未允许但存在一个或者一个以上备选（替代）投标方案的。</w:t>
      </w:r>
    </w:p>
    <w:p w14:paraId="185CB17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3.澄清补正</w:t>
      </w:r>
    </w:p>
    <w:p w14:paraId="6ECE148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对投标文件中含义不明确、同类问题表述不一致或者有明显文字和计算错误的内容，评标委员会应在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发布电子澄清函，要求投标人在规定时间内作出必要的澄清、说明或者补正。投标人在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1393D4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4EE0D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投标人的澄清、说明或者补正不得超出投标文件的范围或者改变投标文件的实质性内容。</w:t>
      </w:r>
    </w:p>
    <w:p w14:paraId="267B71D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4.投标文件修正</w:t>
      </w:r>
    </w:p>
    <w:p w14:paraId="26AF4A7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4.1投标文件报价出现前后不一致的，按照下列规定修正： </w:t>
      </w:r>
    </w:p>
    <w:p w14:paraId="1049B64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2A46007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0AC4947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6F5E32D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61295CEA">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4"/>
          <w:szCs w:val="24"/>
          <w:highlight w:val="none"/>
        </w:rPr>
        <w:t>其投标无效</w:t>
      </w:r>
      <w:r>
        <w:rPr>
          <w:rFonts w:hint="eastAsia" w:ascii="仿宋" w:hAnsi="仿宋" w:eastAsia="仿宋" w:cs="仿宋"/>
          <w:color w:val="auto"/>
          <w:sz w:val="24"/>
          <w:szCs w:val="24"/>
          <w:highlight w:val="none"/>
        </w:rPr>
        <w:t>。</w:t>
      </w:r>
    </w:p>
    <w:p w14:paraId="3EC88408">
      <w:pPr>
        <w:pStyle w:val="5"/>
        <w:keepNext w:val="0"/>
        <w:keepLines w:val="0"/>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4.2经投标人确认修正后的报价若超过采购预算金额或者最高限价，投标人的投标文件</w:t>
      </w:r>
      <w:r>
        <w:rPr>
          <w:rFonts w:hint="eastAsia" w:ascii="仿宋" w:hAnsi="仿宋" w:eastAsia="仿宋" w:cs="仿宋"/>
          <w:color w:val="auto"/>
          <w:sz w:val="24"/>
          <w:highlight w:val="none"/>
        </w:rPr>
        <w:t>作无效投标处理。</w:t>
      </w:r>
    </w:p>
    <w:p w14:paraId="1E6FB721">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4.3经投标人确认修正后的报价作为签订合同的依据，并以此报价计算价格分。</w:t>
      </w:r>
    </w:p>
    <w:p w14:paraId="71FB2B9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5.比较与评价</w:t>
      </w:r>
    </w:p>
    <w:p w14:paraId="0D111E54">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（1）评标委员会按照招标文件中规定的评标方法和评标标准，对符合性审查合格的投标文件进行商务和技术评估，综合比较与评价。</w:t>
      </w:r>
    </w:p>
    <w:p w14:paraId="11A9ADD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（2）评标委员会独立对每个投标人的投标文件进行评价，并汇总每个投标人的得分。</w:t>
      </w:r>
    </w:p>
    <w:p w14:paraId="31BA083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仿宋" w:hAnsi="仿宋" w:eastAsia="仿宋" w:cs="仿宋"/>
          <w:b/>
          <w:color w:val="auto"/>
          <w:kern w:val="2"/>
          <w:sz w:val="24"/>
          <w:szCs w:val="24"/>
          <w:highlight w:val="none"/>
        </w:rPr>
        <w:t>评标委员会将其作为无效投标处理</w:t>
      </w:r>
      <w:r>
        <w:rPr>
          <w:rFonts w:hint="eastAsia" w:ascii="仿宋" w:hAnsi="仿宋" w:eastAsia="仿宋" w:cs="仿宋"/>
          <w:color w:val="auto"/>
          <w:sz w:val="24"/>
          <w:szCs w:val="24"/>
          <w:highlight w:val="none"/>
        </w:rPr>
        <w:t>。</w:t>
      </w:r>
    </w:p>
    <w:p w14:paraId="0BE992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（3）评标委员会按照招标文件中规定的评标方法和标准计算各投标人的报价得分。在计算过程中，不得去掉最高报价或者最低报价。</w:t>
      </w:r>
    </w:p>
    <w:p w14:paraId="167C46E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（4）各投标人的得分为所有评委的有效评分的算术平均数。</w:t>
      </w:r>
    </w:p>
    <w:p w14:paraId="5C0E58F5">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（5）评标委员会按照招标文件中的规定推荐中标候选人。</w:t>
      </w:r>
    </w:p>
    <w:p w14:paraId="7500485C">
      <w:pPr>
        <w:pStyle w:val="23"/>
        <w:snapToGrid w:val="0"/>
        <w:spacing w:line="360" w:lineRule="auto"/>
        <w:ind w:firstLine="480" w:firstLineChars="200"/>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7F492FF">
      <w:pPr>
        <w:pStyle w:val="4"/>
        <w:keepNext w:val="0"/>
        <w:keepLines w:val="0"/>
        <w:spacing w:before="0" w:after="0" w:line="415" w:lineRule="auto"/>
        <w:rPr>
          <w:rFonts w:hint="eastAsia" w:ascii="仿宋" w:hAnsi="仿宋" w:eastAsia="仿宋" w:cs="仿宋"/>
          <w:color w:val="auto"/>
          <w:sz w:val="30"/>
          <w:szCs w:val="30"/>
          <w:highlight w:val="none"/>
        </w:rPr>
      </w:pPr>
      <w:bookmarkStart w:id="154" w:name="_Hlk114737820"/>
      <w:r>
        <w:rPr>
          <w:rFonts w:hint="eastAsia" w:ascii="仿宋" w:hAnsi="仿宋" w:eastAsia="仿宋" w:cs="仿宋"/>
          <w:color w:val="auto"/>
          <w:sz w:val="30"/>
          <w:szCs w:val="30"/>
          <w:highlight w:val="none"/>
        </w:rPr>
        <w:t>三、评标标准（综合评分法，计分方法按四舍五入取至百分位</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2F59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5CF403FC">
            <w:pPr>
              <w:adjustRightInd w:val="0"/>
              <w:spacing w:line="400" w:lineRule="exact"/>
              <w:jc w:val="center"/>
              <w:textAlignment w:val="baseline"/>
              <w:rPr>
                <w:rFonts w:hint="eastAsia" w:ascii="仿宋" w:hAnsi="仿宋" w:eastAsia="仿宋" w:cs="仿宋"/>
                <w:color w:val="auto"/>
                <w:sz w:val="24"/>
                <w:highlight w:val="none"/>
              </w:rPr>
            </w:pPr>
            <w:bookmarkStart w:id="155" w:name="_Hlk117257734"/>
            <w:r>
              <w:rPr>
                <w:rFonts w:hint="eastAsia" w:ascii="仿宋" w:hAnsi="仿宋" w:eastAsia="仿宋" w:cs="仿宋"/>
                <w:b/>
                <w:color w:val="auto"/>
                <w:sz w:val="24"/>
                <w:highlight w:val="none"/>
              </w:rPr>
              <w:t>序号</w:t>
            </w:r>
          </w:p>
        </w:tc>
        <w:tc>
          <w:tcPr>
            <w:tcW w:w="2055" w:type="dxa"/>
            <w:gridSpan w:val="2"/>
            <w:vAlign w:val="center"/>
          </w:tcPr>
          <w:p w14:paraId="68D92A53">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5B55B60E">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5D7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9FF612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713D34B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063DF83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4F05519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12E12D6C">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14906FAC">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6A28FD85">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57F79644">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3E2E20B3">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541E2BE0">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6E24CEF2">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14A3C0CB">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036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610D6F85">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252EA6F0">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0D8399F4">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65.5分</w:t>
            </w:r>
            <w:r>
              <w:rPr>
                <w:rFonts w:hint="eastAsia" w:ascii="仿宋" w:hAnsi="仿宋" w:eastAsia="仿宋" w:cs="仿宋"/>
                <w:b/>
                <w:bCs/>
                <w:color w:val="auto"/>
                <w:sz w:val="24"/>
                <w:highlight w:val="none"/>
              </w:rPr>
              <w:t>）</w:t>
            </w:r>
          </w:p>
        </w:tc>
        <w:tc>
          <w:tcPr>
            <w:tcW w:w="1134" w:type="dxa"/>
            <w:vAlign w:val="center"/>
          </w:tcPr>
          <w:p w14:paraId="76610C5E">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2410A9C4">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38.5</w:t>
            </w:r>
            <w:r>
              <w:rPr>
                <w:rFonts w:hint="eastAsia" w:ascii="仿宋" w:hAnsi="仿宋" w:eastAsia="仿宋" w:cs="仿宋"/>
                <w:b/>
                <w:bCs/>
                <w:color w:val="auto"/>
                <w:kern w:val="1"/>
                <w:sz w:val="24"/>
                <w:highlight w:val="none"/>
              </w:rPr>
              <w:t>分）</w:t>
            </w:r>
          </w:p>
        </w:tc>
        <w:tc>
          <w:tcPr>
            <w:tcW w:w="6475" w:type="dxa"/>
            <w:vAlign w:val="center"/>
          </w:tcPr>
          <w:p w14:paraId="7B146D19">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招标文件第二章采购需求中“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15</w:t>
            </w:r>
            <w:r>
              <w:rPr>
                <w:rFonts w:hint="eastAsia" w:ascii="仿宋" w:hAnsi="仿宋" w:eastAsia="仿宋" w:cs="仿宋"/>
                <w:color w:val="auto"/>
                <w:sz w:val="24"/>
                <w:highlight w:val="none"/>
                <w:lang w:bidi="ar"/>
              </w:rPr>
              <w:t>分。</w:t>
            </w:r>
          </w:p>
          <w:p w14:paraId="4151FB29">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36A994FD">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1）1.光学部分</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序号1.3、1.6为2项；</w:t>
            </w:r>
          </w:p>
          <w:p w14:paraId="225D73E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2）3.支架部分</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序号3.4为1项；</w:t>
            </w:r>
          </w:p>
          <w:p w14:paraId="1239BF94">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3）5.高性能图形塔式工作站</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序号5.1~5.2为2项。</w:t>
            </w:r>
          </w:p>
          <w:p w14:paraId="0ADA01E3">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2.一般技术指标（</w:t>
            </w:r>
            <w:r>
              <w:rPr>
                <w:rFonts w:hint="eastAsia" w:ascii="仿宋" w:hAnsi="仿宋" w:eastAsia="仿宋" w:cs="仿宋"/>
                <w:color w:val="auto"/>
                <w:sz w:val="24"/>
                <w:highlight w:val="none"/>
                <w:lang w:val="en-US" w:eastAsia="zh-CN" w:bidi="ar"/>
              </w:rPr>
              <w:t>招标文件第二章采购需求中“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未标注“▲”或者未标注“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0.5</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23.5</w:t>
            </w:r>
            <w:r>
              <w:rPr>
                <w:rFonts w:hint="eastAsia" w:ascii="仿宋" w:hAnsi="仿宋" w:eastAsia="仿宋" w:cs="仿宋"/>
                <w:color w:val="auto"/>
                <w:sz w:val="24"/>
                <w:highlight w:val="none"/>
                <w:lang w:bidi="ar"/>
              </w:rPr>
              <w:t>分。</w:t>
            </w:r>
          </w:p>
          <w:p w14:paraId="0AE374CB">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74F1DCC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1）1.光学部分：</w:t>
            </w:r>
            <w:r>
              <w:rPr>
                <w:rFonts w:hint="default" w:ascii="仿宋" w:hAnsi="仿宋" w:eastAsia="仿宋" w:cs="仿宋"/>
                <w:color w:val="auto"/>
                <w:sz w:val="24"/>
                <w:highlight w:val="none"/>
                <w:lang w:bidi="ar"/>
              </w:rPr>
              <w:t>序号1.1</w:t>
            </w:r>
            <w:r>
              <w:rPr>
                <w:rFonts w:hint="eastAsia" w:ascii="仿宋" w:hAnsi="仿宋" w:eastAsia="仿宋" w:cs="仿宋"/>
                <w:color w:val="auto"/>
                <w:sz w:val="24"/>
                <w:highlight w:val="none"/>
                <w:lang w:eastAsia="zh-CN" w:bidi="ar"/>
              </w:rPr>
              <w:t>、1.4</w:t>
            </w:r>
            <w:r>
              <w:rPr>
                <w:rFonts w:hint="eastAsia" w:ascii="仿宋" w:hAnsi="仿宋" w:eastAsia="仿宋" w:cs="仿宋"/>
                <w:color w:val="auto"/>
                <w:sz w:val="24"/>
                <w:highlight w:val="none"/>
                <w:lang w:val="en-US" w:eastAsia="zh-CN" w:bidi="ar"/>
              </w:rPr>
              <w:t>~</w:t>
            </w:r>
            <w:r>
              <w:rPr>
                <w:rFonts w:hint="eastAsia" w:ascii="仿宋" w:hAnsi="仿宋" w:eastAsia="仿宋" w:cs="仿宋"/>
                <w:bCs/>
                <w:color w:val="auto"/>
                <w:sz w:val="24"/>
                <w:szCs w:val="24"/>
                <w:lang w:val="en-US" w:eastAsia="zh-CN"/>
              </w:rPr>
              <w:t>1.5、1.7~1.11</w:t>
            </w:r>
            <w:r>
              <w:rPr>
                <w:rFonts w:hint="eastAsia" w:ascii="仿宋" w:hAnsi="仿宋" w:eastAsia="仿宋" w:cs="仿宋"/>
                <w:color w:val="auto"/>
                <w:sz w:val="24"/>
                <w:highlight w:val="none"/>
                <w:lang w:val="en-US" w:eastAsia="zh-CN" w:bidi="ar"/>
              </w:rPr>
              <w:t>为8项；</w:t>
            </w:r>
          </w:p>
          <w:p w14:paraId="08564C7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2）2.照明部分</w:t>
            </w:r>
            <w:r>
              <w:rPr>
                <w:rFonts w:hint="default" w:ascii="仿宋" w:hAnsi="仿宋" w:eastAsia="仿宋" w:cs="仿宋"/>
                <w:color w:val="auto"/>
                <w:sz w:val="24"/>
                <w:highlight w:val="none"/>
                <w:lang w:bidi="ar"/>
              </w:rPr>
              <w:t>：序号2.2~</w:t>
            </w:r>
            <w:r>
              <w:rPr>
                <w:rFonts w:hint="eastAsia" w:ascii="仿宋" w:hAnsi="仿宋" w:eastAsia="仿宋" w:cs="仿宋"/>
                <w:color w:val="auto"/>
                <w:sz w:val="24"/>
                <w:highlight w:val="none"/>
                <w:lang w:val="en-US" w:eastAsia="zh-CN" w:bidi="ar"/>
              </w:rPr>
              <w:t>2.3</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w:t>
            </w:r>
            <w:r>
              <w:rPr>
                <w:rFonts w:hint="default" w:ascii="仿宋" w:hAnsi="仿宋" w:eastAsia="仿宋" w:cs="仿宋"/>
                <w:color w:val="auto"/>
                <w:sz w:val="24"/>
                <w:highlight w:val="none"/>
                <w:lang w:bidi="ar"/>
              </w:rPr>
              <w:t>项；</w:t>
            </w:r>
          </w:p>
          <w:p w14:paraId="23584F6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3）3.支架部分</w:t>
            </w:r>
            <w:r>
              <w:rPr>
                <w:rFonts w:hint="default" w:ascii="仿宋" w:hAnsi="仿宋" w:eastAsia="仿宋" w:cs="仿宋"/>
                <w:color w:val="auto"/>
                <w:sz w:val="24"/>
                <w:highlight w:val="none"/>
                <w:lang w:bidi="ar"/>
              </w:rPr>
              <w:t>：序号3.1</w:t>
            </w:r>
            <w:r>
              <w:rPr>
                <w:rFonts w:hint="eastAsia" w:ascii="仿宋" w:hAnsi="仿宋" w:eastAsia="仿宋" w:cs="仿宋"/>
                <w:color w:val="auto"/>
                <w:sz w:val="24"/>
                <w:highlight w:val="none"/>
                <w:lang w:eastAsia="zh-CN" w:bidi="ar"/>
              </w:rPr>
              <w:t>、3.3、3.5、</w:t>
            </w:r>
            <w:r>
              <w:rPr>
                <w:rFonts w:hint="eastAsia" w:ascii="仿宋" w:hAnsi="仿宋" w:eastAsia="仿宋" w:cs="仿宋"/>
                <w:color w:val="auto"/>
                <w:sz w:val="24"/>
                <w:highlight w:val="none"/>
                <w:lang w:val="en-US" w:eastAsia="zh-CN" w:bidi="ar"/>
              </w:rPr>
              <w:t>3.7~3.11</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8</w:t>
            </w:r>
            <w:r>
              <w:rPr>
                <w:rFonts w:hint="default" w:ascii="仿宋" w:hAnsi="仿宋" w:eastAsia="仿宋" w:cs="仿宋"/>
                <w:color w:val="auto"/>
                <w:sz w:val="24"/>
                <w:highlight w:val="none"/>
                <w:lang w:bidi="ar"/>
              </w:rPr>
              <w:t>项：</w:t>
            </w:r>
          </w:p>
          <w:p w14:paraId="49D00138">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4）4.操作控制系统</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w:t>
            </w:r>
            <w:r>
              <w:rPr>
                <w:rFonts w:hint="default" w:ascii="仿宋" w:hAnsi="仿宋" w:eastAsia="仿宋" w:cs="仿宋"/>
                <w:color w:val="auto"/>
                <w:sz w:val="24"/>
                <w:highlight w:val="none"/>
                <w:lang w:bidi="ar"/>
              </w:rPr>
              <w:t>项；</w:t>
            </w:r>
          </w:p>
          <w:p w14:paraId="3AB30BAD">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5）5.高性能图形塔式工作站</w:t>
            </w:r>
            <w:r>
              <w:rPr>
                <w:rFonts w:hint="default" w:ascii="仿宋" w:hAnsi="仿宋" w:eastAsia="仿宋" w:cs="仿宋"/>
                <w:color w:val="auto"/>
                <w:sz w:val="24"/>
                <w:highlight w:val="none"/>
                <w:lang w:bidi="ar"/>
              </w:rPr>
              <w:t>：序号5.3</w:t>
            </w:r>
            <w:r>
              <w:rPr>
                <w:rFonts w:hint="eastAsia" w:ascii="仿宋" w:hAnsi="仿宋" w:eastAsia="仿宋" w:cs="仿宋"/>
                <w:color w:val="auto"/>
                <w:sz w:val="24"/>
                <w:highlight w:val="none"/>
                <w:lang w:val="en-US" w:eastAsia="zh-CN" w:bidi="ar"/>
              </w:rPr>
              <w:t>~5.9</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项；</w:t>
            </w:r>
          </w:p>
          <w:p w14:paraId="626B2309">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6）6.颈部荧光内窥镜</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10</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10</w:t>
            </w:r>
            <w:r>
              <w:rPr>
                <w:rFonts w:hint="default" w:ascii="仿宋" w:hAnsi="仿宋" w:eastAsia="仿宋" w:cs="仿宋"/>
                <w:color w:val="auto"/>
                <w:sz w:val="24"/>
                <w:highlight w:val="none"/>
                <w:lang w:bidi="ar"/>
              </w:rPr>
              <w:t>项；</w:t>
            </w:r>
          </w:p>
          <w:p w14:paraId="1A409007">
            <w:pPr>
              <w:numPr>
                <w:ilvl w:val="-1"/>
                <w:numId w:val="0"/>
              </w:numPr>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7）7.显示器</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序号7.1~7.9为9项；</w:t>
            </w:r>
          </w:p>
          <w:p w14:paraId="3B96DA64">
            <w:pPr>
              <w:numPr>
                <w:ilvl w:val="-1"/>
                <w:numId w:val="0"/>
              </w:numPr>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val="en-US" w:eastAsia="zh-CN" w:bidi="ar"/>
              </w:rPr>
              <w:t>8）8.配置清单为1项</w:t>
            </w:r>
            <w:r>
              <w:rPr>
                <w:rFonts w:hint="eastAsia" w:ascii="仿宋" w:hAnsi="仿宋" w:eastAsia="仿宋" w:cs="仿宋"/>
                <w:color w:val="auto"/>
                <w:sz w:val="24"/>
                <w:highlight w:val="none"/>
                <w:lang w:eastAsia="zh-CN" w:bidi="ar"/>
              </w:rPr>
              <w:t>。</w:t>
            </w:r>
          </w:p>
        </w:tc>
      </w:tr>
      <w:tr w14:paraId="0C6C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08E81731">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6136DE17">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4DFD7252">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default"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rPr>
              <w:t>分）</w:t>
            </w:r>
          </w:p>
        </w:tc>
        <w:tc>
          <w:tcPr>
            <w:tcW w:w="6475" w:type="dxa"/>
            <w:vAlign w:val="center"/>
          </w:tcPr>
          <w:p w14:paraId="4E81FA11">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w:t>
            </w:r>
            <w:r>
              <w:rPr>
                <w:rFonts w:hint="eastAsia" w:ascii="仿宋" w:hAnsi="仿宋" w:eastAsia="仿宋" w:cs="仿宋"/>
                <w:color w:val="auto"/>
                <w:kern w:val="0"/>
                <w:sz w:val="24"/>
                <w:highlight w:val="none"/>
              </w:rPr>
              <w:t>等）进行评审。</w:t>
            </w:r>
          </w:p>
          <w:p w14:paraId="17E88123">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default"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4DAEDE8D">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default"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6EC95E1A">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default"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7D4B6511">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45F4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1AF91FD">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0AE20959">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5C74CD3E">
            <w:pPr>
              <w:spacing w:line="400" w:lineRule="exact"/>
              <w:jc w:val="center"/>
              <w:rPr>
                <w:rFonts w:hint="eastAsia" w:ascii="仿宋" w:hAnsi="仿宋" w:eastAsia="仿宋" w:cs="仿宋"/>
                <w:b/>
                <w:bCs/>
                <w:color w:val="auto"/>
                <w:kern w:val="1"/>
                <w:sz w:val="24"/>
                <w:highlight w:val="none"/>
                <w:lang w:val="en-US" w:eastAsia="zh-CN"/>
              </w:rPr>
            </w:pPr>
            <w:r>
              <w:rPr>
                <w:rFonts w:hint="eastAsia" w:ascii="仿宋" w:hAnsi="仿宋" w:eastAsia="仿宋" w:cs="仿宋"/>
                <w:b/>
                <w:bCs/>
                <w:color w:val="auto"/>
                <w:kern w:val="1"/>
                <w:sz w:val="24"/>
                <w:highlight w:val="none"/>
              </w:rPr>
              <w:t>售后服务</w:t>
            </w:r>
            <w:r>
              <w:rPr>
                <w:rFonts w:hint="eastAsia" w:ascii="仿宋" w:hAnsi="仿宋" w:eastAsia="仿宋" w:cs="仿宋"/>
                <w:b/>
                <w:bCs/>
                <w:color w:val="auto"/>
                <w:kern w:val="1"/>
                <w:sz w:val="24"/>
                <w:highlight w:val="none"/>
                <w:lang w:val="en-US" w:eastAsia="zh-CN"/>
              </w:rPr>
              <w:t>方案</w:t>
            </w:r>
          </w:p>
          <w:p w14:paraId="0062A658">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18</w:t>
            </w:r>
            <w:r>
              <w:rPr>
                <w:rFonts w:hint="eastAsia" w:ascii="仿宋" w:hAnsi="仿宋" w:eastAsia="仿宋" w:cs="仿宋"/>
                <w:b/>
                <w:bCs/>
                <w:color w:val="auto"/>
                <w:sz w:val="24"/>
                <w:highlight w:val="none"/>
              </w:rPr>
              <w:t>分）</w:t>
            </w:r>
          </w:p>
        </w:tc>
        <w:tc>
          <w:tcPr>
            <w:tcW w:w="6475" w:type="dxa"/>
            <w:vAlign w:val="center"/>
          </w:tcPr>
          <w:p w14:paraId="744BA7A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3A10C1FB">
            <w:pPr>
              <w:spacing w:line="400" w:lineRule="exact"/>
              <w:jc w:val="left"/>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1</w:t>
            </w:r>
            <w:r>
              <w:rPr>
                <w:rFonts w:hint="eastAsia" w:ascii="仿宋" w:hAnsi="仿宋" w:eastAsia="仿宋"/>
                <w:b/>
                <w:bCs/>
                <w:color w:val="auto"/>
                <w:kern w:val="0"/>
                <w:sz w:val="24"/>
                <w:highlight w:val="none"/>
                <w:lang w:eastAsia="zh-CN"/>
              </w:rPr>
              <w:t>.</w:t>
            </w:r>
            <w:r>
              <w:rPr>
                <w:rFonts w:hint="eastAsia" w:ascii="仿宋" w:hAnsi="仿宋" w:eastAsia="仿宋"/>
                <w:b/>
                <w:bCs/>
                <w:color w:val="auto"/>
                <w:kern w:val="0"/>
                <w:sz w:val="24"/>
                <w:highlight w:val="none"/>
              </w:rPr>
              <w:t>质保期（满分</w:t>
            </w:r>
            <w:r>
              <w:rPr>
                <w:rFonts w:hint="eastAsia" w:ascii="仿宋" w:hAnsi="仿宋" w:eastAsia="仿宋"/>
                <w:b/>
                <w:bCs/>
                <w:color w:val="auto"/>
                <w:kern w:val="0"/>
                <w:sz w:val="24"/>
                <w:highlight w:val="none"/>
                <w:lang w:val="en-US" w:eastAsia="zh-CN"/>
              </w:rPr>
              <w:t>2</w:t>
            </w:r>
            <w:r>
              <w:rPr>
                <w:rFonts w:hint="eastAsia" w:ascii="仿宋" w:hAnsi="仿宋" w:eastAsia="仿宋"/>
                <w:b/>
                <w:bCs/>
                <w:color w:val="auto"/>
                <w:kern w:val="0"/>
                <w:sz w:val="24"/>
                <w:highlight w:val="none"/>
              </w:rPr>
              <w:t>分）</w:t>
            </w:r>
          </w:p>
          <w:p w14:paraId="7C6D329C">
            <w:pPr>
              <w:spacing w:line="400" w:lineRule="exact"/>
              <w:rPr>
                <w:rFonts w:hint="eastAsia" w:ascii="仿宋" w:hAnsi="仿宋" w:eastAsia="仿宋" w:cs="仿宋"/>
                <w:b/>
                <w:bCs/>
                <w:color w:val="auto"/>
                <w:kern w:val="0"/>
                <w:sz w:val="24"/>
                <w:highlight w:val="none"/>
                <w:lang w:val="en-US" w:eastAsia="zh-CN"/>
              </w:rPr>
            </w:pPr>
            <w:r>
              <w:rPr>
                <w:rFonts w:ascii="仿宋" w:hAnsi="仿宋" w:eastAsia="仿宋"/>
                <w:color w:val="auto"/>
                <w:kern w:val="0"/>
                <w:sz w:val="24"/>
                <w:highlight w:val="none"/>
              </w:rPr>
              <w:t>在满足招标文件</w:t>
            </w:r>
            <w:r>
              <w:rPr>
                <w:rFonts w:hint="eastAsia" w:ascii="仿宋" w:hAnsi="仿宋" w:eastAsia="仿宋"/>
                <w:color w:val="auto"/>
                <w:kern w:val="0"/>
                <w:sz w:val="24"/>
                <w:highlight w:val="none"/>
              </w:rPr>
              <w:t>设备保修期</w:t>
            </w:r>
            <w:r>
              <w:rPr>
                <w:rFonts w:ascii="仿宋" w:hAnsi="仿宋" w:eastAsia="仿宋"/>
                <w:color w:val="auto"/>
                <w:kern w:val="0"/>
                <w:sz w:val="24"/>
                <w:highlight w:val="none"/>
              </w:rPr>
              <w:t>限要求的前提下，质保期每延长</w:t>
            </w:r>
            <w:r>
              <w:rPr>
                <w:rFonts w:hint="eastAsia" w:ascii="仿宋" w:hAnsi="仿宋" w:eastAsia="仿宋"/>
                <w:color w:val="auto"/>
                <w:kern w:val="0"/>
                <w:sz w:val="24"/>
                <w:highlight w:val="none"/>
              </w:rPr>
              <w:t>半年</w:t>
            </w:r>
            <w:r>
              <w:rPr>
                <w:rFonts w:ascii="仿宋" w:hAnsi="仿宋" w:eastAsia="仿宋"/>
                <w:color w:val="auto"/>
                <w:kern w:val="0"/>
                <w:sz w:val="24"/>
                <w:highlight w:val="none"/>
              </w:rPr>
              <w:t>得</w:t>
            </w:r>
            <w:r>
              <w:rPr>
                <w:rFonts w:hint="eastAsia" w:ascii="仿宋" w:hAnsi="仿宋" w:eastAsia="仿宋"/>
                <w:color w:val="auto"/>
                <w:kern w:val="0"/>
                <w:sz w:val="24"/>
                <w:highlight w:val="none"/>
              </w:rPr>
              <w:t>0.5</w:t>
            </w:r>
            <w:r>
              <w:rPr>
                <w:rFonts w:ascii="仿宋" w:hAnsi="仿宋" w:eastAsia="仿宋"/>
                <w:color w:val="auto"/>
                <w:kern w:val="0"/>
                <w:sz w:val="24"/>
                <w:highlight w:val="none"/>
              </w:rPr>
              <w:t>分，满分</w:t>
            </w:r>
            <w:r>
              <w:rPr>
                <w:rFonts w:hint="eastAsia" w:ascii="仿宋" w:hAnsi="仿宋" w:eastAsia="仿宋"/>
                <w:color w:val="auto"/>
                <w:kern w:val="0"/>
                <w:sz w:val="24"/>
                <w:highlight w:val="none"/>
                <w:lang w:val="en-US" w:eastAsia="zh-CN"/>
              </w:rPr>
              <w:t>2</w:t>
            </w:r>
            <w:r>
              <w:rPr>
                <w:rFonts w:ascii="仿宋" w:hAnsi="仿宋" w:eastAsia="仿宋"/>
                <w:color w:val="auto"/>
                <w:kern w:val="0"/>
                <w:sz w:val="24"/>
                <w:highlight w:val="none"/>
              </w:rPr>
              <w:t>分。</w:t>
            </w:r>
          </w:p>
          <w:p w14:paraId="63F74B6E">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7</w:t>
            </w:r>
            <w:r>
              <w:rPr>
                <w:rFonts w:hint="eastAsia" w:ascii="仿宋" w:hAnsi="仿宋" w:eastAsia="仿宋" w:cs="仿宋"/>
                <w:b/>
                <w:bCs/>
                <w:color w:val="auto"/>
                <w:kern w:val="0"/>
                <w:sz w:val="24"/>
                <w:highlight w:val="none"/>
              </w:rPr>
              <w:t>分）</w:t>
            </w:r>
          </w:p>
          <w:p w14:paraId="011E528D">
            <w:pPr>
              <w:spacing w:line="400" w:lineRule="exact"/>
              <w:rPr>
                <w:rFonts w:hint="eastAsia" w:ascii="仿宋" w:hAnsi="仿宋" w:eastAsia="仿宋"/>
                <w:color w:val="auto"/>
                <w:sz w:val="24"/>
                <w:highlight w:val="none"/>
              </w:rPr>
            </w:pPr>
            <w:r>
              <w:rPr>
                <w:rFonts w:hint="eastAsia" w:ascii="仿宋" w:hAnsi="仿宋" w:eastAsia="仿宋"/>
                <w:color w:val="auto"/>
                <w:kern w:val="0"/>
                <w:sz w:val="24"/>
                <w:highlight w:val="none"/>
              </w:rPr>
              <w:t>一档</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分）培训计划满足招标文件基本要求，</w:t>
            </w:r>
            <w:r>
              <w:rPr>
                <w:rFonts w:hint="eastAsia" w:ascii="仿宋" w:hAnsi="仿宋" w:eastAsia="仿宋"/>
                <w:color w:val="auto"/>
                <w:sz w:val="24"/>
                <w:highlight w:val="none"/>
                <w:lang w:val="en-US" w:eastAsia="zh-CN"/>
              </w:rPr>
              <w:t>培训计划较简单，</w:t>
            </w:r>
            <w:r>
              <w:rPr>
                <w:rFonts w:hint="eastAsia" w:ascii="仿宋" w:hAnsi="仿宋" w:eastAsia="仿宋"/>
                <w:color w:val="auto"/>
                <w:sz w:val="24"/>
                <w:highlight w:val="none"/>
              </w:rPr>
              <w:t>包括基本的</w:t>
            </w:r>
            <w:r>
              <w:rPr>
                <w:rFonts w:hint="eastAsia" w:ascii="仿宋" w:hAnsi="仿宋" w:eastAsia="仿宋"/>
                <w:color w:val="auto"/>
                <w:sz w:val="24"/>
                <w:highlight w:val="none"/>
                <w:lang w:val="en-US" w:eastAsia="zh-CN"/>
              </w:rPr>
              <w:t>人员</w:t>
            </w:r>
            <w:r>
              <w:rPr>
                <w:rFonts w:hint="eastAsia" w:ascii="仿宋" w:hAnsi="仿宋" w:eastAsia="仿宋"/>
                <w:color w:val="auto"/>
                <w:sz w:val="24"/>
                <w:highlight w:val="none"/>
              </w:rPr>
              <w:t>培训计划。</w:t>
            </w:r>
          </w:p>
          <w:p w14:paraId="7B1C0279">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2D290B6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0A05BFF5">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9</w:t>
            </w:r>
            <w:r>
              <w:rPr>
                <w:rFonts w:hint="eastAsia" w:ascii="仿宋" w:hAnsi="仿宋" w:eastAsia="仿宋" w:cs="仿宋"/>
                <w:b/>
                <w:bCs/>
                <w:color w:val="auto"/>
                <w:sz w:val="24"/>
                <w:highlight w:val="none"/>
              </w:rPr>
              <w:t>分）</w:t>
            </w:r>
          </w:p>
          <w:p w14:paraId="595F130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分）：售后服务满足招标文件要求，且具有设备使用中的安全保障体系方案，回访计划。</w:t>
            </w:r>
          </w:p>
          <w:p w14:paraId="4AC8E340">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7AB27F3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131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1BC28C66">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6D54E6BB">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5B4B4FB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2.5</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00A86E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098BD0DE">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033CCF4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具有手术显微镜</w:t>
            </w:r>
            <w:r>
              <w:rPr>
                <w:rFonts w:hint="eastAsia" w:ascii="仿宋" w:hAnsi="仿宋" w:eastAsia="仿宋" w:cs="仿宋"/>
                <w:color w:val="auto"/>
                <w:sz w:val="24"/>
                <w:highlight w:val="none"/>
              </w:rPr>
              <w:t>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满分2</w:t>
            </w:r>
            <w:r>
              <w:rPr>
                <w:rFonts w:hint="eastAsia" w:ascii="仿宋" w:hAnsi="仿宋" w:eastAsia="仿宋" w:cs="仿宋"/>
                <w:color w:val="auto"/>
                <w:sz w:val="24"/>
                <w:highlight w:val="none"/>
              </w:rPr>
              <w:t>分。</w:t>
            </w:r>
          </w:p>
          <w:p w14:paraId="44F9F27D">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48DD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5400EAD">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257FCC48">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32CC99EF">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0.5</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390AFE2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w:t>
            </w:r>
          </w:p>
          <w:p w14:paraId="35D994C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（1）医疗器械质量管理体系认证</w:t>
            </w:r>
          </w:p>
          <w:p w14:paraId="6E3A2D0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22A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3F043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7BA2B9A3">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086DDC82">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rPr>
              <w:t>分）</w:t>
            </w:r>
          </w:p>
        </w:tc>
        <w:tc>
          <w:tcPr>
            <w:tcW w:w="1134" w:type="dxa"/>
            <w:vAlign w:val="center"/>
          </w:tcPr>
          <w:p w14:paraId="7B956AA4">
            <w:pPr>
              <w:spacing w:line="400" w:lineRule="exact"/>
              <w:jc w:val="center"/>
              <w:rPr>
                <w:rFonts w:hint="eastAsia" w:ascii="仿宋" w:hAnsi="仿宋" w:eastAsia="仿宋" w:cs="仿宋"/>
                <w:b/>
                <w:color w:val="auto"/>
                <w:sz w:val="24"/>
                <w:highlight w:val="none"/>
              </w:rPr>
            </w:pPr>
            <w:r>
              <w:rPr>
                <w:rFonts w:hint="eastAsia" w:ascii="仿宋" w:hAnsi="仿宋" w:eastAsia="仿宋"/>
                <w:b/>
                <w:color w:val="auto"/>
                <w:sz w:val="24"/>
                <w:highlight w:val="none"/>
              </w:rPr>
              <w:t>节能、环境标志产品</w:t>
            </w:r>
            <w:r>
              <w:rPr>
                <w:rFonts w:hint="eastAsia" w:ascii="仿宋" w:hAnsi="仿宋" w:eastAsia="仿宋"/>
                <w:b/>
                <w:bCs/>
                <w:color w:val="auto"/>
                <w:sz w:val="24"/>
                <w:highlight w:val="none"/>
              </w:rPr>
              <w:t>（满分</w:t>
            </w:r>
            <w:r>
              <w:rPr>
                <w:rFonts w:hint="eastAsia" w:ascii="仿宋" w:hAnsi="仿宋" w:eastAsia="仿宋"/>
                <w:b/>
                <w:bCs/>
                <w:color w:val="auto"/>
                <w:sz w:val="24"/>
                <w:highlight w:val="none"/>
                <w:u w:val="single"/>
              </w:rPr>
              <w:t>2</w:t>
            </w:r>
            <w:r>
              <w:rPr>
                <w:rFonts w:hint="eastAsia" w:ascii="仿宋" w:hAnsi="仿宋" w:eastAsia="仿宋"/>
                <w:b/>
                <w:bCs/>
                <w:color w:val="auto"/>
                <w:sz w:val="24"/>
                <w:highlight w:val="none"/>
              </w:rPr>
              <w:t>分）</w:t>
            </w:r>
          </w:p>
        </w:tc>
        <w:tc>
          <w:tcPr>
            <w:tcW w:w="6475" w:type="dxa"/>
            <w:vAlign w:val="center"/>
          </w:tcPr>
          <w:p w14:paraId="64B83556">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1E11EFEE">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5E8E3D81">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Courier New"/>
                <w:bCs/>
                <w:color w:val="auto"/>
                <w:kern w:val="2"/>
                <w:sz w:val="24"/>
                <w:szCs w:val="24"/>
                <w:highlight w:val="none"/>
              </w:rPr>
              <w:t>（3）非节能、环境标志产品的不得分。</w:t>
            </w:r>
          </w:p>
        </w:tc>
      </w:tr>
      <w:tr w14:paraId="1F9A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184EBEE0">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bookmarkEnd w:id="155"/>
    </w:tbl>
    <w:p w14:paraId="24CF2FFB">
      <w:pPr>
        <w:pStyle w:val="23"/>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bookmarkEnd w:id="154"/>
      <w:r>
        <w:rPr>
          <w:rFonts w:hint="eastAsia" w:ascii="仿宋" w:hAnsi="仿宋" w:eastAsia="仿宋" w:cs="仿宋"/>
          <w:color w:val="auto"/>
          <w:highlight w:val="none"/>
        </w:rPr>
        <w:br w:type="column"/>
      </w:r>
      <w:bookmarkStart w:id="156" w:name="_Toc19686833"/>
    </w:p>
    <w:p w14:paraId="7F091979">
      <w:pPr>
        <w:jc w:val="center"/>
        <w:outlineLvl w:val="1"/>
        <w:rPr>
          <w:rFonts w:hint="eastAsia" w:ascii="仿宋" w:hAnsi="仿宋" w:eastAsia="仿宋" w:cs="仿宋"/>
          <w:color w:val="auto"/>
          <w:sz w:val="36"/>
          <w:szCs w:val="36"/>
          <w:highlight w:val="none"/>
        </w:rPr>
      </w:pPr>
      <w:bookmarkStart w:id="157" w:name="_Toc11983"/>
      <w:bookmarkStart w:id="158" w:name="_Toc32157"/>
      <w:r>
        <w:rPr>
          <w:rFonts w:hint="eastAsia" w:ascii="仿宋" w:hAnsi="仿宋" w:eastAsia="仿宋" w:cs="仿宋"/>
          <w:color w:val="auto"/>
          <w:sz w:val="36"/>
          <w:szCs w:val="36"/>
          <w:highlight w:val="none"/>
        </w:rPr>
        <w:t>第五章  拟签订的合同文本</w:t>
      </w:r>
      <w:bookmarkEnd w:id="156"/>
      <w:bookmarkEnd w:id="157"/>
      <w:bookmarkEnd w:id="158"/>
    </w:p>
    <w:p w14:paraId="25A0C55C">
      <w:pPr>
        <w:tabs>
          <w:tab w:val="left" w:pos="422"/>
          <w:tab w:val="center" w:pos="5198"/>
        </w:tabs>
        <w:spacing w:line="840" w:lineRule="exact"/>
        <w:ind w:firstLine="420"/>
        <w:jc w:val="center"/>
        <w:rPr>
          <w:rFonts w:hint="eastAsia" w:ascii="仿宋" w:hAnsi="仿宋" w:eastAsia="仿宋" w:cs="仿宋"/>
          <w:b/>
          <w:bCs/>
          <w:color w:val="auto"/>
          <w:sz w:val="72"/>
          <w:szCs w:val="20"/>
          <w:highlight w:val="none"/>
        </w:rPr>
      </w:pPr>
    </w:p>
    <w:p w14:paraId="23C02C3F">
      <w:pPr>
        <w:tabs>
          <w:tab w:val="left" w:pos="422"/>
          <w:tab w:val="center" w:pos="5198"/>
        </w:tabs>
        <w:spacing w:line="840" w:lineRule="exact"/>
        <w:ind w:firstLine="420"/>
        <w:jc w:val="center"/>
        <w:rPr>
          <w:rFonts w:hint="eastAsia" w:ascii="仿宋" w:hAnsi="仿宋" w:eastAsia="仿宋" w:cs="仿宋"/>
          <w:b/>
          <w:bCs/>
          <w:color w:val="auto"/>
          <w:sz w:val="72"/>
          <w:szCs w:val="20"/>
          <w:highlight w:val="none"/>
        </w:rPr>
      </w:pPr>
    </w:p>
    <w:p w14:paraId="2E68ABB1">
      <w:pPr>
        <w:pStyle w:val="23"/>
        <w:tabs>
          <w:tab w:val="left" w:pos="422"/>
          <w:tab w:val="center" w:pos="5198"/>
        </w:tabs>
        <w:spacing w:line="840" w:lineRule="exact"/>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广西壮族自治区人民医院</w:t>
      </w:r>
    </w:p>
    <w:p w14:paraId="0B3B4C48">
      <w:pPr>
        <w:pStyle w:val="23"/>
        <w:tabs>
          <w:tab w:val="left" w:pos="422"/>
          <w:tab w:val="center" w:pos="5198"/>
        </w:tabs>
        <w:spacing w:line="840" w:lineRule="exact"/>
        <w:ind w:firstLine="420"/>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采购合同书</w:t>
      </w:r>
    </w:p>
    <w:p w14:paraId="306F7937">
      <w:pPr>
        <w:pStyle w:val="23"/>
        <w:spacing w:line="340" w:lineRule="exact"/>
        <w:ind w:firstLine="420"/>
        <w:rPr>
          <w:rFonts w:hint="eastAsia" w:ascii="仿宋" w:hAnsi="仿宋" w:eastAsia="仿宋" w:cs="仿宋"/>
          <w:color w:val="auto"/>
          <w:highlight w:val="none"/>
        </w:rPr>
      </w:pPr>
    </w:p>
    <w:p w14:paraId="6D8EBE40">
      <w:pPr>
        <w:pStyle w:val="23"/>
        <w:spacing w:line="340" w:lineRule="exact"/>
        <w:rPr>
          <w:rFonts w:hint="eastAsia" w:ascii="仿宋" w:hAnsi="仿宋" w:eastAsia="仿宋" w:cs="仿宋"/>
          <w:color w:val="auto"/>
          <w:highlight w:val="none"/>
        </w:rPr>
      </w:pPr>
    </w:p>
    <w:p w14:paraId="5C6FFFD0">
      <w:pPr>
        <w:pStyle w:val="23"/>
        <w:spacing w:line="340" w:lineRule="exact"/>
        <w:rPr>
          <w:rFonts w:hint="eastAsia" w:ascii="仿宋" w:hAnsi="仿宋" w:eastAsia="仿宋" w:cs="仿宋"/>
          <w:color w:val="auto"/>
          <w:highlight w:val="none"/>
        </w:rPr>
      </w:pPr>
    </w:p>
    <w:p w14:paraId="13DB5503">
      <w:pPr>
        <w:pStyle w:val="23"/>
        <w:spacing w:line="340" w:lineRule="exact"/>
        <w:rPr>
          <w:rFonts w:hint="eastAsia" w:ascii="仿宋" w:hAnsi="仿宋" w:eastAsia="仿宋" w:cs="仿宋"/>
          <w:color w:val="auto"/>
          <w:highlight w:val="none"/>
        </w:rPr>
      </w:pPr>
    </w:p>
    <w:p w14:paraId="3FD76796">
      <w:pPr>
        <w:pStyle w:val="23"/>
        <w:spacing w:line="340" w:lineRule="exact"/>
        <w:rPr>
          <w:rFonts w:hint="eastAsia" w:ascii="仿宋" w:hAnsi="仿宋" w:eastAsia="仿宋" w:cs="仿宋"/>
          <w:color w:val="auto"/>
          <w:highlight w:val="none"/>
        </w:rPr>
      </w:pPr>
    </w:p>
    <w:p w14:paraId="5C6A05C6">
      <w:pPr>
        <w:pStyle w:val="23"/>
        <w:spacing w:line="340" w:lineRule="exact"/>
        <w:rPr>
          <w:rFonts w:hint="eastAsia" w:ascii="仿宋" w:hAnsi="仿宋" w:eastAsia="仿宋" w:cs="仿宋"/>
          <w:color w:val="auto"/>
          <w:highlight w:val="none"/>
        </w:rPr>
      </w:pPr>
    </w:p>
    <w:p w14:paraId="615BA1C3">
      <w:pPr>
        <w:pStyle w:val="23"/>
        <w:spacing w:line="340" w:lineRule="exact"/>
        <w:rPr>
          <w:rFonts w:hint="eastAsia" w:ascii="仿宋" w:hAnsi="仿宋" w:eastAsia="仿宋" w:cs="仿宋"/>
          <w:color w:val="auto"/>
          <w:highlight w:val="none"/>
        </w:rPr>
      </w:pPr>
    </w:p>
    <w:p w14:paraId="51F190EB">
      <w:pPr>
        <w:pStyle w:val="23"/>
        <w:spacing w:line="340" w:lineRule="exact"/>
        <w:rPr>
          <w:rFonts w:hint="eastAsia" w:ascii="仿宋" w:hAnsi="仿宋" w:eastAsia="仿宋" w:cs="仿宋"/>
          <w:color w:val="auto"/>
          <w:highlight w:val="none"/>
        </w:rPr>
      </w:pPr>
    </w:p>
    <w:p w14:paraId="097C7A9F">
      <w:pPr>
        <w:pStyle w:val="23"/>
        <w:spacing w:line="340" w:lineRule="exact"/>
        <w:rPr>
          <w:rFonts w:hint="eastAsia" w:ascii="仿宋" w:hAnsi="仿宋" w:eastAsia="仿宋" w:cs="仿宋"/>
          <w:color w:val="auto"/>
          <w:highlight w:val="none"/>
        </w:rPr>
      </w:pPr>
    </w:p>
    <w:p w14:paraId="277D27B9">
      <w:pPr>
        <w:pStyle w:val="23"/>
        <w:spacing w:line="340" w:lineRule="exact"/>
        <w:rPr>
          <w:rFonts w:hint="eastAsia" w:ascii="仿宋" w:hAnsi="仿宋" w:eastAsia="仿宋" w:cs="仿宋"/>
          <w:color w:val="auto"/>
          <w:highlight w:val="none"/>
        </w:rPr>
      </w:pPr>
    </w:p>
    <w:p w14:paraId="47FB39AC">
      <w:pPr>
        <w:pStyle w:val="23"/>
        <w:spacing w:line="340" w:lineRule="exact"/>
        <w:rPr>
          <w:rFonts w:hint="eastAsia" w:ascii="仿宋" w:hAnsi="仿宋" w:eastAsia="仿宋" w:cs="仿宋"/>
          <w:color w:val="auto"/>
          <w:highlight w:val="none"/>
        </w:rPr>
      </w:pPr>
    </w:p>
    <w:p w14:paraId="73CDB347">
      <w:pPr>
        <w:pStyle w:val="23"/>
        <w:spacing w:line="340" w:lineRule="exact"/>
        <w:rPr>
          <w:rFonts w:hint="eastAsia" w:ascii="仿宋" w:hAnsi="仿宋" w:eastAsia="仿宋" w:cs="仿宋"/>
          <w:color w:val="auto"/>
          <w:highlight w:val="none"/>
        </w:rPr>
      </w:pPr>
    </w:p>
    <w:p w14:paraId="77FA4AE0">
      <w:pPr>
        <w:pStyle w:val="23"/>
        <w:spacing w:line="340" w:lineRule="exact"/>
        <w:rPr>
          <w:rFonts w:hint="eastAsia" w:ascii="仿宋" w:hAnsi="仿宋" w:eastAsia="仿宋" w:cs="仿宋"/>
          <w:color w:val="auto"/>
          <w:highlight w:val="none"/>
        </w:rPr>
      </w:pPr>
    </w:p>
    <w:tbl>
      <w:tblPr>
        <w:tblStyle w:val="46"/>
        <w:tblpPr w:leftFromText="180" w:rightFromText="180" w:vertAnchor="text" w:horzAnchor="page" w:tblpX="3029" w:tblpY="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5239"/>
      </w:tblGrid>
      <w:tr w14:paraId="14FC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0" w:type="dxa"/>
            <w:noWrap w:val="0"/>
            <w:vAlign w:val="top"/>
          </w:tcPr>
          <w:p w14:paraId="5800DB88">
            <w:pPr>
              <w:pStyle w:val="23"/>
              <w:spacing w:line="500" w:lineRule="exact"/>
              <w:jc w:val="both"/>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pacing w:val="37"/>
                <w:kern w:val="0"/>
                <w:sz w:val="30"/>
                <w:szCs w:val="30"/>
                <w:highlight w:val="none"/>
                <w:fitText w:val="1800" w:id="660948644"/>
              </w:rPr>
              <w:t>合同名称</w:t>
            </w:r>
            <w:r>
              <w:rPr>
                <w:rFonts w:hint="eastAsia" w:ascii="仿宋" w:hAnsi="仿宋" w:eastAsia="仿宋" w:cs="仿宋"/>
                <w:b/>
                <w:color w:val="auto"/>
                <w:spacing w:val="2"/>
                <w:kern w:val="0"/>
                <w:sz w:val="30"/>
                <w:szCs w:val="30"/>
                <w:highlight w:val="none"/>
                <w:fitText w:val="1800" w:id="660948644"/>
              </w:rPr>
              <w:t>：</w:t>
            </w:r>
          </w:p>
        </w:tc>
        <w:tc>
          <w:tcPr>
            <w:tcW w:w="5239" w:type="dxa"/>
            <w:tcBorders>
              <w:bottom w:val="nil"/>
            </w:tcBorders>
            <w:noWrap w:val="0"/>
            <w:vAlign w:val="center"/>
          </w:tcPr>
          <w:p w14:paraId="14480C6C">
            <w:pPr>
              <w:pStyle w:val="23"/>
              <w:spacing w:line="500" w:lineRule="exact"/>
              <w:jc w:val="both"/>
              <w:rPr>
                <w:rFonts w:hint="eastAsia" w:ascii="仿宋" w:hAnsi="仿宋" w:eastAsia="仿宋" w:cs="仿宋"/>
                <w:b/>
                <w:color w:val="auto"/>
                <w:kern w:val="0"/>
                <w:sz w:val="30"/>
                <w:szCs w:val="30"/>
                <w:highlight w:val="none"/>
                <w:vertAlign w:val="baseline"/>
                <w:lang w:val="en-US"/>
              </w:rPr>
            </w:pPr>
          </w:p>
        </w:tc>
      </w:tr>
      <w:tr w14:paraId="6CF6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0628A0B0">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37"/>
                <w:kern w:val="0"/>
                <w:sz w:val="30"/>
                <w:szCs w:val="30"/>
                <w:highlight w:val="none"/>
                <w:fitText w:val="1800" w:id="317392453"/>
              </w:rPr>
              <w:t>合同编号</w:t>
            </w:r>
            <w:r>
              <w:rPr>
                <w:rFonts w:hint="eastAsia" w:ascii="仿宋" w:hAnsi="仿宋" w:eastAsia="仿宋" w:cs="仿宋"/>
                <w:b/>
                <w:color w:val="auto"/>
                <w:spacing w:val="2"/>
                <w:kern w:val="0"/>
                <w:sz w:val="30"/>
                <w:szCs w:val="30"/>
                <w:highlight w:val="none"/>
                <w:fitText w:val="1800" w:id="317392453"/>
              </w:rPr>
              <w:t>：</w:t>
            </w:r>
          </w:p>
        </w:tc>
        <w:tc>
          <w:tcPr>
            <w:tcW w:w="5239" w:type="dxa"/>
            <w:tcBorders>
              <w:top w:val="nil"/>
              <w:bottom w:val="nil"/>
            </w:tcBorders>
            <w:noWrap w:val="0"/>
            <w:vAlign w:val="center"/>
          </w:tcPr>
          <w:p w14:paraId="72D4D558">
            <w:pPr>
              <w:pStyle w:val="23"/>
              <w:spacing w:line="500" w:lineRule="exact"/>
              <w:jc w:val="both"/>
              <w:rPr>
                <w:rFonts w:hint="eastAsia" w:ascii="仿宋" w:hAnsi="仿宋" w:eastAsia="仿宋" w:cs="仿宋"/>
                <w:b/>
                <w:color w:val="auto"/>
                <w:kern w:val="0"/>
                <w:sz w:val="30"/>
                <w:szCs w:val="30"/>
                <w:highlight w:val="none"/>
                <w:vertAlign w:val="baseline"/>
              </w:rPr>
            </w:pPr>
          </w:p>
        </w:tc>
      </w:tr>
      <w:tr w14:paraId="5866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224CB179">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0"/>
                <w:kern w:val="0"/>
                <w:sz w:val="30"/>
                <w:szCs w:val="30"/>
                <w:highlight w:val="none"/>
                <w:fitText w:val="1800" w:id="979905303"/>
              </w:rPr>
              <w:t>需方</w:t>
            </w:r>
            <w:r>
              <w:rPr>
                <w:rFonts w:hint="eastAsia" w:ascii="仿宋" w:hAnsi="仿宋" w:eastAsia="仿宋" w:cs="仿宋"/>
                <w:b/>
                <w:color w:val="auto"/>
                <w:spacing w:val="0"/>
                <w:kern w:val="0"/>
                <w:sz w:val="30"/>
                <w:szCs w:val="30"/>
                <w:highlight w:val="none"/>
                <w:fitText w:val="1800" w:id="979905303"/>
                <w:lang w:val="en-US" w:eastAsia="zh-CN"/>
              </w:rPr>
              <w:t>(</w:t>
            </w:r>
            <w:r>
              <w:rPr>
                <w:rFonts w:hint="eastAsia" w:ascii="仿宋" w:hAnsi="仿宋" w:eastAsia="仿宋" w:cs="仿宋"/>
                <w:b/>
                <w:color w:val="auto"/>
                <w:spacing w:val="0"/>
                <w:kern w:val="0"/>
                <w:sz w:val="30"/>
                <w:szCs w:val="30"/>
                <w:highlight w:val="none"/>
                <w:fitText w:val="1800" w:id="979905303"/>
              </w:rPr>
              <w:t>甲方</w:t>
            </w:r>
            <w:r>
              <w:rPr>
                <w:rFonts w:hint="eastAsia" w:ascii="仿宋" w:hAnsi="仿宋" w:eastAsia="仿宋" w:cs="仿宋"/>
                <w:b/>
                <w:color w:val="auto"/>
                <w:spacing w:val="0"/>
                <w:kern w:val="0"/>
                <w:sz w:val="30"/>
                <w:szCs w:val="30"/>
                <w:highlight w:val="none"/>
                <w:fitText w:val="1800" w:id="979905303"/>
                <w:lang w:val="en-US" w:eastAsia="zh-CN"/>
              </w:rPr>
              <w:t>)</w:t>
            </w:r>
            <w:r>
              <w:rPr>
                <w:rFonts w:hint="eastAsia" w:ascii="仿宋" w:hAnsi="仿宋" w:eastAsia="仿宋" w:cs="仿宋"/>
                <w:b/>
                <w:color w:val="auto"/>
                <w:spacing w:val="0"/>
                <w:kern w:val="0"/>
                <w:sz w:val="30"/>
                <w:szCs w:val="30"/>
                <w:highlight w:val="none"/>
                <w:fitText w:val="1800" w:id="979905303"/>
              </w:rPr>
              <w:t>：</w:t>
            </w:r>
          </w:p>
        </w:tc>
        <w:tc>
          <w:tcPr>
            <w:tcW w:w="5239" w:type="dxa"/>
            <w:tcBorders>
              <w:top w:val="nil"/>
              <w:bottom w:val="nil"/>
            </w:tcBorders>
            <w:noWrap w:val="0"/>
            <w:vAlign w:val="center"/>
          </w:tcPr>
          <w:p w14:paraId="76146DFE">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eastAsia="zh-CN"/>
              </w:rPr>
              <w:t>广西壮族自治区人民医院</w:t>
            </w:r>
          </w:p>
        </w:tc>
      </w:tr>
      <w:tr w14:paraId="4EED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5492104C">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0"/>
                <w:kern w:val="0"/>
                <w:sz w:val="30"/>
                <w:szCs w:val="30"/>
                <w:highlight w:val="none"/>
                <w:fitText w:val="1800" w:id="809045608"/>
              </w:rPr>
              <w:t>供方</w:t>
            </w:r>
            <w:r>
              <w:rPr>
                <w:rFonts w:hint="eastAsia" w:ascii="仿宋" w:hAnsi="仿宋" w:eastAsia="仿宋" w:cs="仿宋"/>
                <w:b/>
                <w:color w:val="auto"/>
                <w:spacing w:val="0"/>
                <w:kern w:val="0"/>
                <w:sz w:val="30"/>
                <w:szCs w:val="30"/>
                <w:highlight w:val="none"/>
                <w:fitText w:val="1800" w:id="809045608"/>
                <w:lang w:val="en-US" w:eastAsia="zh-CN"/>
              </w:rPr>
              <w:t>(</w:t>
            </w:r>
            <w:r>
              <w:rPr>
                <w:rFonts w:hint="eastAsia" w:ascii="仿宋" w:hAnsi="仿宋" w:eastAsia="仿宋" w:cs="仿宋"/>
                <w:b/>
                <w:color w:val="auto"/>
                <w:spacing w:val="0"/>
                <w:kern w:val="0"/>
                <w:sz w:val="30"/>
                <w:szCs w:val="30"/>
                <w:highlight w:val="none"/>
                <w:fitText w:val="1800" w:id="809045608"/>
              </w:rPr>
              <w:t>乙方</w:t>
            </w:r>
            <w:r>
              <w:rPr>
                <w:rFonts w:hint="eastAsia" w:ascii="仿宋" w:hAnsi="仿宋" w:eastAsia="仿宋" w:cs="仿宋"/>
                <w:b/>
                <w:color w:val="auto"/>
                <w:spacing w:val="0"/>
                <w:kern w:val="0"/>
                <w:sz w:val="30"/>
                <w:szCs w:val="30"/>
                <w:highlight w:val="none"/>
                <w:fitText w:val="1800" w:id="809045608"/>
                <w:lang w:val="en-US" w:eastAsia="zh-CN"/>
              </w:rPr>
              <w:t>)</w:t>
            </w:r>
            <w:r>
              <w:rPr>
                <w:rFonts w:hint="eastAsia" w:ascii="仿宋" w:hAnsi="仿宋" w:eastAsia="仿宋" w:cs="仿宋"/>
                <w:b/>
                <w:color w:val="auto"/>
                <w:spacing w:val="0"/>
                <w:kern w:val="0"/>
                <w:sz w:val="30"/>
                <w:szCs w:val="30"/>
                <w:highlight w:val="none"/>
                <w:fitText w:val="1800" w:id="809045608"/>
              </w:rPr>
              <w:t>：</w:t>
            </w:r>
          </w:p>
        </w:tc>
        <w:tc>
          <w:tcPr>
            <w:tcW w:w="5239" w:type="dxa"/>
            <w:tcBorders>
              <w:top w:val="nil"/>
              <w:bottom w:val="nil"/>
            </w:tcBorders>
            <w:noWrap w:val="0"/>
            <w:vAlign w:val="center"/>
          </w:tcPr>
          <w:p w14:paraId="573C7182">
            <w:pPr>
              <w:pStyle w:val="23"/>
              <w:spacing w:line="500" w:lineRule="exact"/>
              <w:jc w:val="both"/>
              <w:rPr>
                <w:rFonts w:hint="eastAsia" w:ascii="仿宋" w:hAnsi="仿宋" w:eastAsia="仿宋" w:cs="仿宋"/>
                <w:b/>
                <w:color w:val="auto"/>
                <w:kern w:val="0"/>
                <w:sz w:val="30"/>
                <w:szCs w:val="30"/>
                <w:highlight w:val="none"/>
                <w:vertAlign w:val="baseline"/>
              </w:rPr>
            </w:pPr>
          </w:p>
        </w:tc>
      </w:tr>
      <w:tr w14:paraId="4400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5D88EAFA">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389708869"/>
              </w:rPr>
              <w:t>签订地点</w:t>
            </w:r>
            <w:r>
              <w:rPr>
                <w:rFonts w:hint="eastAsia" w:ascii="仿宋" w:hAnsi="仿宋" w:eastAsia="仿宋" w:cs="仿宋"/>
                <w:b/>
                <w:color w:val="auto"/>
                <w:spacing w:val="2"/>
                <w:kern w:val="0"/>
                <w:sz w:val="30"/>
                <w:szCs w:val="30"/>
                <w:highlight w:val="none"/>
                <w:fitText w:val="1800" w:id="1389708869"/>
              </w:rPr>
              <w:t>：</w:t>
            </w:r>
          </w:p>
        </w:tc>
        <w:tc>
          <w:tcPr>
            <w:tcW w:w="5239" w:type="dxa"/>
            <w:tcBorders>
              <w:top w:val="nil"/>
              <w:bottom w:val="nil"/>
            </w:tcBorders>
            <w:noWrap w:val="0"/>
            <w:vAlign w:val="center"/>
          </w:tcPr>
          <w:p w14:paraId="75FF5FF4">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rPr>
              <w:t>南宁市青秀区</w:t>
            </w:r>
          </w:p>
        </w:tc>
      </w:tr>
      <w:tr w14:paraId="4FC1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60" w:type="dxa"/>
            <w:noWrap w:val="0"/>
            <w:vAlign w:val="top"/>
          </w:tcPr>
          <w:p w14:paraId="1A9FF640">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390610296"/>
              </w:rPr>
              <w:t>签订时间</w:t>
            </w:r>
            <w:r>
              <w:rPr>
                <w:rFonts w:hint="eastAsia" w:ascii="仿宋" w:hAnsi="仿宋" w:eastAsia="仿宋" w:cs="仿宋"/>
                <w:b/>
                <w:color w:val="auto"/>
                <w:spacing w:val="2"/>
                <w:kern w:val="0"/>
                <w:sz w:val="30"/>
                <w:szCs w:val="30"/>
                <w:highlight w:val="none"/>
                <w:fitText w:val="1800" w:id="390610296"/>
              </w:rPr>
              <w:t>：</w:t>
            </w:r>
          </w:p>
        </w:tc>
        <w:tc>
          <w:tcPr>
            <w:tcW w:w="5239" w:type="dxa"/>
            <w:tcBorders>
              <w:top w:val="nil"/>
              <w:bottom w:val="nil"/>
            </w:tcBorders>
            <w:noWrap w:val="0"/>
            <w:vAlign w:val="center"/>
          </w:tcPr>
          <w:p w14:paraId="51DB9F57">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年   月   日</w:t>
            </w:r>
          </w:p>
        </w:tc>
      </w:tr>
    </w:tbl>
    <w:p w14:paraId="687F8DCB">
      <w:pPr>
        <w:snapToGrid w:val="0"/>
        <w:spacing w:line="400" w:lineRule="exact"/>
        <w:jc w:val="center"/>
        <w:rPr>
          <w:rFonts w:hint="eastAsia" w:ascii="仿宋" w:hAnsi="仿宋" w:eastAsia="仿宋" w:cs="仿宋"/>
          <w:b/>
          <w:color w:val="auto"/>
          <w:sz w:val="30"/>
          <w:szCs w:val="30"/>
          <w:highlight w:val="none"/>
        </w:rPr>
      </w:pPr>
    </w:p>
    <w:p w14:paraId="38CA655F">
      <w:pPr>
        <w:snapToGrid w:val="0"/>
        <w:spacing w:line="400" w:lineRule="exact"/>
        <w:jc w:val="center"/>
        <w:rPr>
          <w:rFonts w:hint="eastAsia" w:ascii="仿宋" w:hAnsi="仿宋" w:eastAsia="仿宋" w:cs="仿宋"/>
          <w:b/>
          <w:color w:val="auto"/>
          <w:sz w:val="30"/>
          <w:szCs w:val="30"/>
          <w:highlight w:val="none"/>
        </w:rPr>
      </w:pPr>
    </w:p>
    <w:p w14:paraId="28DB4AE4">
      <w:pPr>
        <w:snapToGrid w:val="0"/>
        <w:spacing w:line="400" w:lineRule="exact"/>
        <w:jc w:val="center"/>
        <w:rPr>
          <w:rFonts w:hint="eastAsia" w:ascii="仿宋" w:hAnsi="仿宋" w:eastAsia="仿宋" w:cs="仿宋"/>
          <w:b/>
          <w:color w:val="auto"/>
          <w:sz w:val="30"/>
          <w:szCs w:val="30"/>
          <w:highlight w:val="none"/>
        </w:rPr>
      </w:pPr>
    </w:p>
    <w:p w14:paraId="3067BBC7">
      <w:pPr>
        <w:snapToGrid w:val="0"/>
        <w:spacing w:line="400" w:lineRule="exact"/>
        <w:jc w:val="center"/>
        <w:rPr>
          <w:rFonts w:hint="eastAsia" w:ascii="仿宋" w:hAnsi="仿宋" w:eastAsia="仿宋" w:cs="仿宋"/>
          <w:b/>
          <w:color w:val="auto"/>
          <w:sz w:val="30"/>
          <w:szCs w:val="30"/>
          <w:highlight w:val="none"/>
        </w:rPr>
      </w:pPr>
    </w:p>
    <w:p w14:paraId="18C3EB63">
      <w:pPr>
        <w:snapToGrid w:val="0"/>
        <w:spacing w:line="400" w:lineRule="exact"/>
        <w:jc w:val="center"/>
        <w:rPr>
          <w:rFonts w:hint="eastAsia" w:ascii="仿宋" w:hAnsi="仿宋" w:eastAsia="仿宋" w:cs="仿宋"/>
          <w:b/>
          <w:color w:val="auto"/>
          <w:sz w:val="30"/>
          <w:szCs w:val="30"/>
          <w:highlight w:val="none"/>
        </w:rPr>
      </w:pPr>
    </w:p>
    <w:p w14:paraId="6C666FB6">
      <w:pPr>
        <w:snapToGrid w:val="0"/>
        <w:spacing w:line="400" w:lineRule="exact"/>
        <w:jc w:val="center"/>
        <w:rPr>
          <w:rFonts w:hint="eastAsia" w:ascii="仿宋" w:hAnsi="仿宋" w:eastAsia="仿宋" w:cs="仿宋"/>
          <w:b/>
          <w:color w:val="auto"/>
          <w:sz w:val="30"/>
          <w:szCs w:val="30"/>
          <w:highlight w:val="none"/>
        </w:rPr>
      </w:pPr>
    </w:p>
    <w:p w14:paraId="3578DAAC">
      <w:pPr>
        <w:snapToGrid w:val="0"/>
        <w:spacing w:line="400" w:lineRule="exact"/>
        <w:jc w:val="center"/>
        <w:rPr>
          <w:rFonts w:hint="eastAsia" w:ascii="仿宋" w:hAnsi="仿宋" w:eastAsia="仿宋" w:cs="仿宋"/>
          <w:b/>
          <w:color w:val="auto"/>
          <w:sz w:val="30"/>
          <w:szCs w:val="30"/>
          <w:highlight w:val="none"/>
        </w:rPr>
      </w:pPr>
    </w:p>
    <w:p w14:paraId="7C3A343D">
      <w:pPr>
        <w:snapToGrid w:val="0"/>
        <w:spacing w:line="400" w:lineRule="exact"/>
        <w:jc w:val="center"/>
        <w:rPr>
          <w:rFonts w:hint="eastAsia" w:ascii="仿宋" w:hAnsi="仿宋" w:eastAsia="仿宋" w:cs="仿宋"/>
          <w:b/>
          <w:color w:val="auto"/>
          <w:sz w:val="30"/>
          <w:szCs w:val="30"/>
          <w:highlight w:val="none"/>
        </w:rPr>
      </w:pPr>
    </w:p>
    <w:p w14:paraId="4B708265">
      <w:pPr>
        <w:snapToGrid w:val="0"/>
        <w:spacing w:line="400" w:lineRule="exact"/>
        <w:jc w:val="center"/>
        <w:rPr>
          <w:rFonts w:hint="eastAsia" w:ascii="仿宋" w:hAnsi="仿宋" w:eastAsia="仿宋" w:cs="仿宋"/>
          <w:b/>
          <w:color w:val="auto"/>
          <w:sz w:val="30"/>
          <w:szCs w:val="30"/>
          <w:highlight w:val="none"/>
        </w:rPr>
      </w:pPr>
    </w:p>
    <w:p w14:paraId="2E04AEED">
      <w:pPr>
        <w:snapToGrid w:val="0"/>
        <w:spacing w:line="400" w:lineRule="exact"/>
        <w:jc w:val="center"/>
        <w:rPr>
          <w:rFonts w:hint="eastAsia" w:ascii="仿宋" w:hAnsi="仿宋" w:eastAsia="仿宋" w:cs="仿宋"/>
          <w:b/>
          <w:bCs/>
          <w:color w:val="auto"/>
          <w:sz w:val="32"/>
          <w:szCs w:val="32"/>
          <w:highlight w:val="none"/>
        </w:rPr>
        <w:sectPr>
          <w:headerReference r:id="rId14" w:type="default"/>
          <w:pgSz w:w="11906" w:h="16838"/>
          <w:pgMar w:top="1440" w:right="1800" w:bottom="1440" w:left="1800" w:header="851" w:footer="992" w:gutter="0"/>
          <w:pgNumType w:fmt="decimal"/>
          <w:cols w:space="720" w:num="1"/>
          <w:docGrid w:type="lines" w:linePitch="312" w:charSpace="0"/>
        </w:sectPr>
      </w:pPr>
    </w:p>
    <w:p w14:paraId="5FE84F5E">
      <w:pPr>
        <w:snapToGrid w:val="0"/>
        <w:spacing w:line="400" w:lineRule="exact"/>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目</w:t>
      </w:r>
      <w:r>
        <w:rPr>
          <w:rFonts w:hint="eastAsia" w:ascii="仿宋" w:hAnsi="仿宋" w:eastAsia="仿宋" w:cs="仿宋"/>
          <w:b/>
          <w:bCs/>
          <w:color w:val="auto"/>
          <w:sz w:val="32"/>
          <w:szCs w:val="40"/>
          <w:highlight w:val="none"/>
          <w:lang w:val="en-US" w:eastAsia="zh-CN"/>
        </w:rPr>
        <w:t xml:space="preserve">  </w:t>
      </w:r>
      <w:r>
        <w:rPr>
          <w:rFonts w:hint="eastAsia" w:ascii="仿宋" w:hAnsi="仿宋" w:eastAsia="仿宋" w:cs="仿宋"/>
          <w:b/>
          <w:bCs/>
          <w:color w:val="auto"/>
          <w:sz w:val="32"/>
          <w:szCs w:val="40"/>
          <w:highlight w:val="none"/>
        </w:rPr>
        <w:t>录</w:t>
      </w:r>
    </w:p>
    <w:p w14:paraId="1812689F">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04"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TOC \o "1-1" \h \u </w:instrText>
      </w:r>
      <w:r>
        <w:rPr>
          <w:rFonts w:hint="eastAsia" w:ascii="仿宋" w:hAnsi="仿宋" w:eastAsia="仿宋" w:cs="仿宋"/>
          <w:color w:val="auto"/>
          <w:sz w:val="22"/>
          <w:szCs w:val="28"/>
          <w:highlight w:val="none"/>
        </w:rPr>
        <w:fldChar w:fldCharType="separate"/>
      </w: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_Toc24158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采购合同书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C0E1EE4">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_Toc17535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合同附件：</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FD95229">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_Toc23927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采购需求：</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07BD949">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_Toc5055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投标声明</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379885D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_Toc7719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技术需求偏离表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3DF7DF04">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_Toc18425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商务条款偏离表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4F5890FF">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_Toc23379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产品技术参数表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3FAE3C9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_Toc27394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设备配置清单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71E412DD">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_Toc10800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厂家售后服务承诺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28E12B6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_Toc32675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供应商售后服务承诺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11D3B8CD">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_Toc27973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产品注册证</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79F0D59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_Toc9634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中标通知书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3D3F69D">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_Toc22315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全国个体私营经济发展服务网（小微企业名录）网页查询截图</w:t>
      </w:r>
      <w:r>
        <w:rPr>
          <w:rFonts w:hint="eastAsia" w:ascii="仿宋" w:hAnsi="仿宋" w:eastAsia="仿宋" w:cs="仿宋"/>
          <w:bCs/>
          <w:color w:val="auto"/>
          <w:kern w:val="0"/>
          <w:sz w:val="24"/>
          <w:szCs w:val="36"/>
          <w:highlight w:val="none"/>
          <w:lang w:val="en-US" w:eastAsia="zh-CN" w:bidi="ar"/>
        </w:rPr>
        <w:tab/>
      </w:r>
    </w:p>
    <w:p w14:paraId="69C2C505">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color w:val="auto"/>
          <w:szCs w:val="28"/>
          <w:highlight w:val="none"/>
        </w:rPr>
      </w:pPr>
      <w:r>
        <w:rPr>
          <w:rFonts w:hint="eastAsia" w:ascii="仿宋" w:hAnsi="仿宋" w:eastAsia="仿宋" w:cs="仿宋"/>
          <w:bCs/>
          <w:color w:val="auto"/>
          <w:kern w:val="0"/>
          <w:sz w:val="24"/>
          <w:szCs w:val="36"/>
          <w:highlight w:val="none"/>
          <w:lang w:val="en-US" w:eastAsia="zh-CN" w:bidi="ar"/>
        </w:rPr>
        <w:t>履约保证金银行转账或电汇回单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r>
        <w:rPr>
          <w:rFonts w:hint="eastAsia" w:ascii="仿宋" w:hAnsi="仿宋" w:eastAsia="仿宋" w:cs="仿宋"/>
          <w:color w:val="auto"/>
          <w:szCs w:val="28"/>
          <w:highlight w:val="none"/>
        </w:rPr>
        <w:fldChar w:fldCharType="end"/>
      </w:r>
    </w:p>
    <w:p w14:paraId="3078A2AC">
      <w:pPr>
        <w:rPr>
          <w:rFonts w:hint="eastAsia" w:ascii="仿宋" w:hAnsi="仿宋" w:eastAsia="仿宋" w:cs="仿宋"/>
          <w:color w:val="auto"/>
          <w:highlight w:val="none"/>
          <w:lang w:val="en-US" w:eastAsia="zh-CN"/>
        </w:rPr>
      </w:pPr>
    </w:p>
    <w:p w14:paraId="299FA9B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sectPr>
          <w:footerReference r:id="rId15" w:type="default"/>
          <w:pgSz w:w="11906" w:h="16838"/>
          <w:pgMar w:top="1440" w:right="1800" w:bottom="1440" w:left="1800" w:header="851" w:footer="992" w:gutter="0"/>
          <w:pgNumType w:fmt="decimal"/>
          <w:cols w:space="720" w:num="1"/>
          <w:docGrid w:type="lines" w:linePitch="312" w:charSpace="0"/>
        </w:sectPr>
      </w:pPr>
    </w:p>
    <w:p w14:paraId="728C74C2">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广西壮族自治区人民医院采购合同</w:t>
      </w:r>
    </w:p>
    <w:p w14:paraId="630AE06C">
      <w:pPr>
        <w:snapToGrid w:val="0"/>
        <w:spacing w:line="400" w:lineRule="exact"/>
        <w:jc w:val="center"/>
        <w:rPr>
          <w:rFonts w:hint="eastAsia" w:ascii="仿宋" w:hAnsi="仿宋" w:eastAsia="仿宋" w:cs="仿宋"/>
          <w:b/>
          <w:bCs/>
          <w:color w:val="auto"/>
          <w:sz w:val="32"/>
          <w:szCs w:val="32"/>
          <w:highlight w:val="none"/>
        </w:rPr>
      </w:pPr>
    </w:p>
    <w:p w14:paraId="68E87D33">
      <w:pPr>
        <w:snapToGrid w:val="0"/>
        <w:spacing w:line="400" w:lineRule="exact"/>
        <w:ind w:right="480"/>
        <w:jc w:val="righ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月版】</w:t>
      </w:r>
    </w:p>
    <w:p w14:paraId="57DB5716">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采购单位（甲方）</w:t>
      </w:r>
      <w:r>
        <w:rPr>
          <w:rFonts w:hint="eastAsia" w:ascii="仿宋" w:hAnsi="仿宋" w:eastAsia="仿宋" w:cs="仿宋"/>
          <w:color w:val="auto"/>
          <w:sz w:val="24"/>
          <w:szCs w:val="24"/>
          <w:highlight w:val="none"/>
          <w:u w:val="single"/>
        </w:rPr>
        <w:t xml:space="preserve">  广西壮族自治区人民医院 </w:t>
      </w:r>
      <w:r>
        <w:rPr>
          <w:rFonts w:hint="eastAsia" w:ascii="仿宋" w:hAnsi="仿宋" w:eastAsia="仿宋" w:cs="仿宋"/>
          <w:color w:val="auto"/>
          <w:sz w:val="24"/>
          <w:szCs w:val="24"/>
          <w:highlight w:val="none"/>
        </w:rPr>
        <w:t xml:space="preserve">  </w:t>
      </w:r>
    </w:p>
    <w:p w14:paraId="25E2054A">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 应 商（乙方）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 同 编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96F51F">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签  订  地  点 </w:t>
      </w:r>
      <w:r>
        <w:rPr>
          <w:rFonts w:hint="eastAsia" w:ascii="仿宋" w:hAnsi="仿宋" w:eastAsia="仿宋" w:cs="仿宋"/>
          <w:color w:val="auto"/>
          <w:sz w:val="24"/>
          <w:szCs w:val="24"/>
          <w:highlight w:val="none"/>
          <w:u w:val="single"/>
        </w:rPr>
        <w:t xml:space="preserve">    南宁市青秀区        </w:t>
      </w:r>
      <w:r>
        <w:rPr>
          <w:rFonts w:hint="eastAsia" w:ascii="仿宋" w:hAnsi="仿宋" w:eastAsia="仿宋" w:cs="仿宋"/>
          <w:color w:val="auto"/>
          <w:sz w:val="24"/>
          <w:szCs w:val="24"/>
          <w:highlight w:val="none"/>
        </w:rPr>
        <w:t xml:space="preserve">  签 订 时 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 </w:t>
      </w:r>
    </w:p>
    <w:p w14:paraId="25FB8092">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根据《中华人民共和国政府采购法》《中华人民共和国民法典》等法律法规规定，按照采购文件规定条款和中标供应商承诺，甲乙双方签订本合同。</w:t>
      </w:r>
    </w:p>
    <w:p w14:paraId="14BB57C0">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合同标的</w:t>
      </w:r>
    </w:p>
    <w:p w14:paraId="46AF9F44">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供货一览表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063"/>
        <w:gridCol w:w="1177"/>
      </w:tblGrid>
      <w:tr w14:paraId="7F38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noWrap w:val="0"/>
            <w:vAlign w:val="center"/>
          </w:tcPr>
          <w:p w14:paraId="2A4F0703">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33" w:type="pct"/>
            <w:noWrap w:val="0"/>
            <w:vAlign w:val="center"/>
          </w:tcPr>
          <w:p w14:paraId="1EF2C167">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633" w:type="pct"/>
            <w:noWrap w:val="0"/>
            <w:vAlign w:val="center"/>
          </w:tcPr>
          <w:p w14:paraId="2874B1A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商标品牌</w:t>
            </w:r>
          </w:p>
        </w:tc>
        <w:tc>
          <w:tcPr>
            <w:tcW w:w="797" w:type="pct"/>
            <w:noWrap w:val="0"/>
            <w:vAlign w:val="center"/>
          </w:tcPr>
          <w:p w14:paraId="30C00710">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624" w:type="pct"/>
            <w:noWrap w:val="0"/>
            <w:vAlign w:val="center"/>
          </w:tcPr>
          <w:p w14:paraId="5FE6AC11">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tc>
        <w:tc>
          <w:tcPr>
            <w:tcW w:w="613" w:type="pct"/>
            <w:noWrap w:val="0"/>
            <w:vAlign w:val="center"/>
          </w:tcPr>
          <w:p w14:paraId="42BEB88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14:paraId="6FB6D043">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623" w:type="pct"/>
            <w:noWrap w:val="0"/>
            <w:vAlign w:val="center"/>
          </w:tcPr>
          <w:p w14:paraId="71DDD072">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689" w:type="pct"/>
            <w:noWrap w:val="0"/>
            <w:vAlign w:val="center"/>
          </w:tcPr>
          <w:p w14:paraId="6C67BCC4">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金额(元)</w:t>
            </w:r>
          </w:p>
        </w:tc>
      </w:tr>
      <w:tr w14:paraId="061A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1AC0E28F">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3" w:type="pct"/>
            <w:noWrap w:val="0"/>
            <w:vAlign w:val="center"/>
          </w:tcPr>
          <w:p w14:paraId="03E03B73">
            <w:pPr>
              <w:spacing w:line="360" w:lineRule="exact"/>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产品名称</w:t>
            </w:r>
            <w:r>
              <w:rPr>
                <w:rFonts w:hint="eastAsia" w:ascii="仿宋" w:hAnsi="仿宋" w:eastAsia="仿宋" w:cs="仿宋"/>
                <w:color w:val="auto"/>
                <w:sz w:val="24"/>
                <w:szCs w:val="24"/>
                <w:highlight w:val="none"/>
                <w:lang w:val="en-US" w:eastAsia="zh-CN"/>
              </w:rPr>
              <w:t>必须</w:t>
            </w:r>
            <w:r>
              <w:rPr>
                <w:rFonts w:hint="eastAsia" w:ascii="仿宋" w:hAnsi="仿宋" w:eastAsia="仿宋" w:cs="仿宋"/>
                <w:color w:val="auto"/>
                <w:sz w:val="24"/>
                <w:szCs w:val="24"/>
                <w:highlight w:val="none"/>
              </w:rPr>
              <w:t>与注册证一致</w:t>
            </w:r>
            <w:r>
              <w:rPr>
                <w:rFonts w:hint="eastAsia" w:ascii="仿宋" w:hAnsi="仿宋" w:eastAsia="仿宋" w:cs="仿宋"/>
                <w:color w:val="auto"/>
                <w:sz w:val="24"/>
                <w:szCs w:val="24"/>
                <w:highlight w:val="none"/>
                <w:lang w:eastAsia="zh-CN"/>
              </w:rPr>
              <w:t>）</w:t>
            </w:r>
          </w:p>
        </w:tc>
        <w:tc>
          <w:tcPr>
            <w:tcW w:w="633" w:type="pct"/>
            <w:noWrap w:val="0"/>
            <w:vAlign w:val="center"/>
          </w:tcPr>
          <w:p w14:paraId="4BA25A7C">
            <w:pPr>
              <w:spacing w:line="360" w:lineRule="exact"/>
              <w:outlineLvl w:val="9"/>
              <w:rPr>
                <w:rFonts w:hint="eastAsia" w:ascii="仿宋" w:hAnsi="仿宋" w:eastAsia="仿宋" w:cs="仿宋"/>
                <w:color w:val="auto"/>
                <w:sz w:val="24"/>
                <w:szCs w:val="24"/>
                <w:highlight w:val="none"/>
              </w:rPr>
            </w:pPr>
          </w:p>
        </w:tc>
        <w:tc>
          <w:tcPr>
            <w:tcW w:w="797" w:type="pct"/>
            <w:noWrap w:val="0"/>
            <w:vAlign w:val="center"/>
          </w:tcPr>
          <w:p w14:paraId="1EC6F321">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（规格型号必须与注册证一致</w:t>
            </w:r>
            <w:r>
              <w:rPr>
                <w:rFonts w:hint="eastAsia" w:ascii="仿宋" w:hAnsi="仿宋" w:eastAsia="仿宋" w:cs="仿宋"/>
                <w:color w:val="auto"/>
                <w:sz w:val="24"/>
                <w:szCs w:val="24"/>
                <w:highlight w:val="none"/>
                <w:lang w:eastAsia="zh-CN"/>
              </w:rPr>
              <w:t>）</w:t>
            </w:r>
          </w:p>
        </w:tc>
        <w:tc>
          <w:tcPr>
            <w:tcW w:w="624" w:type="pct"/>
            <w:noWrap w:val="0"/>
            <w:vAlign w:val="center"/>
          </w:tcPr>
          <w:p w14:paraId="3E7CACE4">
            <w:pPr>
              <w:spacing w:line="360" w:lineRule="exact"/>
              <w:jc w:val="center"/>
              <w:outlineLvl w:val="9"/>
              <w:rPr>
                <w:rFonts w:hint="eastAsia" w:ascii="仿宋" w:hAnsi="仿宋" w:eastAsia="仿宋" w:cs="仿宋"/>
                <w:color w:val="auto"/>
                <w:sz w:val="24"/>
                <w:szCs w:val="24"/>
                <w:highlight w:val="none"/>
              </w:rPr>
            </w:pPr>
          </w:p>
        </w:tc>
        <w:tc>
          <w:tcPr>
            <w:tcW w:w="613" w:type="pct"/>
            <w:noWrap w:val="0"/>
            <w:vAlign w:val="center"/>
          </w:tcPr>
          <w:p w14:paraId="65EBF191">
            <w:pPr>
              <w:spacing w:line="360" w:lineRule="exact"/>
              <w:jc w:val="center"/>
              <w:outlineLvl w:val="9"/>
              <w:rPr>
                <w:rFonts w:hint="eastAsia" w:ascii="仿宋" w:hAnsi="仿宋" w:eastAsia="仿宋" w:cs="仿宋"/>
                <w:color w:val="auto"/>
                <w:sz w:val="24"/>
                <w:szCs w:val="24"/>
                <w:highlight w:val="none"/>
              </w:rPr>
            </w:pPr>
          </w:p>
        </w:tc>
        <w:tc>
          <w:tcPr>
            <w:tcW w:w="623" w:type="pct"/>
            <w:noWrap w:val="0"/>
            <w:vAlign w:val="center"/>
          </w:tcPr>
          <w:p w14:paraId="2FA6C48F">
            <w:pPr>
              <w:spacing w:line="360" w:lineRule="exact"/>
              <w:jc w:val="center"/>
              <w:outlineLvl w:val="9"/>
              <w:rPr>
                <w:rFonts w:hint="eastAsia" w:ascii="仿宋" w:hAnsi="仿宋" w:eastAsia="仿宋" w:cs="仿宋"/>
                <w:color w:val="auto"/>
                <w:sz w:val="24"/>
                <w:szCs w:val="24"/>
                <w:highlight w:val="none"/>
              </w:rPr>
            </w:pPr>
          </w:p>
        </w:tc>
        <w:tc>
          <w:tcPr>
            <w:tcW w:w="689" w:type="pct"/>
            <w:noWrap w:val="0"/>
            <w:vAlign w:val="center"/>
          </w:tcPr>
          <w:p w14:paraId="0B4547A5">
            <w:pPr>
              <w:spacing w:line="360" w:lineRule="exact"/>
              <w:jc w:val="center"/>
              <w:outlineLvl w:val="9"/>
              <w:rPr>
                <w:rFonts w:hint="eastAsia" w:ascii="仿宋" w:hAnsi="仿宋" w:eastAsia="仿宋" w:cs="仿宋"/>
                <w:color w:val="auto"/>
                <w:sz w:val="24"/>
                <w:szCs w:val="24"/>
                <w:highlight w:val="none"/>
              </w:rPr>
            </w:pPr>
          </w:p>
        </w:tc>
      </w:tr>
      <w:tr w14:paraId="2F88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1980BFD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人民币合计金额（含税）(大写)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c>
      </w:tr>
    </w:tbl>
    <w:p w14:paraId="29DB3F51">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647F9D2C">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质量保证</w:t>
      </w:r>
    </w:p>
    <w:p w14:paraId="2D966F29">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乙方所提供的货物型号、技术规格、技术参数等应符合</w:t>
      </w:r>
      <w:r>
        <w:rPr>
          <w:rFonts w:hint="eastAsia" w:ascii="仿宋" w:hAnsi="仿宋" w:eastAsia="仿宋" w:cs="仿宋"/>
          <w:color w:val="auto"/>
          <w:sz w:val="24"/>
          <w:szCs w:val="24"/>
          <w:highlight w:val="none"/>
          <w:lang w:eastAsia="zh-Hans"/>
        </w:rPr>
        <w:t>国家标准、行业标准、地方标准等标准、规范（上述标准、规范有出入的，以较严格为准）</w:t>
      </w:r>
      <w:r>
        <w:rPr>
          <w:rFonts w:hint="eastAsia" w:ascii="仿宋" w:hAnsi="仿宋" w:eastAsia="仿宋" w:cs="仿宋"/>
          <w:color w:val="auto"/>
          <w:sz w:val="24"/>
          <w:szCs w:val="24"/>
          <w:highlight w:val="none"/>
        </w:rPr>
        <w:t>，并与公告规定、采购文件及投标文件承诺的质量相一致，以确保使用过程的安全有效</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0D44D1C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乙方所提供的货物必须是全新、未使用的原装产品，且在正常安装、使用和保养条件下，其使用寿命期内各项指标均达到公告规定、采购文件或投标文件承诺的质量要求。</w:t>
      </w:r>
    </w:p>
    <w:p w14:paraId="58C5F769">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权利保证</w:t>
      </w:r>
    </w:p>
    <w:p w14:paraId="012898E2">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乙方应保证所提供货物在使用时不会侵犯任何第三方的专利权、商标权、工业设计权或其他权利。</w:t>
      </w:r>
    </w:p>
    <w:p w14:paraId="47A912E7">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乙方应按公告规定、采购文件或投标文件承诺的时间向甲方提供使用货物的有关技术资料。</w:t>
      </w:r>
    </w:p>
    <w:p w14:paraId="19B85207">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47B41DAC">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乙方保证将要交付的货物的所有权完全属于乙方，且无任何抵押、质押、查封、留置等产权瑕疵。</w:t>
      </w:r>
    </w:p>
    <w:p w14:paraId="5CBBF2FB">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包装和运输</w:t>
      </w:r>
    </w:p>
    <w:p w14:paraId="73C428FA">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乙方提供的货物均应按照公告规定、采购文件或投标文件承诺的包装材料、包装标准、包装方式进行包装，每一包装单元内应附详细的装箱单和质量合格证。</w:t>
      </w:r>
    </w:p>
    <w:p w14:paraId="6E186B8D">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货物的运输方式：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不限</w:t>
      </w:r>
      <w:r>
        <w:rPr>
          <w:rFonts w:hint="eastAsia" w:ascii="仿宋" w:hAnsi="仿宋" w:eastAsia="仿宋" w:cs="仿宋"/>
          <w:color w:val="auto"/>
          <w:sz w:val="24"/>
          <w:szCs w:val="24"/>
          <w:highlight w:val="none"/>
          <w:u w:val="single"/>
        </w:rPr>
        <w:t xml:space="preserve">        </w:t>
      </w:r>
    </w:p>
    <w:p w14:paraId="32FDAB68">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乙方负责货物运输及相关费用，货物运输合理损耗及计算方法：</w:t>
      </w:r>
      <w:r>
        <w:rPr>
          <w:rFonts w:hint="eastAsia" w:ascii="仿宋" w:hAnsi="仿宋" w:eastAsia="仿宋" w:cs="仿宋"/>
          <w:color w:val="auto"/>
          <w:sz w:val="24"/>
          <w:szCs w:val="24"/>
          <w:highlight w:val="none"/>
          <w:u w:val="single"/>
        </w:rPr>
        <w:t>货物运输保险费已包含在合同总价中，乙方须确保货物安全无损地运抵安装地点</w:t>
      </w:r>
      <w:r>
        <w:rPr>
          <w:rFonts w:hint="eastAsia" w:ascii="仿宋" w:hAnsi="仿宋" w:eastAsia="仿宋" w:cs="仿宋"/>
          <w:color w:val="auto"/>
          <w:sz w:val="24"/>
          <w:szCs w:val="24"/>
          <w:highlight w:val="none"/>
        </w:rPr>
        <w:t>。</w:t>
      </w:r>
    </w:p>
    <w:p w14:paraId="59239F20">
      <w:pPr>
        <w:spacing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第五条 交付和验收</w:t>
      </w:r>
    </w:p>
    <w:p w14:paraId="742A0F53">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rPr>
        <w:t xml:space="preserve">自合同签订之日起     天内全部货物交货并安装调试完毕  </w:t>
      </w:r>
      <w:r>
        <w:rPr>
          <w:rFonts w:hint="eastAsia" w:ascii="仿宋" w:hAnsi="仿宋" w:eastAsia="仿宋" w:cs="仿宋"/>
          <w:color w:val="auto"/>
          <w:sz w:val="24"/>
          <w:szCs w:val="24"/>
          <w:highlight w:val="none"/>
        </w:rPr>
        <w:t>。</w:t>
      </w:r>
    </w:p>
    <w:p w14:paraId="632DF891">
      <w:pPr>
        <w:spacing w:line="360" w:lineRule="exact"/>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交货地点：</w:t>
      </w:r>
      <w:r>
        <w:rPr>
          <w:rFonts w:hint="eastAsia" w:ascii="仿宋" w:hAnsi="仿宋" w:eastAsia="仿宋" w:cs="仿宋"/>
          <w:color w:val="auto"/>
          <w:kern w:val="1"/>
          <w:sz w:val="24"/>
          <w:szCs w:val="24"/>
          <w:highlight w:val="none"/>
          <w:u w:val="single"/>
        </w:rPr>
        <w:t>甲方指定地点</w:t>
      </w:r>
      <w:r>
        <w:rPr>
          <w:rFonts w:hint="eastAsia" w:ascii="仿宋" w:hAnsi="仿宋" w:eastAsia="仿宋" w:cs="仿宋"/>
          <w:color w:val="auto"/>
          <w:sz w:val="24"/>
          <w:szCs w:val="24"/>
          <w:highlight w:val="none"/>
        </w:rPr>
        <w:t>。</w:t>
      </w:r>
    </w:p>
    <w:p w14:paraId="70E8D16D">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甲方对乙方提交的货物依据采购文件上的技术规格要求和国家有关质量标准进行现</w:t>
      </w:r>
      <w:r>
        <w:rPr>
          <w:rFonts w:hint="eastAsia" w:ascii="仿宋" w:hAnsi="仿宋" w:eastAsia="仿宋" w:cs="仿宋"/>
          <w:bCs/>
          <w:color w:val="auto"/>
          <w:sz w:val="24"/>
          <w:szCs w:val="24"/>
          <w:highlight w:val="none"/>
        </w:rPr>
        <w:t>场签收，外观、说明书符合采购文件技术要求的，给予签收，不合格的不予签收。该签收仅指外观、说明书符合采购文件技术要求而非认可货物验收合格。</w:t>
      </w:r>
    </w:p>
    <w:p w14:paraId="4FB7FEEA">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甲方如发现乙方所交付的货物有短装、次品、损坏或其它不符合</w:t>
      </w:r>
      <w:r>
        <w:rPr>
          <w:rFonts w:hint="eastAsia" w:ascii="仿宋" w:hAnsi="仿宋" w:eastAsia="仿宋" w:cs="仿宋"/>
          <w:color w:val="auto"/>
          <w:sz w:val="24"/>
          <w:szCs w:val="24"/>
          <w:highlight w:val="none"/>
        </w:rPr>
        <w:t>公告规定、采购文件、投标文件承诺、</w:t>
      </w:r>
      <w:r>
        <w:rPr>
          <w:rFonts w:hint="eastAsia" w:ascii="仿宋" w:hAnsi="仿宋" w:eastAsia="仿宋" w:cs="仿宋"/>
          <w:bCs/>
          <w:color w:val="auto"/>
          <w:sz w:val="24"/>
          <w:szCs w:val="24"/>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仿宋" w:hAnsi="仿宋" w:eastAsia="仿宋" w:cs="仿宋"/>
          <w:bCs/>
          <w:color w:val="auto"/>
          <w:sz w:val="24"/>
          <w:szCs w:val="24"/>
          <w:highlight w:val="none"/>
          <w:lang w:val="en-US" w:eastAsia="zh-CN"/>
        </w:rPr>
        <w:t>如乙方</w:t>
      </w:r>
      <w:r>
        <w:rPr>
          <w:rFonts w:hint="eastAsia" w:ascii="仿宋" w:hAnsi="仿宋" w:eastAsia="仿宋" w:cs="仿宋"/>
          <w:bCs/>
          <w:color w:val="auto"/>
          <w:sz w:val="24"/>
          <w:szCs w:val="24"/>
          <w:highlight w:val="none"/>
        </w:rPr>
        <w:t>补充、更换的货物</w:t>
      </w:r>
      <w:r>
        <w:rPr>
          <w:rFonts w:hint="eastAsia" w:ascii="仿宋" w:hAnsi="仿宋" w:eastAsia="仿宋" w:cs="仿宋"/>
          <w:bCs/>
          <w:color w:val="auto"/>
          <w:sz w:val="24"/>
          <w:szCs w:val="24"/>
          <w:highlight w:val="none"/>
          <w:lang w:val="en-US" w:eastAsia="zh-CN"/>
        </w:rPr>
        <w:t>仍然</w:t>
      </w:r>
      <w:r>
        <w:rPr>
          <w:rFonts w:hint="eastAsia" w:ascii="仿宋" w:hAnsi="仿宋" w:eastAsia="仿宋" w:cs="仿宋"/>
          <w:bCs/>
          <w:color w:val="auto"/>
          <w:sz w:val="24"/>
          <w:szCs w:val="24"/>
          <w:highlight w:val="none"/>
        </w:rPr>
        <w:t>不符合公告规定、采购文件、投标文件承诺、本合同规定之情形的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视为验收不合格。</w:t>
      </w:r>
    </w:p>
    <w:p w14:paraId="4FB2B700">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bCs/>
          <w:color w:val="auto"/>
          <w:sz w:val="24"/>
          <w:szCs w:val="24"/>
          <w:highlight w:val="none"/>
        </w:rPr>
        <w:t>乙方交货前应对拟提交的货物作出全面检查和对验收文件进行整理，并列出清单，作为甲方收货验收和使用的技术条件依据，检验的结果同样应随货物交甲方。同时，</w:t>
      </w:r>
      <w:r>
        <w:rPr>
          <w:rFonts w:hint="eastAsia" w:ascii="仿宋" w:hAnsi="仿宋" w:eastAsia="仿宋" w:cs="仿宋"/>
          <w:color w:val="auto"/>
          <w:sz w:val="24"/>
          <w:szCs w:val="24"/>
          <w:highlight w:val="none"/>
        </w:rPr>
        <w:t>乙方应将所提供货物的装箱清单、用户手册、原厂保修卡、随机资料、工具和备品、备件等一并交付给甲方。</w:t>
      </w:r>
      <w:r>
        <w:rPr>
          <w:rFonts w:hint="eastAsia" w:ascii="仿宋" w:hAnsi="仿宋" w:eastAsia="仿宋" w:cs="仿宋"/>
          <w:bCs/>
          <w:color w:val="auto"/>
          <w:sz w:val="24"/>
          <w:szCs w:val="24"/>
          <w:highlight w:val="none"/>
        </w:rPr>
        <w:t>乙方不能完整交付货物及本款规定的单证和工具的，必须负责补齐，否则视为逾期交货。</w:t>
      </w:r>
    </w:p>
    <w:p w14:paraId="32092B2B">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乙方需负责货物的安装、调试，并培训甲方的使用操作人员，直到设备运行符合技术要求，甲方方可验收。</w:t>
      </w:r>
    </w:p>
    <w:p w14:paraId="32EF556B">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甲方应当在到货并安装、调试完后</w:t>
      </w:r>
      <w:bookmarkStart w:id="159" w:name="OLE_LINK11"/>
      <w:bookmarkStart w:id="160" w:name="OLE_LINK12"/>
      <w:r>
        <w:rPr>
          <w:rFonts w:hint="eastAsia" w:ascii="仿宋" w:hAnsi="仿宋" w:eastAsia="仿宋" w:cs="仿宋"/>
          <w:color w:val="auto"/>
          <w:sz w:val="24"/>
          <w:szCs w:val="24"/>
          <w:highlight w:val="none"/>
        </w:rPr>
        <w:t>一个月内进行验收</w:t>
      </w:r>
      <w:bookmarkEnd w:id="159"/>
      <w:bookmarkEnd w:id="160"/>
      <w:r>
        <w:rPr>
          <w:rFonts w:hint="eastAsia" w:ascii="仿宋" w:hAnsi="仿宋" w:eastAsia="仿宋" w:cs="仿宋"/>
          <w:color w:val="auto"/>
          <w:sz w:val="24"/>
          <w:szCs w:val="24"/>
          <w:highlight w:val="none"/>
        </w:rPr>
        <w:t>，逾期不验收的，亦不免除乙方质量保证责任。甲方组织验收，</w:t>
      </w:r>
      <w:r>
        <w:rPr>
          <w:rFonts w:hint="eastAsia" w:ascii="仿宋" w:hAnsi="仿宋" w:eastAsia="仿宋" w:cs="仿宋"/>
          <w:bCs/>
          <w:color w:val="auto"/>
          <w:sz w:val="24"/>
          <w:szCs w:val="24"/>
          <w:highlight w:val="none"/>
        </w:rPr>
        <w:t>乙方必须到场</w:t>
      </w:r>
      <w:r>
        <w:rPr>
          <w:rFonts w:hint="eastAsia" w:ascii="仿宋" w:hAnsi="仿宋" w:eastAsia="仿宋" w:cs="仿宋"/>
          <w:color w:val="auto"/>
          <w:sz w:val="24"/>
          <w:szCs w:val="24"/>
          <w:highlight w:val="none"/>
        </w:rPr>
        <w:t>配合，验收合格后由甲乙双方签署货物验收单并加盖双方公章，甲乙双方各执一份。对技术复杂的货物，甲方可请国家认可的专业检测机构参与验收，费用由乙方承担。</w:t>
      </w:r>
    </w:p>
    <w:p w14:paraId="11F19642">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50B4F2F3">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甲方对验收有异议的，在验收后五个工作日内以书面形式向乙方提出，乙方应自收到甲方书面异议后三日内及时予以解决，乙方不予答复或未予以实质解决的，视为认可甲方异议及处置意见。</w:t>
      </w:r>
    </w:p>
    <w:p w14:paraId="2A3F0472">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7E9A1B8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安装和培训</w:t>
      </w:r>
    </w:p>
    <w:p w14:paraId="4016A941">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甲方应提供必要安装条件（如场地、电源、水源等）。乙方应在到货之日起</w:t>
      </w:r>
      <w:r>
        <w:rPr>
          <w:rFonts w:hint="eastAsia" w:ascii="仿宋" w:hAnsi="仿宋" w:eastAsia="仿宋" w:cs="仿宋"/>
          <w:color w:val="auto"/>
          <w:sz w:val="24"/>
          <w:szCs w:val="24"/>
          <w:highlight w:val="none"/>
          <w:u w:val="single"/>
        </w:rPr>
        <w:t xml:space="preserve"> 5</w:t>
      </w:r>
      <w:r>
        <w:rPr>
          <w:rFonts w:hint="eastAsia" w:ascii="仿宋" w:hAnsi="仿宋" w:eastAsia="仿宋" w:cs="仿宋"/>
          <w:i/>
          <w:iCs/>
          <w:color w:val="auto"/>
          <w:sz w:val="24"/>
          <w:szCs w:val="24"/>
          <w:highlight w:val="none"/>
          <w:u w:val="single"/>
        </w:rPr>
        <w:t xml:space="preserve"> </w:t>
      </w:r>
      <w:r>
        <w:rPr>
          <w:rFonts w:hint="eastAsia" w:ascii="仿宋" w:hAnsi="仿宋" w:eastAsia="仿宋" w:cs="仿宋"/>
          <w:color w:val="auto"/>
          <w:sz w:val="24"/>
          <w:szCs w:val="24"/>
          <w:highlight w:val="none"/>
        </w:rPr>
        <w:t>个工作日内对货物进行安装、调试。</w:t>
      </w:r>
    </w:p>
    <w:p w14:paraId="2B873D8D">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乙方负责甲方有关人员的培训</w:t>
      </w:r>
      <w:r>
        <w:rPr>
          <w:rFonts w:hint="eastAsia" w:ascii="仿宋" w:hAnsi="仿宋" w:eastAsia="仿宋" w:cs="仿宋"/>
          <w:color w:val="auto"/>
          <w:sz w:val="24"/>
          <w:szCs w:val="24"/>
          <w:highlight w:val="none"/>
          <w:lang w:eastAsia="zh-Hans"/>
        </w:rPr>
        <w:t>，具体培训时间由甲方予以确定</w:t>
      </w:r>
      <w:r>
        <w:rPr>
          <w:rFonts w:hint="eastAsia" w:ascii="仿宋" w:hAnsi="仿宋" w:eastAsia="仿宋" w:cs="仿宋"/>
          <w:color w:val="auto"/>
          <w:sz w:val="24"/>
          <w:szCs w:val="24"/>
          <w:highlight w:val="none"/>
        </w:rPr>
        <w:t>。</w:t>
      </w:r>
    </w:p>
    <w:p w14:paraId="62F9B860">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售后服务、质保期</w:t>
      </w:r>
    </w:p>
    <w:p w14:paraId="756702FC">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乙方应按照国家有关法律法规和“三包”规定以及公告、采购文件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投标文件和本合同所附的《服务承诺》，为甲方提供售后服务。</w:t>
      </w:r>
    </w:p>
    <w:p w14:paraId="019DD76D">
      <w:pPr>
        <w:spacing w:after="124" w:afterLines="40"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货物保修期：</w:t>
      </w:r>
      <w:r>
        <w:rPr>
          <w:rFonts w:hint="eastAsia" w:ascii="仿宋" w:hAnsi="仿宋" w:eastAsia="仿宋" w:cs="仿宋"/>
          <w:color w:val="auto"/>
          <w:sz w:val="24"/>
          <w:szCs w:val="24"/>
          <w:highlight w:val="none"/>
          <w:u w:val="single"/>
        </w:rPr>
        <w:t xml:space="preserve">  自验收合格之日起   年。</w:t>
      </w:r>
      <w:r>
        <w:rPr>
          <w:rFonts w:hint="eastAsia" w:ascii="仿宋" w:hAnsi="仿宋" w:eastAsia="仿宋" w:cs="仿宋"/>
          <w:color w:val="auto"/>
          <w:sz w:val="24"/>
          <w:szCs w:val="24"/>
          <w:highlight w:val="none"/>
          <w:u w:val="single"/>
          <w:lang w:val="en-US" w:eastAsia="zh-CN"/>
        </w:rPr>
        <w:t xml:space="preserve">  </w:t>
      </w:r>
    </w:p>
    <w:p w14:paraId="6F87214A">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乙方提供的服务承诺和售后服务及质保期责任等其它具体约定事项（见合同附件)。</w:t>
      </w:r>
    </w:p>
    <w:p w14:paraId="74ED52DC">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付款方式</w:t>
      </w:r>
    </w:p>
    <w:p w14:paraId="3C594A67">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7ED56FF5">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2. 付款方式：</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支付合同金额的30%作为预付款，</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未开具合法有效的全额发票的，</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有权不支付合同款。</w:t>
      </w:r>
    </w:p>
    <w:p w14:paraId="602E0B07">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履约保证金</w:t>
      </w:r>
    </w:p>
    <w:p w14:paraId="5942029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u w:val="none"/>
        </w:rPr>
        <w:t>履约保证金：</w:t>
      </w:r>
      <w:r>
        <w:rPr>
          <w:rFonts w:hint="eastAsia" w:ascii="仿宋" w:hAnsi="仿宋" w:eastAsia="仿宋" w:cs="仿宋"/>
          <w:color w:val="auto"/>
          <w:kern w:val="1"/>
          <w:sz w:val="24"/>
          <w:szCs w:val="24"/>
          <w:highlight w:val="none"/>
          <w:u w:val="single"/>
        </w:rPr>
        <w:t>按中标金额的</w:t>
      </w:r>
      <w:r>
        <w:rPr>
          <w:rFonts w:hint="eastAsia" w:ascii="仿宋" w:hAnsi="仿宋" w:eastAsia="仿宋" w:cs="仿宋"/>
          <w:color w:val="auto"/>
          <w:kern w:val="1"/>
          <w:sz w:val="24"/>
          <w:szCs w:val="24"/>
          <w:highlight w:val="none"/>
          <w:u w:val="single"/>
          <w:lang w:val="en-US" w:eastAsia="zh-CN"/>
        </w:rPr>
        <w:t>5</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(如为中小微企业按2%计算)</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人民币</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元</w:t>
      </w:r>
      <w:r>
        <w:rPr>
          <w:rFonts w:hint="eastAsia" w:ascii="仿宋" w:hAnsi="仿宋" w:eastAsia="仿宋" w:cs="仿宋"/>
          <w:color w:val="auto"/>
          <w:kern w:val="1"/>
          <w:sz w:val="24"/>
          <w:szCs w:val="24"/>
          <w:highlight w:val="none"/>
          <w:u w:val="single"/>
        </w:rPr>
        <w:t>（¥      ）。</w:t>
      </w:r>
    </w:p>
    <w:p w14:paraId="27F37B97">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履约保证金递交方式：银行转账或电汇</w:t>
      </w:r>
      <w:r>
        <w:rPr>
          <w:rFonts w:hint="eastAsia" w:ascii="仿宋" w:hAnsi="仿宋" w:eastAsia="仿宋" w:cs="仿宋"/>
          <w:color w:val="auto"/>
          <w:kern w:val="1"/>
          <w:sz w:val="24"/>
          <w:szCs w:val="24"/>
          <w:highlight w:val="none"/>
          <w:lang w:eastAsia="zh-CN"/>
        </w:rPr>
        <w:t>。</w:t>
      </w:r>
    </w:p>
    <w:p w14:paraId="1A3BF18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51354BB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履约保证金指定账户：</w:t>
      </w:r>
    </w:p>
    <w:p w14:paraId="15CB0F4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开户名称：广西壮族自治区人民医院</w:t>
      </w:r>
    </w:p>
    <w:p w14:paraId="358DC5D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开户银行：中国民生银行股份有限公司南宁金湖支行</w:t>
      </w:r>
    </w:p>
    <w:p w14:paraId="782EF441">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履约保证金的银行账户为：6313 33260</w:t>
      </w:r>
    </w:p>
    <w:p w14:paraId="201EFE0D">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税费</w:t>
      </w:r>
    </w:p>
    <w:p w14:paraId="01E5BE38">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5A1796E5">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质量保证及售后服务</w:t>
      </w:r>
    </w:p>
    <w:p w14:paraId="0997789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50A599D">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（1）更换：产品出现质量问题、经乙方</w:t>
      </w:r>
      <w:r>
        <w:rPr>
          <w:rFonts w:hint="eastAsia" w:ascii="仿宋" w:hAnsi="仿宋" w:eastAsia="仿宋" w:cs="仿宋"/>
          <w:color w:val="auto"/>
          <w:kern w:val="1"/>
          <w:sz w:val="24"/>
          <w:szCs w:val="24"/>
          <w:highlight w:val="none"/>
          <w:u w:val="none"/>
        </w:rPr>
        <w:t>1</w:t>
      </w:r>
      <w:r>
        <w:rPr>
          <w:rFonts w:hint="eastAsia" w:ascii="仿宋" w:hAnsi="仿宋" w:eastAsia="仿宋" w:cs="仿宋"/>
          <w:color w:val="auto"/>
          <w:kern w:val="1"/>
          <w:sz w:val="24"/>
          <w:szCs w:val="24"/>
          <w:highlight w:val="none"/>
        </w:rPr>
        <w:t>次维修仍不能达到合同约定的质量标准的，甲方有权更换，并由乙方承担所发生的全部费用。</w:t>
      </w:r>
    </w:p>
    <w:p w14:paraId="3E30709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（2）贬值处理：</w:t>
      </w:r>
      <w:r>
        <w:rPr>
          <w:rFonts w:hint="eastAsia" w:ascii="仿宋" w:hAnsi="仿宋" w:eastAsia="仿宋" w:cs="仿宋"/>
          <w:color w:val="auto"/>
          <w:kern w:val="1"/>
          <w:sz w:val="24"/>
          <w:szCs w:val="24"/>
          <w:highlight w:val="none"/>
          <w:lang w:eastAsia="zh-Hans"/>
        </w:rPr>
        <w:t>因乙方</w:t>
      </w:r>
      <w:r>
        <w:rPr>
          <w:rFonts w:hint="eastAsia" w:ascii="仿宋" w:hAnsi="仿宋" w:eastAsia="仿宋" w:cs="仿宋"/>
          <w:color w:val="auto"/>
          <w:kern w:val="1"/>
          <w:sz w:val="24"/>
          <w:szCs w:val="24"/>
          <w:highlight w:val="none"/>
        </w:rPr>
        <w:t>产品出现质量问题</w:t>
      </w:r>
      <w:r>
        <w:rPr>
          <w:rFonts w:hint="eastAsia" w:ascii="仿宋" w:hAnsi="仿宋" w:eastAsia="仿宋" w:cs="仿宋"/>
          <w:color w:val="auto"/>
          <w:kern w:val="1"/>
          <w:sz w:val="24"/>
          <w:szCs w:val="24"/>
          <w:highlight w:val="none"/>
          <w:lang w:eastAsia="zh-Hans"/>
        </w:rPr>
        <w:t>造成退换货产生的贬值由乙方自行承担</w:t>
      </w:r>
      <w:r>
        <w:rPr>
          <w:rFonts w:hint="eastAsia" w:ascii="仿宋" w:hAnsi="仿宋" w:eastAsia="仿宋" w:cs="仿宋"/>
          <w:color w:val="auto"/>
          <w:kern w:val="1"/>
          <w:sz w:val="24"/>
          <w:szCs w:val="24"/>
          <w:highlight w:val="none"/>
        </w:rPr>
        <w:t>。</w:t>
      </w:r>
    </w:p>
    <w:p w14:paraId="34AD9C1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7CBF0B29">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如在使用过程中出现故障，乙方应在接到甲方通知后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小时内解决故障，否则须在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303CF950">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在质保期内，乙方应对货物出现的质量及安全问题负责处理解决并承担一切费用。如有产品质量争议，则按照国家相关法律法规及行业标准</w:t>
      </w:r>
      <w:r>
        <w:rPr>
          <w:rFonts w:hint="eastAsia" w:ascii="仿宋" w:hAnsi="仿宋" w:eastAsia="仿宋" w:cs="仿宋"/>
          <w:color w:val="auto"/>
          <w:sz w:val="24"/>
          <w:szCs w:val="24"/>
          <w:highlight w:val="none"/>
          <w:lang w:eastAsia="zh-Hans"/>
        </w:rPr>
        <w:t>、地方标准等标准、规范解决（上述标准、规范有出入的，以较严格为准）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22477DD9">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上述的货物因人为因素出现的故障不在免费保修范围内。超过质保期的机器设备，终生维修，维修时只收取部件成本费。</w:t>
      </w:r>
    </w:p>
    <w:p w14:paraId="029D01D9">
      <w:pPr>
        <w:snapToGrid w:val="0"/>
        <w:spacing w:before="120" w:after="120"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第十二条 货物包装、发运及运输</w:t>
      </w:r>
    </w:p>
    <w:p w14:paraId="47B26957">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乙方应在货物发运前对其进行满足运输距离、防潮、防震、防锈和防破损装卸等要求包装，以保证货物安全运达甲方指定地点。</w:t>
      </w:r>
    </w:p>
    <w:p w14:paraId="328E8711">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使用说明书、质量检验证明书、随配附件和工具以及清单一并附于货物内。</w:t>
      </w:r>
    </w:p>
    <w:p w14:paraId="074C1CA4">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乙方在货物发运手续办理完毕后二十四小时内或货到甲方四十八小时前通知甲方，以准备接货。</w:t>
      </w:r>
    </w:p>
    <w:p w14:paraId="32A94AD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货物在交付甲方签收前发生的风险均由乙方负责。</w:t>
      </w:r>
    </w:p>
    <w:p w14:paraId="179A0FBA">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货物在规定的交付期限内由乙方送达甲方指定的地点。</w:t>
      </w:r>
    </w:p>
    <w:p w14:paraId="1BDAB1D9">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违约责任</w:t>
      </w:r>
    </w:p>
    <w:p w14:paraId="5A23EBA8">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乙方所提供的货物规格、技术标准、材料、品牌等不符合采购文件、投标文件、国家质量标准、行业质量标准的，应在</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15 </w:t>
      </w:r>
      <w:r>
        <w:rPr>
          <w:rFonts w:hint="eastAsia" w:ascii="仿宋" w:hAnsi="仿宋" w:eastAsia="仿宋" w:cs="仿宋"/>
          <w:color w:val="auto"/>
          <w:kern w:val="1"/>
          <w:sz w:val="24"/>
          <w:szCs w:val="24"/>
          <w:highlight w:val="none"/>
        </w:rPr>
        <w:t>个工作日内更换，换货期间计入乙方交货时间，如因换货导致逾期交货的，乙方应承担相应违约责任。乙方拒绝更换或更换货物后仍不符合本合同约定</w:t>
      </w:r>
      <w:r>
        <w:rPr>
          <w:rFonts w:hint="eastAsia" w:ascii="仿宋" w:hAnsi="仿宋" w:eastAsia="仿宋" w:cs="仿宋"/>
          <w:color w:val="auto"/>
          <w:kern w:val="1"/>
          <w:sz w:val="24"/>
          <w:szCs w:val="24"/>
          <w:highlight w:val="none"/>
          <w:lang w:val="en-US" w:eastAsia="zh-CN"/>
        </w:rPr>
        <w:t>或验收不合格</w:t>
      </w:r>
      <w:r>
        <w:rPr>
          <w:rFonts w:hint="eastAsia" w:ascii="仿宋" w:hAnsi="仿宋" w:eastAsia="仿宋" w:cs="仿宋"/>
          <w:color w:val="auto"/>
          <w:kern w:val="1"/>
          <w:sz w:val="24"/>
          <w:szCs w:val="24"/>
          <w:highlight w:val="none"/>
        </w:rPr>
        <w:t>的，该货物的价款不计入结算金额（或从合同合计金额中扣除），且乙方应按合同合计金额的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向甲方支付违约金；乙方所提供的货物仅存在不影响使用的质量瑕疵且特殊情况下甲方同意接收的，乙方应向甲方支付违约货款额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的违约金。</w:t>
      </w:r>
    </w:p>
    <w:p w14:paraId="79B1133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11CE367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因包装、运输引起的货物损坏，</w:t>
      </w:r>
      <w:r>
        <w:rPr>
          <w:rFonts w:hint="eastAsia" w:ascii="仿宋" w:hAnsi="仿宋" w:eastAsia="仿宋" w:cs="仿宋"/>
          <w:color w:val="auto"/>
          <w:kern w:val="1"/>
          <w:sz w:val="24"/>
          <w:szCs w:val="24"/>
          <w:highlight w:val="none"/>
          <w:lang w:eastAsia="zh-Hans"/>
        </w:rPr>
        <w:t>甲方有权选择不予接收或</w:t>
      </w:r>
      <w:r>
        <w:rPr>
          <w:rFonts w:hint="eastAsia" w:ascii="仿宋" w:hAnsi="仿宋" w:eastAsia="仿宋" w:cs="仿宋"/>
          <w:color w:val="auto"/>
          <w:kern w:val="1"/>
          <w:sz w:val="24"/>
          <w:szCs w:val="24"/>
          <w:highlight w:val="none"/>
        </w:rPr>
        <w:t>按质量不合格要求乙方承担相应违约责任。</w:t>
      </w:r>
    </w:p>
    <w:p w14:paraId="45F3160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甲方无故延期接收货物的</w:t>
      </w:r>
      <w:r>
        <w:rPr>
          <w:rFonts w:hint="eastAsia" w:ascii="仿宋" w:hAnsi="仿宋" w:eastAsia="仿宋" w:cs="仿宋"/>
          <w:color w:val="auto"/>
          <w:sz w:val="24"/>
          <w:szCs w:val="24"/>
          <w:highlight w:val="none"/>
        </w:rPr>
        <w:t>，需补偿乙方因此增加的直接成本。</w:t>
      </w:r>
      <w:r>
        <w:rPr>
          <w:rFonts w:hint="eastAsia" w:ascii="仿宋" w:hAnsi="仿宋" w:eastAsia="仿宋" w:cs="仿宋"/>
          <w:color w:val="auto"/>
          <w:kern w:val="1"/>
          <w:sz w:val="24"/>
          <w:szCs w:val="24"/>
          <w:highlight w:val="none"/>
        </w:rPr>
        <w:t>乙方逾期交货的，每天向甲方偿付违约货款额</w:t>
      </w:r>
      <w:r>
        <w:rPr>
          <w:rFonts w:hint="eastAsia" w:ascii="仿宋" w:hAnsi="仿宋" w:eastAsia="仿宋" w:cs="仿宋"/>
          <w:color w:val="auto"/>
          <w:kern w:val="1"/>
          <w:sz w:val="24"/>
          <w:szCs w:val="24"/>
          <w:highlight w:val="none"/>
          <w:u w:val="none"/>
        </w:rPr>
        <w:t>0.4‰</w:t>
      </w:r>
      <w:r>
        <w:rPr>
          <w:rFonts w:hint="eastAsia" w:ascii="仿宋" w:hAnsi="仿宋" w:eastAsia="仿宋" w:cs="仿宋"/>
          <w:color w:val="auto"/>
          <w:kern w:val="1"/>
          <w:sz w:val="24"/>
          <w:szCs w:val="24"/>
          <w:highlight w:val="none"/>
        </w:rPr>
        <w:t>的违约金，超过</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天甲方有权解除合同；甲方延期付货款的，每天向乙方偿付延期货款额</w:t>
      </w:r>
      <w:r>
        <w:rPr>
          <w:rFonts w:hint="eastAsia" w:ascii="仿宋" w:hAnsi="仿宋" w:eastAsia="仿宋" w:cs="仿宋"/>
          <w:color w:val="auto"/>
          <w:kern w:val="1"/>
          <w:sz w:val="24"/>
          <w:szCs w:val="24"/>
          <w:highlight w:val="none"/>
          <w:u w:val="none"/>
        </w:rPr>
        <w:t>0.1‰</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，但</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累计不得超过延期货款额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。乙方逾期交付货物核心部件导致货物无法使用的，乙方须赔偿甲方所受到的全部损失（包括但不限于：替代物购置及安装费用等）并按本合同合计金额的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4C24D7E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乙方未按本合同和投标文件中规定的服务承诺提供售后服务的，每出现一次，乙方应按本合同合计金额的</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向甲方支付违约金，同时甲方有权根据本合同第十一条第2项的约定自行交由第三方提供售后服务，乙方每次除向甲方支付违约金外，还需承担甲方为此支出的配件费、工时费等一切售后服务相关费用。</w:t>
      </w:r>
    </w:p>
    <w:p w14:paraId="3D6B6BED">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6CBFCC4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未经甲方书面许可，乙方擅自将本合同项下义务交由第三方完成的，视为乙方根本违约，甲方有权解除本合同。</w:t>
      </w:r>
    </w:p>
    <w:p w14:paraId="1601BB3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乙方未按约提供合法有效的足额发票的，除须向甲方补开发票外，还须向甲方支付相当于不符合合同约定的发票票面金额30%的违约金</w:t>
      </w: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且甲方有权解除合同，要求乙方退还已付款项。</w:t>
      </w:r>
    </w:p>
    <w:p w14:paraId="176EAD3B">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9.</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sz w:val="24"/>
          <w:szCs w:val="24"/>
          <w:highlight w:val="none"/>
        </w:rPr>
        <w:t>乙方违反</w:t>
      </w:r>
      <w:r>
        <w:rPr>
          <w:rFonts w:hint="eastAsia" w:ascii="仿宋" w:hAnsi="仿宋" w:eastAsia="仿宋" w:cs="仿宋"/>
          <w:color w:val="auto"/>
          <w:kern w:val="1"/>
          <w:sz w:val="24"/>
          <w:szCs w:val="24"/>
          <w:highlight w:val="none"/>
        </w:rPr>
        <w:t>第三条第3款</w:t>
      </w:r>
      <w:r>
        <w:rPr>
          <w:rFonts w:hint="eastAsia" w:ascii="仿宋" w:hAnsi="仿宋" w:eastAsia="仿宋" w:cs="仿宋"/>
          <w:color w:val="auto"/>
          <w:sz w:val="24"/>
          <w:szCs w:val="24"/>
          <w:highlight w:val="none"/>
        </w:rPr>
        <w:t>约定的，应向甲方一次性支付合同合计金额30%的违约金。</w:t>
      </w:r>
    </w:p>
    <w:p w14:paraId="32E0DA1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10.乙方的其它违约行为，按违约货款额5%收取违约金。</w:t>
      </w:r>
    </w:p>
    <w:p w14:paraId="5E2E2EA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11.甲方解除合同的，除有权要求乙方按相应违约条款承担违约责任外，还有权要求乙方按本合同合计金额的30%支付违约金。</w:t>
      </w:r>
    </w:p>
    <w:p w14:paraId="3D5DCE2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eastAsia="zh-Hans"/>
        </w:rPr>
      </w:pPr>
      <w:r>
        <w:rPr>
          <w:rFonts w:hint="eastAsia" w:ascii="仿宋" w:hAnsi="仿宋" w:eastAsia="仿宋" w:cs="仿宋"/>
          <w:color w:val="auto"/>
          <w:kern w:val="1"/>
          <w:sz w:val="24"/>
          <w:szCs w:val="24"/>
          <w:highlight w:val="none"/>
        </w:rPr>
        <w:t>12.</w:t>
      </w:r>
      <w:r>
        <w:rPr>
          <w:rFonts w:hint="eastAsia" w:ascii="仿宋" w:hAnsi="仿宋" w:eastAsia="仿宋" w:cs="仿宋"/>
          <w:color w:val="auto"/>
          <w:kern w:val="1"/>
          <w:sz w:val="24"/>
          <w:szCs w:val="24"/>
          <w:highlight w:val="none"/>
          <w:lang w:eastAsia="zh-Hans"/>
        </w:rPr>
        <w:t>任何一方存在任何违约行为的，除按合同约定承担</w:t>
      </w:r>
      <w:r>
        <w:rPr>
          <w:rFonts w:hint="eastAsia" w:ascii="仿宋" w:hAnsi="仿宋" w:eastAsia="仿宋" w:cs="仿宋"/>
          <w:color w:val="auto"/>
          <w:kern w:val="1"/>
          <w:sz w:val="24"/>
          <w:szCs w:val="24"/>
          <w:highlight w:val="none"/>
        </w:rPr>
        <w:t>违约</w:t>
      </w:r>
      <w:r>
        <w:rPr>
          <w:rFonts w:hint="eastAsia" w:ascii="仿宋" w:hAnsi="仿宋" w:eastAsia="仿宋" w:cs="仿宋"/>
          <w:color w:val="auto"/>
          <w:kern w:val="1"/>
          <w:sz w:val="24"/>
          <w:szCs w:val="24"/>
          <w:highlight w:val="none"/>
          <w:lang w:eastAsia="zh-Hans"/>
        </w:rPr>
        <w:t>责任外，还应赔偿守约方的一切</w:t>
      </w:r>
      <w:r>
        <w:rPr>
          <w:rFonts w:hint="eastAsia" w:ascii="仿宋" w:hAnsi="仿宋" w:eastAsia="仿宋" w:cs="仿宋"/>
          <w:color w:val="auto"/>
          <w:kern w:val="1"/>
          <w:sz w:val="24"/>
          <w:szCs w:val="24"/>
          <w:highlight w:val="none"/>
        </w:rPr>
        <w:t>经济</w:t>
      </w:r>
      <w:r>
        <w:rPr>
          <w:rFonts w:hint="eastAsia" w:ascii="仿宋" w:hAnsi="仿宋" w:eastAsia="仿宋" w:cs="仿宋"/>
          <w:color w:val="auto"/>
          <w:kern w:val="1"/>
          <w:sz w:val="24"/>
          <w:szCs w:val="24"/>
          <w:highlight w:val="none"/>
          <w:lang w:eastAsia="zh-Hans"/>
        </w:rPr>
        <w:t>损失（包括但不限于向第三方支付</w:t>
      </w:r>
      <w:r>
        <w:rPr>
          <w:rFonts w:hint="eastAsia" w:ascii="仿宋" w:hAnsi="仿宋" w:eastAsia="仿宋" w:cs="仿宋"/>
          <w:color w:val="auto"/>
          <w:kern w:val="1"/>
          <w:sz w:val="24"/>
          <w:szCs w:val="24"/>
          <w:highlight w:val="none"/>
        </w:rPr>
        <w:t>的</w:t>
      </w:r>
      <w:r>
        <w:rPr>
          <w:rFonts w:hint="eastAsia" w:ascii="仿宋" w:hAnsi="仿宋" w:eastAsia="仿宋" w:cs="仿宋"/>
          <w:color w:val="auto"/>
          <w:kern w:val="1"/>
          <w:sz w:val="24"/>
          <w:szCs w:val="24"/>
          <w:highlight w:val="none"/>
          <w:lang w:eastAsia="zh-Hans"/>
        </w:rPr>
        <w:t>赔偿金、补偿金、违约金等，为实现债权而支付的律师费、公证费、诉讼费、保全费、公告费、鉴定费、诉讼财产保全责任险保</w:t>
      </w:r>
      <w:r>
        <w:rPr>
          <w:rFonts w:hint="eastAsia" w:ascii="仿宋" w:hAnsi="仿宋" w:eastAsia="仿宋" w:cs="仿宋"/>
          <w:color w:val="auto"/>
          <w:kern w:val="1"/>
          <w:sz w:val="24"/>
          <w:szCs w:val="24"/>
          <w:highlight w:val="none"/>
        </w:rPr>
        <w:t>险</w:t>
      </w:r>
      <w:r>
        <w:rPr>
          <w:rFonts w:hint="eastAsia" w:ascii="仿宋" w:hAnsi="仿宋" w:eastAsia="仿宋" w:cs="仿宋"/>
          <w:color w:val="auto"/>
          <w:kern w:val="1"/>
          <w:sz w:val="24"/>
          <w:szCs w:val="24"/>
          <w:highlight w:val="none"/>
          <w:lang w:eastAsia="zh-Hans"/>
        </w:rPr>
        <w:t>费等一切费用）。</w:t>
      </w:r>
    </w:p>
    <w:p w14:paraId="0C8C307B">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不可抗力事件处理</w:t>
      </w:r>
    </w:p>
    <w:p w14:paraId="250B9CE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在合同有效期内，任何一方因不可抗力事件导致不能履行合同，则合同履行期可延长，其延长期与不可抗力影响期相同。</w:t>
      </w:r>
    </w:p>
    <w:p w14:paraId="67BB4A3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不可抗力事件发生后，应立即通知对方，并寄送有关权威机构出具的证明。</w:t>
      </w:r>
    </w:p>
    <w:p w14:paraId="6F3043A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不可抗力事件延续一百二十天以上，双方应通过友好协商，确定是否继续履行合同。</w:t>
      </w:r>
    </w:p>
    <w:p w14:paraId="1FC2A3C3">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合同争议解决</w:t>
      </w:r>
    </w:p>
    <w:p w14:paraId="75E5F21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因货物质量问题发生争议的，应邀请国家认可的质量检测机构按照国家标准对货物质量进行</w:t>
      </w:r>
      <w:r>
        <w:rPr>
          <w:rFonts w:hint="eastAsia" w:ascii="仿宋" w:hAnsi="仿宋" w:eastAsia="仿宋" w:cs="仿宋"/>
          <w:color w:val="auto"/>
          <w:kern w:val="1"/>
          <w:sz w:val="24"/>
          <w:szCs w:val="24"/>
          <w:highlight w:val="none"/>
          <w:lang w:eastAsia="zh-Hans"/>
        </w:rPr>
        <w:t>鉴定</w:t>
      </w:r>
      <w:r>
        <w:rPr>
          <w:rFonts w:hint="eastAsia" w:ascii="仿宋" w:hAnsi="仿宋" w:eastAsia="仿宋" w:cs="仿宋"/>
          <w:color w:val="auto"/>
          <w:kern w:val="1"/>
          <w:sz w:val="24"/>
          <w:szCs w:val="24"/>
          <w:highlight w:val="none"/>
        </w:rPr>
        <w:t>。货物符合国家标准的，鉴定费由甲方承担；货物不符合国家标准的，鉴定费由乙方承担。</w:t>
      </w:r>
    </w:p>
    <w:p w14:paraId="7B8B44B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因履行本合同引起的或与本合同有关的争议，甲乙双方应首先通过友好协商解决，如果协商不能解决，可向甲方所在地人民法院提起诉讼。</w:t>
      </w:r>
    </w:p>
    <w:p w14:paraId="069AAB0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诉讼期间，本合同继续履行。</w:t>
      </w:r>
    </w:p>
    <w:p w14:paraId="76BB634A">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第十六条 合同生效及其它</w:t>
      </w:r>
    </w:p>
    <w:p w14:paraId="5FD649C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合同履行地点为：</w:t>
      </w:r>
      <w:r>
        <w:rPr>
          <w:rFonts w:hint="eastAsia" w:ascii="仿宋" w:hAnsi="仿宋" w:eastAsia="仿宋" w:cs="仿宋"/>
          <w:color w:val="auto"/>
          <w:kern w:val="1"/>
          <w:sz w:val="24"/>
          <w:szCs w:val="24"/>
          <w:highlight w:val="none"/>
          <w:u w:val="single"/>
        </w:rPr>
        <w:t>广西壮族自治区人民医院</w:t>
      </w:r>
      <w:r>
        <w:rPr>
          <w:rFonts w:hint="eastAsia" w:ascii="仿宋" w:hAnsi="仿宋" w:eastAsia="仿宋" w:cs="仿宋"/>
          <w:color w:val="auto"/>
          <w:kern w:val="1"/>
          <w:sz w:val="24"/>
          <w:szCs w:val="24"/>
          <w:highlight w:val="none"/>
        </w:rPr>
        <w:t>；合同履行的方式：</w:t>
      </w:r>
      <w:r>
        <w:rPr>
          <w:rFonts w:hint="eastAsia" w:ascii="仿宋" w:hAnsi="仿宋" w:eastAsia="仿宋" w:cs="仿宋"/>
          <w:color w:val="auto"/>
          <w:kern w:val="1"/>
          <w:sz w:val="24"/>
          <w:szCs w:val="24"/>
          <w:highlight w:val="none"/>
          <w:u w:val="single"/>
        </w:rPr>
        <w:t>按照本合同约定</w:t>
      </w:r>
      <w:r>
        <w:rPr>
          <w:rFonts w:hint="eastAsia" w:ascii="仿宋" w:hAnsi="仿宋" w:eastAsia="仿宋" w:cs="仿宋"/>
          <w:color w:val="auto"/>
          <w:kern w:val="1"/>
          <w:sz w:val="24"/>
          <w:szCs w:val="24"/>
          <w:highlight w:val="none"/>
        </w:rPr>
        <w:t>。</w:t>
      </w:r>
    </w:p>
    <w:p w14:paraId="6B071F6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2. </w:t>
      </w:r>
      <w:r>
        <w:rPr>
          <w:rFonts w:hint="eastAsia" w:ascii="仿宋" w:hAnsi="仿宋" w:eastAsia="仿宋" w:cs="仿宋"/>
          <w:color w:val="auto"/>
          <w:kern w:val="1"/>
          <w:sz w:val="24"/>
          <w:szCs w:val="24"/>
          <w:highlight w:val="none"/>
          <w:lang w:val="en-US" w:eastAsia="zh-CN"/>
        </w:rPr>
        <w:t>本</w:t>
      </w:r>
      <w:r>
        <w:rPr>
          <w:rFonts w:hint="eastAsia" w:ascii="仿宋" w:hAnsi="仿宋" w:eastAsia="仿宋" w:cs="仿宋"/>
          <w:color w:val="auto"/>
          <w:kern w:val="1"/>
          <w:sz w:val="24"/>
          <w:szCs w:val="24"/>
          <w:highlight w:val="none"/>
        </w:rPr>
        <w:t>合同经双方法定代表人或委托代理人签字并加盖</w:t>
      </w:r>
      <w:r>
        <w:rPr>
          <w:rFonts w:hint="eastAsia" w:ascii="仿宋" w:hAnsi="仿宋" w:eastAsia="仿宋" w:cs="仿宋"/>
          <w:color w:val="auto"/>
          <w:kern w:val="1"/>
          <w:sz w:val="24"/>
          <w:szCs w:val="24"/>
          <w:highlight w:val="none"/>
          <w:lang w:val="en-US" w:eastAsia="zh-CN"/>
        </w:rPr>
        <w:t>双方</w:t>
      </w:r>
      <w:r>
        <w:rPr>
          <w:rFonts w:hint="eastAsia" w:ascii="仿宋" w:hAnsi="仿宋" w:eastAsia="仿宋" w:cs="仿宋"/>
          <w:color w:val="auto"/>
          <w:kern w:val="1"/>
          <w:sz w:val="24"/>
          <w:szCs w:val="24"/>
          <w:highlight w:val="none"/>
        </w:rPr>
        <w:t>单位公章后生效。</w:t>
      </w:r>
    </w:p>
    <w:p w14:paraId="3CD94CA8">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3. </w:t>
      </w:r>
      <w:r>
        <w:rPr>
          <w:rFonts w:hint="eastAsia" w:ascii="仿宋" w:hAnsi="仿宋" w:eastAsia="仿宋" w:cs="仿宋"/>
          <w:color w:val="auto"/>
          <w:sz w:val="24"/>
          <w:szCs w:val="24"/>
          <w:highlight w:val="none"/>
        </w:rPr>
        <w:t>合同执行中涉及采购内容修改或补充的，按政府采购相关规定要求签订书面补充协议，并作为主合同不可分割的一部分</w:t>
      </w:r>
      <w:r>
        <w:rPr>
          <w:rFonts w:hint="eastAsia" w:ascii="仿宋" w:hAnsi="仿宋" w:eastAsia="仿宋" w:cs="仿宋"/>
          <w:color w:val="auto"/>
          <w:kern w:val="1"/>
          <w:sz w:val="24"/>
          <w:szCs w:val="24"/>
          <w:highlight w:val="none"/>
        </w:rPr>
        <w:t>。</w:t>
      </w:r>
    </w:p>
    <w:p w14:paraId="5A5B3C8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本合同未尽事宜，遵照《中华人民共和国民法典》有关条文执行。</w:t>
      </w:r>
    </w:p>
    <w:p w14:paraId="6FD5175D">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第十七条 合同的变更、终止与转让</w:t>
      </w:r>
    </w:p>
    <w:p w14:paraId="2292F57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本合同一经签订，甲乙双方不得擅自变更、中止或终止。</w:t>
      </w:r>
    </w:p>
    <w:p w14:paraId="6801CBE1">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未经甲方书面同意，乙方不得擅自转让</w:t>
      </w:r>
      <w:r>
        <w:rPr>
          <w:rFonts w:hint="eastAsia" w:ascii="仿宋" w:hAnsi="仿宋" w:eastAsia="仿宋" w:cs="仿宋"/>
          <w:color w:val="auto"/>
          <w:kern w:val="1"/>
          <w:sz w:val="24"/>
          <w:szCs w:val="24"/>
          <w:highlight w:val="none"/>
          <w:lang w:eastAsia="zh-Hans"/>
        </w:rPr>
        <w:t>、分包</w:t>
      </w:r>
      <w:r>
        <w:rPr>
          <w:rFonts w:hint="eastAsia" w:ascii="仿宋" w:hAnsi="仿宋" w:eastAsia="仿宋" w:cs="仿宋"/>
          <w:color w:val="auto"/>
          <w:kern w:val="1"/>
          <w:sz w:val="24"/>
          <w:szCs w:val="24"/>
          <w:highlight w:val="none"/>
        </w:rPr>
        <w:t>（无进口资格的乙方委托进口货物除外）其应履行的合同义务。</w:t>
      </w:r>
    </w:p>
    <w:p w14:paraId="07F7433E">
      <w:pPr>
        <w:spacing w:after="124" w:afterLines="40" w:line="360" w:lineRule="exact"/>
        <w:ind w:firstLine="482" w:firstLineChars="200"/>
        <w:outlineLvl w:val="9"/>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rPr>
        <w:t>第十八条 签订本合同依据</w:t>
      </w:r>
    </w:p>
    <w:p w14:paraId="408A2555">
      <w:pPr>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 本合同； </w:t>
      </w:r>
    </w:p>
    <w:p w14:paraId="56E03C27">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2. 中标（成交）通知书；</w:t>
      </w:r>
    </w:p>
    <w:p w14:paraId="091C5CE7">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乙方提供的投标（响应）文件；</w:t>
      </w:r>
    </w:p>
    <w:p w14:paraId="261A38C2">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采购文件。</w:t>
      </w:r>
    </w:p>
    <w:p w14:paraId="361FDE89">
      <w:pPr>
        <w:autoSpaceDE w:val="0"/>
        <w:autoSpaceDN w:val="0"/>
        <w:adjustRightInd w:val="0"/>
        <w:spacing w:line="420" w:lineRule="exact"/>
        <w:ind w:firstLine="482" w:firstLineChars="200"/>
        <w:outlineLvl w:val="9"/>
        <w:rPr>
          <w:rFonts w:hint="eastAsia" w:ascii="仿宋" w:hAnsi="仿宋" w:eastAsia="仿宋" w:cs="仿宋"/>
          <w:b/>
          <w:bCs/>
          <w:color w:val="auto"/>
          <w:kern w:val="1"/>
          <w:sz w:val="24"/>
          <w:szCs w:val="24"/>
          <w:highlight w:val="none"/>
        </w:rPr>
      </w:pPr>
      <w:r>
        <w:rPr>
          <w:rFonts w:hint="eastAsia" w:ascii="仿宋" w:hAnsi="仿宋" w:eastAsia="仿宋" w:cs="仿宋"/>
          <w:b/>
          <w:bCs/>
          <w:color w:val="auto"/>
          <w:kern w:val="1"/>
          <w:sz w:val="24"/>
          <w:szCs w:val="24"/>
          <w:highlight w:val="none"/>
        </w:rPr>
        <w:t>上述合同文件互相补充和解释。如果合同文件之间存在矛盾或者不一致之处，以上述文件的排列顺序在先者为准。</w:t>
      </w:r>
    </w:p>
    <w:p w14:paraId="4D09B85E">
      <w:pPr>
        <w:snapToGrid w:val="0"/>
        <w:spacing w:line="420" w:lineRule="exact"/>
        <w:ind w:firstLine="482"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第十九条 </w:t>
      </w:r>
      <w:r>
        <w:rPr>
          <w:rFonts w:hint="eastAsia" w:ascii="仿宋" w:hAnsi="仿宋" w:eastAsia="仿宋" w:cs="仿宋"/>
          <w:b/>
          <w:color w:val="auto"/>
          <w:sz w:val="24"/>
          <w:szCs w:val="24"/>
          <w:highlight w:val="none"/>
          <w:lang w:eastAsia="zh-Hans"/>
        </w:rPr>
        <w:t>通知</w:t>
      </w:r>
    </w:p>
    <w:p w14:paraId="16E7A97B">
      <w:pPr>
        <w:snapToGrid w:val="0"/>
        <w:spacing w:line="420" w:lineRule="exact"/>
        <w:ind w:firstLine="480"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39653EBF">
      <w:pPr>
        <w:snapToGrid w:val="0"/>
        <w:spacing w:line="360" w:lineRule="exact"/>
        <w:ind w:firstLine="482"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第二十条 </w:t>
      </w:r>
      <w:r>
        <w:rPr>
          <w:rFonts w:hint="eastAsia" w:ascii="仿宋" w:hAnsi="仿宋" w:eastAsia="仿宋" w:cs="仿宋"/>
          <w:color w:val="auto"/>
          <w:kern w:val="1"/>
          <w:sz w:val="24"/>
          <w:szCs w:val="24"/>
          <w:highlight w:val="none"/>
        </w:rPr>
        <w:t>本合同一式</w:t>
      </w:r>
      <w:r>
        <w:rPr>
          <w:rFonts w:hint="eastAsia" w:ascii="仿宋" w:hAnsi="仿宋" w:eastAsia="仿宋" w:cs="仿宋"/>
          <w:color w:val="auto"/>
          <w:kern w:val="1"/>
          <w:sz w:val="24"/>
          <w:szCs w:val="24"/>
          <w:highlight w:val="none"/>
          <w:lang w:val="en-US" w:eastAsia="zh-CN"/>
        </w:rPr>
        <w:t>四</w:t>
      </w:r>
      <w:r>
        <w:rPr>
          <w:rFonts w:hint="eastAsia" w:ascii="仿宋" w:hAnsi="仿宋" w:eastAsia="仿宋" w:cs="仿宋"/>
          <w:color w:val="auto"/>
          <w:kern w:val="1"/>
          <w:sz w:val="24"/>
          <w:szCs w:val="24"/>
          <w:highlight w:val="none"/>
        </w:rPr>
        <w:t>份，具有同等法律效力。甲方二份，乙方</w:t>
      </w:r>
      <w:r>
        <w:rPr>
          <w:rFonts w:hint="eastAsia" w:ascii="仿宋" w:hAnsi="仿宋" w:eastAsia="仿宋" w:cs="仿宋"/>
          <w:color w:val="auto"/>
          <w:kern w:val="1"/>
          <w:sz w:val="24"/>
          <w:szCs w:val="24"/>
          <w:highlight w:val="none"/>
          <w:lang w:val="en-US" w:eastAsia="zh-CN"/>
        </w:rPr>
        <w:t>二</w:t>
      </w:r>
      <w:r>
        <w:rPr>
          <w:rFonts w:hint="eastAsia" w:ascii="仿宋" w:hAnsi="仿宋" w:eastAsia="仿宋" w:cs="仿宋"/>
          <w:color w:val="auto"/>
          <w:kern w:val="1"/>
          <w:sz w:val="24"/>
          <w:szCs w:val="24"/>
          <w:highlight w:val="none"/>
        </w:rPr>
        <w:t>份。</w:t>
      </w:r>
    </w:p>
    <w:p w14:paraId="6FC44AE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（以下为签章页，无正文）</w:t>
      </w:r>
    </w:p>
    <w:p w14:paraId="3A8E234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B40FDF2">
      <w:pPr>
        <w:snapToGrid w:val="0"/>
        <w:spacing w:line="360" w:lineRule="exact"/>
        <w:ind w:firstLine="480" w:firstLineChars="200"/>
        <w:outlineLvl w:val="9"/>
        <w:rPr>
          <w:rFonts w:hint="eastAsia" w:ascii="仿宋" w:hAnsi="仿宋" w:eastAsia="仿宋" w:cs="仿宋"/>
          <w:color w:val="auto"/>
          <w:sz w:val="24"/>
          <w:szCs w:val="24"/>
          <w:highlight w:val="none"/>
        </w:rPr>
      </w:pPr>
    </w:p>
    <w:tbl>
      <w:tblPr>
        <w:tblStyle w:val="45"/>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524"/>
      </w:tblGrid>
      <w:tr w14:paraId="10B7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2425" w:type="pct"/>
            <w:noWrap w:val="0"/>
            <w:vAlign w:val="center"/>
          </w:tcPr>
          <w:p w14:paraId="6DF8B9CE">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甲方（章）广西壮族自治区人民医院 </w:t>
            </w:r>
          </w:p>
          <w:p w14:paraId="2DF01D56">
            <w:pPr>
              <w:snapToGrid w:val="0"/>
              <w:spacing w:line="360" w:lineRule="exact"/>
              <w:outlineLvl w:val="9"/>
              <w:rPr>
                <w:rFonts w:hint="eastAsia" w:ascii="仿宋" w:hAnsi="仿宋" w:eastAsia="仿宋" w:cs="仿宋"/>
                <w:color w:val="auto"/>
                <w:sz w:val="24"/>
                <w:szCs w:val="24"/>
                <w:highlight w:val="none"/>
              </w:rPr>
            </w:pPr>
          </w:p>
          <w:p w14:paraId="1EAD2E3E">
            <w:pPr>
              <w:pStyle w:val="16"/>
              <w:outlineLvl w:val="9"/>
              <w:rPr>
                <w:rFonts w:hint="eastAsia" w:ascii="仿宋" w:hAnsi="仿宋" w:eastAsia="仿宋" w:cs="仿宋"/>
                <w:color w:val="auto"/>
                <w:sz w:val="24"/>
                <w:szCs w:val="24"/>
                <w:highlight w:val="none"/>
              </w:rPr>
            </w:pPr>
          </w:p>
          <w:p w14:paraId="331312FA">
            <w:pPr>
              <w:pStyle w:val="16"/>
              <w:outlineLvl w:val="9"/>
              <w:rPr>
                <w:rFonts w:hint="eastAsia" w:ascii="仿宋" w:hAnsi="仿宋" w:eastAsia="仿宋" w:cs="仿宋"/>
                <w:color w:val="auto"/>
                <w:sz w:val="24"/>
                <w:szCs w:val="24"/>
                <w:highlight w:val="none"/>
              </w:rPr>
            </w:pPr>
          </w:p>
          <w:p w14:paraId="59F04762">
            <w:pPr>
              <w:pStyle w:val="16"/>
              <w:outlineLvl w:val="9"/>
              <w:rPr>
                <w:rFonts w:hint="eastAsia" w:ascii="仿宋" w:hAnsi="仿宋" w:eastAsia="仿宋" w:cs="仿宋"/>
                <w:color w:val="auto"/>
                <w:sz w:val="24"/>
                <w:szCs w:val="24"/>
                <w:highlight w:val="none"/>
              </w:rPr>
            </w:pPr>
          </w:p>
          <w:p w14:paraId="3796D959">
            <w:pPr>
              <w:snapToGrid w:val="0"/>
              <w:spacing w:line="360" w:lineRule="exact"/>
              <w:ind w:firstLine="1080" w:firstLineChars="450"/>
              <w:jc w:val="right"/>
              <w:outlineLvl w:val="9"/>
              <w:rPr>
                <w:rFonts w:hint="eastAsia" w:ascii="仿宋" w:hAnsi="仿宋" w:eastAsia="仿宋" w:cs="仿宋"/>
                <w:color w:val="auto"/>
                <w:sz w:val="24"/>
                <w:szCs w:val="24"/>
                <w:highlight w:val="none"/>
              </w:rPr>
            </w:pPr>
          </w:p>
        </w:tc>
        <w:tc>
          <w:tcPr>
            <w:tcW w:w="2574" w:type="pct"/>
            <w:noWrap w:val="0"/>
            <w:vAlign w:val="center"/>
          </w:tcPr>
          <w:p w14:paraId="176D583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乙方（章）               </w:t>
            </w:r>
          </w:p>
          <w:p w14:paraId="1FEEA706">
            <w:pPr>
              <w:spacing w:line="360" w:lineRule="exact"/>
              <w:outlineLvl w:val="9"/>
              <w:rPr>
                <w:rFonts w:hint="eastAsia" w:ascii="仿宋" w:hAnsi="仿宋" w:eastAsia="仿宋" w:cs="仿宋"/>
                <w:color w:val="auto"/>
                <w:sz w:val="24"/>
                <w:szCs w:val="24"/>
                <w:highlight w:val="none"/>
              </w:rPr>
            </w:pPr>
          </w:p>
          <w:p w14:paraId="19FD408F">
            <w:pPr>
              <w:spacing w:line="360" w:lineRule="exact"/>
              <w:outlineLvl w:val="9"/>
              <w:rPr>
                <w:rFonts w:hint="eastAsia" w:ascii="仿宋" w:hAnsi="仿宋" w:eastAsia="仿宋" w:cs="仿宋"/>
                <w:color w:val="auto"/>
                <w:sz w:val="24"/>
                <w:szCs w:val="24"/>
                <w:highlight w:val="none"/>
              </w:rPr>
            </w:pPr>
          </w:p>
          <w:p w14:paraId="592196D6">
            <w:pPr>
              <w:spacing w:line="360" w:lineRule="exact"/>
              <w:outlineLvl w:val="9"/>
              <w:rPr>
                <w:rFonts w:hint="eastAsia" w:ascii="仿宋" w:hAnsi="仿宋" w:eastAsia="仿宋" w:cs="仿宋"/>
                <w:color w:val="auto"/>
                <w:sz w:val="24"/>
                <w:szCs w:val="24"/>
                <w:highlight w:val="none"/>
              </w:rPr>
            </w:pPr>
          </w:p>
          <w:p w14:paraId="63489F3A">
            <w:pPr>
              <w:spacing w:line="360" w:lineRule="exact"/>
              <w:outlineLvl w:val="9"/>
              <w:rPr>
                <w:rFonts w:hint="eastAsia" w:ascii="仿宋" w:hAnsi="仿宋" w:eastAsia="仿宋" w:cs="仿宋"/>
                <w:color w:val="auto"/>
                <w:sz w:val="24"/>
                <w:szCs w:val="24"/>
                <w:highlight w:val="none"/>
              </w:rPr>
            </w:pPr>
          </w:p>
          <w:p w14:paraId="0F8CAFC1">
            <w:pPr>
              <w:spacing w:line="360" w:lineRule="exact"/>
              <w:outlineLvl w:val="9"/>
              <w:rPr>
                <w:rFonts w:hint="eastAsia" w:ascii="仿宋" w:hAnsi="仿宋" w:eastAsia="仿宋" w:cs="仿宋"/>
                <w:color w:val="auto"/>
                <w:sz w:val="24"/>
                <w:szCs w:val="24"/>
                <w:highlight w:val="none"/>
              </w:rPr>
            </w:pPr>
          </w:p>
        </w:tc>
      </w:tr>
      <w:tr w14:paraId="5F94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42B4C3FF">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单位地址：南宁市青秀区桃源路6号</w:t>
            </w:r>
          </w:p>
        </w:tc>
        <w:tc>
          <w:tcPr>
            <w:tcW w:w="2574" w:type="pct"/>
            <w:noWrap w:val="0"/>
            <w:vAlign w:val="top"/>
          </w:tcPr>
          <w:p w14:paraId="47C7FD4B">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tc>
      </w:tr>
      <w:tr w14:paraId="494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21A7C081">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574" w:type="pct"/>
            <w:noWrap w:val="0"/>
            <w:vAlign w:val="top"/>
          </w:tcPr>
          <w:p w14:paraId="4E45CFEA">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法定代表人（负责人或自然人）：</w:t>
            </w:r>
          </w:p>
        </w:tc>
      </w:tr>
      <w:tr w14:paraId="60B7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6611300D">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2574" w:type="pct"/>
            <w:noWrap w:val="0"/>
            <w:vAlign w:val="center"/>
          </w:tcPr>
          <w:p w14:paraId="01E8E38F">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r>
      <w:tr w14:paraId="3D78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4E9DF7EC">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电话：0771-5722430</w:t>
            </w:r>
          </w:p>
        </w:tc>
        <w:tc>
          <w:tcPr>
            <w:tcW w:w="2574" w:type="pct"/>
            <w:noWrap w:val="0"/>
            <w:vAlign w:val="center"/>
          </w:tcPr>
          <w:p w14:paraId="473F1B8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手机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2B0E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4D83884">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开户银行：中国民生银行股份有限公司南宁金湖支行</w:t>
            </w:r>
          </w:p>
        </w:tc>
        <w:tc>
          <w:tcPr>
            <w:tcW w:w="2574" w:type="pct"/>
            <w:noWrap w:val="0"/>
            <w:vAlign w:val="top"/>
          </w:tcPr>
          <w:p w14:paraId="00F5AD89">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tc>
      </w:tr>
      <w:tr w14:paraId="2D47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48E28E6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 6313 33260</w:t>
            </w:r>
          </w:p>
        </w:tc>
        <w:tc>
          <w:tcPr>
            <w:tcW w:w="2574" w:type="pct"/>
            <w:noWrap w:val="0"/>
            <w:vAlign w:val="center"/>
          </w:tcPr>
          <w:p w14:paraId="466A5FCC">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r>
      <w:tr w14:paraId="49B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5D76D792">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统一社会信用代码：12450000498500618J</w:t>
            </w:r>
          </w:p>
        </w:tc>
        <w:tc>
          <w:tcPr>
            <w:tcW w:w="2574" w:type="pct"/>
            <w:noWrap w:val="0"/>
            <w:vAlign w:val="center"/>
          </w:tcPr>
          <w:p w14:paraId="5ED957C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r>
      <w:tr w14:paraId="0EE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450B528">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邮政编码：530021</w:t>
            </w:r>
          </w:p>
        </w:tc>
        <w:tc>
          <w:tcPr>
            <w:tcW w:w="2574" w:type="pct"/>
            <w:noWrap w:val="0"/>
            <w:vAlign w:val="center"/>
          </w:tcPr>
          <w:p w14:paraId="4AA94D59">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bl>
    <w:p w14:paraId="3CD8E58C">
      <w:pPr>
        <w:outlineLvl w:val="9"/>
        <w:rPr>
          <w:rFonts w:hint="eastAsia" w:ascii="仿宋" w:hAnsi="仿宋" w:eastAsia="仿宋" w:cs="仿宋"/>
          <w:color w:val="auto"/>
          <w:sz w:val="24"/>
          <w:szCs w:val="24"/>
          <w:highlight w:val="none"/>
        </w:rPr>
      </w:pPr>
    </w:p>
    <w:p w14:paraId="3FCB7ED0">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szCs w:val="24"/>
          <w:highlight w:val="none"/>
        </w:rPr>
        <w:br w:type="page"/>
      </w:r>
      <w:r>
        <w:rPr>
          <w:rFonts w:hint="eastAsia" w:ascii="仿宋" w:hAnsi="仿宋" w:eastAsia="仿宋" w:cs="仿宋"/>
          <w:b/>
          <w:bCs/>
          <w:color w:val="auto"/>
          <w:kern w:val="0"/>
          <w:sz w:val="24"/>
          <w:szCs w:val="24"/>
          <w:highlight w:val="none"/>
          <w:lang w:val="en-US" w:eastAsia="zh-CN" w:bidi="ar"/>
        </w:rPr>
        <w:t>产品</w:t>
      </w:r>
      <w:r>
        <w:rPr>
          <w:rFonts w:hint="eastAsia" w:ascii="仿宋" w:hAnsi="仿宋" w:eastAsia="仿宋" w:cs="仿宋"/>
          <w:b/>
          <w:bCs/>
          <w:color w:val="auto"/>
          <w:kern w:val="0"/>
          <w:sz w:val="24"/>
          <w:szCs w:val="24"/>
          <w:highlight w:val="none"/>
          <w:lang w:bidi="ar"/>
        </w:rPr>
        <w:t>技术参数</w:t>
      </w:r>
      <w:r>
        <w:rPr>
          <w:rFonts w:hint="eastAsia" w:ascii="仿宋" w:hAnsi="仿宋" w:eastAsia="仿宋" w:cs="仿宋"/>
          <w:b/>
          <w:bCs/>
          <w:color w:val="auto"/>
          <w:kern w:val="0"/>
          <w:sz w:val="24"/>
          <w:szCs w:val="24"/>
          <w:highlight w:val="none"/>
          <w:lang w:val="en-US" w:eastAsia="zh-CN" w:bidi="ar"/>
        </w:rPr>
        <w:t>表</w:t>
      </w:r>
    </w:p>
    <w:p w14:paraId="4FD628C8">
      <w:pPr>
        <w:spacing w:before="214" w:line="387" w:lineRule="exact"/>
        <w:ind w:left="624" w:hanging="537" w:hangingChars="223"/>
        <w:outlineLvl w:val="9"/>
        <w:rPr>
          <w:rFonts w:hint="eastAsia" w:ascii="仿宋" w:hAnsi="仿宋" w:eastAsia="仿宋" w:cs="仿宋"/>
          <w:b/>
          <w:bCs/>
          <w:color w:val="auto"/>
          <w:kern w:val="0"/>
          <w:sz w:val="24"/>
          <w:szCs w:val="24"/>
          <w:highlight w:val="none"/>
          <w:lang w:bidi="ar"/>
        </w:rPr>
      </w:pPr>
    </w:p>
    <w:p w14:paraId="025A636A">
      <w:pPr>
        <w:pStyle w:val="16"/>
        <w:outlineLvl w:val="9"/>
        <w:rPr>
          <w:rFonts w:hint="eastAsia" w:ascii="仿宋" w:hAnsi="仿宋" w:eastAsia="仿宋" w:cs="仿宋"/>
          <w:b/>
          <w:bCs/>
          <w:color w:val="auto"/>
          <w:kern w:val="0"/>
          <w:sz w:val="24"/>
          <w:szCs w:val="24"/>
          <w:highlight w:val="none"/>
          <w:lang w:bidi="ar"/>
        </w:rPr>
      </w:pPr>
    </w:p>
    <w:p w14:paraId="34EEAFB1">
      <w:pPr>
        <w:pStyle w:val="16"/>
        <w:outlineLvl w:val="9"/>
        <w:rPr>
          <w:rFonts w:hint="eastAsia" w:ascii="仿宋" w:hAnsi="仿宋" w:eastAsia="仿宋" w:cs="仿宋"/>
          <w:b/>
          <w:bCs/>
          <w:color w:val="auto"/>
          <w:kern w:val="0"/>
          <w:sz w:val="24"/>
          <w:szCs w:val="24"/>
          <w:highlight w:val="none"/>
          <w:lang w:bidi="ar"/>
        </w:rPr>
      </w:pPr>
    </w:p>
    <w:p w14:paraId="511322EF">
      <w:pPr>
        <w:pStyle w:val="16"/>
        <w:outlineLvl w:val="9"/>
        <w:rPr>
          <w:rFonts w:hint="eastAsia" w:ascii="仿宋" w:hAnsi="仿宋" w:eastAsia="仿宋" w:cs="仿宋"/>
          <w:b/>
          <w:bCs/>
          <w:color w:val="auto"/>
          <w:kern w:val="0"/>
          <w:sz w:val="24"/>
          <w:szCs w:val="24"/>
          <w:highlight w:val="none"/>
          <w:lang w:bidi="ar"/>
        </w:rPr>
      </w:pPr>
    </w:p>
    <w:p w14:paraId="32C600E2">
      <w:pPr>
        <w:pStyle w:val="16"/>
        <w:outlineLvl w:val="9"/>
        <w:rPr>
          <w:rFonts w:hint="eastAsia" w:ascii="仿宋" w:hAnsi="仿宋" w:eastAsia="仿宋" w:cs="仿宋"/>
          <w:b/>
          <w:bCs/>
          <w:color w:val="auto"/>
          <w:kern w:val="0"/>
          <w:sz w:val="24"/>
          <w:szCs w:val="24"/>
          <w:highlight w:val="none"/>
          <w:lang w:bidi="ar"/>
        </w:rPr>
      </w:pPr>
    </w:p>
    <w:p w14:paraId="57C4565E">
      <w:pPr>
        <w:spacing w:before="214" w:line="387" w:lineRule="exact"/>
        <w:ind w:left="3266" w:firstLine="241" w:firstLineChars="100"/>
        <w:jc w:val="left"/>
        <w:outlineLvl w:val="9"/>
        <w:rPr>
          <w:rFonts w:hint="eastAsia" w:ascii="仿宋" w:hAnsi="仿宋" w:eastAsia="仿宋" w:cs="仿宋"/>
          <w:b/>
          <w:bCs/>
          <w:color w:val="auto"/>
          <w:kern w:val="0"/>
          <w:sz w:val="24"/>
          <w:szCs w:val="24"/>
          <w:highlight w:val="none"/>
          <w:lang w:bidi="ar"/>
        </w:rPr>
      </w:pPr>
    </w:p>
    <w:p w14:paraId="4D88CFD1">
      <w:pPr>
        <w:pStyle w:val="16"/>
        <w:outlineLvl w:val="9"/>
        <w:rPr>
          <w:rFonts w:hint="eastAsia" w:ascii="仿宋" w:hAnsi="仿宋" w:eastAsia="仿宋" w:cs="仿宋"/>
          <w:b/>
          <w:bCs/>
          <w:color w:val="auto"/>
          <w:kern w:val="0"/>
          <w:sz w:val="24"/>
          <w:szCs w:val="24"/>
          <w:highlight w:val="none"/>
          <w:lang w:bidi="ar"/>
        </w:rPr>
      </w:pPr>
    </w:p>
    <w:p w14:paraId="4B9F8C77">
      <w:pPr>
        <w:pStyle w:val="16"/>
        <w:outlineLvl w:val="9"/>
        <w:rPr>
          <w:rFonts w:hint="eastAsia" w:ascii="仿宋" w:hAnsi="仿宋" w:eastAsia="仿宋" w:cs="仿宋"/>
          <w:b/>
          <w:bCs/>
          <w:color w:val="auto"/>
          <w:kern w:val="0"/>
          <w:sz w:val="24"/>
          <w:szCs w:val="24"/>
          <w:highlight w:val="none"/>
          <w:lang w:bidi="ar"/>
        </w:rPr>
      </w:pPr>
    </w:p>
    <w:p w14:paraId="7B4C3D93">
      <w:pPr>
        <w:pStyle w:val="16"/>
        <w:outlineLvl w:val="9"/>
        <w:rPr>
          <w:rFonts w:hint="eastAsia" w:ascii="仿宋" w:hAnsi="仿宋" w:eastAsia="仿宋" w:cs="仿宋"/>
          <w:b/>
          <w:bCs/>
          <w:color w:val="auto"/>
          <w:kern w:val="0"/>
          <w:sz w:val="24"/>
          <w:szCs w:val="24"/>
          <w:highlight w:val="none"/>
          <w:lang w:bidi="ar"/>
        </w:rPr>
      </w:pPr>
    </w:p>
    <w:p w14:paraId="72C9198E">
      <w:pPr>
        <w:pStyle w:val="16"/>
        <w:outlineLvl w:val="9"/>
        <w:rPr>
          <w:rFonts w:hint="eastAsia" w:ascii="仿宋" w:hAnsi="仿宋" w:eastAsia="仿宋" w:cs="仿宋"/>
          <w:b/>
          <w:bCs/>
          <w:color w:val="auto"/>
          <w:kern w:val="0"/>
          <w:sz w:val="24"/>
          <w:szCs w:val="24"/>
          <w:highlight w:val="none"/>
          <w:lang w:bidi="ar"/>
        </w:rPr>
      </w:pPr>
    </w:p>
    <w:p w14:paraId="7A1E5024">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设备配置（或装箱）清单</w:t>
      </w:r>
    </w:p>
    <w:p w14:paraId="520C1AC7">
      <w:pPr>
        <w:pStyle w:val="127"/>
        <w:jc w:val="both"/>
        <w:outlineLvl w:val="9"/>
        <w:rPr>
          <w:rFonts w:hint="eastAsia" w:ascii="仿宋" w:hAnsi="仿宋" w:eastAsia="仿宋" w:cs="仿宋"/>
          <w:color w:val="auto"/>
          <w:sz w:val="24"/>
          <w:szCs w:val="24"/>
          <w:highlight w:val="none"/>
          <w:lang w:bidi="ar"/>
        </w:rPr>
      </w:pPr>
    </w:p>
    <w:p w14:paraId="4B7A4CF7">
      <w:pPr>
        <w:pStyle w:val="127"/>
        <w:jc w:val="both"/>
        <w:outlineLvl w:val="9"/>
        <w:rPr>
          <w:rFonts w:hint="eastAsia" w:ascii="仿宋" w:hAnsi="仿宋" w:eastAsia="仿宋" w:cs="仿宋"/>
          <w:color w:val="auto"/>
          <w:sz w:val="24"/>
          <w:szCs w:val="24"/>
          <w:highlight w:val="none"/>
          <w:lang w:bidi="ar"/>
        </w:rPr>
      </w:pPr>
    </w:p>
    <w:p w14:paraId="69D2D969">
      <w:pPr>
        <w:pStyle w:val="127"/>
        <w:tabs>
          <w:tab w:val="left" w:pos="3348"/>
        </w:tabs>
        <w:jc w:val="both"/>
        <w:outlineLvl w:val="9"/>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ab/>
      </w:r>
    </w:p>
    <w:p w14:paraId="64461EA5">
      <w:pPr>
        <w:widowControl/>
        <w:textAlignment w:val="center"/>
        <w:outlineLvl w:val="9"/>
        <w:rPr>
          <w:rFonts w:hint="eastAsia" w:ascii="仿宋" w:hAnsi="仿宋" w:eastAsia="仿宋" w:cs="仿宋"/>
          <w:color w:val="auto"/>
          <w:kern w:val="0"/>
          <w:sz w:val="24"/>
          <w:szCs w:val="24"/>
          <w:highlight w:val="none"/>
        </w:rPr>
      </w:pPr>
    </w:p>
    <w:p w14:paraId="05DDDBA1">
      <w:pPr>
        <w:pStyle w:val="16"/>
        <w:outlineLvl w:val="9"/>
        <w:rPr>
          <w:rFonts w:hint="eastAsia" w:ascii="仿宋" w:hAnsi="仿宋" w:eastAsia="仿宋" w:cs="仿宋"/>
          <w:color w:val="auto"/>
          <w:kern w:val="0"/>
          <w:sz w:val="24"/>
          <w:szCs w:val="24"/>
          <w:highlight w:val="none"/>
        </w:rPr>
      </w:pPr>
    </w:p>
    <w:p w14:paraId="31F4E399">
      <w:pPr>
        <w:pStyle w:val="1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3589614">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厂家售后服务承诺</w:t>
      </w:r>
    </w:p>
    <w:p w14:paraId="3D6C25DE">
      <w:pPr>
        <w:jc w:val="center"/>
        <w:outlineLvl w:val="9"/>
        <w:rPr>
          <w:rFonts w:hint="eastAsia" w:ascii="仿宋" w:hAnsi="仿宋" w:eastAsia="仿宋" w:cs="仿宋"/>
          <w:b/>
          <w:bCs/>
          <w:color w:val="auto"/>
          <w:kern w:val="0"/>
          <w:sz w:val="24"/>
          <w:szCs w:val="24"/>
          <w:highlight w:val="none"/>
          <w:lang w:val="en-US" w:eastAsia="zh-CN" w:bidi="ar"/>
        </w:rPr>
      </w:pPr>
    </w:p>
    <w:p w14:paraId="5D48D597">
      <w:pPr>
        <w:jc w:val="center"/>
        <w:outlineLvl w:val="9"/>
        <w:rPr>
          <w:rFonts w:hint="eastAsia" w:ascii="仿宋" w:hAnsi="仿宋" w:eastAsia="仿宋" w:cs="仿宋"/>
          <w:b/>
          <w:bCs/>
          <w:color w:val="auto"/>
          <w:kern w:val="0"/>
          <w:sz w:val="24"/>
          <w:szCs w:val="24"/>
          <w:highlight w:val="none"/>
          <w:lang w:val="en-US" w:eastAsia="zh-CN" w:bidi="ar"/>
        </w:rPr>
      </w:pPr>
    </w:p>
    <w:p w14:paraId="4F6B40B4">
      <w:pPr>
        <w:jc w:val="center"/>
        <w:outlineLvl w:val="9"/>
        <w:rPr>
          <w:rFonts w:hint="eastAsia" w:ascii="仿宋" w:hAnsi="仿宋" w:eastAsia="仿宋" w:cs="仿宋"/>
          <w:b/>
          <w:bCs/>
          <w:color w:val="auto"/>
          <w:kern w:val="0"/>
          <w:sz w:val="24"/>
          <w:szCs w:val="24"/>
          <w:highlight w:val="none"/>
          <w:lang w:val="en-US" w:eastAsia="zh-CN" w:bidi="ar"/>
        </w:rPr>
      </w:pPr>
    </w:p>
    <w:p w14:paraId="11A9ECC0">
      <w:pPr>
        <w:pStyle w:val="16"/>
        <w:outlineLvl w:val="9"/>
        <w:rPr>
          <w:rFonts w:hint="eastAsia" w:ascii="仿宋" w:hAnsi="仿宋" w:eastAsia="仿宋" w:cs="仿宋"/>
          <w:b/>
          <w:bCs/>
          <w:color w:val="auto"/>
          <w:kern w:val="0"/>
          <w:sz w:val="24"/>
          <w:szCs w:val="24"/>
          <w:highlight w:val="none"/>
          <w:lang w:val="en-US" w:eastAsia="zh-CN" w:bidi="ar"/>
        </w:rPr>
      </w:pPr>
    </w:p>
    <w:p w14:paraId="3251E18C">
      <w:pPr>
        <w:pStyle w:val="16"/>
        <w:outlineLvl w:val="9"/>
        <w:rPr>
          <w:rFonts w:hint="eastAsia" w:ascii="仿宋" w:hAnsi="仿宋" w:eastAsia="仿宋" w:cs="仿宋"/>
          <w:b/>
          <w:bCs/>
          <w:color w:val="auto"/>
          <w:kern w:val="0"/>
          <w:sz w:val="24"/>
          <w:szCs w:val="24"/>
          <w:highlight w:val="none"/>
          <w:lang w:val="en-US" w:eastAsia="zh-CN" w:bidi="ar"/>
        </w:rPr>
      </w:pPr>
    </w:p>
    <w:p w14:paraId="79A9F0C4">
      <w:pPr>
        <w:pStyle w:val="16"/>
        <w:outlineLvl w:val="9"/>
        <w:rPr>
          <w:rFonts w:hint="eastAsia" w:ascii="仿宋" w:hAnsi="仿宋" w:eastAsia="仿宋" w:cs="仿宋"/>
          <w:b/>
          <w:bCs/>
          <w:color w:val="auto"/>
          <w:kern w:val="0"/>
          <w:sz w:val="24"/>
          <w:szCs w:val="24"/>
          <w:highlight w:val="none"/>
          <w:lang w:val="en-US" w:eastAsia="zh-CN" w:bidi="ar"/>
        </w:rPr>
      </w:pPr>
    </w:p>
    <w:p w14:paraId="320BDF37">
      <w:pPr>
        <w:pStyle w:val="16"/>
        <w:outlineLvl w:val="9"/>
        <w:rPr>
          <w:rFonts w:hint="eastAsia" w:ascii="仿宋" w:hAnsi="仿宋" w:eastAsia="仿宋" w:cs="仿宋"/>
          <w:b/>
          <w:bCs/>
          <w:color w:val="auto"/>
          <w:kern w:val="0"/>
          <w:sz w:val="24"/>
          <w:szCs w:val="24"/>
          <w:highlight w:val="none"/>
          <w:lang w:val="en-US" w:eastAsia="zh-CN" w:bidi="ar"/>
        </w:rPr>
      </w:pPr>
    </w:p>
    <w:p w14:paraId="1E609F47">
      <w:pPr>
        <w:pStyle w:val="16"/>
        <w:outlineLvl w:val="9"/>
        <w:rPr>
          <w:rFonts w:hint="eastAsia" w:ascii="仿宋" w:hAnsi="仿宋" w:eastAsia="仿宋" w:cs="仿宋"/>
          <w:b/>
          <w:bCs/>
          <w:color w:val="auto"/>
          <w:kern w:val="0"/>
          <w:sz w:val="24"/>
          <w:szCs w:val="24"/>
          <w:highlight w:val="none"/>
          <w:lang w:val="en-US" w:eastAsia="zh-CN" w:bidi="ar"/>
        </w:rPr>
      </w:pPr>
    </w:p>
    <w:p w14:paraId="495147EE">
      <w:pPr>
        <w:pStyle w:val="16"/>
        <w:outlineLvl w:val="9"/>
        <w:rPr>
          <w:rFonts w:hint="eastAsia" w:ascii="仿宋" w:hAnsi="仿宋" w:eastAsia="仿宋" w:cs="仿宋"/>
          <w:b/>
          <w:bCs/>
          <w:color w:val="auto"/>
          <w:kern w:val="0"/>
          <w:sz w:val="24"/>
          <w:szCs w:val="24"/>
          <w:highlight w:val="none"/>
          <w:lang w:val="en-US" w:eastAsia="zh-CN" w:bidi="ar"/>
        </w:rPr>
      </w:pPr>
    </w:p>
    <w:p w14:paraId="73530AFC">
      <w:pPr>
        <w:pStyle w:val="16"/>
        <w:outlineLvl w:val="9"/>
        <w:rPr>
          <w:rFonts w:hint="eastAsia" w:ascii="仿宋" w:hAnsi="仿宋" w:eastAsia="仿宋" w:cs="仿宋"/>
          <w:b/>
          <w:bCs/>
          <w:color w:val="auto"/>
          <w:kern w:val="0"/>
          <w:sz w:val="24"/>
          <w:szCs w:val="24"/>
          <w:highlight w:val="none"/>
          <w:lang w:val="en-US" w:eastAsia="zh-CN" w:bidi="ar"/>
        </w:rPr>
      </w:pPr>
    </w:p>
    <w:p w14:paraId="1B490445">
      <w:pPr>
        <w:pStyle w:val="16"/>
        <w:outlineLvl w:val="9"/>
        <w:rPr>
          <w:rFonts w:hint="eastAsia" w:ascii="仿宋" w:hAnsi="仿宋" w:eastAsia="仿宋" w:cs="仿宋"/>
          <w:b/>
          <w:bCs/>
          <w:color w:val="auto"/>
          <w:kern w:val="0"/>
          <w:sz w:val="24"/>
          <w:szCs w:val="24"/>
          <w:highlight w:val="none"/>
          <w:lang w:val="en-US" w:eastAsia="zh-CN" w:bidi="ar"/>
        </w:rPr>
      </w:pPr>
    </w:p>
    <w:p w14:paraId="170D876B">
      <w:pPr>
        <w:jc w:val="center"/>
        <w:outlineLvl w:val="9"/>
        <w:rPr>
          <w:rFonts w:hint="eastAsia" w:ascii="仿宋" w:hAnsi="仿宋" w:eastAsia="仿宋" w:cs="仿宋"/>
          <w:b/>
          <w:bCs/>
          <w:color w:val="auto"/>
          <w:kern w:val="0"/>
          <w:sz w:val="24"/>
          <w:szCs w:val="24"/>
          <w:highlight w:val="none"/>
          <w:lang w:val="en-US" w:eastAsia="zh-CN" w:bidi="ar"/>
        </w:rPr>
      </w:pPr>
    </w:p>
    <w:p w14:paraId="1D903FDB">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供应商售后服务承诺(必填)</w:t>
      </w:r>
    </w:p>
    <w:p w14:paraId="472D001A">
      <w:pPr>
        <w:jc w:val="center"/>
        <w:outlineLvl w:val="9"/>
        <w:rPr>
          <w:rFonts w:hint="eastAsia" w:ascii="仿宋" w:hAnsi="仿宋" w:eastAsia="仿宋" w:cs="仿宋"/>
          <w:b/>
          <w:bCs/>
          <w:color w:val="auto"/>
          <w:kern w:val="0"/>
          <w:sz w:val="24"/>
          <w:szCs w:val="24"/>
          <w:highlight w:val="none"/>
          <w:lang w:val="en-US" w:eastAsia="zh-CN" w:bidi="ar"/>
        </w:rPr>
      </w:pPr>
    </w:p>
    <w:p w14:paraId="4A76B07A">
      <w:pPr>
        <w:jc w:val="center"/>
        <w:outlineLvl w:val="9"/>
        <w:rPr>
          <w:rFonts w:hint="eastAsia" w:ascii="仿宋" w:hAnsi="仿宋" w:eastAsia="仿宋" w:cs="仿宋"/>
          <w:b/>
          <w:bCs/>
          <w:color w:val="auto"/>
          <w:kern w:val="0"/>
          <w:sz w:val="24"/>
          <w:szCs w:val="24"/>
          <w:highlight w:val="none"/>
          <w:lang w:val="en-US" w:eastAsia="zh-CN" w:bidi="ar"/>
        </w:rPr>
      </w:pPr>
    </w:p>
    <w:p w14:paraId="565F1F14">
      <w:pPr>
        <w:jc w:val="center"/>
        <w:outlineLvl w:val="9"/>
        <w:rPr>
          <w:rFonts w:hint="eastAsia" w:ascii="仿宋" w:hAnsi="仿宋" w:eastAsia="仿宋" w:cs="仿宋"/>
          <w:b/>
          <w:bCs/>
          <w:color w:val="auto"/>
          <w:kern w:val="0"/>
          <w:sz w:val="24"/>
          <w:szCs w:val="24"/>
          <w:highlight w:val="none"/>
          <w:lang w:val="en-US" w:eastAsia="zh-CN" w:bidi="ar"/>
        </w:rPr>
      </w:pPr>
    </w:p>
    <w:p w14:paraId="710CE28E">
      <w:pPr>
        <w:jc w:val="center"/>
        <w:outlineLvl w:val="9"/>
        <w:rPr>
          <w:rFonts w:hint="eastAsia" w:ascii="仿宋" w:hAnsi="仿宋" w:eastAsia="仿宋" w:cs="仿宋"/>
          <w:b/>
          <w:bCs/>
          <w:color w:val="auto"/>
          <w:kern w:val="0"/>
          <w:sz w:val="24"/>
          <w:szCs w:val="24"/>
          <w:highlight w:val="none"/>
          <w:lang w:val="en-US" w:eastAsia="zh-CN" w:bidi="ar"/>
        </w:rPr>
      </w:pPr>
    </w:p>
    <w:p w14:paraId="1A3FF10D">
      <w:pPr>
        <w:spacing w:before="214" w:line="387" w:lineRule="exact"/>
        <w:outlineLvl w:val="9"/>
        <w:rPr>
          <w:rFonts w:hint="eastAsia" w:ascii="仿宋" w:hAnsi="仿宋" w:eastAsia="仿宋" w:cs="仿宋"/>
          <w:color w:val="auto"/>
          <w:spacing w:val="17"/>
          <w:position w:val="1"/>
          <w:sz w:val="24"/>
          <w:szCs w:val="24"/>
          <w:highlight w:val="none"/>
        </w:rPr>
      </w:pPr>
    </w:p>
    <w:p w14:paraId="20C02053">
      <w:pPr>
        <w:pStyle w:val="127"/>
        <w:outlineLvl w:val="9"/>
        <w:rPr>
          <w:rFonts w:hint="eastAsia" w:ascii="仿宋" w:hAnsi="仿宋" w:eastAsia="仿宋" w:cs="仿宋"/>
          <w:b w:val="0"/>
          <w:bCs w:val="0"/>
          <w:color w:val="auto"/>
          <w:kern w:val="0"/>
          <w:sz w:val="24"/>
          <w:szCs w:val="24"/>
          <w:highlight w:val="none"/>
          <w:lang w:bidi="ar"/>
        </w:rPr>
      </w:pPr>
      <w:r>
        <w:rPr>
          <w:rFonts w:hint="eastAsia" w:ascii="仿宋" w:hAnsi="仿宋" w:eastAsia="仿宋" w:cs="仿宋"/>
          <w:color w:val="auto"/>
          <w:spacing w:val="17"/>
          <w:position w:val="1"/>
          <w:sz w:val="24"/>
          <w:szCs w:val="24"/>
          <w:highlight w:val="none"/>
        </w:rPr>
        <w:br w:type="page"/>
      </w:r>
      <w:r>
        <w:rPr>
          <w:rFonts w:hint="eastAsia" w:ascii="仿宋" w:hAnsi="仿宋" w:eastAsia="仿宋" w:cs="仿宋"/>
          <w:b/>
          <w:bCs/>
          <w:color w:val="auto"/>
          <w:kern w:val="0"/>
          <w:sz w:val="24"/>
          <w:szCs w:val="24"/>
          <w:highlight w:val="none"/>
          <w:lang w:val="en-US" w:eastAsia="zh-CN" w:bidi="ar"/>
        </w:rPr>
        <w:t>产品注册证/备案证/如非医疗产品的标签（需体现厂家，型号等）</w:t>
      </w:r>
    </w:p>
    <w:p w14:paraId="227C1384">
      <w:pPr>
        <w:outlineLvl w:val="9"/>
        <w:rPr>
          <w:rFonts w:hint="eastAsia" w:ascii="仿宋" w:hAnsi="仿宋" w:eastAsia="仿宋" w:cs="仿宋"/>
          <w:color w:val="auto"/>
          <w:sz w:val="24"/>
          <w:szCs w:val="24"/>
          <w:highlight w:val="none"/>
        </w:rPr>
      </w:pPr>
    </w:p>
    <w:p w14:paraId="6DFEB10B">
      <w:pPr>
        <w:pStyle w:val="127"/>
        <w:outlineLvl w:val="9"/>
        <w:rPr>
          <w:rFonts w:hint="eastAsia" w:ascii="仿宋" w:hAnsi="仿宋" w:eastAsia="仿宋" w:cs="仿宋"/>
          <w:color w:val="auto"/>
          <w:kern w:val="0"/>
          <w:sz w:val="24"/>
          <w:szCs w:val="24"/>
          <w:highlight w:val="none"/>
          <w:lang w:bidi="ar"/>
        </w:rPr>
      </w:pPr>
    </w:p>
    <w:p w14:paraId="7BA8D4E6">
      <w:pPr>
        <w:outlineLvl w:val="9"/>
        <w:rPr>
          <w:rFonts w:hint="eastAsia" w:ascii="仿宋" w:hAnsi="仿宋" w:eastAsia="仿宋" w:cs="仿宋"/>
          <w:b/>
          <w:bCs/>
          <w:color w:val="auto"/>
          <w:sz w:val="24"/>
          <w:szCs w:val="24"/>
          <w:highlight w:val="none"/>
        </w:rPr>
      </w:pPr>
    </w:p>
    <w:p w14:paraId="1DC34766">
      <w:pPr>
        <w:outlineLvl w:val="9"/>
        <w:rPr>
          <w:rFonts w:hint="eastAsia" w:ascii="仿宋" w:hAnsi="仿宋" w:eastAsia="仿宋" w:cs="仿宋"/>
          <w:color w:val="auto"/>
          <w:sz w:val="24"/>
          <w:szCs w:val="24"/>
          <w:highlight w:val="none"/>
        </w:rPr>
      </w:pPr>
    </w:p>
    <w:p w14:paraId="552E346D">
      <w:pPr>
        <w:outlineLvl w:val="9"/>
        <w:rPr>
          <w:rFonts w:hint="eastAsia" w:ascii="仿宋" w:hAnsi="仿宋" w:eastAsia="仿宋" w:cs="仿宋"/>
          <w:color w:val="auto"/>
          <w:sz w:val="24"/>
          <w:szCs w:val="24"/>
          <w:highlight w:val="none"/>
        </w:rPr>
      </w:pPr>
    </w:p>
    <w:p w14:paraId="284F8ECB">
      <w:pPr>
        <w:outlineLvl w:val="9"/>
        <w:rPr>
          <w:rFonts w:hint="eastAsia" w:ascii="仿宋" w:hAnsi="仿宋" w:eastAsia="仿宋" w:cs="仿宋"/>
          <w:color w:val="auto"/>
          <w:sz w:val="24"/>
          <w:szCs w:val="24"/>
          <w:highlight w:val="none"/>
        </w:rPr>
      </w:pPr>
    </w:p>
    <w:p w14:paraId="49BB497E">
      <w:pPr>
        <w:outlineLvl w:val="9"/>
        <w:rPr>
          <w:rFonts w:hint="eastAsia" w:ascii="仿宋" w:hAnsi="仿宋" w:eastAsia="仿宋" w:cs="仿宋"/>
          <w:color w:val="auto"/>
          <w:sz w:val="24"/>
          <w:szCs w:val="24"/>
          <w:highlight w:val="none"/>
        </w:rPr>
      </w:pPr>
    </w:p>
    <w:p w14:paraId="138E4A11">
      <w:pPr>
        <w:outlineLvl w:val="9"/>
        <w:rPr>
          <w:rFonts w:hint="eastAsia" w:ascii="仿宋" w:hAnsi="仿宋" w:eastAsia="仿宋" w:cs="仿宋"/>
          <w:color w:val="auto"/>
          <w:sz w:val="24"/>
          <w:szCs w:val="24"/>
          <w:highlight w:val="none"/>
        </w:rPr>
      </w:pPr>
    </w:p>
    <w:p w14:paraId="52BF4B1E">
      <w:pPr>
        <w:outlineLvl w:val="9"/>
        <w:rPr>
          <w:rFonts w:hint="eastAsia" w:ascii="仿宋" w:hAnsi="仿宋" w:eastAsia="仿宋" w:cs="仿宋"/>
          <w:color w:val="auto"/>
          <w:sz w:val="24"/>
          <w:szCs w:val="24"/>
          <w:highlight w:val="none"/>
        </w:rPr>
      </w:pPr>
    </w:p>
    <w:p w14:paraId="7C2B2B64">
      <w:pPr>
        <w:outlineLvl w:val="9"/>
        <w:rPr>
          <w:rFonts w:hint="eastAsia" w:ascii="仿宋" w:hAnsi="仿宋" w:eastAsia="仿宋" w:cs="仿宋"/>
          <w:color w:val="auto"/>
          <w:sz w:val="24"/>
          <w:szCs w:val="24"/>
          <w:highlight w:val="none"/>
        </w:rPr>
      </w:pPr>
    </w:p>
    <w:p w14:paraId="4D5E4F17">
      <w:pPr>
        <w:outlineLvl w:val="9"/>
        <w:rPr>
          <w:rFonts w:hint="eastAsia" w:ascii="仿宋" w:hAnsi="仿宋" w:eastAsia="仿宋" w:cs="仿宋"/>
          <w:color w:val="auto"/>
          <w:sz w:val="24"/>
          <w:szCs w:val="24"/>
          <w:highlight w:val="none"/>
        </w:rPr>
      </w:pPr>
    </w:p>
    <w:p w14:paraId="476F5475">
      <w:pPr>
        <w:outlineLvl w:val="9"/>
        <w:rPr>
          <w:rFonts w:hint="eastAsia" w:ascii="仿宋" w:hAnsi="仿宋" w:eastAsia="仿宋" w:cs="仿宋"/>
          <w:color w:val="auto"/>
          <w:sz w:val="24"/>
          <w:szCs w:val="24"/>
          <w:highlight w:val="none"/>
        </w:rPr>
      </w:pPr>
    </w:p>
    <w:p w14:paraId="695CE642">
      <w:pPr>
        <w:outlineLvl w:val="9"/>
        <w:rPr>
          <w:rFonts w:hint="eastAsia" w:ascii="仿宋" w:hAnsi="仿宋" w:eastAsia="仿宋" w:cs="仿宋"/>
          <w:color w:val="auto"/>
          <w:sz w:val="24"/>
          <w:szCs w:val="24"/>
          <w:highlight w:val="none"/>
        </w:rPr>
      </w:pPr>
    </w:p>
    <w:p w14:paraId="41C743A5">
      <w:pPr>
        <w:pStyle w:val="16"/>
        <w:outlineLvl w:val="9"/>
        <w:rPr>
          <w:rFonts w:hint="eastAsia" w:ascii="仿宋" w:hAnsi="仿宋" w:eastAsia="仿宋" w:cs="仿宋"/>
          <w:color w:val="auto"/>
          <w:sz w:val="24"/>
          <w:szCs w:val="24"/>
          <w:highlight w:val="none"/>
        </w:rPr>
      </w:pPr>
    </w:p>
    <w:p w14:paraId="128BBFC7">
      <w:pPr>
        <w:pStyle w:val="127"/>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br w:type="page"/>
      </w:r>
      <w:bookmarkStart w:id="161" w:name="_Toc104379508"/>
      <w:bookmarkStart w:id="162" w:name="_Toc67303667"/>
      <w:bookmarkStart w:id="163" w:name="_Toc10309"/>
      <w:bookmarkStart w:id="164" w:name="_Toc55223015"/>
      <w:bookmarkStart w:id="165" w:name="_Toc59807980"/>
      <w:bookmarkStart w:id="166" w:name="_Toc106369833"/>
      <w:bookmarkStart w:id="167" w:name="_Toc29998"/>
      <w:r>
        <w:rPr>
          <w:rFonts w:hint="eastAsia" w:ascii="仿宋" w:hAnsi="仿宋" w:eastAsia="仿宋" w:cs="仿宋"/>
          <w:b/>
          <w:bCs/>
          <w:color w:val="auto"/>
          <w:kern w:val="0"/>
          <w:sz w:val="24"/>
          <w:szCs w:val="24"/>
          <w:highlight w:val="none"/>
          <w:lang w:val="en-US" w:eastAsia="zh-CN" w:bidi="ar"/>
        </w:rPr>
        <w:t>附：</w:t>
      </w:r>
      <w:bookmarkEnd w:id="161"/>
      <w:bookmarkEnd w:id="162"/>
      <w:bookmarkEnd w:id="163"/>
      <w:bookmarkEnd w:id="164"/>
      <w:bookmarkEnd w:id="165"/>
      <w:bookmarkEnd w:id="166"/>
      <w:bookmarkEnd w:id="167"/>
      <w:r>
        <w:rPr>
          <w:rFonts w:hint="eastAsia" w:ascii="仿宋" w:hAnsi="仿宋" w:eastAsia="仿宋" w:cs="仿宋"/>
          <w:b/>
          <w:bCs/>
          <w:color w:val="auto"/>
          <w:kern w:val="0"/>
          <w:sz w:val="24"/>
          <w:szCs w:val="24"/>
          <w:highlight w:val="none"/>
          <w:lang w:val="en-US" w:eastAsia="zh-CN" w:bidi="ar"/>
        </w:rPr>
        <w:t>全国个体私营经济发展服务网（小微企业名录）网页查询截图</w:t>
      </w:r>
    </w:p>
    <w:p w14:paraId="062D39B3">
      <w:pPr>
        <w:pStyle w:val="127"/>
        <w:outlineLvl w:val="9"/>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查询</w:t>
      </w:r>
      <w:r>
        <w:rPr>
          <w:rFonts w:hint="eastAsia" w:ascii="仿宋" w:hAnsi="仿宋" w:eastAsia="仿宋" w:cs="仿宋"/>
          <w:color w:val="auto"/>
          <w:kern w:val="0"/>
          <w:sz w:val="24"/>
          <w:szCs w:val="24"/>
          <w:highlight w:val="none"/>
          <w:lang w:bidi="ar"/>
        </w:rPr>
        <w:t>网址：</w:t>
      </w:r>
      <w:r>
        <w:rPr>
          <w:rFonts w:hint="eastAsia" w:ascii="仿宋" w:hAnsi="仿宋" w:eastAsia="仿宋" w:cs="仿宋"/>
          <w:color w:val="auto"/>
          <w:kern w:val="0"/>
          <w:sz w:val="24"/>
          <w:szCs w:val="24"/>
          <w:highlight w:val="none"/>
          <w:lang w:bidi="ar"/>
        </w:rPr>
        <w:fldChar w:fldCharType="begin"/>
      </w:r>
      <w:r>
        <w:rPr>
          <w:rFonts w:hint="eastAsia" w:ascii="仿宋" w:hAnsi="仿宋" w:eastAsia="仿宋" w:cs="仿宋"/>
          <w:color w:val="auto"/>
          <w:sz w:val="24"/>
          <w:szCs w:val="24"/>
          <w:highlight w:val="none"/>
        </w:rPr>
        <w:instrText xml:space="preserve"> HYPERLINK "https://xwqy.gsxt.gov.cn/" </w:instrText>
      </w:r>
      <w:r>
        <w:rPr>
          <w:rFonts w:hint="eastAsia" w:ascii="仿宋" w:hAnsi="仿宋" w:eastAsia="仿宋" w:cs="仿宋"/>
          <w:color w:val="auto"/>
          <w:kern w:val="0"/>
          <w:sz w:val="24"/>
          <w:szCs w:val="24"/>
          <w:highlight w:val="none"/>
          <w:lang w:bidi="ar"/>
        </w:rPr>
        <w:fldChar w:fldCharType="separate"/>
      </w:r>
      <w:r>
        <w:rPr>
          <w:rStyle w:val="50"/>
          <w:rFonts w:hint="eastAsia" w:ascii="仿宋" w:hAnsi="仿宋" w:eastAsia="仿宋" w:cs="仿宋"/>
          <w:color w:val="auto"/>
          <w:kern w:val="0"/>
          <w:sz w:val="24"/>
          <w:szCs w:val="24"/>
          <w:highlight w:val="none"/>
          <w:lang w:bidi="ar"/>
        </w:rPr>
        <w:t>https://xwqy.gsxt.gov.cn/</w:t>
      </w:r>
      <w:r>
        <w:rPr>
          <w:rFonts w:hint="eastAsia" w:ascii="仿宋" w:hAnsi="仿宋" w:eastAsia="仿宋" w:cs="仿宋"/>
          <w:color w:val="auto"/>
          <w:kern w:val="0"/>
          <w:sz w:val="24"/>
          <w:szCs w:val="24"/>
          <w:highlight w:val="none"/>
          <w:lang w:bidi="ar"/>
        </w:rPr>
        <w:fldChar w:fldCharType="end"/>
      </w:r>
      <w:r>
        <w:rPr>
          <w:rFonts w:hint="eastAsia" w:ascii="仿宋" w:hAnsi="仿宋" w:eastAsia="仿宋" w:cs="仿宋"/>
          <w:color w:val="auto"/>
          <w:kern w:val="0"/>
          <w:sz w:val="24"/>
          <w:szCs w:val="24"/>
          <w:highlight w:val="none"/>
          <w:lang w:val="en-US" w:eastAsia="zh-CN" w:bidi="ar"/>
        </w:rPr>
        <w:t>）</w:t>
      </w:r>
    </w:p>
    <w:p w14:paraId="6238068F">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（能提供证明材料就按2%计算履约保证金、不提供按5%计算履约保证金）</w:t>
      </w:r>
    </w:p>
    <w:p w14:paraId="312305B5">
      <w:pPr>
        <w:pStyle w:val="127"/>
        <w:jc w:val="left"/>
        <w:outlineLvl w:val="9"/>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粘贴处：</w:t>
      </w:r>
    </w:p>
    <w:p w14:paraId="759C5963">
      <w:pPr>
        <w:pStyle w:val="16"/>
        <w:outlineLvl w:val="9"/>
        <w:rPr>
          <w:rFonts w:hint="eastAsia" w:ascii="仿宋" w:hAnsi="仿宋" w:eastAsia="仿宋" w:cs="仿宋"/>
          <w:color w:val="auto"/>
          <w:sz w:val="24"/>
          <w:szCs w:val="24"/>
          <w:highlight w:val="none"/>
        </w:rPr>
      </w:pPr>
    </w:p>
    <w:p w14:paraId="781C78C6">
      <w:pPr>
        <w:pStyle w:val="1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样张：</w:t>
      </w:r>
    </w:p>
    <w:p w14:paraId="78A36DB5">
      <w:pPr>
        <w:pStyle w:val="127"/>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附：《全国个体私营经济发展服务网（小微企业名录）》网页查询截图</w:t>
      </w:r>
    </w:p>
    <w:p w14:paraId="4FBF7C55">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drawing>
          <wp:inline distT="0" distB="0" distL="114300" distR="114300">
            <wp:extent cx="4819650" cy="3092450"/>
            <wp:effectExtent l="0" t="0" r="11430"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2"/>
                    <a:stretch>
                      <a:fillRect/>
                    </a:stretch>
                  </pic:blipFill>
                  <pic:spPr>
                    <a:xfrm>
                      <a:off x="0" y="0"/>
                      <a:ext cx="4819650" cy="3092450"/>
                    </a:xfrm>
                    <a:prstGeom prst="rect">
                      <a:avLst/>
                    </a:prstGeom>
                    <a:noFill/>
                    <a:ln>
                      <a:noFill/>
                    </a:ln>
                  </pic:spPr>
                </pic:pic>
              </a:graphicData>
            </a:graphic>
          </wp:inline>
        </w:drawing>
      </w:r>
    </w:p>
    <w:p w14:paraId="45AEC9AB">
      <w:pPr>
        <w:pStyle w:val="16"/>
        <w:rPr>
          <w:rFonts w:hint="eastAsia" w:ascii="仿宋" w:hAnsi="仿宋" w:eastAsia="仿宋" w:cs="仿宋"/>
          <w:b/>
          <w:bCs/>
          <w:color w:val="auto"/>
          <w:kern w:val="0"/>
          <w:sz w:val="24"/>
          <w:szCs w:val="24"/>
          <w:highlight w:val="none"/>
          <w:lang w:val="en-US" w:eastAsia="zh-CN" w:bidi="ar"/>
        </w:rPr>
      </w:pPr>
    </w:p>
    <w:p w14:paraId="26CF87EF">
      <w:pPr>
        <w:pStyle w:val="16"/>
        <w:rPr>
          <w:rFonts w:hint="eastAsia" w:ascii="仿宋" w:hAnsi="仿宋" w:eastAsia="仿宋" w:cs="仿宋"/>
          <w:b/>
          <w:bCs/>
          <w:color w:val="auto"/>
          <w:kern w:val="0"/>
          <w:sz w:val="24"/>
          <w:szCs w:val="24"/>
          <w:highlight w:val="none"/>
          <w:lang w:val="en-US" w:eastAsia="zh-CN" w:bidi="ar"/>
        </w:rPr>
      </w:pPr>
    </w:p>
    <w:p w14:paraId="5CCF7CB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drawing>
          <wp:inline distT="0" distB="0" distL="114300" distR="114300">
            <wp:extent cx="4944110" cy="2951480"/>
            <wp:effectExtent l="0" t="0" r="889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3"/>
                    <a:srcRect t="10944"/>
                    <a:stretch>
                      <a:fillRect/>
                    </a:stretch>
                  </pic:blipFill>
                  <pic:spPr>
                    <a:xfrm>
                      <a:off x="0" y="0"/>
                      <a:ext cx="4944110" cy="2951480"/>
                    </a:xfrm>
                    <a:prstGeom prst="rect">
                      <a:avLst/>
                    </a:prstGeom>
                    <a:noFill/>
                    <a:ln>
                      <a:noFill/>
                    </a:ln>
                  </pic:spPr>
                </pic:pic>
              </a:graphicData>
            </a:graphic>
          </wp:inline>
        </w:drawing>
      </w:r>
    </w:p>
    <w:p w14:paraId="6BB44630">
      <w:pPr>
        <w:jc w:val="center"/>
        <w:outlineLvl w:val="9"/>
        <w:rPr>
          <w:rFonts w:hint="eastAsia" w:ascii="仿宋" w:hAnsi="仿宋" w:eastAsia="仿宋" w:cs="仿宋"/>
          <w:b/>
          <w:bCs/>
          <w:color w:val="auto"/>
          <w:kern w:val="0"/>
          <w:sz w:val="24"/>
          <w:szCs w:val="24"/>
          <w:highlight w:val="none"/>
          <w:lang w:val="en-US" w:eastAsia="zh-CN" w:bidi="ar"/>
        </w:rPr>
      </w:pPr>
    </w:p>
    <w:p w14:paraId="381931E1">
      <w:pPr>
        <w:jc w:val="center"/>
        <w:outlineLvl w:val="9"/>
        <w:rPr>
          <w:rFonts w:hint="eastAsia" w:ascii="仿宋" w:hAnsi="仿宋" w:eastAsia="仿宋" w:cs="仿宋"/>
          <w:b/>
          <w:bCs/>
          <w:color w:val="auto"/>
          <w:kern w:val="0"/>
          <w:sz w:val="24"/>
          <w:szCs w:val="24"/>
          <w:highlight w:val="none"/>
          <w:lang w:val="en-US" w:eastAsia="zh-CN" w:bidi="ar"/>
        </w:rPr>
      </w:pPr>
    </w:p>
    <w:p w14:paraId="2481FA03">
      <w:pPr>
        <w:jc w:val="both"/>
        <w:outlineLvl w:val="9"/>
        <w:rPr>
          <w:rFonts w:hint="eastAsia" w:ascii="仿宋" w:hAnsi="仿宋" w:eastAsia="仿宋" w:cs="仿宋"/>
          <w:b/>
          <w:bCs/>
          <w:color w:val="auto"/>
          <w:kern w:val="0"/>
          <w:sz w:val="24"/>
          <w:szCs w:val="24"/>
          <w:highlight w:val="none"/>
          <w:lang w:val="en-US" w:eastAsia="zh-CN" w:bidi="ar"/>
        </w:rPr>
      </w:pPr>
    </w:p>
    <w:p w14:paraId="52B6D4C1">
      <w:pPr>
        <w:jc w:val="center"/>
        <w:outlineLvl w:val="9"/>
        <w:rPr>
          <w:rFonts w:hint="eastAsia" w:ascii="仿宋" w:hAnsi="仿宋" w:eastAsia="仿宋" w:cs="仿宋"/>
          <w:b/>
          <w:bCs/>
          <w:color w:val="auto"/>
          <w:kern w:val="0"/>
          <w:sz w:val="24"/>
          <w:szCs w:val="24"/>
          <w:highlight w:val="none"/>
          <w:lang w:val="en-US" w:eastAsia="zh-CN" w:bidi="ar"/>
        </w:rPr>
      </w:pPr>
    </w:p>
    <w:p w14:paraId="5AEA519F">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履约保证金银行转账或电汇回单</w:t>
      </w:r>
    </w:p>
    <w:p w14:paraId="249A304E">
      <w:pPr>
        <w:jc w:val="center"/>
        <w:outlineLvl w:val="9"/>
        <w:rPr>
          <w:rFonts w:hint="eastAsia" w:ascii="仿宋" w:hAnsi="仿宋" w:eastAsia="仿宋" w:cs="仿宋"/>
          <w:b/>
          <w:bCs/>
          <w:color w:val="auto"/>
          <w:kern w:val="0"/>
          <w:sz w:val="24"/>
          <w:szCs w:val="24"/>
          <w:highlight w:val="none"/>
          <w:lang w:val="en-US" w:eastAsia="zh-CN" w:bidi="ar"/>
        </w:rPr>
      </w:pPr>
    </w:p>
    <w:p w14:paraId="6C02DEC2">
      <w:pPr>
        <w:outlineLvl w:val="9"/>
        <w:rPr>
          <w:rFonts w:hint="eastAsia" w:ascii="仿宋" w:hAnsi="仿宋" w:eastAsia="仿宋" w:cs="仿宋"/>
          <w:color w:val="auto"/>
          <w:sz w:val="24"/>
          <w:szCs w:val="24"/>
          <w:highlight w:val="none"/>
        </w:rPr>
      </w:pPr>
    </w:p>
    <w:p w14:paraId="2E7BEC4A">
      <w:pPr>
        <w:outlineLvl w:val="9"/>
        <w:rPr>
          <w:rFonts w:hint="eastAsia" w:ascii="仿宋" w:hAnsi="仿宋" w:eastAsia="仿宋" w:cs="仿宋"/>
          <w:color w:val="auto"/>
          <w:sz w:val="24"/>
          <w:szCs w:val="24"/>
          <w:highlight w:val="none"/>
        </w:rPr>
      </w:pPr>
    </w:p>
    <w:p w14:paraId="1C77B39E">
      <w:pPr>
        <w:outlineLvl w:val="9"/>
        <w:rPr>
          <w:rFonts w:hint="eastAsia" w:ascii="仿宋" w:hAnsi="仿宋" w:eastAsia="仿宋" w:cs="仿宋"/>
          <w:color w:val="auto"/>
          <w:sz w:val="24"/>
          <w:szCs w:val="24"/>
          <w:highlight w:val="none"/>
        </w:rPr>
      </w:pPr>
    </w:p>
    <w:p w14:paraId="30B8527E">
      <w:pPr>
        <w:jc w:val="center"/>
        <w:outlineLvl w:val="9"/>
        <w:rPr>
          <w:rFonts w:hint="eastAsia" w:ascii="仿宋" w:hAnsi="仿宋" w:eastAsia="仿宋" w:cs="仿宋"/>
          <w:color w:val="auto"/>
          <w:sz w:val="24"/>
          <w:szCs w:val="24"/>
          <w:highlight w:val="none"/>
        </w:rPr>
      </w:pPr>
    </w:p>
    <w:p w14:paraId="7EFC6C30">
      <w:pPr>
        <w:outlineLvl w:val="9"/>
        <w:rPr>
          <w:rFonts w:hint="eastAsia" w:ascii="仿宋" w:hAnsi="仿宋" w:eastAsia="仿宋" w:cs="仿宋"/>
          <w:color w:val="auto"/>
          <w:sz w:val="24"/>
          <w:szCs w:val="24"/>
          <w:highlight w:val="none"/>
        </w:rPr>
      </w:pPr>
    </w:p>
    <w:p w14:paraId="2E1EA68F">
      <w:pPr>
        <w:snapToGrid w:val="0"/>
        <w:spacing w:line="400" w:lineRule="exact"/>
        <w:jc w:val="center"/>
        <w:outlineLvl w:val="9"/>
        <w:rPr>
          <w:rFonts w:hint="eastAsia" w:ascii="仿宋" w:hAnsi="仿宋" w:eastAsia="仿宋" w:cs="仿宋"/>
          <w:b/>
          <w:color w:val="auto"/>
          <w:sz w:val="32"/>
          <w:szCs w:val="32"/>
          <w:highlight w:val="none"/>
        </w:rPr>
      </w:pPr>
    </w:p>
    <w:p w14:paraId="7F7B3B3A">
      <w:pPr>
        <w:pStyle w:val="3"/>
        <w:keepNext w:val="0"/>
        <w:keepLines w:val="0"/>
        <w:jc w:val="center"/>
        <w:rPr>
          <w:rFonts w:hint="eastAsia" w:ascii="仿宋" w:hAnsi="仿宋" w:eastAsia="仿宋" w:cs="仿宋"/>
          <w:color w:val="auto"/>
          <w:highlight w:val="none"/>
        </w:rPr>
      </w:pPr>
      <w:bookmarkStart w:id="168" w:name="_Toc14909"/>
      <w:bookmarkStart w:id="169" w:name="_Toc19686834"/>
      <w:bookmarkStart w:id="170" w:name="_Toc28977"/>
      <w:r>
        <w:rPr>
          <w:rFonts w:hint="eastAsia" w:ascii="仿宋" w:hAnsi="仿宋" w:eastAsia="仿宋" w:cs="仿宋"/>
          <w:color w:val="auto"/>
          <w:highlight w:val="none"/>
        </w:rPr>
        <w:t>第六章　投标文件格式</w:t>
      </w:r>
      <w:bookmarkEnd w:id="168"/>
      <w:bookmarkEnd w:id="169"/>
      <w:bookmarkEnd w:id="170"/>
    </w:p>
    <w:p w14:paraId="4F14CDE1">
      <w:pPr>
        <w:snapToGrid w:val="0"/>
        <w:spacing w:before="120" w:beforeLines="50" w:after="50"/>
        <w:jc w:val="center"/>
        <w:rPr>
          <w:rFonts w:hint="eastAsia" w:ascii="仿宋" w:hAnsi="仿宋" w:eastAsia="仿宋" w:cs="仿宋"/>
          <w:bCs/>
          <w:color w:val="auto"/>
          <w:highlight w:val="none"/>
        </w:rPr>
      </w:pPr>
    </w:p>
    <w:p w14:paraId="7B98D6BA">
      <w:pPr>
        <w:snapToGrid w:val="0"/>
        <w:spacing w:before="120" w:beforeLines="50" w:after="50"/>
        <w:jc w:val="center"/>
        <w:rPr>
          <w:rFonts w:hint="eastAsia" w:ascii="仿宋" w:hAnsi="仿宋" w:eastAsia="仿宋" w:cs="仿宋"/>
          <w:bCs/>
          <w:color w:val="auto"/>
          <w:sz w:val="24"/>
          <w:szCs w:val="20"/>
          <w:highlight w:val="none"/>
        </w:rPr>
      </w:pPr>
    </w:p>
    <w:p w14:paraId="3E1DC612">
      <w:pPr>
        <w:snapToGrid w:val="0"/>
        <w:spacing w:before="120" w:beforeLines="50" w:after="50"/>
        <w:jc w:val="center"/>
        <w:rPr>
          <w:rFonts w:hint="eastAsia" w:ascii="仿宋" w:hAnsi="仿宋" w:eastAsia="仿宋" w:cs="仿宋"/>
          <w:bCs/>
          <w:color w:val="auto"/>
          <w:sz w:val="24"/>
          <w:szCs w:val="20"/>
          <w:highlight w:val="none"/>
        </w:rPr>
      </w:pPr>
    </w:p>
    <w:p w14:paraId="3DD79C30">
      <w:pPr>
        <w:snapToGrid w:val="0"/>
        <w:spacing w:before="120" w:beforeLines="50" w:after="50"/>
        <w:jc w:val="center"/>
        <w:rPr>
          <w:rFonts w:hint="eastAsia" w:ascii="仿宋" w:hAnsi="仿宋" w:eastAsia="仿宋" w:cs="仿宋"/>
          <w:bCs/>
          <w:color w:val="auto"/>
          <w:sz w:val="24"/>
          <w:szCs w:val="20"/>
          <w:highlight w:val="none"/>
        </w:rPr>
      </w:pPr>
    </w:p>
    <w:p w14:paraId="1E2EDC59">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21B4C40D">
      <w:pPr>
        <w:snapToGrid w:val="0"/>
        <w:spacing w:before="120" w:beforeLines="50" w:after="50"/>
        <w:jc w:val="center"/>
        <w:rPr>
          <w:rFonts w:hint="eastAsia" w:ascii="仿宋" w:hAnsi="仿宋" w:eastAsia="仿宋" w:cs="仿宋"/>
          <w:bCs/>
          <w:color w:val="auto"/>
          <w:sz w:val="24"/>
          <w:szCs w:val="20"/>
          <w:highlight w:val="none"/>
        </w:rPr>
      </w:pPr>
    </w:p>
    <w:p w14:paraId="1C7472A4">
      <w:pPr>
        <w:snapToGrid w:val="0"/>
        <w:spacing w:before="120" w:beforeLines="50" w:after="50"/>
        <w:jc w:val="center"/>
        <w:rPr>
          <w:rFonts w:hint="eastAsia" w:ascii="仿宋" w:hAnsi="仿宋" w:eastAsia="仿宋" w:cs="仿宋"/>
          <w:bCs/>
          <w:color w:val="auto"/>
          <w:sz w:val="24"/>
          <w:szCs w:val="20"/>
          <w:highlight w:val="none"/>
        </w:rPr>
      </w:pPr>
    </w:p>
    <w:p w14:paraId="58B2BE68">
      <w:pPr>
        <w:snapToGrid w:val="0"/>
        <w:spacing w:before="120" w:beforeLines="50" w:after="50"/>
        <w:jc w:val="center"/>
        <w:rPr>
          <w:rFonts w:hint="eastAsia" w:ascii="仿宋" w:hAnsi="仿宋" w:eastAsia="仿宋" w:cs="仿宋"/>
          <w:bCs/>
          <w:color w:val="auto"/>
          <w:sz w:val="24"/>
          <w:szCs w:val="20"/>
          <w:highlight w:val="none"/>
        </w:rPr>
      </w:pPr>
    </w:p>
    <w:p w14:paraId="3583CC55">
      <w:pPr>
        <w:snapToGrid w:val="0"/>
        <w:spacing w:before="120" w:beforeLines="50" w:after="50"/>
        <w:jc w:val="center"/>
        <w:rPr>
          <w:rFonts w:hint="eastAsia" w:ascii="仿宋" w:hAnsi="仿宋" w:eastAsia="仿宋" w:cs="仿宋"/>
          <w:bCs/>
          <w:color w:val="auto"/>
          <w:sz w:val="24"/>
          <w:szCs w:val="20"/>
          <w:highlight w:val="none"/>
        </w:rPr>
      </w:pPr>
    </w:p>
    <w:p w14:paraId="35B35C02">
      <w:pPr>
        <w:snapToGrid w:val="0"/>
        <w:spacing w:before="120" w:beforeLines="50" w:after="50"/>
        <w:jc w:val="center"/>
        <w:rPr>
          <w:rFonts w:hint="eastAsia" w:ascii="仿宋" w:hAnsi="仿宋" w:eastAsia="仿宋" w:cs="仿宋"/>
          <w:bCs/>
          <w:color w:val="auto"/>
          <w:sz w:val="24"/>
          <w:szCs w:val="20"/>
          <w:highlight w:val="none"/>
        </w:rPr>
      </w:pPr>
    </w:p>
    <w:p w14:paraId="365910E7">
      <w:pPr>
        <w:snapToGrid w:val="0"/>
        <w:spacing w:before="120" w:beforeLines="50" w:after="50"/>
        <w:jc w:val="center"/>
        <w:rPr>
          <w:rFonts w:hint="eastAsia" w:ascii="仿宋" w:hAnsi="仿宋" w:eastAsia="仿宋" w:cs="仿宋"/>
          <w:bCs/>
          <w:color w:val="auto"/>
          <w:sz w:val="24"/>
          <w:szCs w:val="20"/>
          <w:highlight w:val="none"/>
        </w:rPr>
      </w:pPr>
    </w:p>
    <w:p w14:paraId="4F649249">
      <w:pPr>
        <w:snapToGrid w:val="0"/>
        <w:spacing w:before="120" w:beforeLines="50" w:after="50"/>
        <w:jc w:val="center"/>
        <w:rPr>
          <w:rFonts w:hint="eastAsia" w:ascii="仿宋" w:hAnsi="仿宋" w:eastAsia="仿宋" w:cs="仿宋"/>
          <w:bCs/>
          <w:color w:val="auto"/>
          <w:sz w:val="24"/>
          <w:szCs w:val="20"/>
          <w:highlight w:val="none"/>
        </w:rPr>
      </w:pPr>
    </w:p>
    <w:p w14:paraId="04E8ACFA">
      <w:pPr>
        <w:snapToGrid w:val="0"/>
        <w:spacing w:before="120" w:beforeLines="50" w:after="50"/>
        <w:jc w:val="center"/>
        <w:rPr>
          <w:rFonts w:hint="eastAsia" w:ascii="仿宋" w:hAnsi="仿宋" w:eastAsia="仿宋" w:cs="仿宋"/>
          <w:bCs/>
          <w:color w:val="auto"/>
          <w:sz w:val="24"/>
          <w:szCs w:val="20"/>
          <w:highlight w:val="none"/>
        </w:rPr>
      </w:pPr>
    </w:p>
    <w:p w14:paraId="445CADC9">
      <w:pPr>
        <w:snapToGrid w:val="0"/>
        <w:spacing w:before="120" w:beforeLines="50" w:after="50"/>
        <w:jc w:val="center"/>
        <w:rPr>
          <w:rFonts w:hint="eastAsia" w:ascii="仿宋" w:hAnsi="仿宋" w:eastAsia="仿宋" w:cs="仿宋"/>
          <w:bCs/>
          <w:color w:val="auto"/>
          <w:sz w:val="24"/>
          <w:szCs w:val="20"/>
          <w:highlight w:val="none"/>
        </w:rPr>
      </w:pPr>
    </w:p>
    <w:p w14:paraId="43431E0E">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16FCF51B">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4ECFFFDD">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76FE5EA">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469704E2">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34FA4E64">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02D2FC04">
      <w:pPr>
        <w:snapToGrid w:val="0"/>
        <w:spacing w:before="120" w:beforeLines="50" w:after="50"/>
        <w:jc w:val="center"/>
        <w:rPr>
          <w:rFonts w:hint="eastAsia" w:ascii="仿宋" w:hAnsi="仿宋" w:eastAsia="仿宋" w:cs="仿宋"/>
          <w:bCs/>
          <w:color w:val="auto"/>
          <w:sz w:val="24"/>
          <w:highlight w:val="none"/>
        </w:rPr>
      </w:pPr>
      <w:r>
        <w:rPr>
          <w:rFonts w:hint="eastAsia" w:ascii="仿宋" w:hAnsi="仿宋" w:eastAsia="仿宋" w:cs="仿宋"/>
          <w:bCs/>
          <w:color w:val="auto"/>
          <w:sz w:val="24"/>
          <w:szCs w:val="20"/>
          <w:highlight w:val="none"/>
        </w:rPr>
        <w:t>投标截止时间前不得启封</w:t>
      </w:r>
    </w:p>
    <w:p w14:paraId="6A26C76A">
      <w:pPr>
        <w:snapToGrid w:val="0"/>
        <w:spacing w:before="120" w:beforeLines="50" w:after="50"/>
        <w:jc w:val="center"/>
        <w:rPr>
          <w:rFonts w:hint="eastAsia" w:ascii="仿宋" w:hAnsi="仿宋" w:eastAsia="仿宋" w:cs="仿宋"/>
          <w:color w:val="auto"/>
          <w:highlight w:val="none"/>
        </w:rPr>
      </w:pPr>
      <w:r>
        <w:rPr>
          <w:rFonts w:hint="eastAsia" w:ascii="仿宋" w:hAnsi="仿宋" w:eastAsia="仿宋" w:cs="仿宋"/>
          <w:bCs/>
          <w:color w:val="auto"/>
          <w:sz w:val="24"/>
          <w:highlight w:val="none"/>
        </w:rPr>
        <w:t>年    月    日</w:t>
      </w:r>
      <w:r>
        <w:rPr>
          <w:rFonts w:hint="eastAsia" w:ascii="仿宋" w:hAnsi="仿宋" w:eastAsia="仿宋" w:cs="仿宋"/>
          <w:color w:val="auto"/>
          <w:highlight w:val="none"/>
        </w:rPr>
        <w:br w:type="page"/>
      </w:r>
    </w:p>
    <w:p w14:paraId="7C6970D3">
      <w:pPr>
        <w:pStyle w:val="4"/>
        <w:keepNext w:val="0"/>
        <w:keepLines w:val="0"/>
        <w:spacing w:line="415" w:lineRule="auto"/>
        <w:jc w:val="center"/>
        <w:rPr>
          <w:rFonts w:hint="eastAsia" w:ascii="仿宋" w:hAnsi="仿宋" w:eastAsia="仿宋" w:cs="仿宋"/>
          <w:color w:val="auto"/>
          <w:highlight w:val="none"/>
        </w:rPr>
      </w:pPr>
      <w:bookmarkStart w:id="171" w:name="_Toc19686836"/>
      <w:bookmarkStart w:id="172" w:name="_Toc254970698"/>
      <w:bookmarkStart w:id="173" w:name="_Toc254970557"/>
      <w:r>
        <w:rPr>
          <w:rFonts w:hint="eastAsia" w:ascii="仿宋" w:hAnsi="仿宋" w:eastAsia="仿宋" w:cs="仿宋"/>
          <w:color w:val="auto"/>
          <w:highlight w:val="none"/>
        </w:rPr>
        <w:t>投标文件格式</w:t>
      </w:r>
      <w:bookmarkEnd w:id="171"/>
    </w:p>
    <w:p w14:paraId="0CC87B30">
      <w:pPr>
        <w:snapToGrid w:val="0"/>
        <w:spacing w:before="120" w:beforeLines="50" w:after="50" w:line="360" w:lineRule="auto"/>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投标文件封面格式：</w:t>
      </w:r>
    </w:p>
    <w:p w14:paraId="056519DC">
      <w:pPr>
        <w:snapToGrid w:val="0"/>
        <w:spacing w:before="120" w:beforeLines="50" w:after="50" w:line="400" w:lineRule="exact"/>
        <w:jc w:val="right"/>
        <w:rPr>
          <w:rFonts w:hint="eastAsia" w:ascii="仿宋" w:hAnsi="仿宋" w:eastAsia="仿宋" w:cs="仿宋"/>
          <w:b/>
          <w:bCs/>
          <w:color w:val="auto"/>
          <w:sz w:val="32"/>
          <w:szCs w:val="20"/>
          <w:highlight w:val="none"/>
        </w:rPr>
      </w:pPr>
      <w:r>
        <w:rPr>
          <w:rFonts w:hint="eastAsia" w:ascii="仿宋" w:hAnsi="仿宋" w:eastAsia="仿宋" w:cs="仿宋"/>
          <w:color w:val="auto"/>
          <w:sz w:val="24"/>
          <w:highlight w:val="none"/>
        </w:rPr>
        <w:t xml:space="preserve">                                                   </w:t>
      </w:r>
      <w:bookmarkStart w:id="174" w:name="_Hlk114737731"/>
      <w:r>
        <w:rPr>
          <w:rFonts w:hint="eastAsia" w:ascii="仿宋" w:hAnsi="仿宋" w:eastAsia="仿宋" w:cs="仿宋"/>
          <w:color w:val="auto"/>
          <w:sz w:val="24"/>
          <w:highlight w:val="none"/>
        </w:rPr>
        <w:t xml:space="preserve"> </w:t>
      </w:r>
      <w:r>
        <w:rPr>
          <w:rFonts w:hint="eastAsia" w:ascii="仿宋" w:hAnsi="仿宋" w:eastAsia="仿宋" w:cs="仿宋"/>
          <w:b/>
          <w:bCs/>
          <w:color w:val="auto"/>
          <w:highlight w:val="none"/>
        </w:rPr>
        <w:t>全流程电子标文件</w:t>
      </w:r>
      <w:bookmarkEnd w:id="174"/>
    </w:p>
    <w:p w14:paraId="6AA85F4A">
      <w:pPr>
        <w:snapToGrid w:val="0"/>
        <w:spacing w:before="120" w:beforeLines="50" w:after="50" w:line="400" w:lineRule="exact"/>
        <w:jc w:val="center"/>
        <w:rPr>
          <w:rFonts w:hint="eastAsia" w:ascii="仿宋" w:hAnsi="仿宋" w:eastAsia="仿宋" w:cs="仿宋"/>
          <w:bCs/>
          <w:color w:val="auto"/>
          <w:sz w:val="24"/>
          <w:szCs w:val="20"/>
          <w:highlight w:val="none"/>
        </w:rPr>
      </w:pPr>
    </w:p>
    <w:p w14:paraId="52318B9B">
      <w:pPr>
        <w:snapToGrid w:val="0"/>
        <w:spacing w:before="120" w:beforeLines="50" w:after="50" w:line="400" w:lineRule="exact"/>
        <w:jc w:val="center"/>
        <w:rPr>
          <w:rFonts w:hint="eastAsia" w:ascii="仿宋" w:hAnsi="仿宋" w:eastAsia="仿宋" w:cs="仿宋"/>
          <w:bCs/>
          <w:color w:val="auto"/>
          <w:sz w:val="24"/>
          <w:szCs w:val="20"/>
          <w:highlight w:val="none"/>
        </w:rPr>
      </w:pPr>
    </w:p>
    <w:p w14:paraId="0C25E118">
      <w:pPr>
        <w:snapToGrid w:val="0"/>
        <w:spacing w:before="120" w:beforeLines="50" w:after="50" w:line="400" w:lineRule="exact"/>
        <w:jc w:val="center"/>
        <w:rPr>
          <w:rFonts w:hint="eastAsia" w:ascii="仿宋" w:hAnsi="仿宋" w:eastAsia="仿宋" w:cs="仿宋"/>
          <w:bCs/>
          <w:color w:val="auto"/>
          <w:sz w:val="24"/>
          <w:szCs w:val="20"/>
          <w:highlight w:val="none"/>
        </w:rPr>
      </w:pPr>
    </w:p>
    <w:p w14:paraId="7BB92BD4">
      <w:pPr>
        <w:snapToGrid w:val="0"/>
        <w:spacing w:before="120" w:beforeLines="50" w:after="50" w:line="400" w:lineRule="exact"/>
        <w:jc w:val="center"/>
        <w:rPr>
          <w:rFonts w:hint="eastAsia" w:ascii="仿宋" w:hAnsi="仿宋" w:eastAsia="仿宋" w:cs="仿宋"/>
          <w:bCs/>
          <w:color w:val="auto"/>
          <w:sz w:val="24"/>
          <w:szCs w:val="20"/>
          <w:highlight w:val="none"/>
        </w:rPr>
      </w:pPr>
    </w:p>
    <w:p w14:paraId="4206369A">
      <w:pPr>
        <w:snapToGrid w:val="0"/>
        <w:spacing w:before="120" w:beforeLines="50" w:after="50" w:line="400" w:lineRule="exact"/>
        <w:jc w:val="center"/>
        <w:rPr>
          <w:rFonts w:hint="eastAsia" w:ascii="仿宋" w:hAnsi="仿宋" w:eastAsia="仿宋" w:cs="仿宋"/>
          <w:bCs/>
          <w:color w:val="auto"/>
          <w:sz w:val="24"/>
          <w:szCs w:val="20"/>
          <w:highlight w:val="none"/>
        </w:rPr>
      </w:pPr>
    </w:p>
    <w:p w14:paraId="4B856C3C">
      <w:pPr>
        <w:snapToGrid w:val="0"/>
        <w:spacing w:before="120" w:beforeLines="50" w:after="50" w:line="400" w:lineRule="exact"/>
        <w:jc w:val="center"/>
        <w:rPr>
          <w:rFonts w:hint="eastAsia" w:ascii="仿宋" w:hAnsi="仿宋" w:eastAsia="仿宋" w:cs="仿宋"/>
          <w:bCs/>
          <w:color w:val="auto"/>
          <w:sz w:val="24"/>
          <w:szCs w:val="20"/>
          <w:highlight w:val="none"/>
        </w:rPr>
      </w:pPr>
    </w:p>
    <w:p w14:paraId="2D7BF573">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0D64895D">
      <w:pPr>
        <w:snapToGrid w:val="0"/>
        <w:spacing w:before="120" w:beforeLines="50" w:after="50" w:line="400" w:lineRule="exact"/>
        <w:jc w:val="center"/>
        <w:rPr>
          <w:rFonts w:hint="eastAsia" w:ascii="仿宋" w:hAnsi="仿宋" w:eastAsia="仿宋" w:cs="仿宋"/>
          <w:bCs/>
          <w:color w:val="auto"/>
          <w:sz w:val="24"/>
          <w:szCs w:val="20"/>
          <w:highlight w:val="none"/>
        </w:rPr>
      </w:pPr>
    </w:p>
    <w:p w14:paraId="2A92AEF8">
      <w:pPr>
        <w:snapToGrid w:val="0"/>
        <w:spacing w:before="120" w:beforeLines="50" w:after="50" w:line="400" w:lineRule="exact"/>
        <w:jc w:val="center"/>
        <w:rPr>
          <w:rFonts w:hint="eastAsia" w:ascii="仿宋" w:hAnsi="仿宋" w:eastAsia="仿宋" w:cs="仿宋"/>
          <w:bCs/>
          <w:color w:val="auto"/>
          <w:sz w:val="24"/>
          <w:szCs w:val="20"/>
          <w:highlight w:val="none"/>
        </w:rPr>
      </w:pPr>
    </w:p>
    <w:p w14:paraId="75D0F936">
      <w:pPr>
        <w:snapToGrid w:val="0"/>
        <w:spacing w:before="120" w:beforeLines="50" w:after="50" w:line="400" w:lineRule="exact"/>
        <w:jc w:val="center"/>
        <w:rPr>
          <w:rFonts w:hint="eastAsia" w:ascii="仿宋" w:hAnsi="仿宋" w:eastAsia="仿宋" w:cs="仿宋"/>
          <w:bCs/>
          <w:color w:val="auto"/>
          <w:sz w:val="24"/>
          <w:szCs w:val="20"/>
          <w:highlight w:val="none"/>
        </w:rPr>
      </w:pPr>
    </w:p>
    <w:p w14:paraId="475B6117">
      <w:pPr>
        <w:snapToGrid w:val="0"/>
        <w:spacing w:before="120" w:beforeLines="50" w:after="50" w:line="400" w:lineRule="exact"/>
        <w:jc w:val="center"/>
        <w:rPr>
          <w:rFonts w:hint="eastAsia" w:ascii="仿宋" w:hAnsi="仿宋" w:eastAsia="仿宋" w:cs="仿宋"/>
          <w:bCs/>
          <w:color w:val="auto"/>
          <w:sz w:val="24"/>
          <w:szCs w:val="20"/>
          <w:highlight w:val="none"/>
        </w:rPr>
      </w:pPr>
    </w:p>
    <w:p w14:paraId="3BF4D829">
      <w:pPr>
        <w:snapToGrid w:val="0"/>
        <w:spacing w:before="120" w:beforeLines="50" w:after="50" w:line="400" w:lineRule="exact"/>
        <w:jc w:val="center"/>
        <w:rPr>
          <w:rFonts w:hint="eastAsia" w:ascii="仿宋" w:hAnsi="仿宋" w:eastAsia="仿宋" w:cs="仿宋"/>
          <w:bCs/>
          <w:color w:val="auto"/>
          <w:sz w:val="24"/>
          <w:szCs w:val="20"/>
          <w:highlight w:val="none"/>
        </w:rPr>
      </w:pPr>
    </w:p>
    <w:p w14:paraId="202EFB6B">
      <w:pPr>
        <w:snapToGrid w:val="0"/>
        <w:spacing w:before="120" w:beforeLines="50" w:after="50" w:line="400" w:lineRule="exact"/>
        <w:jc w:val="center"/>
        <w:rPr>
          <w:rFonts w:hint="eastAsia" w:ascii="仿宋" w:hAnsi="仿宋" w:eastAsia="仿宋" w:cs="仿宋"/>
          <w:bCs/>
          <w:color w:val="auto"/>
          <w:sz w:val="24"/>
          <w:szCs w:val="20"/>
          <w:highlight w:val="none"/>
        </w:rPr>
      </w:pPr>
    </w:p>
    <w:p w14:paraId="6BA1F6F3">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7B42F081">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77FCB97E">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分    标：</w:t>
      </w:r>
      <w:r>
        <w:rPr>
          <w:rFonts w:hint="eastAsia" w:ascii="仿宋" w:hAnsi="仿宋" w:eastAsia="仿宋" w:cs="仿宋"/>
          <w:b/>
          <w:bCs/>
          <w:color w:val="auto"/>
          <w:sz w:val="28"/>
          <w:szCs w:val="28"/>
          <w:highlight w:val="none"/>
          <w:u w:val="single"/>
        </w:rPr>
        <w:t xml:space="preserve">                                  </w:t>
      </w:r>
    </w:p>
    <w:p w14:paraId="43B737E1">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8744650">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5412E7BB">
      <w:pPr>
        <w:pStyle w:val="6"/>
        <w:snapToGrid w:val="0"/>
        <w:spacing w:before="50" w:after="50" w:line="400" w:lineRule="exact"/>
        <w:ind w:firstLine="960" w:firstLineChars="400"/>
        <w:rPr>
          <w:rFonts w:hint="eastAsia" w:ascii="仿宋" w:hAnsi="仿宋" w:eastAsia="仿宋" w:cs="仿宋"/>
          <w:bCs/>
          <w:color w:val="auto"/>
          <w:sz w:val="24"/>
          <w:szCs w:val="24"/>
          <w:highlight w:val="none"/>
        </w:rPr>
      </w:pPr>
    </w:p>
    <w:p w14:paraId="2AB2DF4F">
      <w:pPr>
        <w:snapToGrid w:val="0"/>
        <w:spacing w:before="120" w:beforeLines="50" w:after="50" w:line="400" w:lineRule="exact"/>
        <w:rPr>
          <w:rFonts w:hint="eastAsia" w:ascii="仿宋" w:hAnsi="仿宋" w:eastAsia="仿宋" w:cs="仿宋"/>
          <w:b/>
          <w:color w:val="auto"/>
          <w:sz w:val="30"/>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年   月   日</w:t>
      </w:r>
    </w:p>
    <w:p w14:paraId="4EF5564E">
      <w:pPr>
        <w:snapToGrid w:val="0"/>
        <w:spacing w:before="120" w:beforeLines="50" w:after="50" w:line="360" w:lineRule="auto"/>
        <w:jc w:val="center"/>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4"/>
          <w:highlight w:val="none"/>
        </w:rPr>
        <w:t>投标文件目录</w:t>
      </w:r>
    </w:p>
    <w:p w14:paraId="35963CD7">
      <w:pPr>
        <w:snapToGrid w:val="0"/>
        <w:spacing w:before="5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注：投标文件目录根据招标文件规定及投标人提供的材料自行编写目录（部分格式后附）。</w:t>
      </w:r>
    </w:p>
    <w:p w14:paraId="356DDE26">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投标函格式：</w:t>
      </w:r>
    </w:p>
    <w:p w14:paraId="0B6AAB76">
      <w:pPr>
        <w:snapToGrid w:val="0"/>
        <w:spacing w:before="120" w:beforeLines="50" w:after="5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 标 函</w:t>
      </w:r>
    </w:p>
    <w:p w14:paraId="42760C8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51B59F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_____     _</w:t>
      </w:r>
      <w:r>
        <w:rPr>
          <w:rFonts w:hint="eastAsia" w:ascii="仿宋" w:hAnsi="仿宋" w:eastAsia="仿宋" w:cs="仿宋"/>
          <w:color w:val="auto"/>
          <w:sz w:val="24"/>
          <w:highlight w:val="none"/>
        </w:rPr>
        <w:t>_）的招标公告，签字代表______</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_______                  __</w:t>
      </w:r>
      <w:r>
        <w:rPr>
          <w:rFonts w:hint="eastAsia" w:ascii="仿宋" w:hAnsi="仿宋" w:eastAsia="仿宋" w:cs="仿宋"/>
          <w:color w:val="auto"/>
          <w:sz w:val="24"/>
          <w:highlight w:val="none"/>
        </w:rPr>
        <w:t>（投标人名称）提交投标文件。</w:t>
      </w:r>
    </w:p>
    <w:p w14:paraId="7CF2233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16AB13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60ACC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71A8CBF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3.我方承诺投标文件的投标有效期与招标文件第三章投标人须知前附表中要求的投标有效期一致。</w:t>
      </w:r>
    </w:p>
    <w:p w14:paraId="50F5E8E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6373E43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0150C2D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6F16DE1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7.如中标，本投标文件至本项目合同履行完毕止均保持有效，我方将按“招标文件”及政府采购法律、法规的规定履行合同责任和义务，并承诺不分包及转包他人。</w:t>
      </w:r>
    </w:p>
    <w:p w14:paraId="74A15A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50C05B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0F14E6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C6614A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5D1209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9.与本投标有关的一切正式往来信函请寄：</w:t>
      </w:r>
    </w:p>
    <w:p w14:paraId="6DA380B2">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6871C50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284E725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685AB17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85B36A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法定代表人或者委托代理人签字:___________ </w:t>
      </w:r>
    </w:p>
    <w:p w14:paraId="4DC14023">
      <w:pPr>
        <w:pStyle w:val="23"/>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投标人（盖公章或电子签章）：</w:t>
      </w:r>
    </w:p>
    <w:p w14:paraId="4ECF589F">
      <w:pPr>
        <w:pStyle w:val="23"/>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F503E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color w:val="auto"/>
          <w:highlight w:val="none"/>
          <w:u w:val="single"/>
        </w:rPr>
        <w:br w:type="page"/>
      </w:r>
      <w:r>
        <w:rPr>
          <w:rFonts w:hint="eastAsia" w:ascii="仿宋" w:hAnsi="仿宋" w:eastAsia="仿宋" w:cs="仿宋"/>
          <w:b/>
          <w:color w:val="auto"/>
          <w:sz w:val="24"/>
          <w:highlight w:val="none"/>
        </w:rPr>
        <w:t>开标一览表（货物类格式）</w:t>
      </w:r>
    </w:p>
    <w:p w14:paraId="139E726D">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开标一览表</w:t>
      </w:r>
    </w:p>
    <w:p w14:paraId="50E1268E">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0D7C7D2">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317"/>
        <w:gridCol w:w="873"/>
        <w:gridCol w:w="2187"/>
        <w:gridCol w:w="1018"/>
        <w:gridCol w:w="2417"/>
      </w:tblGrid>
      <w:tr w14:paraId="3B8C9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9C62B3E">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4D91718C">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512" w:type="pct"/>
            <w:tcBorders>
              <w:top w:val="single" w:color="auto" w:sz="4" w:space="0"/>
              <w:left w:val="single" w:color="auto" w:sz="4" w:space="0"/>
              <w:bottom w:val="single" w:color="auto" w:sz="4" w:space="0"/>
              <w:right w:val="single" w:color="auto" w:sz="4" w:space="0"/>
            </w:tcBorders>
            <w:vAlign w:val="center"/>
          </w:tcPr>
          <w:p w14:paraId="099C317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282" w:type="pct"/>
            <w:tcBorders>
              <w:top w:val="single" w:color="auto" w:sz="4" w:space="0"/>
              <w:left w:val="single" w:color="auto" w:sz="4" w:space="0"/>
              <w:bottom w:val="single" w:color="auto" w:sz="4" w:space="0"/>
              <w:right w:val="single" w:color="auto" w:sz="4" w:space="0"/>
            </w:tcBorders>
            <w:vAlign w:val="center"/>
          </w:tcPr>
          <w:p w14:paraId="659A6E60">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数量及单位①</w:t>
            </w:r>
          </w:p>
        </w:tc>
        <w:tc>
          <w:tcPr>
            <w:tcW w:w="597" w:type="pct"/>
            <w:tcBorders>
              <w:top w:val="single" w:color="auto" w:sz="4" w:space="0"/>
              <w:left w:val="single" w:color="auto" w:sz="4" w:space="0"/>
              <w:bottom w:val="single" w:color="auto" w:sz="4" w:space="0"/>
              <w:right w:val="single" w:color="auto" w:sz="4" w:space="0"/>
            </w:tcBorders>
            <w:vAlign w:val="center"/>
          </w:tcPr>
          <w:p w14:paraId="14CBEC3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单价②</w:t>
            </w:r>
          </w:p>
        </w:tc>
        <w:tc>
          <w:tcPr>
            <w:tcW w:w="1417" w:type="pct"/>
            <w:tcBorders>
              <w:top w:val="single" w:color="auto" w:sz="4" w:space="0"/>
              <w:left w:val="single" w:color="auto" w:sz="4" w:space="0"/>
              <w:bottom w:val="single" w:color="auto" w:sz="4" w:space="0"/>
              <w:right w:val="single" w:color="auto" w:sz="4" w:space="0"/>
            </w:tcBorders>
            <w:vAlign w:val="center"/>
          </w:tcPr>
          <w:p w14:paraId="61B0DB67">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投标报价③=①×②</w:t>
            </w:r>
          </w:p>
        </w:tc>
      </w:tr>
      <w:tr w14:paraId="18958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7D74004">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772" w:type="pct"/>
            <w:tcBorders>
              <w:top w:val="single" w:color="auto" w:sz="4" w:space="0"/>
              <w:left w:val="single" w:color="auto" w:sz="4" w:space="0"/>
              <w:bottom w:val="single" w:color="auto" w:sz="4" w:space="0"/>
              <w:right w:val="single" w:color="auto" w:sz="4" w:space="0"/>
            </w:tcBorders>
            <w:vAlign w:val="center"/>
          </w:tcPr>
          <w:p w14:paraId="25332FB7">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5BF88D23">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6E35193F">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B9BBBC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7721D0B">
            <w:pPr>
              <w:snapToGrid w:val="0"/>
              <w:spacing w:line="360" w:lineRule="exact"/>
              <w:rPr>
                <w:rFonts w:hint="eastAsia" w:ascii="仿宋" w:hAnsi="仿宋" w:eastAsia="仿宋" w:cs="仿宋"/>
                <w:color w:val="auto"/>
                <w:sz w:val="24"/>
                <w:highlight w:val="none"/>
              </w:rPr>
            </w:pPr>
          </w:p>
        </w:tc>
      </w:tr>
      <w:tr w14:paraId="308FF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F9D7FD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772" w:type="pct"/>
            <w:tcBorders>
              <w:top w:val="single" w:color="auto" w:sz="4" w:space="0"/>
              <w:left w:val="single" w:color="auto" w:sz="4" w:space="0"/>
              <w:bottom w:val="single" w:color="auto" w:sz="4" w:space="0"/>
              <w:right w:val="single" w:color="auto" w:sz="4" w:space="0"/>
            </w:tcBorders>
            <w:vAlign w:val="center"/>
          </w:tcPr>
          <w:p w14:paraId="52028868">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70E403AE">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424B006B">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600C44D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1AE389FF">
            <w:pPr>
              <w:snapToGrid w:val="0"/>
              <w:spacing w:line="360" w:lineRule="exact"/>
              <w:rPr>
                <w:rFonts w:hint="eastAsia" w:ascii="仿宋" w:hAnsi="仿宋" w:eastAsia="仿宋" w:cs="仿宋"/>
                <w:color w:val="auto"/>
                <w:sz w:val="24"/>
                <w:highlight w:val="none"/>
              </w:rPr>
            </w:pPr>
          </w:p>
        </w:tc>
      </w:tr>
      <w:tr w14:paraId="3F176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6F5316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772" w:type="pct"/>
            <w:tcBorders>
              <w:top w:val="single" w:color="auto" w:sz="4" w:space="0"/>
              <w:left w:val="single" w:color="auto" w:sz="4" w:space="0"/>
              <w:bottom w:val="single" w:color="auto" w:sz="4" w:space="0"/>
              <w:right w:val="single" w:color="auto" w:sz="4" w:space="0"/>
            </w:tcBorders>
            <w:vAlign w:val="center"/>
          </w:tcPr>
          <w:p w14:paraId="4A1FFDD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512" w:type="pct"/>
            <w:tcBorders>
              <w:top w:val="single" w:color="auto" w:sz="4" w:space="0"/>
              <w:left w:val="single" w:color="auto" w:sz="4" w:space="0"/>
              <w:bottom w:val="single" w:color="auto" w:sz="4" w:space="0"/>
              <w:right w:val="single" w:color="auto" w:sz="4" w:space="0"/>
            </w:tcBorders>
            <w:vAlign w:val="center"/>
          </w:tcPr>
          <w:p w14:paraId="17E4B254">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5C2F3886">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77172E23">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F4D18C1">
            <w:pPr>
              <w:snapToGrid w:val="0"/>
              <w:spacing w:line="360" w:lineRule="exact"/>
              <w:rPr>
                <w:rFonts w:hint="eastAsia" w:ascii="仿宋" w:hAnsi="仿宋" w:eastAsia="仿宋" w:cs="仿宋"/>
                <w:color w:val="auto"/>
                <w:sz w:val="24"/>
                <w:highlight w:val="none"/>
              </w:rPr>
            </w:pPr>
          </w:p>
        </w:tc>
      </w:tr>
      <w:tr w14:paraId="57DA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855EC31">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报价合计：（大写）人民币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63AB4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A71E88">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61DADC5C">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1F6DA926">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7E09BB6B">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1F82883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2E343AFA">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78E700C8">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49A4A2E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086F0B7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6F8207F">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240096C0">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68178F6">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column"/>
      </w:r>
      <w:r>
        <w:rPr>
          <w:rFonts w:hint="eastAsia" w:ascii="仿宋" w:hAnsi="仿宋" w:eastAsia="仿宋" w:cs="仿宋"/>
          <w:b/>
          <w:color w:val="auto"/>
          <w:sz w:val="24"/>
          <w:highlight w:val="none"/>
        </w:rPr>
        <w:t>报价明细表</w:t>
      </w:r>
    </w:p>
    <w:p w14:paraId="000A3583">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2B38249">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133"/>
        <w:gridCol w:w="1107"/>
      </w:tblGrid>
      <w:tr w14:paraId="3255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vAlign w:val="center"/>
          </w:tcPr>
          <w:p w14:paraId="0D6C6FE8">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33" w:type="pct"/>
            <w:vAlign w:val="center"/>
          </w:tcPr>
          <w:p w14:paraId="140DD16E">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产品名称</w:t>
            </w:r>
          </w:p>
        </w:tc>
        <w:tc>
          <w:tcPr>
            <w:tcW w:w="633" w:type="pct"/>
            <w:vAlign w:val="center"/>
          </w:tcPr>
          <w:p w14:paraId="71281AA3">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商标品牌</w:t>
            </w:r>
          </w:p>
        </w:tc>
        <w:tc>
          <w:tcPr>
            <w:tcW w:w="797" w:type="pct"/>
            <w:vAlign w:val="center"/>
          </w:tcPr>
          <w:p w14:paraId="2A92C977">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规格型号</w:t>
            </w:r>
          </w:p>
        </w:tc>
        <w:tc>
          <w:tcPr>
            <w:tcW w:w="624" w:type="pct"/>
            <w:vAlign w:val="center"/>
          </w:tcPr>
          <w:p w14:paraId="5C47A395">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生产厂家</w:t>
            </w:r>
          </w:p>
        </w:tc>
        <w:tc>
          <w:tcPr>
            <w:tcW w:w="613" w:type="pct"/>
            <w:vAlign w:val="center"/>
          </w:tcPr>
          <w:p w14:paraId="28FD3910">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数量及单位</w:t>
            </w:r>
          </w:p>
        </w:tc>
        <w:tc>
          <w:tcPr>
            <w:tcW w:w="664" w:type="pct"/>
            <w:vAlign w:val="center"/>
          </w:tcPr>
          <w:p w14:paraId="1582E359">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单价(元)</w:t>
            </w:r>
          </w:p>
        </w:tc>
        <w:tc>
          <w:tcPr>
            <w:tcW w:w="649" w:type="pct"/>
            <w:vAlign w:val="center"/>
          </w:tcPr>
          <w:p w14:paraId="59587A36">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总价(元)</w:t>
            </w:r>
          </w:p>
        </w:tc>
      </w:tr>
      <w:tr w14:paraId="46D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10A71C0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633" w:type="pct"/>
            <w:vAlign w:val="center"/>
          </w:tcPr>
          <w:p w14:paraId="75EAE5CC">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（产品名称必须与注册证一致）</w:t>
            </w:r>
          </w:p>
        </w:tc>
        <w:tc>
          <w:tcPr>
            <w:tcW w:w="633" w:type="pct"/>
            <w:vAlign w:val="center"/>
          </w:tcPr>
          <w:p w14:paraId="4F7EB839">
            <w:pPr>
              <w:spacing w:line="400" w:lineRule="exact"/>
              <w:rPr>
                <w:rFonts w:hint="eastAsia" w:ascii="仿宋" w:hAnsi="仿宋" w:eastAsia="仿宋" w:cs="仿宋"/>
                <w:color w:val="auto"/>
                <w:szCs w:val="21"/>
                <w:highlight w:val="none"/>
              </w:rPr>
            </w:pPr>
          </w:p>
        </w:tc>
        <w:tc>
          <w:tcPr>
            <w:tcW w:w="797" w:type="pct"/>
            <w:vAlign w:val="center"/>
          </w:tcPr>
          <w:p w14:paraId="4B6E38F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（规格型号必须与注册证一致）</w:t>
            </w:r>
          </w:p>
        </w:tc>
        <w:tc>
          <w:tcPr>
            <w:tcW w:w="624" w:type="pct"/>
            <w:vAlign w:val="center"/>
          </w:tcPr>
          <w:p w14:paraId="5E8B9EBD">
            <w:pPr>
              <w:spacing w:line="400" w:lineRule="exact"/>
              <w:jc w:val="center"/>
              <w:rPr>
                <w:rFonts w:hint="eastAsia" w:ascii="仿宋" w:hAnsi="仿宋" w:eastAsia="仿宋" w:cs="仿宋"/>
                <w:color w:val="auto"/>
                <w:szCs w:val="21"/>
                <w:highlight w:val="none"/>
              </w:rPr>
            </w:pPr>
          </w:p>
        </w:tc>
        <w:tc>
          <w:tcPr>
            <w:tcW w:w="613" w:type="pct"/>
            <w:vAlign w:val="center"/>
          </w:tcPr>
          <w:p w14:paraId="2D55980C">
            <w:pPr>
              <w:spacing w:line="400" w:lineRule="exact"/>
              <w:jc w:val="center"/>
              <w:rPr>
                <w:rFonts w:hint="eastAsia" w:ascii="仿宋" w:hAnsi="仿宋" w:eastAsia="仿宋" w:cs="仿宋"/>
                <w:color w:val="auto"/>
                <w:szCs w:val="21"/>
                <w:highlight w:val="none"/>
              </w:rPr>
            </w:pPr>
          </w:p>
        </w:tc>
        <w:tc>
          <w:tcPr>
            <w:tcW w:w="664" w:type="pct"/>
            <w:vAlign w:val="center"/>
          </w:tcPr>
          <w:p w14:paraId="47B6C09A">
            <w:pPr>
              <w:spacing w:line="400" w:lineRule="exact"/>
              <w:jc w:val="center"/>
              <w:rPr>
                <w:rFonts w:hint="eastAsia" w:ascii="仿宋" w:hAnsi="仿宋" w:eastAsia="仿宋" w:cs="仿宋"/>
                <w:color w:val="auto"/>
                <w:szCs w:val="21"/>
                <w:highlight w:val="none"/>
              </w:rPr>
            </w:pPr>
          </w:p>
        </w:tc>
        <w:tc>
          <w:tcPr>
            <w:tcW w:w="649" w:type="pct"/>
            <w:vAlign w:val="center"/>
          </w:tcPr>
          <w:p w14:paraId="4907AF48">
            <w:pPr>
              <w:spacing w:line="400" w:lineRule="exact"/>
              <w:jc w:val="center"/>
              <w:rPr>
                <w:rFonts w:hint="eastAsia" w:ascii="仿宋" w:hAnsi="仿宋" w:eastAsia="仿宋" w:cs="仿宋"/>
                <w:color w:val="auto"/>
                <w:szCs w:val="21"/>
                <w:highlight w:val="none"/>
              </w:rPr>
            </w:pPr>
          </w:p>
        </w:tc>
      </w:tr>
      <w:tr w14:paraId="5D0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5C51C2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33" w:type="pct"/>
            <w:vAlign w:val="center"/>
          </w:tcPr>
          <w:p w14:paraId="47B01EF8">
            <w:pPr>
              <w:spacing w:line="400" w:lineRule="exact"/>
              <w:rPr>
                <w:rFonts w:hint="eastAsia" w:ascii="仿宋" w:hAnsi="仿宋" w:eastAsia="仿宋" w:cs="仿宋"/>
                <w:color w:val="auto"/>
                <w:szCs w:val="21"/>
                <w:highlight w:val="none"/>
              </w:rPr>
            </w:pPr>
          </w:p>
        </w:tc>
        <w:tc>
          <w:tcPr>
            <w:tcW w:w="633" w:type="pct"/>
            <w:vAlign w:val="center"/>
          </w:tcPr>
          <w:p w14:paraId="4AA0E942">
            <w:pPr>
              <w:spacing w:line="400" w:lineRule="exact"/>
              <w:rPr>
                <w:rFonts w:hint="eastAsia" w:ascii="仿宋" w:hAnsi="仿宋" w:eastAsia="仿宋" w:cs="仿宋"/>
                <w:color w:val="auto"/>
                <w:szCs w:val="21"/>
                <w:highlight w:val="none"/>
              </w:rPr>
            </w:pPr>
          </w:p>
        </w:tc>
        <w:tc>
          <w:tcPr>
            <w:tcW w:w="797" w:type="pct"/>
            <w:vAlign w:val="center"/>
          </w:tcPr>
          <w:p w14:paraId="1A2168AA">
            <w:pPr>
              <w:spacing w:line="400" w:lineRule="exact"/>
              <w:jc w:val="center"/>
              <w:rPr>
                <w:rFonts w:hint="eastAsia" w:ascii="仿宋" w:hAnsi="仿宋" w:eastAsia="仿宋" w:cs="仿宋"/>
                <w:color w:val="auto"/>
                <w:szCs w:val="21"/>
                <w:highlight w:val="none"/>
              </w:rPr>
            </w:pPr>
          </w:p>
        </w:tc>
        <w:tc>
          <w:tcPr>
            <w:tcW w:w="624" w:type="pct"/>
            <w:vAlign w:val="center"/>
          </w:tcPr>
          <w:p w14:paraId="0EB8F383">
            <w:pPr>
              <w:spacing w:line="400" w:lineRule="exact"/>
              <w:jc w:val="center"/>
              <w:rPr>
                <w:rFonts w:hint="eastAsia" w:ascii="仿宋" w:hAnsi="仿宋" w:eastAsia="仿宋" w:cs="仿宋"/>
                <w:color w:val="auto"/>
                <w:szCs w:val="21"/>
                <w:highlight w:val="none"/>
              </w:rPr>
            </w:pPr>
          </w:p>
        </w:tc>
        <w:tc>
          <w:tcPr>
            <w:tcW w:w="613" w:type="pct"/>
            <w:vAlign w:val="center"/>
          </w:tcPr>
          <w:p w14:paraId="6862B371">
            <w:pPr>
              <w:spacing w:line="400" w:lineRule="exact"/>
              <w:jc w:val="center"/>
              <w:rPr>
                <w:rFonts w:hint="eastAsia" w:ascii="仿宋" w:hAnsi="仿宋" w:eastAsia="仿宋" w:cs="仿宋"/>
                <w:color w:val="auto"/>
                <w:szCs w:val="21"/>
                <w:highlight w:val="none"/>
              </w:rPr>
            </w:pPr>
          </w:p>
        </w:tc>
        <w:tc>
          <w:tcPr>
            <w:tcW w:w="664" w:type="pct"/>
            <w:vAlign w:val="center"/>
          </w:tcPr>
          <w:p w14:paraId="2D8AE180">
            <w:pPr>
              <w:spacing w:line="400" w:lineRule="exact"/>
              <w:jc w:val="center"/>
              <w:rPr>
                <w:rFonts w:hint="eastAsia" w:ascii="仿宋" w:hAnsi="仿宋" w:eastAsia="仿宋" w:cs="仿宋"/>
                <w:color w:val="auto"/>
                <w:szCs w:val="21"/>
                <w:highlight w:val="none"/>
              </w:rPr>
            </w:pPr>
          </w:p>
        </w:tc>
        <w:tc>
          <w:tcPr>
            <w:tcW w:w="649" w:type="pct"/>
            <w:vAlign w:val="center"/>
          </w:tcPr>
          <w:p w14:paraId="43F9B11C">
            <w:pPr>
              <w:spacing w:line="400" w:lineRule="exact"/>
              <w:jc w:val="center"/>
              <w:rPr>
                <w:rFonts w:hint="eastAsia" w:ascii="仿宋" w:hAnsi="仿宋" w:eastAsia="仿宋" w:cs="仿宋"/>
                <w:color w:val="auto"/>
                <w:szCs w:val="21"/>
                <w:highlight w:val="none"/>
              </w:rPr>
            </w:pPr>
          </w:p>
        </w:tc>
      </w:tr>
      <w:tr w14:paraId="2DB9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vAlign w:val="center"/>
          </w:tcPr>
          <w:p w14:paraId="0BA0AA82">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人民币合计金额（含税）(大写) </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元整(小写)（¥</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 xml:space="preserve">） </w:t>
            </w:r>
          </w:p>
        </w:tc>
      </w:tr>
      <w:tr w14:paraId="7D68B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1B44FDF">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36201DC7">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09233E47">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1.投标人的报价明细表必须加盖投标人（盖公章或电子签章）并由法定代表人或者委托代理人（签字或者电子签名），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2818DB3F">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5C9FD53B">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7AC40E00">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4E5A007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64ECEF1C">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6DD10024">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05FF4B49">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5E8984D">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Cs w:val="21"/>
          <w:highlight w:val="none"/>
        </w:rPr>
      </w:pPr>
      <w:r>
        <w:rPr>
          <w:rFonts w:hint="eastAsia" w:ascii="仿宋" w:hAnsi="仿宋" w:eastAsia="仿宋" w:cs="仿宋"/>
          <w:color w:val="auto"/>
          <w:sz w:val="24"/>
          <w:highlight w:val="none"/>
        </w:rPr>
        <w:t>年    月    日</w:t>
      </w:r>
    </w:p>
    <w:bookmarkEnd w:id="172"/>
    <w:bookmarkEnd w:id="173"/>
    <w:p w14:paraId="1B87E607">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投标人直接控股、管理关系信息表</w:t>
      </w:r>
    </w:p>
    <w:p w14:paraId="77C17EF1">
      <w:pPr>
        <w:snapToGrid w:val="0"/>
        <w:spacing w:before="24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45"/>
        <w:tblW w:w="0" w:type="auto"/>
        <w:jc w:val="center"/>
        <w:shd w:val="clear" w:color="auto" w:fill="FBFBFB"/>
        <w:tblLayout w:type="fixed"/>
        <w:tblCellMar>
          <w:top w:w="0" w:type="dxa"/>
          <w:left w:w="0" w:type="dxa"/>
          <w:bottom w:w="0" w:type="dxa"/>
          <w:right w:w="0" w:type="dxa"/>
        </w:tblCellMar>
      </w:tblPr>
      <w:tblGrid>
        <w:gridCol w:w="740"/>
        <w:gridCol w:w="2028"/>
        <w:gridCol w:w="1107"/>
        <w:gridCol w:w="3454"/>
        <w:gridCol w:w="1140"/>
      </w:tblGrid>
      <w:tr w14:paraId="4BA4C72C">
        <w:tblPrEx>
          <w:shd w:val="clear" w:color="auto" w:fill="FBFBFB"/>
          <w:tblCellMar>
            <w:top w:w="0" w:type="dxa"/>
            <w:left w:w="0" w:type="dxa"/>
            <w:bottom w:w="0" w:type="dxa"/>
            <w:right w:w="0" w:type="dxa"/>
          </w:tblCellMar>
        </w:tblPrEx>
        <w:trPr>
          <w:trHeight w:val="367"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B700D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0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0DFF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10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9F715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54FF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1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CC3B84">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08ED639">
        <w:tblPrEx>
          <w:tblCellMar>
            <w:top w:w="0" w:type="dxa"/>
            <w:left w:w="0" w:type="dxa"/>
            <w:bottom w:w="0" w:type="dxa"/>
            <w:right w:w="0" w:type="dxa"/>
          </w:tblCellMar>
        </w:tblPrEx>
        <w:trPr>
          <w:trHeight w:val="382"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0DE3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D1AA0">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300D5">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A4608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281FA">
            <w:pPr>
              <w:spacing w:line="360" w:lineRule="auto"/>
              <w:jc w:val="center"/>
              <w:rPr>
                <w:rFonts w:hint="eastAsia" w:ascii="仿宋" w:hAnsi="仿宋" w:eastAsia="仿宋" w:cs="仿宋"/>
                <w:color w:val="auto"/>
                <w:kern w:val="0"/>
                <w:sz w:val="24"/>
                <w:highlight w:val="none"/>
              </w:rPr>
            </w:pPr>
          </w:p>
        </w:tc>
      </w:tr>
      <w:tr w14:paraId="5FC4E0B3">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CAB5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9E184">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0BC7E">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15512">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962AD">
            <w:pPr>
              <w:spacing w:line="360" w:lineRule="auto"/>
              <w:jc w:val="center"/>
              <w:rPr>
                <w:rFonts w:hint="eastAsia" w:ascii="仿宋" w:hAnsi="仿宋" w:eastAsia="仿宋" w:cs="仿宋"/>
                <w:color w:val="auto"/>
                <w:kern w:val="0"/>
                <w:sz w:val="24"/>
                <w:highlight w:val="none"/>
              </w:rPr>
            </w:pPr>
          </w:p>
        </w:tc>
      </w:tr>
      <w:tr w14:paraId="61FE8476">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223C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1339C">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18483">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50C3C">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9FB9E">
            <w:pPr>
              <w:spacing w:line="360" w:lineRule="auto"/>
              <w:jc w:val="center"/>
              <w:rPr>
                <w:rFonts w:hint="eastAsia" w:ascii="仿宋" w:hAnsi="仿宋" w:eastAsia="仿宋" w:cs="仿宋"/>
                <w:color w:val="auto"/>
                <w:kern w:val="0"/>
                <w:sz w:val="24"/>
                <w:highlight w:val="none"/>
              </w:rPr>
            </w:pPr>
          </w:p>
        </w:tc>
      </w:tr>
      <w:tr w14:paraId="4715E3AE">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6DF2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FB639">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D7560">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0FD4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81625">
            <w:pPr>
              <w:spacing w:line="360" w:lineRule="auto"/>
              <w:jc w:val="center"/>
              <w:rPr>
                <w:rFonts w:hint="eastAsia" w:ascii="仿宋" w:hAnsi="仿宋" w:eastAsia="仿宋" w:cs="仿宋"/>
                <w:color w:val="auto"/>
                <w:kern w:val="0"/>
                <w:sz w:val="24"/>
                <w:highlight w:val="none"/>
              </w:rPr>
            </w:pPr>
          </w:p>
        </w:tc>
      </w:tr>
    </w:tbl>
    <w:p w14:paraId="6AAA2EE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BF220B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4E8A7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5DD31D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39B81945">
      <w:pPr>
        <w:snapToGrid w:val="0"/>
        <w:spacing w:line="360" w:lineRule="auto"/>
        <w:jc w:val="left"/>
        <w:rPr>
          <w:rFonts w:hint="eastAsia" w:ascii="仿宋" w:hAnsi="仿宋" w:eastAsia="仿宋" w:cs="仿宋"/>
          <w:color w:val="auto"/>
          <w:sz w:val="24"/>
          <w:highlight w:val="none"/>
        </w:rPr>
      </w:pPr>
    </w:p>
    <w:p w14:paraId="5C06983E">
      <w:pPr>
        <w:snapToGrid w:val="0"/>
        <w:spacing w:line="360" w:lineRule="auto"/>
        <w:jc w:val="left"/>
        <w:rPr>
          <w:rFonts w:hint="eastAsia" w:ascii="仿宋" w:hAnsi="仿宋" w:eastAsia="仿宋" w:cs="仿宋"/>
          <w:color w:val="auto"/>
          <w:sz w:val="24"/>
          <w:highlight w:val="none"/>
        </w:rPr>
      </w:pPr>
    </w:p>
    <w:p w14:paraId="109065FF">
      <w:pPr>
        <w:snapToGrid w:val="0"/>
        <w:spacing w:before="120" w:beforeLines="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D38CBF0">
      <w:pPr>
        <w:snapToGrid w:val="0"/>
        <w:spacing w:before="120" w:beforeLines="50" w:after="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E2D6438">
      <w:pPr>
        <w:snapToGrid w:val="0"/>
        <w:spacing w:before="120" w:beforeLines="50" w:after="50" w:line="360" w:lineRule="auto"/>
        <w:ind w:right="-1"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FBFB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Cs w:val="21"/>
          <w:highlight w:val="none"/>
        </w:rPr>
        <w:br w:type="page"/>
      </w:r>
    </w:p>
    <w:p w14:paraId="26F83F8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投标人直接管理关系信息表</w:t>
      </w:r>
    </w:p>
    <w:tbl>
      <w:tblPr>
        <w:tblStyle w:val="45"/>
        <w:tblW w:w="8675" w:type="dxa"/>
        <w:jc w:val="center"/>
        <w:shd w:val="clear" w:color="auto" w:fill="FBFBFB"/>
        <w:tblLayout w:type="fixed"/>
        <w:tblCellMar>
          <w:top w:w="0" w:type="dxa"/>
          <w:left w:w="0" w:type="dxa"/>
          <w:bottom w:w="0" w:type="dxa"/>
          <w:right w:w="0" w:type="dxa"/>
        </w:tblCellMar>
      </w:tblPr>
      <w:tblGrid>
        <w:gridCol w:w="902"/>
        <w:gridCol w:w="2390"/>
        <w:gridCol w:w="3528"/>
        <w:gridCol w:w="1855"/>
      </w:tblGrid>
      <w:tr w14:paraId="09975F99">
        <w:tblPrEx>
          <w:shd w:val="clear" w:color="auto" w:fill="FBFBFB"/>
          <w:tblCellMar>
            <w:top w:w="0" w:type="dxa"/>
            <w:left w:w="0" w:type="dxa"/>
            <w:bottom w:w="0" w:type="dxa"/>
            <w:right w:w="0" w:type="dxa"/>
          </w:tblCellMar>
        </w:tblPrEx>
        <w:trPr>
          <w:trHeight w:val="377" w:hRule="atLeast"/>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EE352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25BB7F">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2C1DE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8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FE382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5DC6590">
        <w:tblPrEx>
          <w:tblCellMar>
            <w:top w:w="0" w:type="dxa"/>
            <w:left w:w="0" w:type="dxa"/>
            <w:bottom w:w="0" w:type="dxa"/>
            <w:right w:w="0" w:type="dxa"/>
          </w:tblCellMar>
        </w:tblPrEx>
        <w:trPr>
          <w:trHeight w:val="39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B6024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E71E8">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0874C">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C863ED">
            <w:pPr>
              <w:spacing w:line="360" w:lineRule="auto"/>
              <w:jc w:val="center"/>
              <w:rPr>
                <w:rFonts w:hint="eastAsia" w:ascii="仿宋" w:hAnsi="仿宋" w:eastAsia="仿宋" w:cs="仿宋"/>
                <w:color w:val="auto"/>
                <w:kern w:val="0"/>
                <w:sz w:val="24"/>
                <w:highlight w:val="none"/>
              </w:rPr>
            </w:pPr>
          </w:p>
        </w:tc>
      </w:tr>
      <w:tr w14:paraId="2E09A289">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6535C">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C08F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F1DCB">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65CE2">
            <w:pPr>
              <w:spacing w:line="360" w:lineRule="auto"/>
              <w:jc w:val="center"/>
              <w:rPr>
                <w:rFonts w:hint="eastAsia" w:ascii="仿宋" w:hAnsi="仿宋" w:eastAsia="仿宋" w:cs="仿宋"/>
                <w:color w:val="auto"/>
                <w:kern w:val="0"/>
                <w:sz w:val="24"/>
                <w:highlight w:val="none"/>
              </w:rPr>
            </w:pPr>
          </w:p>
        </w:tc>
      </w:tr>
      <w:tr w14:paraId="56743ED2">
        <w:tblPrEx>
          <w:shd w:val="clear" w:color="auto" w:fill="FBFBFB"/>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51F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C8E01">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24E1F">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67402A">
            <w:pPr>
              <w:spacing w:line="360" w:lineRule="auto"/>
              <w:jc w:val="center"/>
              <w:rPr>
                <w:rFonts w:hint="eastAsia" w:ascii="仿宋" w:hAnsi="仿宋" w:eastAsia="仿宋" w:cs="仿宋"/>
                <w:color w:val="auto"/>
                <w:kern w:val="0"/>
                <w:sz w:val="24"/>
                <w:highlight w:val="none"/>
              </w:rPr>
            </w:pPr>
          </w:p>
        </w:tc>
      </w:tr>
      <w:tr w14:paraId="1A3605B3">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680F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3D54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F5ACD">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5789C">
            <w:pPr>
              <w:spacing w:line="360" w:lineRule="auto"/>
              <w:jc w:val="center"/>
              <w:rPr>
                <w:rFonts w:hint="eastAsia" w:ascii="仿宋" w:hAnsi="仿宋" w:eastAsia="仿宋" w:cs="仿宋"/>
                <w:color w:val="auto"/>
                <w:kern w:val="0"/>
                <w:sz w:val="24"/>
                <w:highlight w:val="none"/>
              </w:rPr>
            </w:pPr>
          </w:p>
        </w:tc>
      </w:tr>
    </w:tbl>
    <w:p w14:paraId="6011706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F2E26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85559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39FC0A0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137999D4">
      <w:pPr>
        <w:snapToGrid w:val="0"/>
        <w:spacing w:line="360" w:lineRule="auto"/>
        <w:jc w:val="left"/>
        <w:rPr>
          <w:rFonts w:hint="eastAsia" w:ascii="仿宋" w:hAnsi="仿宋" w:eastAsia="仿宋" w:cs="仿宋"/>
          <w:color w:val="auto"/>
          <w:sz w:val="24"/>
          <w:highlight w:val="none"/>
        </w:rPr>
      </w:pPr>
    </w:p>
    <w:p w14:paraId="2FE96851">
      <w:pPr>
        <w:snapToGrid w:val="0"/>
        <w:spacing w:line="360" w:lineRule="auto"/>
        <w:jc w:val="left"/>
        <w:rPr>
          <w:rFonts w:hint="eastAsia" w:ascii="仿宋" w:hAnsi="仿宋" w:eastAsia="仿宋" w:cs="仿宋"/>
          <w:color w:val="auto"/>
          <w:sz w:val="24"/>
          <w:highlight w:val="none"/>
        </w:rPr>
      </w:pPr>
    </w:p>
    <w:p w14:paraId="541BF365">
      <w:pPr>
        <w:snapToGrid w:val="0"/>
        <w:spacing w:before="120" w:beforeLines="50" w:line="360" w:lineRule="auto"/>
        <w:ind w:right="-1" w:firstLine="2692" w:firstLineChars="11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5FC3B93">
      <w:pPr>
        <w:snapToGrid w:val="0"/>
        <w:spacing w:before="120" w:beforeLines="50" w:after="50" w:line="360" w:lineRule="auto"/>
        <w:ind w:right="-1" w:firstLine="2692" w:firstLineChars="112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CF15EA8">
      <w:pPr>
        <w:snapToGrid w:val="0"/>
        <w:spacing w:before="120" w:beforeLines="50" w:after="50" w:line="360" w:lineRule="auto"/>
        <w:ind w:right="-1" w:firstLine="2551" w:firstLineChars="1063"/>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4538C2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投标声明</w:t>
      </w:r>
    </w:p>
    <w:p w14:paraId="0DFDA402">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投标声明</w:t>
      </w:r>
    </w:p>
    <w:p w14:paraId="394093B1">
      <w:pPr>
        <w:snapToGrid w:val="0"/>
        <w:spacing w:before="50" w:after="120" w:afterLines="50"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2E395C6">
      <w:pPr>
        <w:snapToGrid w:val="0"/>
        <w:spacing w:line="400" w:lineRule="exact"/>
        <w:ind w:firstLine="40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1451320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949AC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742CF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我方承诺符合《中华人民共和国政府采购法》第二十二条规定：</w:t>
      </w:r>
    </w:p>
    <w:p w14:paraId="20B8B26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10AA9D4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333C63A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3D14B38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32875DB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6C18B63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6486AB0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4.以上事项如有虚假或者隐瞒，我方愿意承担一切后果，并不再寻求任何旨在减轻或者免除法律责任的辩解。</w:t>
      </w:r>
    </w:p>
    <w:p w14:paraId="0AF0A1B4">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B864EC6">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注：如为联合体投标，盖章处须加盖联合体各方公章并由联合体各方法定代表人分别</w:t>
      </w:r>
    </w:p>
    <w:p w14:paraId="5A05BCCC">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签署，否则投标无效。</w:t>
      </w:r>
    </w:p>
    <w:p w14:paraId="5212A767">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811B0B1">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C12979C">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750248B5">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参加本项目无围标串标行为的承诺</w:t>
      </w:r>
    </w:p>
    <w:p w14:paraId="72602735">
      <w:pPr>
        <w:snapToGrid w:val="0"/>
        <w:spacing w:before="120" w:beforeLines="50" w:after="50"/>
        <w:ind w:left="42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投标人参加本项目无围标串标行为的承诺函</w:t>
      </w:r>
    </w:p>
    <w:p w14:paraId="2CE11F9E">
      <w:pPr>
        <w:snapToGrid w:val="0"/>
        <w:spacing w:before="120"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1DD1B19C">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bookmarkStart w:id="175" w:name="_Hlk166142426"/>
      <w:r>
        <w:rPr>
          <w:rFonts w:hint="eastAsia" w:ascii="仿宋" w:hAnsi="仿宋" w:eastAsia="仿宋" w:cs="仿宋"/>
          <w:color w:val="auto"/>
          <w:sz w:val="24"/>
          <w:highlight w:val="none"/>
        </w:rPr>
        <w:t>或者不同投标人报名的IP地址一致的；或者编制标书硬件设备CPU编号、硬盘编号、网卡地址一致的情况；</w:t>
      </w:r>
    </w:p>
    <w:bookmarkEnd w:id="175"/>
    <w:p w14:paraId="27E067A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7AAAC8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54CF6F8C">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7D59754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11948B6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4E9FA5DC">
      <w:pPr>
        <w:snapToGrid w:val="0"/>
        <w:spacing w:before="120" w:beforeLines="50" w:after="50"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1DA535F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1.投标人直接或者间接从采购人或者采购代理机构处获得其他投标人的相关信息并修改其投标文件或者响应文件；</w:t>
      </w:r>
    </w:p>
    <w:p w14:paraId="0A57F741">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2.投标人按照采购人或者采购代理机构的授意撤换、修改投标文件或者响应文件；</w:t>
      </w:r>
    </w:p>
    <w:p w14:paraId="77431AB7">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3.投标人之间协商报价、技术方案等投标文件或者响应文件的实质性内容；</w:t>
      </w:r>
    </w:p>
    <w:p w14:paraId="3EDDA50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348B6CB8">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5952343">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3BDEEF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243E8654">
      <w:pPr>
        <w:snapToGrid w:val="0"/>
        <w:spacing w:before="120" w:beforeLines="50" w:after="50" w:line="360" w:lineRule="auto"/>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1BB4EADA">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688A43C1">
      <w:pPr>
        <w:snapToGrid w:val="0"/>
        <w:spacing w:before="50" w:after="120" w:afterLines="50" w:line="360" w:lineRule="auto"/>
        <w:jc w:val="left"/>
        <w:rPr>
          <w:rFonts w:hint="eastAsia" w:ascii="仿宋" w:hAnsi="仿宋" w:eastAsia="仿宋" w:cs="仿宋"/>
          <w:b/>
          <w:color w:val="auto"/>
          <w:sz w:val="24"/>
          <w:szCs w:val="20"/>
          <w:highlight w:val="none"/>
        </w:rPr>
      </w:pPr>
      <w:r>
        <w:rPr>
          <w:rFonts w:hint="eastAsia" w:ascii="仿宋" w:hAnsi="仿宋" w:eastAsia="仿宋" w:cs="仿宋"/>
          <w:color w:val="auto"/>
          <w:sz w:val="24"/>
          <w:highlight w:val="none"/>
        </w:rPr>
        <w:t xml:space="preserve">                                                  年    月    日</w:t>
      </w: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法定代表人身份证明</w:t>
      </w:r>
    </w:p>
    <w:p w14:paraId="1DC97B11">
      <w:pPr>
        <w:spacing w:before="240" w:beforeLines="100" w:after="120" w:afterLines="50"/>
        <w:ind w:left="54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法定代表人身份证明</w:t>
      </w:r>
    </w:p>
    <w:p w14:paraId="5C097AB6">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70F44A0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39B3F11">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19EF2070">
      <w:pPr>
        <w:spacing w:line="500" w:lineRule="exact"/>
        <w:ind w:left="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02EE71E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79C850F">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2D508D4A">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84C8AA9">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7E8D4782">
      <w:pPr>
        <w:spacing w:line="500" w:lineRule="exact"/>
        <w:rPr>
          <w:rFonts w:hint="eastAsia" w:ascii="仿宋" w:hAnsi="仿宋" w:eastAsia="仿宋" w:cs="仿宋"/>
          <w:color w:val="auto"/>
          <w:sz w:val="24"/>
          <w:highlight w:val="none"/>
        </w:rPr>
      </w:pPr>
    </w:p>
    <w:p w14:paraId="406F279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2B43C06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449C64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注：自然人投标的无需提供</w:t>
      </w:r>
    </w:p>
    <w:p w14:paraId="4E9C2D71">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法定代表人授权委托书格式</w:t>
      </w:r>
    </w:p>
    <w:p w14:paraId="6B256B2C">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法定代表人授权委托书（非联合体投标格式）（如有委托时）</w:t>
      </w:r>
    </w:p>
    <w:p w14:paraId="0C2678C3">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招标人名称</w:t>
      </w:r>
      <w:r>
        <w:rPr>
          <w:rFonts w:hint="eastAsia" w:ascii="仿宋" w:hAnsi="仿宋" w:eastAsia="仿宋" w:cs="仿宋"/>
          <w:color w:val="auto"/>
          <w:sz w:val="24"/>
          <w:highlight w:val="none"/>
        </w:rPr>
        <w:t>：</w:t>
      </w:r>
    </w:p>
    <w:p w14:paraId="3C1765B0">
      <w:pPr>
        <w:snapToGrid w:val="0"/>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0A2D599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0F411A4">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5A5E51B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1DF3C311">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01E70E58">
      <w:pPr>
        <w:snapToGrid w:val="0"/>
        <w:spacing w:before="120" w:beforeLines="50" w:after="50"/>
        <w:rPr>
          <w:rFonts w:hint="eastAsia" w:ascii="仿宋" w:hAnsi="仿宋" w:eastAsia="仿宋" w:cs="仿宋"/>
          <w:color w:val="auto"/>
          <w:sz w:val="24"/>
          <w:highlight w:val="none"/>
        </w:rPr>
      </w:pPr>
    </w:p>
    <w:p w14:paraId="7EF933B4">
      <w:pPr>
        <w:snapToGrid w:val="0"/>
        <w:spacing w:before="120" w:beforeLines="50" w:after="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委托代理人签字或电子签名：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法定代表人签字或电子签名：</w:t>
      </w:r>
      <w:r>
        <w:rPr>
          <w:rFonts w:hint="eastAsia" w:ascii="仿宋" w:hAnsi="仿宋" w:eastAsia="仿宋" w:cs="仿宋"/>
          <w:color w:val="auto"/>
          <w:sz w:val="24"/>
          <w:highlight w:val="none"/>
          <w:u w:val="single"/>
        </w:rPr>
        <w:t xml:space="preserve">          </w:t>
      </w:r>
    </w:p>
    <w:p w14:paraId="7FAE28DF">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所在部门职务：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4B24AAFB">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9266EC">
      <w:pPr>
        <w:snapToGrid w:val="0"/>
        <w:spacing w:before="120" w:beforeLines="50" w:after="50"/>
        <w:rPr>
          <w:rFonts w:hint="eastAsia" w:ascii="仿宋" w:hAnsi="仿宋" w:eastAsia="仿宋" w:cs="仿宋"/>
          <w:color w:val="auto"/>
          <w:sz w:val="24"/>
          <w:highlight w:val="none"/>
        </w:rPr>
      </w:pPr>
    </w:p>
    <w:p w14:paraId="5BAC0564">
      <w:pPr>
        <w:snapToGrid w:val="0"/>
        <w:spacing w:before="120" w:beforeLines="50" w:after="50"/>
        <w:rPr>
          <w:rFonts w:hint="eastAsia" w:ascii="仿宋" w:hAnsi="仿宋" w:eastAsia="仿宋" w:cs="仿宋"/>
          <w:color w:val="auto"/>
          <w:sz w:val="24"/>
          <w:highlight w:val="none"/>
        </w:rPr>
      </w:pPr>
    </w:p>
    <w:p w14:paraId="1D007622">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4614BBB1">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0D9AB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66D900A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1.法定代表人和委托代理人必须在授权委托书上签字；</w:t>
      </w:r>
    </w:p>
    <w:p w14:paraId="09C90B7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2.以联合体形式投标的，本授权委托书应由联合体牵头人的法定代表人按上述规定签署。</w:t>
      </w:r>
    </w:p>
    <w:p w14:paraId="79643C6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2807080">
      <w:pPr>
        <w:snapToGrid w:val="0"/>
        <w:spacing w:before="120" w:beforeLines="50" w:after="50"/>
        <w:ind w:firstLine="566" w:firstLineChars="236"/>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商务条款偏离表格式</w:t>
      </w:r>
    </w:p>
    <w:p w14:paraId="17364178">
      <w:pPr>
        <w:spacing w:before="240" w:beforeLines="100" w:line="360" w:lineRule="auto"/>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商务条款偏离表</w:t>
      </w:r>
    </w:p>
    <w:p w14:paraId="18FF2A8B">
      <w:pPr>
        <w:pStyle w:val="23"/>
        <w:spacing w:line="360" w:lineRule="auto"/>
        <w:ind w:firstLine="480" w:firstLineChars="200"/>
        <w:rPr>
          <w:rFonts w:hint="eastAsia" w:ascii="仿宋" w:hAnsi="仿宋" w:eastAsia="仿宋" w:cs="仿宋"/>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DD6E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4892DE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vAlign w:val="center"/>
          </w:tcPr>
          <w:p w14:paraId="13A3CC3F">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vAlign w:val="center"/>
          </w:tcPr>
          <w:p w14:paraId="3D93246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center"/>
          </w:tcPr>
          <w:p w14:paraId="22CF2457">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163B5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52571AF8">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7163A0D8">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67FC2AF7">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5AD07E6">
            <w:pPr>
              <w:snapToGrid w:val="0"/>
              <w:jc w:val="center"/>
              <w:rPr>
                <w:rFonts w:hint="eastAsia" w:ascii="仿宋" w:hAnsi="仿宋" w:eastAsia="仿宋" w:cs="仿宋"/>
                <w:color w:val="auto"/>
                <w:sz w:val="24"/>
                <w:highlight w:val="none"/>
              </w:rPr>
            </w:pPr>
          </w:p>
        </w:tc>
      </w:tr>
      <w:tr w14:paraId="78590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3E0415EC">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995AC6">
            <w:pPr>
              <w:snapToGrid w:val="0"/>
              <w:rPr>
                <w:rFonts w:hint="eastAsia" w:ascii="仿宋" w:hAnsi="仿宋" w:eastAsia="仿宋" w:cs="仿宋"/>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center"/>
          </w:tcPr>
          <w:p w14:paraId="02A995BB">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AA7E28F">
            <w:pPr>
              <w:snapToGrid w:val="0"/>
              <w:jc w:val="center"/>
              <w:rPr>
                <w:rFonts w:hint="eastAsia" w:ascii="仿宋" w:hAnsi="仿宋" w:eastAsia="仿宋" w:cs="仿宋"/>
                <w:color w:val="auto"/>
                <w:sz w:val="24"/>
                <w:highlight w:val="none"/>
              </w:rPr>
            </w:pPr>
          </w:p>
        </w:tc>
      </w:tr>
      <w:tr w14:paraId="057B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10C3D5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3336" w:type="dxa"/>
            <w:tcBorders>
              <w:top w:val="single" w:color="auto" w:sz="4" w:space="0"/>
              <w:left w:val="single" w:color="auto" w:sz="4" w:space="0"/>
              <w:bottom w:val="single" w:color="auto" w:sz="4" w:space="0"/>
              <w:right w:val="single" w:color="auto" w:sz="4" w:space="0"/>
            </w:tcBorders>
            <w:vAlign w:val="center"/>
          </w:tcPr>
          <w:p w14:paraId="1896ADC6">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23E85033">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584F5F89">
            <w:pPr>
              <w:snapToGrid w:val="0"/>
              <w:jc w:val="center"/>
              <w:rPr>
                <w:rFonts w:hint="eastAsia" w:ascii="仿宋" w:hAnsi="仿宋" w:eastAsia="仿宋" w:cs="仿宋"/>
                <w:color w:val="auto"/>
                <w:sz w:val="24"/>
                <w:highlight w:val="none"/>
              </w:rPr>
            </w:pPr>
          </w:p>
        </w:tc>
      </w:tr>
      <w:tr w14:paraId="37D7D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20E98EC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27961C62">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6DD43C5">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E630729">
            <w:pPr>
              <w:snapToGrid w:val="0"/>
              <w:jc w:val="center"/>
              <w:rPr>
                <w:rFonts w:hint="eastAsia" w:ascii="仿宋" w:hAnsi="仿宋" w:eastAsia="仿宋" w:cs="仿宋"/>
                <w:color w:val="auto"/>
                <w:sz w:val="24"/>
                <w:highlight w:val="none"/>
              </w:rPr>
            </w:pPr>
          </w:p>
        </w:tc>
      </w:tr>
    </w:tbl>
    <w:p w14:paraId="094195CB">
      <w:pPr>
        <w:pStyle w:val="15"/>
        <w:spacing w:line="360" w:lineRule="auto"/>
        <w:ind w:firstLine="482"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6F13909B">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采购需求”中的商务要求条款逐条实质性响应，并作出偏离说明。</w:t>
      </w:r>
    </w:p>
    <w:p w14:paraId="5B5E47E3">
      <w:pPr>
        <w:pStyle w:val="15"/>
        <w:spacing w:line="360" w:lineRule="auto"/>
        <w:ind w:firstLine="48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4F3BFC1B">
      <w:pPr>
        <w:snapToGrid w:val="0"/>
        <w:spacing w:line="360" w:lineRule="auto"/>
        <w:ind w:firstLine="480" w:firstLineChars="200"/>
        <w:rPr>
          <w:rFonts w:hint="eastAsia" w:ascii="仿宋" w:hAnsi="仿宋" w:eastAsia="仿宋" w:cs="仿宋"/>
          <w:color w:val="auto"/>
          <w:sz w:val="24"/>
          <w:highlight w:val="none"/>
        </w:rPr>
      </w:pPr>
    </w:p>
    <w:p w14:paraId="3AACC866">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592A67DB">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A18EEDE">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77FC3C70">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pacing w:val="20"/>
          <w:sz w:val="24"/>
          <w:highlight w:val="none"/>
          <w:u w:val="single"/>
        </w:rPr>
        <w:br w:type="column"/>
      </w:r>
      <w:r>
        <w:rPr>
          <w:rFonts w:hint="eastAsia" w:ascii="仿宋" w:hAnsi="仿宋" w:eastAsia="仿宋" w:cs="仿宋"/>
          <w:b/>
          <w:color w:val="auto"/>
          <w:sz w:val="24"/>
          <w:highlight w:val="none"/>
        </w:rPr>
        <w:t>投标人类似的业绩证明文件</w:t>
      </w:r>
    </w:p>
    <w:p w14:paraId="46739FE6">
      <w:pPr>
        <w:pStyle w:val="33"/>
        <w:snapToGrid w:val="0"/>
        <w:spacing w:after="240" w:afterLines="100"/>
        <w:ind w:left="482" w:hanging="48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投标人类似业绩情况表</w:t>
      </w:r>
    </w:p>
    <w:p w14:paraId="6AD711A4">
      <w:pPr>
        <w:pStyle w:val="33"/>
        <w:snapToGrid w:val="0"/>
        <w:ind w:left="480" w:hanging="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投标人同类项目情况一览表格式：（投标人同类项目合同复印件）</w:t>
      </w:r>
    </w:p>
    <w:tbl>
      <w:tblPr>
        <w:tblStyle w:val="45"/>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2"/>
        <w:gridCol w:w="1090"/>
        <w:gridCol w:w="1486"/>
        <w:gridCol w:w="2080"/>
        <w:gridCol w:w="1701"/>
      </w:tblGrid>
      <w:tr w14:paraId="3524C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32" w:type="dxa"/>
            <w:vMerge w:val="restart"/>
            <w:tcBorders>
              <w:top w:val="single" w:color="auto" w:sz="4" w:space="0"/>
              <w:left w:val="single" w:color="auto" w:sz="4" w:space="0"/>
              <w:bottom w:val="single" w:color="auto" w:sz="4" w:space="0"/>
              <w:right w:val="single" w:color="auto" w:sz="4" w:space="0"/>
            </w:tcBorders>
            <w:vAlign w:val="center"/>
          </w:tcPr>
          <w:p w14:paraId="31AD83E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5B5C158A">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486" w:type="dxa"/>
            <w:vMerge w:val="restart"/>
            <w:tcBorders>
              <w:top w:val="single" w:color="auto" w:sz="4" w:space="0"/>
              <w:left w:val="single" w:color="auto" w:sz="4" w:space="0"/>
              <w:bottom w:val="single" w:color="auto" w:sz="4" w:space="0"/>
              <w:right w:val="single" w:color="auto" w:sz="4" w:space="0"/>
            </w:tcBorders>
            <w:vAlign w:val="center"/>
          </w:tcPr>
          <w:p w14:paraId="3CF408A6">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02B4517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2080" w:type="dxa"/>
            <w:tcBorders>
              <w:top w:val="single" w:color="auto" w:sz="4" w:space="0"/>
              <w:left w:val="single" w:color="auto" w:sz="4" w:space="0"/>
              <w:bottom w:val="single" w:color="auto" w:sz="4" w:space="0"/>
              <w:right w:val="single" w:color="auto" w:sz="4" w:space="0"/>
            </w:tcBorders>
            <w:vAlign w:val="center"/>
          </w:tcPr>
          <w:p w14:paraId="0BF06B72">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附件在投标文件中页码</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3F410E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3139313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4C92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432" w:type="dxa"/>
            <w:vMerge w:val="continue"/>
            <w:tcBorders>
              <w:top w:val="single" w:color="auto" w:sz="4" w:space="0"/>
              <w:left w:val="single" w:color="auto" w:sz="4" w:space="0"/>
              <w:bottom w:val="single" w:color="auto" w:sz="4" w:space="0"/>
              <w:right w:val="single" w:color="auto" w:sz="4" w:space="0"/>
            </w:tcBorders>
            <w:vAlign w:val="center"/>
          </w:tcPr>
          <w:p w14:paraId="4AF72B0C">
            <w:pPr>
              <w:jc w:val="left"/>
              <w:rPr>
                <w:rFonts w:hint="eastAsia" w:ascii="仿宋" w:hAnsi="仿宋" w:eastAsia="仿宋" w:cs="仿宋"/>
                <w:color w:val="auto"/>
                <w:sz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440DECF">
            <w:pPr>
              <w:jc w:val="left"/>
              <w:rPr>
                <w:rFonts w:hint="eastAsia" w:ascii="仿宋" w:hAnsi="仿宋" w:eastAsia="仿宋" w:cs="仿宋"/>
                <w:color w:val="auto"/>
                <w:sz w:val="24"/>
                <w:highlight w:val="none"/>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7B9CEEFA">
            <w:pPr>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60FC3CD9">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72262E">
            <w:pPr>
              <w:jc w:val="left"/>
              <w:rPr>
                <w:rFonts w:hint="eastAsia" w:ascii="仿宋" w:hAnsi="仿宋" w:eastAsia="仿宋" w:cs="仿宋"/>
                <w:color w:val="auto"/>
                <w:sz w:val="24"/>
                <w:highlight w:val="none"/>
              </w:rPr>
            </w:pPr>
          </w:p>
        </w:tc>
      </w:tr>
      <w:tr w14:paraId="781CD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5A57A42B">
            <w:pPr>
              <w:snapToGrid w:val="0"/>
              <w:spacing w:line="24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644EE2">
            <w:pPr>
              <w:snapToGrid w:val="0"/>
              <w:spacing w:line="24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03D72D2F">
            <w:pPr>
              <w:snapToGrid w:val="0"/>
              <w:spacing w:line="24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CA98B6F">
            <w:pPr>
              <w:snapToGrid w:val="0"/>
              <w:spacing w:line="24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8045AFD">
            <w:pPr>
              <w:snapToGrid w:val="0"/>
              <w:spacing w:line="240" w:lineRule="exact"/>
              <w:jc w:val="left"/>
              <w:rPr>
                <w:rFonts w:hint="eastAsia" w:ascii="仿宋" w:hAnsi="仿宋" w:eastAsia="仿宋" w:cs="仿宋"/>
                <w:color w:val="auto"/>
                <w:sz w:val="24"/>
                <w:highlight w:val="none"/>
              </w:rPr>
            </w:pPr>
          </w:p>
        </w:tc>
      </w:tr>
      <w:tr w14:paraId="45FCE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6D5BDDC6">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921640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A974063">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08BA8A47">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6BD2587">
            <w:pPr>
              <w:snapToGrid w:val="0"/>
              <w:spacing w:before="50" w:after="120" w:afterLines="50" w:line="400" w:lineRule="exact"/>
              <w:jc w:val="left"/>
              <w:rPr>
                <w:rFonts w:hint="eastAsia" w:ascii="仿宋" w:hAnsi="仿宋" w:eastAsia="仿宋" w:cs="仿宋"/>
                <w:color w:val="auto"/>
                <w:sz w:val="24"/>
                <w:highlight w:val="none"/>
              </w:rPr>
            </w:pPr>
          </w:p>
        </w:tc>
      </w:tr>
      <w:tr w14:paraId="496A9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75E3C47A">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ABCE53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832D21F">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BD6F206">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024EE8">
            <w:pPr>
              <w:snapToGrid w:val="0"/>
              <w:spacing w:before="50" w:after="120" w:afterLines="50" w:line="400" w:lineRule="exact"/>
              <w:jc w:val="left"/>
              <w:rPr>
                <w:rFonts w:hint="eastAsia" w:ascii="仿宋" w:hAnsi="仿宋" w:eastAsia="仿宋" w:cs="仿宋"/>
                <w:color w:val="auto"/>
                <w:sz w:val="24"/>
                <w:highlight w:val="none"/>
              </w:rPr>
            </w:pPr>
          </w:p>
        </w:tc>
      </w:tr>
      <w:tr w14:paraId="22FE0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300C087E">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E29800">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63CFE4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E6D40EF">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8F52778">
            <w:pPr>
              <w:snapToGrid w:val="0"/>
              <w:spacing w:before="50" w:after="120" w:afterLines="50" w:line="400" w:lineRule="exact"/>
              <w:jc w:val="left"/>
              <w:rPr>
                <w:rFonts w:hint="eastAsia" w:ascii="仿宋" w:hAnsi="仿宋" w:eastAsia="仿宋" w:cs="仿宋"/>
                <w:color w:val="auto"/>
                <w:sz w:val="24"/>
                <w:highlight w:val="none"/>
              </w:rPr>
            </w:pPr>
          </w:p>
        </w:tc>
      </w:tr>
      <w:tr w14:paraId="1C54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441CBCF9">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2E90042">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191F11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981D17A">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08882C">
            <w:pPr>
              <w:snapToGrid w:val="0"/>
              <w:spacing w:before="50" w:after="120" w:afterLines="50" w:line="400" w:lineRule="exact"/>
              <w:jc w:val="left"/>
              <w:rPr>
                <w:rFonts w:hint="eastAsia" w:ascii="仿宋" w:hAnsi="仿宋" w:eastAsia="仿宋" w:cs="仿宋"/>
                <w:color w:val="auto"/>
                <w:sz w:val="24"/>
                <w:highlight w:val="none"/>
              </w:rPr>
            </w:pPr>
          </w:p>
        </w:tc>
      </w:tr>
    </w:tbl>
    <w:p w14:paraId="26B3E941">
      <w:pPr>
        <w:pStyle w:val="13"/>
        <w:snapToGrid w:val="0"/>
        <w:rPr>
          <w:rFonts w:hint="eastAsia" w:ascii="仿宋" w:hAnsi="仿宋" w:eastAsia="仿宋" w:cs="仿宋"/>
          <w:color w:val="auto"/>
          <w:sz w:val="24"/>
          <w:szCs w:val="24"/>
          <w:highlight w:val="none"/>
        </w:rPr>
      </w:pPr>
    </w:p>
    <w:p w14:paraId="258991AE">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0233858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DC8A18A">
      <w:pPr>
        <w:snapToGrid w:val="0"/>
        <w:spacing w:before="50" w:line="360" w:lineRule="auto"/>
        <w:ind w:right="480" w:firstLine="480" w:firstLineChars="200"/>
        <w:jc w:val="left"/>
        <w:rPr>
          <w:rFonts w:hint="eastAsia" w:ascii="仿宋" w:hAnsi="仿宋" w:eastAsia="仿宋" w:cs="仿宋"/>
          <w:color w:val="auto"/>
          <w:sz w:val="24"/>
          <w:highlight w:val="none"/>
        </w:rPr>
        <w:sectPr>
          <w:footerReference r:id="rId19" w:type="first"/>
          <w:headerReference r:id="rId16" w:type="default"/>
          <w:footerReference r:id="rId17" w:type="default"/>
          <w:footerReference r:id="rId18" w:type="even"/>
          <w:pgSz w:w="11906" w:h="16838"/>
          <w:pgMar w:top="1440" w:right="1797" w:bottom="1440" w:left="1797" w:header="851" w:footer="992" w:gutter="0"/>
          <w:pgNumType w:fmt="decimal"/>
          <w:cols w:space="720" w:num="1"/>
          <w:docGrid w:linePitch="312" w:charSpace="0"/>
        </w:sectPr>
      </w:pPr>
      <w:r>
        <w:rPr>
          <w:rFonts w:hint="eastAsia" w:ascii="仿宋" w:hAnsi="仿宋" w:eastAsia="仿宋" w:cs="仿宋"/>
          <w:color w:val="auto"/>
          <w:sz w:val="24"/>
          <w:highlight w:val="none"/>
        </w:rPr>
        <w:t>年    月    日</w:t>
      </w:r>
    </w:p>
    <w:p w14:paraId="04AD5D3C">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设备性能配置清单格式</w:t>
      </w:r>
    </w:p>
    <w:p w14:paraId="3B3D5AC5">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w:t>
      </w:r>
    </w:p>
    <w:p w14:paraId="6C05EA81">
      <w:pPr>
        <w:pStyle w:val="23"/>
        <w:rPr>
          <w:rFonts w:hint="eastAsia" w:ascii="仿宋" w:hAnsi="仿宋" w:eastAsia="仿宋" w:cs="仿宋"/>
          <w:color w:val="auto"/>
          <w:sz w:val="24"/>
          <w:szCs w:val="24"/>
          <w:highlight w:val="none"/>
        </w:rPr>
      </w:pP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2"/>
        <w:gridCol w:w="1052"/>
        <w:gridCol w:w="1147"/>
        <w:gridCol w:w="1638"/>
        <w:gridCol w:w="981"/>
        <w:gridCol w:w="1202"/>
        <w:gridCol w:w="1648"/>
      </w:tblGrid>
      <w:tr w14:paraId="5077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DEC0B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2821AE80">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534" w:type="pct"/>
            <w:tcBorders>
              <w:top w:val="single" w:color="auto" w:sz="4" w:space="0"/>
              <w:left w:val="single" w:color="auto" w:sz="4" w:space="0"/>
              <w:bottom w:val="single" w:color="auto" w:sz="4" w:space="0"/>
              <w:right w:val="single" w:color="auto" w:sz="4" w:space="0"/>
            </w:tcBorders>
            <w:vAlign w:val="center"/>
          </w:tcPr>
          <w:p w14:paraId="50AF57BB">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582" w:type="pct"/>
            <w:tcBorders>
              <w:top w:val="single" w:color="auto" w:sz="4" w:space="0"/>
              <w:left w:val="single" w:color="auto" w:sz="4" w:space="0"/>
              <w:bottom w:val="single" w:color="auto" w:sz="4" w:space="0"/>
              <w:right w:val="single" w:color="auto" w:sz="4" w:space="0"/>
            </w:tcBorders>
            <w:vAlign w:val="center"/>
          </w:tcPr>
          <w:p w14:paraId="1FB641CC">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831" w:type="pct"/>
            <w:tcBorders>
              <w:top w:val="single" w:color="auto" w:sz="4" w:space="0"/>
              <w:left w:val="single" w:color="auto" w:sz="4" w:space="0"/>
              <w:bottom w:val="single" w:color="auto" w:sz="4" w:space="0"/>
              <w:right w:val="single" w:color="auto" w:sz="4" w:space="0"/>
            </w:tcBorders>
            <w:vAlign w:val="center"/>
          </w:tcPr>
          <w:p w14:paraId="79B74254">
            <w:pPr>
              <w:snapToGrid w:val="0"/>
              <w:spacing w:before="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498" w:type="pct"/>
            <w:tcBorders>
              <w:top w:val="single" w:color="auto" w:sz="4" w:space="0"/>
              <w:left w:val="single" w:color="auto" w:sz="4" w:space="0"/>
              <w:bottom w:val="single" w:color="auto" w:sz="4" w:space="0"/>
              <w:right w:val="single" w:color="auto" w:sz="4" w:space="0"/>
            </w:tcBorders>
            <w:vAlign w:val="center"/>
          </w:tcPr>
          <w:p w14:paraId="1BFF8C2E">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w:t>
            </w:r>
          </w:p>
        </w:tc>
        <w:tc>
          <w:tcPr>
            <w:tcW w:w="610" w:type="pct"/>
            <w:tcBorders>
              <w:top w:val="single" w:color="auto" w:sz="4" w:space="0"/>
              <w:left w:val="single" w:color="auto" w:sz="4" w:space="0"/>
              <w:bottom w:val="single" w:color="auto" w:sz="4" w:space="0"/>
              <w:right w:val="single" w:color="auto" w:sz="4" w:space="0"/>
            </w:tcBorders>
            <w:vAlign w:val="center"/>
          </w:tcPr>
          <w:p w14:paraId="059F65A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ED905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参数性能、指标及配置</w:t>
            </w:r>
          </w:p>
        </w:tc>
      </w:tr>
      <w:tr w14:paraId="39BE1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0814E30">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31A57FF">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754A22BA">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E65DCC0">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3A450D80">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5868DDDA">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5CB56AA4">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894BAFE">
            <w:pPr>
              <w:snapToGrid w:val="0"/>
              <w:spacing w:before="50" w:after="50"/>
              <w:jc w:val="center"/>
              <w:rPr>
                <w:rFonts w:hint="eastAsia" w:ascii="仿宋" w:hAnsi="仿宋" w:eastAsia="仿宋" w:cs="仿宋"/>
                <w:color w:val="auto"/>
                <w:sz w:val="24"/>
                <w:highlight w:val="none"/>
              </w:rPr>
            </w:pPr>
          </w:p>
        </w:tc>
      </w:tr>
      <w:tr w14:paraId="5727D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AB23ACC">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4A8FB81">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0BB1A7D8">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22B69C2">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55792FA8">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096E4B">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9BA69A2">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814A801">
            <w:pPr>
              <w:snapToGrid w:val="0"/>
              <w:spacing w:before="50" w:after="50"/>
              <w:jc w:val="center"/>
              <w:rPr>
                <w:rFonts w:hint="eastAsia" w:ascii="仿宋" w:hAnsi="仿宋" w:eastAsia="仿宋" w:cs="仿宋"/>
                <w:color w:val="auto"/>
                <w:sz w:val="24"/>
                <w:highlight w:val="none"/>
              </w:rPr>
            </w:pPr>
          </w:p>
        </w:tc>
      </w:tr>
      <w:tr w14:paraId="52F7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5F118B3">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00C598">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540F7404">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1EEFBE9">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4E1A8216">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467802">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7B63690D">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B91BE99">
            <w:pPr>
              <w:snapToGrid w:val="0"/>
              <w:spacing w:before="50" w:after="50"/>
              <w:jc w:val="center"/>
              <w:rPr>
                <w:rFonts w:hint="eastAsia" w:ascii="仿宋" w:hAnsi="仿宋" w:eastAsia="仿宋" w:cs="仿宋"/>
                <w:color w:val="auto"/>
                <w:sz w:val="24"/>
                <w:highlight w:val="none"/>
              </w:rPr>
            </w:pPr>
          </w:p>
        </w:tc>
      </w:tr>
    </w:tbl>
    <w:p w14:paraId="66BF367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备注：以上性能配置清单中“货物名称、数量及单位、品牌、规格型号、制造商、原产地、参数性能、指标及配置”必须如实填写完整，品牌、规格型号没有则填无，填写有缺漏</w:t>
      </w:r>
      <w:r>
        <w:rPr>
          <w:rFonts w:hint="eastAsia" w:ascii="仿宋" w:hAnsi="仿宋" w:eastAsia="仿宋" w:cs="仿宋"/>
          <w:bCs/>
          <w:color w:val="auto"/>
          <w:sz w:val="24"/>
          <w:highlight w:val="none"/>
        </w:rPr>
        <w:t>的，</w:t>
      </w:r>
      <w:r>
        <w:rPr>
          <w:rFonts w:hint="eastAsia" w:ascii="仿宋" w:hAnsi="仿宋" w:eastAsia="仿宋" w:cs="仿宋"/>
          <w:b/>
          <w:color w:val="auto"/>
          <w:sz w:val="24"/>
          <w:highlight w:val="none"/>
        </w:rPr>
        <w:t>作无效投标处理。</w:t>
      </w:r>
    </w:p>
    <w:p w14:paraId="291DBF7C">
      <w:pPr>
        <w:snapToGrid w:val="0"/>
        <w:spacing w:before="50" w:after="50"/>
        <w:rPr>
          <w:rFonts w:hint="eastAsia" w:ascii="仿宋" w:hAnsi="仿宋" w:eastAsia="仿宋" w:cs="仿宋"/>
          <w:color w:val="auto"/>
          <w:sz w:val="24"/>
          <w:highlight w:val="none"/>
        </w:rPr>
      </w:pPr>
    </w:p>
    <w:p w14:paraId="7AF5282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3F7E36B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6A2EF80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1759BC70">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技术偏离表格式</w:t>
      </w:r>
    </w:p>
    <w:p w14:paraId="4761492B">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技术偏离表</w:t>
      </w:r>
    </w:p>
    <w:p w14:paraId="6EC9CCB2">
      <w:pPr>
        <w:pStyle w:val="23"/>
        <w:rPr>
          <w:rFonts w:hint="eastAsia" w:ascii="仿宋" w:hAnsi="仿宋" w:eastAsia="仿宋" w:cs="仿宋"/>
          <w:color w:val="auto"/>
          <w:sz w:val="24"/>
          <w:szCs w:val="24"/>
          <w:highlight w:val="none"/>
        </w:rPr>
      </w:pP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17E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EF14527">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项号</w:t>
            </w:r>
          </w:p>
        </w:tc>
        <w:tc>
          <w:tcPr>
            <w:tcW w:w="2143" w:type="dxa"/>
            <w:vAlign w:val="center"/>
          </w:tcPr>
          <w:p w14:paraId="7087E1AE">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标的的名称</w:t>
            </w:r>
          </w:p>
        </w:tc>
        <w:tc>
          <w:tcPr>
            <w:tcW w:w="1834" w:type="dxa"/>
            <w:vAlign w:val="center"/>
          </w:tcPr>
          <w:p w14:paraId="0045D036">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招标要求</w:t>
            </w:r>
          </w:p>
        </w:tc>
        <w:tc>
          <w:tcPr>
            <w:tcW w:w="2181" w:type="dxa"/>
            <w:vAlign w:val="center"/>
          </w:tcPr>
          <w:p w14:paraId="4E1E8F01">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投标响应</w:t>
            </w:r>
          </w:p>
        </w:tc>
        <w:tc>
          <w:tcPr>
            <w:tcW w:w="1934" w:type="dxa"/>
            <w:vAlign w:val="center"/>
          </w:tcPr>
          <w:p w14:paraId="334E56E8">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偏离说明</w:t>
            </w:r>
          </w:p>
        </w:tc>
      </w:tr>
      <w:tr w14:paraId="6E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61D053">
            <w:pPr>
              <w:pStyle w:val="23"/>
              <w:spacing w:line="600" w:lineRule="exact"/>
              <w:rPr>
                <w:rFonts w:hint="eastAsia" w:ascii="仿宋" w:hAnsi="仿宋" w:eastAsia="仿宋" w:cs="仿宋"/>
                <w:color w:val="auto"/>
                <w:kern w:val="2"/>
                <w:sz w:val="24"/>
                <w:szCs w:val="24"/>
                <w:highlight w:val="none"/>
              </w:rPr>
            </w:pPr>
          </w:p>
        </w:tc>
        <w:tc>
          <w:tcPr>
            <w:tcW w:w="2143" w:type="dxa"/>
          </w:tcPr>
          <w:p w14:paraId="4E56708D">
            <w:pPr>
              <w:pStyle w:val="23"/>
              <w:spacing w:line="600" w:lineRule="exact"/>
              <w:rPr>
                <w:rFonts w:hint="eastAsia" w:ascii="仿宋" w:hAnsi="仿宋" w:eastAsia="仿宋" w:cs="仿宋"/>
                <w:color w:val="auto"/>
                <w:kern w:val="2"/>
                <w:sz w:val="24"/>
                <w:szCs w:val="24"/>
                <w:highlight w:val="none"/>
              </w:rPr>
            </w:pPr>
          </w:p>
        </w:tc>
        <w:tc>
          <w:tcPr>
            <w:tcW w:w="1834" w:type="dxa"/>
          </w:tcPr>
          <w:p w14:paraId="01DBCE94">
            <w:pPr>
              <w:pStyle w:val="23"/>
              <w:spacing w:line="600" w:lineRule="exact"/>
              <w:rPr>
                <w:rFonts w:hint="eastAsia" w:ascii="仿宋" w:hAnsi="仿宋" w:eastAsia="仿宋" w:cs="仿宋"/>
                <w:color w:val="auto"/>
                <w:kern w:val="2"/>
                <w:sz w:val="24"/>
                <w:szCs w:val="24"/>
                <w:highlight w:val="none"/>
              </w:rPr>
            </w:pPr>
          </w:p>
        </w:tc>
        <w:tc>
          <w:tcPr>
            <w:tcW w:w="2181" w:type="dxa"/>
          </w:tcPr>
          <w:p w14:paraId="72E0EC45">
            <w:pPr>
              <w:pStyle w:val="23"/>
              <w:spacing w:line="600" w:lineRule="exact"/>
              <w:rPr>
                <w:rFonts w:hint="eastAsia" w:ascii="仿宋" w:hAnsi="仿宋" w:eastAsia="仿宋" w:cs="仿宋"/>
                <w:color w:val="auto"/>
                <w:kern w:val="2"/>
                <w:sz w:val="24"/>
                <w:szCs w:val="24"/>
                <w:highlight w:val="none"/>
              </w:rPr>
            </w:pPr>
          </w:p>
        </w:tc>
        <w:tc>
          <w:tcPr>
            <w:tcW w:w="1934" w:type="dxa"/>
          </w:tcPr>
          <w:p w14:paraId="0FAA0444">
            <w:pPr>
              <w:pStyle w:val="23"/>
              <w:spacing w:line="600" w:lineRule="exact"/>
              <w:rPr>
                <w:rFonts w:hint="eastAsia" w:ascii="仿宋" w:hAnsi="仿宋" w:eastAsia="仿宋" w:cs="仿宋"/>
                <w:color w:val="auto"/>
                <w:kern w:val="2"/>
                <w:sz w:val="24"/>
                <w:szCs w:val="24"/>
                <w:highlight w:val="none"/>
              </w:rPr>
            </w:pPr>
          </w:p>
        </w:tc>
      </w:tr>
      <w:tr w14:paraId="414F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461FD7">
            <w:pPr>
              <w:pStyle w:val="23"/>
              <w:spacing w:line="600" w:lineRule="exact"/>
              <w:rPr>
                <w:rFonts w:hint="eastAsia" w:ascii="仿宋" w:hAnsi="仿宋" w:eastAsia="仿宋" w:cs="仿宋"/>
                <w:color w:val="auto"/>
                <w:kern w:val="2"/>
                <w:sz w:val="24"/>
                <w:szCs w:val="24"/>
                <w:highlight w:val="none"/>
              </w:rPr>
            </w:pPr>
          </w:p>
        </w:tc>
        <w:tc>
          <w:tcPr>
            <w:tcW w:w="2143" w:type="dxa"/>
          </w:tcPr>
          <w:p w14:paraId="5424369F">
            <w:pPr>
              <w:pStyle w:val="23"/>
              <w:spacing w:line="600" w:lineRule="exact"/>
              <w:rPr>
                <w:rFonts w:hint="eastAsia" w:ascii="仿宋" w:hAnsi="仿宋" w:eastAsia="仿宋" w:cs="仿宋"/>
                <w:color w:val="auto"/>
                <w:kern w:val="2"/>
                <w:sz w:val="24"/>
                <w:szCs w:val="24"/>
                <w:highlight w:val="none"/>
              </w:rPr>
            </w:pPr>
          </w:p>
        </w:tc>
        <w:tc>
          <w:tcPr>
            <w:tcW w:w="1834" w:type="dxa"/>
          </w:tcPr>
          <w:p w14:paraId="2A5EE18C">
            <w:pPr>
              <w:pStyle w:val="23"/>
              <w:spacing w:line="600" w:lineRule="exact"/>
              <w:rPr>
                <w:rFonts w:hint="eastAsia" w:ascii="仿宋" w:hAnsi="仿宋" w:eastAsia="仿宋" w:cs="仿宋"/>
                <w:color w:val="auto"/>
                <w:kern w:val="2"/>
                <w:sz w:val="24"/>
                <w:szCs w:val="24"/>
                <w:highlight w:val="none"/>
              </w:rPr>
            </w:pPr>
          </w:p>
        </w:tc>
        <w:tc>
          <w:tcPr>
            <w:tcW w:w="2181" w:type="dxa"/>
          </w:tcPr>
          <w:p w14:paraId="63AEF6F6">
            <w:pPr>
              <w:pStyle w:val="23"/>
              <w:spacing w:line="600" w:lineRule="exact"/>
              <w:rPr>
                <w:rFonts w:hint="eastAsia" w:ascii="仿宋" w:hAnsi="仿宋" w:eastAsia="仿宋" w:cs="仿宋"/>
                <w:color w:val="auto"/>
                <w:kern w:val="2"/>
                <w:sz w:val="24"/>
                <w:szCs w:val="24"/>
                <w:highlight w:val="none"/>
              </w:rPr>
            </w:pPr>
          </w:p>
        </w:tc>
        <w:tc>
          <w:tcPr>
            <w:tcW w:w="1934" w:type="dxa"/>
          </w:tcPr>
          <w:p w14:paraId="60FAB0DA">
            <w:pPr>
              <w:pStyle w:val="23"/>
              <w:spacing w:line="600" w:lineRule="exact"/>
              <w:rPr>
                <w:rFonts w:hint="eastAsia" w:ascii="仿宋" w:hAnsi="仿宋" w:eastAsia="仿宋" w:cs="仿宋"/>
                <w:color w:val="auto"/>
                <w:kern w:val="2"/>
                <w:sz w:val="24"/>
                <w:szCs w:val="24"/>
                <w:highlight w:val="none"/>
              </w:rPr>
            </w:pPr>
          </w:p>
        </w:tc>
      </w:tr>
      <w:tr w14:paraId="0E49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C17B14">
            <w:pPr>
              <w:pStyle w:val="23"/>
              <w:spacing w:line="600" w:lineRule="exact"/>
              <w:rPr>
                <w:rFonts w:hint="eastAsia" w:ascii="仿宋" w:hAnsi="仿宋" w:eastAsia="仿宋" w:cs="仿宋"/>
                <w:color w:val="auto"/>
                <w:kern w:val="2"/>
                <w:sz w:val="24"/>
                <w:szCs w:val="24"/>
                <w:highlight w:val="none"/>
              </w:rPr>
            </w:pPr>
          </w:p>
        </w:tc>
        <w:tc>
          <w:tcPr>
            <w:tcW w:w="2143" w:type="dxa"/>
          </w:tcPr>
          <w:p w14:paraId="5842D874">
            <w:pPr>
              <w:pStyle w:val="23"/>
              <w:spacing w:line="600" w:lineRule="exact"/>
              <w:rPr>
                <w:rFonts w:hint="eastAsia" w:ascii="仿宋" w:hAnsi="仿宋" w:eastAsia="仿宋" w:cs="仿宋"/>
                <w:color w:val="auto"/>
                <w:kern w:val="2"/>
                <w:sz w:val="24"/>
                <w:szCs w:val="24"/>
                <w:highlight w:val="none"/>
              </w:rPr>
            </w:pPr>
          </w:p>
        </w:tc>
        <w:tc>
          <w:tcPr>
            <w:tcW w:w="1834" w:type="dxa"/>
          </w:tcPr>
          <w:p w14:paraId="4AD16CFF">
            <w:pPr>
              <w:pStyle w:val="23"/>
              <w:spacing w:line="600" w:lineRule="exact"/>
              <w:rPr>
                <w:rFonts w:hint="eastAsia" w:ascii="仿宋" w:hAnsi="仿宋" w:eastAsia="仿宋" w:cs="仿宋"/>
                <w:color w:val="auto"/>
                <w:kern w:val="2"/>
                <w:sz w:val="24"/>
                <w:szCs w:val="24"/>
                <w:highlight w:val="none"/>
              </w:rPr>
            </w:pPr>
          </w:p>
        </w:tc>
        <w:tc>
          <w:tcPr>
            <w:tcW w:w="2181" w:type="dxa"/>
          </w:tcPr>
          <w:p w14:paraId="20764BAD">
            <w:pPr>
              <w:pStyle w:val="23"/>
              <w:spacing w:line="600" w:lineRule="exact"/>
              <w:rPr>
                <w:rFonts w:hint="eastAsia" w:ascii="仿宋" w:hAnsi="仿宋" w:eastAsia="仿宋" w:cs="仿宋"/>
                <w:color w:val="auto"/>
                <w:kern w:val="2"/>
                <w:sz w:val="24"/>
                <w:szCs w:val="24"/>
                <w:highlight w:val="none"/>
              </w:rPr>
            </w:pPr>
          </w:p>
        </w:tc>
        <w:tc>
          <w:tcPr>
            <w:tcW w:w="1934" w:type="dxa"/>
          </w:tcPr>
          <w:p w14:paraId="1736FBBE">
            <w:pPr>
              <w:pStyle w:val="23"/>
              <w:spacing w:line="600" w:lineRule="exact"/>
              <w:rPr>
                <w:rFonts w:hint="eastAsia" w:ascii="仿宋" w:hAnsi="仿宋" w:eastAsia="仿宋" w:cs="仿宋"/>
                <w:color w:val="auto"/>
                <w:kern w:val="2"/>
                <w:sz w:val="24"/>
                <w:szCs w:val="24"/>
                <w:highlight w:val="none"/>
              </w:rPr>
            </w:pPr>
          </w:p>
        </w:tc>
      </w:tr>
      <w:tr w14:paraId="6DAC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FD055E">
            <w:pPr>
              <w:pStyle w:val="23"/>
              <w:spacing w:line="600" w:lineRule="exact"/>
              <w:rPr>
                <w:rFonts w:hint="eastAsia" w:ascii="仿宋" w:hAnsi="仿宋" w:eastAsia="仿宋" w:cs="仿宋"/>
                <w:color w:val="auto"/>
                <w:kern w:val="2"/>
                <w:sz w:val="24"/>
                <w:szCs w:val="24"/>
                <w:highlight w:val="none"/>
              </w:rPr>
            </w:pPr>
          </w:p>
        </w:tc>
        <w:tc>
          <w:tcPr>
            <w:tcW w:w="2143" w:type="dxa"/>
          </w:tcPr>
          <w:p w14:paraId="6F95A6F0">
            <w:pPr>
              <w:pStyle w:val="23"/>
              <w:spacing w:line="600" w:lineRule="exact"/>
              <w:rPr>
                <w:rFonts w:hint="eastAsia" w:ascii="仿宋" w:hAnsi="仿宋" w:eastAsia="仿宋" w:cs="仿宋"/>
                <w:color w:val="auto"/>
                <w:kern w:val="2"/>
                <w:sz w:val="24"/>
                <w:szCs w:val="24"/>
                <w:highlight w:val="none"/>
              </w:rPr>
            </w:pPr>
          </w:p>
        </w:tc>
        <w:tc>
          <w:tcPr>
            <w:tcW w:w="1834" w:type="dxa"/>
          </w:tcPr>
          <w:p w14:paraId="1C73FBB1">
            <w:pPr>
              <w:pStyle w:val="23"/>
              <w:spacing w:line="600" w:lineRule="exact"/>
              <w:rPr>
                <w:rFonts w:hint="eastAsia" w:ascii="仿宋" w:hAnsi="仿宋" w:eastAsia="仿宋" w:cs="仿宋"/>
                <w:color w:val="auto"/>
                <w:kern w:val="2"/>
                <w:sz w:val="24"/>
                <w:szCs w:val="24"/>
                <w:highlight w:val="none"/>
              </w:rPr>
            </w:pPr>
          </w:p>
        </w:tc>
        <w:tc>
          <w:tcPr>
            <w:tcW w:w="2181" w:type="dxa"/>
          </w:tcPr>
          <w:p w14:paraId="6F3C86A7">
            <w:pPr>
              <w:pStyle w:val="23"/>
              <w:spacing w:line="600" w:lineRule="exact"/>
              <w:rPr>
                <w:rFonts w:hint="eastAsia" w:ascii="仿宋" w:hAnsi="仿宋" w:eastAsia="仿宋" w:cs="仿宋"/>
                <w:color w:val="auto"/>
                <w:kern w:val="2"/>
                <w:sz w:val="24"/>
                <w:szCs w:val="24"/>
                <w:highlight w:val="none"/>
              </w:rPr>
            </w:pPr>
          </w:p>
        </w:tc>
        <w:tc>
          <w:tcPr>
            <w:tcW w:w="1934" w:type="dxa"/>
          </w:tcPr>
          <w:p w14:paraId="1E4B4D50">
            <w:pPr>
              <w:pStyle w:val="23"/>
              <w:spacing w:line="600" w:lineRule="exact"/>
              <w:rPr>
                <w:rFonts w:hint="eastAsia" w:ascii="仿宋" w:hAnsi="仿宋" w:eastAsia="仿宋" w:cs="仿宋"/>
                <w:color w:val="auto"/>
                <w:kern w:val="2"/>
                <w:sz w:val="24"/>
                <w:szCs w:val="24"/>
                <w:highlight w:val="none"/>
              </w:rPr>
            </w:pPr>
          </w:p>
        </w:tc>
      </w:tr>
      <w:tr w14:paraId="075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49EC1B">
            <w:pPr>
              <w:pStyle w:val="23"/>
              <w:spacing w:line="600" w:lineRule="exact"/>
              <w:rPr>
                <w:rFonts w:hint="eastAsia" w:ascii="仿宋" w:hAnsi="仿宋" w:eastAsia="仿宋" w:cs="仿宋"/>
                <w:color w:val="auto"/>
                <w:kern w:val="2"/>
                <w:sz w:val="24"/>
                <w:szCs w:val="24"/>
                <w:highlight w:val="none"/>
              </w:rPr>
            </w:pPr>
          </w:p>
        </w:tc>
        <w:tc>
          <w:tcPr>
            <w:tcW w:w="2143" w:type="dxa"/>
          </w:tcPr>
          <w:p w14:paraId="4AF450A0">
            <w:pPr>
              <w:pStyle w:val="23"/>
              <w:spacing w:line="600" w:lineRule="exact"/>
              <w:rPr>
                <w:rFonts w:hint="eastAsia" w:ascii="仿宋" w:hAnsi="仿宋" w:eastAsia="仿宋" w:cs="仿宋"/>
                <w:color w:val="auto"/>
                <w:kern w:val="2"/>
                <w:sz w:val="24"/>
                <w:szCs w:val="24"/>
                <w:highlight w:val="none"/>
              </w:rPr>
            </w:pPr>
          </w:p>
        </w:tc>
        <w:tc>
          <w:tcPr>
            <w:tcW w:w="1834" w:type="dxa"/>
          </w:tcPr>
          <w:p w14:paraId="049259FC">
            <w:pPr>
              <w:pStyle w:val="23"/>
              <w:spacing w:line="600" w:lineRule="exact"/>
              <w:rPr>
                <w:rFonts w:hint="eastAsia" w:ascii="仿宋" w:hAnsi="仿宋" w:eastAsia="仿宋" w:cs="仿宋"/>
                <w:color w:val="auto"/>
                <w:kern w:val="2"/>
                <w:sz w:val="24"/>
                <w:szCs w:val="24"/>
                <w:highlight w:val="none"/>
              </w:rPr>
            </w:pPr>
          </w:p>
        </w:tc>
        <w:tc>
          <w:tcPr>
            <w:tcW w:w="2181" w:type="dxa"/>
          </w:tcPr>
          <w:p w14:paraId="6BCBAF6E">
            <w:pPr>
              <w:pStyle w:val="23"/>
              <w:spacing w:line="600" w:lineRule="exact"/>
              <w:rPr>
                <w:rFonts w:hint="eastAsia" w:ascii="仿宋" w:hAnsi="仿宋" w:eastAsia="仿宋" w:cs="仿宋"/>
                <w:color w:val="auto"/>
                <w:kern w:val="2"/>
                <w:sz w:val="24"/>
                <w:szCs w:val="24"/>
                <w:highlight w:val="none"/>
              </w:rPr>
            </w:pPr>
          </w:p>
        </w:tc>
        <w:tc>
          <w:tcPr>
            <w:tcW w:w="1934" w:type="dxa"/>
          </w:tcPr>
          <w:p w14:paraId="029727C5">
            <w:pPr>
              <w:pStyle w:val="23"/>
              <w:spacing w:line="600" w:lineRule="exact"/>
              <w:rPr>
                <w:rFonts w:hint="eastAsia" w:ascii="仿宋" w:hAnsi="仿宋" w:eastAsia="仿宋" w:cs="仿宋"/>
                <w:color w:val="auto"/>
                <w:kern w:val="2"/>
                <w:sz w:val="24"/>
                <w:szCs w:val="24"/>
                <w:highlight w:val="none"/>
              </w:rPr>
            </w:pPr>
          </w:p>
        </w:tc>
      </w:tr>
      <w:tr w14:paraId="16EF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7A2C6D">
            <w:pPr>
              <w:pStyle w:val="23"/>
              <w:spacing w:line="600" w:lineRule="exact"/>
              <w:rPr>
                <w:rFonts w:hint="eastAsia" w:ascii="仿宋" w:hAnsi="仿宋" w:eastAsia="仿宋" w:cs="仿宋"/>
                <w:color w:val="auto"/>
                <w:kern w:val="2"/>
                <w:sz w:val="24"/>
                <w:szCs w:val="24"/>
                <w:highlight w:val="none"/>
              </w:rPr>
            </w:pPr>
          </w:p>
        </w:tc>
        <w:tc>
          <w:tcPr>
            <w:tcW w:w="2143" w:type="dxa"/>
          </w:tcPr>
          <w:p w14:paraId="37CB744C">
            <w:pPr>
              <w:pStyle w:val="23"/>
              <w:spacing w:line="600" w:lineRule="exact"/>
              <w:rPr>
                <w:rFonts w:hint="eastAsia" w:ascii="仿宋" w:hAnsi="仿宋" w:eastAsia="仿宋" w:cs="仿宋"/>
                <w:color w:val="auto"/>
                <w:kern w:val="2"/>
                <w:sz w:val="24"/>
                <w:szCs w:val="24"/>
                <w:highlight w:val="none"/>
              </w:rPr>
            </w:pPr>
          </w:p>
        </w:tc>
        <w:tc>
          <w:tcPr>
            <w:tcW w:w="1834" w:type="dxa"/>
          </w:tcPr>
          <w:p w14:paraId="43AAC26E">
            <w:pPr>
              <w:pStyle w:val="23"/>
              <w:spacing w:line="600" w:lineRule="exact"/>
              <w:rPr>
                <w:rFonts w:hint="eastAsia" w:ascii="仿宋" w:hAnsi="仿宋" w:eastAsia="仿宋" w:cs="仿宋"/>
                <w:color w:val="auto"/>
                <w:kern w:val="2"/>
                <w:sz w:val="24"/>
                <w:szCs w:val="24"/>
                <w:highlight w:val="none"/>
              </w:rPr>
            </w:pPr>
          </w:p>
        </w:tc>
        <w:tc>
          <w:tcPr>
            <w:tcW w:w="2181" w:type="dxa"/>
          </w:tcPr>
          <w:p w14:paraId="6E284E14">
            <w:pPr>
              <w:pStyle w:val="23"/>
              <w:spacing w:line="600" w:lineRule="exact"/>
              <w:rPr>
                <w:rFonts w:hint="eastAsia" w:ascii="仿宋" w:hAnsi="仿宋" w:eastAsia="仿宋" w:cs="仿宋"/>
                <w:color w:val="auto"/>
                <w:kern w:val="2"/>
                <w:sz w:val="24"/>
                <w:szCs w:val="24"/>
                <w:highlight w:val="none"/>
              </w:rPr>
            </w:pPr>
          </w:p>
        </w:tc>
        <w:tc>
          <w:tcPr>
            <w:tcW w:w="1934" w:type="dxa"/>
          </w:tcPr>
          <w:p w14:paraId="644090CA">
            <w:pPr>
              <w:pStyle w:val="23"/>
              <w:spacing w:line="600" w:lineRule="exact"/>
              <w:rPr>
                <w:rFonts w:hint="eastAsia" w:ascii="仿宋" w:hAnsi="仿宋" w:eastAsia="仿宋" w:cs="仿宋"/>
                <w:color w:val="auto"/>
                <w:kern w:val="2"/>
                <w:sz w:val="24"/>
                <w:szCs w:val="24"/>
                <w:highlight w:val="none"/>
              </w:rPr>
            </w:pPr>
          </w:p>
        </w:tc>
      </w:tr>
    </w:tbl>
    <w:p w14:paraId="10E5A5BC">
      <w:pPr>
        <w:pStyle w:val="1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w:t>
      </w:r>
    </w:p>
    <w:p w14:paraId="4BB0ECA8">
      <w:pPr>
        <w:pStyle w:val="17"/>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采购需求”中的技术需求条款逐条实质性响应，并作出偏离说明。</w:t>
      </w:r>
    </w:p>
    <w:p w14:paraId="4D2EFBEB">
      <w:pPr>
        <w:pStyle w:val="15"/>
        <w:spacing w:line="360" w:lineRule="auto"/>
        <w:rPr>
          <w:rFonts w:hint="eastAsia" w:ascii="仿宋" w:hAnsi="仿宋" w:eastAsia="仿宋" w:cs="仿宋"/>
          <w:color w:val="auto"/>
          <w:highlight w:val="none"/>
        </w:rPr>
      </w:pPr>
      <w:r>
        <w:rPr>
          <w:rFonts w:hint="eastAsia" w:ascii="仿宋" w:hAnsi="仿宋" w:eastAsia="仿宋" w:cs="仿宋"/>
          <w:b w:val="0"/>
          <w:bCs w:val="0"/>
          <w:color w:val="auto"/>
          <w:highlight w:val="none"/>
        </w:rPr>
        <w:t>2.投标人应根据投标设备的性能指标，对照招标文件要求，在“偏离说明”中注明“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2205CF51">
      <w:pPr>
        <w:pStyle w:val="15"/>
        <w:rPr>
          <w:rFonts w:hint="eastAsia" w:ascii="仿宋" w:hAnsi="仿宋" w:eastAsia="仿宋" w:cs="仿宋"/>
          <w:color w:val="auto"/>
          <w:spacing w:val="20"/>
          <w:highlight w:val="none"/>
        </w:rPr>
      </w:pPr>
    </w:p>
    <w:p w14:paraId="26029281">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2DDE538">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5ED16A8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3259E6A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项目实施人员一览表格式</w:t>
      </w:r>
    </w:p>
    <w:p w14:paraId="4A35418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项目实施人员一览表</w:t>
      </w:r>
    </w:p>
    <w:p w14:paraId="32D211A6">
      <w:pPr>
        <w:pStyle w:val="23"/>
        <w:spacing w:line="360" w:lineRule="auto"/>
        <w:rPr>
          <w:rFonts w:hint="eastAsia" w:ascii="仿宋" w:hAnsi="仿宋" w:eastAsia="仿宋" w:cs="仿宋"/>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685"/>
        <w:gridCol w:w="1134"/>
        <w:gridCol w:w="1276"/>
        <w:gridCol w:w="851"/>
      </w:tblGrid>
      <w:tr w14:paraId="704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32107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709" w:type="dxa"/>
            <w:vAlign w:val="center"/>
          </w:tcPr>
          <w:p w14:paraId="6225556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3685" w:type="dxa"/>
            <w:vAlign w:val="center"/>
          </w:tcPr>
          <w:p w14:paraId="5D98D770">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专业技术资格（职称）或者职业资格或者执业资格证或者其他证书</w:t>
            </w:r>
          </w:p>
        </w:tc>
        <w:tc>
          <w:tcPr>
            <w:tcW w:w="1134" w:type="dxa"/>
            <w:vAlign w:val="center"/>
          </w:tcPr>
          <w:p w14:paraId="1396B404">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1276" w:type="dxa"/>
            <w:vAlign w:val="center"/>
          </w:tcPr>
          <w:p w14:paraId="1C24DD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参加本单位</w:t>
            </w:r>
          </w:p>
          <w:p w14:paraId="584FFCD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工作时间</w:t>
            </w:r>
          </w:p>
        </w:tc>
        <w:tc>
          <w:tcPr>
            <w:tcW w:w="851" w:type="dxa"/>
            <w:vAlign w:val="center"/>
          </w:tcPr>
          <w:p w14:paraId="09E0AD1A">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劳动合同编号</w:t>
            </w:r>
          </w:p>
        </w:tc>
      </w:tr>
      <w:tr w14:paraId="7E7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D8BE11">
            <w:pPr>
              <w:snapToGrid w:val="0"/>
              <w:jc w:val="center"/>
              <w:rPr>
                <w:rFonts w:hint="eastAsia" w:ascii="仿宋" w:hAnsi="仿宋" w:eastAsia="仿宋" w:cs="仿宋"/>
                <w:color w:val="auto"/>
                <w:sz w:val="24"/>
                <w:highlight w:val="none"/>
              </w:rPr>
            </w:pPr>
          </w:p>
        </w:tc>
        <w:tc>
          <w:tcPr>
            <w:tcW w:w="709" w:type="dxa"/>
            <w:vAlign w:val="center"/>
          </w:tcPr>
          <w:p w14:paraId="642D9110">
            <w:pPr>
              <w:snapToGrid w:val="0"/>
              <w:jc w:val="center"/>
              <w:rPr>
                <w:rFonts w:hint="eastAsia" w:ascii="仿宋" w:hAnsi="仿宋" w:eastAsia="仿宋" w:cs="仿宋"/>
                <w:color w:val="auto"/>
                <w:sz w:val="24"/>
                <w:highlight w:val="none"/>
              </w:rPr>
            </w:pPr>
          </w:p>
        </w:tc>
        <w:tc>
          <w:tcPr>
            <w:tcW w:w="3685" w:type="dxa"/>
            <w:vAlign w:val="center"/>
          </w:tcPr>
          <w:p w14:paraId="4A4C9CF5">
            <w:pPr>
              <w:snapToGrid w:val="0"/>
              <w:jc w:val="center"/>
              <w:rPr>
                <w:rFonts w:hint="eastAsia" w:ascii="仿宋" w:hAnsi="仿宋" w:eastAsia="仿宋" w:cs="仿宋"/>
                <w:color w:val="auto"/>
                <w:sz w:val="24"/>
                <w:highlight w:val="none"/>
              </w:rPr>
            </w:pPr>
          </w:p>
        </w:tc>
        <w:tc>
          <w:tcPr>
            <w:tcW w:w="1134" w:type="dxa"/>
            <w:vAlign w:val="center"/>
          </w:tcPr>
          <w:p w14:paraId="54C0ACA3">
            <w:pPr>
              <w:snapToGrid w:val="0"/>
              <w:jc w:val="center"/>
              <w:rPr>
                <w:rFonts w:hint="eastAsia" w:ascii="仿宋" w:hAnsi="仿宋" w:eastAsia="仿宋" w:cs="仿宋"/>
                <w:color w:val="auto"/>
                <w:sz w:val="24"/>
                <w:highlight w:val="none"/>
              </w:rPr>
            </w:pPr>
          </w:p>
        </w:tc>
        <w:tc>
          <w:tcPr>
            <w:tcW w:w="1276" w:type="dxa"/>
            <w:vAlign w:val="center"/>
          </w:tcPr>
          <w:p w14:paraId="3C8A51D7">
            <w:pPr>
              <w:snapToGrid w:val="0"/>
              <w:jc w:val="center"/>
              <w:rPr>
                <w:rFonts w:hint="eastAsia" w:ascii="仿宋" w:hAnsi="仿宋" w:eastAsia="仿宋" w:cs="仿宋"/>
                <w:color w:val="auto"/>
                <w:sz w:val="24"/>
                <w:highlight w:val="none"/>
              </w:rPr>
            </w:pPr>
          </w:p>
        </w:tc>
        <w:tc>
          <w:tcPr>
            <w:tcW w:w="851" w:type="dxa"/>
            <w:vAlign w:val="center"/>
          </w:tcPr>
          <w:p w14:paraId="6BED5D94">
            <w:pPr>
              <w:snapToGrid w:val="0"/>
              <w:jc w:val="center"/>
              <w:rPr>
                <w:rFonts w:hint="eastAsia" w:ascii="仿宋" w:hAnsi="仿宋" w:eastAsia="仿宋" w:cs="仿宋"/>
                <w:color w:val="auto"/>
                <w:sz w:val="24"/>
                <w:highlight w:val="none"/>
              </w:rPr>
            </w:pPr>
          </w:p>
        </w:tc>
      </w:tr>
      <w:tr w14:paraId="176E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82F4F5">
            <w:pPr>
              <w:snapToGrid w:val="0"/>
              <w:jc w:val="center"/>
              <w:rPr>
                <w:rFonts w:hint="eastAsia" w:ascii="仿宋" w:hAnsi="仿宋" w:eastAsia="仿宋" w:cs="仿宋"/>
                <w:color w:val="auto"/>
                <w:sz w:val="24"/>
                <w:highlight w:val="none"/>
              </w:rPr>
            </w:pPr>
          </w:p>
        </w:tc>
        <w:tc>
          <w:tcPr>
            <w:tcW w:w="709" w:type="dxa"/>
            <w:vAlign w:val="center"/>
          </w:tcPr>
          <w:p w14:paraId="132D4D35">
            <w:pPr>
              <w:snapToGrid w:val="0"/>
              <w:jc w:val="center"/>
              <w:rPr>
                <w:rFonts w:hint="eastAsia" w:ascii="仿宋" w:hAnsi="仿宋" w:eastAsia="仿宋" w:cs="仿宋"/>
                <w:color w:val="auto"/>
                <w:sz w:val="24"/>
                <w:highlight w:val="none"/>
              </w:rPr>
            </w:pPr>
          </w:p>
        </w:tc>
        <w:tc>
          <w:tcPr>
            <w:tcW w:w="3685" w:type="dxa"/>
            <w:vAlign w:val="center"/>
          </w:tcPr>
          <w:p w14:paraId="0A6A036E">
            <w:pPr>
              <w:snapToGrid w:val="0"/>
              <w:jc w:val="center"/>
              <w:rPr>
                <w:rFonts w:hint="eastAsia" w:ascii="仿宋" w:hAnsi="仿宋" w:eastAsia="仿宋" w:cs="仿宋"/>
                <w:color w:val="auto"/>
                <w:sz w:val="24"/>
                <w:highlight w:val="none"/>
              </w:rPr>
            </w:pPr>
          </w:p>
        </w:tc>
        <w:tc>
          <w:tcPr>
            <w:tcW w:w="1134" w:type="dxa"/>
            <w:vAlign w:val="center"/>
          </w:tcPr>
          <w:p w14:paraId="13E286E7">
            <w:pPr>
              <w:snapToGrid w:val="0"/>
              <w:jc w:val="center"/>
              <w:rPr>
                <w:rFonts w:hint="eastAsia" w:ascii="仿宋" w:hAnsi="仿宋" w:eastAsia="仿宋" w:cs="仿宋"/>
                <w:color w:val="auto"/>
                <w:sz w:val="24"/>
                <w:highlight w:val="none"/>
              </w:rPr>
            </w:pPr>
          </w:p>
        </w:tc>
        <w:tc>
          <w:tcPr>
            <w:tcW w:w="1276" w:type="dxa"/>
            <w:vAlign w:val="center"/>
          </w:tcPr>
          <w:p w14:paraId="3AA89881">
            <w:pPr>
              <w:snapToGrid w:val="0"/>
              <w:jc w:val="center"/>
              <w:rPr>
                <w:rFonts w:hint="eastAsia" w:ascii="仿宋" w:hAnsi="仿宋" w:eastAsia="仿宋" w:cs="仿宋"/>
                <w:color w:val="auto"/>
                <w:sz w:val="24"/>
                <w:highlight w:val="none"/>
              </w:rPr>
            </w:pPr>
          </w:p>
        </w:tc>
        <w:tc>
          <w:tcPr>
            <w:tcW w:w="851" w:type="dxa"/>
            <w:vAlign w:val="center"/>
          </w:tcPr>
          <w:p w14:paraId="115A6F8A">
            <w:pPr>
              <w:snapToGrid w:val="0"/>
              <w:jc w:val="center"/>
              <w:rPr>
                <w:rFonts w:hint="eastAsia" w:ascii="仿宋" w:hAnsi="仿宋" w:eastAsia="仿宋" w:cs="仿宋"/>
                <w:color w:val="auto"/>
                <w:sz w:val="24"/>
                <w:highlight w:val="none"/>
              </w:rPr>
            </w:pPr>
          </w:p>
        </w:tc>
      </w:tr>
      <w:tr w14:paraId="4E0E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8405C8">
            <w:pPr>
              <w:snapToGrid w:val="0"/>
              <w:jc w:val="center"/>
              <w:rPr>
                <w:rFonts w:hint="eastAsia" w:ascii="仿宋" w:hAnsi="仿宋" w:eastAsia="仿宋" w:cs="仿宋"/>
                <w:color w:val="auto"/>
                <w:sz w:val="24"/>
                <w:highlight w:val="none"/>
              </w:rPr>
            </w:pPr>
          </w:p>
        </w:tc>
        <w:tc>
          <w:tcPr>
            <w:tcW w:w="709" w:type="dxa"/>
            <w:vAlign w:val="center"/>
          </w:tcPr>
          <w:p w14:paraId="0E64A4E0">
            <w:pPr>
              <w:snapToGrid w:val="0"/>
              <w:jc w:val="center"/>
              <w:rPr>
                <w:rFonts w:hint="eastAsia" w:ascii="仿宋" w:hAnsi="仿宋" w:eastAsia="仿宋" w:cs="仿宋"/>
                <w:color w:val="auto"/>
                <w:sz w:val="24"/>
                <w:highlight w:val="none"/>
              </w:rPr>
            </w:pPr>
          </w:p>
        </w:tc>
        <w:tc>
          <w:tcPr>
            <w:tcW w:w="3685" w:type="dxa"/>
            <w:vAlign w:val="center"/>
          </w:tcPr>
          <w:p w14:paraId="54EA5B16">
            <w:pPr>
              <w:snapToGrid w:val="0"/>
              <w:jc w:val="center"/>
              <w:rPr>
                <w:rFonts w:hint="eastAsia" w:ascii="仿宋" w:hAnsi="仿宋" w:eastAsia="仿宋" w:cs="仿宋"/>
                <w:color w:val="auto"/>
                <w:sz w:val="24"/>
                <w:highlight w:val="none"/>
              </w:rPr>
            </w:pPr>
          </w:p>
        </w:tc>
        <w:tc>
          <w:tcPr>
            <w:tcW w:w="1134" w:type="dxa"/>
            <w:vAlign w:val="center"/>
          </w:tcPr>
          <w:p w14:paraId="110DE926">
            <w:pPr>
              <w:snapToGrid w:val="0"/>
              <w:jc w:val="center"/>
              <w:rPr>
                <w:rFonts w:hint="eastAsia" w:ascii="仿宋" w:hAnsi="仿宋" w:eastAsia="仿宋" w:cs="仿宋"/>
                <w:color w:val="auto"/>
                <w:sz w:val="24"/>
                <w:highlight w:val="none"/>
              </w:rPr>
            </w:pPr>
          </w:p>
        </w:tc>
        <w:tc>
          <w:tcPr>
            <w:tcW w:w="1276" w:type="dxa"/>
            <w:vAlign w:val="center"/>
          </w:tcPr>
          <w:p w14:paraId="7202DB1C">
            <w:pPr>
              <w:snapToGrid w:val="0"/>
              <w:jc w:val="center"/>
              <w:rPr>
                <w:rFonts w:hint="eastAsia" w:ascii="仿宋" w:hAnsi="仿宋" w:eastAsia="仿宋" w:cs="仿宋"/>
                <w:color w:val="auto"/>
                <w:sz w:val="24"/>
                <w:highlight w:val="none"/>
              </w:rPr>
            </w:pPr>
          </w:p>
        </w:tc>
        <w:tc>
          <w:tcPr>
            <w:tcW w:w="851" w:type="dxa"/>
            <w:vAlign w:val="center"/>
          </w:tcPr>
          <w:p w14:paraId="21881AD4">
            <w:pPr>
              <w:snapToGrid w:val="0"/>
              <w:jc w:val="center"/>
              <w:rPr>
                <w:rFonts w:hint="eastAsia" w:ascii="仿宋" w:hAnsi="仿宋" w:eastAsia="仿宋" w:cs="仿宋"/>
                <w:color w:val="auto"/>
                <w:sz w:val="24"/>
                <w:highlight w:val="none"/>
              </w:rPr>
            </w:pPr>
          </w:p>
        </w:tc>
      </w:tr>
    </w:tbl>
    <w:p w14:paraId="7D5D502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注：在填写时，如本表格不适合投标单位的实际情况，可根据本表格式自行制表填写。</w:t>
      </w:r>
    </w:p>
    <w:p w14:paraId="0C82FADD">
      <w:pPr>
        <w:snapToGrid w:val="0"/>
        <w:spacing w:line="360" w:lineRule="auto"/>
        <w:jc w:val="left"/>
        <w:rPr>
          <w:rFonts w:hint="eastAsia" w:ascii="仿宋" w:hAnsi="仿宋" w:eastAsia="仿宋" w:cs="仿宋"/>
          <w:color w:val="auto"/>
          <w:sz w:val="24"/>
          <w:highlight w:val="none"/>
        </w:rPr>
      </w:pPr>
    </w:p>
    <w:p w14:paraId="60466A3C">
      <w:pPr>
        <w:snapToGrid w:val="0"/>
        <w:spacing w:line="360" w:lineRule="auto"/>
        <w:jc w:val="left"/>
        <w:rPr>
          <w:rFonts w:hint="eastAsia" w:ascii="仿宋" w:hAnsi="仿宋" w:eastAsia="仿宋" w:cs="仿宋"/>
          <w:color w:val="auto"/>
          <w:sz w:val="24"/>
          <w:highlight w:val="none"/>
        </w:rPr>
      </w:pPr>
    </w:p>
    <w:p w14:paraId="2645B81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D4D891A">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2AAA54E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0D328E57">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选配件、专用耗材、售后服务优惠表格式</w:t>
      </w:r>
    </w:p>
    <w:p w14:paraId="4FDAED8B">
      <w:pPr>
        <w:snapToGrid w:val="0"/>
        <w:spacing w:before="240" w:beforeLines="100" w:after="48" w:afterLines="20" w:line="360" w:lineRule="auto"/>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选配件、专用耗材、售后服务优惠表</w:t>
      </w:r>
    </w:p>
    <w:p w14:paraId="6BEED880">
      <w:pPr>
        <w:pStyle w:val="23"/>
        <w:rPr>
          <w:rFonts w:hint="eastAsia" w:ascii="仿宋" w:hAnsi="仿宋" w:eastAsia="仿宋" w:cs="仿宋"/>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BFE3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94A0B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14CDE46F">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BA8A8BB">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4DF226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8FEA945">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比市场价优惠率</w:t>
            </w:r>
          </w:p>
        </w:tc>
      </w:tr>
      <w:tr w14:paraId="7455B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AAF3D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24E40933">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3565B81A">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A6E098">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291BD8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0F6F7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7869383">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3188D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3D145B5">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810384">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6B0C5212">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1CE6A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405CD98">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18C7FBE7">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593589A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215AC39">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CB4B28D">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bl>
    <w:p w14:paraId="480BE03E">
      <w:pPr>
        <w:snapToGrid w:val="0"/>
        <w:spacing w:before="50" w:after="50"/>
        <w:rPr>
          <w:rFonts w:hint="eastAsia" w:ascii="仿宋" w:hAnsi="仿宋" w:eastAsia="仿宋" w:cs="仿宋"/>
          <w:color w:val="auto"/>
          <w:sz w:val="24"/>
          <w:highlight w:val="none"/>
        </w:rPr>
      </w:pPr>
    </w:p>
    <w:p w14:paraId="6AEEA450">
      <w:pPr>
        <w:snapToGrid w:val="0"/>
        <w:spacing w:before="50" w:after="50"/>
        <w:rPr>
          <w:rFonts w:hint="eastAsia" w:ascii="仿宋" w:hAnsi="仿宋" w:eastAsia="仿宋" w:cs="仿宋"/>
          <w:color w:val="auto"/>
          <w:sz w:val="24"/>
          <w:highlight w:val="none"/>
        </w:rPr>
      </w:pPr>
    </w:p>
    <w:p w14:paraId="730EAAB4">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210382FC">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7754179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43A217F5">
      <w:pPr>
        <w:snapToGrid w:val="0"/>
        <w:spacing w:before="120" w:beforeLines="50" w:after="50"/>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r>
        <w:rPr>
          <w:rFonts w:hint="eastAsia" w:ascii="仿宋" w:hAnsi="仿宋" w:eastAsia="仿宋" w:cs="仿宋"/>
          <w:b/>
          <w:color w:val="auto"/>
          <w:sz w:val="24"/>
          <w:highlight w:val="none"/>
        </w:rPr>
        <w:t>中小企业声明函格式</w:t>
      </w:r>
    </w:p>
    <w:p w14:paraId="2B977FCD">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中小企业声明函</w:t>
      </w:r>
    </w:p>
    <w:p w14:paraId="5AD231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本公司(联合体)郑重声明，根据《政府采购促进中小企业发展管理办法》(财库( 2020 )46号)的规定，本公司(联合体)参加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680E31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，从业人员____人， 营业收入为___万元，资产总额为___万元，属于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0C4221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(采购文件中明确的所属行业)行</w:t>
      </w:r>
      <w:r>
        <w:rPr>
          <w:rFonts w:hint="eastAsia" w:ascii="仿宋" w:hAnsi="仿宋" w:eastAsia="仿宋" w:cs="仿宋"/>
          <w:color w:val="auto"/>
          <w:sz w:val="24"/>
          <w:highlight w:val="none"/>
        </w:rPr>
        <w:t>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，从业人员___人， 营业收入为___ 万元，资产总额为___万元，属于(中型企业、小型企业、微型企业)；</w:t>
      </w:r>
    </w:p>
    <w:p w14:paraId="6D316D4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F4283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FD936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36AA493">
      <w:pPr>
        <w:spacing w:line="360" w:lineRule="auto"/>
        <w:rPr>
          <w:rFonts w:hint="eastAsia" w:ascii="仿宋" w:hAnsi="仿宋" w:eastAsia="仿宋" w:cs="仿宋"/>
          <w:color w:val="auto"/>
          <w:sz w:val="24"/>
          <w:highlight w:val="none"/>
        </w:rPr>
      </w:pPr>
    </w:p>
    <w:p w14:paraId="0A2D3F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0C4008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747A77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0B277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（1）请根据自己的真实情况出具《中小企业声明函》。依法享受中小企业优惠政策的，采购人或者采购代理机构在公告成交结果时，同时公告其《中小企业声明函》，接受社会监督。</w:t>
      </w:r>
    </w:p>
    <w:p w14:paraId="509511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（2）从业人员、营业收入、资产总额填报上一年度数据，无上一年度数据的新成立企业可不填报</w:t>
      </w:r>
    </w:p>
    <w:p w14:paraId="12131F50">
      <w:pPr>
        <w:snapToGrid w:val="0"/>
        <w:spacing w:before="120" w:beforeLines="50" w:after="240" w:afterLines="100"/>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监狱企业声明函</w:t>
      </w:r>
    </w:p>
    <w:p w14:paraId="483BE0BF">
      <w:pPr>
        <w:autoSpaceDE w:val="0"/>
        <w:autoSpaceDN w:val="0"/>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本公司郑重声明，根据《关于政府采购支持监狱企业发展有关问题的通知》（财库[2014]68号）的规定，本公司为监狱企业。即，本公司同时满足以下条件：</w:t>
      </w:r>
    </w:p>
    <w:p w14:paraId="432890E4">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D5F02D">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2.本公司参加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）采购活动时提供的是本企业的产品（包括由本企业承担的工程和提供的服务），或者提供的是其他监狱企业制造的产品。</w:t>
      </w:r>
    </w:p>
    <w:p w14:paraId="25B98DB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677CDBF6">
      <w:pPr>
        <w:autoSpaceDE w:val="0"/>
        <w:autoSpaceDN w:val="0"/>
        <w:adjustRightInd w:val="0"/>
        <w:snapToGrid w:val="0"/>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附件：省级以上监狱管理局、戒毒管理局(含新疆生产建设兵团)出具的属于监狱企业的证明文件</w:t>
      </w:r>
    </w:p>
    <w:p w14:paraId="48565394">
      <w:pPr>
        <w:rPr>
          <w:rFonts w:hint="eastAsia" w:ascii="仿宋" w:hAnsi="仿宋" w:eastAsia="仿宋" w:cs="仿宋"/>
          <w:b/>
          <w:color w:val="auto"/>
          <w:spacing w:val="-8"/>
          <w:sz w:val="24"/>
          <w:highlight w:val="none"/>
        </w:rPr>
      </w:pPr>
    </w:p>
    <w:p w14:paraId="47743C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255F2E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3963B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注：请根据自己的真实情况出具《监狱企业声明函》。依法享受中小企业优惠政策的，采购人或者采购代理机构在公告成交结果时，同时公告其《监狱企业声明函》，接受社会监督。</w:t>
      </w:r>
    </w:p>
    <w:p w14:paraId="543AF9C2">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残疾人福利性单位声明函</w:t>
      </w:r>
    </w:p>
    <w:p w14:paraId="6B640A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B8E6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CB4B3E5">
      <w:pPr>
        <w:spacing w:line="360" w:lineRule="auto"/>
        <w:rPr>
          <w:rFonts w:hint="eastAsia" w:ascii="仿宋" w:hAnsi="仿宋" w:eastAsia="仿宋" w:cs="仿宋"/>
          <w:color w:val="auto"/>
          <w:sz w:val="24"/>
          <w:highlight w:val="none"/>
        </w:rPr>
      </w:pPr>
    </w:p>
    <w:p w14:paraId="0CFAA878">
      <w:pPr>
        <w:spacing w:line="360" w:lineRule="auto"/>
        <w:ind w:firstLine="2400" w:firstLine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单位名称（盖公章或电子签章）：</w:t>
      </w:r>
    </w:p>
    <w:p w14:paraId="361594A5">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F2E6C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33C2F09">
      <w:pPr>
        <w:pStyle w:val="3"/>
        <w:keepNext w:val="0"/>
        <w:keepLines w:val="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Start w:id="176" w:name="_Toc8591"/>
      <w:bookmarkStart w:id="177" w:name="_Toc20358"/>
      <w:r>
        <w:rPr>
          <w:rFonts w:hint="eastAsia" w:ascii="仿宋" w:hAnsi="仿宋" w:eastAsia="仿宋" w:cs="仿宋"/>
          <w:color w:val="auto"/>
          <w:highlight w:val="none"/>
        </w:rPr>
        <w:t>第七章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其他文件</w:t>
      </w:r>
      <w:bookmarkEnd w:id="176"/>
      <w:bookmarkEnd w:id="177"/>
    </w:p>
    <w:p w14:paraId="5FDFB3C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质疑函（格式）</w:t>
      </w:r>
    </w:p>
    <w:p w14:paraId="11616DE2">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253151B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p>
    <w:p w14:paraId="57C7799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1202C2DF">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D65863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EBCC0A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4691B90">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072DCF2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4FEECF9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C9DE1F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3B2F181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E0915DB">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79C6F222">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□采购过程</w:t>
      </w:r>
    </w:p>
    <w:p w14:paraId="5339091F">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□中标结果</w:t>
      </w:r>
    </w:p>
    <w:p w14:paraId="3E92364E">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152172C3">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0893AAB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4F1D9A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B8F3F29">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3F8E117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C23D91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2B84A69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6F18EAF2">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B95A40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9037833">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13A7A3A">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2AE6AE0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A3DDB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49BCD891">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0ED0567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5E34E88E">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F022A6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投诉书（格式）</w:t>
      </w:r>
    </w:p>
    <w:p w14:paraId="0A3375B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7C27E75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A3B845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DC9105F">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5A8636E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070FBB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F8FA5E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7D19870">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2C72872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0425C9A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3F452B8">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1AA12EA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61E90C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64D163D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171317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2B5ED3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2513D8A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172CD31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7C82C326">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604C49F">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4F28FD79">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58ABB01">
      <w:pPr>
        <w:pStyle w:val="23"/>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CB19E0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0E2B379B">
      <w:pPr>
        <w:pStyle w:val="23"/>
        <w:spacing w:line="360" w:lineRule="auto"/>
        <w:ind w:left="25" w:leftChars="12" w:firstLine="952" w:firstLineChars="3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580D23EA">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8DD5D24">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2F64285">
      <w:pPr>
        <w:pStyle w:val="23"/>
        <w:spacing w:line="360" w:lineRule="auto"/>
        <w:ind w:firstLine="241"/>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5FDDDE8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12A8E42B">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0C87E11C">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1DA27D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5B767A75">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E86FEE7">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0469C77">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2803ED54">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925C535">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00757FC">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D2A2EAB">
      <w:pPr>
        <w:pStyle w:val="23"/>
        <w:spacing w:line="360" w:lineRule="auto"/>
        <w:ind w:left="25" w:leftChars="12" w:firstLine="472" w:firstLineChars="197"/>
        <w:rPr>
          <w:rFonts w:hint="eastAsia" w:ascii="仿宋" w:hAnsi="仿宋" w:eastAsia="仿宋" w:cs="仿宋"/>
          <w:color w:val="auto"/>
          <w:sz w:val="24"/>
          <w:szCs w:val="24"/>
          <w:highlight w:val="none"/>
        </w:rPr>
      </w:pPr>
    </w:p>
    <w:p w14:paraId="1BC0948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A62F1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AB8788B">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1D519A85">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1992B5B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6E870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79F3341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29B7C78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AA25A04">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pgSz w:w="11906" w:h="16838"/>
      <w:pgMar w:top="1440" w:right="1134" w:bottom="1440"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1DC3">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E6D4">
    <w:pPr>
      <w:pStyle w:val="29"/>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14:paraId="213B4DC1">
    <w:pPr>
      <w:pStyle w:val="29"/>
      <w:ind w:right="360"/>
      <w:jc w:val="both"/>
    </w:pPr>
    <w:r>
      <w:rPr>
        <w:rFonts w:hint="eastAsia"/>
      </w:rPr>
      <w:t>121</w:t>
    </w:r>
  </w:p>
  <w:p w14:paraId="1F5623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78A">
    <w:pPr>
      <w:pStyle w:val="29"/>
      <w:jc w:val="center"/>
    </w:pPr>
  </w:p>
  <w:p w14:paraId="34DF196B">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CF07">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2250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522507">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634E">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5B630">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D5B630">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0267122">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F3AA">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9B0F4">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29B0F4">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F60B">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EA17E">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2EA17E">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6E63E23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9F93">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BF30D">
                          <w:pPr>
                            <w:pStyle w:val="2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7BF30D">
                    <w:pPr>
                      <w:pStyle w:val="2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9001">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9F08A">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E9F08A">
                    <w:pPr>
                      <w:pStyle w:val="29"/>
                    </w:pPr>
                    <w:r>
                      <w:fldChar w:fldCharType="begin"/>
                    </w:r>
                    <w:r>
                      <w:instrText xml:space="preserve"> PAGE  \* MERGEFORMAT </w:instrText>
                    </w:r>
                    <w:r>
                      <w:fldChar w:fldCharType="separate"/>
                    </w:r>
                    <w:r>
                      <w:t>54</w:t>
                    </w:r>
                    <w:r>
                      <w:fldChar w:fldCharType="end"/>
                    </w:r>
                  </w:p>
                </w:txbxContent>
              </v:textbox>
            </v:shape>
          </w:pict>
        </mc:Fallback>
      </mc:AlternateContent>
    </w:r>
  </w:p>
  <w:p w14:paraId="2E2ECC8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9B90">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47</w:t>
    </w:r>
    <w:r>
      <w:fldChar w:fldCharType="end"/>
    </w:r>
  </w:p>
  <w:p w14:paraId="6FECAFD1">
    <w:pPr>
      <w:pStyle w:val="29"/>
    </w:pPr>
  </w:p>
  <w:p w14:paraId="0EED8ED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E1C6">
    <w:pPr>
      <w:pStyle w:val="30"/>
      <w:jc w:val="left"/>
      <w:rPr>
        <w:rFonts w:hint="eastAsia" w:ascii="宋体" w:hAnsi="宋体"/>
        <w:color w:val="00000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8FF0">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7B6D">
    <w:pPr>
      <w:pStyle w:val="30"/>
      <w:jc w:val="left"/>
      <w:rPr>
        <w:rFonts w:hint="eastAsia" w:ascii="宋体" w:hAnsi="宋体"/>
        <w:color w:val="00000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6433">
    <w:pPr>
      <w:pStyle w:val="30"/>
      <w:jc w:val="left"/>
      <w:rPr>
        <w:rFonts w:hint="eastAsia" w:eastAsia="宋体"/>
        <w:lang w:eastAsia="zh-CN"/>
      </w:rPr>
    </w:pPr>
    <w:r>
      <w:rPr>
        <w:rFonts w:hint="eastAsia"/>
      </w:rPr>
      <w:t>项目名称：</w:t>
    </w:r>
    <w:r>
      <w:rPr>
        <w:rFonts w:hint="eastAsia"/>
        <w:lang w:eastAsia="zh-CN"/>
      </w:rPr>
      <w:t>广西壮族自治区人民医院手术显微镜采购</w:t>
    </w:r>
  </w:p>
  <w:p w14:paraId="6757BC3F">
    <w:pPr>
      <w:pStyle w:val="30"/>
      <w:jc w:val="left"/>
      <w:rPr>
        <w:rFonts w:hint="eastAsia" w:ascii="宋体" w:hAnsi="宋体" w:eastAsia="宋体"/>
        <w:color w:val="000000"/>
        <w:szCs w:val="21"/>
        <w:lang w:eastAsia="zh-CN"/>
      </w:rPr>
    </w:pPr>
    <w:r>
      <w:rPr>
        <w:rFonts w:hint="eastAsia"/>
      </w:rPr>
      <w:t>项目编号：</w:t>
    </w:r>
    <w:r>
      <w:rPr>
        <w:rFonts w:hint="eastAsia"/>
        <w:lang w:eastAsia="zh-CN"/>
      </w:rPr>
      <w:t xml:space="preserve"> GXZC2025-G1-003672-GCZX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6C91">
    <w:pPr>
      <w:pStyle w:val="30"/>
      <w:jc w:val="left"/>
      <w:rPr>
        <w:rFonts w:hint="eastAsia" w:eastAsia="宋体"/>
        <w:lang w:eastAsia="zh-CN"/>
      </w:rPr>
    </w:pPr>
    <w:r>
      <w:rPr>
        <w:rFonts w:hint="eastAsia"/>
      </w:rPr>
      <w:t>项目名称：</w:t>
    </w:r>
    <w:r>
      <w:rPr>
        <w:rFonts w:hint="eastAsia"/>
        <w:lang w:eastAsia="zh-CN"/>
      </w:rPr>
      <w:t>广西壮族自治区人民医院手术显微镜采购</w:t>
    </w:r>
  </w:p>
  <w:p w14:paraId="3F2A1DB0">
    <w:pPr>
      <w:pStyle w:val="30"/>
      <w:jc w:val="left"/>
      <w:rPr>
        <w:rFonts w:hint="eastAsia" w:eastAsia="宋体"/>
        <w:lang w:eastAsia="zh-CN"/>
      </w:rPr>
    </w:pPr>
    <w:r>
      <w:rPr>
        <w:rFonts w:hint="eastAsia"/>
      </w:rPr>
      <w:t>项目编号：</w:t>
    </w:r>
    <w:r>
      <w:rPr>
        <w:rFonts w:hint="eastAsia"/>
        <w:lang w:eastAsia="zh-CN"/>
      </w:rPr>
      <w:t xml:space="preserve"> GXZC2025-G1-003672-GCZX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AC7">
    <w:pPr>
      <w:pStyle w:val="30"/>
      <w:jc w:val="left"/>
      <w:rPr>
        <w:rFonts w:hint="eastAsia" w:eastAsia="宋体"/>
        <w:lang w:eastAsia="zh-CN"/>
      </w:rPr>
    </w:pPr>
    <w:r>
      <w:rPr>
        <w:rFonts w:hint="eastAsia"/>
      </w:rPr>
      <w:t>项目名称：</w:t>
    </w:r>
    <w:r>
      <w:rPr>
        <w:rFonts w:hint="eastAsia"/>
        <w:lang w:eastAsia="zh-CN"/>
      </w:rPr>
      <w:t>广西壮族自治区人民医院手术显微镜采购</w:t>
    </w:r>
  </w:p>
  <w:p w14:paraId="348DC4F1">
    <w:pPr>
      <w:pStyle w:val="30"/>
      <w:jc w:val="left"/>
      <w:rPr>
        <w:rFonts w:hint="eastAsia" w:eastAsia="宋体"/>
        <w:lang w:eastAsia="zh-CN"/>
      </w:rPr>
    </w:pPr>
    <w:r>
      <w:rPr>
        <w:rFonts w:hint="eastAsia"/>
      </w:rPr>
      <w:t>项目编号：</w:t>
    </w:r>
    <w:r>
      <w:rPr>
        <w:rFonts w:hint="eastAsia"/>
        <w:lang w:eastAsia="zh-CN"/>
      </w:rPr>
      <w:t xml:space="preserve"> GXZC2025-G1-003672-GCZX</w:t>
    </w:r>
  </w:p>
  <w:p w14:paraId="1796710A">
    <w:pPr>
      <w:pStyle w:val="30"/>
      <w:pBdr>
        <w:bottom w:val="none" w:color="auto" w:sz="0" w:space="0"/>
      </w:pBdr>
      <w:tabs>
        <w:tab w:val="center" w:pos="4153"/>
        <w:tab w:val="right" w:pos="8306"/>
        <w:tab w:val="clear" w:pos="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7124">
    <w:pPr>
      <w:pStyle w:val="30"/>
      <w:jc w:val="left"/>
      <w:rPr>
        <w:rFonts w:hint="eastAsia" w:eastAsia="宋体"/>
        <w:lang w:eastAsia="zh-CN"/>
      </w:rPr>
    </w:pPr>
    <w:r>
      <w:rPr>
        <w:rFonts w:hint="eastAsia"/>
      </w:rPr>
      <w:t>项目名称：</w:t>
    </w:r>
    <w:r>
      <w:rPr>
        <w:rFonts w:hint="eastAsia"/>
        <w:lang w:eastAsia="zh-CN"/>
      </w:rPr>
      <w:t>广西壮族自治区人民医院手术显微镜采购</w:t>
    </w:r>
  </w:p>
  <w:p w14:paraId="24F4911D">
    <w:pPr>
      <w:pStyle w:val="30"/>
      <w:jc w:val="left"/>
      <w:rPr>
        <w:rFonts w:hint="eastAsia" w:eastAsia="宋体"/>
        <w:lang w:eastAsia="zh-CN"/>
      </w:rPr>
    </w:pPr>
    <w:r>
      <w:rPr>
        <w:rFonts w:hint="eastAsia"/>
      </w:rPr>
      <w:t>项目编号：</w:t>
    </w:r>
    <w:r>
      <w:rPr>
        <w:rFonts w:hint="eastAsia"/>
        <w:lang w:eastAsia="zh-CN"/>
      </w:rPr>
      <w:t xml:space="preserve"> GXZC2025-G1-003672-GCZX</w:t>
    </w:r>
  </w:p>
  <w:p w14:paraId="5DFA635E">
    <w:pPr>
      <w:pStyle w:val="30"/>
      <w:pBdr>
        <w:bottom w:val="none" w:color="auto" w:sz="0" w:space="0"/>
      </w:pBdr>
      <w:tabs>
        <w:tab w:val="center" w:pos="4153"/>
        <w:tab w:val="right" w:pos="8306"/>
        <w:tab w:val="clea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A9D3FE2"/>
    <w:multiLevelType w:val="singleLevel"/>
    <w:tmpl w:val="0A9D3FE2"/>
    <w:lvl w:ilvl="0" w:tentative="0">
      <w:start w:val="5"/>
      <w:numFmt w:val="decimal"/>
      <w:suff w:val="space"/>
      <w:lvlText w:val="%1."/>
      <w:lvlJc w:val="left"/>
    </w:lvl>
  </w:abstractNum>
  <w:abstractNum w:abstractNumId="2">
    <w:nsid w:val="1F9CB027"/>
    <w:multiLevelType w:val="singleLevel"/>
    <w:tmpl w:val="1F9CB027"/>
    <w:lvl w:ilvl="0" w:tentative="0">
      <w:start w:val="2"/>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DQ0NWMwMDAxM2NiOGM2ZjIzNjFiYTYwNjZhOTMifQ=="/>
  </w:docVars>
  <w:rsids>
    <w:rsidRoot w:val="00172A27"/>
    <w:rsid w:val="0000010C"/>
    <w:rsid w:val="000004FE"/>
    <w:rsid w:val="00000FE0"/>
    <w:rsid w:val="00001068"/>
    <w:rsid w:val="0000114A"/>
    <w:rsid w:val="00001731"/>
    <w:rsid w:val="00001C2D"/>
    <w:rsid w:val="00001C55"/>
    <w:rsid w:val="00001CA8"/>
    <w:rsid w:val="00001FAE"/>
    <w:rsid w:val="00002291"/>
    <w:rsid w:val="00002DBF"/>
    <w:rsid w:val="00002EC0"/>
    <w:rsid w:val="00002F69"/>
    <w:rsid w:val="00003224"/>
    <w:rsid w:val="000033F5"/>
    <w:rsid w:val="0000358C"/>
    <w:rsid w:val="00003BEF"/>
    <w:rsid w:val="00004130"/>
    <w:rsid w:val="0000431F"/>
    <w:rsid w:val="000045EB"/>
    <w:rsid w:val="00004634"/>
    <w:rsid w:val="00004CD0"/>
    <w:rsid w:val="00004D8B"/>
    <w:rsid w:val="000059E2"/>
    <w:rsid w:val="000061EA"/>
    <w:rsid w:val="00006AE7"/>
    <w:rsid w:val="00006B9B"/>
    <w:rsid w:val="00006C35"/>
    <w:rsid w:val="000072B1"/>
    <w:rsid w:val="00007329"/>
    <w:rsid w:val="00007E28"/>
    <w:rsid w:val="00007E84"/>
    <w:rsid w:val="00010401"/>
    <w:rsid w:val="0001041F"/>
    <w:rsid w:val="000105A1"/>
    <w:rsid w:val="000107AD"/>
    <w:rsid w:val="00010835"/>
    <w:rsid w:val="000117DF"/>
    <w:rsid w:val="00011842"/>
    <w:rsid w:val="00011DCA"/>
    <w:rsid w:val="00012137"/>
    <w:rsid w:val="000121FF"/>
    <w:rsid w:val="000125B8"/>
    <w:rsid w:val="00012692"/>
    <w:rsid w:val="00013446"/>
    <w:rsid w:val="00013509"/>
    <w:rsid w:val="000135BC"/>
    <w:rsid w:val="000135DC"/>
    <w:rsid w:val="000136D6"/>
    <w:rsid w:val="00014085"/>
    <w:rsid w:val="00014BCB"/>
    <w:rsid w:val="00014DD9"/>
    <w:rsid w:val="00014EE0"/>
    <w:rsid w:val="000151E4"/>
    <w:rsid w:val="00015577"/>
    <w:rsid w:val="000156E4"/>
    <w:rsid w:val="000159A7"/>
    <w:rsid w:val="000159F5"/>
    <w:rsid w:val="00015ECA"/>
    <w:rsid w:val="00015FB8"/>
    <w:rsid w:val="0001609F"/>
    <w:rsid w:val="0001635B"/>
    <w:rsid w:val="00016549"/>
    <w:rsid w:val="00016BF7"/>
    <w:rsid w:val="000172E0"/>
    <w:rsid w:val="0001767E"/>
    <w:rsid w:val="0001776D"/>
    <w:rsid w:val="000179BB"/>
    <w:rsid w:val="00017F31"/>
    <w:rsid w:val="00020607"/>
    <w:rsid w:val="0002103A"/>
    <w:rsid w:val="00021470"/>
    <w:rsid w:val="000217E4"/>
    <w:rsid w:val="00021852"/>
    <w:rsid w:val="00021A12"/>
    <w:rsid w:val="00021DFE"/>
    <w:rsid w:val="0002228A"/>
    <w:rsid w:val="00022622"/>
    <w:rsid w:val="00023363"/>
    <w:rsid w:val="000235F3"/>
    <w:rsid w:val="00023644"/>
    <w:rsid w:val="00023712"/>
    <w:rsid w:val="00024E3C"/>
    <w:rsid w:val="00024EB0"/>
    <w:rsid w:val="0002561E"/>
    <w:rsid w:val="00026458"/>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1AF"/>
    <w:rsid w:val="00033413"/>
    <w:rsid w:val="000337F3"/>
    <w:rsid w:val="00033C94"/>
    <w:rsid w:val="00034247"/>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7254"/>
    <w:rsid w:val="00047E41"/>
    <w:rsid w:val="0005022B"/>
    <w:rsid w:val="00050771"/>
    <w:rsid w:val="00050EC3"/>
    <w:rsid w:val="000513F3"/>
    <w:rsid w:val="00052287"/>
    <w:rsid w:val="000522E0"/>
    <w:rsid w:val="0005242B"/>
    <w:rsid w:val="000532F4"/>
    <w:rsid w:val="000536AE"/>
    <w:rsid w:val="00054510"/>
    <w:rsid w:val="00054CD5"/>
    <w:rsid w:val="00054D03"/>
    <w:rsid w:val="000550AC"/>
    <w:rsid w:val="00055403"/>
    <w:rsid w:val="0005584D"/>
    <w:rsid w:val="00055CC3"/>
    <w:rsid w:val="00055CEE"/>
    <w:rsid w:val="000561A1"/>
    <w:rsid w:val="000564BB"/>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3518"/>
    <w:rsid w:val="0006400F"/>
    <w:rsid w:val="000645DD"/>
    <w:rsid w:val="00064D7E"/>
    <w:rsid w:val="00064F65"/>
    <w:rsid w:val="00064FD0"/>
    <w:rsid w:val="0006534A"/>
    <w:rsid w:val="00065A5D"/>
    <w:rsid w:val="00065BA2"/>
    <w:rsid w:val="000661CA"/>
    <w:rsid w:val="0006668D"/>
    <w:rsid w:val="00066E00"/>
    <w:rsid w:val="00067002"/>
    <w:rsid w:val="00067334"/>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35C2"/>
    <w:rsid w:val="00073935"/>
    <w:rsid w:val="0007439D"/>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DDE"/>
    <w:rsid w:val="00085F82"/>
    <w:rsid w:val="00086411"/>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4E88"/>
    <w:rsid w:val="000951E7"/>
    <w:rsid w:val="00095B82"/>
    <w:rsid w:val="00096098"/>
    <w:rsid w:val="000969D9"/>
    <w:rsid w:val="00096F37"/>
    <w:rsid w:val="00097FE5"/>
    <w:rsid w:val="000A0354"/>
    <w:rsid w:val="000A091F"/>
    <w:rsid w:val="000A0958"/>
    <w:rsid w:val="000A0A3C"/>
    <w:rsid w:val="000A0FCC"/>
    <w:rsid w:val="000A1033"/>
    <w:rsid w:val="000A1355"/>
    <w:rsid w:val="000A2712"/>
    <w:rsid w:val="000A2877"/>
    <w:rsid w:val="000A355D"/>
    <w:rsid w:val="000A35DA"/>
    <w:rsid w:val="000A371E"/>
    <w:rsid w:val="000A3DE5"/>
    <w:rsid w:val="000A4011"/>
    <w:rsid w:val="000A45D5"/>
    <w:rsid w:val="000A490E"/>
    <w:rsid w:val="000A5B49"/>
    <w:rsid w:val="000A5FE5"/>
    <w:rsid w:val="000A60BC"/>
    <w:rsid w:val="000A6ABA"/>
    <w:rsid w:val="000A7218"/>
    <w:rsid w:val="000A73D7"/>
    <w:rsid w:val="000A740A"/>
    <w:rsid w:val="000A7446"/>
    <w:rsid w:val="000A7E7F"/>
    <w:rsid w:val="000A7ECD"/>
    <w:rsid w:val="000B04DD"/>
    <w:rsid w:val="000B0F01"/>
    <w:rsid w:val="000B1346"/>
    <w:rsid w:val="000B1914"/>
    <w:rsid w:val="000B19DC"/>
    <w:rsid w:val="000B1C35"/>
    <w:rsid w:val="000B1CA2"/>
    <w:rsid w:val="000B202E"/>
    <w:rsid w:val="000B2293"/>
    <w:rsid w:val="000B24A4"/>
    <w:rsid w:val="000B255C"/>
    <w:rsid w:val="000B394A"/>
    <w:rsid w:val="000B395E"/>
    <w:rsid w:val="000B39C3"/>
    <w:rsid w:val="000B3A00"/>
    <w:rsid w:val="000B4840"/>
    <w:rsid w:val="000B4D79"/>
    <w:rsid w:val="000B5627"/>
    <w:rsid w:val="000B5671"/>
    <w:rsid w:val="000B6084"/>
    <w:rsid w:val="000B62BE"/>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BBB"/>
    <w:rsid w:val="000C4E24"/>
    <w:rsid w:val="000C5C4A"/>
    <w:rsid w:val="000C5F01"/>
    <w:rsid w:val="000C5F07"/>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35"/>
    <w:rsid w:val="000D2C9B"/>
    <w:rsid w:val="000D35FD"/>
    <w:rsid w:val="000D38D0"/>
    <w:rsid w:val="000D3D2D"/>
    <w:rsid w:val="000D3D99"/>
    <w:rsid w:val="000D4653"/>
    <w:rsid w:val="000D4696"/>
    <w:rsid w:val="000D4817"/>
    <w:rsid w:val="000D4FB9"/>
    <w:rsid w:val="000D54B4"/>
    <w:rsid w:val="000D584B"/>
    <w:rsid w:val="000D5F55"/>
    <w:rsid w:val="000D6372"/>
    <w:rsid w:val="000D666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2C5A"/>
    <w:rsid w:val="000E2EDC"/>
    <w:rsid w:val="000E30F2"/>
    <w:rsid w:val="000E316B"/>
    <w:rsid w:val="000E3D08"/>
    <w:rsid w:val="000E43C7"/>
    <w:rsid w:val="000E4728"/>
    <w:rsid w:val="000E4D1F"/>
    <w:rsid w:val="000E5658"/>
    <w:rsid w:val="000E5698"/>
    <w:rsid w:val="000E5723"/>
    <w:rsid w:val="000E581B"/>
    <w:rsid w:val="000E59A4"/>
    <w:rsid w:val="000E61A1"/>
    <w:rsid w:val="000E64B2"/>
    <w:rsid w:val="000E65D2"/>
    <w:rsid w:val="000E6919"/>
    <w:rsid w:val="000E6B1B"/>
    <w:rsid w:val="000E6F0C"/>
    <w:rsid w:val="000E732D"/>
    <w:rsid w:val="000F07ED"/>
    <w:rsid w:val="000F09E2"/>
    <w:rsid w:val="000F0CF2"/>
    <w:rsid w:val="000F1A32"/>
    <w:rsid w:val="000F1BBB"/>
    <w:rsid w:val="000F1CC2"/>
    <w:rsid w:val="000F1D15"/>
    <w:rsid w:val="000F270A"/>
    <w:rsid w:val="000F34C8"/>
    <w:rsid w:val="000F38BC"/>
    <w:rsid w:val="000F3E2A"/>
    <w:rsid w:val="000F4D26"/>
    <w:rsid w:val="000F5639"/>
    <w:rsid w:val="000F58A4"/>
    <w:rsid w:val="000F6757"/>
    <w:rsid w:val="000F6833"/>
    <w:rsid w:val="000F6A24"/>
    <w:rsid w:val="000F6FBB"/>
    <w:rsid w:val="000F7616"/>
    <w:rsid w:val="000F7DE9"/>
    <w:rsid w:val="000F7F7A"/>
    <w:rsid w:val="001002F4"/>
    <w:rsid w:val="001011FC"/>
    <w:rsid w:val="00101232"/>
    <w:rsid w:val="0010165F"/>
    <w:rsid w:val="00101E7C"/>
    <w:rsid w:val="001023DC"/>
    <w:rsid w:val="00102572"/>
    <w:rsid w:val="00102946"/>
    <w:rsid w:val="00102FBF"/>
    <w:rsid w:val="0010333D"/>
    <w:rsid w:val="0010372A"/>
    <w:rsid w:val="00103F41"/>
    <w:rsid w:val="00104060"/>
    <w:rsid w:val="00104F34"/>
    <w:rsid w:val="001053C5"/>
    <w:rsid w:val="001055AD"/>
    <w:rsid w:val="00105AEC"/>
    <w:rsid w:val="00105C14"/>
    <w:rsid w:val="001065A3"/>
    <w:rsid w:val="00106831"/>
    <w:rsid w:val="0010691D"/>
    <w:rsid w:val="00106B33"/>
    <w:rsid w:val="00106E69"/>
    <w:rsid w:val="00110AC5"/>
    <w:rsid w:val="00110F0B"/>
    <w:rsid w:val="0011108B"/>
    <w:rsid w:val="00111136"/>
    <w:rsid w:val="00111164"/>
    <w:rsid w:val="001111F7"/>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3EA3"/>
    <w:rsid w:val="00124B43"/>
    <w:rsid w:val="00124DF8"/>
    <w:rsid w:val="001253EA"/>
    <w:rsid w:val="00125B99"/>
    <w:rsid w:val="00126160"/>
    <w:rsid w:val="001268DE"/>
    <w:rsid w:val="00126DB5"/>
    <w:rsid w:val="00127178"/>
    <w:rsid w:val="00127F09"/>
    <w:rsid w:val="0013002A"/>
    <w:rsid w:val="0013085D"/>
    <w:rsid w:val="0013089C"/>
    <w:rsid w:val="00130A2D"/>
    <w:rsid w:val="00130F54"/>
    <w:rsid w:val="00131888"/>
    <w:rsid w:val="00131EC4"/>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BA7"/>
    <w:rsid w:val="00137D5F"/>
    <w:rsid w:val="00140082"/>
    <w:rsid w:val="00140175"/>
    <w:rsid w:val="00140757"/>
    <w:rsid w:val="00140D07"/>
    <w:rsid w:val="00141A3A"/>
    <w:rsid w:val="00141CFC"/>
    <w:rsid w:val="001423FA"/>
    <w:rsid w:val="001427B5"/>
    <w:rsid w:val="001428CF"/>
    <w:rsid w:val="00142D0C"/>
    <w:rsid w:val="00142E3C"/>
    <w:rsid w:val="00142F6A"/>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084"/>
    <w:rsid w:val="00153652"/>
    <w:rsid w:val="00153697"/>
    <w:rsid w:val="00153956"/>
    <w:rsid w:val="00153B95"/>
    <w:rsid w:val="00153C37"/>
    <w:rsid w:val="00153F81"/>
    <w:rsid w:val="00154146"/>
    <w:rsid w:val="00154190"/>
    <w:rsid w:val="001545EA"/>
    <w:rsid w:val="001549BA"/>
    <w:rsid w:val="00154BBF"/>
    <w:rsid w:val="00155099"/>
    <w:rsid w:val="001552B1"/>
    <w:rsid w:val="00155C85"/>
    <w:rsid w:val="001568D1"/>
    <w:rsid w:val="00156A6C"/>
    <w:rsid w:val="00156B10"/>
    <w:rsid w:val="00157204"/>
    <w:rsid w:val="001576FE"/>
    <w:rsid w:val="00157823"/>
    <w:rsid w:val="0015790D"/>
    <w:rsid w:val="00157C5E"/>
    <w:rsid w:val="0016015A"/>
    <w:rsid w:val="0016020E"/>
    <w:rsid w:val="00160503"/>
    <w:rsid w:val="00160D7C"/>
    <w:rsid w:val="00160E30"/>
    <w:rsid w:val="0016106D"/>
    <w:rsid w:val="001611F3"/>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793E"/>
    <w:rsid w:val="00167CF4"/>
    <w:rsid w:val="00167D4D"/>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3964"/>
    <w:rsid w:val="001845FB"/>
    <w:rsid w:val="00184B26"/>
    <w:rsid w:val="00185DA6"/>
    <w:rsid w:val="00185F64"/>
    <w:rsid w:val="00186096"/>
    <w:rsid w:val="0018772E"/>
    <w:rsid w:val="00187A94"/>
    <w:rsid w:val="0019029E"/>
    <w:rsid w:val="00190300"/>
    <w:rsid w:val="00190804"/>
    <w:rsid w:val="0019088F"/>
    <w:rsid w:val="00190C51"/>
    <w:rsid w:val="00192135"/>
    <w:rsid w:val="0019306B"/>
    <w:rsid w:val="00193ACC"/>
    <w:rsid w:val="00193BFE"/>
    <w:rsid w:val="0019525E"/>
    <w:rsid w:val="00195322"/>
    <w:rsid w:val="0019560E"/>
    <w:rsid w:val="001958E3"/>
    <w:rsid w:val="0019601B"/>
    <w:rsid w:val="00196048"/>
    <w:rsid w:val="001965BD"/>
    <w:rsid w:val="00196A82"/>
    <w:rsid w:val="001970B4"/>
    <w:rsid w:val="0019769B"/>
    <w:rsid w:val="001979F9"/>
    <w:rsid w:val="00197FFE"/>
    <w:rsid w:val="001A020D"/>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632"/>
    <w:rsid w:val="001A799B"/>
    <w:rsid w:val="001A7AC7"/>
    <w:rsid w:val="001A7C38"/>
    <w:rsid w:val="001B02F8"/>
    <w:rsid w:val="001B095C"/>
    <w:rsid w:val="001B2104"/>
    <w:rsid w:val="001B2114"/>
    <w:rsid w:val="001B2279"/>
    <w:rsid w:val="001B2729"/>
    <w:rsid w:val="001B2866"/>
    <w:rsid w:val="001B2881"/>
    <w:rsid w:val="001B2B73"/>
    <w:rsid w:val="001B3675"/>
    <w:rsid w:val="001B37C8"/>
    <w:rsid w:val="001B4B2C"/>
    <w:rsid w:val="001B4C58"/>
    <w:rsid w:val="001B4F10"/>
    <w:rsid w:val="001B5154"/>
    <w:rsid w:val="001B528A"/>
    <w:rsid w:val="001B6D73"/>
    <w:rsid w:val="001B6E30"/>
    <w:rsid w:val="001B7C83"/>
    <w:rsid w:val="001B7F9E"/>
    <w:rsid w:val="001C0206"/>
    <w:rsid w:val="001C0246"/>
    <w:rsid w:val="001C04D4"/>
    <w:rsid w:val="001C0AE4"/>
    <w:rsid w:val="001C0B34"/>
    <w:rsid w:val="001C12A3"/>
    <w:rsid w:val="001C17BB"/>
    <w:rsid w:val="001C187E"/>
    <w:rsid w:val="001C1A37"/>
    <w:rsid w:val="001C1C49"/>
    <w:rsid w:val="001C286F"/>
    <w:rsid w:val="001C2A54"/>
    <w:rsid w:val="001C2B86"/>
    <w:rsid w:val="001C2F54"/>
    <w:rsid w:val="001C2F85"/>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21A"/>
    <w:rsid w:val="001D286F"/>
    <w:rsid w:val="001D2C94"/>
    <w:rsid w:val="001D33D9"/>
    <w:rsid w:val="001D36F6"/>
    <w:rsid w:val="001D4303"/>
    <w:rsid w:val="001D45E5"/>
    <w:rsid w:val="001D461A"/>
    <w:rsid w:val="001D4A9D"/>
    <w:rsid w:val="001D4AAD"/>
    <w:rsid w:val="001D4B86"/>
    <w:rsid w:val="001D5AFA"/>
    <w:rsid w:val="001D61F2"/>
    <w:rsid w:val="001D784A"/>
    <w:rsid w:val="001E04A4"/>
    <w:rsid w:val="001E07C5"/>
    <w:rsid w:val="001E176D"/>
    <w:rsid w:val="001E1BCE"/>
    <w:rsid w:val="001E1E05"/>
    <w:rsid w:val="001E2086"/>
    <w:rsid w:val="001E2529"/>
    <w:rsid w:val="001E2860"/>
    <w:rsid w:val="001E28DB"/>
    <w:rsid w:val="001E339F"/>
    <w:rsid w:val="001E3629"/>
    <w:rsid w:val="001E3E7D"/>
    <w:rsid w:val="001E40F0"/>
    <w:rsid w:val="001E4172"/>
    <w:rsid w:val="001E4471"/>
    <w:rsid w:val="001E5490"/>
    <w:rsid w:val="001E5730"/>
    <w:rsid w:val="001E5E2E"/>
    <w:rsid w:val="001E6352"/>
    <w:rsid w:val="001E70AD"/>
    <w:rsid w:val="001E7237"/>
    <w:rsid w:val="001E7AF6"/>
    <w:rsid w:val="001E7D5F"/>
    <w:rsid w:val="001F01B8"/>
    <w:rsid w:val="001F0FC3"/>
    <w:rsid w:val="001F1188"/>
    <w:rsid w:val="001F1B8D"/>
    <w:rsid w:val="001F2523"/>
    <w:rsid w:val="001F274F"/>
    <w:rsid w:val="001F289C"/>
    <w:rsid w:val="001F2BF9"/>
    <w:rsid w:val="001F3154"/>
    <w:rsid w:val="001F399E"/>
    <w:rsid w:val="001F3AF2"/>
    <w:rsid w:val="001F4486"/>
    <w:rsid w:val="001F6008"/>
    <w:rsid w:val="001F641B"/>
    <w:rsid w:val="001F6D4D"/>
    <w:rsid w:val="00200AB7"/>
    <w:rsid w:val="00200D97"/>
    <w:rsid w:val="0020130D"/>
    <w:rsid w:val="00201D06"/>
    <w:rsid w:val="00201E9F"/>
    <w:rsid w:val="00202F25"/>
    <w:rsid w:val="002030A2"/>
    <w:rsid w:val="002035B3"/>
    <w:rsid w:val="00203929"/>
    <w:rsid w:val="00203CD6"/>
    <w:rsid w:val="00204410"/>
    <w:rsid w:val="00204460"/>
    <w:rsid w:val="00204EA3"/>
    <w:rsid w:val="00205032"/>
    <w:rsid w:val="002051EA"/>
    <w:rsid w:val="00205CBC"/>
    <w:rsid w:val="00206259"/>
    <w:rsid w:val="002074B7"/>
    <w:rsid w:val="0020758D"/>
    <w:rsid w:val="00207C7B"/>
    <w:rsid w:val="00210D7A"/>
    <w:rsid w:val="00211470"/>
    <w:rsid w:val="00211922"/>
    <w:rsid w:val="00211F79"/>
    <w:rsid w:val="0021213A"/>
    <w:rsid w:val="00212151"/>
    <w:rsid w:val="0021265F"/>
    <w:rsid w:val="00213817"/>
    <w:rsid w:val="00213EF2"/>
    <w:rsid w:val="00214428"/>
    <w:rsid w:val="002145EB"/>
    <w:rsid w:val="00214C2C"/>
    <w:rsid w:val="00215834"/>
    <w:rsid w:val="00215CC2"/>
    <w:rsid w:val="00215DBC"/>
    <w:rsid w:val="00215ED8"/>
    <w:rsid w:val="00216111"/>
    <w:rsid w:val="00217700"/>
    <w:rsid w:val="002177E2"/>
    <w:rsid w:val="002205F3"/>
    <w:rsid w:val="0022085B"/>
    <w:rsid w:val="00220924"/>
    <w:rsid w:val="00220E53"/>
    <w:rsid w:val="0022176C"/>
    <w:rsid w:val="002225D1"/>
    <w:rsid w:val="002230FA"/>
    <w:rsid w:val="00223288"/>
    <w:rsid w:val="00223C4F"/>
    <w:rsid w:val="00223DF2"/>
    <w:rsid w:val="00224C0C"/>
    <w:rsid w:val="002256C2"/>
    <w:rsid w:val="002256D0"/>
    <w:rsid w:val="00225C8E"/>
    <w:rsid w:val="00226428"/>
    <w:rsid w:val="002265A9"/>
    <w:rsid w:val="002266CB"/>
    <w:rsid w:val="00226740"/>
    <w:rsid w:val="00227052"/>
    <w:rsid w:val="002272D5"/>
    <w:rsid w:val="0022738E"/>
    <w:rsid w:val="00227906"/>
    <w:rsid w:val="00227934"/>
    <w:rsid w:val="00227E21"/>
    <w:rsid w:val="00231D05"/>
    <w:rsid w:val="00231D1D"/>
    <w:rsid w:val="002325E5"/>
    <w:rsid w:val="002336E2"/>
    <w:rsid w:val="00233AC2"/>
    <w:rsid w:val="00233BAF"/>
    <w:rsid w:val="00234180"/>
    <w:rsid w:val="0023499E"/>
    <w:rsid w:val="00235420"/>
    <w:rsid w:val="00235700"/>
    <w:rsid w:val="0023641E"/>
    <w:rsid w:val="0024065B"/>
    <w:rsid w:val="002409A6"/>
    <w:rsid w:val="00240C63"/>
    <w:rsid w:val="00240EA5"/>
    <w:rsid w:val="00241132"/>
    <w:rsid w:val="00241205"/>
    <w:rsid w:val="002418C5"/>
    <w:rsid w:val="0024261D"/>
    <w:rsid w:val="00242712"/>
    <w:rsid w:val="00242A01"/>
    <w:rsid w:val="00242DFB"/>
    <w:rsid w:val="00243807"/>
    <w:rsid w:val="002440AC"/>
    <w:rsid w:val="00244365"/>
    <w:rsid w:val="0024459A"/>
    <w:rsid w:val="00244771"/>
    <w:rsid w:val="00244903"/>
    <w:rsid w:val="00244AFB"/>
    <w:rsid w:val="002453DF"/>
    <w:rsid w:val="00245A81"/>
    <w:rsid w:val="0024615F"/>
    <w:rsid w:val="00246B86"/>
    <w:rsid w:val="00247335"/>
    <w:rsid w:val="002473EF"/>
    <w:rsid w:val="002477B9"/>
    <w:rsid w:val="00247CBE"/>
    <w:rsid w:val="00247DB0"/>
    <w:rsid w:val="00250979"/>
    <w:rsid w:val="00250A1F"/>
    <w:rsid w:val="00250ADA"/>
    <w:rsid w:val="00250F1D"/>
    <w:rsid w:val="00251078"/>
    <w:rsid w:val="0025138E"/>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0E8"/>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0FBC"/>
    <w:rsid w:val="00261223"/>
    <w:rsid w:val="002617AB"/>
    <w:rsid w:val="00261D08"/>
    <w:rsid w:val="00261DCC"/>
    <w:rsid w:val="002624D0"/>
    <w:rsid w:val="00263EC7"/>
    <w:rsid w:val="00264065"/>
    <w:rsid w:val="0026491B"/>
    <w:rsid w:val="00264A36"/>
    <w:rsid w:val="00264B06"/>
    <w:rsid w:val="00264C1B"/>
    <w:rsid w:val="00265D10"/>
    <w:rsid w:val="00265D56"/>
    <w:rsid w:val="00265E2E"/>
    <w:rsid w:val="002661AB"/>
    <w:rsid w:val="0026742B"/>
    <w:rsid w:val="002674FE"/>
    <w:rsid w:val="00270701"/>
    <w:rsid w:val="00270748"/>
    <w:rsid w:val="002710B4"/>
    <w:rsid w:val="0027117F"/>
    <w:rsid w:val="002712CD"/>
    <w:rsid w:val="002712DC"/>
    <w:rsid w:val="00271875"/>
    <w:rsid w:val="002718A4"/>
    <w:rsid w:val="002718FF"/>
    <w:rsid w:val="00271955"/>
    <w:rsid w:val="00272278"/>
    <w:rsid w:val="00272432"/>
    <w:rsid w:val="00272633"/>
    <w:rsid w:val="00272E48"/>
    <w:rsid w:val="00272FBF"/>
    <w:rsid w:val="002732C8"/>
    <w:rsid w:val="00273A10"/>
    <w:rsid w:val="00273A58"/>
    <w:rsid w:val="00274CAB"/>
    <w:rsid w:val="00274E8A"/>
    <w:rsid w:val="00275FCE"/>
    <w:rsid w:val="002766B8"/>
    <w:rsid w:val="0027680F"/>
    <w:rsid w:val="00276A66"/>
    <w:rsid w:val="00276D5C"/>
    <w:rsid w:val="00277987"/>
    <w:rsid w:val="00277EAD"/>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FEB"/>
    <w:rsid w:val="002922BC"/>
    <w:rsid w:val="00293146"/>
    <w:rsid w:val="0029361E"/>
    <w:rsid w:val="00293D68"/>
    <w:rsid w:val="0029408A"/>
    <w:rsid w:val="00294124"/>
    <w:rsid w:val="00294352"/>
    <w:rsid w:val="002944A0"/>
    <w:rsid w:val="002946E4"/>
    <w:rsid w:val="0029495C"/>
    <w:rsid w:val="002957D9"/>
    <w:rsid w:val="00295B52"/>
    <w:rsid w:val="00296024"/>
    <w:rsid w:val="00296293"/>
    <w:rsid w:val="00296896"/>
    <w:rsid w:val="00296AF7"/>
    <w:rsid w:val="002972F9"/>
    <w:rsid w:val="0029739B"/>
    <w:rsid w:val="002977CA"/>
    <w:rsid w:val="00297ED7"/>
    <w:rsid w:val="002A0007"/>
    <w:rsid w:val="002A03AA"/>
    <w:rsid w:val="002A056D"/>
    <w:rsid w:val="002A0626"/>
    <w:rsid w:val="002A07FE"/>
    <w:rsid w:val="002A094D"/>
    <w:rsid w:val="002A0CAF"/>
    <w:rsid w:val="002A1565"/>
    <w:rsid w:val="002A16A9"/>
    <w:rsid w:val="002A2941"/>
    <w:rsid w:val="002A2DC4"/>
    <w:rsid w:val="002A3E69"/>
    <w:rsid w:val="002A44F9"/>
    <w:rsid w:val="002A49EF"/>
    <w:rsid w:val="002A4B8B"/>
    <w:rsid w:val="002A5107"/>
    <w:rsid w:val="002A535E"/>
    <w:rsid w:val="002A5642"/>
    <w:rsid w:val="002A5FB1"/>
    <w:rsid w:val="002A6406"/>
    <w:rsid w:val="002A6CF0"/>
    <w:rsid w:val="002A6FFC"/>
    <w:rsid w:val="002A7010"/>
    <w:rsid w:val="002A70BA"/>
    <w:rsid w:val="002A79D0"/>
    <w:rsid w:val="002A7A57"/>
    <w:rsid w:val="002A7BB2"/>
    <w:rsid w:val="002A7DCB"/>
    <w:rsid w:val="002B0685"/>
    <w:rsid w:val="002B0B53"/>
    <w:rsid w:val="002B0BE0"/>
    <w:rsid w:val="002B1617"/>
    <w:rsid w:val="002B1D11"/>
    <w:rsid w:val="002B2258"/>
    <w:rsid w:val="002B273B"/>
    <w:rsid w:val="002B29AA"/>
    <w:rsid w:val="002B2A7E"/>
    <w:rsid w:val="002B2F1B"/>
    <w:rsid w:val="002B4514"/>
    <w:rsid w:val="002B4748"/>
    <w:rsid w:val="002B5189"/>
    <w:rsid w:val="002B5AFB"/>
    <w:rsid w:val="002B5B1C"/>
    <w:rsid w:val="002B5DB0"/>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2B8"/>
    <w:rsid w:val="002D7B6A"/>
    <w:rsid w:val="002E0026"/>
    <w:rsid w:val="002E0520"/>
    <w:rsid w:val="002E0739"/>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51DF"/>
    <w:rsid w:val="002E5593"/>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E7C"/>
    <w:rsid w:val="002F724B"/>
    <w:rsid w:val="002F72BA"/>
    <w:rsid w:val="00300267"/>
    <w:rsid w:val="003004D2"/>
    <w:rsid w:val="00300D6B"/>
    <w:rsid w:val="00301072"/>
    <w:rsid w:val="00301380"/>
    <w:rsid w:val="003017C5"/>
    <w:rsid w:val="00301E89"/>
    <w:rsid w:val="00302052"/>
    <w:rsid w:val="00302142"/>
    <w:rsid w:val="00302169"/>
    <w:rsid w:val="00302612"/>
    <w:rsid w:val="00303254"/>
    <w:rsid w:val="003044D9"/>
    <w:rsid w:val="00304B91"/>
    <w:rsid w:val="00304D8A"/>
    <w:rsid w:val="00305216"/>
    <w:rsid w:val="0030555B"/>
    <w:rsid w:val="003061F5"/>
    <w:rsid w:val="00306A49"/>
    <w:rsid w:val="00306D27"/>
    <w:rsid w:val="0030739C"/>
    <w:rsid w:val="00310114"/>
    <w:rsid w:val="00310D51"/>
    <w:rsid w:val="00311B36"/>
    <w:rsid w:val="00311C92"/>
    <w:rsid w:val="00312649"/>
    <w:rsid w:val="00313321"/>
    <w:rsid w:val="003133AE"/>
    <w:rsid w:val="0031371B"/>
    <w:rsid w:val="00313A82"/>
    <w:rsid w:val="00314156"/>
    <w:rsid w:val="003146F2"/>
    <w:rsid w:val="0031535B"/>
    <w:rsid w:val="00316F76"/>
    <w:rsid w:val="003170F4"/>
    <w:rsid w:val="0032035D"/>
    <w:rsid w:val="00320474"/>
    <w:rsid w:val="003205E9"/>
    <w:rsid w:val="003207B2"/>
    <w:rsid w:val="00320B28"/>
    <w:rsid w:val="00320BDD"/>
    <w:rsid w:val="0032123E"/>
    <w:rsid w:val="003216D5"/>
    <w:rsid w:val="003216FF"/>
    <w:rsid w:val="00321866"/>
    <w:rsid w:val="00321A83"/>
    <w:rsid w:val="00321C1A"/>
    <w:rsid w:val="00321F6B"/>
    <w:rsid w:val="003222EC"/>
    <w:rsid w:val="00322389"/>
    <w:rsid w:val="0032274F"/>
    <w:rsid w:val="00322BE5"/>
    <w:rsid w:val="00322E87"/>
    <w:rsid w:val="0032312D"/>
    <w:rsid w:val="00323656"/>
    <w:rsid w:val="00323AA5"/>
    <w:rsid w:val="003242E4"/>
    <w:rsid w:val="0032468D"/>
    <w:rsid w:val="00324720"/>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C5C"/>
    <w:rsid w:val="00332EED"/>
    <w:rsid w:val="003334A7"/>
    <w:rsid w:val="003337E8"/>
    <w:rsid w:val="00333A14"/>
    <w:rsid w:val="00333B2A"/>
    <w:rsid w:val="00333FD5"/>
    <w:rsid w:val="003350E9"/>
    <w:rsid w:val="003351BA"/>
    <w:rsid w:val="0033520F"/>
    <w:rsid w:val="0033596B"/>
    <w:rsid w:val="00335A93"/>
    <w:rsid w:val="00336123"/>
    <w:rsid w:val="0033650E"/>
    <w:rsid w:val="00336580"/>
    <w:rsid w:val="00336907"/>
    <w:rsid w:val="003369DF"/>
    <w:rsid w:val="00336C71"/>
    <w:rsid w:val="00336D96"/>
    <w:rsid w:val="00336DFC"/>
    <w:rsid w:val="00336DFE"/>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6C51"/>
    <w:rsid w:val="00347440"/>
    <w:rsid w:val="003474DC"/>
    <w:rsid w:val="003475EA"/>
    <w:rsid w:val="00347A27"/>
    <w:rsid w:val="00347CB5"/>
    <w:rsid w:val="00347CD4"/>
    <w:rsid w:val="00350A55"/>
    <w:rsid w:val="00350DF8"/>
    <w:rsid w:val="0035120E"/>
    <w:rsid w:val="00351A8A"/>
    <w:rsid w:val="0035266A"/>
    <w:rsid w:val="0035279C"/>
    <w:rsid w:val="003535D2"/>
    <w:rsid w:val="0035384D"/>
    <w:rsid w:val="00353C0B"/>
    <w:rsid w:val="003548D9"/>
    <w:rsid w:val="00354AE4"/>
    <w:rsid w:val="00354B0A"/>
    <w:rsid w:val="0035551B"/>
    <w:rsid w:val="003555ED"/>
    <w:rsid w:val="00355911"/>
    <w:rsid w:val="003561AC"/>
    <w:rsid w:val="0035636B"/>
    <w:rsid w:val="00357424"/>
    <w:rsid w:val="0035752A"/>
    <w:rsid w:val="00357A34"/>
    <w:rsid w:val="00357BE9"/>
    <w:rsid w:val="0036003A"/>
    <w:rsid w:val="003601A2"/>
    <w:rsid w:val="00360A2E"/>
    <w:rsid w:val="00361789"/>
    <w:rsid w:val="0036196D"/>
    <w:rsid w:val="00361A59"/>
    <w:rsid w:val="003627BD"/>
    <w:rsid w:val="00362997"/>
    <w:rsid w:val="00362BB3"/>
    <w:rsid w:val="00362C59"/>
    <w:rsid w:val="00363040"/>
    <w:rsid w:val="003630B7"/>
    <w:rsid w:val="00363786"/>
    <w:rsid w:val="003638A4"/>
    <w:rsid w:val="003639BF"/>
    <w:rsid w:val="00363D2E"/>
    <w:rsid w:val="00363E41"/>
    <w:rsid w:val="00363FD2"/>
    <w:rsid w:val="0036572E"/>
    <w:rsid w:val="003663D9"/>
    <w:rsid w:val="003666BF"/>
    <w:rsid w:val="00366707"/>
    <w:rsid w:val="00366FA9"/>
    <w:rsid w:val="00367E49"/>
    <w:rsid w:val="003700E6"/>
    <w:rsid w:val="00371272"/>
    <w:rsid w:val="00371C86"/>
    <w:rsid w:val="0037236C"/>
    <w:rsid w:val="003729DE"/>
    <w:rsid w:val="003735D3"/>
    <w:rsid w:val="0037386D"/>
    <w:rsid w:val="00373956"/>
    <w:rsid w:val="00374153"/>
    <w:rsid w:val="003750E0"/>
    <w:rsid w:val="00375AF1"/>
    <w:rsid w:val="00375C2F"/>
    <w:rsid w:val="00375FC5"/>
    <w:rsid w:val="003760DF"/>
    <w:rsid w:val="003769BA"/>
    <w:rsid w:val="00377871"/>
    <w:rsid w:val="003778B2"/>
    <w:rsid w:val="00377E58"/>
    <w:rsid w:val="003805E3"/>
    <w:rsid w:val="00380618"/>
    <w:rsid w:val="0038062E"/>
    <w:rsid w:val="003807F7"/>
    <w:rsid w:val="00380BA5"/>
    <w:rsid w:val="00381610"/>
    <w:rsid w:val="003820D8"/>
    <w:rsid w:val="00382106"/>
    <w:rsid w:val="00382657"/>
    <w:rsid w:val="00382B82"/>
    <w:rsid w:val="00382E92"/>
    <w:rsid w:val="003844BF"/>
    <w:rsid w:val="00385194"/>
    <w:rsid w:val="003854D5"/>
    <w:rsid w:val="0038552A"/>
    <w:rsid w:val="003859EA"/>
    <w:rsid w:val="0038709E"/>
    <w:rsid w:val="00387D30"/>
    <w:rsid w:val="003914A9"/>
    <w:rsid w:val="00391753"/>
    <w:rsid w:val="00391C7F"/>
    <w:rsid w:val="00391D55"/>
    <w:rsid w:val="00391F9D"/>
    <w:rsid w:val="00392454"/>
    <w:rsid w:val="00392C85"/>
    <w:rsid w:val="00392FD8"/>
    <w:rsid w:val="00393207"/>
    <w:rsid w:val="00393E11"/>
    <w:rsid w:val="00394475"/>
    <w:rsid w:val="0039517A"/>
    <w:rsid w:val="00395B51"/>
    <w:rsid w:val="00396796"/>
    <w:rsid w:val="00396EC6"/>
    <w:rsid w:val="003970BA"/>
    <w:rsid w:val="0039714D"/>
    <w:rsid w:val="0039746C"/>
    <w:rsid w:val="00397B88"/>
    <w:rsid w:val="00397DC6"/>
    <w:rsid w:val="003A0292"/>
    <w:rsid w:val="003A0E82"/>
    <w:rsid w:val="003A0FAC"/>
    <w:rsid w:val="003A184D"/>
    <w:rsid w:val="003A18E8"/>
    <w:rsid w:val="003A1FB7"/>
    <w:rsid w:val="003A2476"/>
    <w:rsid w:val="003A25B2"/>
    <w:rsid w:val="003A2ED9"/>
    <w:rsid w:val="003A2FA3"/>
    <w:rsid w:val="003A3457"/>
    <w:rsid w:val="003A371E"/>
    <w:rsid w:val="003A462A"/>
    <w:rsid w:val="003A5451"/>
    <w:rsid w:val="003A595F"/>
    <w:rsid w:val="003A5EEC"/>
    <w:rsid w:val="003A64F2"/>
    <w:rsid w:val="003A6622"/>
    <w:rsid w:val="003A6E66"/>
    <w:rsid w:val="003A79AE"/>
    <w:rsid w:val="003A7CA3"/>
    <w:rsid w:val="003B00B6"/>
    <w:rsid w:val="003B01C4"/>
    <w:rsid w:val="003B0BB0"/>
    <w:rsid w:val="003B11EE"/>
    <w:rsid w:val="003B15F8"/>
    <w:rsid w:val="003B168A"/>
    <w:rsid w:val="003B230B"/>
    <w:rsid w:val="003B23BC"/>
    <w:rsid w:val="003B28BA"/>
    <w:rsid w:val="003B2DB5"/>
    <w:rsid w:val="003B2F05"/>
    <w:rsid w:val="003B3966"/>
    <w:rsid w:val="003B39B7"/>
    <w:rsid w:val="003B47CC"/>
    <w:rsid w:val="003B4EB0"/>
    <w:rsid w:val="003B5F6A"/>
    <w:rsid w:val="003B6B7F"/>
    <w:rsid w:val="003B7820"/>
    <w:rsid w:val="003C01A4"/>
    <w:rsid w:val="003C0219"/>
    <w:rsid w:val="003C0C12"/>
    <w:rsid w:val="003C0DCF"/>
    <w:rsid w:val="003C16EE"/>
    <w:rsid w:val="003C1C87"/>
    <w:rsid w:val="003C2402"/>
    <w:rsid w:val="003C2C85"/>
    <w:rsid w:val="003C2F61"/>
    <w:rsid w:val="003C3037"/>
    <w:rsid w:val="003C345E"/>
    <w:rsid w:val="003C3E12"/>
    <w:rsid w:val="003C4409"/>
    <w:rsid w:val="003C4605"/>
    <w:rsid w:val="003C4997"/>
    <w:rsid w:val="003C4DA5"/>
    <w:rsid w:val="003C5666"/>
    <w:rsid w:val="003C5FAE"/>
    <w:rsid w:val="003C60CC"/>
    <w:rsid w:val="003C64F4"/>
    <w:rsid w:val="003C6E4B"/>
    <w:rsid w:val="003C6F5B"/>
    <w:rsid w:val="003C724B"/>
    <w:rsid w:val="003C73DB"/>
    <w:rsid w:val="003C7F81"/>
    <w:rsid w:val="003D0185"/>
    <w:rsid w:val="003D02CB"/>
    <w:rsid w:val="003D0382"/>
    <w:rsid w:val="003D069C"/>
    <w:rsid w:val="003D0C40"/>
    <w:rsid w:val="003D191E"/>
    <w:rsid w:val="003D22A5"/>
    <w:rsid w:val="003D23A4"/>
    <w:rsid w:val="003D3414"/>
    <w:rsid w:val="003D3426"/>
    <w:rsid w:val="003D3654"/>
    <w:rsid w:val="003D3721"/>
    <w:rsid w:val="003D5704"/>
    <w:rsid w:val="003D570E"/>
    <w:rsid w:val="003D63F3"/>
    <w:rsid w:val="003D6722"/>
    <w:rsid w:val="003D7428"/>
    <w:rsid w:val="003D77F2"/>
    <w:rsid w:val="003D78CC"/>
    <w:rsid w:val="003D7D01"/>
    <w:rsid w:val="003D7ED8"/>
    <w:rsid w:val="003E0003"/>
    <w:rsid w:val="003E0099"/>
    <w:rsid w:val="003E08C7"/>
    <w:rsid w:val="003E1A72"/>
    <w:rsid w:val="003E249B"/>
    <w:rsid w:val="003E2880"/>
    <w:rsid w:val="003E28FB"/>
    <w:rsid w:val="003E2A00"/>
    <w:rsid w:val="003E2EFA"/>
    <w:rsid w:val="003E3798"/>
    <w:rsid w:val="003E382C"/>
    <w:rsid w:val="003E3D00"/>
    <w:rsid w:val="003E4531"/>
    <w:rsid w:val="003E4771"/>
    <w:rsid w:val="003E54A8"/>
    <w:rsid w:val="003E5833"/>
    <w:rsid w:val="003E5DA8"/>
    <w:rsid w:val="003E7109"/>
    <w:rsid w:val="003E72DE"/>
    <w:rsid w:val="003E7445"/>
    <w:rsid w:val="003E74F9"/>
    <w:rsid w:val="003E77DC"/>
    <w:rsid w:val="003E7BC1"/>
    <w:rsid w:val="003F0453"/>
    <w:rsid w:val="003F0C9F"/>
    <w:rsid w:val="003F144A"/>
    <w:rsid w:val="003F182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E62"/>
    <w:rsid w:val="003F7FDA"/>
    <w:rsid w:val="004011F0"/>
    <w:rsid w:val="004013AD"/>
    <w:rsid w:val="004021C0"/>
    <w:rsid w:val="004028CE"/>
    <w:rsid w:val="0040313D"/>
    <w:rsid w:val="004043BD"/>
    <w:rsid w:val="004043FA"/>
    <w:rsid w:val="00404970"/>
    <w:rsid w:val="00404A28"/>
    <w:rsid w:val="00405181"/>
    <w:rsid w:val="0040567F"/>
    <w:rsid w:val="00405873"/>
    <w:rsid w:val="00405A17"/>
    <w:rsid w:val="00405F09"/>
    <w:rsid w:val="004066F4"/>
    <w:rsid w:val="00406A32"/>
    <w:rsid w:val="00407185"/>
    <w:rsid w:val="004075A8"/>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75D"/>
    <w:rsid w:val="00413D45"/>
    <w:rsid w:val="00414197"/>
    <w:rsid w:val="00414D68"/>
    <w:rsid w:val="00414FD9"/>
    <w:rsid w:val="00415773"/>
    <w:rsid w:val="00415CAE"/>
    <w:rsid w:val="00415EE7"/>
    <w:rsid w:val="004160FA"/>
    <w:rsid w:val="0041669E"/>
    <w:rsid w:val="00416ACA"/>
    <w:rsid w:val="00416C56"/>
    <w:rsid w:val="00416D79"/>
    <w:rsid w:val="00417294"/>
    <w:rsid w:val="004176B8"/>
    <w:rsid w:val="00417B99"/>
    <w:rsid w:val="00417CE0"/>
    <w:rsid w:val="004203C9"/>
    <w:rsid w:val="004209D5"/>
    <w:rsid w:val="00420FAF"/>
    <w:rsid w:val="00421184"/>
    <w:rsid w:val="004212C1"/>
    <w:rsid w:val="004214B7"/>
    <w:rsid w:val="00421FB5"/>
    <w:rsid w:val="00422669"/>
    <w:rsid w:val="004226ED"/>
    <w:rsid w:val="00422AF4"/>
    <w:rsid w:val="004235F4"/>
    <w:rsid w:val="004236C9"/>
    <w:rsid w:val="00423CF3"/>
    <w:rsid w:val="00423E18"/>
    <w:rsid w:val="00424B7C"/>
    <w:rsid w:val="0042500C"/>
    <w:rsid w:val="004251B5"/>
    <w:rsid w:val="00425514"/>
    <w:rsid w:val="004256BD"/>
    <w:rsid w:val="00425863"/>
    <w:rsid w:val="00425D02"/>
    <w:rsid w:val="00425EDC"/>
    <w:rsid w:val="00426C3E"/>
    <w:rsid w:val="004275CD"/>
    <w:rsid w:val="00427FEB"/>
    <w:rsid w:val="00427FF2"/>
    <w:rsid w:val="004305C0"/>
    <w:rsid w:val="00430B20"/>
    <w:rsid w:val="00430B6C"/>
    <w:rsid w:val="004314BA"/>
    <w:rsid w:val="0043221A"/>
    <w:rsid w:val="0043227C"/>
    <w:rsid w:val="004335C0"/>
    <w:rsid w:val="00433FDC"/>
    <w:rsid w:val="00435121"/>
    <w:rsid w:val="00435715"/>
    <w:rsid w:val="0043571B"/>
    <w:rsid w:val="00435EE0"/>
    <w:rsid w:val="00435F29"/>
    <w:rsid w:val="0043610C"/>
    <w:rsid w:val="004366FF"/>
    <w:rsid w:val="00437CD1"/>
    <w:rsid w:val="00437D83"/>
    <w:rsid w:val="004401DD"/>
    <w:rsid w:val="00440344"/>
    <w:rsid w:val="00441264"/>
    <w:rsid w:val="00441B0F"/>
    <w:rsid w:val="004425C6"/>
    <w:rsid w:val="00443A11"/>
    <w:rsid w:val="00443D5D"/>
    <w:rsid w:val="00445CBA"/>
    <w:rsid w:val="004463CB"/>
    <w:rsid w:val="004466F7"/>
    <w:rsid w:val="00446858"/>
    <w:rsid w:val="00447304"/>
    <w:rsid w:val="00450127"/>
    <w:rsid w:val="0045075F"/>
    <w:rsid w:val="00450EE2"/>
    <w:rsid w:val="004516AD"/>
    <w:rsid w:val="00451E84"/>
    <w:rsid w:val="00451EA3"/>
    <w:rsid w:val="00451F01"/>
    <w:rsid w:val="004546A7"/>
    <w:rsid w:val="00454831"/>
    <w:rsid w:val="004548DF"/>
    <w:rsid w:val="00456CC0"/>
    <w:rsid w:val="00456EDC"/>
    <w:rsid w:val="00457139"/>
    <w:rsid w:val="00457933"/>
    <w:rsid w:val="00457C78"/>
    <w:rsid w:val="00460735"/>
    <w:rsid w:val="00460AD5"/>
    <w:rsid w:val="00460EB8"/>
    <w:rsid w:val="00461090"/>
    <w:rsid w:val="00461991"/>
    <w:rsid w:val="00461C43"/>
    <w:rsid w:val="00462125"/>
    <w:rsid w:val="00462D58"/>
    <w:rsid w:val="00463216"/>
    <w:rsid w:val="0046334D"/>
    <w:rsid w:val="00463C95"/>
    <w:rsid w:val="00463E1C"/>
    <w:rsid w:val="00464052"/>
    <w:rsid w:val="00465153"/>
    <w:rsid w:val="00465602"/>
    <w:rsid w:val="00466377"/>
    <w:rsid w:val="00466AFD"/>
    <w:rsid w:val="00470696"/>
    <w:rsid w:val="00472177"/>
    <w:rsid w:val="004724C9"/>
    <w:rsid w:val="00472585"/>
    <w:rsid w:val="00474130"/>
    <w:rsid w:val="00474EDD"/>
    <w:rsid w:val="00475A6C"/>
    <w:rsid w:val="004764AF"/>
    <w:rsid w:val="00476D04"/>
    <w:rsid w:val="00477183"/>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630"/>
    <w:rsid w:val="0048423C"/>
    <w:rsid w:val="00484449"/>
    <w:rsid w:val="004852CE"/>
    <w:rsid w:val="0048540C"/>
    <w:rsid w:val="00485F92"/>
    <w:rsid w:val="004860BD"/>
    <w:rsid w:val="004866E1"/>
    <w:rsid w:val="00486C72"/>
    <w:rsid w:val="00487470"/>
    <w:rsid w:val="00490954"/>
    <w:rsid w:val="0049277A"/>
    <w:rsid w:val="00492B38"/>
    <w:rsid w:val="00492FE4"/>
    <w:rsid w:val="00493035"/>
    <w:rsid w:val="00493321"/>
    <w:rsid w:val="004936DE"/>
    <w:rsid w:val="00493707"/>
    <w:rsid w:val="00494060"/>
    <w:rsid w:val="00494F63"/>
    <w:rsid w:val="004950CB"/>
    <w:rsid w:val="0049544E"/>
    <w:rsid w:val="00495670"/>
    <w:rsid w:val="0049604B"/>
    <w:rsid w:val="00496AC9"/>
    <w:rsid w:val="004971ED"/>
    <w:rsid w:val="004A0292"/>
    <w:rsid w:val="004A040E"/>
    <w:rsid w:val="004A042D"/>
    <w:rsid w:val="004A11E0"/>
    <w:rsid w:val="004A1FC5"/>
    <w:rsid w:val="004A2158"/>
    <w:rsid w:val="004A29A5"/>
    <w:rsid w:val="004A3225"/>
    <w:rsid w:val="004A374A"/>
    <w:rsid w:val="004A395B"/>
    <w:rsid w:val="004A3C59"/>
    <w:rsid w:val="004A3FE2"/>
    <w:rsid w:val="004A4195"/>
    <w:rsid w:val="004A421F"/>
    <w:rsid w:val="004A480D"/>
    <w:rsid w:val="004A4D76"/>
    <w:rsid w:val="004A5851"/>
    <w:rsid w:val="004A5A91"/>
    <w:rsid w:val="004A5B0F"/>
    <w:rsid w:val="004A5CF1"/>
    <w:rsid w:val="004A66E0"/>
    <w:rsid w:val="004A7AAE"/>
    <w:rsid w:val="004A7D49"/>
    <w:rsid w:val="004A7F21"/>
    <w:rsid w:val="004B08DB"/>
    <w:rsid w:val="004B096A"/>
    <w:rsid w:val="004B0BEB"/>
    <w:rsid w:val="004B1422"/>
    <w:rsid w:val="004B15B2"/>
    <w:rsid w:val="004B24EB"/>
    <w:rsid w:val="004B29AC"/>
    <w:rsid w:val="004B3C8B"/>
    <w:rsid w:val="004B4017"/>
    <w:rsid w:val="004B44A9"/>
    <w:rsid w:val="004B4509"/>
    <w:rsid w:val="004B452A"/>
    <w:rsid w:val="004B46B4"/>
    <w:rsid w:val="004B4871"/>
    <w:rsid w:val="004B4ADF"/>
    <w:rsid w:val="004B4C00"/>
    <w:rsid w:val="004B4E06"/>
    <w:rsid w:val="004B5493"/>
    <w:rsid w:val="004B5914"/>
    <w:rsid w:val="004B5B6F"/>
    <w:rsid w:val="004B65D7"/>
    <w:rsid w:val="004B6C77"/>
    <w:rsid w:val="004B6D0A"/>
    <w:rsid w:val="004B7995"/>
    <w:rsid w:val="004C02B3"/>
    <w:rsid w:val="004C0859"/>
    <w:rsid w:val="004C098E"/>
    <w:rsid w:val="004C0BBE"/>
    <w:rsid w:val="004C0E2F"/>
    <w:rsid w:val="004C222E"/>
    <w:rsid w:val="004C2561"/>
    <w:rsid w:val="004C2806"/>
    <w:rsid w:val="004C2A38"/>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9C8"/>
    <w:rsid w:val="004D1A0A"/>
    <w:rsid w:val="004D2369"/>
    <w:rsid w:val="004D2485"/>
    <w:rsid w:val="004D3A57"/>
    <w:rsid w:val="004D47FF"/>
    <w:rsid w:val="004D4D35"/>
    <w:rsid w:val="004D518F"/>
    <w:rsid w:val="004D54D7"/>
    <w:rsid w:val="004D5BB7"/>
    <w:rsid w:val="004D6053"/>
    <w:rsid w:val="004D6FA4"/>
    <w:rsid w:val="004D7A03"/>
    <w:rsid w:val="004D7C23"/>
    <w:rsid w:val="004E01C6"/>
    <w:rsid w:val="004E0212"/>
    <w:rsid w:val="004E046B"/>
    <w:rsid w:val="004E0ADC"/>
    <w:rsid w:val="004E0FB1"/>
    <w:rsid w:val="004E1043"/>
    <w:rsid w:val="004E1DCA"/>
    <w:rsid w:val="004E21B4"/>
    <w:rsid w:val="004E252B"/>
    <w:rsid w:val="004E2861"/>
    <w:rsid w:val="004E2A85"/>
    <w:rsid w:val="004E3C60"/>
    <w:rsid w:val="004E3F72"/>
    <w:rsid w:val="004E4A78"/>
    <w:rsid w:val="004E551E"/>
    <w:rsid w:val="004E58F6"/>
    <w:rsid w:val="004E5E37"/>
    <w:rsid w:val="004E5E4C"/>
    <w:rsid w:val="004E623E"/>
    <w:rsid w:val="004E6CF9"/>
    <w:rsid w:val="004E6E83"/>
    <w:rsid w:val="004E734E"/>
    <w:rsid w:val="004E7EC0"/>
    <w:rsid w:val="004E7F48"/>
    <w:rsid w:val="004F014E"/>
    <w:rsid w:val="004F023B"/>
    <w:rsid w:val="004F0BC6"/>
    <w:rsid w:val="004F1123"/>
    <w:rsid w:val="004F1715"/>
    <w:rsid w:val="004F17DA"/>
    <w:rsid w:val="004F2FC3"/>
    <w:rsid w:val="004F3BD2"/>
    <w:rsid w:val="004F4372"/>
    <w:rsid w:val="004F43E0"/>
    <w:rsid w:val="004F45EB"/>
    <w:rsid w:val="004F521B"/>
    <w:rsid w:val="004F52BB"/>
    <w:rsid w:val="004F5582"/>
    <w:rsid w:val="004F59B8"/>
    <w:rsid w:val="004F62A7"/>
    <w:rsid w:val="004F62F9"/>
    <w:rsid w:val="004F66B3"/>
    <w:rsid w:val="004F6723"/>
    <w:rsid w:val="004F6F1F"/>
    <w:rsid w:val="004F7352"/>
    <w:rsid w:val="004F7889"/>
    <w:rsid w:val="0050015C"/>
    <w:rsid w:val="00500418"/>
    <w:rsid w:val="00500926"/>
    <w:rsid w:val="00500CCF"/>
    <w:rsid w:val="00500E62"/>
    <w:rsid w:val="005010DE"/>
    <w:rsid w:val="00501164"/>
    <w:rsid w:val="005011FD"/>
    <w:rsid w:val="0050164B"/>
    <w:rsid w:val="00502958"/>
    <w:rsid w:val="00502BD2"/>
    <w:rsid w:val="00502DA4"/>
    <w:rsid w:val="00502E79"/>
    <w:rsid w:val="00503F83"/>
    <w:rsid w:val="0050421C"/>
    <w:rsid w:val="00504A9B"/>
    <w:rsid w:val="00504E9A"/>
    <w:rsid w:val="00504F83"/>
    <w:rsid w:val="005059B9"/>
    <w:rsid w:val="00505D4F"/>
    <w:rsid w:val="00505F64"/>
    <w:rsid w:val="00506DCD"/>
    <w:rsid w:val="00507325"/>
    <w:rsid w:val="00507C56"/>
    <w:rsid w:val="00507F13"/>
    <w:rsid w:val="00510595"/>
    <w:rsid w:val="005109D4"/>
    <w:rsid w:val="00510CF4"/>
    <w:rsid w:val="0051160A"/>
    <w:rsid w:val="005118BA"/>
    <w:rsid w:val="00512D87"/>
    <w:rsid w:val="005130DA"/>
    <w:rsid w:val="00513DDA"/>
    <w:rsid w:val="00513E19"/>
    <w:rsid w:val="005148B4"/>
    <w:rsid w:val="00514B29"/>
    <w:rsid w:val="005152B1"/>
    <w:rsid w:val="005152F0"/>
    <w:rsid w:val="00515856"/>
    <w:rsid w:val="00515A35"/>
    <w:rsid w:val="005163E6"/>
    <w:rsid w:val="005169BB"/>
    <w:rsid w:val="005172EC"/>
    <w:rsid w:val="0051740D"/>
    <w:rsid w:val="005178C2"/>
    <w:rsid w:val="005178CE"/>
    <w:rsid w:val="00521CAB"/>
    <w:rsid w:val="005224EF"/>
    <w:rsid w:val="00522654"/>
    <w:rsid w:val="00522835"/>
    <w:rsid w:val="0052293D"/>
    <w:rsid w:val="005229E2"/>
    <w:rsid w:val="00522AF4"/>
    <w:rsid w:val="00523499"/>
    <w:rsid w:val="00523BC7"/>
    <w:rsid w:val="00523C08"/>
    <w:rsid w:val="00523C10"/>
    <w:rsid w:val="00523E23"/>
    <w:rsid w:val="005245D5"/>
    <w:rsid w:val="00524889"/>
    <w:rsid w:val="0052506A"/>
    <w:rsid w:val="0052575D"/>
    <w:rsid w:val="00525A53"/>
    <w:rsid w:val="00525C71"/>
    <w:rsid w:val="00526569"/>
    <w:rsid w:val="00526726"/>
    <w:rsid w:val="00527256"/>
    <w:rsid w:val="00527AF7"/>
    <w:rsid w:val="00527B57"/>
    <w:rsid w:val="00527C8D"/>
    <w:rsid w:val="00527C9C"/>
    <w:rsid w:val="00530AC4"/>
    <w:rsid w:val="00531D7C"/>
    <w:rsid w:val="0053309E"/>
    <w:rsid w:val="00533169"/>
    <w:rsid w:val="00533194"/>
    <w:rsid w:val="005332C8"/>
    <w:rsid w:val="0053464E"/>
    <w:rsid w:val="005352C8"/>
    <w:rsid w:val="005354C1"/>
    <w:rsid w:val="005354FC"/>
    <w:rsid w:val="00535F99"/>
    <w:rsid w:val="00536356"/>
    <w:rsid w:val="00536CBB"/>
    <w:rsid w:val="00536DDD"/>
    <w:rsid w:val="00537033"/>
    <w:rsid w:val="00540A37"/>
    <w:rsid w:val="00540B49"/>
    <w:rsid w:val="005418DB"/>
    <w:rsid w:val="005434EA"/>
    <w:rsid w:val="00543A69"/>
    <w:rsid w:val="00545D55"/>
    <w:rsid w:val="005461AB"/>
    <w:rsid w:val="00546C6A"/>
    <w:rsid w:val="00546FBA"/>
    <w:rsid w:val="00547A4E"/>
    <w:rsid w:val="00547F04"/>
    <w:rsid w:val="00550924"/>
    <w:rsid w:val="00550D63"/>
    <w:rsid w:val="00550EF1"/>
    <w:rsid w:val="00551075"/>
    <w:rsid w:val="005513C8"/>
    <w:rsid w:val="005519BC"/>
    <w:rsid w:val="0055352C"/>
    <w:rsid w:val="005538A6"/>
    <w:rsid w:val="00554F94"/>
    <w:rsid w:val="00555161"/>
    <w:rsid w:val="00555DE6"/>
    <w:rsid w:val="00555EB3"/>
    <w:rsid w:val="005567F6"/>
    <w:rsid w:val="00556E29"/>
    <w:rsid w:val="00557474"/>
    <w:rsid w:val="00557DAA"/>
    <w:rsid w:val="00557DAD"/>
    <w:rsid w:val="00560F9D"/>
    <w:rsid w:val="00561138"/>
    <w:rsid w:val="00561699"/>
    <w:rsid w:val="0056194F"/>
    <w:rsid w:val="005619E1"/>
    <w:rsid w:val="0056219F"/>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8ED"/>
    <w:rsid w:val="005712E6"/>
    <w:rsid w:val="00572942"/>
    <w:rsid w:val="00572F2F"/>
    <w:rsid w:val="005730DB"/>
    <w:rsid w:val="00573251"/>
    <w:rsid w:val="005733A8"/>
    <w:rsid w:val="00573B5B"/>
    <w:rsid w:val="00573F55"/>
    <w:rsid w:val="00574CE3"/>
    <w:rsid w:val="0057540E"/>
    <w:rsid w:val="0057575D"/>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123"/>
    <w:rsid w:val="00587729"/>
    <w:rsid w:val="00587886"/>
    <w:rsid w:val="00587A66"/>
    <w:rsid w:val="00590147"/>
    <w:rsid w:val="00590BD1"/>
    <w:rsid w:val="00590D26"/>
    <w:rsid w:val="00590E50"/>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52B"/>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40"/>
    <w:rsid w:val="005A07E7"/>
    <w:rsid w:val="005A0A57"/>
    <w:rsid w:val="005A0B9F"/>
    <w:rsid w:val="005A0DBB"/>
    <w:rsid w:val="005A0EBD"/>
    <w:rsid w:val="005A1270"/>
    <w:rsid w:val="005A1295"/>
    <w:rsid w:val="005A1AF9"/>
    <w:rsid w:val="005A1FBF"/>
    <w:rsid w:val="005A29B1"/>
    <w:rsid w:val="005A2D98"/>
    <w:rsid w:val="005A2EBF"/>
    <w:rsid w:val="005A380B"/>
    <w:rsid w:val="005A4890"/>
    <w:rsid w:val="005A49D4"/>
    <w:rsid w:val="005A4D7C"/>
    <w:rsid w:val="005A50EA"/>
    <w:rsid w:val="005A51C9"/>
    <w:rsid w:val="005A5DC0"/>
    <w:rsid w:val="005A6B6D"/>
    <w:rsid w:val="005A6ED5"/>
    <w:rsid w:val="005A6F0E"/>
    <w:rsid w:val="005A6F57"/>
    <w:rsid w:val="005A7235"/>
    <w:rsid w:val="005A795B"/>
    <w:rsid w:val="005A7BAF"/>
    <w:rsid w:val="005B03B1"/>
    <w:rsid w:val="005B0652"/>
    <w:rsid w:val="005B1213"/>
    <w:rsid w:val="005B173C"/>
    <w:rsid w:val="005B1B55"/>
    <w:rsid w:val="005B1DBD"/>
    <w:rsid w:val="005B26B0"/>
    <w:rsid w:val="005B3EBD"/>
    <w:rsid w:val="005B48E8"/>
    <w:rsid w:val="005B56D9"/>
    <w:rsid w:val="005B5BA3"/>
    <w:rsid w:val="005B5E62"/>
    <w:rsid w:val="005B7E97"/>
    <w:rsid w:val="005B7F46"/>
    <w:rsid w:val="005C09A7"/>
    <w:rsid w:val="005C102D"/>
    <w:rsid w:val="005C1274"/>
    <w:rsid w:val="005C132C"/>
    <w:rsid w:val="005C17FB"/>
    <w:rsid w:val="005C1833"/>
    <w:rsid w:val="005C1838"/>
    <w:rsid w:val="005C18C2"/>
    <w:rsid w:val="005C1A4F"/>
    <w:rsid w:val="005C1C53"/>
    <w:rsid w:val="005C2063"/>
    <w:rsid w:val="005C244F"/>
    <w:rsid w:val="005C2767"/>
    <w:rsid w:val="005C2922"/>
    <w:rsid w:val="005C2F60"/>
    <w:rsid w:val="005C2FB7"/>
    <w:rsid w:val="005C323D"/>
    <w:rsid w:val="005C3772"/>
    <w:rsid w:val="005C39C3"/>
    <w:rsid w:val="005C40CE"/>
    <w:rsid w:val="005C4229"/>
    <w:rsid w:val="005C4580"/>
    <w:rsid w:val="005C5065"/>
    <w:rsid w:val="005C52F3"/>
    <w:rsid w:val="005C564C"/>
    <w:rsid w:val="005C5A98"/>
    <w:rsid w:val="005C5E96"/>
    <w:rsid w:val="005C6234"/>
    <w:rsid w:val="005C6605"/>
    <w:rsid w:val="005C71A0"/>
    <w:rsid w:val="005C7802"/>
    <w:rsid w:val="005C7B50"/>
    <w:rsid w:val="005D029E"/>
    <w:rsid w:val="005D0427"/>
    <w:rsid w:val="005D0776"/>
    <w:rsid w:val="005D07AE"/>
    <w:rsid w:val="005D0B9E"/>
    <w:rsid w:val="005D0C83"/>
    <w:rsid w:val="005D113B"/>
    <w:rsid w:val="005D1732"/>
    <w:rsid w:val="005D1DB3"/>
    <w:rsid w:val="005D2D9A"/>
    <w:rsid w:val="005D2EEA"/>
    <w:rsid w:val="005D3A6E"/>
    <w:rsid w:val="005D3B21"/>
    <w:rsid w:val="005D4019"/>
    <w:rsid w:val="005D41DC"/>
    <w:rsid w:val="005D460F"/>
    <w:rsid w:val="005D477B"/>
    <w:rsid w:val="005D4DC5"/>
    <w:rsid w:val="005D5C22"/>
    <w:rsid w:val="005D5DE7"/>
    <w:rsid w:val="005D5E6C"/>
    <w:rsid w:val="005D63A9"/>
    <w:rsid w:val="005D65D5"/>
    <w:rsid w:val="005D6C56"/>
    <w:rsid w:val="005D6F49"/>
    <w:rsid w:val="005D7E8A"/>
    <w:rsid w:val="005E056F"/>
    <w:rsid w:val="005E06FA"/>
    <w:rsid w:val="005E11A5"/>
    <w:rsid w:val="005E13D4"/>
    <w:rsid w:val="005E1435"/>
    <w:rsid w:val="005E16E6"/>
    <w:rsid w:val="005E21F3"/>
    <w:rsid w:val="005E235C"/>
    <w:rsid w:val="005E3078"/>
    <w:rsid w:val="005E33BE"/>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E7D36"/>
    <w:rsid w:val="005F0A62"/>
    <w:rsid w:val="005F0FA8"/>
    <w:rsid w:val="005F1C5D"/>
    <w:rsid w:val="005F2317"/>
    <w:rsid w:val="005F2550"/>
    <w:rsid w:val="005F268E"/>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9CA"/>
    <w:rsid w:val="005F7A22"/>
    <w:rsid w:val="005F7B9D"/>
    <w:rsid w:val="00600501"/>
    <w:rsid w:val="00600B0C"/>
    <w:rsid w:val="00600FA1"/>
    <w:rsid w:val="00602DFA"/>
    <w:rsid w:val="006031D1"/>
    <w:rsid w:val="006033BF"/>
    <w:rsid w:val="00603702"/>
    <w:rsid w:val="0060381D"/>
    <w:rsid w:val="00603B4B"/>
    <w:rsid w:val="00603F20"/>
    <w:rsid w:val="00604F37"/>
    <w:rsid w:val="0060508A"/>
    <w:rsid w:val="0060541B"/>
    <w:rsid w:val="006055AF"/>
    <w:rsid w:val="00605942"/>
    <w:rsid w:val="006059CD"/>
    <w:rsid w:val="00605C9F"/>
    <w:rsid w:val="006068E8"/>
    <w:rsid w:val="00606ADB"/>
    <w:rsid w:val="00607096"/>
    <w:rsid w:val="006072DE"/>
    <w:rsid w:val="006075F4"/>
    <w:rsid w:val="006078A8"/>
    <w:rsid w:val="00607BAD"/>
    <w:rsid w:val="00607EC7"/>
    <w:rsid w:val="0061020E"/>
    <w:rsid w:val="0061048A"/>
    <w:rsid w:val="00610AE7"/>
    <w:rsid w:val="00611178"/>
    <w:rsid w:val="00611252"/>
    <w:rsid w:val="0061148D"/>
    <w:rsid w:val="00611D01"/>
    <w:rsid w:val="006122EC"/>
    <w:rsid w:val="006124B3"/>
    <w:rsid w:val="00612611"/>
    <w:rsid w:val="0061279A"/>
    <w:rsid w:val="00613009"/>
    <w:rsid w:val="006132EA"/>
    <w:rsid w:val="00613CA5"/>
    <w:rsid w:val="0061401C"/>
    <w:rsid w:val="0061420B"/>
    <w:rsid w:val="00614A99"/>
    <w:rsid w:val="00614D33"/>
    <w:rsid w:val="0061537D"/>
    <w:rsid w:val="0061537F"/>
    <w:rsid w:val="006156D7"/>
    <w:rsid w:val="00615DEA"/>
    <w:rsid w:val="00616A60"/>
    <w:rsid w:val="00616EE6"/>
    <w:rsid w:val="006171FB"/>
    <w:rsid w:val="00617632"/>
    <w:rsid w:val="00617A2A"/>
    <w:rsid w:val="006207F4"/>
    <w:rsid w:val="00620C67"/>
    <w:rsid w:val="00620FE8"/>
    <w:rsid w:val="00621646"/>
    <w:rsid w:val="00621803"/>
    <w:rsid w:val="00622056"/>
    <w:rsid w:val="006220F1"/>
    <w:rsid w:val="00622765"/>
    <w:rsid w:val="00623E46"/>
    <w:rsid w:val="00624604"/>
    <w:rsid w:val="0062462D"/>
    <w:rsid w:val="00624D2C"/>
    <w:rsid w:val="00624F7F"/>
    <w:rsid w:val="00625145"/>
    <w:rsid w:val="00625701"/>
    <w:rsid w:val="006259AB"/>
    <w:rsid w:val="00626768"/>
    <w:rsid w:val="00627402"/>
    <w:rsid w:val="00630480"/>
    <w:rsid w:val="0063058E"/>
    <w:rsid w:val="006305F8"/>
    <w:rsid w:val="00631904"/>
    <w:rsid w:val="00631DA7"/>
    <w:rsid w:val="00631FAE"/>
    <w:rsid w:val="006327BB"/>
    <w:rsid w:val="00632B9C"/>
    <w:rsid w:val="00632F18"/>
    <w:rsid w:val="006332D7"/>
    <w:rsid w:val="0063333D"/>
    <w:rsid w:val="00634225"/>
    <w:rsid w:val="00634913"/>
    <w:rsid w:val="00634D99"/>
    <w:rsid w:val="00635003"/>
    <w:rsid w:val="006351CE"/>
    <w:rsid w:val="006352FD"/>
    <w:rsid w:val="00635978"/>
    <w:rsid w:val="00635B15"/>
    <w:rsid w:val="00636037"/>
    <w:rsid w:val="00636134"/>
    <w:rsid w:val="006362B4"/>
    <w:rsid w:val="006362E1"/>
    <w:rsid w:val="006367DA"/>
    <w:rsid w:val="00636A53"/>
    <w:rsid w:val="006370E1"/>
    <w:rsid w:val="006375B2"/>
    <w:rsid w:val="006375BB"/>
    <w:rsid w:val="006409EE"/>
    <w:rsid w:val="00640BF7"/>
    <w:rsid w:val="00640FFF"/>
    <w:rsid w:val="00641761"/>
    <w:rsid w:val="006425FC"/>
    <w:rsid w:val="00642631"/>
    <w:rsid w:val="00642C5F"/>
    <w:rsid w:val="00642DF5"/>
    <w:rsid w:val="0064304A"/>
    <w:rsid w:val="0064380B"/>
    <w:rsid w:val="00643A4F"/>
    <w:rsid w:val="00643FF5"/>
    <w:rsid w:val="006441FD"/>
    <w:rsid w:val="00644E5A"/>
    <w:rsid w:val="00644F2C"/>
    <w:rsid w:val="00645099"/>
    <w:rsid w:val="00645141"/>
    <w:rsid w:val="00645AEE"/>
    <w:rsid w:val="00646428"/>
    <w:rsid w:val="00646ED8"/>
    <w:rsid w:val="0064707F"/>
    <w:rsid w:val="006471E8"/>
    <w:rsid w:val="00647E90"/>
    <w:rsid w:val="00647FA3"/>
    <w:rsid w:val="006500F7"/>
    <w:rsid w:val="00650769"/>
    <w:rsid w:val="00650BAC"/>
    <w:rsid w:val="006516B7"/>
    <w:rsid w:val="006518E4"/>
    <w:rsid w:val="00651FB8"/>
    <w:rsid w:val="00652BA0"/>
    <w:rsid w:val="00653045"/>
    <w:rsid w:val="006537A3"/>
    <w:rsid w:val="00653A25"/>
    <w:rsid w:val="00653D93"/>
    <w:rsid w:val="00653FDA"/>
    <w:rsid w:val="006541A0"/>
    <w:rsid w:val="00654E99"/>
    <w:rsid w:val="00655104"/>
    <w:rsid w:val="0065548F"/>
    <w:rsid w:val="00655633"/>
    <w:rsid w:val="006559BB"/>
    <w:rsid w:val="00655D93"/>
    <w:rsid w:val="00655E86"/>
    <w:rsid w:val="00656614"/>
    <w:rsid w:val="00656C4D"/>
    <w:rsid w:val="006570E3"/>
    <w:rsid w:val="006577CD"/>
    <w:rsid w:val="00657CCC"/>
    <w:rsid w:val="00660162"/>
    <w:rsid w:val="0066036D"/>
    <w:rsid w:val="006604FA"/>
    <w:rsid w:val="006606A4"/>
    <w:rsid w:val="0066078C"/>
    <w:rsid w:val="00660879"/>
    <w:rsid w:val="00661639"/>
    <w:rsid w:val="00661655"/>
    <w:rsid w:val="0066174D"/>
    <w:rsid w:val="00661E36"/>
    <w:rsid w:val="0066253C"/>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0CF4"/>
    <w:rsid w:val="006716F7"/>
    <w:rsid w:val="00671F3E"/>
    <w:rsid w:val="00672482"/>
    <w:rsid w:val="00672A18"/>
    <w:rsid w:val="00672E93"/>
    <w:rsid w:val="00673032"/>
    <w:rsid w:val="006735D0"/>
    <w:rsid w:val="006739E9"/>
    <w:rsid w:val="00673C8B"/>
    <w:rsid w:val="00673E61"/>
    <w:rsid w:val="00674D52"/>
    <w:rsid w:val="00674F93"/>
    <w:rsid w:val="0067546F"/>
    <w:rsid w:val="00676CE4"/>
    <w:rsid w:val="00676EC2"/>
    <w:rsid w:val="00676FA5"/>
    <w:rsid w:val="006771A4"/>
    <w:rsid w:val="006771AD"/>
    <w:rsid w:val="006774A8"/>
    <w:rsid w:val="00677572"/>
    <w:rsid w:val="00680469"/>
    <w:rsid w:val="00680A5C"/>
    <w:rsid w:val="00681229"/>
    <w:rsid w:val="0068155C"/>
    <w:rsid w:val="0068185E"/>
    <w:rsid w:val="00681BE5"/>
    <w:rsid w:val="00681E30"/>
    <w:rsid w:val="0068379B"/>
    <w:rsid w:val="00683D98"/>
    <w:rsid w:val="00683D99"/>
    <w:rsid w:val="00683E2B"/>
    <w:rsid w:val="00684079"/>
    <w:rsid w:val="0068629B"/>
    <w:rsid w:val="00686C12"/>
    <w:rsid w:val="00686D75"/>
    <w:rsid w:val="00686E5A"/>
    <w:rsid w:val="0068736A"/>
    <w:rsid w:val="00687D17"/>
    <w:rsid w:val="00687D7B"/>
    <w:rsid w:val="00690024"/>
    <w:rsid w:val="006903A4"/>
    <w:rsid w:val="0069055A"/>
    <w:rsid w:val="00690B46"/>
    <w:rsid w:val="00690CAA"/>
    <w:rsid w:val="00690EFB"/>
    <w:rsid w:val="0069137B"/>
    <w:rsid w:val="006913EC"/>
    <w:rsid w:val="006914B7"/>
    <w:rsid w:val="00691742"/>
    <w:rsid w:val="00691DEE"/>
    <w:rsid w:val="00692242"/>
    <w:rsid w:val="0069236E"/>
    <w:rsid w:val="00692704"/>
    <w:rsid w:val="00692E67"/>
    <w:rsid w:val="00693ACF"/>
    <w:rsid w:val="00693EE5"/>
    <w:rsid w:val="0069435E"/>
    <w:rsid w:val="006944C5"/>
    <w:rsid w:val="00694B8D"/>
    <w:rsid w:val="0069561C"/>
    <w:rsid w:val="00695634"/>
    <w:rsid w:val="0069600D"/>
    <w:rsid w:val="006963AE"/>
    <w:rsid w:val="00697053"/>
    <w:rsid w:val="006976A4"/>
    <w:rsid w:val="006A066A"/>
    <w:rsid w:val="006A06CA"/>
    <w:rsid w:val="006A083E"/>
    <w:rsid w:val="006A0FFD"/>
    <w:rsid w:val="006A1170"/>
    <w:rsid w:val="006A14A3"/>
    <w:rsid w:val="006A1516"/>
    <w:rsid w:val="006A159D"/>
    <w:rsid w:val="006A18BF"/>
    <w:rsid w:val="006A1F58"/>
    <w:rsid w:val="006A242E"/>
    <w:rsid w:val="006A26AB"/>
    <w:rsid w:val="006A298D"/>
    <w:rsid w:val="006A2F80"/>
    <w:rsid w:val="006A3A26"/>
    <w:rsid w:val="006A3F98"/>
    <w:rsid w:val="006A3FD6"/>
    <w:rsid w:val="006A4076"/>
    <w:rsid w:val="006A436F"/>
    <w:rsid w:val="006A4E5B"/>
    <w:rsid w:val="006A59D8"/>
    <w:rsid w:val="006A64D3"/>
    <w:rsid w:val="006A6B7B"/>
    <w:rsid w:val="006A78F8"/>
    <w:rsid w:val="006A7C26"/>
    <w:rsid w:val="006A7E27"/>
    <w:rsid w:val="006B010E"/>
    <w:rsid w:val="006B03A3"/>
    <w:rsid w:val="006B091F"/>
    <w:rsid w:val="006B0CAF"/>
    <w:rsid w:val="006B0ED0"/>
    <w:rsid w:val="006B0EED"/>
    <w:rsid w:val="006B147E"/>
    <w:rsid w:val="006B1DF6"/>
    <w:rsid w:val="006B233F"/>
    <w:rsid w:val="006B275E"/>
    <w:rsid w:val="006B28EA"/>
    <w:rsid w:val="006B2DA3"/>
    <w:rsid w:val="006B2FBB"/>
    <w:rsid w:val="006B378A"/>
    <w:rsid w:val="006B3B23"/>
    <w:rsid w:val="006B3BD5"/>
    <w:rsid w:val="006B4185"/>
    <w:rsid w:val="006B4220"/>
    <w:rsid w:val="006B4224"/>
    <w:rsid w:val="006B4493"/>
    <w:rsid w:val="006B4B62"/>
    <w:rsid w:val="006B53DC"/>
    <w:rsid w:val="006B5423"/>
    <w:rsid w:val="006B5855"/>
    <w:rsid w:val="006B58ED"/>
    <w:rsid w:val="006B5AB2"/>
    <w:rsid w:val="006B5C67"/>
    <w:rsid w:val="006B6B5D"/>
    <w:rsid w:val="006B6C0D"/>
    <w:rsid w:val="006C1818"/>
    <w:rsid w:val="006C1F8B"/>
    <w:rsid w:val="006C2721"/>
    <w:rsid w:val="006C3868"/>
    <w:rsid w:val="006C38FF"/>
    <w:rsid w:val="006C393F"/>
    <w:rsid w:val="006C3E6E"/>
    <w:rsid w:val="006C3EEA"/>
    <w:rsid w:val="006C3F92"/>
    <w:rsid w:val="006C43A6"/>
    <w:rsid w:val="006C4A4A"/>
    <w:rsid w:val="006C53EB"/>
    <w:rsid w:val="006C5D29"/>
    <w:rsid w:val="006C650D"/>
    <w:rsid w:val="006C69A5"/>
    <w:rsid w:val="006C6C44"/>
    <w:rsid w:val="006C7740"/>
    <w:rsid w:val="006C7C3A"/>
    <w:rsid w:val="006D0389"/>
    <w:rsid w:val="006D0848"/>
    <w:rsid w:val="006D097E"/>
    <w:rsid w:val="006D0BA5"/>
    <w:rsid w:val="006D0C15"/>
    <w:rsid w:val="006D0D8B"/>
    <w:rsid w:val="006D0FBF"/>
    <w:rsid w:val="006D10DC"/>
    <w:rsid w:val="006D1182"/>
    <w:rsid w:val="006D1547"/>
    <w:rsid w:val="006D1586"/>
    <w:rsid w:val="006D19C1"/>
    <w:rsid w:val="006D2827"/>
    <w:rsid w:val="006D2848"/>
    <w:rsid w:val="006D2867"/>
    <w:rsid w:val="006D2B19"/>
    <w:rsid w:val="006D2EC9"/>
    <w:rsid w:val="006D3071"/>
    <w:rsid w:val="006D3A05"/>
    <w:rsid w:val="006D3B62"/>
    <w:rsid w:val="006D3FDF"/>
    <w:rsid w:val="006D4527"/>
    <w:rsid w:val="006D4B05"/>
    <w:rsid w:val="006D4F86"/>
    <w:rsid w:val="006D5F98"/>
    <w:rsid w:val="006D6665"/>
    <w:rsid w:val="006D7098"/>
    <w:rsid w:val="006D740E"/>
    <w:rsid w:val="006D7F72"/>
    <w:rsid w:val="006E00B7"/>
    <w:rsid w:val="006E0287"/>
    <w:rsid w:val="006E0B17"/>
    <w:rsid w:val="006E0E5B"/>
    <w:rsid w:val="006E3023"/>
    <w:rsid w:val="006E3369"/>
    <w:rsid w:val="006E3D12"/>
    <w:rsid w:val="006E449C"/>
    <w:rsid w:val="006E4726"/>
    <w:rsid w:val="006E489A"/>
    <w:rsid w:val="006E4E72"/>
    <w:rsid w:val="006E50D0"/>
    <w:rsid w:val="006E663E"/>
    <w:rsid w:val="006E6EDF"/>
    <w:rsid w:val="006E73FC"/>
    <w:rsid w:val="006E7BA5"/>
    <w:rsid w:val="006F01E8"/>
    <w:rsid w:val="006F02D7"/>
    <w:rsid w:val="006F08DF"/>
    <w:rsid w:val="006F0EBB"/>
    <w:rsid w:val="006F14AE"/>
    <w:rsid w:val="006F1E96"/>
    <w:rsid w:val="006F2D24"/>
    <w:rsid w:val="006F37F7"/>
    <w:rsid w:val="006F3909"/>
    <w:rsid w:val="006F3D18"/>
    <w:rsid w:val="006F4036"/>
    <w:rsid w:val="006F428E"/>
    <w:rsid w:val="006F48E1"/>
    <w:rsid w:val="006F5160"/>
    <w:rsid w:val="006F5374"/>
    <w:rsid w:val="006F60DF"/>
    <w:rsid w:val="006F68C1"/>
    <w:rsid w:val="006F6CE2"/>
    <w:rsid w:val="006F6E10"/>
    <w:rsid w:val="007014F8"/>
    <w:rsid w:val="0070150D"/>
    <w:rsid w:val="007016D2"/>
    <w:rsid w:val="007018D8"/>
    <w:rsid w:val="00701DF3"/>
    <w:rsid w:val="007029E8"/>
    <w:rsid w:val="00703107"/>
    <w:rsid w:val="00703138"/>
    <w:rsid w:val="00703277"/>
    <w:rsid w:val="0070356D"/>
    <w:rsid w:val="00703981"/>
    <w:rsid w:val="00703D7E"/>
    <w:rsid w:val="00704178"/>
    <w:rsid w:val="0070495F"/>
    <w:rsid w:val="00704B6E"/>
    <w:rsid w:val="00704F73"/>
    <w:rsid w:val="0070508D"/>
    <w:rsid w:val="007051E9"/>
    <w:rsid w:val="0070542E"/>
    <w:rsid w:val="007058C8"/>
    <w:rsid w:val="007060D4"/>
    <w:rsid w:val="0070624C"/>
    <w:rsid w:val="00706451"/>
    <w:rsid w:val="00707E0F"/>
    <w:rsid w:val="0071068A"/>
    <w:rsid w:val="00710E19"/>
    <w:rsid w:val="00710E52"/>
    <w:rsid w:val="0071154B"/>
    <w:rsid w:val="0071174F"/>
    <w:rsid w:val="0071196A"/>
    <w:rsid w:val="007123FD"/>
    <w:rsid w:val="007123FE"/>
    <w:rsid w:val="007131CF"/>
    <w:rsid w:val="007133C0"/>
    <w:rsid w:val="00713613"/>
    <w:rsid w:val="007137C6"/>
    <w:rsid w:val="007138FC"/>
    <w:rsid w:val="0071393D"/>
    <w:rsid w:val="00713E79"/>
    <w:rsid w:val="00714245"/>
    <w:rsid w:val="00715441"/>
    <w:rsid w:val="00715739"/>
    <w:rsid w:val="0071576C"/>
    <w:rsid w:val="00715C94"/>
    <w:rsid w:val="00716A09"/>
    <w:rsid w:val="00716A6C"/>
    <w:rsid w:val="007170DB"/>
    <w:rsid w:val="00717880"/>
    <w:rsid w:val="00717CA8"/>
    <w:rsid w:val="007205E7"/>
    <w:rsid w:val="007209C4"/>
    <w:rsid w:val="00721E9E"/>
    <w:rsid w:val="007227FE"/>
    <w:rsid w:val="00722E8C"/>
    <w:rsid w:val="007233C3"/>
    <w:rsid w:val="00723C95"/>
    <w:rsid w:val="007244E7"/>
    <w:rsid w:val="0072505F"/>
    <w:rsid w:val="00725B00"/>
    <w:rsid w:val="0072628B"/>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5728"/>
    <w:rsid w:val="007363EA"/>
    <w:rsid w:val="00736A02"/>
    <w:rsid w:val="00736E06"/>
    <w:rsid w:val="00736E37"/>
    <w:rsid w:val="00737286"/>
    <w:rsid w:val="007373DB"/>
    <w:rsid w:val="00737F27"/>
    <w:rsid w:val="00737FD3"/>
    <w:rsid w:val="007407DB"/>
    <w:rsid w:val="00740BFC"/>
    <w:rsid w:val="00740F76"/>
    <w:rsid w:val="00741037"/>
    <w:rsid w:val="00741969"/>
    <w:rsid w:val="007422B3"/>
    <w:rsid w:val="007424BF"/>
    <w:rsid w:val="007435F1"/>
    <w:rsid w:val="00743DDD"/>
    <w:rsid w:val="00744625"/>
    <w:rsid w:val="007446BB"/>
    <w:rsid w:val="00745882"/>
    <w:rsid w:val="00745A04"/>
    <w:rsid w:val="00745A0F"/>
    <w:rsid w:val="00745DFD"/>
    <w:rsid w:val="00746197"/>
    <w:rsid w:val="0074689C"/>
    <w:rsid w:val="00746B3F"/>
    <w:rsid w:val="00746E05"/>
    <w:rsid w:val="00747117"/>
    <w:rsid w:val="007479C2"/>
    <w:rsid w:val="00747B0D"/>
    <w:rsid w:val="00751452"/>
    <w:rsid w:val="007521A5"/>
    <w:rsid w:val="0075306D"/>
    <w:rsid w:val="00753959"/>
    <w:rsid w:val="00753A83"/>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69F8"/>
    <w:rsid w:val="00767A28"/>
    <w:rsid w:val="00767DD2"/>
    <w:rsid w:val="0077082B"/>
    <w:rsid w:val="00770E60"/>
    <w:rsid w:val="00771B68"/>
    <w:rsid w:val="00771C8F"/>
    <w:rsid w:val="0077266E"/>
    <w:rsid w:val="0077292E"/>
    <w:rsid w:val="007737D8"/>
    <w:rsid w:val="0077391C"/>
    <w:rsid w:val="00773D24"/>
    <w:rsid w:val="00773E46"/>
    <w:rsid w:val="00774576"/>
    <w:rsid w:val="007745DA"/>
    <w:rsid w:val="0077508A"/>
    <w:rsid w:val="00775567"/>
    <w:rsid w:val="00775E0D"/>
    <w:rsid w:val="00776343"/>
    <w:rsid w:val="00776416"/>
    <w:rsid w:val="00776C7B"/>
    <w:rsid w:val="00776CEF"/>
    <w:rsid w:val="0077714A"/>
    <w:rsid w:val="00777E7E"/>
    <w:rsid w:val="007804DD"/>
    <w:rsid w:val="00780F3B"/>
    <w:rsid w:val="007816EE"/>
    <w:rsid w:val="00782071"/>
    <w:rsid w:val="00782946"/>
    <w:rsid w:val="00782ECD"/>
    <w:rsid w:val="0078363B"/>
    <w:rsid w:val="00783CCF"/>
    <w:rsid w:val="00783F5B"/>
    <w:rsid w:val="00784609"/>
    <w:rsid w:val="00784720"/>
    <w:rsid w:val="0078481D"/>
    <w:rsid w:val="007850FA"/>
    <w:rsid w:val="007859FC"/>
    <w:rsid w:val="00785D88"/>
    <w:rsid w:val="00785F4C"/>
    <w:rsid w:val="0078609C"/>
    <w:rsid w:val="00786355"/>
    <w:rsid w:val="00787370"/>
    <w:rsid w:val="007874AE"/>
    <w:rsid w:val="0078750B"/>
    <w:rsid w:val="00787F5E"/>
    <w:rsid w:val="0079024D"/>
    <w:rsid w:val="00790330"/>
    <w:rsid w:val="007909DA"/>
    <w:rsid w:val="00790B01"/>
    <w:rsid w:val="00790BF3"/>
    <w:rsid w:val="007910A6"/>
    <w:rsid w:val="007911B8"/>
    <w:rsid w:val="00791DAE"/>
    <w:rsid w:val="007930E8"/>
    <w:rsid w:val="00793A57"/>
    <w:rsid w:val="00793A9C"/>
    <w:rsid w:val="00793F28"/>
    <w:rsid w:val="007944D2"/>
    <w:rsid w:val="007945A1"/>
    <w:rsid w:val="007947CC"/>
    <w:rsid w:val="00794B19"/>
    <w:rsid w:val="00795B8D"/>
    <w:rsid w:val="00795F0E"/>
    <w:rsid w:val="0079792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5FD6"/>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FBF"/>
    <w:rsid w:val="007B370E"/>
    <w:rsid w:val="007B3E13"/>
    <w:rsid w:val="007B4046"/>
    <w:rsid w:val="007B4300"/>
    <w:rsid w:val="007B488F"/>
    <w:rsid w:val="007B4B9A"/>
    <w:rsid w:val="007B565C"/>
    <w:rsid w:val="007B595F"/>
    <w:rsid w:val="007B5D75"/>
    <w:rsid w:val="007B6D5E"/>
    <w:rsid w:val="007B7115"/>
    <w:rsid w:val="007B726E"/>
    <w:rsid w:val="007B736B"/>
    <w:rsid w:val="007C0853"/>
    <w:rsid w:val="007C0C90"/>
    <w:rsid w:val="007C0E07"/>
    <w:rsid w:val="007C0E86"/>
    <w:rsid w:val="007C1562"/>
    <w:rsid w:val="007C20FF"/>
    <w:rsid w:val="007C249E"/>
    <w:rsid w:val="007C26CF"/>
    <w:rsid w:val="007C271B"/>
    <w:rsid w:val="007C2C14"/>
    <w:rsid w:val="007C388A"/>
    <w:rsid w:val="007C3A55"/>
    <w:rsid w:val="007C4166"/>
    <w:rsid w:val="007C44E1"/>
    <w:rsid w:val="007C4763"/>
    <w:rsid w:val="007C48DD"/>
    <w:rsid w:val="007C4A05"/>
    <w:rsid w:val="007C5173"/>
    <w:rsid w:val="007C5711"/>
    <w:rsid w:val="007C57B9"/>
    <w:rsid w:val="007C6325"/>
    <w:rsid w:val="007C73A3"/>
    <w:rsid w:val="007C7975"/>
    <w:rsid w:val="007C7EF5"/>
    <w:rsid w:val="007D0487"/>
    <w:rsid w:val="007D06AC"/>
    <w:rsid w:val="007D0741"/>
    <w:rsid w:val="007D0A53"/>
    <w:rsid w:val="007D0FFC"/>
    <w:rsid w:val="007D1013"/>
    <w:rsid w:val="007D19EC"/>
    <w:rsid w:val="007D1FE0"/>
    <w:rsid w:val="007D2608"/>
    <w:rsid w:val="007D30C3"/>
    <w:rsid w:val="007D35AC"/>
    <w:rsid w:val="007D36B1"/>
    <w:rsid w:val="007D36D7"/>
    <w:rsid w:val="007D3BA1"/>
    <w:rsid w:val="007D3EC8"/>
    <w:rsid w:val="007D40AC"/>
    <w:rsid w:val="007D4317"/>
    <w:rsid w:val="007D4C12"/>
    <w:rsid w:val="007D4FC0"/>
    <w:rsid w:val="007D57E0"/>
    <w:rsid w:val="007D5962"/>
    <w:rsid w:val="007D63B2"/>
    <w:rsid w:val="007D651D"/>
    <w:rsid w:val="007D6754"/>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231"/>
    <w:rsid w:val="007E5DD7"/>
    <w:rsid w:val="007E7139"/>
    <w:rsid w:val="007E7366"/>
    <w:rsid w:val="007E7DA8"/>
    <w:rsid w:val="007E7EA1"/>
    <w:rsid w:val="007E7EA4"/>
    <w:rsid w:val="007F03CE"/>
    <w:rsid w:val="007F04D3"/>
    <w:rsid w:val="007F111D"/>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6D2"/>
    <w:rsid w:val="00800C97"/>
    <w:rsid w:val="00801306"/>
    <w:rsid w:val="008016F2"/>
    <w:rsid w:val="00802047"/>
    <w:rsid w:val="0080220F"/>
    <w:rsid w:val="00802735"/>
    <w:rsid w:val="008028C2"/>
    <w:rsid w:val="00802DDB"/>
    <w:rsid w:val="0080301F"/>
    <w:rsid w:val="00803503"/>
    <w:rsid w:val="008037D8"/>
    <w:rsid w:val="0080398F"/>
    <w:rsid w:val="00803B7E"/>
    <w:rsid w:val="00803DA6"/>
    <w:rsid w:val="008040D9"/>
    <w:rsid w:val="0080436E"/>
    <w:rsid w:val="00804937"/>
    <w:rsid w:val="00804E1E"/>
    <w:rsid w:val="00804E43"/>
    <w:rsid w:val="008050F5"/>
    <w:rsid w:val="0080519C"/>
    <w:rsid w:val="00810BC2"/>
    <w:rsid w:val="00810EA4"/>
    <w:rsid w:val="00811683"/>
    <w:rsid w:val="00811AFF"/>
    <w:rsid w:val="00812373"/>
    <w:rsid w:val="00812BB5"/>
    <w:rsid w:val="00813F3A"/>
    <w:rsid w:val="008140E8"/>
    <w:rsid w:val="00814941"/>
    <w:rsid w:val="00814A65"/>
    <w:rsid w:val="00814BD9"/>
    <w:rsid w:val="008158AC"/>
    <w:rsid w:val="008160AA"/>
    <w:rsid w:val="00816805"/>
    <w:rsid w:val="00816BE8"/>
    <w:rsid w:val="00816CD5"/>
    <w:rsid w:val="00816DBD"/>
    <w:rsid w:val="00816FE2"/>
    <w:rsid w:val="00817062"/>
    <w:rsid w:val="00817978"/>
    <w:rsid w:val="00817991"/>
    <w:rsid w:val="00817F58"/>
    <w:rsid w:val="008203C5"/>
    <w:rsid w:val="00820B84"/>
    <w:rsid w:val="0082145C"/>
    <w:rsid w:val="0082199B"/>
    <w:rsid w:val="00821C2A"/>
    <w:rsid w:val="008227B7"/>
    <w:rsid w:val="00823B31"/>
    <w:rsid w:val="00824124"/>
    <w:rsid w:val="008243A8"/>
    <w:rsid w:val="00824925"/>
    <w:rsid w:val="00824C8B"/>
    <w:rsid w:val="008252E8"/>
    <w:rsid w:val="00825913"/>
    <w:rsid w:val="00825BA8"/>
    <w:rsid w:val="00825C14"/>
    <w:rsid w:val="0082641D"/>
    <w:rsid w:val="008267CA"/>
    <w:rsid w:val="0082722B"/>
    <w:rsid w:val="00827BEE"/>
    <w:rsid w:val="00827C1B"/>
    <w:rsid w:val="0083016B"/>
    <w:rsid w:val="008301F1"/>
    <w:rsid w:val="00830A84"/>
    <w:rsid w:val="00830C0E"/>
    <w:rsid w:val="008313E0"/>
    <w:rsid w:val="008317EC"/>
    <w:rsid w:val="0083195D"/>
    <w:rsid w:val="00831B7B"/>
    <w:rsid w:val="00831D90"/>
    <w:rsid w:val="008324F3"/>
    <w:rsid w:val="00832691"/>
    <w:rsid w:val="008326D3"/>
    <w:rsid w:val="0083296B"/>
    <w:rsid w:val="00833547"/>
    <w:rsid w:val="00833852"/>
    <w:rsid w:val="008339B3"/>
    <w:rsid w:val="00833AB9"/>
    <w:rsid w:val="00834820"/>
    <w:rsid w:val="00834C82"/>
    <w:rsid w:val="00834DB6"/>
    <w:rsid w:val="00834F93"/>
    <w:rsid w:val="00835518"/>
    <w:rsid w:val="00840C4A"/>
    <w:rsid w:val="008411B9"/>
    <w:rsid w:val="00841228"/>
    <w:rsid w:val="0084122F"/>
    <w:rsid w:val="00841573"/>
    <w:rsid w:val="00841D08"/>
    <w:rsid w:val="00842D43"/>
    <w:rsid w:val="0084323E"/>
    <w:rsid w:val="008439E6"/>
    <w:rsid w:val="00843D50"/>
    <w:rsid w:val="0084464E"/>
    <w:rsid w:val="00844C0A"/>
    <w:rsid w:val="008458BF"/>
    <w:rsid w:val="00845D95"/>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B60"/>
    <w:rsid w:val="00852F9E"/>
    <w:rsid w:val="008533F2"/>
    <w:rsid w:val="00854053"/>
    <w:rsid w:val="008543AC"/>
    <w:rsid w:val="008548B8"/>
    <w:rsid w:val="00854965"/>
    <w:rsid w:val="008554D1"/>
    <w:rsid w:val="008558E0"/>
    <w:rsid w:val="00855B64"/>
    <w:rsid w:val="00857AF7"/>
    <w:rsid w:val="00860109"/>
    <w:rsid w:val="008601BD"/>
    <w:rsid w:val="00860359"/>
    <w:rsid w:val="00860E43"/>
    <w:rsid w:val="00861252"/>
    <w:rsid w:val="0086171A"/>
    <w:rsid w:val="0086226C"/>
    <w:rsid w:val="00863C07"/>
    <w:rsid w:val="008644A4"/>
    <w:rsid w:val="00864779"/>
    <w:rsid w:val="00864A6C"/>
    <w:rsid w:val="00864BB1"/>
    <w:rsid w:val="00864DF7"/>
    <w:rsid w:val="00865278"/>
    <w:rsid w:val="008654F9"/>
    <w:rsid w:val="008658C0"/>
    <w:rsid w:val="00866388"/>
    <w:rsid w:val="00866FE3"/>
    <w:rsid w:val="0086722D"/>
    <w:rsid w:val="00867936"/>
    <w:rsid w:val="00867D56"/>
    <w:rsid w:val="00870646"/>
    <w:rsid w:val="00870BAA"/>
    <w:rsid w:val="00870D91"/>
    <w:rsid w:val="008716D1"/>
    <w:rsid w:val="008716ED"/>
    <w:rsid w:val="008718AD"/>
    <w:rsid w:val="0087193F"/>
    <w:rsid w:val="008724E6"/>
    <w:rsid w:val="008728C8"/>
    <w:rsid w:val="00872E1E"/>
    <w:rsid w:val="00873205"/>
    <w:rsid w:val="008735E8"/>
    <w:rsid w:val="008736AF"/>
    <w:rsid w:val="0087377E"/>
    <w:rsid w:val="008744AF"/>
    <w:rsid w:val="00874594"/>
    <w:rsid w:val="00874776"/>
    <w:rsid w:val="0087487C"/>
    <w:rsid w:val="00874A07"/>
    <w:rsid w:val="00874B75"/>
    <w:rsid w:val="00875007"/>
    <w:rsid w:val="008750DB"/>
    <w:rsid w:val="008751B4"/>
    <w:rsid w:val="0087527F"/>
    <w:rsid w:val="008754B5"/>
    <w:rsid w:val="0087572D"/>
    <w:rsid w:val="00875AF3"/>
    <w:rsid w:val="008765E9"/>
    <w:rsid w:val="00876605"/>
    <w:rsid w:val="00876B13"/>
    <w:rsid w:val="0087780A"/>
    <w:rsid w:val="00877C22"/>
    <w:rsid w:val="00880017"/>
    <w:rsid w:val="00880305"/>
    <w:rsid w:val="00880324"/>
    <w:rsid w:val="0088088A"/>
    <w:rsid w:val="00880A3F"/>
    <w:rsid w:val="00880EE2"/>
    <w:rsid w:val="0088115F"/>
    <w:rsid w:val="00881732"/>
    <w:rsid w:val="008818A2"/>
    <w:rsid w:val="008818B2"/>
    <w:rsid w:val="00881FF9"/>
    <w:rsid w:val="0088213D"/>
    <w:rsid w:val="008821C6"/>
    <w:rsid w:val="0088243D"/>
    <w:rsid w:val="0088251A"/>
    <w:rsid w:val="00882D28"/>
    <w:rsid w:val="00883A67"/>
    <w:rsid w:val="008848E9"/>
    <w:rsid w:val="00884FD8"/>
    <w:rsid w:val="00885244"/>
    <w:rsid w:val="008857C7"/>
    <w:rsid w:val="008858B3"/>
    <w:rsid w:val="00885BF6"/>
    <w:rsid w:val="00886183"/>
    <w:rsid w:val="008866CF"/>
    <w:rsid w:val="00886782"/>
    <w:rsid w:val="008869A1"/>
    <w:rsid w:val="00886B3F"/>
    <w:rsid w:val="008872D8"/>
    <w:rsid w:val="0089015D"/>
    <w:rsid w:val="0089021A"/>
    <w:rsid w:val="0089022E"/>
    <w:rsid w:val="00890264"/>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0FCF"/>
    <w:rsid w:val="008A1163"/>
    <w:rsid w:val="008A1AAC"/>
    <w:rsid w:val="008A20CA"/>
    <w:rsid w:val="008A239B"/>
    <w:rsid w:val="008A2956"/>
    <w:rsid w:val="008A2EA1"/>
    <w:rsid w:val="008A2EF6"/>
    <w:rsid w:val="008A3480"/>
    <w:rsid w:val="008A362B"/>
    <w:rsid w:val="008A384E"/>
    <w:rsid w:val="008A45EA"/>
    <w:rsid w:val="008A4F3C"/>
    <w:rsid w:val="008A51AD"/>
    <w:rsid w:val="008A53BA"/>
    <w:rsid w:val="008A54A2"/>
    <w:rsid w:val="008A551D"/>
    <w:rsid w:val="008A56BA"/>
    <w:rsid w:val="008A570A"/>
    <w:rsid w:val="008A58E4"/>
    <w:rsid w:val="008A58E7"/>
    <w:rsid w:val="008A5C1D"/>
    <w:rsid w:val="008A615A"/>
    <w:rsid w:val="008A61C0"/>
    <w:rsid w:val="008A650C"/>
    <w:rsid w:val="008A6A36"/>
    <w:rsid w:val="008A6CB9"/>
    <w:rsid w:val="008A6DC1"/>
    <w:rsid w:val="008A7100"/>
    <w:rsid w:val="008A7139"/>
    <w:rsid w:val="008A776D"/>
    <w:rsid w:val="008A7C74"/>
    <w:rsid w:val="008A7C80"/>
    <w:rsid w:val="008B04C0"/>
    <w:rsid w:val="008B09E1"/>
    <w:rsid w:val="008B0A83"/>
    <w:rsid w:val="008B0C0C"/>
    <w:rsid w:val="008B0E93"/>
    <w:rsid w:val="008B17DA"/>
    <w:rsid w:val="008B198D"/>
    <w:rsid w:val="008B23A8"/>
    <w:rsid w:val="008B264A"/>
    <w:rsid w:val="008B29A4"/>
    <w:rsid w:val="008B2BB4"/>
    <w:rsid w:val="008B2C30"/>
    <w:rsid w:val="008B3C2B"/>
    <w:rsid w:val="008B4679"/>
    <w:rsid w:val="008B4D00"/>
    <w:rsid w:val="008B4D13"/>
    <w:rsid w:val="008B4E78"/>
    <w:rsid w:val="008B4FE2"/>
    <w:rsid w:val="008B6033"/>
    <w:rsid w:val="008B61A1"/>
    <w:rsid w:val="008B66DC"/>
    <w:rsid w:val="008B66EE"/>
    <w:rsid w:val="008B6793"/>
    <w:rsid w:val="008B6E87"/>
    <w:rsid w:val="008B71FA"/>
    <w:rsid w:val="008B75C2"/>
    <w:rsid w:val="008B787A"/>
    <w:rsid w:val="008C0706"/>
    <w:rsid w:val="008C0A89"/>
    <w:rsid w:val="008C0E71"/>
    <w:rsid w:val="008C1852"/>
    <w:rsid w:val="008C2157"/>
    <w:rsid w:val="008C2B92"/>
    <w:rsid w:val="008C2CFF"/>
    <w:rsid w:val="008C2E1E"/>
    <w:rsid w:val="008C2E1F"/>
    <w:rsid w:val="008C2E22"/>
    <w:rsid w:val="008C2ED2"/>
    <w:rsid w:val="008C3558"/>
    <w:rsid w:val="008C3D4D"/>
    <w:rsid w:val="008C4026"/>
    <w:rsid w:val="008C417E"/>
    <w:rsid w:val="008C5B51"/>
    <w:rsid w:val="008C5F0A"/>
    <w:rsid w:val="008C6105"/>
    <w:rsid w:val="008C6124"/>
    <w:rsid w:val="008C6334"/>
    <w:rsid w:val="008C6347"/>
    <w:rsid w:val="008C66BD"/>
    <w:rsid w:val="008C6968"/>
    <w:rsid w:val="008C6C61"/>
    <w:rsid w:val="008C7323"/>
    <w:rsid w:val="008C742A"/>
    <w:rsid w:val="008C74C7"/>
    <w:rsid w:val="008C7714"/>
    <w:rsid w:val="008C7F4F"/>
    <w:rsid w:val="008D00F3"/>
    <w:rsid w:val="008D0666"/>
    <w:rsid w:val="008D0F27"/>
    <w:rsid w:val="008D0FDC"/>
    <w:rsid w:val="008D11F0"/>
    <w:rsid w:val="008D15A2"/>
    <w:rsid w:val="008D18CD"/>
    <w:rsid w:val="008D1F86"/>
    <w:rsid w:val="008D20E0"/>
    <w:rsid w:val="008D2491"/>
    <w:rsid w:val="008D2B6E"/>
    <w:rsid w:val="008D335C"/>
    <w:rsid w:val="008D35B7"/>
    <w:rsid w:val="008D4007"/>
    <w:rsid w:val="008D436A"/>
    <w:rsid w:val="008D4883"/>
    <w:rsid w:val="008D4C72"/>
    <w:rsid w:val="008D519C"/>
    <w:rsid w:val="008D5368"/>
    <w:rsid w:val="008D561B"/>
    <w:rsid w:val="008D582B"/>
    <w:rsid w:val="008D5CF9"/>
    <w:rsid w:val="008D5D0A"/>
    <w:rsid w:val="008D6794"/>
    <w:rsid w:val="008D7BFC"/>
    <w:rsid w:val="008D7F65"/>
    <w:rsid w:val="008E0178"/>
    <w:rsid w:val="008E02F8"/>
    <w:rsid w:val="008E12AF"/>
    <w:rsid w:val="008E12EE"/>
    <w:rsid w:val="008E1DC9"/>
    <w:rsid w:val="008E211C"/>
    <w:rsid w:val="008E22E6"/>
    <w:rsid w:val="008E258E"/>
    <w:rsid w:val="008E2BB3"/>
    <w:rsid w:val="008E2BC5"/>
    <w:rsid w:val="008E2C79"/>
    <w:rsid w:val="008E3176"/>
    <w:rsid w:val="008E3564"/>
    <w:rsid w:val="008E3A0B"/>
    <w:rsid w:val="008E3A90"/>
    <w:rsid w:val="008E3AAB"/>
    <w:rsid w:val="008E4043"/>
    <w:rsid w:val="008E4520"/>
    <w:rsid w:val="008E546C"/>
    <w:rsid w:val="008E54E8"/>
    <w:rsid w:val="008E5740"/>
    <w:rsid w:val="008E5868"/>
    <w:rsid w:val="008E5DC8"/>
    <w:rsid w:val="008E6465"/>
    <w:rsid w:val="008E6C57"/>
    <w:rsid w:val="008E705B"/>
    <w:rsid w:val="008E7082"/>
    <w:rsid w:val="008E72AF"/>
    <w:rsid w:val="008F0952"/>
    <w:rsid w:val="008F0D30"/>
    <w:rsid w:val="008F0F4C"/>
    <w:rsid w:val="008F0F98"/>
    <w:rsid w:val="008F1154"/>
    <w:rsid w:val="008F1B84"/>
    <w:rsid w:val="008F1B9D"/>
    <w:rsid w:val="008F1DB6"/>
    <w:rsid w:val="008F39C0"/>
    <w:rsid w:val="008F57CD"/>
    <w:rsid w:val="008F5960"/>
    <w:rsid w:val="008F5C87"/>
    <w:rsid w:val="008F5CD0"/>
    <w:rsid w:val="008F6155"/>
    <w:rsid w:val="008F629A"/>
    <w:rsid w:val="008F6A9B"/>
    <w:rsid w:val="008F6F03"/>
    <w:rsid w:val="008F7070"/>
    <w:rsid w:val="008F7603"/>
    <w:rsid w:val="008F769D"/>
    <w:rsid w:val="008F76DC"/>
    <w:rsid w:val="008F7D2F"/>
    <w:rsid w:val="009013C5"/>
    <w:rsid w:val="0090147B"/>
    <w:rsid w:val="00901649"/>
    <w:rsid w:val="009019BB"/>
    <w:rsid w:val="00901CBA"/>
    <w:rsid w:val="00901DC6"/>
    <w:rsid w:val="009021D4"/>
    <w:rsid w:val="009021DC"/>
    <w:rsid w:val="00902867"/>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566"/>
    <w:rsid w:val="009108D2"/>
    <w:rsid w:val="00910C20"/>
    <w:rsid w:val="00910FE1"/>
    <w:rsid w:val="0091106A"/>
    <w:rsid w:val="00911D1C"/>
    <w:rsid w:val="00912F38"/>
    <w:rsid w:val="00913C58"/>
    <w:rsid w:val="009140B4"/>
    <w:rsid w:val="00914174"/>
    <w:rsid w:val="0091428A"/>
    <w:rsid w:val="00914733"/>
    <w:rsid w:val="00914AA5"/>
    <w:rsid w:val="00914ACF"/>
    <w:rsid w:val="00914DFC"/>
    <w:rsid w:val="009157E9"/>
    <w:rsid w:val="009162DD"/>
    <w:rsid w:val="009163E7"/>
    <w:rsid w:val="0091671A"/>
    <w:rsid w:val="009169F6"/>
    <w:rsid w:val="0091719D"/>
    <w:rsid w:val="00917903"/>
    <w:rsid w:val="00917EC6"/>
    <w:rsid w:val="00920189"/>
    <w:rsid w:val="0092073F"/>
    <w:rsid w:val="00920997"/>
    <w:rsid w:val="00920B1E"/>
    <w:rsid w:val="00920DD5"/>
    <w:rsid w:val="00921161"/>
    <w:rsid w:val="009214DB"/>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1EB7"/>
    <w:rsid w:val="009324C4"/>
    <w:rsid w:val="00932671"/>
    <w:rsid w:val="00932A7A"/>
    <w:rsid w:val="009330BF"/>
    <w:rsid w:val="00933817"/>
    <w:rsid w:val="00934510"/>
    <w:rsid w:val="0093476C"/>
    <w:rsid w:val="009354B0"/>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6A2"/>
    <w:rsid w:val="00943EA6"/>
    <w:rsid w:val="009448F2"/>
    <w:rsid w:val="0094524B"/>
    <w:rsid w:val="009456E3"/>
    <w:rsid w:val="00945759"/>
    <w:rsid w:val="009466E9"/>
    <w:rsid w:val="00946CB3"/>
    <w:rsid w:val="00946D20"/>
    <w:rsid w:val="00946E51"/>
    <w:rsid w:val="00946EC7"/>
    <w:rsid w:val="009473F4"/>
    <w:rsid w:val="0094767D"/>
    <w:rsid w:val="00947E10"/>
    <w:rsid w:val="00950231"/>
    <w:rsid w:val="00950794"/>
    <w:rsid w:val="009507AA"/>
    <w:rsid w:val="009509EF"/>
    <w:rsid w:val="009515CA"/>
    <w:rsid w:val="00951691"/>
    <w:rsid w:val="0095195C"/>
    <w:rsid w:val="00951FCE"/>
    <w:rsid w:val="009521CC"/>
    <w:rsid w:val="0095226C"/>
    <w:rsid w:val="00952ADF"/>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17"/>
    <w:rsid w:val="0096023A"/>
    <w:rsid w:val="009607AB"/>
    <w:rsid w:val="009615DB"/>
    <w:rsid w:val="00962683"/>
    <w:rsid w:val="00962E23"/>
    <w:rsid w:val="00962F0C"/>
    <w:rsid w:val="0096487C"/>
    <w:rsid w:val="00964BC2"/>
    <w:rsid w:val="00964D43"/>
    <w:rsid w:val="00964D4A"/>
    <w:rsid w:val="00964EAE"/>
    <w:rsid w:val="00965023"/>
    <w:rsid w:val="009650B7"/>
    <w:rsid w:val="0096514A"/>
    <w:rsid w:val="0096515D"/>
    <w:rsid w:val="009651AA"/>
    <w:rsid w:val="00965841"/>
    <w:rsid w:val="00965F77"/>
    <w:rsid w:val="00966623"/>
    <w:rsid w:val="00967301"/>
    <w:rsid w:val="009678DB"/>
    <w:rsid w:val="0097019D"/>
    <w:rsid w:val="00970728"/>
    <w:rsid w:val="009707C9"/>
    <w:rsid w:val="009710DF"/>
    <w:rsid w:val="00971E0B"/>
    <w:rsid w:val="00972101"/>
    <w:rsid w:val="00972FB5"/>
    <w:rsid w:val="009736FE"/>
    <w:rsid w:val="009737F5"/>
    <w:rsid w:val="00973B96"/>
    <w:rsid w:val="00973E3C"/>
    <w:rsid w:val="00974763"/>
    <w:rsid w:val="00974ACF"/>
    <w:rsid w:val="009757CA"/>
    <w:rsid w:val="0097586D"/>
    <w:rsid w:val="00976E76"/>
    <w:rsid w:val="00977A14"/>
    <w:rsid w:val="00977B14"/>
    <w:rsid w:val="00977E9B"/>
    <w:rsid w:val="009807BF"/>
    <w:rsid w:val="009809CE"/>
    <w:rsid w:val="0098131F"/>
    <w:rsid w:val="00981479"/>
    <w:rsid w:val="00981F74"/>
    <w:rsid w:val="009829B3"/>
    <w:rsid w:val="00982C31"/>
    <w:rsid w:val="00982D45"/>
    <w:rsid w:val="00983165"/>
    <w:rsid w:val="00983343"/>
    <w:rsid w:val="009833C4"/>
    <w:rsid w:val="009834E0"/>
    <w:rsid w:val="009838FF"/>
    <w:rsid w:val="00983EA9"/>
    <w:rsid w:val="00984149"/>
    <w:rsid w:val="00984788"/>
    <w:rsid w:val="00984909"/>
    <w:rsid w:val="00984FF3"/>
    <w:rsid w:val="00984FF9"/>
    <w:rsid w:val="009850C5"/>
    <w:rsid w:val="00985F63"/>
    <w:rsid w:val="00986326"/>
    <w:rsid w:val="00986849"/>
    <w:rsid w:val="00986BB7"/>
    <w:rsid w:val="00986C77"/>
    <w:rsid w:val="00986D4B"/>
    <w:rsid w:val="00986F6D"/>
    <w:rsid w:val="0098727C"/>
    <w:rsid w:val="00987708"/>
    <w:rsid w:val="00987DF0"/>
    <w:rsid w:val="00987E2E"/>
    <w:rsid w:val="0099008B"/>
    <w:rsid w:val="0099177B"/>
    <w:rsid w:val="00991B8C"/>
    <w:rsid w:val="00991C34"/>
    <w:rsid w:val="00991F48"/>
    <w:rsid w:val="0099367E"/>
    <w:rsid w:val="00993FE4"/>
    <w:rsid w:val="0099425E"/>
    <w:rsid w:val="00994CDC"/>
    <w:rsid w:val="00994DFE"/>
    <w:rsid w:val="00995B05"/>
    <w:rsid w:val="009969CD"/>
    <w:rsid w:val="0099770A"/>
    <w:rsid w:val="00997769"/>
    <w:rsid w:val="00997A2E"/>
    <w:rsid w:val="009A048E"/>
    <w:rsid w:val="009A07CF"/>
    <w:rsid w:val="009A119F"/>
    <w:rsid w:val="009A1609"/>
    <w:rsid w:val="009A16A3"/>
    <w:rsid w:val="009A1A7E"/>
    <w:rsid w:val="009A3480"/>
    <w:rsid w:val="009A3DB8"/>
    <w:rsid w:val="009A43B3"/>
    <w:rsid w:val="009A464D"/>
    <w:rsid w:val="009A496F"/>
    <w:rsid w:val="009A4AEC"/>
    <w:rsid w:val="009A4B78"/>
    <w:rsid w:val="009A4D73"/>
    <w:rsid w:val="009A4E41"/>
    <w:rsid w:val="009A5297"/>
    <w:rsid w:val="009A52C5"/>
    <w:rsid w:val="009A5851"/>
    <w:rsid w:val="009A5D40"/>
    <w:rsid w:val="009A5E10"/>
    <w:rsid w:val="009A632E"/>
    <w:rsid w:val="009A6665"/>
    <w:rsid w:val="009A743F"/>
    <w:rsid w:val="009A74F7"/>
    <w:rsid w:val="009B00F2"/>
    <w:rsid w:val="009B06E9"/>
    <w:rsid w:val="009B0FB2"/>
    <w:rsid w:val="009B1113"/>
    <w:rsid w:val="009B139B"/>
    <w:rsid w:val="009B1C34"/>
    <w:rsid w:val="009B1D22"/>
    <w:rsid w:val="009B1E86"/>
    <w:rsid w:val="009B27C4"/>
    <w:rsid w:val="009B2D92"/>
    <w:rsid w:val="009B3181"/>
    <w:rsid w:val="009B31DE"/>
    <w:rsid w:val="009B3250"/>
    <w:rsid w:val="009B3F14"/>
    <w:rsid w:val="009B42D2"/>
    <w:rsid w:val="009B4A06"/>
    <w:rsid w:val="009B5458"/>
    <w:rsid w:val="009B578D"/>
    <w:rsid w:val="009B5C9A"/>
    <w:rsid w:val="009B60EA"/>
    <w:rsid w:val="009B70C8"/>
    <w:rsid w:val="009B737C"/>
    <w:rsid w:val="009B742E"/>
    <w:rsid w:val="009B76BE"/>
    <w:rsid w:val="009C0AC6"/>
    <w:rsid w:val="009C11B2"/>
    <w:rsid w:val="009C1405"/>
    <w:rsid w:val="009C1456"/>
    <w:rsid w:val="009C164F"/>
    <w:rsid w:val="009C1C30"/>
    <w:rsid w:val="009C22DD"/>
    <w:rsid w:val="009C29D5"/>
    <w:rsid w:val="009C30A0"/>
    <w:rsid w:val="009C310E"/>
    <w:rsid w:val="009C359E"/>
    <w:rsid w:val="009C37FE"/>
    <w:rsid w:val="009C4082"/>
    <w:rsid w:val="009C4A38"/>
    <w:rsid w:val="009C4A72"/>
    <w:rsid w:val="009C4AD8"/>
    <w:rsid w:val="009C4D3D"/>
    <w:rsid w:val="009C4E1C"/>
    <w:rsid w:val="009C55E2"/>
    <w:rsid w:val="009C5A4E"/>
    <w:rsid w:val="009C5EE5"/>
    <w:rsid w:val="009C61E3"/>
    <w:rsid w:val="009C6B56"/>
    <w:rsid w:val="009C6C15"/>
    <w:rsid w:val="009C7DB8"/>
    <w:rsid w:val="009C7FF0"/>
    <w:rsid w:val="009D010D"/>
    <w:rsid w:val="009D0244"/>
    <w:rsid w:val="009D089D"/>
    <w:rsid w:val="009D0CE2"/>
    <w:rsid w:val="009D0F71"/>
    <w:rsid w:val="009D111C"/>
    <w:rsid w:val="009D17A0"/>
    <w:rsid w:val="009D1F7A"/>
    <w:rsid w:val="009D204E"/>
    <w:rsid w:val="009D2873"/>
    <w:rsid w:val="009D2942"/>
    <w:rsid w:val="009D3A1A"/>
    <w:rsid w:val="009D426A"/>
    <w:rsid w:val="009D4F30"/>
    <w:rsid w:val="009D5BDB"/>
    <w:rsid w:val="009D6B03"/>
    <w:rsid w:val="009D6B3D"/>
    <w:rsid w:val="009D7422"/>
    <w:rsid w:val="009D76D0"/>
    <w:rsid w:val="009D78E7"/>
    <w:rsid w:val="009E0742"/>
    <w:rsid w:val="009E1291"/>
    <w:rsid w:val="009E12BC"/>
    <w:rsid w:val="009E1F7D"/>
    <w:rsid w:val="009E224D"/>
    <w:rsid w:val="009E26D5"/>
    <w:rsid w:val="009E2A07"/>
    <w:rsid w:val="009E3398"/>
    <w:rsid w:val="009E3577"/>
    <w:rsid w:val="009E3D2B"/>
    <w:rsid w:val="009E3D6F"/>
    <w:rsid w:val="009E3E84"/>
    <w:rsid w:val="009E4097"/>
    <w:rsid w:val="009E4664"/>
    <w:rsid w:val="009E4D8E"/>
    <w:rsid w:val="009E4E90"/>
    <w:rsid w:val="009E4EB7"/>
    <w:rsid w:val="009E57C1"/>
    <w:rsid w:val="009E624A"/>
    <w:rsid w:val="009E6B32"/>
    <w:rsid w:val="009E70F3"/>
    <w:rsid w:val="009E7293"/>
    <w:rsid w:val="009E7DB7"/>
    <w:rsid w:val="009E7E98"/>
    <w:rsid w:val="009F00EE"/>
    <w:rsid w:val="009F0247"/>
    <w:rsid w:val="009F0827"/>
    <w:rsid w:val="009F0BED"/>
    <w:rsid w:val="009F1673"/>
    <w:rsid w:val="009F3255"/>
    <w:rsid w:val="009F34AA"/>
    <w:rsid w:val="009F3DCE"/>
    <w:rsid w:val="009F44FF"/>
    <w:rsid w:val="009F46E8"/>
    <w:rsid w:val="009F472D"/>
    <w:rsid w:val="009F4CF0"/>
    <w:rsid w:val="009F4E88"/>
    <w:rsid w:val="009F4FD5"/>
    <w:rsid w:val="009F50D1"/>
    <w:rsid w:val="009F573B"/>
    <w:rsid w:val="009F5918"/>
    <w:rsid w:val="009F596D"/>
    <w:rsid w:val="009F637C"/>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5CE9"/>
    <w:rsid w:val="00A06286"/>
    <w:rsid w:val="00A06318"/>
    <w:rsid w:val="00A063BC"/>
    <w:rsid w:val="00A068E1"/>
    <w:rsid w:val="00A06A80"/>
    <w:rsid w:val="00A06D8A"/>
    <w:rsid w:val="00A0711F"/>
    <w:rsid w:val="00A07B0B"/>
    <w:rsid w:val="00A1005B"/>
    <w:rsid w:val="00A102A0"/>
    <w:rsid w:val="00A10860"/>
    <w:rsid w:val="00A114FA"/>
    <w:rsid w:val="00A11AF3"/>
    <w:rsid w:val="00A12C09"/>
    <w:rsid w:val="00A13084"/>
    <w:rsid w:val="00A1327F"/>
    <w:rsid w:val="00A13817"/>
    <w:rsid w:val="00A138D3"/>
    <w:rsid w:val="00A13E0F"/>
    <w:rsid w:val="00A1448C"/>
    <w:rsid w:val="00A144B7"/>
    <w:rsid w:val="00A149B4"/>
    <w:rsid w:val="00A150D1"/>
    <w:rsid w:val="00A158AB"/>
    <w:rsid w:val="00A15F4F"/>
    <w:rsid w:val="00A160AB"/>
    <w:rsid w:val="00A16745"/>
    <w:rsid w:val="00A16747"/>
    <w:rsid w:val="00A17E93"/>
    <w:rsid w:val="00A20013"/>
    <w:rsid w:val="00A20582"/>
    <w:rsid w:val="00A20C65"/>
    <w:rsid w:val="00A21293"/>
    <w:rsid w:val="00A21767"/>
    <w:rsid w:val="00A21FD5"/>
    <w:rsid w:val="00A22751"/>
    <w:rsid w:val="00A22940"/>
    <w:rsid w:val="00A23102"/>
    <w:rsid w:val="00A2343F"/>
    <w:rsid w:val="00A23505"/>
    <w:rsid w:val="00A23C4B"/>
    <w:rsid w:val="00A2428B"/>
    <w:rsid w:val="00A24626"/>
    <w:rsid w:val="00A247E5"/>
    <w:rsid w:val="00A248BD"/>
    <w:rsid w:val="00A24D81"/>
    <w:rsid w:val="00A24EA5"/>
    <w:rsid w:val="00A24F88"/>
    <w:rsid w:val="00A25173"/>
    <w:rsid w:val="00A252F0"/>
    <w:rsid w:val="00A259F2"/>
    <w:rsid w:val="00A26463"/>
    <w:rsid w:val="00A2660E"/>
    <w:rsid w:val="00A26916"/>
    <w:rsid w:val="00A26B47"/>
    <w:rsid w:val="00A26FF1"/>
    <w:rsid w:val="00A27806"/>
    <w:rsid w:val="00A27986"/>
    <w:rsid w:val="00A3068C"/>
    <w:rsid w:val="00A3114C"/>
    <w:rsid w:val="00A3127F"/>
    <w:rsid w:val="00A31922"/>
    <w:rsid w:val="00A31BCC"/>
    <w:rsid w:val="00A31C70"/>
    <w:rsid w:val="00A325BB"/>
    <w:rsid w:val="00A3297A"/>
    <w:rsid w:val="00A32A58"/>
    <w:rsid w:val="00A32EEC"/>
    <w:rsid w:val="00A333FC"/>
    <w:rsid w:val="00A336C5"/>
    <w:rsid w:val="00A3510A"/>
    <w:rsid w:val="00A3515F"/>
    <w:rsid w:val="00A35751"/>
    <w:rsid w:val="00A3577F"/>
    <w:rsid w:val="00A35BBC"/>
    <w:rsid w:val="00A35DAB"/>
    <w:rsid w:val="00A36724"/>
    <w:rsid w:val="00A367AF"/>
    <w:rsid w:val="00A36C13"/>
    <w:rsid w:val="00A36DF5"/>
    <w:rsid w:val="00A377C2"/>
    <w:rsid w:val="00A37A31"/>
    <w:rsid w:val="00A37FAB"/>
    <w:rsid w:val="00A40B1F"/>
    <w:rsid w:val="00A40B4D"/>
    <w:rsid w:val="00A411E2"/>
    <w:rsid w:val="00A41355"/>
    <w:rsid w:val="00A41373"/>
    <w:rsid w:val="00A41638"/>
    <w:rsid w:val="00A41B15"/>
    <w:rsid w:val="00A4224E"/>
    <w:rsid w:val="00A4229F"/>
    <w:rsid w:val="00A428A9"/>
    <w:rsid w:val="00A42ACA"/>
    <w:rsid w:val="00A430EB"/>
    <w:rsid w:val="00A43AAB"/>
    <w:rsid w:val="00A43AFE"/>
    <w:rsid w:val="00A447E3"/>
    <w:rsid w:val="00A44AAD"/>
    <w:rsid w:val="00A44D3B"/>
    <w:rsid w:val="00A45280"/>
    <w:rsid w:val="00A458F2"/>
    <w:rsid w:val="00A45BF7"/>
    <w:rsid w:val="00A463B5"/>
    <w:rsid w:val="00A463BA"/>
    <w:rsid w:val="00A463F4"/>
    <w:rsid w:val="00A46675"/>
    <w:rsid w:val="00A471A3"/>
    <w:rsid w:val="00A47597"/>
    <w:rsid w:val="00A47E44"/>
    <w:rsid w:val="00A47F91"/>
    <w:rsid w:val="00A507D7"/>
    <w:rsid w:val="00A50A5C"/>
    <w:rsid w:val="00A50BE2"/>
    <w:rsid w:val="00A50CC6"/>
    <w:rsid w:val="00A50E40"/>
    <w:rsid w:val="00A51462"/>
    <w:rsid w:val="00A51946"/>
    <w:rsid w:val="00A51FF7"/>
    <w:rsid w:val="00A52058"/>
    <w:rsid w:val="00A52079"/>
    <w:rsid w:val="00A52143"/>
    <w:rsid w:val="00A521E9"/>
    <w:rsid w:val="00A5298E"/>
    <w:rsid w:val="00A52B3E"/>
    <w:rsid w:val="00A5313B"/>
    <w:rsid w:val="00A5320E"/>
    <w:rsid w:val="00A53EF9"/>
    <w:rsid w:val="00A53F7B"/>
    <w:rsid w:val="00A54090"/>
    <w:rsid w:val="00A54282"/>
    <w:rsid w:val="00A5449A"/>
    <w:rsid w:val="00A549D3"/>
    <w:rsid w:val="00A54DF0"/>
    <w:rsid w:val="00A55351"/>
    <w:rsid w:val="00A57E98"/>
    <w:rsid w:val="00A60849"/>
    <w:rsid w:val="00A60FF8"/>
    <w:rsid w:val="00A6105B"/>
    <w:rsid w:val="00A61355"/>
    <w:rsid w:val="00A61668"/>
    <w:rsid w:val="00A61DDC"/>
    <w:rsid w:val="00A621D3"/>
    <w:rsid w:val="00A628F8"/>
    <w:rsid w:val="00A62B7A"/>
    <w:rsid w:val="00A632EA"/>
    <w:rsid w:val="00A634BE"/>
    <w:rsid w:val="00A63AD7"/>
    <w:rsid w:val="00A63BFD"/>
    <w:rsid w:val="00A6491F"/>
    <w:rsid w:val="00A64C72"/>
    <w:rsid w:val="00A64D1A"/>
    <w:rsid w:val="00A65320"/>
    <w:rsid w:val="00A65BA5"/>
    <w:rsid w:val="00A66354"/>
    <w:rsid w:val="00A66C02"/>
    <w:rsid w:val="00A66E37"/>
    <w:rsid w:val="00A66ECF"/>
    <w:rsid w:val="00A67E38"/>
    <w:rsid w:val="00A703E4"/>
    <w:rsid w:val="00A70461"/>
    <w:rsid w:val="00A704C9"/>
    <w:rsid w:val="00A70B2B"/>
    <w:rsid w:val="00A70DC6"/>
    <w:rsid w:val="00A71080"/>
    <w:rsid w:val="00A71986"/>
    <w:rsid w:val="00A71E73"/>
    <w:rsid w:val="00A72740"/>
    <w:rsid w:val="00A72F9A"/>
    <w:rsid w:val="00A733B9"/>
    <w:rsid w:val="00A73A64"/>
    <w:rsid w:val="00A742AD"/>
    <w:rsid w:val="00A746D7"/>
    <w:rsid w:val="00A74AB2"/>
    <w:rsid w:val="00A75A27"/>
    <w:rsid w:val="00A75A46"/>
    <w:rsid w:val="00A75B36"/>
    <w:rsid w:val="00A75F7A"/>
    <w:rsid w:val="00A7663A"/>
    <w:rsid w:val="00A7696B"/>
    <w:rsid w:val="00A769D4"/>
    <w:rsid w:val="00A804C7"/>
    <w:rsid w:val="00A80857"/>
    <w:rsid w:val="00A80A39"/>
    <w:rsid w:val="00A80DF0"/>
    <w:rsid w:val="00A80E64"/>
    <w:rsid w:val="00A81A16"/>
    <w:rsid w:val="00A8215F"/>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291"/>
    <w:rsid w:val="00A933AE"/>
    <w:rsid w:val="00A93863"/>
    <w:rsid w:val="00A9415E"/>
    <w:rsid w:val="00A9423F"/>
    <w:rsid w:val="00A94EBD"/>
    <w:rsid w:val="00A9510D"/>
    <w:rsid w:val="00A956AC"/>
    <w:rsid w:val="00A95D2A"/>
    <w:rsid w:val="00A96060"/>
    <w:rsid w:val="00A96214"/>
    <w:rsid w:val="00A9637E"/>
    <w:rsid w:val="00A967E8"/>
    <w:rsid w:val="00A97F4B"/>
    <w:rsid w:val="00AA04C5"/>
    <w:rsid w:val="00AA0728"/>
    <w:rsid w:val="00AA0E42"/>
    <w:rsid w:val="00AA10B1"/>
    <w:rsid w:val="00AA2803"/>
    <w:rsid w:val="00AA2BF2"/>
    <w:rsid w:val="00AA2D68"/>
    <w:rsid w:val="00AA2D6F"/>
    <w:rsid w:val="00AA2E4E"/>
    <w:rsid w:val="00AA3987"/>
    <w:rsid w:val="00AA3B68"/>
    <w:rsid w:val="00AA3E79"/>
    <w:rsid w:val="00AA4FB4"/>
    <w:rsid w:val="00AA5586"/>
    <w:rsid w:val="00AA5C0B"/>
    <w:rsid w:val="00AA5E3B"/>
    <w:rsid w:val="00AA63AD"/>
    <w:rsid w:val="00AA63B8"/>
    <w:rsid w:val="00AA65B4"/>
    <w:rsid w:val="00AA68CD"/>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B7CD3"/>
    <w:rsid w:val="00AC0256"/>
    <w:rsid w:val="00AC0AAD"/>
    <w:rsid w:val="00AC0EEC"/>
    <w:rsid w:val="00AC1231"/>
    <w:rsid w:val="00AC1254"/>
    <w:rsid w:val="00AC1992"/>
    <w:rsid w:val="00AC1E14"/>
    <w:rsid w:val="00AC2CFA"/>
    <w:rsid w:val="00AC3263"/>
    <w:rsid w:val="00AC3E12"/>
    <w:rsid w:val="00AC406E"/>
    <w:rsid w:val="00AC430C"/>
    <w:rsid w:val="00AC4A6B"/>
    <w:rsid w:val="00AC5C19"/>
    <w:rsid w:val="00AC60F0"/>
    <w:rsid w:val="00AC6657"/>
    <w:rsid w:val="00AC6D7A"/>
    <w:rsid w:val="00AC7363"/>
    <w:rsid w:val="00AC7401"/>
    <w:rsid w:val="00AC7901"/>
    <w:rsid w:val="00AC79F3"/>
    <w:rsid w:val="00AC7FDD"/>
    <w:rsid w:val="00AD08A5"/>
    <w:rsid w:val="00AD0949"/>
    <w:rsid w:val="00AD0F1D"/>
    <w:rsid w:val="00AD1179"/>
    <w:rsid w:val="00AD1359"/>
    <w:rsid w:val="00AD19F0"/>
    <w:rsid w:val="00AD1FCE"/>
    <w:rsid w:val="00AD26E1"/>
    <w:rsid w:val="00AD29CC"/>
    <w:rsid w:val="00AD3268"/>
    <w:rsid w:val="00AD3DE2"/>
    <w:rsid w:val="00AD3E46"/>
    <w:rsid w:val="00AD4261"/>
    <w:rsid w:val="00AD46F5"/>
    <w:rsid w:val="00AD51A3"/>
    <w:rsid w:val="00AD598B"/>
    <w:rsid w:val="00AD6013"/>
    <w:rsid w:val="00AD6C9B"/>
    <w:rsid w:val="00AD7154"/>
    <w:rsid w:val="00AD797D"/>
    <w:rsid w:val="00AD7A19"/>
    <w:rsid w:val="00AD7E02"/>
    <w:rsid w:val="00AE0483"/>
    <w:rsid w:val="00AE08DD"/>
    <w:rsid w:val="00AE1269"/>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08C"/>
    <w:rsid w:val="00AF054D"/>
    <w:rsid w:val="00AF0939"/>
    <w:rsid w:val="00AF17E8"/>
    <w:rsid w:val="00AF24E7"/>
    <w:rsid w:val="00AF272B"/>
    <w:rsid w:val="00AF291B"/>
    <w:rsid w:val="00AF2DAA"/>
    <w:rsid w:val="00AF2EBD"/>
    <w:rsid w:val="00AF2FF0"/>
    <w:rsid w:val="00AF33AE"/>
    <w:rsid w:val="00AF37F6"/>
    <w:rsid w:val="00AF44B1"/>
    <w:rsid w:val="00AF4EE0"/>
    <w:rsid w:val="00AF5800"/>
    <w:rsid w:val="00AF63F5"/>
    <w:rsid w:val="00AF6986"/>
    <w:rsid w:val="00AF69FE"/>
    <w:rsid w:val="00AF6D1B"/>
    <w:rsid w:val="00AF73ED"/>
    <w:rsid w:val="00AF7D69"/>
    <w:rsid w:val="00AF7ED2"/>
    <w:rsid w:val="00B004D8"/>
    <w:rsid w:val="00B00830"/>
    <w:rsid w:val="00B00CC5"/>
    <w:rsid w:val="00B016D2"/>
    <w:rsid w:val="00B02091"/>
    <w:rsid w:val="00B02328"/>
    <w:rsid w:val="00B02594"/>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403"/>
    <w:rsid w:val="00B12529"/>
    <w:rsid w:val="00B128C5"/>
    <w:rsid w:val="00B12B11"/>
    <w:rsid w:val="00B12C94"/>
    <w:rsid w:val="00B12D36"/>
    <w:rsid w:val="00B135AB"/>
    <w:rsid w:val="00B137BF"/>
    <w:rsid w:val="00B13A1B"/>
    <w:rsid w:val="00B13A76"/>
    <w:rsid w:val="00B13F4C"/>
    <w:rsid w:val="00B142D9"/>
    <w:rsid w:val="00B14BC4"/>
    <w:rsid w:val="00B14BD8"/>
    <w:rsid w:val="00B14C1C"/>
    <w:rsid w:val="00B14E8C"/>
    <w:rsid w:val="00B1519B"/>
    <w:rsid w:val="00B158A3"/>
    <w:rsid w:val="00B15B25"/>
    <w:rsid w:val="00B15C36"/>
    <w:rsid w:val="00B15EA0"/>
    <w:rsid w:val="00B168B1"/>
    <w:rsid w:val="00B17A4E"/>
    <w:rsid w:val="00B17B30"/>
    <w:rsid w:val="00B17C2F"/>
    <w:rsid w:val="00B20033"/>
    <w:rsid w:val="00B2153E"/>
    <w:rsid w:val="00B21FA7"/>
    <w:rsid w:val="00B22022"/>
    <w:rsid w:val="00B223C9"/>
    <w:rsid w:val="00B225E4"/>
    <w:rsid w:val="00B23F7A"/>
    <w:rsid w:val="00B240B1"/>
    <w:rsid w:val="00B24208"/>
    <w:rsid w:val="00B24728"/>
    <w:rsid w:val="00B248A9"/>
    <w:rsid w:val="00B24D28"/>
    <w:rsid w:val="00B24F1C"/>
    <w:rsid w:val="00B25443"/>
    <w:rsid w:val="00B25D76"/>
    <w:rsid w:val="00B27032"/>
    <w:rsid w:val="00B27441"/>
    <w:rsid w:val="00B30003"/>
    <w:rsid w:val="00B31201"/>
    <w:rsid w:val="00B31B4B"/>
    <w:rsid w:val="00B31E36"/>
    <w:rsid w:val="00B31F31"/>
    <w:rsid w:val="00B3241F"/>
    <w:rsid w:val="00B32E26"/>
    <w:rsid w:val="00B32E32"/>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37DF6"/>
    <w:rsid w:val="00B37EF6"/>
    <w:rsid w:val="00B412FD"/>
    <w:rsid w:val="00B41457"/>
    <w:rsid w:val="00B422BE"/>
    <w:rsid w:val="00B42343"/>
    <w:rsid w:val="00B4241D"/>
    <w:rsid w:val="00B426BB"/>
    <w:rsid w:val="00B42A76"/>
    <w:rsid w:val="00B42EB9"/>
    <w:rsid w:val="00B441FE"/>
    <w:rsid w:val="00B44821"/>
    <w:rsid w:val="00B44AD3"/>
    <w:rsid w:val="00B45152"/>
    <w:rsid w:val="00B45E54"/>
    <w:rsid w:val="00B464E4"/>
    <w:rsid w:val="00B4689A"/>
    <w:rsid w:val="00B46D5F"/>
    <w:rsid w:val="00B46E7B"/>
    <w:rsid w:val="00B47DC5"/>
    <w:rsid w:val="00B505B3"/>
    <w:rsid w:val="00B50882"/>
    <w:rsid w:val="00B50A74"/>
    <w:rsid w:val="00B51AE3"/>
    <w:rsid w:val="00B520A0"/>
    <w:rsid w:val="00B5257E"/>
    <w:rsid w:val="00B525CE"/>
    <w:rsid w:val="00B52CFD"/>
    <w:rsid w:val="00B53353"/>
    <w:rsid w:val="00B545A8"/>
    <w:rsid w:val="00B56527"/>
    <w:rsid w:val="00B576DA"/>
    <w:rsid w:val="00B57710"/>
    <w:rsid w:val="00B601C9"/>
    <w:rsid w:val="00B60856"/>
    <w:rsid w:val="00B60D04"/>
    <w:rsid w:val="00B61EE8"/>
    <w:rsid w:val="00B632A3"/>
    <w:rsid w:val="00B633A3"/>
    <w:rsid w:val="00B63533"/>
    <w:rsid w:val="00B635AF"/>
    <w:rsid w:val="00B63BDB"/>
    <w:rsid w:val="00B64A0E"/>
    <w:rsid w:val="00B64DDF"/>
    <w:rsid w:val="00B6567A"/>
    <w:rsid w:val="00B6601E"/>
    <w:rsid w:val="00B663AA"/>
    <w:rsid w:val="00B66DD5"/>
    <w:rsid w:val="00B67722"/>
    <w:rsid w:val="00B67B97"/>
    <w:rsid w:val="00B67F01"/>
    <w:rsid w:val="00B711AB"/>
    <w:rsid w:val="00B714F0"/>
    <w:rsid w:val="00B7193A"/>
    <w:rsid w:val="00B71A40"/>
    <w:rsid w:val="00B71C8C"/>
    <w:rsid w:val="00B71CB4"/>
    <w:rsid w:val="00B71FD7"/>
    <w:rsid w:val="00B725E7"/>
    <w:rsid w:val="00B72C07"/>
    <w:rsid w:val="00B72DF7"/>
    <w:rsid w:val="00B72F42"/>
    <w:rsid w:val="00B732B6"/>
    <w:rsid w:val="00B73E44"/>
    <w:rsid w:val="00B74290"/>
    <w:rsid w:val="00B74510"/>
    <w:rsid w:val="00B74BD4"/>
    <w:rsid w:val="00B74BF7"/>
    <w:rsid w:val="00B74CE1"/>
    <w:rsid w:val="00B751C0"/>
    <w:rsid w:val="00B75B54"/>
    <w:rsid w:val="00B76185"/>
    <w:rsid w:val="00B76714"/>
    <w:rsid w:val="00B76BCD"/>
    <w:rsid w:val="00B779E6"/>
    <w:rsid w:val="00B77D16"/>
    <w:rsid w:val="00B804E2"/>
    <w:rsid w:val="00B80D6C"/>
    <w:rsid w:val="00B811B2"/>
    <w:rsid w:val="00B8276E"/>
    <w:rsid w:val="00B83A62"/>
    <w:rsid w:val="00B83B59"/>
    <w:rsid w:val="00B84252"/>
    <w:rsid w:val="00B8468F"/>
    <w:rsid w:val="00B84FC6"/>
    <w:rsid w:val="00B857F5"/>
    <w:rsid w:val="00B86D6C"/>
    <w:rsid w:val="00B86F47"/>
    <w:rsid w:val="00B874B4"/>
    <w:rsid w:val="00B8787A"/>
    <w:rsid w:val="00B87887"/>
    <w:rsid w:val="00B87E4A"/>
    <w:rsid w:val="00B90123"/>
    <w:rsid w:val="00B90196"/>
    <w:rsid w:val="00B911C1"/>
    <w:rsid w:val="00B922C3"/>
    <w:rsid w:val="00B9272E"/>
    <w:rsid w:val="00B927A7"/>
    <w:rsid w:val="00B92B9E"/>
    <w:rsid w:val="00B92E61"/>
    <w:rsid w:val="00B93311"/>
    <w:rsid w:val="00B93315"/>
    <w:rsid w:val="00B93519"/>
    <w:rsid w:val="00B9372A"/>
    <w:rsid w:val="00B9425C"/>
    <w:rsid w:val="00B94AAF"/>
    <w:rsid w:val="00B953FF"/>
    <w:rsid w:val="00B9622D"/>
    <w:rsid w:val="00B96263"/>
    <w:rsid w:val="00B968A5"/>
    <w:rsid w:val="00B972CD"/>
    <w:rsid w:val="00B973D6"/>
    <w:rsid w:val="00B97999"/>
    <w:rsid w:val="00B97D02"/>
    <w:rsid w:val="00BA01BE"/>
    <w:rsid w:val="00BA0304"/>
    <w:rsid w:val="00BA0557"/>
    <w:rsid w:val="00BA1640"/>
    <w:rsid w:val="00BA1A87"/>
    <w:rsid w:val="00BA3038"/>
    <w:rsid w:val="00BA370A"/>
    <w:rsid w:val="00BA3D61"/>
    <w:rsid w:val="00BA4043"/>
    <w:rsid w:val="00BA4375"/>
    <w:rsid w:val="00BA43CA"/>
    <w:rsid w:val="00BA48BC"/>
    <w:rsid w:val="00BA4A29"/>
    <w:rsid w:val="00BA4BE7"/>
    <w:rsid w:val="00BA50AE"/>
    <w:rsid w:val="00BA5F20"/>
    <w:rsid w:val="00BA68D9"/>
    <w:rsid w:val="00BA7172"/>
    <w:rsid w:val="00BA7B01"/>
    <w:rsid w:val="00BB02D7"/>
    <w:rsid w:val="00BB0D9F"/>
    <w:rsid w:val="00BB0DEE"/>
    <w:rsid w:val="00BB1031"/>
    <w:rsid w:val="00BB19C9"/>
    <w:rsid w:val="00BB1B33"/>
    <w:rsid w:val="00BB2480"/>
    <w:rsid w:val="00BB2C4E"/>
    <w:rsid w:val="00BB2E29"/>
    <w:rsid w:val="00BB2F74"/>
    <w:rsid w:val="00BB3206"/>
    <w:rsid w:val="00BB32C2"/>
    <w:rsid w:val="00BB3B0D"/>
    <w:rsid w:val="00BB4B3E"/>
    <w:rsid w:val="00BB524C"/>
    <w:rsid w:val="00BB5DAB"/>
    <w:rsid w:val="00BB60EB"/>
    <w:rsid w:val="00BB6195"/>
    <w:rsid w:val="00BB61A3"/>
    <w:rsid w:val="00BB707E"/>
    <w:rsid w:val="00BB7568"/>
    <w:rsid w:val="00BC007C"/>
    <w:rsid w:val="00BC0986"/>
    <w:rsid w:val="00BC0AB2"/>
    <w:rsid w:val="00BC1308"/>
    <w:rsid w:val="00BC1BF4"/>
    <w:rsid w:val="00BC2600"/>
    <w:rsid w:val="00BC2F24"/>
    <w:rsid w:val="00BC33BE"/>
    <w:rsid w:val="00BC3745"/>
    <w:rsid w:val="00BC3A47"/>
    <w:rsid w:val="00BC3EEB"/>
    <w:rsid w:val="00BC4780"/>
    <w:rsid w:val="00BC52C8"/>
    <w:rsid w:val="00BC5485"/>
    <w:rsid w:val="00BC549C"/>
    <w:rsid w:val="00BC570E"/>
    <w:rsid w:val="00BC5A6C"/>
    <w:rsid w:val="00BC5AF6"/>
    <w:rsid w:val="00BC5B4B"/>
    <w:rsid w:val="00BC5EDB"/>
    <w:rsid w:val="00BC6914"/>
    <w:rsid w:val="00BC69A2"/>
    <w:rsid w:val="00BC6ED6"/>
    <w:rsid w:val="00BC6F03"/>
    <w:rsid w:val="00BC6FA1"/>
    <w:rsid w:val="00BC7487"/>
    <w:rsid w:val="00BC7C5D"/>
    <w:rsid w:val="00BD0570"/>
    <w:rsid w:val="00BD0853"/>
    <w:rsid w:val="00BD09AC"/>
    <w:rsid w:val="00BD112D"/>
    <w:rsid w:val="00BD214E"/>
    <w:rsid w:val="00BD2236"/>
    <w:rsid w:val="00BD2395"/>
    <w:rsid w:val="00BD25B8"/>
    <w:rsid w:val="00BD2842"/>
    <w:rsid w:val="00BD28CB"/>
    <w:rsid w:val="00BD3120"/>
    <w:rsid w:val="00BD3354"/>
    <w:rsid w:val="00BD384E"/>
    <w:rsid w:val="00BD3E76"/>
    <w:rsid w:val="00BD3EE2"/>
    <w:rsid w:val="00BD3FCF"/>
    <w:rsid w:val="00BD42D2"/>
    <w:rsid w:val="00BD43B4"/>
    <w:rsid w:val="00BD47D7"/>
    <w:rsid w:val="00BD4EFB"/>
    <w:rsid w:val="00BD5076"/>
    <w:rsid w:val="00BD5551"/>
    <w:rsid w:val="00BD6D43"/>
    <w:rsid w:val="00BD6F75"/>
    <w:rsid w:val="00BD7090"/>
    <w:rsid w:val="00BD7490"/>
    <w:rsid w:val="00BD767F"/>
    <w:rsid w:val="00BE09C3"/>
    <w:rsid w:val="00BE0C27"/>
    <w:rsid w:val="00BE15BB"/>
    <w:rsid w:val="00BE198F"/>
    <w:rsid w:val="00BE5078"/>
    <w:rsid w:val="00BE5964"/>
    <w:rsid w:val="00BE660B"/>
    <w:rsid w:val="00BE6AFE"/>
    <w:rsid w:val="00BE6BBE"/>
    <w:rsid w:val="00BE7021"/>
    <w:rsid w:val="00BE7300"/>
    <w:rsid w:val="00BE784F"/>
    <w:rsid w:val="00BF0238"/>
    <w:rsid w:val="00BF0717"/>
    <w:rsid w:val="00BF0727"/>
    <w:rsid w:val="00BF1750"/>
    <w:rsid w:val="00BF178E"/>
    <w:rsid w:val="00BF189F"/>
    <w:rsid w:val="00BF1B44"/>
    <w:rsid w:val="00BF1E83"/>
    <w:rsid w:val="00BF1F01"/>
    <w:rsid w:val="00BF23CC"/>
    <w:rsid w:val="00BF243F"/>
    <w:rsid w:val="00BF2713"/>
    <w:rsid w:val="00BF4C2B"/>
    <w:rsid w:val="00BF507A"/>
    <w:rsid w:val="00BF53F1"/>
    <w:rsid w:val="00BF5717"/>
    <w:rsid w:val="00BF5B9D"/>
    <w:rsid w:val="00BF5FA3"/>
    <w:rsid w:val="00BF62F2"/>
    <w:rsid w:val="00BF63A5"/>
    <w:rsid w:val="00BF72A7"/>
    <w:rsid w:val="00BF7558"/>
    <w:rsid w:val="00C005FA"/>
    <w:rsid w:val="00C0111E"/>
    <w:rsid w:val="00C01F11"/>
    <w:rsid w:val="00C02676"/>
    <w:rsid w:val="00C029AB"/>
    <w:rsid w:val="00C03BD5"/>
    <w:rsid w:val="00C03C8B"/>
    <w:rsid w:val="00C03F3C"/>
    <w:rsid w:val="00C049BE"/>
    <w:rsid w:val="00C04A71"/>
    <w:rsid w:val="00C04DF0"/>
    <w:rsid w:val="00C050EF"/>
    <w:rsid w:val="00C05A4C"/>
    <w:rsid w:val="00C05A67"/>
    <w:rsid w:val="00C0766B"/>
    <w:rsid w:val="00C07E8E"/>
    <w:rsid w:val="00C11113"/>
    <w:rsid w:val="00C111C3"/>
    <w:rsid w:val="00C11687"/>
    <w:rsid w:val="00C1175E"/>
    <w:rsid w:val="00C11E28"/>
    <w:rsid w:val="00C1225B"/>
    <w:rsid w:val="00C122F9"/>
    <w:rsid w:val="00C1253A"/>
    <w:rsid w:val="00C128C9"/>
    <w:rsid w:val="00C12CF3"/>
    <w:rsid w:val="00C12F88"/>
    <w:rsid w:val="00C131A8"/>
    <w:rsid w:val="00C1322D"/>
    <w:rsid w:val="00C135A3"/>
    <w:rsid w:val="00C1477A"/>
    <w:rsid w:val="00C14A62"/>
    <w:rsid w:val="00C14F25"/>
    <w:rsid w:val="00C150DA"/>
    <w:rsid w:val="00C1516F"/>
    <w:rsid w:val="00C154A1"/>
    <w:rsid w:val="00C158EB"/>
    <w:rsid w:val="00C159B1"/>
    <w:rsid w:val="00C15FE5"/>
    <w:rsid w:val="00C161F5"/>
    <w:rsid w:val="00C16C92"/>
    <w:rsid w:val="00C1706B"/>
    <w:rsid w:val="00C17DB7"/>
    <w:rsid w:val="00C17E48"/>
    <w:rsid w:val="00C17F0B"/>
    <w:rsid w:val="00C20136"/>
    <w:rsid w:val="00C201E7"/>
    <w:rsid w:val="00C20AA2"/>
    <w:rsid w:val="00C20B91"/>
    <w:rsid w:val="00C21155"/>
    <w:rsid w:val="00C2146C"/>
    <w:rsid w:val="00C214D7"/>
    <w:rsid w:val="00C21561"/>
    <w:rsid w:val="00C217EE"/>
    <w:rsid w:val="00C22784"/>
    <w:rsid w:val="00C230AB"/>
    <w:rsid w:val="00C23A4C"/>
    <w:rsid w:val="00C23E81"/>
    <w:rsid w:val="00C2419D"/>
    <w:rsid w:val="00C243A4"/>
    <w:rsid w:val="00C24416"/>
    <w:rsid w:val="00C248DB"/>
    <w:rsid w:val="00C25173"/>
    <w:rsid w:val="00C26170"/>
    <w:rsid w:val="00C26B5A"/>
    <w:rsid w:val="00C26D52"/>
    <w:rsid w:val="00C300D1"/>
    <w:rsid w:val="00C303E4"/>
    <w:rsid w:val="00C30775"/>
    <w:rsid w:val="00C30B8D"/>
    <w:rsid w:val="00C3134E"/>
    <w:rsid w:val="00C315D8"/>
    <w:rsid w:val="00C3191B"/>
    <w:rsid w:val="00C31C4A"/>
    <w:rsid w:val="00C31D2D"/>
    <w:rsid w:val="00C32639"/>
    <w:rsid w:val="00C32808"/>
    <w:rsid w:val="00C32AD2"/>
    <w:rsid w:val="00C32B42"/>
    <w:rsid w:val="00C33114"/>
    <w:rsid w:val="00C34193"/>
    <w:rsid w:val="00C347FD"/>
    <w:rsid w:val="00C34DAE"/>
    <w:rsid w:val="00C34E1E"/>
    <w:rsid w:val="00C34E5A"/>
    <w:rsid w:val="00C36219"/>
    <w:rsid w:val="00C363AB"/>
    <w:rsid w:val="00C3698E"/>
    <w:rsid w:val="00C36CCA"/>
    <w:rsid w:val="00C36E1C"/>
    <w:rsid w:val="00C36F42"/>
    <w:rsid w:val="00C3718A"/>
    <w:rsid w:val="00C379C5"/>
    <w:rsid w:val="00C37EEE"/>
    <w:rsid w:val="00C40453"/>
    <w:rsid w:val="00C40E71"/>
    <w:rsid w:val="00C41879"/>
    <w:rsid w:val="00C41A7C"/>
    <w:rsid w:val="00C41D5C"/>
    <w:rsid w:val="00C420A0"/>
    <w:rsid w:val="00C42CEF"/>
    <w:rsid w:val="00C42D55"/>
    <w:rsid w:val="00C43080"/>
    <w:rsid w:val="00C4370E"/>
    <w:rsid w:val="00C43823"/>
    <w:rsid w:val="00C4384B"/>
    <w:rsid w:val="00C4393C"/>
    <w:rsid w:val="00C44068"/>
    <w:rsid w:val="00C442AE"/>
    <w:rsid w:val="00C4501D"/>
    <w:rsid w:val="00C4518B"/>
    <w:rsid w:val="00C45780"/>
    <w:rsid w:val="00C458D6"/>
    <w:rsid w:val="00C4594D"/>
    <w:rsid w:val="00C4655A"/>
    <w:rsid w:val="00C466BF"/>
    <w:rsid w:val="00C46716"/>
    <w:rsid w:val="00C47385"/>
    <w:rsid w:val="00C47555"/>
    <w:rsid w:val="00C476AC"/>
    <w:rsid w:val="00C47E67"/>
    <w:rsid w:val="00C47FD9"/>
    <w:rsid w:val="00C50B6E"/>
    <w:rsid w:val="00C50C1A"/>
    <w:rsid w:val="00C50E1E"/>
    <w:rsid w:val="00C513C6"/>
    <w:rsid w:val="00C51508"/>
    <w:rsid w:val="00C51868"/>
    <w:rsid w:val="00C51D73"/>
    <w:rsid w:val="00C5288F"/>
    <w:rsid w:val="00C52A05"/>
    <w:rsid w:val="00C52E97"/>
    <w:rsid w:val="00C52EAF"/>
    <w:rsid w:val="00C53189"/>
    <w:rsid w:val="00C534E5"/>
    <w:rsid w:val="00C534F4"/>
    <w:rsid w:val="00C53688"/>
    <w:rsid w:val="00C5375B"/>
    <w:rsid w:val="00C5385D"/>
    <w:rsid w:val="00C53B15"/>
    <w:rsid w:val="00C53DA9"/>
    <w:rsid w:val="00C53EF7"/>
    <w:rsid w:val="00C54280"/>
    <w:rsid w:val="00C54929"/>
    <w:rsid w:val="00C54D0B"/>
    <w:rsid w:val="00C551C6"/>
    <w:rsid w:val="00C556B1"/>
    <w:rsid w:val="00C55A05"/>
    <w:rsid w:val="00C55E8C"/>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246"/>
    <w:rsid w:val="00C67B49"/>
    <w:rsid w:val="00C704A2"/>
    <w:rsid w:val="00C70EE6"/>
    <w:rsid w:val="00C711F5"/>
    <w:rsid w:val="00C713A1"/>
    <w:rsid w:val="00C71828"/>
    <w:rsid w:val="00C71857"/>
    <w:rsid w:val="00C72105"/>
    <w:rsid w:val="00C73AC0"/>
    <w:rsid w:val="00C7440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7DF"/>
    <w:rsid w:val="00C82A50"/>
    <w:rsid w:val="00C82C20"/>
    <w:rsid w:val="00C82DBF"/>
    <w:rsid w:val="00C83240"/>
    <w:rsid w:val="00C83381"/>
    <w:rsid w:val="00C83607"/>
    <w:rsid w:val="00C83768"/>
    <w:rsid w:val="00C83B18"/>
    <w:rsid w:val="00C840C3"/>
    <w:rsid w:val="00C841B4"/>
    <w:rsid w:val="00C84266"/>
    <w:rsid w:val="00C849E0"/>
    <w:rsid w:val="00C84B74"/>
    <w:rsid w:val="00C8512A"/>
    <w:rsid w:val="00C85970"/>
    <w:rsid w:val="00C85E9B"/>
    <w:rsid w:val="00C85F74"/>
    <w:rsid w:val="00C874C8"/>
    <w:rsid w:val="00C877E6"/>
    <w:rsid w:val="00C87B25"/>
    <w:rsid w:val="00C90165"/>
    <w:rsid w:val="00C90733"/>
    <w:rsid w:val="00C921C4"/>
    <w:rsid w:val="00C9235F"/>
    <w:rsid w:val="00C9257F"/>
    <w:rsid w:val="00C9319C"/>
    <w:rsid w:val="00C934F6"/>
    <w:rsid w:val="00C93874"/>
    <w:rsid w:val="00C93A4C"/>
    <w:rsid w:val="00C944EB"/>
    <w:rsid w:val="00C94FD2"/>
    <w:rsid w:val="00C95341"/>
    <w:rsid w:val="00C95B76"/>
    <w:rsid w:val="00C96190"/>
    <w:rsid w:val="00C96324"/>
    <w:rsid w:val="00C964C3"/>
    <w:rsid w:val="00C96635"/>
    <w:rsid w:val="00C966B7"/>
    <w:rsid w:val="00C969DB"/>
    <w:rsid w:val="00C97A4A"/>
    <w:rsid w:val="00C97DC9"/>
    <w:rsid w:val="00C97EE3"/>
    <w:rsid w:val="00CA042A"/>
    <w:rsid w:val="00CA0DA1"/>
    <w:rsid w:val="00CA12BA"/>
    <w:rsid w:val="00CA165C"/>
    <w:rsid w:val="00CA1C0D"/>
    <w:rsid w:val="00CA1DAE"/>
    <w:rsid w:val="00CA2267"/>
    <w:rsid w:val="00CA2433"/>
    <w:rsid w:val="00CA34D6"/>
    <w:rsid w:val="00CA38AD"/>
    <w:rsid w:val="00CA3EEE"/>
    <w:rsid w:val="00CA42AF"/>
    <w:rsid w:val="00CA5098"/>
    <w:rsid w:val="00CA5369"/>
    <w:rsid w:val="00CA5503"/>
    <w:rsid w:val="00CA66C3"/>
    <w:rsid w:val="00CA6CAD"/>
    <w:rsid w:val="00CA70A8"/>
    <w:rsid w:val="00CA70D0"/>
    <w:rsid w:val="00CA74A4"/>
    <w:rsid w:val="00CA7683"/>
    <w:rsid w:val="00CA7EA1"/>
    <w:rsid w:val="00CA7EEB"/>
    <w:rsid w:val="00CB002A"/>
    <w:rsid w:val="00CB009B"/>
    <w:rsid w:val="00CB0231"/>
    <w:rsid w:val="00CB0838"/>
    <w:rsid w:val="00CB1282"/>
    <w:rsid w:val="00CB1AFD"/>
    <w:rsid w:val="00CB1EB3"/>
    <w:rsid w:val="00CB2126"/>
    <w:rsid w:val="00CB24AD"/>
    <w:rsid w:val="00CB2C59"/>
    <w:rsid w:val="00CB2D9C"/>
    <w:rsid w:val="00CB34AB"/>
    <w:rsid w:val="00CB3529"/>
    <w:rsid w:val="00CB38A9"/>
    <w:rsid w:val="00CB4728"/>
    <w:rsid w:val="00CB5890"/>
    <w:rsid w:val="00CB59E7"/>
    <w:rsid w:val="00CB5D27"/>
    <w:rsid w:val="00CB5E4A"/>
    <w:rsid w:val="00CB5E7B"/>
    <w:rsid w:val="00CB6FCA"/>
    <w:rsid w:val="00CB7026"/>
    <w:rsid w:val="00CB724D"/>
    <w:rsid w:val="00CB73EA"/>
    <w:rsid w:val="00CB7D4E"/>
    <w:rsid w:val="00CC002B"/>
    <w:rsid w:val="00CC04BF"/>
    <w:rsid w:val="00CC07E5"/>
    <w:rsid w:val="00CC08E6"/>
    <w:rsid w:val="00CC09F0"/>
    <w:rsid w:val="00CC0C11"/>
    <w:rsid w:val="00CC1F52"/>
    <w:rsid w:val="00CC233F"/>
    <w:rsid w:val="00CC27FD"/>
    <w:rsid w:val="00CC31E8"/>
    <w:rsid w:val="00CC321A"/>
    <w:rsid w:val="00CC3AB9"/>
    <w:rsid w:val="00CC3C9E"/>
    <w:rsid w:val="00CC45E0"/>
    <w:rsid w:val="00CC4BBE"/>
    <w:rsid w:val="00CC4BC3"/>
    <w:rsid w:val="00CC50C7"/>
    <w:rsid w:val="00CC55AC"/>
    <w:rsid w:val="00CC5859"/>
    <w:rsid w:val="00CC5DF3"/>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CD"/>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56"/>
    <w:rsid w:val="00CE20E3"/>
    <w:rsid w:val="00CE2141"/>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E7B4B"/>
    <w:rsid w:val="00CF0829"/>
    <w:rsid w:val="00CF0E74"/>
    <w:rsid w:val="00CF1357"/>
    <w:rsid w:val="00CF1833"/>
    <w:rsid w:val="00CF1AEA"/>
    <w:rsid w:val="00CF2091"/>
    <w:rsid w:val="00CF21F6"/>
    <w:rsid w:val="00CF2278"/>
    <w:rsid w:val="00CF2C62"/>
    <w:rsid w:val="00CF2F66"/>
    <w:rsid w:val="00CF317C"/>
    <w:rsid w:val="00CF337B"/>
    <w:rsid w:val="00CF3FE7"/>
    <w:rsid w:val="00CF4416"/>
    <w:rsid w:val="00CF45F2"/>
    <w:rsid w:val="00CF50B8"/>
    <w:rsid w:val="00CF5762"/>
    <w:rsid w:val="00CF5EF9"/>
    <w:rsid w:val="00CF65B4"/>
    <w:rsid w:val="00CF69B0"/>
    <w:rsid w:val="00CF6C05"/>
    <w:rsid w:val="00CF7420"/>
    <w:rsid w:val="00CF7485"/>
    <w:rsid w:val="00CF7B61"/>
    <w:rsid w:val="00CF7E56"/>
    <w:rsid w:val="00D01744"/>
    <w:rsid w:val="00D01C03"/>
    <w:rsid w:val="00D01DE7"/>
    <w:rsid w:val="00D025CE"/>
    <w:rsid w:val="00D02A0F"/>
    <w:rsid w:val="00D02CA6"/>
    <w:rsid w:val="00D02DF3"/>
    <w:rsid w:val="00D03181"/>
    <w:rsid w:val="00D037DC"/>
    <w:rsid w:val="00D0383B"/>
    <w:rsid w:val="00D03A8A"/>
    <w:rsid w:val="00D03AEF"/>
    <w:rsid w:val="00D03DA5"/>
    <w:rsid w:val="00D03F27"/>
    <w:rsid w:val="00D043EE"/>
    <w:rsid w:val="00D0470D"/>
    <w:rsid w:val="00D05249"/>
    <w:rsid w:val="00D055CA"/>
    <w:rsid w:val="00D059FC"/>
    <w:rsid w:val="00D05DEF"/>
    <w:rsid w:val="00D06861"/>
    <w:rsid w:val="00D0688A"/>
    <w:rsid w:val="00D06F22"/>
    <w:rsid w:val="00D075A7"/>
    <w:rsid w:val="00D07A9C"/>
    <w:rsid w:val="00D10076"/>
    <w:rsid w:val="00D1033B"/>
    <w:rsid w:val="00D10477"/>
    <w:rsid w:val="00D107E2"/>
    <w:rsid w:val="00D1095E"/>
    <w:rsid w:val="00D11D76"/>
    <w:rsid w:val="00D121F5"/>
    <w:rsid w:val="00D126E4"/>
    <w:rsid w:val="00D131BF"/>
    <w:rsid w:val="00D13A90"/>
    <w:rsid w:val="00D140E6"/>
    <w:rsid w:val="00D142F6"/>
    <w:rsid w:val="00D158EF"/>
    <w:rsid w:val="00D15C14"/>
    <w:rsid w:val="00D15E74"/>
    <w:rsid w:val="00D15FAA"/>
    <w:rsid w:val="00D16B69"/>
    <w:rsid w:val="00D16ECB"/>
    <w:rsid w:val="00D16EEE"/>
    <w:rsid w:val="00D17167"/>
    <w:rsid w:val="00D17755"/>
    <w:rsid w:val="00D17BA5"/>
    <w:rsid w:val="00D2058D"/>
    <w:rsid w:val="00D2176E"/>
    <w:rsid w:val="00D2182A"/>
    <w:rsid w:val="00D2193D"/>
    <w:rsid w:val="00D22105"/>
    <w:rsid w:val="00D2211C"/>
    <w:rsid w:val="00D22B55"/>
    <w:rsid w:val="00D22E8B"/>
    <w:rsid w:val="00D22F07"/>
    <w:rsid w:val="00D23055"/>
    <w:rsid w:val="00D230AD"/>
    <w:rsid w:val="00D2320E"/>
    <w:rsid w:val="00D23BD4"/>
    <w:rsid w:val="00D251AB"/>
    <w:rsid w:val="00D25239"/>
    <w:rsid w:val="00D25AC6"/>
    <w:rsid w:val="00D261D3"/>
    <w:rsid w:val="00D27B53"/>
    <w:rsid w:val="00D319DF"/>
    <w:rsid w:val="00D31C02"/>
    <w:rsid w:val="00D3225E"/>
    <w:rsid w:val="00D3238E"/>
    <w:rsid w:val="00D324BC"/>
    <w:rsid w:val="00D32625"/>
    <w:rsid w:val="00D33565"/>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4DD5"/>
    <w:rsid w:val="00D45CA4"/>
    <w:rsid w:val="00D45EA7"/>
    <w:rsid w:val="00D45F22"/>
    <w:rsid w:val="00D47178"/>
    <w:rsid w:val="00D4752E"/>
    <w:rsid w:val="00D47842"/>
    <w:rsid w:val="00D47BEF"/>
    <w:rsid w:val="00D50826"/>
    <w:rsid w:val="00D51675"/>
    <w:rsid w:val="00D51E17"/>
    <w:rsid w:val="00D51F73"/>
    <w:rsid w:val="00D52827"/>
    <w:rsid w:val="00D529BE"/>
    <w:rsid w:val="00D52CF6"/>
    <w:rsid w:val="00D53D3E"/>
    <w:rsid w:val="00D547E0"/>
    <w:rsid w:val="00D54992"/>
    <w:rsid w:val="00D55291"/>
    <w:rsid w:val="00D55C48"/>
    <w:rsid w:val="00D55DE4"/>
    <w:rsid w:val="00D55E47"/>
    <w:rsid w:val="00D56997"/>
    <w:rsid w:val="00D570E6"/>
    <w:rsid w:val="00D5730F"/>
    <w:rsid w:val="00D5774F"/>
    <w:rsid w:val="00D60809"/>
    <w:rsid w:val="00D60D7F"/>
    <w:rsid w:val="00D615CB"/>
    <w:rsid w:val="00D61C9C"/>
    <w:rsid w:val="00D62111"/>
    <w:rsid w:val="00D62229"/>
    <w:rsid w:val="00D625B8"/>
    <w:rsid w:val="00D626F8"/>
    <w:rsid w:val="00D62C3B"/>
    <w:rsid w:val="00D636DC"/>
    <w:rsid w:val="00D63F4C"/>
    <w:rsid w:val="00D64613"/>
    <w:rsid w:val="00D64621"/>
    <w:rsid w:val="00D64702"/>
    <w:rsid w:val="00D66BFD"/>
    <w:rsid w:val="00D66C91"/>
    <w:rsid w:val="00D674EE"/>
    <w:rsid w:val="00D67535"/>
    <w:rsid w:val="00D6782F"/>
    <w:rsid w:val="00D67BC9"/>
    <w:rsid w:val="00D67DBC"/>
    <w:rsid w:val="00D704D9"/>
    <w:rsid w:val="00D70BD2"/>
    <w:rsid w:val="00D713F2"/>
    <w:rsid w:val="00D72705"/>
    <w:rsid w:val="00D729B8"/>
    <w:rsid w:val="00D738BF"/>
    <w:rsid w:val="00D73B93"/>
    <w:rsid w:val="00D73C95"/>
    <w:rsid w:val="00D7427D"/>
    <w:rsid w:val="00D745C1"/>
    <w:rsid w:val="00D756F6"/>
    <w:rsid w:val="00D75731"/>
    <w:rsid w:val="00D75B45"/>
    <w:rsid w:val="00D75B5C"/>
    <w:rsid w:val="00D75F8C"/>
    <w:rsid w:val="00D76050"/>
    <w:rsid w:val="00D76309"/>
    <w:rsid w:val="00D76423"/>
    <w:rsid w:val="00D76710"/>
    <w:rsid w:val="00D767BF"/>
    <w:rsid w:val="00D77278"/>
    <w:rsid w:val="00D775B5"/>
    <w:rsid w:val="00D77961"/>
    <w:rsid w:val="00D77B20"/>
    <w:rsid w:val="00D77B3B"/>
    <w:rsid w:val="00D8007C"/>
    <w:rsid w:val="00D8079F"/>
    <w:rsid w:val="00D8103B"/>
    <w:rsid w:val="00D8110A"/>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87888"/>
    <w:rsid w:val="00D90275"/>
    <w:rsid w:val="00D902F5"/>
    <w:rsid w:val="00D9075D"/>
    <w:rsid w:val="00D90959"/>
    <w:rsid w:val="00D91410"/>
    <w:rsid w:val="00D91438"/>
    <w:rsid w:val="00D91594"/>
    <w:rsid w:val="00D91ABE"/>
    <w:rsid w:val="00D91DFB"/>
    <w:rsid w:val="00D921DA"/>
    <w:rsid w:val="00D92C2F"/>
    <w:rsid w:val="00D92F7F"/>
    <w:rsid w:val="00D9443A"/>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12"/>
    <w:rsid w:val="00DA5572"/>
    <w:rsid w:val="00DA6A15"/>
    <w:rsid w:val="00DA6C80"/>
    <w:rsid w:val="00DA6CC2"/>
    <w:rsid w:val="00DA7029"/>
    <w:rsid w:val="00DA72E7"/>
    <w:rsid w:val="00DA77A0"/>
    <w:rsid w:val="00DB09A2"/>
    <w:rsid w:val="00DB103D"/>
    <w:rsid w:val="00DB1448"/>
    <w:rsid w:val="00DB1998"/>
    <w:rsid w:val="00DB1FC4"/>
    <w:rsid w:val="00DB21F0"/>
    <w:rsid w:val="00DB2C5F"/>
    <w:rsid w:val="00DB3A58"/>
    <w:rsid w:val="00DB3BDF"/>
    <w:rsid w:val="00DB3C58"/>
    <w:rsid w:val="00DB3D46"/>
    <w:rsid w:val="00DB401C"/>
    <w:rsid w:val="00DB4289"/>
    <w:rsid w:val="00DB46C8"/>
    <w:rsid w:val="00DB4F3E"/>
    <w:rsid w:val="00DB540E"/>
    <w:rsid w:val="00DB5969"/>
    <w:rsid w:val="00DB5A63"/>
    <w:rsid w:val="00DB6166"/>
    <w:rsid w:val="00DB656B"/>
    <w:rsid w:val="00DB691E"/>
    <w:rsid w:val="00DB75A3"/>
    <w:rsid w:val="00DC0574"/>
    <w:rsid w:val="00DC0C65"/>
    <w:rsid w:val="00DC1202"/>
    <w:rsid w:val="00DC16BF"/>
    <w:rsid w:val="00DC16E1"/>
    <w:rsid w:val="00DC16FC"/>
    <w:rsid w:val="00DC1881"/>
    <w:rsid w:val="00DC1ED7"/>
    <w:rsid w:val="00DC371B"/>
    <w:rsid w:val="00DC3A6F"/>
    <w:rsid w:val="00DC3D1C"/>
    <w:rsid w:val="00DC43E1"/>
    <w:rsid w:val="00DC5199"/>
    <w:rsid w:val="00DC5A32"/>
    <w:rsid w:val="00DC5E4E"/>
    <w:rsid w:val="00DC651B"/>
    <w:rsid w:val="00DC662F"/>
    <w:rsid w:val="00DC6E78"/>
    <w:rsid w:val="00DC729A"/>
    <w:rsid w:val="00DC73B1"/>
    <w:rsid w:val="00DC7519"/>
    <w:rsid w:val="00DC7630"/>
    <w:rsid w:val="00DC777A"/>
    <w:rsid w:val="00DC77FC"/>
    <w:rsid w:val="00DC7EB5"/>
    <w:rsid w:val="00DD04AC"/>
    <w:rsid w:val="00DD04DD"/>
    <w:rsid w:val="00DD0891"/>
    <w:rsid w:val="00DD0B35"/>
    <w:rsid w:val="00DD0C4D"/>
    <w:rsid w:val="00DD0F9F"/>
    <w:rsid w:val="00DD11A7"/>
    <w:rsid w:val="00DD1298"/>
    <w:rsid w:val="00DD1778"/>
    <w:rsid w:val="00DD2300"/>
    <w:rsid w:val="00DD2309"/>
    <w:rsid w:val="00DD28B3"/>
    <w:rsid w:val="00DD2DE3"/>
    <w:rsid w:val="00DD2DE8"/>
    <w:rsid w:val="00DD316F"/>
    <w:rsid w:val="00DD357C"/>
    <w:rsid w:val="00DD37CA"/>
    <w:rsid w:val="00DD3D55"/>
    <w:rsid w:val="00DD3DF7"/>
    <w:rsid w:val="00DD49B1"/>
    <w:rsid w:val="00DD4AE2"/>
    <w:rsid w:val="00DD4BFA"/>
    <w:rsid w:val="00DD51F8"/>
    <w:rsid w:val="00DD6388"/>
    <w:rsid w:val="00DD65F1"/>
    <w:rsid w:val="00DD6B6D"/>
    <w:rsid w:val="00DD6C53"/>
    <w:rsid w:val="00DD7198"/>
    <w:rsid w:val="00DD7CB6"/>
    <w:rsid w:val="00DE0077"/>
    <w:rsid w:val="00DE0137"/>
    <w:rsid w:val="00DE01BA"/>
    <w:rsid w:val="00DE04A5"/>
    <w:rsid w:val="00DE0DCF"/>
    <w:rsid w:val="00DE137B"/>
    <w:rsid w:val="00DE19D9"/>
    <w:rsid w:val="00DE1DC6"/>
    <w:rsid w:val="00DE1F77"/>
    <w:rsid w:val="00DE21C6"/>
    <w:rsid w:val="00DE22AA"/>
    <w:rsid w:val="00DE288F"/>
    <w:rsid w:val="00DE2D49"/>
    <w:rsid w:val="00DE3536"/>
    <w:rsid w:val="00DE3E66"/>
    <w:rsid w:val="00DE3F75"/>
    <w:rsid w:val="00DE41FC"/>
    <w:rsid w:val="00DE45F5"/>
    <w:rsid w:val="00DE4AAD"/>
    <w:rsid w:val="00DE4C0C"/>
    <w:rsid w:val="00DE4FC8"/>
    <w:rsid w:val="00DE53B5"/>
    <w:rsid w:val="00DE5A50"/>
    <w:rsid w:val="00DE60C5"/>
    <w:rsid w:val="00DE7323"/>
    <w:rsid w:val="00DE75E6"/>
    <w:rsid w:val="00DE75F0"/>
    <w:rsid w:val="00DE77CB"/>
    <w:rsid w:val="00DE7C12"/>
    <w:rsid w:val="00DE7EBA"/>
    <w:rsid w:val="00DF04BD"/>
    <w:rsid w:val="00DF068D"/>
    <w:rsid w:val="00DF0CF7"/>
    <w:rsid w:val="00DF0D3A"/>
    <w:rsid w:val="00DF18FD"/>
    <w:rsid w:val="00DF1A9A"/>
    <w:rsid w:val="00DF1C2D"/>
    <w:rsid w:val="00DF1F8A"/>
    <w:rsid w:val="00DF2302"/>
    <w:rsid w:val="00DF248E"/>
    <w:rsid w:val="00DF2557"/>
    <w:rsid w:val="00DF3577"/>
    <w:rsid w:val="00DF3AA8"/>
    <w:rsid w:val="00DF4063"/>
    <w:rsid w:val="00DF5935"/>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3DC"/>
    <w:rsid w:val="00E13655"/>
    <w:rsid w:val="00E138BF"/>
    <w:rsid w:val="00E14EFA"/>
    <w:rsid w:val="00E151B9"/>
    <w:rsid w:val="00E158C4"/>
    <w:rsid w:val="00E161E6"/>
    <w:rsid w:val="00E164A1"/>
    <w:rsid w:val="00E167C9"/>
    <w:rsid w:val="00E1698C"/>
    <w:rsid w:val="00E16BDB"/>
    <w:rsid w:val="00E172BE"/>
    <w:rsid w:val="00E175F8"/>
    <w:rsid w:val="00E17CF7"/>
    <w:rsid w:val="00E205D6"/>
    <w:rsid w:val="00E216EC"/>
    <w:rsid w:val="00E2189A"/>
    <w:rsid w:val="00E22B5A"/>
    <w:rsid w:val="00E22B68"/>
    <w:rsid w:val="00E231C9"/>
    <w:rsid w:val="00E23252"/>
    <w:rsid w:val="00E23EBF"/>
    <w:rsid w:val="00E23FD5"/>
    <w:rsid w:val="00E24669"/>
    <w:rsid w:val="00E24C48"/>
    <w:rsid w:val="00E25981"/>
    <w:rsid w:val="00E25F4A"/>
    <w:rsid w:val="00E26141"/>
    <w:rsid w:val="00E266F5"/>
    <w:rsid w:val="00E270D3"/>
    <w:rsid w:val="00E27479"/>
    <w:rsid w:val="00E27A6A"/>
    <w:rsid w:val="00E27D78"/>
    <w:rsid w:val="00E27FC7"/>
    <w:rsid w:val="00E30700"/>
    <w:rsid w:val="00E31360"/>
    <w:rsid w:val="00E31D28"/>
    <w:rsid w:val="00E31EC2"/>
    <w:rsid w:val="00E325FF"/>
    <w:rsid w:val="00E328AD"/>
    <w:rsid w:val="00E32CB8"/>
    <w:rsid w:val="00E3440F"/>
    <w:rsid w:val="00E34F3A"/>
    <w:rsid w:val="00E35F99"/>
    <w:rsid w:val="00E35F9A"/>
    <w:rsid w:val="00E3637F"/>
    <w:rsid w:val="00E364B6"/>
    <w:rsid w:val="00E36723"/>
    <w:rsid w:val="00E36A3C"/>
    <w:rsid w:val="00E3713C"/>
    <w:rsid w:val="00E3767B"/>
    <w:rsid w:val="00E37A85"/>
    <w:rsid w:val="00E37E1C"/>
    <w:rsid w:val="00E37FE3"/>
    <w:rsid w:val="00E40126"/>
    <w:rsid w:val="00E4079B"/>
    <w:rsid w:val="00E40CBF"/>
    <w:rsid w:val="00E40E7D"/>
    <w:rsid w:val="00E40EE4"/>
    <w:rsid w:val="00E413C6"/>
    <w:rsid w:val="00E41AC9"/>
    <w:rsid w:val="00E420D5"/>
    <w:rsid w:val="00E42517"/>
    <w:rsid w:val="00E426DF"/>
    <w:rsid w:val="00E42D55"/>
    <w:rsid w:val="00E42FFE"/>
    <w:rsid w:val="00E4316E"/>
    <w:rsid w:val="00E4337D"/>
    <w:rsid w:val="00E435AB"/>
    <w:rsid w:val="00E44275"/>
    <w:rsid w:val="00E44705"/>
    <w:rsid w:val="00E44777"/>
    <w:rsid w:val="00E44C51"/>
    <w:rsid w:val="00E4535F"/>
    <w:rsid w:val="00E463CC"/>
    <w:rsid w:val="00E466BC"/>
    <w:rsid w:val="00E4684D"/>
    <w:rsid w:val="00E4686A"/>
    <w:rsid w:val="00E479FD"/>
    <w:rsid w:val="00E504D6"/>
    <w:rsid w:val="00E50B6F"/>
    <w:rsid w:val="00E50EBE"/>
    <w:rsid w:val="00E50F69"/>
    <w:rsid w:val="00E50FC6"/>
    <w:rsid w:val="00E52372"/>
    <w:rsid w:val="00E52786"/>
    <w:rsid w:val="00E52F05"/>
    <w:rsid w:val="00E540CA"/>
    <w:rsid w:val="00E54F0C"/>
    <w:rsid w:val="00E55B28"/>
    <w:rsid w:val="00E56194"/>
    <w:rsid w:val="00E563EF"/>
    <w:rsid w:val="00E564B7"/>
    <w:rsid w:val="00E56D4A"/>
    <w:rsid w:val="00E57119"/>
    <w:rsid w:val="00E5719E"/>
    <w:rsid w:val="00E57D7B"/>
    <w:rsid w:val="00E57F4B"/>
    <w:rsid w:val="00E602E5"/>
    <w:rsid w:val="00E602F8"/>
    <w:rsid w:val="00E6085B"/>
    <w:rsid w:val="00E60FBA"/>
    <w:rsid w:val="00E60FBF"/>
    <w:rsid w:val="00E611AE"/>
    <w:rsid w:val="00E6159C"/>
    <w:rsid w:val="00E616F9"/>
    <w:rsid w:val="00E61852"/>
    <w:rsid w:val="00E61A0C"/>
    <w:rsid w:val="00E61D22"/>
    <w:rsid w:val="00E61D96"/>
    <w:rsid w:val="00E61E4B"/>
    <w:rsid w:val="00E62201"/>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065A"/>
    <w:rsid w:val="00E71063"/>
    <w:rsid w:val="00E715FC"/>
    <w:rsid w:val="00E71A45"/>
    <w:rsid w:val="00E71C21"/>
    <w:rsid w:val="00E72F23"/>
    <w:rsid w:val="00E730FC"/>
    <w:rsid w:val="00E7385A"/>
    <w:rsid w:val="00E73CE6"/>
    <w:rsid w:val="00E74105"/>
    <w:rsid w:val="00E74780"/>
    <w:rsid w:val="00E74956"/>
    <w:rsid w:val="00E752F7"/>
    <w:rsid w:val="00E75848"/>
    <w:rsid w:val="00E759D4"/>
    <w:rsid w:val="00E75B09"/>
    <w:rsid w:val="00E75B68"/>
    <w:rsid w:val="00E761D0"/>
    <w:rsid w:val="00E7624B"/>
    <w:rsid w:val="00E76A3C"/>
    <w:rsid w:val="00E76C5B"/>
    <w:rsid w:val="00E76F9B"/>
    <w:rsid w:val="00E771FC"/>
    <w:rsid w:val="00E773E5"/>
    <w:rsid w:val="00E77478"/>
    <w:rsid w:val="00E77A47"/>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E4E"/>
    <w:rsid w:val="00E86327"/>
    <w:rsid w:val="00E86DF0"/>
    <w:rsid w:val="00E87BD2"/>
    <w:rsid w:val="00E87CDC"/>
    <w:rsid w:val="00E90B33"/>
    <w:rsid w:val="00E911E0"/>
    <w:rsid w:val="00E918BD"/>
    <w:rsid w:val="00E93407"/>
    <w:rsid w:val="00E93877"/>
    <w:rsid w:val="00E940A8"/>
    <w:rsid w:val="00E947E8"/>
    <w:rsid w:val="00E94AB0"/>
    <w:rsid w:val="00E94B0F"/>
    <w:rsid w:val="00E9503F"/>
    <w:rsid w:val="00E95377"/>
    <w:rsid w:val="00E96E68"/>
    <w:rsid w:val="00E97EA1"/>
    <w:rsid w:val="00EA0BBE"/>
    <w:rsid w:val="00EA1FBC"/>
    <w:rsid w:val="00EA20A1"/>
    <w:rsid w:val="00EA212B"/>
    <w:rsid w:val="00EA2A88"/>
    <w:rsid w:val="00EA2D44"/>
    <w:rsid w:val="00EA2F5F"/>
    <w:rsid w:val="00EA3A1D"/>
    <w:rsid w:val="00EA3CD7"/>
    <w:rsid w:val="00EA3E2D"/>
    <w:rsid w:val="00EA429D"/>
    <w:rsid w:val="00EA43AF"/>
    <w:rsid w:val="00EA4676"/>
    <w:rsid w:val="00EA4C7C"/>
    <w:rsid w:val="00EA4D4C"/>
    <w:rsid w:val="00EA554F"/>
    <w:rsid w:val="00EA6250"/>
    <w:rsid w:val="00EA66A4"/>
    <w:rsid w:val="00EA6819"/>
    <w:rsid w:val="00EA6A1E"/>
    <w:rsid w:val="00EA7412"/>
    <w:rsid w:val="00EA75BD"/>
    <w:rsid w:val="00EA7C47"/>
    <w:rsid w:val="00EB0F0F"/>
    <w:rsid w:val="00EB12A5"/>
    <w:rsid w:val="00EB133D"/>
    <w:rsid w:val="00EB24D8"/>
    <w:rsid w:val="00EB277B"/>
    <w:rsid w:val="00EB2F20"/>
    <w:rsid w:val="00EB2F35"/>
    <w:rsid w:val="00EB31DB"/>
    <w:rsid w:val="00EB3422"/>
    <w:rsid w:val="00EB3A31"/>
    <w:rsid w:val="00EB4EAF"/>
    <w:rsid w:val="00EB51AD"/>
    <w:rsid w:val="00EB548E"/>
    <w:rsid w:val="00EB5C41"/>
    <w:rsid w:val="00EB5F5A"/>
    <w:rsid w:val="00EB657E"/>
    <w:rsid w:val="00EB695E"/>
    <w:rsid w:val="00EB69D1"/>
    <w:rsid w:val="00EB69D4"/>
    <w:rsid w:val="00EB6FE9"/>
    <w:rsid w:val="00EB72FF"/>
    <w:rsid w:val="00EB756F"/>
    <w:rsid w:val="00EB75C1"/>
    <w:rsid w:val="00EB79C8"/>
    <w:rsid w:val="00EB7E78"/>
    <w:rsid w:val="00EC0301"/>
    <w:rsid w:val="00EC09C6"/>
    <w:rsid w:val="00EC0EA5"/>
    <w:rsid w:val="00EC1056"/>
    <w:rsid w:val="00EC1470"/>
    <w:rsid w:val="00EC19B2"/>
    <w:rsid w:val="00EC1D53"/>
    <w:rsid w:val="00EC222E"/>
    <w:rsid w:val="00EC2716"/>
    <w:rsid w:val="00EC2DBB"/>
    <w:rsid w:val="00EC358E"/>
    <w:rsid w:val="00EC3FD2"/>
    <w:rsid w:val="00EC4095"/>
    <w:rsid w:val="00EC43B5"/>
    <w:rsid w:val="00EC4537"/>
    <w:rsid w:val="00EC4960"/>
    <w:rsid w:val="00EC4AE3"/>
    <w:rsid w:val="00EC4F46"/>
    <w:rsid w:val="00EC54EE"/>
    <w:rsid w:val="00EC59B2"/>
    <w:rsid w:val="00EC5A3B"/>
    <w:rsid w:val="00EC786C"/>
    <w:rsid w:val="00EC7ADD"/>
    <w:rsid w:val="00ED04FE"/>
    <w:rsid w:val="00ED07D3"/>
    <w:rsid w:val="00ED0DD0"/>
    <w:rsid w:val="00ED1240"/>
    <w:rsid w:val="00ED1989"/>
    <w:rsid w:val="00ED219A"/>
    <w:rsid w:val="00ED28F2"/>
    <w:rsid w:val="00ED3145"/>
    <w:rsid w:val="00ED3309"/>
    <w:rsid w:val="00ED356E"/>
    <w:rsid w:val="00ED3BDA"/>
    <w:rsid w:val="00ED5A3B"/>
    <w:rsid w:val="00ED5C30"/>
    <w:rsid w:val="00ED5C4F"/>
    <w:rsid w:val="00ED5E02"/>
    <w:rsid w:val="00ED5EED"/>
    <w:rsid w:val="00ED612A"/>
    <w:rsid w:val="00ED6B1C"/>
    <w:rsid w:val="00ED6CF7"/>
    <w:rsid w:val="00ED6F33"/>
    <w:rsid w:val="00ED7716"/>
    <w:rsid w:val="00ED7737"/>
    <w:rsid w:val="00ED7747"/>
    <w:rsid w:val="00ED78CD"/>
    <w:rsid w:val="00ED7CF4"/>
    <w:rsid w:val="00EE1B0E"/>
    <w:rsid w:val="00EE22FB"/>
    <w:rsid w:val="00EE2407"/>
    <w:rsid w:val="00EE26AE"/>
    <w:rsid w:val="00EE29C8"/>
    <w:rsid w:val="00EE2A54"/>
    <w:rsid w:val="00EE2FC2"/>
    <w:rsid w:val="00EE3B88"/>
    <w:rsid w:val="00EE3D01"/>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7A0"/>
    <w:rsid w:val="00EF49FB"/>
    <w:rsid w:val="00EF55D6"/>
    <w:rsid w:val="00EF644D"/>
    <w:rsid w:val="00EF6D29"/>
    <w:rsid w:val="00EF6FEC"/>
    <w:rsid w:val="00EF7138"/>
    <w:rsid w:val="00EF7E0B"/>
    <w:rsid w:val="00F00881"/>
    <w:rsid w:val="00F00917"/>
    <w:rsid w:val="00F010BB"/>
    <w:rsid w:val="00F012C1"/>
    <w:rsid w:val="00F0175F"/>
    <w:rsid w:val="00F01BBA"/>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553"/>
    <w:rsid w:val="00F106BB"/>
    <w:rsid w:val="00F11027"/>
    <w:rsid w:val="00F111BA"/>
    <w:rsid w:val="00F116DD"/>
    <w:rsid w:val="00F11D9F"/>
    <w:rsid w:val="00F11E31"/>
    <w:rsid w:val="00F12584"/>
    <w:rsid w:val="00F12FD9"/>
    <w:rsid w:val="00F13AA1"/>
    <w:rsid w:val="00F13E84"/>
    <w:rsid w:val="00F13F2A"/>
    <w:rsid w:val="00F15097"/>
    <w:rsid w:val="00F15671"/>
    <w:rsid w:val="00F16695"/>
    <w:rsid w:val="00F202E3"/>
    <w:rsid w:val="00F20C6E"/>
    <w:rsid w:val="00F20D6C"/>
    <w:rsid w:val="00F2255F"/>
    <w:rsid w:val="00F225CF"/>
    <w:rsid w:val="00F2285B"/>
    <w:rsid w:val="00F22882"/>
    <w:rsid w:val="00F22985"/>
    <w:rsid w:val="00F229AF"/>
    <w:rsid w:val="00F22AEF"/>
    <w:rsid w:val="00F22F7A"/>
    <w:rsid w:val="00F2343C"/>
    <w:rsid w:val="00F23CFC"/>
    <w:rsid w:val="00F23DB5"/>
    <w:rsid w:val="00F24076"/>
    <w:rsid w:val="00F240CB"/>
    <w:rsid w:val="00F2492F"/>
    <w:rsid w:val="00F2500D"/>
    <w:rsid w:val="00F2596D"/>
    <w:rsid w:val="00F25CAA"/>
    <w:rsid w:val="00F26AD6"/>
    <w:rsid w:val="00F2711C"/>
    <w:rsid w:val="00F277E8"/>
    <w:rsid w:val="00F27B04"/>
    <w:rsid w:val="00F27E3D"/>
    <w:rsid w:val="00F301D0"/>
    <w:rsid w:val="00F305D4"/>
    <w:rsid w:val="00F3069F"/>
    <w:rsid w:val="00F30C3F"/>
    <w:rsid w:val="00F30C60"/>
    <w:rsid w:val="00F30F38"/>
    <w:rsid w:val="00F311D1"/>
    <w:rsid w:val="00F3158A"/>
    <w:rsid w:val="00F318DB"/>
    <w:rsid w:val="00F3199C"/>
    <w:rsid w:val="00F31F7D"/>
    <w:rsid w:val="00F32AFF"/>
    <w:rsid w:val="00F33825"/>
    <w:rsid w:val="00F33A32"/>
    <w:rsid w:val="00F33A8B"/>
    <w:rsid w:val="00F33D3B"/>
    <w:rsid w:val="00F34585"/>
    <w:rsid w:val="00F34A96"/>
    <w:rsid w:val="00F34EBF"/>
    <w:rsid w:val="00F34F05"/>
    <w:rsid w:val="00F356D5"/>
    <w:rsid w:val="00F361AE"/>
    <w:rsid w:val="00F36240"/>
    <w:rsid w:val="00F363EB"/>
    <w:rsid w:val="00F365DE"/>
    <w:rsid w:val="00F367CF"/>
    <w:rsid w:val="00F36D37"/>
    <w:rsid w:val="00F3719A"/>
    <w:rsid w:val="00F374CB"/>
    <w:rsid w:val="00F379BF"/>
    <w:rsid w:val="00F37EA7"/>
    <w:rsid w:val="00F40805"/>
    <w:rsid w:val="00F40C5E"/>
    <w:rsid w:val="00F40E3E"/>
    <w:rsid w:val="00F41590"/>
    <w:rsid w:val="00F4163A"/>
    <w:rsid w:val="00F41873"/>
    <w:rsid w:val="00F419C3"/>
    <w:rsid w:val="00F41D91"/>
    <w:rsid w:val="00F41E2B"/>
    <w:rsid w:val="00F423BE"/>
    <w:rsid w:val="00F424A5"/>
    <w:rsid w:val="00F425EF"/>
    <w:rsid w:val="00F428AC"/>
    <w:rsid w:val="00F42EE3"/>
    <w:rsid w:val="00F43149"/>
    <w:rsid w:val="00F43660"/>
    <w:rsid w:val="00F43859"/>
    <w:rsid w:val="00F44212"/>
    <w:rsid w:val="00F44542"/>
    <w:rsid w:val="00F448DD"/>
    <w:rsid w:val="00F44D6A"/>
    <w:rsid w:val="00F44DB8"/>
    <w:rsid w:val="00F45760"/>
    <w:rsid w:val="00F45925"/>
    <w:rsid w:val="00F45D7D"/>
    <w:rsid w:val="00F46BA6"/>
    <w:rsid w:val="00F46C97"/>
    <w:rsid w:val="00F4703E"/>
    <w:rsid w:val="00F501B0"/>
    <w:rsid w:val="00F50781"/>
    <w:rsid w:val="00F50CA3"/>
    <w:rsid w:val="00F51767"/>
    <w:rsid w:val="00F517ED"/>
    <w:rsid w:val="00F51F3F"/>
    <w:rsid w:val="00F52857"/>
    <w:rsid w:val="00F528B5"/>
    <w:rsid w:val="00F528E7"/>
    <w:rsid w:val="00F52C8A"/>
    <w:rsid w:val="00F5352D"/>
    <w:rsid w:val="00F53615"/>
    <w:rsid w:val="00F53A91"/>
    <w:rsid w:val="00F54783"/>
    <w:rsid w:val="00F547E9"/>
    <w:rsid w:val="00F5494E"/>
    <w:rsid w:val="00F54ABE"/>
    <w:rsid w:val="00F55804"/>
    <w:rsid w:val="00F55F1A"/>
    <w:rsid w:val="00F56310"/>
    <w:rsid w:val="00F563B2"/>
    <w:rsid w:val="00F567A4"/>
    <w:rsid w:val="00F5684C"/>
    <w:rsid w:val="00F57210"/>
    <w:rsid w:val="00F574C8"/>
    <w:rsid w:val="00F577FC"/>
    <w:rsid w:val="00F57E7D"/>
    <w:rsid w:val="00F602F0"/>
    <w:rsid w:val="00F60BEE"/>
    <w:rsid w:val="00F60C90"/>
    <w:rsid w:val="00F619EE"/>
    <w:rsid w:val="00F61CF5"/>
    <w:rsid w:val="00F61FF9"/>
    <w:rsid w:val="00F62069"/>
    <w:rsid w:val="00F62159"/>
    <w:rsid w:val="00F62A7C"/>
    <w:rsid w:val="00F62B93"/>
    <w:rsid w:val="00F6324C"/>
    <w:rsid w:val="00F633E5"/>
    <w:rsid w:val="00F63C89"/>
    <w:rsid w:val="00F6440E"/>
    <w:rsid w:val="00F647EC"/>
    <w:rsid w:val="00F64FAB"/>
    <w:rsid w:val="00F657B8"/>
    <w:rsid w:val="00F65CEA"/>
    <w:rsid w:val="00F65F15"/>
    <w:rsid w:val="00F66443"/>
    <w:rsid w:val="00F66D7B"/>
    <w:rsid w:val="00F675EA"/>
    <w:rsid w:val="00F7074A"/>
    <w:rsid w:val="00F70AD6"/>
    <w:rsid w:val="00F71687"/>
    <w:rsid w:val="00F71708"/>
    <w:rsid w:val="00F717C1"/>
    <w:rsid w:val="00F7186F"/>
    <w:rsid w:val="00F71CDB"/>
    <w:rsid w:val="00F725D3"/>
    <w:rsid w:val="00F72800"/>
    <w:rsid w:val="00F7281E"/>
    <w:rsid w:val="00F72B75"/>
    <w:rsid w:val="00F72C1A"/>
    <w:rsid w:val="00F72C3D"/>
    <w:rsid w:val="00F73006"/>
    <w:rsid w:val="00F730CA"/>
    <w:rsid w:val="00F737AB"/>
    <w:rsid w:val="00F74216"/>
    <w:rsid w:val="00F74F0F"/>
    <w:rsid w:val="00F75731"/>
    <w:rsid w:val="00F75841"/>
    <w:rsid w:val="00F76333"/>
    <w:rsid w:val="00F77100"/>
    <w:rsid w:val="00F8090F"/>
    <w:rsid w:val="00F81380"/>
    <w:rsid w:val="00F8139A"/>
    <w:rsid w:val="00F819EB"/>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A66"/>
    <w:rsid w:val="00F92DE9"/>
    <w:rsid w:val="00F931CF"/>
    <w:rsid w:val="00F93A31"/>
    <w:rsid w:val="00F93D6E"/>
    <w:rsid w:val="00F9423D"/>
    <w:rsid w:val="00F94609"/>
    <w:rsid w:val="00F95182"/>
    <w:rsid w:val="00F957D2"/>
    <w:rsid w:val="00F95D94"/>
    <w:rsid w:val="00F96F86"/>
    <w:rsid w:val="00FA02B8"/>
    <w:rsid w:val="00FA0980"/>
    <w:rsid w:val="00FA0BFE"/>
    <w:rsid w:val="00FA1028"/>
    <w:rsid w:val="00FA157E"/>
    <w:rsid w:val="00FA181F"/>
    <w:rsid w:val="00FA1C1F"/>
    <w:rsid w:val="00FA1E82"/>
    <w:rsid w:val="00FA2137"/>
    <w:rsid w:val="00FA272D"/>
    <w:rsid w:val="00FA338D"/>
    <w:rsid w:val="00FA34A2"/>
    <w:rsid w:val="00FA3742"/>
    <w:rsid w:val="00FA3837"/>
    <w:rsid w:val="00FA39FC"/>
    <w:rsid w:val="00FA3B6D"/>
    <w:rsid w:val="00FA44B4"/>
    <w:rsid w:val="00FA4538"/>
    <w:rsid w:val="00FA4998"/>
    <w:rsid w:val="00FA4AF9"/>
    <w:rsid w:val="00FA4DC2"/>
    <w:rsid w:val="00FA67E3"/>
    <w:rsid w:val="00FA687F"/>
    <w:rsid w:val="00FA7157"/>
    <w:rsid w:val="00FA73A6"/>
    <w:rsid w:val="00FA7698"/>
    <w:rsid w:val="00FA78C2"/>
    <w:rsid w:val="00FA7A2D"/>
    <w:rsid w:val="00FA7B4F"/>
    <w:rsid w:val="00FA7DA6"/>
    <w:rsid w:val="00FB06E7"/>
    <w:rsid w:val="00FB0822"/>
    <w:rsid w:val="00FB1093"/>
    <w:rsid w:val="00FB13A0"/>
    <w:rsid w:val="00FB227E"/>
    <w:rsid w:val="00FB254E"/>
    <w:rsid w:val="00FB267D"/>
    <w:rsid w:val="00FB2A18"/>
    <w:rsid w:val="00FB2BF4"/>
    <w:rsid w:val="00FB2C8D"/>
    <w:rsid w:val="00FB2DC6"/>
    <w:rsid w:val="00FB2E0C"/>
    <w:rsid w:val="00FB30CA"/>
    <w:rsid w:val="00FB3C08"/>
    <w:rsid w:val="00FB5E81"/>
    <w:rsid w:val="00FB6E6C"/>
    <w:rsid w:val="00FB71B0"/>
    <w:rsid w:val="00FB7ABA"/>
    <w:rsid w:val="00FB7BF9"/>
    <w:rsid w:val="00FB7C21"/>
    <w:rsid w:val="00FB7C46"/>
    <w:rsid w:val="00FC00A0"/>
    <w:rsid w:val="00FC04E0"/>
    <w:rsid w:val="00FC0D98"/>
    <w:rsid w:val="00FC1042"/>
    <w:rsid w:val="00FC11C6"/>
    <w:rsid w:val="00FC1616"/>
    <w:rsid w:val="00FC166F"/>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1D4D"/>
    <w:rsid w:val="00FD2315"/>
    <w:rsid w:val="00FD29A7"/>
    <w:rsid w:val="00FD2B15"/>
    <w:rsid w:val="00FD3092"/>
    <w:rsid w:val="00FD334E"/>
    <w:rsid w:val="00FD412E"/>
    <w:rsid w:val="00FD420F"/>
    <w:rsid w:val="00FD4F2F"/>
    <w:rsid w:val="00FD51F7"/>
    <w:rsid w:val="00FD5258"/>
    <w:rsid w:val="00FD5602"/>
    <w:rsid w:val="00FD5661"/>
    <w:rsid w:val="00FD5A2A"/>
    <w:rsid w:val="00FD5AE2"/>
    <w:rsid w:val="00FD62B4"/>
    <w:rsid w:val="00FD69F5"/>
    <w:rsid w:val="00FD7142"/>
    <w:rsid w:val="00FD7186"/>
    <w:rsid w:val="00FD750F"/>
    <w:rsid w:val="00FE011C"/>
    <w:rsid w:val="00FE07DC"/>
    <w:rsid w:val="00FE1116"/>
    <w:rsid w:val="00FE2075"/>
    <w:rsid w:val="00FE2080"/>
    <w:rsid w:val="00FE27B9"/>
    <w:rsid w:val="00FE2E37"/>
    <w:rsid w:val="00FE3640"/>
    <w:rsid w:val="00FE36EE"/>
    <w:rsid w:val="00FE3780"/>
    <w:rsid w:val="00FE3954"/>
    <w:rsid w:val="00FE3CF7"/>
    <w:rsid w:val="00FE4071"/>
    <w:rsid w:val="00FE42E3"/>
    <w:rsid w:val="00FE4ECD"/>
    <w:rsid w:val="00FE52B7"/>
    <w:rsid w:val="00FE53C5"/>
    <w:rsid w:val="00FE56A8"/>
    <w:rsid w:val="00FE5807"/>
    <w:rsid w:val="00FE5C39"/>
    <w:rsid w:val="00FE5C57"/>
    <w:rsid w:val="00FE5ECF"/>
    <w:rsid w:val="00FE5F8B"/>
    <w:rsid w:val="00FE624E"/>
    <w:rsid w:val="00FE6291"/>
    <w:rsid w:val="00FE6415"/>
    <w:rsid w:val="00FE69E7"/>
    <w:rsid w:val="00FE6BB8"/>
    <w:rsid w:val="00FE6E76"/>
    <w:rsid w:val="00FE7E3E"/>
    <w:rsid w:val="00FF027B"/>
    <w:rsid w:val="00FF1174"/>
    <w:rsid w:val="00FF165A"/>
    <w:rsid w:val="00FF1B72"/>
    <w:rsid w:val="00FF1CF1"/>
    <w:rsid w:val="00FF1F4C"/>
    <w:rsid w:val="00FF35DC"/>
    <w:rsid w:val="00FF3A6A"/>
    <w:rsid w:val="00FF3C7A"/>
    <w:rsid w:val="00FF3E09"/>
    <w:rsid w:val="00FF411C"/>
    <w:rsid w:val="00FF44C6"/>
    <w:rsid w:val="00FF4572"/>
    <w:rsid w:val="00FF4B2E"/>
    <w:rsid w:val="00FF4E4B"/>
    <w:rsid w:val="00FF4E4E"/>
    <w:rsid w:val="00FF5049"/>
    <w:rsid w:val="00FF5D1F"/>
    <w:rsid w:val="00FF5F95"/>
    <w:rsid w:val="00FF6126"/>
    <w:rsid w:val="00FF61F5"/>
    <w:rsid w:val="00FF6264"/>
    <w:rsid w:val="00FF62AA"/>
    <w:rsid w:val="00FF64D7"/>
    <w:rsid w:val="00FF6B6C"/>
    <w:rsid w:val="00FF6DD4"/>
    <w:rsid w:val="01095EED"/>
    <w:rsid w:val="015679D0"/>
    <w:rsid w:val="01AA2C10"/>
    <w:rsid w:val="021763C7"/>
    <w:rsid w:val="024C0DD3"/>
    <w:rsid w:val="03190CB5"/>
    <w:rsid w:val="031C7E13"/>
    <w:rsid w:val="0361265C"/>
    <w:rsid w:val="037738D8"/>
    <w:rsid w:val="038921D4"/>
    <w:rsid w:val="03C350C4"/>
    <w:rsid w:val="03FA5A2E"/>
    <w:rsid w:val="040A2CF3"/>
    <w:rsid w:val="041E6C29"/>
    <w:rsid w:val="04781A0B"/>
    <w:rsid w:val="04F02B98"/>
    <w:rsid w:val="0512315E"/>
    <w:rsid w:val="05320789"/>
    <w:rsid w:val="05776ABA"/>
    <w:rsid w:val="066E598D"/>
    <w:rsid w:val="06EE52F4"/>
    <w:rsid w:val="070E123F"/>
    <w:rsid w:val="075F0692"/>
    <w:rsid w:val="07CA4C73"/>
    <w:rsid w:val="08442B90"/>
    <w:rsid w:val="08F53B23"/>
    <w:rsid w:val="093323A4"/>
    <w:rsid w:val="09394A69"/>
    <w:rsid w:val="098B3F8E"/>
    <w:rsid w:val="0994681B"/>
    <w:rsid w:val="09A45050"/>
    <w:rsid w:val="0A070656"/>
    <w:rsid w:val="0A3D1CF3"/>
    <w:rsid w:val="0A7028CB"/>
    <w:rsid w:val="0A913ED8"/>
    <w:rsid w:val="0A9F0AA2"/>
    <w:rsid w:val="0B24171E"/>
    <w:rsid w:val="0B696551"/>
    <w:rsid w:val="0C2772B7"/>
    <w:rsid w:val="0C466B45"/>
    <w:rsid w:val="0D30308D"/>
    <w:rsid w:val="0D584403"/>
    <w:rsid w:val="0D634BDC"/>
    <w:rsid w:val="0DD95C10"/>
    <w:rsid w:val="0DE63E89"/>
    <w:rsid w:val="0DEE0F90"/>
    <w:rsid w:val="0DEE7765"/>
    <w:rsid w:val="0E7201B5"/>
    <w:rsid w:val="0EAC0C2F"/>
    <w:rsid w:val="0F3118B2"/>
    <w:rsid w:val="0F333B21"/>
    <w:rsid w:val="0F4D1BD5"/>
    <w:rsid w:val="0F73799F"/>
    <w:rsid w:val="0F9E6D6F"/>
    <w:rsid w:val="101C0A97"/>
    <w:rsid w:val="10385BF1"/>
    <w:rsid w:val="105F7F23"/>
    <w:rsid w:val="108C4825"/>
    <w:rsid w:val="10A43CE3"/>
    <w:rsid w:val="10AF0EAA"/>
    <w:rsid w:val="10D52020"/>
    <w:rsid w:val="10F67974"/>
    <w:rsid w:val="119E4099"/>
    <w:rsid w:val="11F711F9"/>
    <w:rsid w:val="12445622"/>
    <w:rsid w:val="125C71A2"/>
    <w:rsid w:val="125E38F1"/>
    <w:rsid w:val="12685FCD"/>
    <w:rsid w:val="12974719"/>
    <w:rsid w:val="129B0E37"/>
    <w:rsid w:val="13884501"/>
    <w:rsid w:val="13B51478"/>
    <w:rsid w:val="13BF31B2"/>
    <w:rsid w:val="13D562BE"/>
    <w:rsid w:val="142B5285"/>
    <w:rsid w:val="144C07BE"/>
    <w:rsid w:val="146F2C7A"/>
    <w:rsid w:val="148F7029"/>
    <w:rsid w:val="1494463F"/>
    <w:rsid w:val="149E4992"/>
    <w:rsid w:val="150A3459"/>
    <w:rsid w:val="15E038B4"/>
    <w:rsid w:val="16C13E0E"/>
    <w:rsid w:val="16D50F3F"/>
    <w:rsid w:val="16D85436"/>
    <w:rsid w:val="170E5D26"/>
    <w:rsid w:val="172A32A6"/>
    <w:rsid w:val="17EC4792"/>
    <w:rsid w:val="18441ED8"/>
    <w:rsid w:val="18550589"/>
    <w:rsid w:val="18C31B16"/>
    <w:rsid w:val="198058CA"/>
    <w:rsid w:val="1A1A101B"/>
    <w:rsid w:val="1A367F46"/>
    <w:rsid w:val="1A3D7527"/>
    <w:rsid w:val="1A400DC5"/>
    <w:rsid w:val="1A442DE9"/>
    <w:rsid w:val="1A8C1721"/>
    <w:rsid w:val="1AE814A8"/>
    <w:rsid w:val="1B3215FB"/>
    <w:rsid w:val="1B75304D"/>
    <w:rsid w:val="1C071B9A"/>
    <w:rsid w:val="1C1E3ADD"/>
    <w:rsid w:val="1C760ACE"/>
    <w:rsid w:val="1C8806F1"/>
    <w:rsid w:val="1CC932F4"/>
    <w:rsid w:val="1CCC7526"/>
    <w:rsid w:val="1CD75683"/>
    <w:rsid w:val="1CDC4DD5"/>
    <w:rsid w:val="1D035540"/>
    <w:rsid w:val="1D321E13"/>
    <w:rsid w:val="1D3857C1"/>
    <w:rsid w:val="1D3E20E5"/>
    <w:rsid w:val="1D5E4DDE"/>
    <w:rsid w:val="1D6D1ED1"/>
    <w:rsid w:val="1D7325C2"/>
    <w:rsid w:val="1D9751A0"/>
    <w:rsid w:val="1DC15D79"/>
    <w:rsid w:val="1E90231B"/>
    <w:rsid w:val="1ECB64BB"/>
    <w:rsid w:val="1F4849CA"/>
    <w:rsid w:val="1F5350F7"/>
    <w:rsid w:val="1F7E6617"/>
    <w:rsid w:val="1F873477"/>
    <w:rsid w:val="1FBF3FCF"/>
    <w:rsid w:val="1FDA1374"/>
    <w:rsid w:val="201D3C40"/>
    <w:rsid w:val="20971013"/>
    <w:rsid w:val="209D4E99"/>
    <w:rsid w:val="21455F84"/>
    <w:rsid w:val="2202618F"/>
    <w:rsid w:val="223905D4"/>
    <w:rsid w:val="230140D4"/>
    <w:rsid w:val="2303624D"/>
    <w:rsid w:val="23324844"/>
    <w:rsid w:val="23C27318"/>
    <w:rsid w:val="24082954"/>
    <w:rsid w:val="240D3AC6"/>
    <w:rsid w:val="241C63DC"/>
    <w:rsid w:val="244871F4"/>
    <w:rsid w:val="24805EA3"/>
    <w:rsid w:val="24977600"/>
    <w:rsid w:val="249E5066"/>
    <w:rsid w:val="24B831E2"/>
    <w:rsid w:val="24C745BD"/>
    <w:rsid w:val="2536704D"/>
    <w:rsid w:val="255314EB"/>
    <w:rsid w:val="259255D7"/>
    <w:rsid w:val="261D2F91"/>
    <w:rsid w:val="26445799"/>
    <w:rsid w:val="26A50560"/>
    <w:rsid w:val="270F55EE"/>
    <w:rsid w:val="272F1A96"/>
    <w:rsid w:val="272F1FA5"/>
    <w:rsid w:val="27F52753"/>
    <w:rsid w:val="28265A10"/>
    <w:rsid w:val="2849353B"/>
    <w:rsid w:val="292E4C0A"/>
    <w:rsid w:val="295943F7"/>
    <w:rsid w:val="297B0CF7"/>
    <w:rsid w:val="299F78B6"/>
    <w:rsid w:val="29CE019B"/>
    <w:rsid w:val="2A195C85"/>
    <w:rsid w:val="2B243569"/>
    <w:rsid w:val="2B253DEB"/>
    <w:rsid w:val="2B822DA1"/>
    <w:rsid w:val="2C230E3E"/>
    <w:rsid w:val="2C5F7A30"/>
    <w:rsid w:val="2C9D5C03"/>
    <w:rsid w:val="2D1C5FE0"/>
    <w:rsid w:val="2D7D0C8B"/>
    <w:rsid w:val="2DA336ED"/>
    <w:rsid w:val="2DB80F46"/>
    <w:rsid w:val="2DF63230"/>
    <w:rsid w:val="2ED6100A"/>
    <w:rsid w:val="2EDD2DD9"/>
    <w:rsid w:val="2F723467"/>
    <w:rsid w:val="307C26FF"/>
    <w:rsid w:val="31375428"/>
    <w:rsid w:val="314F16CB"/>
    <w:rsid w:val="31600A43"/>
    <w:rsid w:val="31603DCF"/>
    <w:rsid w:val="317653A0"/>
    <w:rsid w:val="32191899"/>
    <w:rsid w:val="323F696D"/>
    <w:rsid w:val="32A0292F"/>
    <w:rsid w:val="32A02B99"/>
    <w:rsid w:val="32AF5C16"/>
    <w:rsid w:val="32DA195F"/>
    <w:rsid w:val="32FC70BF"/>
    <w:rsid w:val="331F7EA8"/>
    <w:rsid w:val="3321133C"/>
    <w:rsid w:val="33323549"/>
    <w:rsid w:val="33D414D0"/>
    <w:rsid w:val="33E505BB"/>
    <w:rsid w:val="33F94067"/>
    <w:rsid w:val="34A51AF9"/>
    <w:rsid w:val="34B34216"/>
    <w:rsid w:val="35156C7E"/>
    <w:rsid w:val="352D3C74"/>
    <w:rsid w:val="35352F93"/>
    <w:rsid w:val="35392FAE"/>
    <w:rsid w:val="35574C2D"/>
    <w:rsid w:val="355901A5"/>
    <w:rsid w:val="356741EA"/>
    <w:rsid w:val="35CD358A"/>
    <w:rsid w:val="36053C6C"/>
    <w:rsid w:val="36C73025"/>
    <w:rsid w:val="36F92FD7"/>
    <w:rsid w:val="376A1AE2"/>
    <w:rsid w:val="385B0E4C"/>
    <w:rsid w:val="385F359C"/>
    <w:rsid w:val="38C60642"/>
    <w:rsid w:val="38F512A1"/>
    <w:rsid w:val="39205BBB"/>
    <w:rsid w:val="39292CF8"/>
    <w:rsid w:val="39D0586A"/>
    <w:rsid w:val="3A730980"/>
    <w:rsid w:val="3A7E5753"/>
    <w:rsid w:val="3A946897"/>
    <w:rsid w:val="3ABC08BF"/>
    <w:rsid w:val="3AE74C19"/>
    <w:rsid w:val="3BA80B19"/>
    <w:rsid w:val="3C4240EC"/>
    <w:rsid w:val="3C7C5835"/>
    <w:rsid w:val="3CC316B2"/>
    <w:rsid w:val="3D2B1355"/>
    <w:rsid w:val="3D4E0F7F"/>
    <w:rsid w:val="3D585C9C"/>
    <w:rsid w:val="3D711B40"/>
    <w:rsid w:val="3DB107C8"/>
    <w:rsid w:val="3E36074A"/>
    <w:rsid w:val="3E800AA6"/>
    <w:rsid w:val="3EB75130"/>
    <w:rsid w:val="3EC6723B"/>
    <w:rsid w:val="3EF9069B"/>
    <w:rsid w:val="3F3A1FEB"/>
    <w:rsid w:val="3F7B6278"/>
    <w:rsid w:val="3FA532F5"/>
    <w:rsid w:val="40A67243"/>
    <w:rsid w:val="41636F97"/>
    <w:rsid w:val="41856F3A"/>
    <w:rsid w:val="41AA3791"/>
    <w:rsid w:val="41AF3FB7"/>
    <w:rsid w:val="42116A20"/>
    <w:rsid w:val="42253D73"/>
    <w:rsid w:val="423170C2"/>
    <w:rsid w:val="426E5C20"/>
    <w:rsid w:val="42891C47"/>
    <w:rsid w:val="42A21897"/>
    <w:rsid w:val="42A81579"/>
    <w:rsid w:val="42B32B7F"/>
    <w:rsid w:val="430829A2"/>
    <w:rsid w:val="4322598C"/>
    <w:rsid w:val="432B34EB"/>
    <w:rsid w:val="43DE2931"/>
    <w:rsid w:val="43E837B0"/>
    <w:rsid w:val="444C01E3"/>
    <w:rsid w:val="445C0F91"/>
    <w:rsid w:val="44807E8F"/>
    <w:rsid w:val="44D75141"/>
    <w:rsid w:val="44DA46CB"/>
    <w:rsid w:val="44E4602A"/>
    <w:rsid w:val="4541761C"/>
    <w:rsid w:val="45CF4FB9"/>
    <w:rsid w:val="45EC538A"/>
    <w:rsid w:val="460D7C2C"/>
    <w:rsid w:val="46336D43"/>
    <w:rsid w:val="463B22BD"/>
    <w:rsid w:val="46696CCB"/>
    <w:rsid w:val="46C02FFE"/>
    <w:rsid w:val="46D6435F"/>
    <w:rsid w:val="4763099B"/>
    <w:rsid w:val="47CF3097"/>
    <w:rsid w:val="47D66741"/>
    <w:rsid w:val="4839628A"/>
    <w:rsid w:val="49957F36"/>
    <w:rsid w:val="49CA14DE"/>
    <w:rsid w:val="49E669E4"/>
    <w:rsid w:val="4A201EF6"/>
    <w:rsid w:val="4A3715F3"/>
    <w:rsid w:val="4AF60567"/>
    <w:rsid w:val="4BF76C86"/>
    <w:rsid w:val="4C2304F9"/>
    <w:rsid w:val="4C76404F"/>
    <w:rsid w:val="4D1C1AB9"/>
    <w:rsid w:val="4D4F574C"/>
    <w:rsid w:val="4E395334"/>
    <w:rsid w:val="4E571C5E"/>
    <w:rsid w:val="4E9D30FA"/>
    <w:rsid w:val="4EAC5711"/>
    <w:rsid w:val="4EFA6891"/>
    <w:rsid w:val="4F845943"/>
    <w:rsid w:val="4FF754A7"/>
    <w:rsid w:val="504C6972"/>
    <w:rsid w:val="50503827"/>
    <w:rsid w:val="50FD6FCA"/>
    <w:rsid w:val="515F5909"/>
    <w:rsid w:val="51B2004B"/>
    <w:rsid w:val="5245699D"/>
    <w:rsid w:val="5342703B"/>
    <w:rsid w:val="53BA53BF"/>
    <w:rsid w:val="54556AEA"/>
    <w:rsid w:val="54B95421"/>
    <w:rsid w:val="54C0055D"/>
    <w:rsid w:val="54E22563"/>
    <w:rsid w:val="55442D10"/>
    <w:rsid w:val="55622629"/>
    <w:rsid w:val="55C650D5"/>
    <w:rsid w:val="55EE2EA8"/>
    <w:rsid w:val="56801A20"/>
    <w:rsid w:val="571903F8"/>
    <w:rsid w:val="5737262D"/>
    <w:rsid w:val="577C4984"/>
    <w:rsid w:val="5A103370"/>
    <w:rsid w:val="5A3A2DDD"/>
    <w:rsid w:val="5A5906EE"/>
    <w:rsid w:val="5A8308CE"/>
    <w:rsid w:val="5AAE2C06"/>
    <w:rsid w:val="5AE83059"/>
    <w:rsid w:val="5B9444F1"/>
    <w:rsid w:val="5B9E391C"/>
    <w:rsid w:val="5C454EA7"/>
    <w:rsid w:val="5C4B2107"/>
    <w:rsid w:val="5CB5624E"/>
    <w:rsid w:val="5CB6089A"/>
    <w:rsid w:val="5D1B642F"/>
    <w:rsid w:val="5DBC7D30"/>
    <w:rsid w:val="5DFE0DD9"/>
    <w:rsid w:val="5E3A7DE3"/>
    <w:rsid w:val="5E5E1DC1"/>
    <w:rsid w:val="5E9A2223"/>
    <w:rsid w:val="5EA93430"/>
    <w:rsid w:val="5F04373C"/>
    <w:rsid w:val="5FA016B7"/>
    <w:rsid w:val="5FF217E7"/>
    <w:rsid w:val="5FF4555F"/>
    <w:rsid w:val="5FFB2E85"/>
    <w:rsid w:val="601F0A0D"/>
    <w:rsid w:val="60416DE9"/>
    <w:rsid w:val="60BF0027"/>
    <w:rsid w:val="60C40BD2"/>
    <w:rsid w:val="613F280A"/>
    <w:rsid w:val="61D513DC"/>
    <w:rsid w:val="61DF5D9B"/>
    <w:rsid w:val="621570F7"/>
    <w:rsid w:val="62330011"/>
    <w:rsid w:val="62333E75"/>
    <w:rsid w:val="62AC0373"/>
    <w:rsid w:val="62AC7AF3"/>
    <w:rsid w:val="62B37D16"/>
    <w:rsid w:val="62B8336A"/>
    <w:rsid w:val="63163A3E"/>
    <w:rsid w:val="634102C3"/>
    <w:rsid w:val="638B442C"/>
    <w:rsid w:val="639B1F33"/>
    <w:rsid w:val="63A97BAE"/>
    <w:rsid w:val="63AC1FBF"/>
    <w:rsid w:val="64441196"/>
    <w:rsid w:val="648D5F82"/>
    <w:rsid w:val="65091B75"/>
    <w:rsid w:val="650D2C1F"/>
    <w:rsid w:val="65250A8A"/>
    <w:rsid w:val="6525440C"/>
    <w:rsid w:val="65D21A26"/>
    <w:rsid w:val="662D3578"/>
    <w:rsid w:val="66346653"/>
    <w:rsid w:val="6656422A"/>
    <w:rsid w:val="66ED4AB6"/>
    <w:rsid w:val="67096ADC"/>
    <w:rsid w:val="67D97C5F"/>
    <w:rsid w:val="67ED57BB"/>
    <w:rsid w:val="68722B16"/>
    <w:rsid w:val="68C17608"/>
    <w:rsid w:val="696A6892"/>
    <w:rsid w:val="6ABF4343"/>
    <w:rsid w:val="6B0D180F"/>
    <w:rsid w:val="6B241A17"/>
    <w:rsid w:val="6BBB7B23"/>
    <w:rsid w:val="6CAE6DC1"/>
    <w:rsid w:val="6CED1CB3"/>
    <w:rsid w:val="6D0D146F"/>
    <w:rsid w:val="6D1E1E6D"/>
    <w:rsid w:val="6D203E37"/>
    <w:rsid w:val="6D42458D"/>
    <w:rsid w:val="6DD30EA9"/>
    <w:rsid w:val="6DF41007"/>
    <w:rsid w:val="6E3556C0"/>
    <w:rsid w:val="6E5F071D"/>
    <w:rsid w:val="6E914282"/>
    <w:rsid w:val="6E9C0F6F"/>
    <w:rsid w:val="6EEB1B89"/>
    <w:rsid w:val="6EEC5881"/>
    <w:rsid w:val="6F15104E"/>
    <w:rsid w:val="6F296CF1"/>
    <w:rsid w:val="6F3F3F3D"/>
    <w:rsid w:val="6F6A1399"/>
    <w:rsid w:val="6FB67AB5"/>
    <w:rsid w:val="6FE0340A"/>
    <w:rsid w:val="6FE16435"/>
    <w:rsid w:val="6FE7486A"/>
    <w:rsid w:val="6FEA2628"/>
    <w:rsid w:val="702C2AF3"/>
    <w:rsid w:val="705B0CE2"/>
    <w:rsid w:val="709A0719"/>
    <w:rsid w:val="70B623BC"/>
    <w:rsid w:val="70ED66C7"/>
    <w:rsid w:val="71614A1E"/>
    <w:rsid w:val="717F6C52"/>
    <w:rsid w:val="719345FD"/>
    <w:rsid w:val="71A67D2D"/>
    <w:rsid w:val="71A74310"/>
    <w:rsid w:val="71AD7318"/>
    <w:rsid w:val="722A5D11"/>
    <w:rsid w:val="726D70E7"/>
    <w:rsid w:val="72DF172F"/>
    <w:rsid w:val="72FF004B"/>
    <w:rsid w:val="730C692D"/>
    <w:rsid w:val="736C07CC"/>
    <w:rsid w:val="73DD166E"/>
    <w:rsid w:val="74341F76"/>
    <w:rsid w:val="748738BC"/>
    <w:rsid w:val="749B2AEE"/>
    <w:rsid w:val="74B14416"/>
    <w:rsid w:val="750000AA"/>
    <w:rsid w:val="75742F72"/>
    <w:rsid w:val="75880318"/>
    <w:rsid w:val="758D31B2"/>
    <w:rsid w:val="75AA6994"/>
    <w:rsid w:val="75AF5D58"/>
    <w:rsid w:val="75CC679F"/>
    <w:rsid w:val="762D4ECF"/>
    <w:rsid w:val="769D02A6"/>
    <w:rsid w:val="7726227B"/>
    <w:rsid w:val="774A2461"/>
    <w:rsid w:val="777612CA"/>
    <w:rsid w:val="7783180A"/>
    <w:rsid w:val="77B5517C"/>
    <w:rsid w:val="780305DD"/>
    <w:rsid w:val="78265E2F"/>
    <w:rsid w:val="78B96C93"/>
    <w:rsid w:val="78EA354B"/>
    <w:rsid w:val="79426EE3"/>
    <w:rsid w:val="79876273"/>
    <w:rsid w:val="79B86070"/>
    <w:rsid w:val="79C9582B"/>
    <w:rsid w:val="79F84FFA"/>
    <w:rsid w:val="7A440A39"/>
    <w:rsid w:val="7B0546E5"/>
    <w:rsid w:val="7B4F58E7"/>
    <w:rsid w:val="7B67672B"/>
    <w:rsid w:val="7B7E2945"/>
    <w:rsid w:val="7B8B623D"/>
    <w:rsid w:val="7BC73B55"/>
    <w:rsid w:val="7C145CBC"/>
    <w:rsid w:val="7C425692"/>
    <w:rsid w:val="7C4411B5"/>
    <w:rsid w:val="7C725D31"/>
    <w:rsid w:val="7C9C4E59"/>
    <w:rsid w:val="7CAD4FBB"/>
    <w:rsid w:val="7CF44B80"/>
    <w:rsid w:val="7DAA5F4E"/>
    <w:rsid w:val="7DBD3A84"/>
    <w:rsid w:val="7DC1734A"/>
    <w:rsid w:val="7EED1791"/>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7"/>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59"/>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annotation text"/>
    <w:basedOn w:val="1"/>
    <w:link w:val="62"/>
    <w:unhideWhenUsed/>
    <w:qFormat/>
    <w:uiPriority w:val="0"/>
    <w:pPr>
      <w:jc w:val="left"/>
    </w:pPr>
  </w:style>
  <w:style w:type="paragraph" w:styleId="15">
    <w:name w:val="Body Text 3"/>
    <w:basedOn w:val="1"/>
    <w:link w:val="63"/>
    <w:qFormat/>
    <w:uiPriority w:val="0"/>
    <w:pPr>
      <w:spacing w:line="500" w:lineRule="exact"/>
    </w:pPr>
    <w:rPr>
      <w:b/>
      <w:bCs/>
      <w:kern w:val="0"/>
      <w:sz w:val="24"/>
    </w:rPr>
  </w:style>
  <w:style w:type="paragraph" w:styleId="16">
    <w:name w:val="Body Text"/>
    <w:basedOn w:val="1"/>
    <w:link w:val="64"/>
    <w:qFormat/>
    <w:uiPriority w:val="99"/>
    <w:pPr>
      <w:spacing w:line="380" w:lineRule="exact"/>
    </w:pPr>
    <w:rPr>
      <w:kern w:val="0"/>
      <w:sz w:val="24"/>
    </w:rPr>
  </w:style>
  <w:style w:type="paragraph" w:styleId="17">
    <w:name w:val="Body Text Indent"/>
    <w:basedOn w:val="1"/>
    <w:next w:val="18"/>
    <w:link w:val="65"/>
    <w:qFormat/>
    <w:uiPriority w:val="0"/>
    <w:pPr>
      <w:ind w:firstLine="830" w:firstLineChars="352"/>
    </w:pPr>
    <w:rPr>
      <w:rFonts w:ascii="仿宋_GB2312" w:eastAsia="仿宋_GB2312"/>
      <w:kern w:val="0"/>
      <w:sz w:val="32"/>
      <w:szCs w:val="20"/>
    </w:rPr>
  </w:style>
  <w:style w:type="paragraph" w:customStyle="1" w:styleId="18">
    <w:name w:val="标准正文 Char Char Char Char"/>
    <w:basedOn w:val="1"/>
    <w:next w:val="1"/>
    <w:qFormat/>
    <w:uiPriority w:val="0"/>
    <w:pPr>
      <w:spacing w:after="60"/>
      <w:ind w:firstLine="482"/>
    </w:pPr>
    <w:rPr>
      <w:kern w:val="0"/>
      <w:sz w:val="20"/>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link w:val="66"/>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7"/>
    <w:qFormat/>
    <w:uiPriority w:val="0"/>
    <w:pPr>
      <w:ind w:left="100" w:leftChars="2500"/>
    </w:pPr>
    <w:rPr>
      <w:rFonts w:ascii="宋体" w:hAnsi="Courier New"/>
      <w:kern w:val="0"/>
      <w:sz w:val="20"/>
      <w:szCs w:val="21"/>
    </w:rPr>
  </w:style>
  <w:style w:type="paragraph" w:styleId="26">
    <w:name w:val="Body Text Indent 2"/>
    <w:basedOn w:val="1"/>
    <w:link w:val="68"/>
    <w:qFormat/>
    <w:uiPriority w:val="0"/>
    <w:pPr>
      <w:ind w:firstLine="630"/>
    </w:pPr>
    <w:rPr>
      <w:kern w:val="0"/>
      <w:sz w:val="32"/>
      <w:szCs w:val="20"/>
    </w:rPr>
  </w:style>
  <w:style w:type="paragraph" w:styleId="27">
    <w:name w:val="endnote text"/>
    <w:basedOn w:val="1"/>
    <w:link w:val="69"/>
    <w:unhideWhenUsed/>
    <w:qFormat/>
    <w:uiPriority w:val="99"/>
    <w:pPr>
      <w:snapToGrid w:val="0"/>
      <w:jc w:val="left"/>
    </w:pPr>
  </w:style>
  <w:style w:type="paragraph" w:styleId="28">
    <w:name w:val="Balloon Text"/>
    <w:basedOn w:val="1"/>
    <w:link w:val="70"/>
    <w:semiHidden/>
    <w:qFormat/>
    <w:uiPriority w:val="0"/>
    <w:rPr>
      <w:kern w:val="0"/>
      <w:sz w:val="18"/>
      <w:szCs w:val="18"/>
    </w:rPr>
  </w:style>
  <w:style w:type="paragraph" w:styleId="29">
    <w:name w:val="footer"/>
    <w:basedOn w:val="1"/>
    <w:link w:val="71"/>
    <w:unhideWhenUsed/>
    <w:qFormat/>
    <w:uiPriority w:val="99"/>
    <w:pPr>
      <w:tabs>
        <w:tab w:val="center" w:pos="4153"/>
        <w:tab w:val="right" w:pos="8306"/>
      </w:tabs>
      <w:snapToGrid w:val="0"/>
      <w:jc w:val="left"/>
    </w:pPr>
    <w:rPr>
      <w:kern w:val="0"/>
      <w:sz w:val="18"/>
      <w:szCs w:val="18"/>
    </w:rPr>
  </w:style>
  <w:style w:type="paragraph" w:styleId="30">
    <w:name w:val="header"/>
    <w:basedOn w:val="1"/>
    <w:link w:val="72"/>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3"/>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4"/>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5"/>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6"/>
    <w:qFormat/>
    <w:uiPriority w:val="10"/>
    <w:pPr>
      <w:spacing w:before="240" w:after="60"/>
      <w:jc w:val="center"/>
      <w:outlineLvl w:val="0"/>
    </w:pPr>
    <w:rPr>
      <w:rFonts w:ascii="Cambria" w:hAnsi="Cambria"/>
      <w:b/>
      <w:bCs/>
      <w:sz w:val="32"/>
      <w:szCs w:val="32"/>
    </w:rPr>
  </w:style>
  <w:style w:type="paragraph" w:styleId="43">
    <w:name w:val="annotation subject"/>
    <w:basedOn w:val="14"/>
    <w:next w:val="14"/>
    <w:link w:val="77"/>
    <w:unhideWhenUsed/>
    <w:qFormat/>
    <w:uiPriority w:val="99"/>
    <w:rPr>
      <w:b/>
      <w:bCs/>
    </w:rPr>
  </w:style>
  <w:style w:type="paragraph" w:styleId="44">
    <w:name w:val="Body Text First Indent 2"/>
    <w:basedOn w:val="17"/>
    <w:qFormat/>
    <w:uiPriority w:val="0"/>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styleId="53">
    <w:name w:val="footnote reference"/>
    <w:unhideWhenUsed/>
    <w:qFormat/>
    <w:uiPriority w:val="99"/>
    <w:rPr>
      <w:vertAlign w:val="superscript"/>
    </w:rPr>
  </w:style>
  <w:style w:type="character" w:customStyle="1" w:styleId="54">
    <w:name w:val="标题 1 字符1"/>
    <w:link w:val="2"/>
    <w:qFormat/>
    <w:uiPriority w:val="0"/>
    <w:rPr>
      <w:rFonts w:ascii="Times New Roman" w:hAnsi="Times New Roman" w:eastAsia="宋体" w:cs="Times New Roman"/>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1"/>
    <w:link w:val="4"/>
    <w:qFormat/>
    <w:uiPriority w:val="0"/>
    <w:rPr>
      <w:rFonts w:ascii="Times New Roman" w:hAnsi="Times New Roman" w:eastAsia="宋体" w:cs="Times New Roman"/>
      <w:b/>
      <w:bCs/>
      <w:sz w:val="32"/>
      <w:szCs w:val="32"/>
    </w:rPr>
  </w:style>
  <w:style w:type="character" w:customStyle="1" w:styleId="57">
    <w:name w:val="标题 5 字符1"/>
    <w:link w:val="5"/>
    <w:qFormat/>
    <w:uiPriority w:val="0"/>
    <w:rPr>
      <w:b/>
      <w:kern w:val="2"/>
      <w:sz w:val="28"/>
      <w:szCs w:val="24"/>
    </w:rPr>
  </w:style>
  <w:style w:type="character" w:customStyle="1" w:styleId="58">
    <w:name w:val="标题 6 字符"/>
    <w:link w:val="7"/>
    <w:qFormat/>
    <w:uiPriority w:val="0"/>
    <w:rPr>
      <w:rFonts w:ascii="Arial" w:hAnsi="Arial" w:eastAsia="黑体"/>
      <w:b/>
      <w:kern w:val="2"/>
      <w:sz w:val="24"/>
      <w:szCs w:val="24"/>
    </w:rPr>
  </w:style>
  <w:style w:type="character" w:customStyle="1" w:styleId="59">
    <w:name w:val="标题 7 字符"/>
    <w:link w:val="8"/>
    <w:qFormat/>
    <w:uiPriority w:val="0"/>
    <w:rPr>
      <w:rFonts w:ascii="Times New Roman" w:hAnsi="Times New Roman"/>
      <w:b/>
      <w:kern w:val="2"/>
      <w:sz w:val="24"/>
      <w:szCs w:val="24"/>
    </w:rPr>
  </w:style>
  <w:style w:type="character" w:customStyle="1" w:styleId="60">
    <w:name w:val="标题 8 字符"/>
    <w:link w:val="9"/>
    <w:qFormat/>
    <w:uiPriority w:val="0"/>
    <w:rPr>
      <w:rFonts w:ascii="Arial" w:hAnsi="Arial" w:eastAsia="黑体"/>
      <w:kern w:val="2"/>
      <w:sz w:val="24"/>
      <w:szCs w:val="24"/>
    </w:rPr>
  </w:style>
  <w:style w:type="character" w:customStyle="1" w:styleId="61">
    <w:name w:val="标题 9 字符"/>
    <w:link w:val="10"/>
    <w:qFormat/>
    <w:uiPriority w:val="0"/>
    <w:rPr>
      <w:rFonts w:ascii="Arial" w:hAnsi="Arial" w:eastAsia="黑体"/>
      <w:kern w:val="2"/>
      <w:sz w:val="21"/>
      <w:szCs w:val="24"/>
    </w:rPr>
  </w:style>
  <w:style w:type="character" w:customStyle="1" w:styleId="62">
    <w:name w:val="批注文字 字符4"/>
    <w:link w:val="14"/>
    <w:qFormat/>
    <w:uiPriority w:val="0"/>
    <w:rPr>
      <w:rFonts w:ascii="Times New Roman" w:hAnsi="Times New Roman"/>
      <w:kern w:val="2"/>
      <w:sz w:val="21"/>
      <w:szCs w:val="24"/>
    </w:rPr>
  </w:style>
  <w:style w:type="character" w:customStyle="1" w:styleId="63">
    <w:name w:val="正文文本 3 字符"/>
    <w:link w:val="15"/>
    <w:qFormat/>
    <w:uiPriority w:val="0"/>
    <w:rPr>
      <w:rFonts w:ascii="Times New Roman" w:hAnsi="Times New Roman" w:eastAsia="宋体" w:cs="Times New Roman"/>
      <w:b/>
      <w:bCs/>
      <w:sz w:val="24"/>
      <w:szCs w:val="24"/>
    </w:rPr>
  </w:style>
  <w:style w:type="character" w:customStyle="1" w:styleId="64">
    <w:name w:val="正文文本 字符1"/>
    <w:link w:val="16"/>
    <w:qFormat/>
    <w:uiPriority w:val="99"/>
    <w:rPr>
      <w:rFonts w:ascii="Times New Roman" w:hAnsi="Times New Roman" w:eastAsia="宋体" w:cs="Times New Roman"/>
      <w:sz w:val="24"/>
      <w:szCs w:val="24"/>
    </w:rPr>
  </w:style>
  <w:style w:type="character" w:customStyle="1" w:styleId="65">
    <w:name w:val="正文文本缩进 字符2"/>
    <w:link w:val="17"/>
    <w:qFormat/>
    <w:uiPriority w:val="0"/>
    <w:rPr>
      <w:rFonts w:ascii="仿宋_GB2312" w:hAnsi="Times New Roman" w:eastAsia="仿宋_GB2312" w:cs="Times New Roman"/>
      <w:sz w:val="32"/>
      <w:szCs w:val="20"/>
    </w:rPr>
  </w:style>
  <w:style w:type="character" w:customStyle="1" w:styleId="66">
    <w:name w:val="纯文本 字符3"/>
    <w:link w:val="23"/>
    <w:qFormat/>
    <w:uiPriority w:val="0"/>
    <w:rPr>
      <w:rFonts w:ascii="宋体" w:hAnsi="Courier New" w:eastAsia="宋体" w:cs="Courier New"/>
      <w:szCs w:val="21"/>
    </w:rPr>
  </w:style>
  <w:style w:type="character" w:customStyle="1" w:styleId="67">
    <w:name w:val="日期 字符"/>
    <w:link w:val="25"/>
    <w:qFormat/>
    <w:uiPriority w:val="0"/>
    <w:rPr>
      <w:rFonts w:ascii="宋体" w:hAnsi="Courier New" w:eastAsia="宋体" w:cs="Courier New"/>
      <w:szCs w:val="21"/>
    </w:rPr>
  </w:style>
  <w:style w:type="character" w:customStyle="1" w:styleId="68">
    <w:name w:val="正文文本缩进 2 字符"/>
    <w:link w:val="26"/>
    <w:qFormat/>
    <w:uiPriority w:val="0"/>
    <w:rPr>
      <w:rFonts w:ascii="Times New Roman" w:hAnsi="Times New Roman" w:eastAsia="宋体" w:cs="Times New Roman"/>
      <w:sz w:val="32"/>
      <w:szCs w:val="20"/>
    </w:rPr>
  </w:style>
  <w:style w:type="character" w:customStyle="1" w:styleId="69">
    <w:name w:val="尾注文本 字符"/>
    <w:link w:val="27"/>
    <w:semiHidden/>
    <w:qFormat/>
    <w:uiPriority w:val="99"/>
    <w:rPr>
      <w:rFonts w:ascii="Times New Roman" w:hAnsi="Times New Roman"/>
      <w:kern w:val="2"/>
      <w:sz w:val="21"/>
      <w:szCs w:val="24"/>
    </w:rPr>
  </w:style>
  <w:style w:type="character" w:customStyle="1" w:styleId="70">
    <w:name w:val="批注框文本 字符"/>
    <w:link w:val="28"/>
    <w:semiHidden/>
    <w:qFormat/>
    <w:uiPriority w:val="0"/>
    <w:rPr>
      <w:rFonts w:ascii="Times New Roman" w:hAnsi="Times New Roman" w:eastAsia="宋体" w:cs="Times New Roman"/>
      <w:sz w:val="18"/>
      <w:szCs w:val="18"/>
    </w:rPr>
  </w:style>
  <w:style w:type="character" w:customStyle="1" w:styleId="71">
    <w:name w:val="页脚 字符1"/>
    <w:link w:val="29"/>
    <w:qFormat/>
    <w:uiPriority w:val="99"/>
    <w:rPr>
      <w:sz w:val="18"/>
      <w:szCs w:val="18"/>
    </w:rPr>
  </w:style>
  <w:style w:type="character" w:customStyle="1" w:styleId="72">
    <w:name w:val="页眉 字符"/>
    <w:link w:val="30"/>
    <w:qFormat/>
    <w:uiPriority w:val="99"/>
    <w:rPr>
      <w:rFonts w:ascii="Times New Roman" w:hAnsi="Times New Roman"/>
      <w:kern w:val="2"/>
      <w:sz w:val="18"/>
      <w:szCs w:val="18"/>
    </w:rPr>
  </w:style>
  <w:style w:type="character" w:customStyle="1" w:styleId="73">
    <w:name w:val="脚注文本 字符"/>
    <w:link w:val="34"/>
    <w:semiHidden/>
    <w:qFormat/>
    <w:uiPriority w:val="99"/>
    <w:rPr>
      <w:rFonts w:ascii="Times New Roman" w:hAnsi="Times New Roman"/>
      <w:kern w:val="2"/>
      <w:sz w:val="18"/>
      <w:szCs w:val="18"/>
    </w:rPr>
  </w:style>
  <w:style w:type="character" w:customStyle="1" w:styleId="74">
    <w:name w:val="正文文本缩进 3 字符"/>
    <w:link w:val="36"/>
    <w:qFormat/>
    <w:uiPriority w:val="0"/>
    <w:rPr>
      <w:rFonts w:ascii="Times New Roman" w:hAnsi="Times New Roman" w:eastAsia="宋体" w:cs="Times New Roman"/>
      <w:sz w:val="16"/>
      <w:szCs w:val="16"/>
    </w:rPr>
  </w:style>
  <w:style w:type="character" w:customStyle="1" w:styleId="75">
    <w:name w:val="正文文本 2 字符"/>
    <w:link w:val="39"/>
    <w:qFormat/>
    <w:uiPriority w:val="0"/>
    <w:rPr>
      <w:rFonts w:ascii="Times New Roman" w:hAnsi="Times New Roman" w:eastAsia="宋体" w:cs="Times New Roman"/>
      <w:szCs w:val="24"/>
    </w:rPr>
  </w:style>
  <w:style w:type="character" w:customStyle="1" w:styleId="76">
    <w:name w:val="标题 字符"/>
    <w:link w:val="42"/>
    <w:qFormat/>
    <w:uiPriority w:val="10"/>
    <w:rPr>
      <w:rFonts w:ascii="Cambria" w:hAnsi="Cambria" w:cs="Times New Roman"/>
      <w:b/>
      <w:bCs/>
      <w:kern w:val="2"/>
      <w:sz w:val="32"/>
      <w:szCs w:val="32"/>
    </w:rPr>
  </w:style>
  <w:style w:type="character" w:customStyle="1" w:styleId="77">
    <w:name w:val="批注主题 字符"/>
    <w:link w:val="43"/>
    <w:semiHidden/>
    <w:qFormat/>
    <w:uiPriority w:val="99"/>
    <w:rPr>
      <w:rFonts w:ascii="Times New Roman" w:hAnsi="Times New Roman"/>
      <w:b/>
      <w:bCs/>
      <w:kern w:val="2"/>
      <w:sz w:val="21"/>
      <w:szCs w:val="24"/>
    </w:rPr>
  </w:style>
  <w:style w:type="character" w:customStyle="1" w:styleId="78">
    <w:name w:val="标题 1 字符"/>
    <w:qFormat/>
    <w:uiPriority w:val="9"/>
    <w:rPr>
      <w:rFonts w:ascii="Times New Roman" w:hAnsi="Times New Roman" w:eastAsia="宋体" w:cs="Times New Roman"/>
      <w:b/>
      <w:bCs/>
      <w:kern w:val="44"/>
      <w:sz w:val="44"/>
      <w:szCs w:val="44"/>
    </w:rPr>
  </w:style>
  <w:style w:type="character" w:customStyle="1" w:styleId="79">
    <w:name w:val="纯文本 Char"/>
    <w:qFormat/>
    <w:uiPriority w:val="99"/>
    <w:rPr>
      <w:rFonts w:ascii="宋体" w:hAnsi="Courier New" w:eastAsia="宋体"/>
      <w:kern w:val="2"/>
      <w:sz w:val="21"/>
      <w:lang w:val="en-US" w:eastAsia="zh-CN" w:bidi="ar-SA"/>
    </w:rPr>
  </w:style>
  <w:style w:type="character" w:customStyle="1" w:styleId="80">
    <w:name w:val="纯文本 字符1"/>
    <w:qFormat/>
    <w:uiPriority w:val="0"/>
    <w:rPr>
      <w:rFonts w:ascii="宋体" w:hAnsi="Courier New"/>
    </w:rPr>
  </w:style>
  <w:style w:type="character" w:customStyle="1" w:styleId="81">
    <w:name w:val="批注文字 字符"/>
    <w:qFormat/>
    <w:uiPriority w:val="0"/>
    <w:rPr>
      <w:rFonts w:ascii="Times New Roman" w:hAnsi="Times New Roman"/>
      <w:kern w:val="2"/>
      <w:sz w:val="21"/>
      <w:szCs w:val="24"/>
    </w:rPr>
  </w:style>
  <w:style w:type="character" w:customStyle="1" w:styleId="82">
    <w:name w:val="textcontents"/>
    <w:qFormat/>
    <w:uiPriority w:val="0"/>
  </w:style>
  <w:style w:type="character" w:customStyle="1" w:styleId="83">
    <w:name w:val="case31"/>
    <w:qFormat/>
    <w:uiPriority w:val="0"/>
    <w:rPr>
      <w:rFonts w:hint="default" w:ascii="_x000B__x000C_" w:hAnsi="_x000B__x000C_"/>
      <w:sz w:val="21"/>
      <w:szCs w:val="21"/>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纯文本 字符"/>
    <w:qFormat/>
    <w:uiPriority w:val="0"/>
    <w:rPr>
      <w:rFonts w:ascii="宋体" w:hAnsi="Courier New" w:eastAsia="宋体" w:cs="Courier New"/>
      <w:szCs w:val="21"/>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普通文字 Char Char2"/>
    <w:qFormat/>
    <w:uiPriority w:val="0"/>
    <w:rPr>
      <w:rFonts w:ascii="宋体" w:hAnsi="Courier New" w:eastAsia="宋体"/>
      <w:kern w:val="2"/>
      <w:sz w:val="21"/>
      <w:lang w:val="en-US" w:eastAsia="zh-CN" w:bidi="ar-SA"/>
    </w:rPr>
  </w:style>
  <w:style w:type="character" w:customStyle="1" w:styleId="89">
    <w:name w:val="正文文本缩进 字符"/>
    <w:qFormat/>
    <w:uiPriority w:val="0"/>
    <w:rPr>
      <w:rFonts w:ascii="仿宋_GB2312" w:hAnsi="Times New Roman" w:eastAsia="仿宋_GB2312" w:cs="Times New Roman"/>
      <w:sz w:val="32"/>
      <w:szCs w:val="20"/>
    </w:rPr>
  </w:style>
  <w:style w:type="character" w:customStyle="1" w:styleId="90">
    <w:name w:val="headline-content4"/>
    <w:qFormat/>
    <w:uiPriority w:val="0"/>
  </w:style>
  <w:style w:type="paragraph" w:customStyle="1" w:styleId="91">
    <w:name w:val="表格"/>
    <w:basedOn w:val="1"/>
    <w:qFormat/>
    <w:uiPriority w:val="0"/>
    <w:pPr>
      <w:spacing w:line="400" w:lineRule="exact"/>
    </w:pPr>
    <w:rPr>
      <w:sz w:val="24"/>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正文首行缩进两字符"/>
    <w:basedOn w:val="1"/>
    <w:qFormat/>
    <w:uiPriority w:val="0"/>
    <w:pPr>
      <w:spacing w:line="360" w:lineRule="auto"/>
      <w:ind w:firstLine="200" w:firstLineChars="200"/>
    </w:p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纯文本1"/>
    <w:basedOn w:val="1"/>
    <w:qFormat/>
    <w:uiPriority w:val="0"/>
    <w:rPr>
      <w:rFonts w:ascii="宋体" w:hAnsi="Courier New" w:cs="Century"/>
      <w:szCs w:val="21"/>
    </w:rPr>
  </w:style>
  <w:style w:type="paragraph" w:styleId="101">
    <w:name w:val="List Paragraph"/>
    <w:basedOn w:val="1"/>
    <w:qFormat/>
    <w:uiPriority w:val="34"/>
    <w:pPr>
      <w:ind w:firstLine="420" w:firstLineChars="200"/>
    </w:p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Char1"/>
    <w:basedOn w:val="1"/>
    <w:qFormat/>
    <w:uiPriority w:val="0"/>
    <w:rPr>
      <w:szCs w:val="21"/>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批注文字 字符2"/>
    <w:qFormat/>
    <w:uiPriority w:val="99"/>
    <w:rPr>
      <w:kern w:val="2"/>
      <w:sz w:val="21"/>
      <w:szCs w:val="24"/>
    </w:rPr>
  </w:style>
  <w:style w:type="paragraph" w:customStyle="1" w:styleId="106">
    <w:name w:val="_Style 200"/>
    <w:basedOn w:val="1"/>
    <w:next w:val="101"/>
    <w:qFormat/>
    <w:uiPriority w:val="34"/>
    <w:pPr>
      <w:ind w:firstLine="420" w:firstLineChars="200"/>
    </w:pPr>
  </w:style>
  <w:style w:type="character" w:customStyle="1" w:styleId="107">
    <w:name w:val="标题 3 字符"/>
    <w:qFormat/>
    <w:uiPriority w:val="0"/>
    <w:rPr>
      <w:rFonts w:ascii="Times New Roman" w:hAnsi="Times New Roman" w:eastAsia="宋体" w:cs="Times New Roman"/>
      <w:b/>
      <w:bCs/>
      <w:sz w:val="32"/>
      <w:szCs w:val="32"/>
    </w:rPr>
  </w:style>
  <w:style w:type="character" w:customStyle="1" w:styleId="108">
    <w:name w:val="标题 5 字符"/>
    <w:qFormat/>
    <w:uiPriority w:val="0"/>
    <w:rPr>
      <w:b/>
      <w:kern w:val="2"/>
      <w:sz w:val="28"/>
      <w:szCs w:val="24"/>
    </w:rPr>
  </w:style>
  <w:style w:type="character" w:customStyle="1" w:styleId="109">
    <w:name w:val="正文文本 字符"/>
    <w:qFormat/>
    <w:uiPriority w:val="99"/>
    <w:rPr>
      <w:rFonts w:ascii="Times New Roman" w:hAnsi="Times New Roman" w:eastAsia="宋体" w:cs="Times New Roman"/>
      <w:sz w:val="24"/>
      <w:szCs w:val="24"/>
    </w:rPr>
  </w:style>
  <w:style w:type="character" w:customStyle="1" w:styleId="110">
    <w:name w:val="纯文本 字符2"/>
    <w:qFormat/>
    <w:uiPriority w:val="0"/>
    <w:rPr>
      <w:rFonts w:ascii="宋体" w:hAnsi="Courier New" w:eastAsia="宋体" w:cs="Courier New"/>
      <w:szCs w:val="21"/>
    </w:rPr>
  </w:style>
  <w:style w:type="character" w:customStyle="1" w:styleId="111">
    <w:name w:val="页脚 字符"/>
    <w:qFormat/>
    <w:uiPriority w:val="99"/>
    <w:rPr>
      <w:sz w:val="18"/>
      <w:szCs w:val="18"/>
    </w:rPr>
  </w:style>
  <w:style w:type="character" w:customStyle="1" w:styleId="112">
    <w:name w:val="正文文本缩进 字符1"/>
    <w:qFormat/>
    <w:uiPriority w:val="0"/>
    <w:rPr>
      <w:rFonts w:ascii="仿宋_GB2312" w:hAnsi="Times New Roman" w:eastAsia="仿宋_GB2312" w:cs="Times New Roman"/>
      <w:sz w:val="32"/>
      <w:szCs w:val="20"/>
    </w:rPr>
  </w:style>
  <w:style w:type="paragraph" w:customStyle="1" w:styleId="113">
    <w:name w:val="_Style 110"/>
    <w:unhideWhenUsed/>
    <w:qFormat/>
    <w:uiPriority w:val="99"/>
    <w:rPr>
      <w:rFonts w:ascii="Times New Roman" w:hAnsi="Times New Roman" w:eastAsia="宋体" w:cs="Times New Roman"/>
      <w:kern w:val="2"/>
      <w:sz w:val="21"/>
      <w:szCs w:val="24"/>
      <w:lang w:val="en-US" w:eastAsia="zh-CN" w:bidi="ar-SA"/>
    </w:rPr>
  </w:style>
  <w:style w:type="character" w:customStyle="1" w:styleId="114">
    <w:name w:val="ref"/>
    <w:qFormat/>
    <w:uiPriority w:val="0"/>
  </w:style>
  <w:style w:type="character" w:customStyle="1" w:styleId="115">
    <w:name w:val="批注文字 字符3"/>
    <w:qFormat/>
    <w:uiPriority w:val="99"/>
    <w:rPr>
      <w:rFonts w:ascii="Times New Roman" w:hAnsi="Times New Roman"/>
      <w:kern w:val="2"/>
      <w:sz w:val="21"/>
      <w:szCs w:val="24"/>
    </w:rPr>
  </w:style>
  <w:style w:type="paragraph" w:customStyle="1" w:styleId="116">
    <w:name w:val="表格文字"/>
    <w:basedOn w:val="1"/>
    <w:next w:val="16"/>
    <w:qFormat/>
    <w:uiPriority w:val="99"/>
    <w:pPr>
      <w:spacing w:before="25" w:after="25"/>
      <w:jc w:val="left"/>
    </w:pPr>
    <w:rPr>
      <w:bCs/>
      <w:spacing w:val="10"/>
      <w:kern w:val="0"/>
      <w:sz w:val="24"/>
    </w:rPr>
  </w:style>
  <w:style w:type="character" w:customStyle="1" w:styleId="117">
    <w:name w:val="纯文本 Char3"/>
    <w:qFormat/>
    <w:uiPriority w:val="0"/>
    <w:rPr>
      <w:rFonts w:ascii="宋体" w:hAnsi="Courier New" w:eastAsia="宋体" w:cs="Courier New"/>
      <w:szCs w:val="21"/>
    </w:rPr>
  </w:style>
  <w:style w:type="character" w:customStyle="1" w:styleId="118">
    <w:name w:val="标题 5 Char2"/>
    <w:qFormat/>
    <w:uiPriority w:val="0"/>
    <w:rPr>
      <w:b/>
      <w:kern w:val="2"/>
      <w:sz w:val="28"/>
      <w:szCs w:val="24"/>
    </w:rPr>
  </w:style>
  <w:style w:type="character" w:customStyle="1" w:styleId="119">
    <w:name w:val="cf01"/>
    <w:qFormat/>
    <w:uiPriority w:val="0"/>
    <w:rPr>
      <w:rFonts w:hint="eastAsia" w:ascii="Microsoft YaHei UI" w:hAnsi="Microsoft YaHei UI" w:eastAsia="Microsoft YaHei UI"/>
      <w:sz w:val="18"/>
      <w:szCs w:val="18"/>
    </w:rPr>
  </w:style>
  <w:style w:type="character" w:customStyle="1" w:styleId="120">
    <w:name w:val="批注文字 Char3"/>
    <w:qFormat/>
    <w:uiPriority w:val="0"/>
    <w:rPr>
      <w:rFonts w:ascii="Times New Roman" w:hAnsi="Times New Roman"/>
      <w:kern w:val="2"/>
      <w:sz w:val="21"/>
      <w:szCs w:val="24"/>
    </w:rPr>
  </w:style>
  <w:style w:type="character" w:customStyle="1" w:styleId="121">
    <w:name w:val="font101"/>
    <w:qFormat/>
    <w:uiPriority w:val="0"/>
    <w:rPr>
      <w:rFonts w:hint="default" w:ascii="Arial" w:hAnsi="Arial" w:cs="Arial"/>
      <w:color w:val="000000"/>
      <w:sz w:val="22"/>
      <w:szCs w:val="22"/>
      <w:u w:val="none"/>
    </w:rPr>
  </w:style>
  <w:style w:type="character" w:customStyle="1" w:styleId="122">
    <w:name w:val="font81"/>
    <w:qFormat/>
    <w:uiPriority w:val="0"/>
    <w:rPr>
      <w:rFonts w:hint="eastAsia" w:ascii="宋体" w:hAnsi="宋体" w:eastAsia="宋体" w:cs="宋体"/>
      <w:color w:val="000000"/>
      <w:sz w:val="22"/>
      <w:szCs w:val="22"/>
      <w:u w:val="none"/>
    </w:rPr>
  </w:style>
  <w:style w:type="character" w:customStyle="1" w:styleId="123">
    <w:name w:val="font71"/>
    <w:qFormat/>
    <w:uiPriority w:val="0"/>
    <w:rPr>
      <w:rFonts w:hint="default" w:ascii="Arial" w:hAnsi="Arial" w:cs="Arial"/>
      <w:color w:val="000000"/>
      <w:sz w:val="22"/>
      <w:szCs w:val="22"/>
      <w:u w:val="none"/>
    </w:rPr>
  </w:style>
  <w:style w:type="character" w:customStyle="1" w:styleId="124">
    <w:name w:val="font51"/>
    <w:qFormat/>
    <w:uiPriority w:val="0"/>
    <w:rPr>
      <w:rFonts w:hint="eastAsia" w:ascii="宋体" w:hAnsi="宋体" w:eastAsia="宋体" w:cs="宋体"/>
      <w:color w:val="000000"/>
      <w:sz w:val="22"/>
      <w:szCs w:val="22"/>
      <w:u w:val="none"/>
    </w:rPr>
  </w:style>
  <w:style w:type="paragraph" w:customStyle="1" w:styleId="12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26">
    <w:name w:val="Unresolved Mention"/>
    <w:basedOn w:val="47"/>
    <w:semiHidden/>
    <w:unhideWhenUsed/>
    <w:qFormat/>
    <w:uiPriority w:val="99"/>
    <w:rPr>
      <w:color w:val="605E5C"/>
      <w:shd w:val="clear" w:color="auto" w:fill="E1DFDD"/>
    </w:rPr>
  </w:style>
  <w:style w:type="paragraph" w:customStyle="1" w:styleId="127">
    <w:name w:val="Default"/>
    <w:basedOn w:val="42"/>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5651</Words>
  <Characters>6890</Characters>
  <Lines>1844</Lines>
  <Paragraphs>1757</Paragraphs>
  <TotalTime>6</TotalTime>
  <ScaleCrop>false</ScaleCrop>
  <LinksUpToDate>false</LinksUpToDate>
  <CharactersWithSpaces>7263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2024-07-04T01:28:00Z</dcterms:created>
  <dc:creator>番茄花园</dc:creator>
  <cp:lastModifiedBy>WPS_1618307932</cp:lastModifiedBy>
  <cp:lastPrinted>2025-07-01T06:52:00Z</cp:lastPrinted>
  <dcterms:modified xsi:type="dcterms:W3CDTF">2025-12-04T06:16:33Z</dcterms:modified>
  <dc:title>公开招标采购文件范本</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5A2D8D005F454FC3B175FCF428C619F7_13</vt:lpwstr>
  </property>
  <property fmtid="{D5CDD505-2E9C-101B-9397-08002B2CF9AE}" pid="4" name="KSOTemplateDocerSaveRecord">
    <vt:lpwstr>eyJoZGlkIjoiMTg2NjQ0Y2IyYTZhYWRjODY4N2QxODQ5ZDRlYjc3NDAiLCJ1c2VySWQiOiIxMTk3NjE2MzUwIn0=</vt:lpwstr>
  </property>
</Properties>
</file>