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EF91A">
      <w:pPr>
        <w:pStyle w:val="40"/>
        <w:shd w:val="clear" w:color="auto" w:fill="FFFFFF"/>
        <w:spacing w:before="0" w:beforeAutospacing="0" w:after="0" w:afterAutospacing="0"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color w:val="auto"/>
          <w:sz w:val="44"/>
          <w:szCs w:val="44"/>
          <w:highlight w:val="none"/>
        </w:rPr>
        <w:drawing>
          <wp:inline distT="0" distB="0" distL="114300" distR="114300">
            <wp:extent cx="488315" cy="488315"/>
            <wp:effectExtent l="0" t="0" r="6985" b="6985"/>
            <wp:docPr id="2" name="图片 1"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dc398a9-b84f-48b4-b641-18b8eedbf416"/>
                    <pic:cNvPicPr>
                      <a:picLocks noChangeAspect="1"/>
                    </pic:cNvPicPr>
                  </pic:nvPicPr>
                  <pic:blipFill>
                    <a:blip r:embed="rId18"/>
                    <a:stretch>
                      <a:fillRect/>
                    </a:stretch>
                  </pic:blipFill>
                  <pic:spPr>
                    <a:xfrm>
                      <a:off x="0" y="0"/>
                      <a:ext cx="488315" cy="488315"/>
                    </a:xfrm>
                    <a:prstGeom prst="rect">
                      <a:avLst/>
                    </a:prstGeom>
                    <a:noFill/>
                    <a:ln>
                      <a:noFill/>
                    </a:ln>
                  </pic:spPr>
                </pic:pic>
              </a:graphicData>
            </a:graphic>
          </wp:inline>
        </w:drawing>
      </w:r>
    </w:p>
    <w:p w14:paraId="46A44E31">
      <w:pPr>
        <w:jc w:val="center"/>
        <w:rPr>
          <w:rFonts w:hint="eastAsia" w:ascii="仿宋" w:hAnsi="仿宋" w:eastAsia="仿宋" w:cs="仿宋"/>
          <w:b/>
          <w:bCs/>
          <w:color w:val="auto"/>
          <w:sz w:val="52"/>
          <w:highlight w:val="none"/>
        </w:rPr>
      </w:pPr>
      <w:r>
        <w:rPr>
          <w:rFonts w:hint="eastAsia" w:ascii="仿宋" w:hAnsi="仿宋" w:eastAsia="仿宋" w:cs="仿宋"/>
          <w:b/>
          <w:bCs/>
          <w:color w:val="auto"/>
          <w:sz w:val="44"/>
          <w:szCs w:val="44"/>
          <w:highlight w:val="none"/>
        </w:rPr>
        <w:t>公诚管理咨询有限公司</w:t>
      </w:r>
    </w:p>
    <w:p w14:paraId="6A0E4711">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Gongcheng Management Consulting Co. , Ltd.</w:t>
      </w:r>
    </w:p>
    <w:p w14:paraId="68B52681">
      <w:pPr>
        <w:spacing w:after="120"/>
        <w:ind w:firstLine="404"/>
        <w:rPr>
          <w:rFonts w:hint="eastAsia" w:ascii="仿宋" w:hAnsi="仿宋" w:eastAsia="仿宋" w:cs="仿宋"/>
          <w:b/>
          <w:bCs/>
          <w:color w:val="auto"/>
          <w:sz w:val="10"/>
          <w:highlight w:val="none"/>
        </w:rPr>
      </w:pPr>
      <w:r>
        <w:rPr>
          <w:rFonts w:hint="eastAsia" w:ascii="仿宋" w:hAnsi="仿宋" w:eastAsia="仿宋" w:cs="仿宋"/>
          <w:color w:val="auto"/>
          <w:sz w:val="20"/>
          <w:highlight w:val="none"/>
          <w:u w:val="single"/>
        </w:rPr>
        <mc:AlternateContent>
          <mc:Choice Requires="wps">
            <w:drawing>
              <wp:anchor distT="0" distB="0" distL="114300" distR="114300" simplePos="0" relativeHeight="251662336" behindDoc="0" locked="0" layoutInCell="1" allowOverlap="1">
                <wp:simplePos x="0" y="0"/>
                <wp:positionH relativeFrom="column">
                  <wp:posOffset>-289560</wp:posOffset>
                </wp:positionH>
                <wp:positionV relativeFrom="paragraph">
                  <wp:posOffset>58420</wp:posOffset>
                </wp:positionV>
                <wp:extent cx="6282055" cy="0"/>
                <wp:effectExtent l="0" t="13970" r="4445" b="14605"/>
                <wp:wrapNone/>
                <wp:docPr id="1" name="直接连接符 1"/>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8pt;margin-top:4.6pt;height:0pt;width:494.65pt;z-index:251662336;mso-width-relative:page;mso-height-relative:page;" filled="f" stroked="t" coordsize="21600,21600" o:gfxdata="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FLFTWAAAABwEAAA8AAAAAAAAAAQAgAAAAIgAAAGRycy9kb3ducmV2LnhtbFBL&#10;AQIUABQAAAAIAIdO4kDPxtb6+AEAAPEDAAAOAAAAAAAAAAEAIAAAACUBAABkcnMvZTJvRG9jLnht&#10;bFBLBQYAAAAABgAGAFkBAACPBQAAAAA=&#10;">
                <v:fill on="f" focussize="0,0"/>
                <v:stroke weight="2.25pt" color="#000000" joinstyle="round"/>
                <v:imagedata o:title=""/>
                <o:lock v:ext="edit" aspectratio="f"/>
              </v:line>
            </w:pict>
          </mc:Fallback>
        </mc:AlternateContent>
      </w:r>
      <w:r>
        <w:rPr>
          <w:rFonts w:hint="eastAsia" w:ascii="仿宋" w:hAnsi="仿宋" w:eastAsia="仿宋" w:cs="仿宋"/>
          <w:b/>
          <w:bCs/>
          <w:color w:val="auto"/>
          <w:sz w:val="10"/>
          <w:highlight w:val="none"/>
        </w:rPr>
        <w:t xml:space="preserve">                                                                                                                                                                                       </w:t>
      </w:r>
    </w:p>
    <w:p w14:paraId="6E941C61">
      <w:pPr>
        <w:spacing w:before="120" w:beforeLines="50" w:line="360" w:lineRule="auto"/>
        <w:jc w:val="center"/>
        <w:rPr>
          <w:rFonts w:hint="eastAsia" w:ascii="仿宋" w:hAnsi="仿宋" w:eastAsia="仿宋" w:cs="仿宋"/>
          <w:color w:val="auto"/>
          <w:sz w:val="52"/>
          <w:szCs w:val="52"/>
          <w:highlight w:val="none"/>
        </w:rPr>
      </w:pPr>
    </w:p>
    <w:p w14:paraId="032215AB">
      <w:pPr>
        <w:spacing w:before="120" w:beforeLines="50" w:line="360" w:lineRule="auto"/>
        <w:jc w:val="center"/>
        <w:rPr>
          <w:rFonts w:hint="eastAsia" w:ascii="仿宋" w:hAnsi="仿宋" w:eastAsia="仿宋" w:cs="仿宋"/>
          <w:b/>
          <w:color w:val="auto"/>
          <w:sz w:val="48"/>
          <w:szCs w:val="48"/>
          <w:highlight w:val="none"/>
        </w:rPr>
      </w:pPr>
    </w:p>
    <w:p w14:paraId="6B040714">
      <w:pPr>
        <w:snapToGrid w:val="0"/>
        <w:spacing w:before="120" w:beforeLines="50" w:line="360" w:lineRule="auto"/>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招 标 文 件</w:t>
      </w:r>
    </w:p>
    <w:p w14:paraId="2F49C8D7">
      <w:pPr>
        <w:snapToGrid w:val="0"/>
        <w:spacing w:before="120" w:beforeLines="50" w:line="360" w:lineRule="auto"/>
        <w:jc w:val="center"/>
        <w:rPr>
          <w:rFonts w:hint="eastAsia" w:ascii="仿宋" w:hAnsi="仿宋" w:eastAsia="仿宋" w:cs="仿宋"/>
          <w:color w:val="auto"/>
          <w:sz w:val="72"/>
          <w:szCs w:val="72"/>
          <w:highlight w:val="none"/>
        </w:rPr>
      </w:pPr>
    </w:p>
    <w:p w14:paraId="621F3760">
      <w:pPr>
        <w:snapToGrid w:val="0"/>
        <w:spacing w:before="120" w:beforeLines="50" w:line="360" w:lineRule="auto"/>
        <w:rPr>
          <w:rFonts w:hint="eastAsia" w:ascii="仿宋" w:hAnsi="仿宋" w:eastAsia="仿宋" w:cs="仿宋"/>
          <w:color w:val="auto"/>
          <w:sz w:val="30"/>
          <w:szCs w:val="72"/>
          <w:highlight w:val="none"/>
        </w:rPr>
      </w:pPr>
    </w:p>
    <w:p w14:paraId="670C67C3">
      <w:pPr>
        <w:snapToGrid w:val="0"/>
        <w:spacing w:before="120" w:beforeLines="50" w:line="360" w:lineRule="auto"/>
        <w:ind w:firstLine="426" w:firstLineChars="149"/>
        <w:rPr>
          <w:rFonts w:hint="default" w:ascii="仿宋" w:hAnsi="仿宋" w:eastAsia="仿宋" w:cs="仿宋"/>
          <w:b/>
          <w:bCs/>
          <w:color w:val="auto"/>
          <w:w w:val="95"/>
          <w:sz w:val="30"/>
          <w:szCs w:val="30"/>
          <w:highlight w:val="none"/>
          <w:lang w:val="en-US" w:eastAsia="zh-CN"/>
        </w:rPr>
      </w:pPr>
      <w:r>
        <w:rPr>
          <w:rFonts w:hint="eastAsia" w:ascii="仿宋" w:hAnsi="仿宋" w:eastAsia="仿宋" w:cs="仿宋"/>
          <w:b/>
          <w:bCs/>
          <w:color w:val="auto"/>
          <w:w w:val="95"/>
          <w:sz w:val="30"/>
          <w:szCs w:val="30"/>
          <w:highlight w:val="none"/>
        </w:rPr>
        <w:t>项目名称：</w:t>
      </w:r>
      <w:r>
        <w:rPr>
          <w:rFonts w:hint="eastAsia" w:ascii="仿宋" w:hAnsi="仿宋" w:eastAsia="仿宋" w:cs="仿宋"/>
          <w:b/>
          <w:bCs/>
          <w:color w:val="auto"/>
          <w:w w:val="95"/>
          <w:sz w:val="30"/>
          <w:szCs w:val="30"/>
          <w:highlight w:val="none"/>
          <w:lang w:eastAsia="zh-CN"/>
        </w:rPr>
        <w:t>广西壮族自治区人民医院超声诊断仪、超声诊断仪（心脏）及超声诊断仪（妇产）设备采购（重）</w:t>
      </w:r>
      <w:r>
        <w:rPr>
          <w:rFonts w:hint="eastAsia" w:ascii="仿宋" w:hAnsi="仿宋" w:eastAsia="仿宋" w:cs="仿宋"/>
          <w:b/>
          <w:bCs/>
          <w:color w:val="auto"/>
          <w:w w:val="95"/>
          <w:sz w:val="30"/>
          <w:szCs w:val="30"/>
          <w:highlight w:val="none"/>
          <w:lang w:val="en-US" w:eastAsia="zh-CN"/>
        </w:rPr>
        <w:t xml:space="preserve"> </w:t>
      </w:r>
    </w:p>
    <w:p w14:paraId="0DF9037C">
      <w:pPr>
        <w:pStyle w:val="23"/>
        <w:snapToGrid w:val="0"/>
        <w:spacing w:before="50" w:after="120" w:line="360" w:lineRule="auto"/>
        <w:ind w:firstLine="426" w:firstLineChars="149"/>
        <w:rPr>
          <w:rFonts w:hint="default" w:ascii="仿宋" w:hAnsi="仿宋" w:eastAsia="仿宋" w:cs="仿宋"/>
          <w:b/>
          <w:bCs/>
          <w:color w:val="auto"/>
          <w:w w:val="95"/>
          <w:sz w:val="30"/>
          <w:szCs w:val="30"/>
          <w:highlight w:val="none"/>
          <w:lang w:val="en-US" w:eastAsia="zh-CN"/>
        </w:rPr>
      </w:pPr>
      <w:r>
        <w:rPr>
          <w:rFonts w:hint="eastAsia" w:ascii="仿宋" w:hAnsi="仿宋" w:eastAsia="仿宋" w:cs="仿宋"/>
          <w:b/>
          <w:bCs/>
          <w:color w:val="auto"/>
          <w:w w:val="95"/>
          <w:sz w:val="30"/>
          <w:szCs w:val="30"/>
          <w:highlight w:val="none"/>
        </w:rPr>
        <w:t>项目</w:t>
      </w:r>
      <w:r>
        <w:rPr>
          <w:rFonts w:hint="eastAsia" w:ascii="仿宋" w:hAnsi="仿宋" w:eastAsia="仿宋" w:cs="仿宋"/>
          <w:b/>
          <w:bCs/>
          <w:color w:val="auto"/>
          <w:sz w:val="30"/>
          <w:szCs w:val="30"/>
          <w:highlight w:val="none"/>
        </w:rPr>
        <w:t>编号</w:t>
      </w:r>
      <w:r>
        <w:rPr>
          <w:rFonts w:hint="eastAsia" w:ascii="仿宋" w:hAnsi="仿宋" w:eastAsia="仿宋" w:cs="仿宋"/>
          <w:b/>
          <w:bCs/>
          <w:color w:val="auto"/>
          <w:w w:val="95"/>
          <w:sz w:val="30"/>
          <w:szCs w:val="30"/>
          <w:highlight w:val="none"/>
        </w:rPr>
        <w:t>：</w:t>
      </w:r>
      <w:r>
        <w:rPr>
          <w:rFonts w:hint="eastAsia" w:ascii="仿宋" w:hAnsi="仿宋" w:eastAsia="仿宋" w:cs="仿宋"/>
          <w:b/>
          <w:bCs/>
          <w:color w:val="auto"/>
          <w:w w:val="95"/>
          <w:sz w:val="30"/>
          <w:szCs w:val="30"/>
          <w:highlight w:val="none"/>
          <w:lang w:eastAsia="zh-CN"/>
        </w:rPr>
        <w:t>GXZC2025-G1-003806-GCZX</w:t>
      </w:r>
      <w:r>
        <w:rPr>
          <w:rFonts w:hint="eastAsia" w:ascii="仿宋" w:hAnsi="仿宋" w:eastAsia="仿宋" w:cs="仿宋"/>
          <w:b/>
          <w:bCs/>
          <w:color w:val="auto"/>
          <w:w w:val="95"/>
          <w:sz w:val="30"/>
          <w:szCs w:val="30"/>
          <w:highlight w:val="none"/>
          <w:lang w:val="en-US" w:eastAsia="zh-CN"/>
        </w:rPr>
        <w:t xml:space="preserve"> </w:t>
      </w:r>
    </w:p>
    <w:p w14:paraId="21303434">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 购 人：广西壮族自治区人民医院</w:t>
      </w:r>
    </w:p>
    <w:p w14:paraId="14DC758C">
      <w:pPr>
        <w:pStyle w:val="23"/>
        <w:snapToGrid w:val="0"/>
        <w:spacing w:before="50" w:after="120" w:line="360" w:lineRule="auto"/>
        <w:ind w:firstLine="426" w:firstLineChars="149"/>
        <w:rPr>
          <w:rFonts w:hint="eastAsia"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 xml:space="preserve">采购代理机构：公诚管理咨询有限公司 </w:t>
      </w:r>
    </w:p>
    <w:p w14:paraId="73D79CBD">
      <w:pPr>
        <w:pStyle w:val="23"/>
        <w:snapToGrid w:val="0"/>
        <w:spacing w:before="50" w:after="120" w:line="360" w:lineRule="auto"/>
        <w:ind w:firstLine="841" w:firstLineChars="294"/>
        <w:jc w:val="center"/>
        <w:rPr>
          <w:rFonts w:hint="eastAsia" w:ascii="仿宋" w:hAnsi="仿宋" w:eastAsia="仿宋" w:cs="仿宋"/>
          <w:color w:val="auto"/>
          <w:szCs w:val="2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12</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9</w:t>
      </w:r>
      <w:r>
        <w:rPr>
          <w:rFonts w:hint="eastAsia" w:ascii="仿宋" w:hAnsi="仿宋" w:eastAsia="仿宋" w:cs="仿宋"/>
          <w:b/>
          <w:bCs/>
          <w:color w:val="auto"/>
          <w:w w:val="95"/>
          <w:sz w:val="30"/>
          <w:szCs w:val="30"/>
          <w:highlight w:val="none"/>
        </w:rPr>
        <w:t>日</w:t>
      </w:r>
    </w:p>
    <w:p w14:paraId="26F7830E">
      <w:pPr>
        <w:pStyle w:val="14"/>
        <w:ind w:firstLine="803"/>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br w:type="column"/>
      </w:r>
    </w:p>
    <w:p w14:paraId="1DEAB994">
      <w:pPr>
        <w:pStyle w:val="14"/>
        <w:ind w:firstLine="803"/>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050CC5B9">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TOC \o "1-2" \h \z \u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_Toc25604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第一章</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招标公告</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_Toc25604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95601E8">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_Toc11477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第二章 采购需求</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_Toc11477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5</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37B23F8">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_Toc13523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第三章  投标人须知</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_Toc13523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12</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65262437">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_Toc30183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第四章  评标方法及评标标准</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_Toc30183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43</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352CE0B">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_Toc1020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第五章  拟签订的合同文本</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_Toc1020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51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87A4648">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_Toc26676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第六章　投标文件格式</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_Toc26676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66</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5419EA13">
      <w:pPr>
        <w:pStyle w:val="37"/>
        <w:tabs>
          <w:tab w:val="right" w:leader="dot" w:pos="9412"/>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HYPERLINK \l _Toc8603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第七章</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其他文件</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_Toc8603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89</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4CB989A9">
      <w:pPr>
        <w:spacing w:line="360" w:lineRule="auto"/>
        <w:rPr>
          <w:rFonts w:hint="eastAsia" w:ascii="仿宋" w:hAnsi="仿宋" w:eastAsia="仿宋" w:cs="仿宋"/>
          <w:b/>
          <w:color w:val="auto"/>
          <w:sz w:val="24"/>
          <w:highlight w:val="none"/>
        </w:rPr>
        <w:sectPr>
          <w:headerReference r:id="rId5" w:type="first"/>
          <w:footerReference r:id="rId7" w:type="first"/>
          <w:headerReference r:id="rId3" w:type="default"/>
          <w:headerReference r:id="rId4" w:type="even"/>
          <w:footerReference r:id="rId6" w:type="even"/>
          <w:pgSz w:w="11906" w:h="16838"/>
          <w:pgMar w:top="1134" w:right="1247" w:bottom="1560" w:left="1247" w:header="851" w:footer="992" w:gutter="0"/>
          <w:cols w:space="720" w:num="1"/>
          <w:titlePg/>
          <w:docGrid w:linePitch="312" w:charSpace="0"/>
        </w:sectPr>
      </w:pPr>
      <w:r>
        <w:rPr>
          <w:rFonts w:hint="eastAsia" w:ascii="仿宋" w:hAnsi="仿宋" w:eastAsia="仿宋" w:cs="仿宋"/>
          <w:b/>
          <w:bCs/>
          <w:color w:val="auto"/>
          <w:sz w:val="24"/>
          <w:szCs w:val="24"/>
          <w:highlight w:val="none"/>
        </w:rPr>
        <w:fldChar w:fldCharType="end"/>
      </w:r>
      <w:bookmarkStart w:id="0" w:name="_Toc254970630"/>
      <w:bookmarkStart w:id="1" w:name="_Toc19686829"/>
      <w:bookmarkStart w:id="2" w:name="_Toc254970489"/>
    </w:p>
    <w:p w14:paraId="58C0E617">
      <w:pPr>
        <w:pStyle w:val="3"/>
        <w:keepNext w:val="0"/>
        <w:keepLines w:val="0"/>
        <w:tabs>
          <w:tab w:val="left" w:pos="345"/>
        </w:tabs>
        <w:spacing w:before="480" w:line="415" w:lineRule="auto"/>
        <w:jc w:val="center"/>
        <w:rPr>
          <w:rFonts w:hint="eastAsia" w:ascii="仿宋" w:hAnsi="仿宋" w:eastAsia="仿宋" w:cs="仿宋"/>
          <w:b w:val="0"/>
          <w:color w:val="auto"/>
          <w:sz w:val="44"/>
          <w:szCs w:val="44"/>
          <w:highlight w:val="none"/>
        </w:rPr>
      </w:pPr>
      <w:bookmarkStart w:id="3" w:name="_Toc25604"/>
      <w:bookmarkStart w:id="4" w:name="_Toc11048"/>
      <w:bookmarkStart w:id="180" w:name="_GoBack"/>
      <w:bookmarkEnd w:id="180"/>
      <w:r>
        <w:rPr>
          <w:rFonts w:hint="eastAsia" w:ascii="仿宋" w:hAnsi="仿宋" w:eastAsia="仿宋" w:cs="仿宋"/>
          <w:color w:val="auto"/>
          <w:highlight w:val="none"/>
        </w:rPr>
        <w:t>第一章</w:t>
      </w:r>
      <w:bookmarkEnd w:id="0"/>
      <w:bookmarkEnd w:id="1"/>
      <w:bookmarkEnd w:id="2"/>
      <w:bookmarkStart w:id="5" w:name="_Toc35393789"/>
      <w:bookmarkStart w:id="6" w:name="_Toc28359001"/>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bookmarkStart w:id="7" w:name="_Hlk118122539"/>
      <w:bookmarkStart w:id="8" w:name="_Hlk114670500"/>
      <w:r>
        <w:rPr>
          <w:rFonts w:hint="eastAsia" w:ascii="仿宋" w:hAnsi="仿宋" w:eastAsia="仿宋" w:cs="仿宋"/>
          <w:color w:val="auto"/>
          <w:highlight w:val="none"/>
        </w:rPr>
        <w:t>招标公告</w:t>
      </w:r>
      <w:bookmarkEnd w:id="3"/>
      <w:bookmarkEnd w:id="4"/>
      <w:bookmarkEnd w:id="5"/>
      <w:bookmarkEnd w:id="6"/>
    </w:p>
    <w:p w14:paraId="3A393542">
      <w:pPr>
        <w:pBdr>
          <w:top w:val="single" w:color="auto" w:sz="4" w:space="1"/>
          <w:left w:val="single" w:color="auto" w:sz="4" w:space="1"/>
          <w:bottom w:val="single" w:color="auto" w:sz="4" w:space="1"/>
          <w:right w:val="single" w:color="auto" w:sz="4" w:space="4"/>
        </w:pBd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7038F4B">
      <w:pPr>
        <w:pBdr>
          <w:top w:val="single" w:color="auto" w:sz="4" w:space="1"/>
          <w:left w:val="single" w:color="auto" w:sz="4" w:space="1"/>
          <w:bottom w:val="single" w:color="auto" w:sz="4" w:space="1"/>
          <w:right w:val="single" w:color="auto" w:sz="4" w:space="4"/>
        </w:pBdr>
        <w:spacing w:line="400" w:lineRule="exact"/>
        <w:ind w:firstLine="480" w:firstLineChars="200"/>
        <w:jc w:val="both"/>
        <w:rPr>
          <w:rFonts w:hint="eastAsia" w:ascii="仿宋" w:hAnsi="仿宋" w:eastAsia="仿宋" w:cs="仿宋"/>
          <w:color w:val="auto"/>
          <w:sz w:val="24"/>
          <w:highlight w:val="none"/>
        </w:rPr>
      </w:pPr>
      <w:bookmarkStart w:id="9" w:name="_Toc28359002"/>
      <w:bookmarkStart w:id="10" w:name="_Toc35393790"/>
      <w:bookmarkStart w:id="11" w:name="_Toc35393621"/>
      <w:bookmarkStart w:id="12" w:name="_Toc28359079"/>
      <w:bookmarkStart w:id="13" w:name="_Hlk24379207"/>
      <w:r>
        <w:rPr>
          <w:rFonts w:hint="eastAsia" w:ascii="仿宋" w:hAnsi="仿宋" w:eastAsia="仿宋" w:cs="仿宋"/>
          <w:color w:val="auto"/>
          <w:sz w:val="24"/>
          <w:highlight w:val="none"/>
          <w:lang w:eastAsia="zh-CN"/>
        </w:rPr>
        <w:t>广西壮族自治区人民医院超声诊断仪、超声诊断仪（心脏）及超声诊断仪（妇产）设备采购（重）</w:t>
      </w:r>
      <w:r>
        <w:rPr>
          <w:rFonts w:hint="eastAsia" w:ascii="仿宋" w:hAnsi="仿宋" w:eastAsia="仿宋" w:cs="仿宋"/>
          <w:color w:val="auto"/>
          <w:sz w:val="24"/>
          <w:highlight w:val="none"/>
        </w:rPr>
        <w:t>招标项目的潜在投标人应在广西政府采购云平台（https://www.gcy.zfcg.gxzf.gov.cn/）获取招标文件，并于</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31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rPr>
        <w:t>北京时间）前递交投标文件</w:t>
      </w:r>
      <w:r>
        <w:rPr>
          <w:rFonts w:hint="eastAsia" w:ascii="仿宋" w:hAnsi="仿宋" w:eastAsia="仿宋" w:cs="仿宋"/>
          <w:color w:val="auto"/>
          <w:sz w:val="24"/>
          <w:highlight w:val="none"/>
        </w:rPr>
        <w:t>。</w:t>
      </w:r>
    </w:p>
    <w:p w14:paraId="2206D692">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一、项目基本情</w:t>
      </w:r>
      <w:bookmarkEnd w:id="9"/>
      <w:bookmarkEnd w:id="10"/>
      <w:bookmarkEnd w:id="11"/>
      <w:bookmarkEnd w:id="12"/>
      <w:r>
        <w:rPr>
          <w:rFonts w:hint="eastAsia" w:ascii="仿宋" w:hAnsi="仿宋" w:eastAsia="仿宋" w:cs="仿宋"/>
          <w:b/>
          <w:bCs/>
          <w:color w:val="auto"/>
          <w:sz w:val="24"/>
          <w:highlight w:val="none"/>
        </w:rPr>
        <w:t>况</w:t>
      </w:r>
    </w:p>
    <w:bookmarkEnd w:id="13"/>
    <w:p w14:paraId="07A5C355">
      <w:pPr>
        <w:tabs>
          <w:tab w:val="left" w:pos="3633"/>
        </w:tabs>
        <w:spacing w:line="400" w:lineRule="exact"/>
        <w:ind w:firstLine="480" w:firstLineChars="200"/>
        <w:rPr>
          <w:rFonts w:hint="eastAsia" w:ascii="仿宋" w:hAnsi="仿宋" w:eastAsia="仿宋" w:cs="仿宋"/>
          <w:color w:val="auto"/>
          <w:sz w:val="24"/>
          <w:highlight w:val="none"/>
          <w:lang w:eastAsia="zh-CN"/>
        </w:rPr>
      </w:pPr>
      <w:bookmarkStart w:id="14" w:name="_Toc28359003"/>
      <w:bookmarkStart w:id="15" w:name="_Toc28359080"/>
      <w:bookmarkStart w:id="16" w:name="_Toc35393791"/>
      <w:bookmarkStart w:id="17" w:name="_Toc35393622"/>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GXZC2025-G1-003806-GCZX</w:t>
      </w:r>
    </w:p>
    <w:p w14:paraId="51AB6698">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bookmarkStart w:id="18" w:name="_Hlk171670178"/>
      <w:r>
        <w:rPr>
          <w:rFonts w:hint="eastAsia" w:ascii="仿宋" w:hAnsi="仿宋" w:eastAsia="仿宋" w:cs="仿宋"/>
          <w:color w:val="auto"/>
          <w:sz w:val="24"/>
          <w:highlight w:val="none"/>
          <w:lang w:eastAsia="zh-CN"/>
        </w:rPr>
        <w:t>广西壮族自治区人民医院超声诊断仪、超声诊断仪（心脏）及超声诊断仪（妇产）设备采购（重）</w:t>
      </w:r>
    </w:p>
    <w:bookmarkEnd w:id="18"/>
    <w:p w14:paraId="07CF5741">
      <w:pPr>
        <w:spacing w:line="4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预算金额：</w:t>
      </w:r>
      <w:r>
        <w:rPr>
          <w:rFonts w:hint="eastAsia" w:ascii="仿宋" w:hAnsi="仿宋" w:eastAsia="仿宋" w:cs="仿宋"/>
          <w:color w:val="auto"/>
          <w:sz w:val="24"/>
          <w:highlight w:val="none"/>
          <w:lang w:eastAsia="zh-CN"/>
        </w:rPr>
        <w:t>1250000.00</w:t>
      </w:r>
      <w:r>
        <w:rPr>
          <w:rFonts w:hint="eastAsia" w:ascii="仿宋" w:hAnsi="仿宋" w:eastAsia="仿宋" w:cs="仿宋"/>
          <w:color w:val="auto"/>
          <w:sz w:val="24"/>
          <w:highlight w:val="none"/>
        </w:rPr>
        <w:t>元。</w:t>
      </w:r>
    </w:p>
    <w:p w14:paraId="46B6BC2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eastAsia="zh-CN"/>
        </w:rPr>
        <w:t>1250000.00</w:t>
      </w:r>
      <w:r>
        <w:rPr>
          <w:rFonts w:hint="eastAsia" w:ascii="仿宋" w:hAnsi="仿宋" w:eastAsia="仿宋" w:cs="仿宋"/>
          <w:color w:val="auto"/>
          <w:sz w:val="24"/>
          <w:highlight w:val="none"/>
        </w:rPr>
        <w:t>元。</w:t>
      </w:r>
    </w:p>
    <w:p w14:paraId="5A40FC11">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p>
    <w:p w14:paraId="6266FBFF">
      <w:pPr>
        <w:spacing w:line="4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标项名称: </w:t>
      </w:r>
      <w:r>
        <w:rPr>
          <w:rFonts w:hint="eastAsia" w:ascii="仿宋" w:hAnsi="仿宋" w:eastAsia="仿宋" w:cs="仿宋"/>
          <w:color w:val="auto"/>
          <w:sz w:val="24"/>
          <w:highlight w:val="none"/>
          <w:lang w:eastAsia="zh-CN"/>
        </w:rPr>
        <w:t>超声诊断仪（</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eastAsia="zh-CN"/>
        </w:rPr>
        <w:t>）</w:t>
      </w:r>
    </w:p>
    <w:p w14:paraId="18CCEC9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数量: </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w:t>
      </w:r>
    </w:p>
    <w:p w14:paraId="6141FB7C">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1250000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14:paraId="61266EA9">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简要规格描述或项目基本概况介绍、用途：超声诊断仪</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套；具体详见招标文件第二章采购需求。</w:t>
      </w:r>
    </w:p>
    <w:p w14:paraId="5773A43E">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最高限价（如有）：</w:t>
      </w:r>
      <w:r>
        <w:rPr>
          <w:rFonts w:hint="eastAsia" w:ascii="仿宋" w:hAnsi="仿宋" w:eastAsia="仿宋" w:cs="仿宋"/>
          <w:color w:val="auto"/>
          <w:sz w:val="24"/>
          <w:highlight w:val="none"/>
          <w:lang w:val="en-US" w:eastAsia="zh-CN"/>
        </w:rPr>
        <w:t>1250000</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元</w:t>
      </w:r>
    </w:p>
    <w:p w14:paraId="21EFC922">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3405FC7D">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本标项（否）接受联合体投标</w:t>
      </w:r>
    </w:p>
    <w:p w14:paraId="67F64808">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81081DF">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w:t>
      </w:r>
      <w:bookmarkEnd w:id="14"/>
      <w:bookmarkEnd w:id="15"/>
      <w:bookmarkEnd w:id="16"/>
      <w:bookmarkEnd w:id="17"/>
      <w:r>
        <w:rPr>
          <w:rFonts w:hint="eastAsia" w:ascii="仿宋" w:hAnsi="仿宋" w:eastAsia="仿宋" w:cs="仿宋"/>
          <w:b/>
          <w:bCs/>
          <w:color w:val="auto"/>
          <w:sz w:val="24"/>
          <w:highlight w:val="none"/>
        </w:rPr>
        <w:t>申请人的资格要求</w:t>
      </w:r>
    </w:p>
    <w:p w14:paraId="156D7338">
      <w:pPr>
        <w:spacing w:line="400" w:lineRule="exact"/>
        <w:ind w:firstLine="648" w:firstLineChars="270"/>
        <w:rPr>
          <w:rFonts w:hint="eastAsia" w:ascii="仿宋" w:hAnsi="仿宋" w:eastAsia="仿宋" w:cs="仿宋"/>
          <w:color w:val="auto"/>
          <w:sz w:val="24"/>
          <w:highlight w:val="none"/>
        </w:rPr>
      </w:pPr>
      <w:bookmarkStart w:id="19" w:name="_Toc35393792"/>
      <w:bookmarkStart w:id="20" w:name="_Toc35393623"/>
      <w:bookmarkStart w:id="21" w:name="_Toc28359081"/>
      <w:bookmarkStart w:id="22" w:name="_Toc28359004"/>
      <w:r>
        <w:rPr>
          <w:rFonts w:hint="eastAsia" w:ascii="仿宋" w:hAnsi="仿宋" w:eastAsia="仿宋" w:cs="仿宋"/>
          <w:color w:val="auto"/>
          <w:sz w:val="24"/>
          <w:highlight w:val="none"/>
        </w:rPr>
        <w:t>1.满足《中华人民共和国政府采购法》第二十二条规定；</w:t>
      </w:r>
    </w:p>
    <w:p w14:paraId="2557D8E4">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2.落实政府采购政策需满足的资格要求：本项目为非专门面向中小企业采购的项目。</w:t>
      </w:r>
    </w:p>
    <w:p w14:paraId="60222D6C">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41151F7E">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（1）供应商按《医疗器械监督管理条例》（国务院令第739号）医疗器械分类管理要求具备有效的医疗器械经营备案凭证或者经营许可证（符合《医疗器械监督管理条例》（国务院令第739号）第四十一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p>
    <w:p w14:paraId="219E0876">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64E6A7">
      <w:pPr>
        <w:spacing w:line="400" w:lineRule="exact"/>
        <w:ind w:firstLine="648" w:firstLineChars="27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）在“信用中国”网站(www.creditchina.gov.cn) 被列入失信被执行人、重大税收违法失信主体；中国政府采购网(www.ccgp.gov.cn)被列入政府采购严重违法失信行为记录名单及其他不符合《中华人民共和国政府采购法》第二十二条规定条件的供应商，不得参与政府采购活动。</w:t>
      </w:r>
    </w:p>
    <w:p w14:paraId="5D777BB7">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bookmarkEnd w:id="19"/>
      <w:bookmarkEnd w:id="20"/>
      <w:bookmarkEnd w:id="21"/>
      <w:bookmarkEnd w:id="22"/>
    </w:p>
    <w:p w14:paraId="08901F94">
      <w:pPr>
        <w:spacing w:line="400" w:lineRule="exact"/>
        <w:ind w:firstLine="540"/>
        <w:rPr>
          <w:rFonts w:hint="eastAsia" w:ascii="仿宋" w:hAnsi="仿宋" w:eastAsia="仿宋" w:cs="仿宋"/>
          <w:bCs/>
          <w:color w:val="auto"/>
          <w:kern w:val="0"/>
          <w:sz w:val="24"/>
          <w:highlight w:val="none"/>
        </w:rPr>
      </w:pPr>
      <w:bookmarkStart w:id="23" w:name="_Toc28359005"/>
      <w:bookmarkStart w:id="24" w:name="_Toc28359082"/>
      <w:bookmarkStart w:id="25" w:name="_Toc35393624"/>
      <w:bookmarkStart w:id="26" w:name="_Toc35393793"/>
      <w:r>
        <w:rPr>
          <w:rFonts w:hint="eastAsia" w:ascii="仿宋" w:hAnsi="仿宋" w:eastAsia="仿宋" w:cs="仿宋"/>
          <w:bCs/>
          <w:color w:val="auto"/>
          <w:kern w:val="0"/>
          <w:sz w:val="24"/>
          <w:highlight w:val="none"/>
        </w:rPr>
        <w:t>时间：</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highlight w:val="none"/>
          <w:u w:val="single"/>
        </w:rPr>
        <w:t>日</w:t>
      </w:r>
      <w:r>
        <w:rPr>
          <w:rFonts w:hint="eastAsia" w:ascii="仿宋" w:hAnsi="仿宋" w:eastAsia="仿宋" w:cs="仿宋"/>
          <w:bCs/>
          <w:color w:val="auto"/>
          <w:kern w:val="0"/>
          <w:sz w:val="24"/>
          <w:highlight w:val="none"/>
        </w:rPr>
        <w:t>至</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val="en-US" w:eastAsia="zh-CN"/>
        </w:rPr>
        <w:t>12</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16</w:t>
      </w:r>
      <w:r>
        <w:rPr>
          <w:rFonts w:hint="eastAsia" w:ascii="仿宋" w:hAnsi="仿宋" w:eastAsia="仿宋" w:cs="仿宋"/>
          <w:color w:val="auto"/>
          <w:sz w:val="24"/>
          <w:highlight w:val="none"/>
          <w:u w:val="single"/>
        </w:rPr>
        <w:t>日</w:t>
      </w:r>
      <w:r>
        <w:rPr>
          <w:rFonts w:hint="eastAsia" w:ascii="仿宋" w:hAnsi="仿宋" w:eastAsia="仿宋" w:cs="仿宋"/>
          <w:bCs/>
          <w:color w:val="auto"/>
          <w:kern w:val="0"/>
          <w:sz w:val="24"/>
          <w:highlight w:val="none"/>
        </w:rPr>
        <w:t>，每天上午</w:t>
      </w:r>
      <w:r>
        <w:rPr>
          <w:rFonts w:hint="eastAsia" w:ascii="仿宋" w:hAnsi="仿宋" w:eastAsia="仿宋" w:cs="仿宋"/>
          <w:bCs/>
          <w:color w:val="auto"/>
          <w:kern w:val="0"/>
          <w:sz w:val="24"/>
          <w:highlight w:val="none"/>
          <w:u w:val="single"/>
        </w:rPr>
        <w:t>0：00至11：59</w:t>
      </w:r>
      <w:r>
        <w:rPr>
          <w:rFonts w:hint="eastAsia" w:ascii="仿宋" w:hAnsi="仿宋" w:eastAsia="仿宋" w:cs="仿宋"/>
          <w:bCs/>
          <w:color w:val="auto"/>
          <w:kern w:val="0"/>
          <w:sz w:val="24"/>
          <w:highlight w:val="none"/>
        </w:rPr>
        <w:t>，</w:t>
      </w:r>
      <w:r>
        <w:rPr>
          <w:rFonts w:hint="eastAsia" w:ascii="仿宋" w:hAnsi="仿宋" w:eastAsia="仿宋" w:cs="仿宋"/>
          <w:bCs/>
          <w:color w:val="auto"/>
          <w:kern w:val="0"/>
          <w:sz w:val="24"/>
          <w:highlight w:val="none"/>
          <w:u w:val="single"/>
        </w:rPr>
        <w:t>下午12：00至23:59</w:t>
      </w:r>
      <w:r>
        <w:rPr>
          <w:rFonts w:hint="eastAsia" w:ascii="仿宋" w:hAnsi="仿宋" w:eastAsia="仿宋" w:cs="仿宋"/>
          <w:bCs/>
          <w:color w:val="auto"/>
          <w:kern w:val="0"/>
          <w:sz w:val="24"/>
          <w:highlight w:val="none"/>
        </w:rPr>
        <w:t>（北京时间，法定节假日除外）</w:t>
      </w:r>
    </w:p>
    <w:p w14:paraId="11F2FB2D">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43D5BECC">
      <w:pPr>
        <w:spacing w:line="400" w:lineRule="exact"/>
        <w:ind w:firstLine="540"/>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765F1C03">
      <w:pPr>
        <w:spacing w:line="400" w:lineRule="exact"/>
        <w:ind w:firstLine="540"/>
        <w:rPr>
          <w:rFonts w:hint="eastAsia" w:ascii="仿宋" w:hAnsi="仿宋" w:eastAsia="仿宋" w:cs="仿宋"/>
          <w:color w:val="auto"/>
          <w:sz w:val="24"/>
          <w:highlight w:val="none"/>
        </w:rPr>
      </w:pPr>
      <w:r>
        <w:rPr>
          <w:rFonts w:hint="eastAsia" w:ascii="仿宋" w:hAnsi="仿宋" w:eastAsia="仿宋" w:cs="仿宋"/>
          <w:bCs/>
          <w:color w:val="auto"/>
          <w:kern w:val="0"/>
          <w:sz w:val="24"/>
          <w:highlight w:val="none"/>
        </w:rPr>
        <w:t>售价（元）：0</w:t>
      </w:r>
    </w:p>
    <w:p w14:paraId="2B280FC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四、提交投标文件</w:t>
      </w:r>
      <w:bookmarkEnd w:id="23"/>
      <w:bookmarkEnd w:id="24"/>
      <w:r>
        <w:rPr>
          <w:rFonts w:hint="eastAsia" w:ascii="仿宋" w:hAnsi="仿宋" w:eastAsia="仿宋" w:cs="仿宋"/>
          <w:b/>
          <w:bCs/>
          <w:color w:val="auto"/>
          <w:sz w:val="24"/>
          <w:highlight w:val="none"/>
        </w:rPr>
        <w:t>截止时间、开标时间和地点</w:t>
      </w:r>
      <w:bookmarkEnd w:id="25"/>
      <w:bookmarkEnd w:id="26"/>
    </w:p>
    <w:p w14:paraId="371279BA">
      <w:pPr>
        <w:spacing w:line="400" w:lineRule="exact"/>
        <w:ind w:firstLine="480" w:firstLineChars="200"/>
        <w:rPr>
          <w:rFonts w:hint="eastAsia" w:ascii="仿宋" w:hAnsi="仿宋" w:eastAsia="仿宋" w:cs="仿宋"/>
          <w:color w:val="auto"/>
          <w:sz w:val="24"/>
          <w:highlight w:val="none"/>
        </w:rPr>
      </w:pPr>
      <w:bookmarkStart w:id="27" w:name="_Toc28359007"/>
      <w:bookmarkStart w:id="28" w:name="_Toc35393794"/>
      <w:bookmarkStart w:id="29" w:name="_Toc28359084"/>
      <w:bookmarkStart w:id="30" w:name="_Toc35393625"/>
      <w:r>
        <w:rPr>
          <w:rFonts w:hint="eastAsia" w:ascii="仿宋" w:hAnsi="仿宋" w:eastAsia="仿宋" w:cs="仿宋"/>
          <w:bCs/>
          <w:color w:val="auto"/>
          <w:sz w:val="24"/>
          <w:highlight w:val="none"/>
        </w:rPr>
        <w:t>提交投标文件截止时间：</w:t>
      </w:r>
      <w:r>
        <w:rPr>
          <w:rFonts w:hint="eastAsia" w:ascii="仿宋" w:hAnsi="仿宋" w:eastAsia="仿宋" w:cs="仿宋"/>
          <w:color w:val="auto"/>
          <w:sz w:val="24"/>
          <w:highlight w:val="none"/>
          <w:u w:val="single"/>
        </w:rPr>
        <w:t>2025年12月</w:t>
      </w:r>
      <w:r>
        <w:rPr>
          <w:rFonts w:hint="eastAsia" w:ascii="仿宋" w:hAnsi="仿宋" w:eastAsia="仿宋" w:cs="仿宋"/>
          <w:color w:val="auto"/>
          <w:sz w:val="24"/>
          <w:highlight w:val="none"/>
          <w:u w:val="single"/>
          <w:lang w:val="en-US" w:eastAsia="zh-CN"/>
        </w:rPr>
        <w:t>31</w:t>
      </w:r>
      <w:r>
        <w:rPr>
          <w:rFonts w:hint="eastAsia" w:ascii="仿宋" w:hAnsi="仿宋" w:eastAsia="仿宋" w:cs="仿宋"/>
          <w:color w:val="auto"/>
          <w:sz w:val="24"/>
          <w:highlight w:val="none"/>
          <w:u w:val="single"/>
        </w:rPr>
        <w:t>日09时30分</w:t>
      </w:r>
      <w:r>
        <w:rPr>
          <w:rFonts w:hint="eastAsia" w:ascii="仿宋" w:hAnsi="仿宋" w:eastAsia="仿宋" w:cs="仿宋"/>
          <w:bCs/>
          <w:color w:val="auto"/>
          <w:sz w:val="24"/>
          <w:highlight w:val="none"/>
        </w:rPr>
        <w:t>（北京时间）</w:t>
      </w:r>
    </w:p>
    <w:p w14:paraId="791B824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网址）：本项目为全流程电子化政府采购项目，没有现场递交投标文件及现场开标环节，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7A966126">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u w:val="single"/>
        </w:rPr>
        <w:t>2025年12月</w:t>
      </w:r>
      <w:r>
        <w:rPr>
          <w:rFonts w:hint="eastAsia" w:ascii="仿宋" w:hAnsi="仿宋" w:eastAsia="仿宋" w:cs="仿宋"/>
          <w:color w:val="auto"/>
          <w:sz w:val="24"/>
          <w:highlight w:val="none"/>
          <w:u w:val="single"/>
          <w:lang w:val="en-US" w:eastAsia="zh-CN"/>
        </w:rPr>
        <w:t>31</w:t>
      </w:r>
      <w:r>
        <w:rPr>
          <w:rFonts w:hint="eastAsia" w:ascii="仿宋" w:hAnsi="仿宋" w:eastAsia="仿宋" w:cs="仿宋"/>
          <w:color w:val="auto"/>
          <w:sz w:val="24"/>
          <w:highlight w:val="none"/>
          <w:u w:val="single"/>
        </w:rPr>
        <w:t>日09时30分</w:t>
      </w:r>
      <w:r>
        <w:rPr>
          <w:rFonts w:hint="eastAsia" w:ascii="仿宋" w:hAnsi="仿宋" w:eastAsia="仿宋" w:cs="仿宋"/>
          <w:bCs/>
          <w:color w:val="auto"/>
          <w:sz w:val="24"/>
          <w:highlight w:val="none"/>
        </w:rPr>
        <w:t>（北京时间）</w:t>
      </w:r>
    </w:p>
    <w:p w14:paraId="3B7C102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开标地点：本项目将在广西政府采购云平台（https://www.gcy.zfcg.gxzf.gov.cn/）电子开标大厅解密、开标。</w:t>
      </w:r>
    </w:p>
    <w:p w14:paraId="4C99FEB8">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五、公告期限</w:t>
      </w:r>
      <w:bookmarkEnd w:id="27"/>
      <w:bookmarkEnd w:id="28"/>
      <w:bookmarkEnd w:id="29"/>
      <w:bookmarkEnd w:id="30"/>
    </w:p>
    <w:p w14:paraId="3305ED3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5E241E8D">
      <w:pPr>
        <w:spacing w:line="400" w:lineRule="exact"/>
        <w:rPr>
          <w:rFonts w:hint="eastAsia" w:ascii="仿宋" w:hAnsi="仿宋" w:eastAsia="仿宋" w:cs="仿宋"/>
          <w:b/>
          <w:bCs/>
          <w:color w:val="auto"/>
          <w:sz w:val="24"/>
          <w:highlight w:val="none"/>
        </w:rPr>
      </w:pPr>
      <w:bookmarkStart w:id="31" w:name="_Toc35393626"/>
      <w:bookmarkStart w:id="32" w:name="_Toc35393795"/>
      <w:r>
        <w:rPr>
          <w:rFonts w:hint="eastAsia" w:ascii="仿宋" w:hAnsi="仿宋" w:eastAsia="仿宋" w:cs="仿宋"/>
          <w:b/>
          <w:bCs/>
          <w:color w:val="auto"/>
          <w:sz w:val="24"/>
          <w:highlight w:val="none"/>
        </w:rPr>
        <w:t>六、其他补充事宜</w:t>
      </w:r>
      <w:bookmarkEnd w:id="31"/>
      <w:bookmarkEnd w:id="32"/>
    </w:p>
    <w:p w14:paraId="575B3F3A">
      <w:pPr>
        <w:spacing w:line="400" w:lineRule="exact"/>
        <w:ind w:firstLine="480" w:firstLineChars="200"/>
        <w:rPr>
          <w:rFonts w:hint="eastAsia" w:ascii="仿宋" w:hAnsi="仿宋" w:eastAsia="仿宋" w:cs="仿宋"/>
          <w:color w:val="auto"/>
          <w:sz w:val="24"/>
          <w:highlight w:val="none"/>
        </w:rPr>
      </w:pPr>
      <w:bookmarkStart w:id="33" w:name="_Toc28359008"/>
      <w:bookmarkStart w:id="34" w:name="_Toc35393627"/>
      <w:bookmarkStart w:id="35" w:name="_Toc28359085"/>
      <w:bookmarkStart w:id="36" w:name="_Toc35393796"/>
      <w:r>
        <w:rPr>
          <w:rFonts w:hint="eastAsia" w:ascii="仿宋" w:hAnsi="仿宋" w:eastAsia="仿宋" w:cs="仿宋"/>
          <w:color w:val="auto"/>
          <w:sz w:val="24"/>
          <w:highlight w:val="none"/>
        </w:rPr>
        <w:t>1.投标保证金</w:t>
      </w:r>
    </w:p>
    <w:p w14:paraId="20BFA384">
      <w:pPr>
        <w:spacing w:line="400" w:lineRule="exact"/>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投标保证金金额：人民币大写</w:t>
      </w:r>
      <w:r>
        <w:rPr>
          <w:rFonts w:hint="eastAsia" w:ascii="仿宋" w:hAnsi="仿宋" w:eastAsia="仿宋" w:cs="仿宋"/>
          <w:color w:val="auto"/>
          <w:kern w:val="0"/>
          <w:sz w:val="24"/>
          <w:highlight w:val="none"/>
          <w:lang w:val="en-US" w:eastAsia="zh-CN"/>
        </w:rPr>
        <w:t>壹万贰仟元整</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12000</w:t>
      </w:r>
      <w:r>
        <w:rPr>
          <w:rFonts w:hint="eastAsia" w:ascii="仿宋" w:hAnsi="仿宋" w:eastAsia="仿宋" w:cs="仿宋"/>
          <w:color w:val="auto"/>
          <w:kern w:val="0"/>
          <w:sz w:val="24"/>
          <w:highlight w:val="none"/>
        </w:rPr>
        <w:t>.00）</w:t>
      </w:r>
      <w:r>
        <w:rPr>
          <w:rFonts w:hint="eastAsia" w:ascii="仿宋" w:hAnsi="仿宋" w:eastAsia="仿宋" w:cs="仿宋"/>
          <w:color w:val="auto"/>
          <w:kern w:val="0"/>
          <w:sz w:val="24"/>
          <w:highlight w:val="none"/>
          <w:lang w:eastAsia="zh-CN"/>
        </w:rPr>
        <w:t>；</w:t>
      </w:r>
    </w:p>
    <w:p w14:paraId="386D12E6">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采用银行转账方式的，在投标文件递交截至时间前交至采购代理机构指定账户并且到账（开户银行：中信银行广州花园支行，开户名称：公诚管理咨询有限公司，银行账号：</w:t>
      </w:r>
      <w:r>
        <w:rPr>
          <w:rFonts w:hint="eastAsia" w:ascii="仿宋" w:hAnsi="仿宋" w:eastAsia="仿宋" w:cs="仿宋"/>
          <w:color w:val="auto"/>
          <w:kern w:val="0"/>
          <w:sz w:val="24"/>
          <w:highlight w:val="none"/>
          <w:lang w:eastAsia="zh-CN"/>
        </w:rPr>
        <w:t>3110910037672529176</w:t>
      </w:r>
      <w:r>
        <w:rPr>
          <w:rFonts w:hint="eastAsia" w:ascii="仿宋" w:hAnsi="仿宋" w:eastAsia="仿宋" w:cs="仿宋"/>
          <w:color w:val="auto"/>
          <w:kern w:val="0"/>
          <w:sz w:val="24"/>
          <w:highlight w:val="none"/>
        </w:rPr>
        <w:t>；采用支票、汇票、本票或者保函等方式的，投标人必须将支票、汇票、本票或者金融、担保机构出具的保函、保险机构保单的原件在投标文件递交截至时间前单独密封递交至广西壮族自治区公共资源交易中心开标室（具体详见当天大厅显示屏）提交给采购人或代理机构，否则视为无效投标保证金。</w:t>
      </w:r>
    </w:p>
    <w:p w14:paraId="592C12D6">
      <w:pPr>
        <w:spacing w:line="400" w:lineRule="exact"/>
        <w:ind w:firstLine="480" w:firstLineChars="200"/>
        <w:rPr>
          <w:rFonts w:hint="eastAsia" w:ascii="仿宋" w:hAnsi="仿宋" w:eastAsia="仿宋" w:cs="仿宋"/>
          <w:color w:val="auto"/>
          <w:sz w:val="24"/>
          <w:highlight w:val="none"/>
        </w:rPr>
      </w:pPr>
      <w:bookmarkStart w:id="37" w:name="_Hlk37429585"/>
      <w:r>
        <w:rPr>
          <w:rFonts w:hint="eastAsia" w:ascii="仿宋" w:hAnsi="仿宋" w:eastAsia="仿宋" w:cs="仿宋"/>
          <w:color w:val="auto"/>
          <w:sz w:val="24"/>
          <w:highlight w:val="none"/>
        </w:rPr>
        <w:t>2.</w:t>
      </w:r>
      <w:bookmarkStart w:id="38" w:name="_Hlk37429595"/>
      <w:r>
        <w:rPr>
          <w:rFonts w:hint="eastAsia" w:ascii="仿宋" w:hAnsi="仿宋" w:eastAsia="仿宋" w:cs="仿宋"/>
          <w:color w:val="auto"/>
          <w:sz w:val="24"/>
          <w:highlight w:val="none"/>
        </w:rPr>
        <w:t>网上查询地址：</w:t>
      </w:r>
      <w:r>
        <w:rPr>
          <w:rFonts w:hint="eastAsia" w:ascii="仿宋" w:hAnsi="仿宋" w:eastAsia="仿宋" w:cs="仿宋"/>
          <w:color w:val="auto"/>
          <w:kern w:val="0"/>
          <w:sz w:val="24"/>
          <w:highlight w:val="none"/>
        </w:rPr>
        <w:t>www.ccgp.gov.cn（中国政府采购网）、zfcg.gxzf.gov.cn（广西壮族自治区政府采购网）</w:t>
      </w:r>
      <w:bookmarkEnd w:id="37"/>
      <w:r>
        <w:rPr>
          <w:rFonts w:hint="eastAsia" w:ascii="仿宋" w:hAnsi="仿宋" w:eastAsia="仿宋" w:cs="仿宋"/>
          <w:color w:val="auto"/>
          <w:kern w:val="0"/>
          <w:sz w:val="24"/>
          <w:highlight w:val="none"/>
        </w:rPr>
        <w:t>、gxggzy.gxzf.gov.cn（广西壮族自治区公共资源交易中心）。</w:t>
      </w:r>
    </w:p>
    <w:bookmarkEnd w:id="38"/>
    <w:p w14:paraId="5733FC7D">
      <w:pPr>
        <w:spacing w:line="400" w:lineRule="exact"/>
        <w:ind w:firstLine="480" w:firstLineChars="200"/>
        <w:rPr>
          <w:rFonts w:hint="eastAsia" w:ascii="仿宋" w:hAnsi="仿宋" w:eastAsia="仿宋" w:cs="仿宋"/>
          <w:color w:val="auto"/>
          <w:sz w:val="24"/>
          <w:highlight w:val="none"/>
        </w:rPr>
      </w:pPr>
      <w:bookmarkStart w:id="39" w:name="_Hlk37429674"/>
      <w:r>
        <w:rPr>
          <w:rFonts w:hint="eastAsia" w:ascii="仿宋" w:hAnsi="仿宋" w:eastAsia="仿宋" w:cs="仿宋"/>
          <w:color w:val="auto"/>
          <w:sz w:val="24"/>
          <w:highlight w:val="none"/>
        </w:rPr>
        <w:t>3.本项目需要落实的政府采购政策</w:t>
      </w:r>
    </w:p>
    <w:p w14:paraId="20878348">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735C1E9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161168CC">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（3）强制采购节能产品；优先采购节能产品、环境标志产品。</w:t>
      </w:r>
    </w:p>
    <w:p w14:paraId="06B3DD32">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（4）政府采购促进残疾人就业政策。</w:t>
      </w:r>
    </w:p>
    <w:p w14:paraId="144EA18F">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（5）政府采购支持监狱企业发展。</w:t>
      </w:r>
      <w:bookmarkEnd w:id="39"/>
    </w:p>
    <w:p w14:paraId="581BAB0B">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4.注意事项：</w:t>
      </w:r>
    </w:p>
    <w:p w14:paraId="28E6EA6F">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未进行网上注册并办理数字证书（CA认证）的供应商将无法参与本项目政府采购活动，潜在供应商应当在投标截止时间前，完成政采云平台上的CA数字证书办理及投标文件的提交。完成CA数字证书办理预计7日左右，建议各供应商抓紧时间办理。</w:t>
      </w:r>
    </w:p>
    <w:p w14:paraId="17AE84AA">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（2）为确保网上操作合法、有效和安全，请供应商确保在电子投标过程中能够对相关数据电文进行加密和使用电子签章，妥善保管CA数字证书并使用有效的CA数字证书参与整个招标活动。</w:t>
      </w:r>
    </w:p>
    <w:p w14:paraId="289EFD17">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（3）CA证书在线解密：投标人投标时，需携带制作投标文件时用来加密的有效数字证书（CA认证）登录广西政府采购云平台电子开标大厅现场按规定时间对加密的投标文件进行解密。</w:t>
      </w:r>
    </w:p>
    <w:p w14:paraId="3358C4F1">
      <w:pPr>
        <w:spacing w:line="40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6104AD37">
      <w:pPr>
        <w:spacing w:line="4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5.监督部门</w:t>
      </w:r>
    </w:p>
    <w:p w14:paraId="630C249D">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称：广西壮族自治区财政厅政府采购监督管理处</w:t>
      </w:r>
    </w:p>
    <w:p w14:paraId="37730083">
      <w:pPr>
        <w:pStyle w:val="106"/>
        <w:spacing w:line="40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话：0771-5331544</w:t>
      </w:r>
    </w:p>
    <w:p w14:paraId="26ADB953">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七、对本次招标提出询问，请按以下方式联系。</w:t>
      </w:r>
      <w:bookmarkEnd w:id="33"/>
      <w:bookmarkEnd w:id="34"/>
      <w:bookmarkEnd w:id="35"/>
      <w:bookmarkEnd w:id="36"/>
    </w:p>
    <w:p w14:paraId="1D533DA3">
      <w:pPr>
        <w:tabs>
          <w:tab w:val="left" w:pos="426"/>
        </w:tabs>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299E5C44">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kern w:val="0"/>
          <w:sz w:val="24"/>
          <w:highlight w:val="none"/>
        </w:rPr>
        <w:t>广西壮族自治区人民医院</w:t>
      </w:r>
    </w:p>
    <w:p w14:paraId="78A017E0">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址：南宁市桃源路6号</w:t>
      </w:r>
    </w:p>
    <w:p w14:paraId="3C3669B6">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0" w:name="_Toc28359009"/>
      <w:bookmarkStart w:id="41" w:name="_Toc28359086"/>
      <w:r>
        <w:rPr>
          <w:rFonts w:hint="eastAsia" w:ascii="仿宋" w:hAnsi="仿宋" w:eastAsia="仿宋" w:cs="仿宋"/>
          <w:color w:val="auto"/>
          <w:sz w:val="24"/>
          <w:highlight w:val="none"/>
          <w:lang w:val="en-US" w:eastAsia="zh-CN"/>
        </w:rPr>
        <w:t>石芳铭</w:t>
      </w:r>
      <w:r>
        <w:rPr>
          <w:rFonts w:hint="eastAsia" w:ascii="仿宋" w:hAnsi="仿宋" w:eastAsia="仿宋" w:cs="仿宋"/>
          <w:color w:val="auto"/>
          <w:sz w:val="24"/>
          <w:highlight w:val="none"/>
        </w:rPr>
        <w:t xml:space="preserve">  0771-5722430</w:t>
      </w:r>
    </w:p>
    <w:p w14:paraId="5673DDF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40"/>
      <w:bookmarkEnd w:id="41"/>
    </w:p>
    <w:p w14:paraId="1A527115">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称：公诚管理咨询有限公司</w:t>
      </w:r>
    </w:p>
    <w:p w14:paraId="4186572E">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址：广西南宁市青秀区金湖北路52-1号东方曼哈顿25楼</w:t>
      </w:r>
    </w:p>
    <w:p w14:paraId="2FA67E72">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42" w:name="_Toc28359010"/>
      <w:bookmarkStart w:id="43" w:name="_Toc28359087"/>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 xml:space="preserve">、劳德、王鹏程、盛菲、李涛 </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p>
    <w:p w14:paraId="7B776869">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42"/>
      <w:bookmarkEnd w:id="43"/>
    </w:p>
    <w:p w14:paraId="3F26A6AC">
      <w:pPr>
        <w:tabs>
          <w:tab w:val="left" w:pos="426"/>
        </w:tabs>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、劳德、王鹏程、盛菲、李涛</w:t>
      </w:r>
    </w:p>
    <w:p w14:paraId="761123A4">
      <w:pPr>
        <w:tabs>
          <w:tab w:val="left" w:pos="426"/>
        </w:tabs>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w:t>
      </w:r>
      <w:bookmarkEnd w:id="7"/>
    </w:p>
    <w:bookmarkEnd w:id="8"/>
    <w:p w14:paraId="1C47BB1D">
      <w:pPr>
        <w:rPr>
          <w:rFonts w:hint="eastAsia" w:ascii="仿宋" w:hAnsi="仿宋" w:eastAsia="仿宋" w:cs="仿宋"/>
          <w:color w:val="auto"/>
          <w:highlight w:val="none"/>
        </w:rPr>
      </w:pPr>
      <w:bookmarkStart w:id="44" w:name="_Toc254970526"/>
      <w:bookmarkStart w:id="45" w:name="_Toc254970667"/>
      <w:r>
        <w:rPr>
          <w:rFonts w:hint="eastAsia" w:ascii="仿宋" w:hAnsi="仿宋" w:eastAsia="仿宋" w:cs="仿宋"/>
          <w:color w:val="auto"/>
          <w:highlight w:val="none"/>
        </w:rPr>
        <w:br w:type="page"/>
      </w:r>
    </w:p>
    <w:bookmarkEnd w:id="44"/>
    <w:bookmarkEnd w:id="45"/>
    <w:p w14:paraId="4A7FA4DF">
      <w:pPr>
        <w:pStyle w:val="3"/>
        <w:keepNext w:val="0"/>
        <w:keepLines w:val="0"/>
        <w:tabs>
          <w:tab w:val="left" w:pos="345"/>
        </w:tabs>
        <w:spacing w:before="480" w:line="415" w:lineRule="auto"/>
        <w:jc w:val="center"/>
        <w:rPr>
          <w:rFonts w:hint="eastAsia" w:ascii="仿宋" w:hAnsi="仿宋" w:eastAsia="仿宋" w:cs="仿宋"/>
          <w:color w:val="auto"/>
          <w:highlight w:val="none"/>
          <w:lang w:eastAsia="zh-CN"/>
        </w:rPr>
      </w:pPr>
      <w:bookmarkStart w:id="46" w:name="_Toc19686830"/>
      <w:bookmarkStart w:id="47" w:name="_Toc11477"/>
      <w:bookmarkStart w:id="48" w:name="_Toc32145"/>
      <w:r>
        <w:rPr>
          <w:rFonts w:hint="eastAsia" w:ascii="仿宋" w:hAnsi="仿宋" w:eastAsia="仿宋" w:cs="仿宋"/>
          <w:color w:val="auto"/>
          <w:highlight w:val="none"/>
        </w:rPr>
        <w:t>第二章 采购需求</w:t>
      </w:r>
      <w:bookmarkEnd w:id="46"/>
      <w:bookmarkEnd w:id="47"/>
      <w:bookmarkEnd w:id="48"/>
      <w:r>
        <w:rPr>
          <w:rFonts w:hint="eastAsia" w:ascii="仿宋" w:hAnsi="仿宋" w:eastAsia="仿宋" w:cs="仿宋"/>
          <w:color w:val="auto"/>
          <w:highlight w:val="none"/>
          <w:lang w:eastAsia="zh-CN"/>
        </w:rPr>
        <w:tab/>
      </w:r>
    </w:p>
    <w:p w14:paraId="78A0CA34">
      <w:pPr>
        <w:spacing w:line="360" w:lineRule="auto"/>
        <w:jc w:val="left"/>
        <w:rPr>
          <w:rFonts w:hint="eastAsia" w:ascii="仿宋" w:hAnsi="仿宋" w:eastAsia="仿宋" w:cs="仿宋"/>
          <w:color w:val="auto"/>
          <w:sz w:val="24"/>
          <w:highlight w:val="none"/>
        </w:rPr>
      </w:pPr>
      <w:bookmarkStart w:id="49" w:name="_Toc254970631"/>
      <w:bookmarkStart w:id="50" w:name="_Toc254970490"/>
      <w:r>
        <w:rPr>
          <w:rFonts w:hint="eastAsia" w:ascii="仿宋" w:hAnsi="仿宋" w:eastAsia="仿宋" w:cs="仿宋"/>
          <w:color w:val="auto"/>
          <w:sz w:val="24"/>
          <w:highlight w:val="none"/>
        </w:rPr>
        <w:t>说明：</w:t>
      </w:r>
    </w:p>
    <w:p w14:paraId="6AAF021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446123B5">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“实质性要求”</w:t>
      </w:r>
      <w:r>
        <w:rPr>
          <w:rFonts w:hint="eastAsia" w:ascii="仿宋" w:hAnsi="仿宋" w:eastAsia="仿宋" w:cs="仿宋"/>
          <w:color w:val="auto"/>
          <w:sz w:val="24"/>
          <w:highlight w:val="none"/>
        </w:rPr>
        <w:t>是指招标文件中已经指明不满足则投标无效的条款，或者不能负偏离的条款，或者采购需求中带“▲”的条款。</w:t>
      </w:r>
    </w:p>
    <w:p w14:paraId="43DE3B5D">
      <w:pPr>
        <w:spacing w:line="360" w:lineRule="auto"/>
        <w:ind w:firstLine="484" w:firstLineChars="2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3.投标人应根据自身实际情况响应招标文件采购需求中的各项需求，</w:t>
      </w:r>
      <w:r>
        <w:rPr>
          <w:rFonts w:hint="eastAsia" w:ascii="仿宋" w:hAnsi="仿宋" w:eastAsia="仿宋" w:cs="仿宋"/>
          <w:b/>
          <w:bCs/>
          <w:color w:val="auto"/>
          <w:sz w:val="24"/>
          <w:highlight w:val="none"/>
        </w:rPr>
        <w:t>对于重要技术条款（标注“◆”的条款）应当在投标文件中提供技术支持资料。技术支持资料以投标货物生产厂家公开发布的印刷资料或检测机构出具的检测报告或招标文件中允许的其它形式为准。</w:t>
      </w:r>
      <w:r>
        <w:rPr>
          <w:rFonts w:hint="eastAsia" w:ascii="仿宋" w:hAnsi="仿宋" w:eastAsia="仿宋" w:cs="仿宋"/>
          <w:color w:val="auto"/>
          <w:sz w:val="24"/>
          <w:highlight w:val="none"/>
        </w:rPr>
        <w:t>凡不符合上述要求的，将视为无效技术支持资料。</w:t>
      </w:r>
      <w:bookmarkEnd w:id="49"/>
      <w:bookmarkEnd w:id="50"/>
    </w:p>
    <w:tbl>
      <w:tblPr>
        <w:tblStyle w:val="45"/>
        <w:tblW w:w="9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934"/>
        <w:gridCol w:w="850"/>
        <w:gridCol w:w="613"/>
        <w:gridCol w:w="5713"/>
        <w:gridCol w:w="475"/>
      </w:tblGrid>
      <w:tr w14:paraId="47A6C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jc w:val="center"/>
        </w:trPr>
        <w:tc>
          <w:tcPr>
            <w:tcW w:w="9011" w:type="dxa"/>
            <w:gridSpan w:val="6"/>
            <w:tcBorders>
              <w:right w:val="single" w:color="auto" w:sz="4" w:space="0"/>
            </w:tcBorders>
            <w:vAlign w:val="center"/>
          </w:tcPr>
          <w:p w14:paraId="45BC996E">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一、技术条款</w:t>
            </w:r>
          </w:p>
        </w:tc>
      </w:tr>
      <w:tr w14:paraId="2004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45EBB841">
            <w:pPr>
              <w:spacing w:line="400" w:lineRule="exact"/>
              <w:jc w:val="center"/>
              <w:rPr>
                <w:rFonts w:hint="eastAsia" w:ascii="仿宋" w:hAnsi="仿宋" w:eastAsia="仿宋" w:cs="仿宋"/>
                <w:color w:val="auto"/>
                <w:sz w:val="24"/>
                <w:highlight w:val="none"/>
              </w:rPr>
            </w:pPr>
            <w:bookmarkStart w:id="51" w:name="_Hlk117247000"/>
            <w:r>
              <w:rPr>
                <w:rFonts w:hint="eastAsia" w:ascii="仿宋" w:hAnsi="仿宋" w:eastAsia="仿宋" w:cs="仿宋"/>
                <w:color w:val="auto"/>
                <w:sz w:val="24"/>
                <w:highlight w:val="none"/>
              </w:rPr>
              <w:t>序号</w:t>
            </w:r>
          </w:p>
        </w:tc>
        <w:tc>
          <w:tcPr>
            <w:tcW w:w="934" w:type="dxa"/>
            <w:vAlign w:val="center"/>
          </w:tcPr>
          <w:p w14:paraId="024A5329">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采购标的</w:t>
            </w:r>
          </w:p>
        </w:tc>
        <w:tc>
          <w:tcPr>
            <w:tcW w:w="850" w:type="dxa"/>
            <w:tcBorders>
              <w:right w:val="single" w:color="auto" w:sz="4" w:space="0"/>
            </w:tcBorders>
            <w:vAlign w:val="center"/>
          </w:tcPr>
          <w:p w14:paraId="7AB9C16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数量/单位</w:t>
            </w:r>
          </w:p>
        </w:tc>
        <w:tc>
          <w:tcPr>
            <w:tcW w:w="6326" w:type="dxa"/>
            <w:gridSpan w:val="2"/>
            <w:tcBorders>
              <w:left w:val="single" w:color="auto" w:sz="4" w:space="0"/>
              <w:right w:val="single" w:color="auto" w:sz="4" w:space="0"/>
            </w:tcBorders>
            <w:vAlign w:val="center"/>
          </w:tcPr>
          <w:p w14:paraId="2804DF6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技术指标要求</w:t>
            </w:r>
          </w:p>
        </w:tc>
        <w:tc>
          <w:tcPr>
            <w:tcW w:w="475" w:type="dxa"/>
            <w:tcBorders>
              <w:left w:val="single" w:color="auto" w:sz="4" w:space="0"/>
              <w:right w:val="single" w:color="auto" w:sz="4" w:space="0"/>
            </w:tcBorders>
            <w:vAlign w:val="center"/>
          </w:tcPr>
          <w:p w14:paraId="2E278450">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E9B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14:paraId="603A8EDC">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34" w:type="dxa"/>
            <w:vAlign w:val="center"/>
          </w:tcPr>
          <w:p w14:paraId="7407A7D1">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超声诊断仪</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lang w:eastAsia="zh-CN"/>
              </w:rPr>
              <w:t>）</w:t>
            </w:r>
          </w:p>
        </w:tc>
        <w:tc>
          <w:tcPr>
            <w:tcW w:w="850" w:type="dxa"/>
            <w:tcBorders>
              <w:right w:val="single" w:color="auto" w:sz="4" w:space="0"/>
            </w:tcBorders>
            <w:vAlign w:val="center"/>
          </w:tcPr>
          <w:p w14:paraId="01E7B49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套</w:t>
            </w:r>
          </w:p>
        </w:tc>
        <w:tc>
          <w:tcPr>
            <w:tcW w:w="6326" w:type="dxa"/>
            <w:gridSpan w:val="2"/>
            <w:tcBorders>
              <w:left w:val="single" w:color="auto" w:sz="4" w:space="0"/>
              <w:right w:val="single" w:color="auto" w:sz="4" w:space="0"/>
            </w:tcBorders>
            <w:vAlign w:val="center"/>
          </w:tcPr>
          <w:p w14:paraId="783FFF02">
            <w:p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lang w:val="en-US" w:eastAsia="zh-CN"/>
              </w:rPr>
              <w:t>1.设备用途</w:t>
            </w: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主要用于腹部、产科、妇科、心脏、小器官、泌尿科、血管、儿科、神经、急重症等方面的临床诊断和科研教学工作，具备持续升级能力，能满足开展新的临床应用需求。</w:t>
            </w:r>
          </w:p>
          <w:p w14:paraId="4A26F7CC">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.系统技术概述：</w:t>
            </w:r>
          </w:p>
          <w:p w14:paraId="53FD218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.1.高分辨率液晶显示</w:t>
            </w:r>
            <w:r>
              <w:rPr>
                <w:rFonts w:hint="eastAsia" w:ascii="仿宋" w:hAnsi="仿宋" w:eastAsia="仿宋" w:cs="仿宋"/>
                <w:bCs/>
                <w:color w:val="auto"/>
                <w:sz w:val="24"/>
                <w:szCs w:val="24"/>
                <w:highlight w:val="none"/>
                <w:lang w:val="en-US" w:eastAsia="zh-CN"/>
              </w:rPr>
              <w:t>屏</w:t>
            </w:r>
            <w:r>
              <w:rPr>
                <w:rFonts w:hint="eastAsia" w:ascii="仿宋" w:hAnsi="仿宋" w:eastAsia="仿宋" w:cs="仿宋"/>
                <w:bCs/>
                <w:color w:val="auto"/>
                <w:sz w:val="24"/>
                <w:szCs w:val="24"/>
                <w:highlight w:val="none"/>
              </w:rPr>
              <w:t>≥23英寸，分辨率≥1920×1080，屏幕亮度和对比度数字可调，显示器亮度可根据环境光自动调节。</w:t>
            </w:r>
          </w:p>
          <w:p w14:paraId="30FD1343">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.2.操作面板具备液晶触摸屏≥ 14英寸。触摸屏可独立调节角度≥ 30度。</w:t>
            </w:r>
          </w:p>
          <w:p w14:paraId="77D8C08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.3.控制面板全空间悬浮式调节，可同时旋转和升降，前后拉升。</w:t>
            </w:r>
          </w:p>
          <w:p w14:paraId="515F47BF">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.4.控制面板上可自定义，按键上可直接显示自定义的功能名称。</w:t>
            </w:r>
          </w:p>
          <w:p w14:paraId="4F504D84">
            <w:pPr>
              <w:numPr>
                <w:ilvl w:val="1"/>
                <w:numId w:val="0"/>
              </w:numPr>
              <w:spacing w:line="240" w:lineRule="auto"/>
              <w:ind w:left="0" w:firstLine="0"/>
              <w:textAlignment w:val="baseline"/>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.5.</w:t>
            </w:r>
            <w:r>
              <w:rPr>
                <w:rFonts w:hint="eastAsia" w:ascii="仿宋" w:hAnsi="仿宋" w:eastAsia="仿宋" w:cs="仿宋"/>
                <w:b w:val="0"/>
                <w:bCs/>
                <w:color w:val="auto"/>
                <w:sz w:val="24"/>
                <w:szCs w:val="24"/>
                <w:highlight w:val="none"/>
              </w:rPr>
              <w:t>主机操作面板一体化耦合剂加热装置。</w:t>
            </w:r>
          </w:p>
          <w:p w14:paraId="56BAA6B4">
            <w:pPr>
              <w:numPr>
                <w:ilvl w:val="1"/>
                <w:numId w:val="0"/>
              </w:numPr>
              <w:spacing w:line="240" w:lineRule="auto"/>
              <w:ind w:left="0" w:firstLine="0"/>
              <w:textAlignment w:val="baseline"/>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.6.探头接口≥4个，全激活、相互通用。</w:t>
            </w:r>
          </w:p>
          <w:p w14:paraId="519A3ADB">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.7.多倍信号并行处理，数字化</w:t>
            </w:r>
            <w:r>
              <w:rPr>
                <w:rFonts w:hint="eastAsia" w:ascii="仿宋" w:hAnsi="仿宋" w:eastAsia="仿宋" w:cs="仿宋"/>
                <w:bCs/>
                <w:color w:val="auto"/>
                <w:sz w:val="24"/>
                <w:szCs w:val="24"/>
                <w:highlight w:val="none"/>
              </w:rPr>
              <w:t>全程动态聚焦。</w:t>
            </w:r>
          </w:p>
          <w:p w14:paraId="24D0B9E1">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.8.M型显像单元，解剖M型技术,可360度任意旋转 </w:t>
            </w:r>
          </w:p>
          <w:p w14:paraId="7677A9C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.9.数字化频谱多普勒显示和分析单元 (包括 PW 、CW)。</w:t>
            </w:r>
          </w:p>
          <w:p w14:paraId="67BA1F19">
            <w:pPr>
              <w:numPr>
                <w:ilvl w:val="1"/>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.10.斑点噪声抑制成像，在二维图像，造影成像模式及三维成像下可支持</w:t>
            </w:r>
            <w:r>
              <w:rPr>
                <w:rFonts w:hint="eastAsia" w:ascii="仿宋" w:hAnsi="仿宋" w:eastAsia="仿宋" w:cs="仿宋"/>
                <w:bCs/>
                <w:color w:val="auto"/>
                <w:sz w:val="24"/>
                <w:szCs w:val="24"/>
                <w:highlight w:val="none"/>
                <w:lang w:val="en-US" w:eastAsia="zh-CN"/>
              </w:rPr>
              <w:t>。</w:t>
            </w:r>
          </w:p>
          <w:p w14:paraId="6A47E536">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.11.一键快速优化多种参数，自动优化图像。</w:t>
            </w:r>
          </w:p>
          <w:p w14:paraId="63312E5E">
            <w:pPr>
              <w:numPr>
                <w:ilvl w:val="1"/>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.12.一键实时自动优化Color/Power及PW频谱图像</w:t>
            </w:r>
            <w:r>
              <w:rPr>
                <w:rFonts w:hint="eastAsia" w:ascii="仿宋" w:hAnsi="仿宋" w:eastAsia="仿宋" w:cs="仿宋"/>
                <w:bCs/>
                <w:color w:val="auto"/>
                <w:sz w:val="24"/>
                <w:szCs w:val="24"/>
                <w:highlight w:val="none"/>
                <w:lang w:val="en-US" w:eastAsia="zh-CN"/>
              </w:rPr>
              <w:t>。</w:t>
            </w:r>
          </w:p>
          <w:p w14:paraId="79DFC059">
            <w:pPr>
              <w:numPr>
                <w:ilvl w:val="1"/>
                <w:numId w:val="0"/>
              </w:numPr>
              <w:spacing w:line="240" w:lineRule="auto"/>
              <w:ind w:left="0" w:firstLine="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.声功率可调，实时显示MI/TI（TIB，TIC，TIS）。</w:t>
            </w:r>
          </w:p>
          <w:p w14:paraId="393B1BCA">
            <w:pPr>
              <w:numPr>
                <w:ilvl w:val="1"/>
                <w:numId w:val="0"/>
              </w:numPr>
              <w:spacing w:line="240" w:lineRule="auto"/>
              <w:ind w:left="0" w:firstLine="0"/>
              <w:jc w:val="left"/>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甲状腺结节自动检测和诊断：主机自带，非第三方插件软件，无需外接第三方设备。采用深度学习算法对甲状腺结节进行智能识别和辅助判断。具备甲状腺结节的多种参数，对甲状腺结节进行辅助评估，在机实现符合TI-RADS分类标准的数据及报告</w:t>
            </w:r>
            <w:r>
              <w:rPr>
                <w:rFonts w:hint="eastAsia" w:ascii="仿宋" w:hAnsi="仿宋" w:eastAsia="仿宋" w:cs="仿宋"/>
                <w:b/>
                <w:bCs/>
                <w:color w:val="auto"/>
                <w:sz w:val="24"/>
                <w:szCs w:val="24"/>
                <w:highlight w:val="none"/>
                <w:lang w:eastAsia="zh-CN"/>
              </w:rPr>
              <w:t>。</w:t>
            </w:r>
          </w:p>
          <w:p w14:paraId="17E32021">
            <w:pPr>
              <w:numPr>
                <w:ilvl w:val="1"/>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2</w:t>
            </w:r>
            <w:r>
              <w:rPr>
                <w:rFonts w:hint="eastAsia" w:ascii="仿宋" w:hAnsi="仿宋" w:eastAsia="仿宋" w:cs="仿宋"/>
                <w:b/>
                <w:bCs w:val="0"/>
                <w:color w:val="auto"/>
                <w:sz w:val="24"/>
                <w:szCs w:val="24"/>
                <w:highlight w:val="none"/>
              </w:rPr>
              <w:t>.15.应变式弹性成像</w:t>
            </w:r>
          </w:p>
          <w:p w14:paraId="7F5446F6">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.15.1.支持探头：浅表探头、腔内探头。</w:t>
            </w:r>
          </w:p>
          <w:p w14:paraId="5F333550">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.15.2.弹性成像图谱≥5种可选。</w:t>
            </w:r>
          </w:p>
          <w:p w14:paraId="4A913845">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.15.3.弹性模式具有压力操作提示图标。</w:t>
            </w:r>
          </w:p>
          <w:p w14:paraId="402892B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.15.4.具备组织硬度定量分析软件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6F918D02">
            <w:pPr>
              <w:numPr>
                <w:ilvl w:val="2"/>
                <w:numId w:val="0"/>
              </w:numPr>
              <w:spacing w:line="240" w:lineRule="auto"/>
              <w:ind w:left="0" w:firstLine="0"/>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.15.5.具备肿块周边组织弹性定量分析功能进行弹性定量分析，计算应变比</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293232B2">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.16.</w:t>
            </w:r>
            <w:bookmarkStart w:id="52" w:name="OLE_LINK1"/>
            <w:r>
              <w:rPr>
                <w:rFonts w:hint="eastAsia" w:ascii="仿宋" w:hAnsi="仿宋" w:eastAsia="仿宋" w:cs="仿宋"/>
                <w:b/>
                <w:color w:val="auto"/>
                <w:sz w:val="24"/>
                <w:szCs w:val="24"/>
                <w:highlight w:val="none"/>
              </w:rPr>
              <w:t>剪切波弹性</w:t>
            </w:r>
            <w:bookmarkEnd w:id="52"/>
            <w:r>
              <w:rPr>
                <w:rFonts w:hint="eastAsia" w:ascii="仿宋" w:hAnsi="仿宋" w:eastAsia="仿宋" w:cs="仿宋"/>
                <w:b/>
                <w:color w:val="auto"/>
                <w:sz w:val="24"/>
                <w:szCs w:val="24"/>
                <w:highlight w:val="none"/>
              </w:rPr>
              <w:t>成像</w:t>
            </w:r>
          </w:p>
          <w:p w14:paraId="05CFA17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.16.1.支持探头：凸阵探头，线阵探头。</w:t>
            </w:r>
          </w:p>
          <w:p w14:paraId="5B2B3B2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.16.</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.实时剪切波弹性成像取样框大小可调，可得到取样框内杨氏模量值等定量数据。</w:t>
            </w:r>
          </w:p>
          <w:p w14:paraId="233E35D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.16.</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.支持肿块周边组织定量分析功能。</w:t>
            </w:r>
          </w:p>
          <w:p w14:paraId="24A4903D">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.17.造影成像及定量分析功能</w:t>
            </w:r>
          </w:p>
          <w:p w14:paraId="583E35C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.17.1.支持多种探头：凸阵探头、线阵探头，腔内探头。</w:t>
            </w:r>
          </w:p>
          <w:p w14:paraId="2D7E3031">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双计时器。</w:t>
            </w:r>
          </w:p>
          <w:p w14:paraId="5D0B901B">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.支持向后存储，≥6分钟电影；支持向前存储。</w:t>
            </w:r>
          </w:p>
          <w:p w14:paraId="1FA44084">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具备混合模式。</w:t>
            </w:r>
          </w:p>
          <w:p w14:paraId="241A345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.造影定量分析：取样点可跟踪感兴趣区运动、提供TIC时间强度曲线分析。</w:t>
            </w:r>
          </w:p>
          <w:p w14:paraId="1C576565">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.成像模式技术规格</w:t>
            </w:r>
          </w:p>
          <w:p w14:paraId="5FD9A177">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.1.二维灰阶模式</w:t>
            </w:r>
          </w:p>
          <w:p w14:paraId="3B1440E6">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.1.1.数字化全程动态聚焦，数字化可变孔径及动态变迹</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19196E9D">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.预设条件：针对不同的检查脏器，预置最佳图像检查条件。</w:t>
            </w:r>
          </w:p>
          <w:p w14:paraId="7FB54051">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3</w:t>
            </w:r>
            <w:r>
              <w:rPr>
                <w:rFonts w:hint="eastAsia" w:ascii="仿宋" w:hAnsi="仿宋" w:eastAsia="仿宋" w:cs="仿宋"/>
                <w:b/>
                <w:bCs w:val="0"/>
                <w:color w:val="auto"/>
                <w:sz w:val="24"/>
                <w:szCs w:val="24"/>
                <w:highlight w:val="none"/>
              </w:rPr>
              <w:t>.复合成像技术：声束偏转的复合超声成像，提升图像的细节分辨率和加强边界显示，消除伪像。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677167F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组织特异性成像预设，针对不同脏器预设最佳声波传播速度用于计算成像。</w:t>
            </w:r>
          </w:p>
          <w:p w14:paraId="3A7F80D0">
            <w:pPr>
              <w:numPr>
                <w:ilvl w:val="2"/>
                <w:numId w:val="0"/>
              </w:numPr>
              <w:spacing w:line="240" w:lineRule="auto"/>
              <w:ind w:left="0" w:firstLine="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最大显示深度:≥ 55 cm。</w:t>
            </w:r>
          </w:p>
          <w:p w14:paraId="487D8B65">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.TGC: ≥8段，LGC: ≥ 8段。</w:t>
            </w:r>
          </w:p>
          <w:p w14:paraId="135987BF">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.动态范围: ≥ 372。</w:t>
            </w:r>
          </w:p>
          <w:p w14:paraId="6CB96CFF">
            <w:pPr>
              <w:numPr>
                <w:ilvl w:val="2"/>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.增益调节: B/M/D分别独立可调</w:t>
            </w:r>
            <w:r>
              <w:rPr>
                <w:rFonts w:hint="eastAsia" w:ascii="仿宋" w:hAnsi="仿宋" w:eastAsia="仿宋" w:cs="仿宋"/>
                <w:bCs/>
                <w:color w:val="auto"/>
                <w:sz w:val="24"/>
                <w:szCs w:val="24"/>
                <w:highlight w:val="none"/>
                <w:lang w:eastAsia="zh-CN"/>
              </w:rPr>
              <w:t>。</w:t>
            </w:r>
          </w:p>
          <w:p w14:paraId="20975ED6">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.伪彩图谱: ≥8种。</w:t>
            </w:r>
          </w:p>
          <w:p w14:paraId="1A7F01E1">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.2.彩色多普勒成像</w:t>
            </w:r>
          </w:p>
          <w:p w14:paraId="1577CBA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.2.1.包括速度、速度方差、能量、方向能量显示等。</w:t>
            </w:r>
          </w:p>
          <w:p w14:paraId="2FCCF1B4">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.2.2.显示方式：B/C、B/C/M、B/POWER、B/C/PW。</w:t>
            </w:r>
          </w:p>
          <w:p w14:paraId="64616207">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.2.3.取样框偏转: ≥± 20度，取样框可根据探头血流方向自动调节。</w:t>
            </w:r>
          </w:p>
          <w:p w14:paraId="430AB99E">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.3.频谱多普勒模式</w:t>
            </w:r>
          </w:p>
          <w:p w14:paraId="0D7FCCB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.3.1.包括脉冲多普勒、高脉冲重复频率、连续多普勒。</w:t>
            </w:r>
          </w:p>
          <w:p w14:paraId="7ADDA561">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.3.2.显示方式：B, PW，B/PW, B/C/PW, B/CW, B/C/CW等等。</w:t>
            </w:r>
          </w:p>
          <w:p w14:paraId="241E61B7">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.3.3.最大速度: ≥7.60m/s（连续多普勒速度: ≥30m/s）。</w:t>
            </w:r>
          </w:p>
          <w:p w14:paraId="3C977D7A">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.3.4.最小速度: ≤1 mm /s（非噪声信号）。</w:t>
            </w:r>
          </w:p>
          <w:p w14:paraId="1AB57C8D">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.3.5.取样容积: 0.5-20mm ,支持所有探头。</w:t>
            </w:r>
          </w:p>
          <w:p w14:paraId="3F77EEC9">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.3.6.偏转角度: ≥±20度 (线阵探头) ，并支持快速角度校正。</w:t>
            </w:r>
          </w:p>
          <w:p w14:paraId="77106C62">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.3.7.零位移动：≥8 级。</w:t>
            </w:r>
          </w:p>
          <w:p w14:paraId="4C1AE3DC">
            <w:pPr>
              <w:numPr>
                <w:ilvl w:val="2"/>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.3.8.支持频谱自动测量。</w:t>
            </w:r>
          </w:p>
          <w:p w14:paraId="3EA45D4B">
            <w:pPr>
              <w:numPr>
                <w:ilvl w:val="1"/>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.4.TDI组织多普勒成像</w:t>
            </w:r>
          </w:p>
          <w:p w14:paraId="429BCF14">
            <w:pPr>
              <w:numPr>
                <w:ilvl w:val="2"/>
                <w:numId w:val="0"/>
              </w:num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.4.1.TDI成像模式：彩色速度模式图、能量模式图、频谱模式图、M型模式图。</w:t>
            </w:r>
          </w:p>
          <w:p w14:paraId="0CA1D6F8">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.探头配置及规格</w:t>
            </w:r>
          </w:p>
          <w:p w14:paraId="37C0AE27">
            <w:pPr>
              <w:numPr>
                <w:ilvl w:val="2"/>
                <w:numId w:val="0"/>
              </w:numPr>
              <w:spacing w:line="240" w:lineRule="auto"/>
              <w:ind w:left="0" w:firstLine="0"/>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.1</w:t>
            </w:r>
            <w:r>
              <w:rPr>
                <w:rFonts w:hint="eastAsia" w:ascii="仿宋" w:hAnsi="仿宋" w:eastAsia="仿宋" w:cs="仿宋"/>
                <w:b/>
                <w:color w:val="auto"/>
                <w:sz w:val="24"/>
                <w:szCs w:val="24"/>
                <w:highlight w:val="none"/>
              </w:rPr>
              <w:t>.</w:t>
            </w:r>
            <w:r>
              <w:rPr>
                <w:rFonts w:hint="eastAsia" w:ascii="仿宋" w:hAnsi="仿宋" w:eastAsia="仿宋" w:cs="仿宋"/>
                <w:b/>
                <w:bCs w:val="0"/>
                <w:color w:val="auto"/>
                <w:sz w:val="24"/>
                <w:szCs w:val="24"/>
                <w:highlight w:val="none"/>
              </w:rPr>
              <w:t>频率：具有单晶体凸阵探头、单晶体线阵探头、单晶体相控阵探头、单晶体容积探头等，且单晶体线阵探头可选配数量≥2把。</w:t>
            </w:r>
          </w:p>
          <w:p w14:paraId="6F231131">
            <w:pPr>
              <w:numPr>
                <w:ilvl w:val="2"/>
                <w:numId w:val="0"/>
              </w:numPr>
              <w:spacing w:line="240" w:lineRule="auto"/>
              <w:ind w:left="0" w:firstLine="0"/>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.2</w:t>
            </w:r>
            <w:bookmarkStart w:id="53" w:name="OLE_LINK2"/>
            <w:r>
              <w:rPr>
                <w:rFonts w:hint="eastAsia" w:ascii="仿宋" w:hAnsi="仿宋" w:eastAsia="仿宋" w:cs="仿宋"/>
                <w:bCs/>
                <w:color w:val="auto"/>
                <w:sz w:val="24"/>
                <w:szCs w:val="24"/>
                <w:highlight w:val="none"/>
              </w:rPr>
              <w:t>.凸阵探头</w:t>
            </w:r>
            <w:bookmarkEnd w:id="53"/>
            <w:r>
              <w:rPr>
                <w:rFonts w:hint="eastAsia" w:ascii="仿宋" w:hAnsi="仿宋" w:eastAsia="仿宋" w:cs="仿宋"/>
                <w:bCs/>
                <w:color w:val="auto"/>
                <w:sz w:val="24"/>
                <w:szCs w:val="24"/>
                <w:highlight w:val="none"/>
              </w:rPr>
              <w:t>：频带范围1-7MHz；基波成像的中心频率个数≥5个，谐波成像的中心频率个数≥3个，可视可调，具凸型扩展功能</w:t>
            </w:r>
            <w:r>
              <w:rPr>
                <w:rFonts w:hint="eastAsia" w:ascii="仿宋" w:hAnsi="仿宋" w:eastAsia="仿宋" w:cs="仿宋"/>
                <w:bCs/>
                <w:color w:val="auto"/>
                <w:sz w:val="24"/>
                <w:szCs w:val="24"/>
                <w:highlight w:val="none"/>
                <w:lang w:eastAsia="zh-CN"/>
              </w:rPr>
              <w:t>。</w:t>
            </w:r>
          </w:p>
          <w:p w14:paraId="051BCF90">
            <w:pPr>
              <w:numPr>
                <w:ilvl w:val="2"/>
                <w:numId w:val="0"/>
              </w:numPr>
              <w:spacing w:line="240" w:lineRule="auto"/>
              <w:ind w:left="0" w:firstLine="0"/>
              <w:jc w:val="left"/>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.3.线阵探头:频带范围2-9MHz；基波成像的中心频率个数≥3个，谐波成像的中心频率个数≥3个，可视可调</w:t>
            </w:r>
            <w:r>
              <w:rPr>
                <w:rFonts w:hint="eastAsia" w:ascii="仿宋" w:hAnsi="仿宋" w:eastAsia="仿宋" w:cs="仿宋"/>
                <w:bCs/>
                <w:color w:val="auto"/>
                <w:sz w:val="24"/>
                <w:szCs w:val="24"/>
                <w:highlight w:val="none"/>
                <w:lang w:eastAsia="zh-CN"/>
              </w:rPr>
              <w:t>。</w:t>
            </w:r>
          </w:p>
          <w:p w14:paraId="16F673BF">
            <w:pPr>
              <w:numPr>
                <w:ilvl w:val="2"/>
                <w:numId w:val="0"/>
              </w:numPr>
              <w:spacing w:line="240" w:lineRule="auto"/>
              <w:ind w:left="0" w:firstLine="0"/>
              <w:jc w:val="left"/>
              <w:textAlignment w:val="baseline"/>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.4.线阵探头：频带范围4-18MHz，基波成像的中心频率个数≥3个，谐波成像的中心频率个数≥3个，可视可调</w:t>
            </w:r>
            <w:r>
              <w:rPr>
                <w:rFonts w:hint="eastAsia" w:ascii="仿宋" w:hAnsi="仿宋" w:eastAsia="仿宋" w:cs="仿宋"/>
                <w:bCs/>
                <w:color w:val="auto"/>
                <w:sz w:val="24"/>
                <w:szCs w:val="24"/>
                <w:highlight w:val="none"/>
                <w:lang w:eastAsia="zh-CN"/>
              </w:rPr>
              <w:t>。</w:t>
            </w:r>
          </w:p>
          <w:p w14:paraId="5EEB0465">
            <w:pPr>
              <w:numPr>
                <w:ilvl w:val="2"/>
                <w:numId w:val="0"/>
              </w:numPr>
              <w:spacing w:line="240" w:lineRule="auto"/>
              <w:ind w:left="0" w:firstLine="0"/>
              <w:jc w:val="left"/>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.5.腔内探头：频带范围2-11MHz；基波成像的中心频率个数≥3个，谐波成像的中心频率个数≥3个，可视可调</w:t>
            </w:r>
            <w:r>
              <w:rPr>
                <w:rFonts w:hint="eastAsia" w:ascii="仿宋" w:hAnsi="仿宋" w:eastAsia="仿宋" w:cs="仿宋"/>
                <w:bCs/>
                <w:color w:val="auto"/>
                <w:sz w:val="24"/>
                <w:szCs w:val="24"/>
                <w:highlight w:val="none"/>
                <w:lang w:eastAsia="zh-CN"/>
              </w:rPr>
              <w:t>。</w:t>
            </w:r>
          </w:p>
          <w:p w14:paraId="4D7E6DDB">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.测量/分析和报告</w:t>
            </w:r>
          </w:p>
          <w:p w14:paraId="06495017">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.1.一般测量：距离、周长、面积、体积、角度、自动频谱测量。</w:t>
            </w:r>
          </w:p>
          <w:p w14:paraId="45923A8D">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.2.全科测量包，自动生成报告：腹部、妇科、产科、心脏、泌尿、小器官、儿科、血管、神经等。</w:t>
            </w:r>
          </w:p>
          <w:p w14:paraId="15DD15E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.3.自动产科测量，要求自动测量≥4项胎儿发育评估指标。</w:t>
            </w:r>
          </w:p>
          <w:p w14:paraId="694684C6">
            <w:pPr>
              <w:numPr>
                <w:ilvl w:val="2"/>
                <w:numId w:val="0"/>
              </w:numPr>
              <w:spacing w:line="240" w:lineRule="auto"/>
              <w:ind w:left="0" w:firstLine="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.4.血管内中膜自动测量，可同时自动描记血管前、后壁的内中膜，自动生成测量数据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投标时提供相关证明材料</w:t>
            </w:r>
            <w:r>
              <w:rPr>
                <w:rFonts w:hint="eastAsia" w:ascii="仿宋" w:hAnsi="仿宋" w:eastAsia="仿宋" w:cs="仿宋"/>
                <w:b/>
                <w:bCs/>
                <w:color w:val="auto"/>
                <w:sz w:val="24"/>
                <w:szCs w:val="24"/>
                <w:highlight w:val="none"/>
                <w:lang w:eastAsia="zh-CN"/>
              </w:rPr>
              <w:t>）</w:t>
            </w:r>
          </w:p>
          <w:p w14:paraId="166D6D8A">
            <w:pPr>
              <w:numPr>
                <w:ilvl w:val="1"/>
                <w:numId w:val="0"/>
              </w:numPr>
              <w:spacing w:line="240" w:lineRule="auto"/>
              <w:textAlignment w:val="baseline"/>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rPr>
              <w:t>.5.支持血管内中膜自动实时测量。</w:t>
            </w:r>
          </w:p>
          <w:p w14:paraId="2230AE4E">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.电影回放和数据存储</w:t>
            </w:r>
          </w:p>
          <w:p w14:paraId="2DE9C0E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.1.支持二维、彩色、造影、4D等模式的手动和自动回放，电影回放支持编辑和剪接功能。</w:t>
            </w:r>
          </w:p>
          <w:p w14:paraId="7B9A4E88">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.支持向后存储和向前存储，时间长度可预置。</w:t>
            </w:r>
          </w:p>
          <w:p w14:paraId="69C3B7D5">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.支持同屏对比多个不同模式的动态、静态图像。</w:t>
            </w:r>
          </w:p>
          <w:p w14:paraId="14704D1C">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.原始数据处理，支持动、静态图像冻结后</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p w14:paraId="334ADFC6">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.硬盘：≥1T硬盘, SSD固态硬盘≥128G。</w:t>
            </w:r>
          </w:p>
          <w:p w14:paraId="5A77760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.多种导出图像格式：动态图像、静态图像以PC格式直接导出。导出、备份图像数据资料同时，可进行实时检查，不影响检查操作。</w:t>
            </w:r>
          </w:p>
          <w:p w14:paraId="7B734828">
            <w:pPr>
              <w:numPr>
                <w:ilvl w:val="1"/>
                <w:numId w:val="0"/>
              </w:numPr>
              <w:spacing w:line="240" w:lineRule="auto"/>
              <w:ind w:left="0" w:firstLine="0"/>
              <w:textAlignment w:val="baseline"/>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中央超声管理系统：超声设备一站式管理平台内置主机中，提供多模态数据，深入分析数据，挖掘使用模式，为设备管理与临床实践提供科学指导，进行科学研究；并可提供数据备份与恢复功能，保障数据安全与完整监控、了解设备使用情况等</w:t>
            </w:r>
            <w:r>
              <w:rPr>
                <w:rFonts w:hint="eastAsia" w:ascii="仿宋" w:hAnsi="仿宋" w:eastAsia="仿宋" w:cs="仿宋"/>
                <w:b/>
                <w:bCs w:val="0"/>
                <w:color w:val="auto"/>
                <w:sz w:val="24"/>
                <w:szCs w:val="24"/>
                <w:highlight w:val="none"/>
                <w:lang w:eastAsia="zh-CN"/>
              </w:rPr>
              <w:t>。</w:t>
            </w:r>
          </w:p>
          <w:p w14:paraId="33F81F92">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.连通性要求</w:t>
            </w:r>
          </w:p>
          <w:p w14:paraId="50DFF7E2">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.1.支持网络连接，能开放DICOM 3.0及worklist。</w:t>
            </w:r>
          </w:p>
          <w:p w14:paraId="3B357CC2">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.2.支持移动设备无线传输。</w:t>
            </w:r>
          </w:p>
          <w:p w14:paraId="0DFFE849">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.3.支持超声远程会诊系统。</w:t>
            </w:r>
          </w:p>
          <w:p w14:paraId="2D7EE8C6">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.4.输入接口：音频输入，ECG信号输入。</w:t>
            </w:r>
          </w:p>
          <w:p w14:paraId="78B4CCDE">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.5.输出信号：HDMI视频，S-VIDEO视频, VGA视频。</w:t>
            </w:r>
          </w:p>
          <w:p w14:paraId="4B2451CA">
            <w:pPr>
              <w:numPr>
                <w:ilvl w:val="1"/>
                <w:numId w:val="0"/>
              </w:numPr>
              <w:spacing w:line="240" w:lineRule="auto"/>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.6.≥4个USB接口、DVD R/W刻录光驱、TYPE C 数据接口。</w:t>
            </w:r>
          </w:p>
          <w:p w14:paraId="204825C2">
            <w:pPr>
              <w:spacing w:line="240" w:lineRule="auto"/>
              <w:ind w:left="0" w:firstLine="0"/>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.外设和附件</w:t>
            </w:r>
          </w:p>
          <w:p w14:paraId="0ADD4AE3">
            <w:pPr>
              <w:numPr>
                <w:ilvl w:val="1"/>
                <w:numId w:val="0"/>
              </w:numPr>
              <w:spacing w:line="240" w:lineRule="auto"/>
              <w:ind w:left="0" w:firstLine="0"/>
              <w:textAlignment w:val="baseline"/>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.1.耦合剂加热器。</w:t>
            </w:r>
          </w:p>
          <w:p w14:paraId="4A733AF6">
            <w:pPr>
              <w:numPr>
                <w:ilvl w:val="1"/>
                <w:numId w:val="0"/>
              </w:numPr>
              <w:spacing w:line="240" w:lineRule="auto"/>
              <w:ind w:left="0" w:firstLine="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.2.腔内探头放置架，可左右互换。</w:t>
            </w:r>
          </w:p>
        </w:tc>
        <w:tc>
          <w:tcPr>
            <w:tcW w:w="475" w:type="dxa"/>
            <w:tcBorders>
              <w:left w:val="single" w:color="auto" w:sz="4" w:space="0"/>
              <w:right w:val="single" w:color="auto" w:sz="4" w:space="0"/>
            </w:tcBorders>
            <w:vAlign w:val="center"/>
          </w:tcPr>
          <w:p w14:paraId="1EA8A5C9">
            <w:pPr>
              <w:spacing w:line="400" w:lineRule="exact"/>
              <w:rPr>
                <w:rFonts w:hint="eastAsia" w:ascii="仿宋" w:hAnsi="仿宋" w:eastAsia="仿宋" w:cs="仿宋"/>
                <w:color w:val="auto"/>
                <w:sz w:val="24"/>
                <w:highlight w:val="none"/>
              </w:rPr>
            </w:pPr>
          </w:p>
        </w:tc>
      </w:tr>
      <w:tr w14:paraId="2D2C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77D5DBE">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二、商务条款</w:t>
            </w:r>
          </w:p>
        </w:tc>
      </w:tr>
      <w:tr w14:paraId="31769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5BC5E3">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合同签订时间</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88909">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自中标通知书发出之日起</w:t>
            </w:r>
            <w:r>
              <w:rPr>
                <w:rFonts w:hint="eastAsia" w:ascii="仿宋" w:hAnsi="仿宋" w:eastAsia="仿宋" w:cs="仿宋"/>
                <w:color w:val="auto"/>
                <w:sz w:val="24"/>
                <w:highlight w:val="none"/>
                <w:u w:val="single"/>
              </w:rPr>
              <w:t xml:space="preserve"> 25 </w:t>
            </w:r>
            <w:r>
              <w:rPr>
                <w:rFonts w:hint="eastAsia" w:ascii="仿宋" w:hAnsi="仿宋" w:eastAsia="仿宋" w:cs="仿宋"/>
                <w:color w:val="auto"/>
                <w:sz w:val="24"/>
                <w:highlight w:val="none"/>
              </w:rPr>
              <w:t>日内。</w:t>
            </w:r>
          </w:p>
        </w:tc>
      </w:tr>
      <w:tr w14:paraId="65A42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F9ADE9">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交付时间及地点</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F1C8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1.交付时间：</w:t>
            </w:r>
            <w:r>
              <w:rPr>
                <w:rFonts w:hint="eastAsia" w:ascii="仿宋" w:hAnsi="仿宋" w:eastAsia="仿宋" w:cs="仿宋"/>
                <w:color w:val="auto"/>
                <w:sz w:val="24"/>
                <w:highlight w:val="none"/>
                <w:lang w:eastAsia="zh-CN"/>
              </w:rPr>
              <w:t>自合同签订之日起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日历天内全部货物交货并安装调试完毕</w:t>
            </w:r>
            <w:r>
              <w:rPr>
                <w:rFonts w:hint="eastAsia" w:ascii="仿宋" w:hAnsi="仿宋" w:eastAsia="仿宋" w:cs="仿宋"/>
                <w:color w:val="auto"/>
                <w:sz w:val="24"/>
                <w:highlight w:val="none"/>
              </w:rPr>
              <w:t>。</w:t>
            </w:r>
          </w:p>
          <w:p w14:paraId="6439F115">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2.交付地点：广西南宁市采购人指定地点。</w:t>
            </w:r>
          </w:p>
        </w:tc>
      </w:tr>
      <w:tr w14:paraId="32265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D158FA">
            <w:pPr>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b w:val="0"/>
                <w:color w:val="auto"/>
                <w:sz w:val="24"/>
                <w:szCs w:val="24"/>
                <w:highlight w:val="none"/>
              </w:rPr>
              <w:t>质保期</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E830CE">
            <w:pPr>
              <w:snapToGrid/>
              <w:spacing w:line="400" w:lineRule="exact"/>
              <w:outlineLvl w:val="9"/>
              <w:rPr>
                <w:rFonts w:hint="eastAsia" w:ascii="宋体" w:hAnsi="宋体" w:eastAsia="宋体" w:cs="宋体"/>
                <w:color w:val="auto"/>
                <w:kern w:val="2"/>
                <w:sz w:val="21"/>
                <w:szCs w:val="21"/>
                <w:highlight w:val="none"/>
                <w:lang w:val="en-US" w:eastAsia="zh-CN" w:bidi="ar-SA"/>
              </w:rPr>
            </w:pPr>
            <w:r>
              <w:rPr>
                <w:rFonts w:hint="eastAsia" w:ascii="仿宋" w:hAnsi="仿宋" w:eastAsia="仿宋" w:cs="仿宋"/>
                <w:color w:val="auto"/>
                <w:sz w:val="24"/>
                <w:szCs w:val="24"/>
                <w:highlight w:val="none"/>
              </w:rPr>
              <w:t>按国家有关产品“三包”规定执行“三包”，除特别说明外，质保期不得少于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年，自设备验收合格并能正常使用之日算起。如投标文件中提供产品生产厂家对质保期的承诺，与投标人承诺不一致的，以生产厂家承诺为准。</w:t>
            </w:r>
          </w:p>
        </w:tc>
      </w:tr>
      <w:tr w14:paraId="19BF2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589B97">
            <w:pPr>
              <w:spacing w:line="40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highlight w:val="none"/>
              </w:rPr>
              <w:t>▲付款方式</w:t>
            </w:r>
          </w:p>
        </w:tc>
        <w:tc>
          <w:tcPr>
            <w:tcW w:w="61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4197B">
            <w:pPr>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合同签订后，采购人支付合同金额的30%作为预付款，</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未开具合法有效的全额发票的，采购人有权不支付合同款。</w:t>
            </w:r>
          </w:p>
        </w:tc>
      </w:tr>
      <w:tr w14:paraId="0899E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167F875B">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▲售后服务要求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5DF0AEAE">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1.提供维护手册、维修手册、软件备份、故障代码表、备件清单。保修期外，提供维修密码及所附软件在该项目的永久使用权。</w:t>
            </w:r>
          </w:p>
          <w:p w14:paraId="723C43C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2.相关人员培训:标的包含医护人员及工程人员的培训计划费用，设备装机验收后，现场提供对采购人的1次或多次基本培训，使采购人使用人员及工程人员，熟练掌握全部功能及基本维修。</w:t>
            </w:r>
          </w:p>
          <w:p w14:paraId="2755D62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其中医务人员专项培训2人次，工程人员专项培训2人次，视采购人时间安排确定。</w:t>
            </w:r>
          </w:p>
          <w:p w14:paraId="1DFDCD69">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3.提供7*24小时售后服务，接到用户通知后2小时内作出实质响应（远程解决或做出预备维护动作），并在24小时内恢复设备运行</w:t>
            </w:r>
            <w:r>
              <w:rPr>
                <w:rFonts w:hint="eastAsia" w:ascii="仿宋" w:hAnsi="仿宋" w:eastAsia="仿宋" w:cs="仿宋"/>
                <w:color w:val="auto"/>
                <w:sz w:val="24"/>
                <w:highlight w:val="none"/>
                <w:lang w:eastAsia="zh-CN"/>
              </w:rPr>
              <w:t>。</w:t>
            </w:r>
          </w:p>
          <w:p w14:paraId="633A8A92">
            <w:pPr>
              <w:spacing w:line="4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4.保修期内发生故障的设备如无法在24小时内修复，则应提供备用设备以保证系统的连续稳定运行，并在5个工作日内修复故障设备或更换新设备，5个工作日内不能解决的，由</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提供替代设备。保障系统正常运行，在无相同型号的同种设备时，则应更换同类设备中较高型号的产品。</w:t>
            </w:r>
            <w:r>
              <w:rPr>
                <w:rFonts w:hint="eastAsia" w:ascii="仿宋" w:hAnsi="仿宋" w:eastAsia="仿宋" w:cs="仿宋"/>
                <w:color w:val="auto"/>
                <w:sz w:val="24"/>
                <w:highlight w:val="none"/>
                <w:lang w:eastAsia="zh-CN"/>
              </w:rPr>
              <w:t>所产生的费用</w:t>
            </w:r>
            <w:r>
              <w:rPr>
                <w:rFonts w:hint="eastAsia" w:ascii="仿宋" w:hAnsi="仿宋" w:eastAsia="仿宋" w:cs="仿宋"/>
                <w:color w:val="auto"/>
                <w:sz w:val="24"/>
                <w:highlight w:val="none"/>
              </w:rPr>
              <w:t>，均包含在响应报价中，采购人不再承担任何费用</w:t>
            </w:r>
            <w:r>
              <w:rPr>
                <w:rFonts w:hint="eastAsia" w:ascii="仿宋" w:hAnsi="仿宋" w:eastAsia="仿宋" w:cs="仿宋"/>
                <w:color w:val="auto"/>
                <w:sz w:val="24"/>
                <w:highlight w:val="none"/>
                <w:lang w:eastAsia="zh-CN"/>
              </w:rPr>
              <w:t>。</w:t>
            </w:r>
          </w:p>
          <w:p w14:paraId="0AA8D14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w:t>
            </w:r>
            <w:r>
              <w:rPr>
                <w:rFonts w:hint="eastAsia" w:ascii="仿宋" w:hAnsi="仿宋" w:eastAsia="仿宋" w:cs="仿宋"/>
                <w:color w:val="auto"/>
                <w:sz w:val="24"/>
                <w:highlight w:val="none"/>
                <w:lang w:eastAsia="zh-CN"/>
              </w:rPr>
              <w:t>所产生的费用</w:t>
            </w:r>
            <w:r>
              <w:rPr>
                <w:rFonts w:hint="eastAsia" w:ascii="仿宋" w:hAnsi="仿宋" w:eastAsia="仿宋" w:cs="仿宋"/>
                <w:color w:val="auto"/>
                <w:sz w:val="24"/>
                <w:highlight w:val="none"/>
              </w:rPr>
              <w:t>，均包含在响应报价中，采购人不再承担任何费用。</w:t>
            </w:r>
          </w:p>
          <w:p w14:paraId="221C957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总体项目要求：交钥匙工程：</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负责全部产品的安装调试后直接交付运行。在保修期内，</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保证</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能够合法应用该器械/服务。在此过程中，</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应当提供一切必要支持。若可能出现的后续证件、手续，</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必须提供办理的流程及方法。</w:t>
            </w:r>
          </w:p>
        </w:tc>
      </w:tr>
      <w:tr w14:paraId="25266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5AD56336">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▲投标报价</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8DC774F">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04EFE418">
            <w:pPr>
              <w:snapToGrid w:val="0"/>
              <w:spacing w:line="40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2.投标报价包含验收费用。</w:t>
            </w:r>
          </w:p>
        </w:tc>
      </w:tr>
      <w:tr w14:paraId="6F197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4B848AB4">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▲验收标准、验收方法</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5FAC2596">
            <w:pPr>
              <w:spacing w:line="400" w:lineRule="exact"/>
              <w:rPr>
                <w:rFonts w:hint="eastAsia" w:ascii="仿宋" w:hAnsi="仿宋" w:eastAsia="仿宋" w:cs="仿宋"/>
                <w:color w:val="auto"/>
                <w:sz w:val="24"/>
                <w:highlight w:val="none"/>
              </w:rPr>
            </w:pPr>
            <w:bookmarkStart w:id="54" w:name="_Hlk117247198"/>
            <w:r>
              <w:rPr>
                <w:rFonts w:hint="eastAsia" w:ascii="仿宋" w:hAnsi="仿宋" w:eastAsia="仿宋" w:cs="仿宋"/>
                <w:color w:val="auto"/>
                <w:sz w:val="24"/>
                <w:highlight w:val="none"/>
              </w:rPr>
              <w:t>1.采购人在中标人交货并提交验收申请后组织验收。</w:t>
            </w:r>
          </w:p>
          <w:p w14:paraId="6A2ACDD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2.采购人对中标人提交的货物依据投标文件响应的技术规格要求和国家有关质量标准进行现场签收，外观、说明书符合投标文件响应的技术规格要求的，给予签收，不合格的不予签收。</w:t>
            </w:r>
          </w:p>
          <w:p w14:paraId="0728D0D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人交货前应对产品作出全面检查和对验收文件进行整理，并列出清单，作为采购人收货验收和使用的技术条件依据，检验的结果应随货物交采购人。中标人不能完整交付货物及本款规定的单证和工具的，必须负责补齐，否则视为未按合同约定交货。</w:t>
            </w:r>
          </w:p>
          <w:p w14:paraId="43DF652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4.中标人需负责安装、调试，并培训采购人的使用操作人员，直到设备运行符合技术要求，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使用人员熟练掌握全部功能及基本维修，采购人方可验收。</w:t>
            </w:r>
          </w:p>
          <w:p w14:paraId="6C38356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5.采购人组织验收，中标人必须到场配合，验收合格后双方签署验收合格凭证。</w:t>
            </w:r>
          </w:p>
          <w:p w14:paraId="43648428">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0CD4B2AD">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7.验收产生的费用中标人负责。</w:t>
            </w:r>
            <w:bookmarkEnd w:id="54"/>
          </w:p>
        </w:tc>
      </w:tr>
      <w:tr w14:paraId="05FE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23" w:type="dxa"/>
            <w:gridSpan w:val="4"/>
            <w:tcBorders>
              <w:top w:val="single" w:color="auto" w:sz="4" w:space="0"/>
              <w:left w:val="single" w:color="auto" w:sz="4" w:space="0"/>
              <w:bottom w:val="single" w:color="auto" w:sz="4" w:space="0"/>
              <w:right w:val="single" w:color="auto" w:sz="4" w:space="0"/>
            </w:tcBorders>
            <w:vAlign w:val="center"/>
          </w:tcPr>
          <w:p w14:paraId="398B1045">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商务条款其他要求</w:t>
            </w:r>
          </w:p>
        </w:tc>
        <w:tc>
          <w:tcPr>
            <w:tcW w:w="6188" w:type="dxa"/>
            <w:gridSpan w:val="2"/>
            <w:tcBorders>
              <w:top w:val="single" w:color="auto" w:sz="4" w:space="0"/>
              <w:left w:val="single" w:color="auto" w:sz="4" w:space="0"/>
              <w:bottom w:val="single" w:color="auto" w:sz="4" w:space="0"/>
              <w:right w:val="single" w:color="auto" w:sz="4" w:space="0"/>
            </w:tcBorders>
            <w:vAlign w:val="center"/>
          </w:tcPr>
          <w:p w14:paraId="3B54937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人保证向采购人提供的货物是合格、全新、完整、未使用过的。到货前，中标人向采购人告知并提供必要的安装前准备材料。如安装过程中损坏了机房、控制间、设备间装修，由中标人及厂家负责承担维修恢复工作。</w:t>
            </w:r>
          </w:p>
          <w:p w14:paraId="72A3E355">
            <w:pPr>
              <w:spacing w:line="400" w:lineRule="exact"/>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rPr>
              <w:t>.</w:t>
            </w:r>
            <w:r>
              <w:rPr>
                <w:rFonts w:hint="eastAsia" w:ascii="仿宋" w:hAnsi="仿宋" w:eastAsia="仿宋" w:cs="仿宋"/>
                <w:color w:val="auto"/>
                <w:sz w:val="24"/>
                <w:highlight w:val="none"/>
              </w:rPr>
              <w:t>采购人在货物交货验收阶段发现货物的技术参数指标达不到投标文件响应的技术规格要求的，属虚假应标行为，采购人将终止合同拒收货物，追究该</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违约责任，赔偿采购人因采购时间延长造成采购人经济等方面损失，视情况采购人将违约情况上报政府采购监督管理部门。</w:t>
            </w:r>
          </w:p>
          <w:p w14:paraId="08F94791">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.供应商所投产品属于医疗器械管理范畴的，须按《医疗器械注册与备案管理办法》（国家市场监督管理总局令第47号）医疗器械注册与备案要求提供有效的医疗器械注册备案凭证或医疗器械注册证。</w:t>
            </w:r>
          </w:p>
          <w:p w14:paraId="43AC1DEB">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提供投标产品对外公开的产品彩页或说明书（体现技术参数，可以是从生产厂家网页下载的PDF或HTM文件或在食品药品监督管理部门备案的技术参数或检测报告），以供评标时核对。当投标文件提供的仪器性能参数与该仪器生产商提供的性能参数不符合时，以后者为准。</w:t>
            </w:r>
          </w:p>
          <w:p w14:paraId="249255FE">
            <w:pPr>
              <w:spacing w:line="400" w:lineRule="exact"/>
              <w:rPr>
                <w:rFonts w:hint="eastAsia" w:ascii="仿宋" w:hAnsi="仿宋" w:eastAsia="仿宋" w:cs="仿宋"/>
                <w:color w:val="auto"/>
                <w:highlight w:val="none"/>
                <w:lang w:val="en-US" w:eastAsia="zh-CN"/>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.投标人</w:t>
            </w:r>
            <w:r>
              <w:rPr>
                <w:rFonts w:hint="eastAsia" w:ascii="仿宋" w:hAnsi="仿宋" w:eastAsia="仿宋" w:cs="仿宋"/>
                <w:b/>
                <w:color w:val="auto"/>
                <w:sz w:val="24"/>
                <w:highlight w:val="none"/>
                <w:lang w:val="en-US" w:eastAsia="zh-CN"/>
              </w:rPr>
              <w:t>如非产品制造商，</w:t>
            </w:r>
            <w:r>
              <w:rPr>
                <w:rFonts w:hint="eastAsia" w:ascii="仿宋" w:hAnsi="仿宋" w:eastAsia="仿宋" w:cs="仿宋"/>
                <w:b/>
                <w:color w:val="auto"/>
                <w:sz w:val="24"/>
                <w:highlight w:val="none"/>
              </w:rPr>
              <w:t>在供货时必须提供所投标产品生产厂家合法授权的厂家代理商出具的授权书，原件备查。</w:t>
            </w:r>
          </w:p>
        </w:tc>
      </w:tr>
      <w:tr w14:paraId="4AB11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118466AA">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三、核心产品</w:t>
            </w:r>
          </w:p>
        </w:tc>
      </w:tr>
      <w:tr w14:paraId="627D2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76E0674">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本标项核心产品为：超声诊断仪</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w:t>
            </w:r>
          </w:p>
        </w:tc>
      </w:tr>
      <w:tr w14:paraId="043E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78ABE87E">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四、其他要求</w:t>
            </w:r>
          </w:p>
        </w:tc>
      </w:tr>
      <w:tr w14:paraId="702975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210" w:type="dxa"/>
            <w:gridSpan w:val="3"/>
            <w:tcBorders>
              <w:top w:val="single" w:color="auto" w:sz="4" w:space="0"/>
              <w:left w:val="single" w:color="auto" w:sz="4" w:space="0"/>
              <w:bottom w:val="single" w:color="auto" w:sz="4" w:space="0"/>
              <w:right w:val="single" w:color="auto" w:sz="4" w:space="0"/>
            </w:tcBorders>
            <w:vAlign w:val="center"/>
          </w:tcPr>
          <w:p w14:paraId="5DAF000C">
            <w:pPr>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其他技术及服务要求</w:t>
            </w:r>
          </w:p>
        </w:tc>
        <w:tc>
          <w:tcPr>
            <w:tcW w:w="6801" w:type="dxa"/>
            <w:gridSpan w:val="3"/>
            <w:tcBorders>
              <w:top w:val="single" w:color="auto" w:sz="4" w:space="0"/>
              <w:left w:val="single" w:color="auto" w:sz="4" w:space="0"/>
              <w:bottom w:val="single" w:color="auto" w:sz="4" w:space="0"/>
              <w:right w:val="single" w:color="auto" w:sz="4" w:space="0"/>
            </w:tcBorders>
            <w:vAlign w:val="center"/>
          </w:tcPr>
          <w:p w14:paraId="70A908F3">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投标人根据自身情况提供技术及项目实施方案（包含但不限于管理措施、具体实施流程、进度安排、质量保证措施、风险防范措施等）。</w:t>
            </w:r>
          </w:p>
        </w:tc>
      </w:tr>
      <w:tr w14:paraId="2C51E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F0710EA">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五、本项目标的所属行业</w:t>
            </w:r>
          </w:p>
        </w:tc>
      </w:tr>
      <w:tr w14:paraId="6DA74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28662D8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工业（包括采矿业，制造业，电力、热力、燃气及水生产和供应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7DA4B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4ED2877D">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六、进口产品说明</w:t>
            </w:r>
          </w:p>
        </w:tc>
      </w:tr>
      <w:tr w14:paraId="35198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11" w:type="dxa"/>
            <w:gridSpan w:val="6"/>
            <w:tcBorders>
              <w:top w:val="single" w:color="auto" w:sz="4" w:space="0"/>
              <w:left w:val="single" w:color="auto" w:sz="4" w:space="0"/>
              <w:bottom w:val="single" w:color="auto" w:sz="4" w:space="0"/>
              <w:right w:val="single" w:color="auto" w:sz="4" w:space="0"/>
            </w:tcBorders>
            <w:vAlign w:val="center"/>
          </w:tcPr>
          <w:p w14:paraId="53105855">
            <w:pPr>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本标项“</w:t>
            </w:r>
            <w:r>
              <w:rPr>
                <w:rFonts w:hint="eastAsia" w:ascii="仿宋" w:hAnsi="仿宋" w:eastAsia="仿宋" w:cs="仿宋"/>
                <w:b/>
                <w:color w:val="auto"/>
                <w:sz w:val="24"/>
                <w:highlight w:val="none"/>
              </w:rPr>
              <w:t>超声诊断仪</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lang w:eastAsia="zh-CN"/>
              </w:rPr>
              <w:t>）</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不</w:t>
            </w:r>
            <w:r>
              <w:rPr>
                <w:rFonts w:hint="eastAsia" w:ascii="仿宋" w:hAnsi="仿宋" w:eastAsia="仿宋" w:cs="仿宋"/>
                <w:b/>
                <w:bCs/>
                <w:color w:val="auto"/>
                <w:sz w:val="24"/>
                <w:highlight w:val="none"/>
              </w:rPr>
              <w:t>接受进口设备参与投标。</w:t>
            </w:r>
          </w:p>
        </w:tc>
      </w:tr>
      <w:bookmarkEnd w:id="51"/>
    </w:tbl>
    <w:p w14:paraId="5C5C4FA2">
      <w:pPr>
        <w:rPr>
          <w:rFonts w:hint="eastAsia" w:ascii="仿宋" w:hAnsi="仿宋" w:eastAsia="仿宋" w:cs="仿宋"/>
          <w:color w:val="auto"/>
          <w:highlight w:val="none"/>
        </w:rPr>
      </w:pPr>
    </w:p>
    <w:p w14:paraId="25D26FD7">
      <w:pPr>
        <w:rPr>
          <w:rFonts w:hint="eastAsia" w:ascii="仿宋" w:hAnsi="仿宋" w:eastAsia="仿宋" w:cs="仿宋"/>
          <w:color w:val="auto"/>
          <w:highlight w:val="none"/>
        </w:rPr>
      </w:pPr>
    </w:p>
    <w:p w14:paraId="76D8F64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E90117D">
      <w:pPr>
        <w:rPr>
          <w:rFonts w:hint="eastAsia" w:ascii="仿宋" w:hAnsi="仿宋" w:eastAsia="仿宋" w:cs="仿宋"/>
          <w:color w:val="auto"/>
          <w:highlight w:val="none"/>
        </w:rPr>
      </w:pPr>
      <w:bookmarkStart w:id="55" w:name="_Toc14005"/>
      <w:bookmarkStart w:id="56" w:name="_Toc19686831"/>
    </w:p>
    <w:p w14:paraId="6A233C3E">
      <w:pPr>
        <w:pStyle w:val="3"/>
        <w:keepNext w:val="0"/>
        <w:keepLines w:val="0"/>
        <w:jc w:val="center"/>
        <w:rPr>
          <w:rFonts w:hint="eastAsia" w:ascii="仿宋" w:hAnsi="仿宋" w:eastAsia="仿宋" w:cs="仿宋"/>
          <w:color w:val="auto"/>
          <w:highlight w:val="none"/>
        </w:rPr>
      </w:pPr>
      <w:bookmarkStart w:id="57" w:name="_Toc13523"/>
      <w:r>
        <w:rPr>
          <w:rFonts w:hint="eastAsia" w:ascii="仿宋" w:hAnsi="仿宋" w:eastAsia="仿宋" w:cs="仿宋"/>
          <w:color w:val="auto"/>
          <w:highlight w:val="none"/>
        </w:rPr>
        <w:t>第三章  投标人须知</w:t>
      </w:r>
      <w:bookmarkEnd w:id="55"/>
      <w:bookmarkEnd w:id="56"/>
      <w:bookmarkEnd w:id="57"/>
    </w:p>
    <w:p w14:paraId="65732DC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投标人须知前附表</w:t>
      </w:r>
    </w:p>
    <w:tbl>
      <w:tblPr>
        <w:tblStyle w:val="45"/>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606"/>
      </w:tblGrid>
      <w:tr w14:paraId="78263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D9D9D9"/>
            <w:vAlign w:val="center"/>
          </w:tcPr>
          <w:p w14:paraId="2E170315">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8606" w:type="dxa"/>
            <w:tcBorders>
              <w:top w:val="single" w:color="auto" w:sz="4" w:space="0"/>
              <w:left w:val="single" w:color="auto" w:sz="4" w:space="0"/>
              <w:bottom w:val="single" w:color="auto" w:sz="4" w:space="0"/>
              <w:right w:val="single" w:color="auto" w:sz="4" w:space="0"/>
            </w:tcBorders>
            <w:shd w:val="clear" w:color="auto" w:fill="D9D9D9"/>
            <w:vAlign w:val="center"/>
          </w:tcPr>
          <w:p w14:paraId="05EFD02C">
            <w:pPr>
              <w:snapToGrid w:val="0"/>
              <w:spacing w:line="400" w:lineRule="exact"/>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编列内容</w:t>
            </w:r>
          </w:p>
        </w:tc>
      </w:tr>
      <w:tr w14:paraId="133A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46B02F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06" w:type="dxa"/>
            <w:tcBorders>
              <w:top w:val="single" w:color="auto" w:sz="4" w:space="0"/>
              <w:left w:val="single" w:color="auto" w:sz="4" w:space="0"/>
              <w:bottom w:val="single" w:color="auto" w:sz="4" w:space="0"/>
              <w:right w:val="single" w:color="auto" w:sz="4" w:space="0"/>
            </w:tcBorders>
            <w:vAlign w:val="center"/>
          </w:tcPr>
          <w:p w14:paraId="315C973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投标人的资格要求：详见招标公告。</w:t>
            </w:r>
          </w:p>
        </w:tc>
      </w:tr>
      <w:tr w14:paraId="0E686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7F060E7">
            <w:pPr>
              <w:spacing w:line="400" w:lineRule="exact"/>
              <w:jc w:val="center"/>
              <w:rPr>
                <w:rFonts w:hint="eastAsia" w:ascii="仿宋" w:hAnsi="仿宋" w:eastAsia="仿宋" w:cs="仿宋"/>
                <w:color w:val="auto"/>
                <w:sz w:val="24"/>
                <w:highlight w:val="none"/>
              </w:rPr>
            </w:pPr>
            <w:bookmarkStart w:id="58" w:name="_5"/>
            <w:bookmarkEnd w:id="58"/>
            <w:bookmarkStart w:id="59" w:name="_8.1"/>
            <w:bookmarkEnd w:id="59"/>
            <w:bookmarkStart w:id="60" w:name="_9.2"/>
            <w:bookmarkEnd w:id="60"/>
            <w:r>
              <w:rPr>
                <w:rFonts w:hint="eastAsia" w:ascii="仿宋" w:hAnsi="仿宋" w:eastAsia="仿宋" w:cs="仿宋"/>
                <w:color w:val="auto"/>
                <w:sz w:val="24"/>
                <w:highlight w:val="none"/>
              </w:rPr>
              <w:t>6.1</w:t>
            </w:r>
          </w:p>
        </w:tc>
        <w:tc>
          <w:tcPr>
            <w:tcW w:w="8606" w:type="dxa"/>
            <w:tcBorders>
              <w:top w:val="single" w:color="auto" w:sz="4" w:space="0"/>
              <w:left w:val="single" w:color="auto" w:sz="4" w:space="0"/>
              <w:bottom w:val="single" w:color="auto" w:sz="4" w:space="0"/>
              <w:right w:val="single" w:color="auto" w:sz="4" w:space="0"/>
            </w:tcBorders>
            <w:vAlign w:val="center"/>
          </w:tcPr>
          <w:p w14:paraId="29FA0131">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本项目是否接受联合体投标：详见招标公告。</w:t>
            </w:r>
          </w:p>
        </w:tc>
      </w:tr>
      <w:tr w14:paraId="5AE22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CA182EF">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6.2</w:t>
            </w:r>
          </w:p>
        </w:tc>
        <w:tc>
          <w:tcPr>
            <w:tcW w:w="8606" w:type="dxa"/>
            <w:tcBorders>
              <w:top w:val="single" w:color="auto" w:sz="4" w:space="0"/>
              <w:left w:val="single" w:color="auto" w:sz="4" w:space="0"/>
              <w:bottom w:val="single" w:color="auto" w:sz="4" w:space="0"/>
              <w:right w:val="single" w:color="auto" w:sz="4" w:space="0"/>
            </w:tcBorders>
            <w:vAlign w:val="center"/>
          </w:tcPr>
          <w:p w14:paraId="7ADE5A09">
            <w:pPr>
              <w:pStyle w:val="14"/>
              <w:spacing w:line="400" w:lineRule="exact"/>
              <w:rPr>
                <w:rFonts w:hint="eastAsia" w:ascii="仿宋" w:hAnsi="仿宋" w:eastAsia="仿宋" w:cs="仿宋"/>
                <w:color w:val="auto"/>
                <w:sz w:val="24"/>
                <w:highlight w:val="none"/>
              </w:rPr>
            </w:pPr>
            <w:bookmarkStart w:id="61" w:name="_Hlk54105293"/>
            <w:r>
              <w:rPr>
                <w:rFonts w:hint="eastAsia" w:ascii="仿宋" w:hAnsi="仿宋" w:eastAsia="仿宋" w:cs="仿宋"/>
                <w:color w:val="auto"/>
                <w:sz w:val="24"/>
                <w:highlight w:val="none"/>
              </w:rPr>
              <w:t>如接受联合体投标，</w:t>
            </w:r>
            <w:bookmarkEnd w:id="61"/>
            <w:r>
              <w:rPr>
                <w:rFonts w:hint="eastAsia" w:ascii="仿宋" w:hAnsi="仿宋" w:eastAsia="仿宋" w:cs="仿宋"/>
                <w:color w:val="auto"/>
                <w:sz w:val="24"/>
                <w:highlight w:val="none"/>
              </w:rPr>
              <w:t>联合体投标要求如下：无</w:t>
            </w:r>
          </w:p>
        </w:tc>
      </w:tr>
      <w:tr w14:paraId="26EA0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F652A6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7.2</w:t>
            </w:r>
          </w:p>
        </w:tc>
        <w:tc>
          <w:tcPr>
            <w:tcW w:w="8606" w:type="dxa"/>
            <w:tcBorders>
              <w:top w:val="single" w:color="auto" w:sz="4" w:space="0"/>
              <w:left w:val="single" w:color="auto" w:sz="4" w:space="0"/>
              <w:bottom w:val="single" w:color="auto" w:sz="4" w:space="0"/>
              <w:right w:val="single" w:color="auto" w:sz="4" w:space="0"/>
            </w:tcBorders>
            <w:vAlign w:val="center"/>
          </w:tcPr>
          <w:p w14:paraId="003B2770">
            <w:pPr>
              <w:pStyle w:val="14"/>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不允许分包</w:t>
            </w:r>
          </w:p>
          <w:p w14:paraId="490DCBE6">
            <w:pPr>
              <w:pStyle w:val="14"/>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□允许分包</w:t>
            </w:r>
          </w:p>
          <w:p w14:paraId="2167E9A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429345B">
            <w:pPr>
              <w:pStyle w:val="14"/>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53705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A592002">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p>
        </w:tc>
        <w:tc>
          <w:tcPr>
            <w:tcW w:w="8606" w:type="dxa"/>
            <w:tcBorders>
              <w:top w:val="single" w:color="auto" w:sz="4" w:space="0"/>
              <w:left w:val="single" w:color="auto" w:sz="4" w:space="0"/>
              <w:bottom w:val="single" w:color="auto" w:sz="4" w:space="0"/>
              <w:right w:val="single" w:color="auto" w:sz="4" w:space="0"/>
            </w:tcBorders>
            <w:vAlign w:val="center"/>
          </w:tcPr>
          <w:p w14:paraId="4C634A8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不组织现场考察</w:t>
            </w:r>
          </w:p>
          <w:p w14:paraId="493E7D4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□组织现场考察：</w:t>
            </w:r>
          </w:p>
          <w:p w14:paraId="068303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08D3479">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集中地点：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B2E2D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52AEA75">
            <w:pPr>
              <w:snapToGrid w:val="0"/>
              <w:spacing w:line="40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5B7468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不组织召开开标前答疑会</w:t>
            </w:r>
          </w:p>
          <w:p w14:paraId="7E7CCCE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□组织召开开标前答疑会</w:t>
            </w:r>
          </w:p>
          <w:p w14:paraId="5F40795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会议开始时间：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分</w:t>
            </w:r>
            <w:r>
              <w:rPr>
                <w:rFonts w:hint="eastAsia" w:ascii="仿宋" w:hAnsi="仿宋" w:eastAsia="仿宋" w:cs="仿宋"/>
                <w:color w:val="auto"/>
                <w:sz w:val="24"/>
                <w:highlight w:val="none"/>
              </w:rPr>
              <w:t>，逾期后果自负。</w:t>
            </w:r>
          </w:p>
          <w:p w14:paraId="24AB42B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会议地点：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12B3F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restart"/>
            <w:tcBorders>
              <w:top w:val="single" w:color="auto" w:sz="4" w:space="0"/>
              <w:left w:val="single" w:color="auto" w:sz="4" w:space="0"/>
              <w:right w:val="single" w:color="auto" w:sz="4" w:space="0"/>
            </w:tcBorders>
            <w:vAlign w:val="center"/>
          </w:tcPr>
          <w:p w14:paraId="1AA09916">
            <w:pPr>
              <w:spacing w:line="400" w:lineRule="exact"/>
              <w:jc w:val="center"/>
              <w:rPr>
                <w:rFonts w:hint="eastAsia" w:ascii="仿宋" w:hAnsi="仿宋" w:eastAsia="仿宋" w:cs="仿宋"/>
                <w:color w:val="auto"/>
                <w:sz w:val="24"/>
                <w:highlight w:val="none"/>
              </w:rPr>
            </w:pPr>
            <w:bookmarkStart w:id="62" w:name="_13.1"/>
            <w:bookmarkEnd w:id="62"/>
            <w:r>
              <w:rPr>
                <w:rFonts w:hint="eastAsia" w:ascii="仿宋" w:hAnsi="仿宋" w:eastAsia="仿宋" w:cs="仿宋"/>
                <w:color w:val="auto"/>
                <w:sz w:val="24"/>
                <w:highlight w:val="none"/>
              </w:rPr>
              <w:t>13.</w:t>
            </w:r>
            <w:bookmarkStart w:id="63" w:name="_Hlt19632543"/>
            <w:r>
              <w:rPr>
                <w:rFonts w:hint="eastAsia" w:ascii="仿宋" w:hAnsi="仿宋" w:eastAsia="仿宋" w:cs="仿宋"/>
                <w:color w:val="auto"/>
                <w:sz w:val="24"/>
                <w:highlight w:val="none"/>
              </w:rPr>
              <w:t>1</w:t>
            </w:r>
            <w:bookmarkEnd w:id="63"/>
          </w:p>
        </w:tc>
        <w:tc>
          <w:tcPr>
            <w:tcW w:w="8606" w:type="dxa"/>
            <w:tcBorders>
              <w:top w:val="single" w:color="auto" w:sz="4" w:space="0"/>
              <w:left w:val="single" w:color="auto" w:sz="4" w:space="0"/>
              <w:bottom w:val="single" w:color="auto" w:sz="4" w:space="0"/>
              <w:right w:val="single" w:color="auto" w:sz="4" w:space="0"/>
            </w:tcBorders>
            <w:vAlign w:val="center"/>
          </w:tcPr>
          <w:p w14:paraId="693DCC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报价文件：</w:t>
            </w:r>
          </w:p>
          <w:p w14:paraId="09C54B0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Cs/>
                <w:color w:val="auto"/>
                <w:sz w:val="24"/>
                <w:highlight w:val="none"/>
              </w:rPr>
              <w:t xml:space="preserve">开标一览表（格式后附）； </w:t>
            </w:r>
            <w:r>
              <w:rPr>
                <w:rFonts w:hint="eastAsia" w:ascii="仿宋" w:hAnsi="仿宋" w:eastAsia="仿宋" w:cs="仿宋"/>
                <w:b/>
                <w:color w:val="auto"/>
                <w:sz w:val="24"/>
                <w:highlight w:val="none"/>
              </w:rPr>
              <w:t>（必须提供，否则作无效投标处理）</w:t>
            </w:r>
          </w:p>
          <w:p w14:paraId="5DE9AAC4">
            <w:pPr>
              <w:snapToGrid w:val="0"/>
              <w:spacing w:line="400" w:lineRule="exact"/>
              <w:jc w:val="lef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Cs/>
                <w:color w:val="auto"/>
                <w:sz w:val="24"/>
                <w:highlight w:val="none"/>
              </w:rPr>
              <w:t xml:space="preserve">报价明细表（格式后附）； </w:t>
            </w:r>
            <w:r>
              <w:rPr>
                <w:rFonts w:hint="eastAsia" w:ascii="仿宋" w:hAnsi="仿宋" w:eastAsia="仿宋" w:cs="仿宋"/>
                <w:b/>
                <w:color w:val="auto"/>
                <w:sz w:val="24"/>
                <w:highlight w:val="none"/>
              </w:rPr>
              <w:t>（必须提供，否则作无效投标处理）</w:t>
            </w:r>
          </w:p>
          <w:p w14:paraId="50AFEAD5">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Cs/>
                <w:color w:val="auto"/>
                <w:sz w:val="24"/>
                <w:highlight w:val="none"/>
              </w:rPr>
              <w:t>投标</w:t>
            </w:r>
            <w:r>
              <w:rPr>
                <w:rFonts w:hint="eastAsia" w:ascii="仿宋" w:hAnsi="仿宋" w:eastAsia="仿宋" w:cs="仿宋"/>
                <w:color w:val="auto"/>
                <w:sz w:val="24"/>
                <w:highlight w:val="none"/>
              </w:rPr>
              <w:t>人针对报价需要说明的其他文件和说明（格式自拟）。</w:t>
            </w:r>
          </w:p>
          <w:p w14:paraId="6790F37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注：开标一览表必须由法定代表人或者委托代理人在规定签章处逐一签字（或者电子签名）并加盖投标人公章（或电子签章），否则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4AAC4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445506EA">
            <w:pPr>
              <w:spacing w:line="400" w:lineRule="exact"/>
              <w:ind w:firstLine="480" w:firstLineChars="200"/>
              <w:rPr>
                <w:rFonts w:hint="eastAsia" w:ascii="仿宋" w:hAnsi="仿宋" w:eastAsia="仿宋" w:cs="仿宋"/>
                <w:color w:val="auto"/>
                <w:sz w:val="24"/>
                <w:highlight w:val="none"/>
              </w:rPr>
            </w:pPr>
            <w:bookmarkStart w:id="64" w:name="_13.2"/>
            <w:bookmarkEnd w:id="64"/>
          </w:p>
        </w:tc>
        <w:tc>
          <w:tcPr>
            <w:tcW w:w="8606" w:type="dxa"/>
            <w:tcBorders>
              <w:top w:val="single" w:color="auto" w:sz="4" w:space="0"/>
              <w:left w:val="single" w:color="auto" w:sz="4" w:space="0"/>
              <w:bottom w:val="single" w:color="auto" w:sz="4" w:space="0"/>
              <w:right w:val="single" w:color="auto" w:sz="4" w:space="0"/>
            </w:tcBorders>
            <w:vAlign w:val="center"/>
          </w:tcPr>
          <w:p w14:paraId="585BB68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7D1C3DE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color w:val="auto"/>
                <w:sz w:val="24"/>
                <w:highlight w:val="none"/>
              </w:rPr>
              <w:t>投标人为法人或者其他组织的提供营业执照等证明文件（如营业执照或者事业单位法人证书或者</w:t>
            </w:r>
            <w:r>
              <w:rPr>
                <w:rStyle w:val="87"/>
                <w:rFonts w:hint="eastAsia" w:ascii="仿宋" w:hAnsi="仿宋" w:eastAsia="仿宋" w:cs="仿宋"/>
                <w:color w:val="auto"/>
                <w:sz w:val="24"/>
                <w:szCs w:val="24"/>
                <w:highlight w:val="none"/>
              </w:rPr>
              <w:t>执业许可证</w:t>
            </w:r>
            <w:r>
              <w:rPr>
                <w:rFonts w:hint="eastAsia" w:ascii="仿宋" w:hAnsi="仿宋" w:eastAsia="仿宋" w:cs="仿宋"/>
                <w:color w:val="auto"/>
                <w:sz w:val="24"/>
                <w:highlight w:val="none"/>
              </w:rPr>
              <w:t>等），投标人为自然人的，提供身份证扫描件；（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09E58ADF">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sz w:val="24"/>
                <w:highlight w:val="none"/>
              </w:rPr>
              <w:t xml:space="preserve"> 供应商按《医疗器械监督管理条例》（国务院令第739号）医疗器械分类管理要求具备有效的医疗器械经营备案凭证或者经营许可证（符合《医疗器械监督管理条例》（国务院令第739号）第四十一</w:t>
            </w:r>
            <w:r>
              <w:rPr>
                <w:rFonts w:hint="eastAsia" w:ascii="仿宋" w:hAnsi="仿宋" w:eastAsia="仿宋" w:cs="仿宋"/>
                <w:color w:val="auto"/>
                <w:sz w:val="24"/>
                <w:highlight w:val="none"/>
                <w:lang w:val="en-US" w:eastAsia="zh-CN"/>
              </w:rPr>
              <w:t>条</w:t>
            </w:r>
            <w:r>
              <w:rPr>
                <w:rFonts w:hint="eastAsia" w:ascii="仿宋" w:hAnsi="仿宋" w:eastAsia="仿宋" w:cs="仿宋"/>
                <w:color w:val="auto"/>
                <w:sz w:val="24"/>
                <w:highlight w:val="none"/>
              </w:rPr>
              <w:t>第二款规定或所投产品属于第一类医疗器械的除外）；或者供应商符合《医疗器械监督管理条例》（国务院令第739号）第四十三条规定的，应具备医疗器械注册证；（</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3A978E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color w:val="auto"/>
                <w:sz w:val="24"/>
                <w:highlight w:val="none"/>
              </w:rPr>
              <w:t>投标人依法缴纳税收的相关材料（2025年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至投标文件提交截止时间内任意1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bCs/>
                <w:color w:val="auto"/>
                <w:sz w:val="24"/>
                <w:highlight w:val="none"/>
              </w:rPr>
              <w:t>（必须提供，否则作无效投标处理）</w:t>
            </w:r>
          </w:p>
          <w:p w14:paraId="3697FBC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投标人依法缴纳社会保障资金的相关材料（</w:t>
            </w:r>
            <w:r>
              <w:rPr>
                <w:rFonts w:hint="eastAsia" w:ascii="仿宋" w:hAnsi="仿宋" w:eastAsia="仿宋" w:cs="仿宋"/>
                <w:color w:val="auto"/>
                <w:sz w:val="24"/>
                <w:highlight w:val="none"/>
                <w:lang w:eastAsia="zh-CN"/>
              </w:rPr>
              <w:t>2025年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rPr>
              <w:t>至投标文件提交截止时间内任意1个月的依法缴纳社会保障资金的缴费凭证复印件；依法不需要缴纳社会保障资金的供应商，必须提供相应文件证明不需要缴纳社会保障资金。从成立之日起到</w:t>
            </w:r>
            <w:bookmarkStart w:id="65" w:name="_Hlk166139661"/>
            <w:r>
              <w:rPr>
                <w:rFonts w:hint="eastAsia" w:ascii="仿宋" w:hAnsi="仿宋" w:eastAsia="仿宋" w:cs="仿宋"/>
                <w:color w:val="auto"/>
                <w:sz w:val="24"/>
                <w:highlight w:val="none"/>
              </w:rPr>
              <w:t>投标文件提交截止时间</w:t>
            </w:r>
            <w:bookmarkEnd w:id="65"/>
            <w:r>
              <w:rPr>
                <w:rFonts w:hint="eastAsia" w:ascii="仿宋" w:hAnsi="仿宋" w:eastAsia="仿宋" w:cs="仿宋"/>
                <w:color w:val="auto"/>
                <w:sz w:val="24"/>
                <w:highlight w:val="none"/>
              </w:rPr>
              <w:t>止不足要求月数的只需提供从成立之日起的依法缴纳社会保障资金的相应证明文件）；（</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D85F0A5">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投标人财务状况报告（应提供</w:t>
            </w:r>
            <w:r>
              <w:rPr>
                <w:rFonts w:hint="eastAsia" w:ascii="仿宋" w:hAnsi="仿宋" w:eastAsia="仿宋" w:cs="仿宋"/>
                <w:b/>
                <w:bCs/>
                <w:color w:val="auto"/>
                <w:sz w:val="24"/>
                <w:highlight w:val="none"/>
              </w:rPr>
              <w:t>2024年</w:t>
            </w:r>
            <w:r>
              <w:rPr>
                <w:rFonts w:hint="eastAsia" w:ascii="仿宋" w:hAnsi="仿宋" w:eastAsia="仿宋" w:cs="仿宋"/>
                <w:color w:val="auto"/>
                <w:sz w:val="24"/>
                <w:highlight w:val="none"/>
              </w:rPr>
              <w:t>的财务报表或经审计的财务报告或者银行出具的资信证明扫描件；供应商属于成立时间在规定年度之后的，需提供成立之日起至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提交截止时间前的月报表或银行出具的资信证明；资信证明应在有效期内，未注明有效期的，银行出具时间至</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提交截止时间不超过一年。）；（</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DEBC63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投标人直接控股、管理关系信息表（格式后附）；（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7105888B">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投标声明（格式后附）；（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F46974E">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除招标文件规定必须提供以外，投标人认为需要提供的其他证明材料。</w:t>
            </w:r>
          </w:p>
          <w:p w14:paraId="72065BBA">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153E24F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color w:val="auto"/>
                <w:sz w:val="24"/>
                <w:highlight w:val="none"/>
              </w:rPr>
              <w:t xml:space="preserve"> 以上标明“必须提供”的材料，必须加盖投标人公章（或电子签章）；必须提供的材料在第六章“投标文件格式”中有要求法定代表人或委托代理人签字的，必须由法定代表人或委托代理人签字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，否则按无效投标处理。</w:t>
            </w:r>
          </w:p>
          <w:p w14:paraId="4C1900A3">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2.投标声明必须由法定代表人</w:t>
            </w:r>
            <w:r>
              <w:rPr>
                <w:rFonts w:hint="eastAsia" w:ascii="仿宋" w:hAnsi="仿宋" w:eastAsia="仿宋" w:cs="仿宋"/>
                <w:b/>
                <w:bCs/>
                <w:color w:val="auto"/>
                <w:sz w:val="24"/>
                <w:highlight w:val="none"/>
              </w:rPr>
              <w:t>或委托代理人</w:t>
            </w:r>
            <w:r>
              <w:rPr>
                <w:rFonts w:hint="eastAsia" w:ascii="仿宋" w:hAnsi="仿宋" w:eastAsia="仿宋" w:cs="仿宋"/>
                <w:b/>
                <w:color w:val="auto"/>
                <w:sz w:val="24"/>
                <w:highlight w:val="none"/>
              </w:rPr>
              <w:t>在规定签章处签字</w:t>
            </w:r>
            <w:r>
              <w:rPr>
                <w:rFonts w:hint="eastAsia" w:ascii="仿宋" w:hAnsi="仿宋" w:eastAsia="仿宋" w:cs="仿宋"/>
                <w:b/>
                <w:bCs/>
                <w:color w:val="auto"/>
                <w:sz w:val="24"/>
                <w:highlight w:val="none"/>
              </w:rPr>
              <w:t>（或者电子签名）</w:t>
            </w:r>
            <w:r>
              <w:rPr>
                <w:rFonts w:hint="eastAsia" w:ascii="仿宋" w:hAnsi="仿宋" w:eastAsia="仿宋" w:cs="仿宋"/>
                <w:b/>
                <w:color w:val="auto"/>
                <w:sz w:val="24"/>
                <w:highlight w:val="none"/>
              </w:rPr>
              <w:t>并加盖投标人公章（或电子签章），否则作无效投标处理。</w:t>
            </w:r>
          </w:p>
          <w:p w14:paraId="1C374D67">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3.投标人直接控股、管理关系信息表必须由法定代表人或者委托代理人在规定签章处签字（或者电子签名）并加盖投标人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EFFF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0F621795">
            <w:pPr>
              <w:spacing w:line="400" w:lineRule="exact"/>
              <w:ind w:firstLine="480" w:firstLineChars="200"/>
              <w:rPr>
                <w:rFonts w:hint="eastAsia" w:ascii="仿宋" w:hAnsi="仿宋" w:eastAsia="仿宋" w:cs="仿宋"/>
                <w:color w:val="auto"/>
                <w:sz w:val="24"/>
                <w:highlight w:val="none"/>
              </w:rPr>
            </w:pPr>
          </w:p>
        </w:tc>
        <w:tc>
          <w:tcPr>
            <w:tcW w:w="8606" w:type="dxa"/>
            <w:tcBorders>
              <w:top w:val="single" w:color="auto" w:sz="4" w:space="0"/>
              <w:left w:val="single" w:color="auto" w:sz="4" w:space="0"/>
              <w:bottom w:val="single" w:color="auto" w:sz="4" w:space="0"/>
              <w:right w:val="single" w:color="auto" w:sz="4" w:space="0"/>
            </w:tcBorders>
            <w:vAlign w:val="center"/>
          </w:tcPr>
          <w:p w14:paraId="4F755224">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商务文件：</w:t>
            </w:r>
          </w:p>
          <w:p w14:paraId="4E49BDD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val="0"/>
                <w:bCs w:val="0"/>
                <w:color w:val="auto"/>
                <w:sz w:val="24"/>
                <w:highlight w:val="none"/>
              </w:rPr>
              <w:t>投标人参加本项目无围标串标行为的承诺函（格式</w:t>
            </w:r>
            <w:r>
              <w:rPr>
                <w:rFonts w:hint="eastAsia" w:ascii="仿宋" w:hAnsi="仿宋" w:eastAsia="仿宋" w:cs="仿宋"/>
                <w:color w:val="auto"/>
                <w:sz w:val="24"/>
                <w:highlight w:val="none"/>
              </w:rPr>
              <w:t>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60C057C3">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投标函（格式后附）；（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3958E9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rPr>
              <w:t>投标保证金提交凭证；</w:t>
            </w:r>
            <w:r>
              <w:rPr>
                <w:rFonts w:hint="eastAsia" w:ascii="仿宋" w:hAnsi="仿宋" w:eastAsia="仿宋" w:cs="仿宋"/>
                <w:b/>
                <w:color w:val="auto"/>
                <w:sz w:val="24"/>
                <w:highlight w:val="none"/>
              </w:rPr>
              <w:t>（必须提供，否则作无效投标处理）</w:t>
            </w:r>
          </w:p>
          <w:p w14:paraId="16DD24BD">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color w:val="auto"/>
                <w:sz w:val="24"/>
                <w:highlight w:val="none"/>
              </w:rPr>
              <w:t>法定代表人身份证明及法定代表人有效身份证正反面复印件（格式后附）；（</w:t>
            </w:r>
            <w:r>
              <w:rPr>
                <w:rFonts w:hint="eastAsia" w:ascii="仿宋" w:hAnsi="仿宋" w:eastAsia="仿宋" w:cs="仿宋"/>
                <w:b/>
                <w:bCs/>
                <w:color w:val="auto"/>
                <w:sz w:val="24"/>
                <w:highlight w:val="none"/>
              </w:rPr>
              <w:t>除自然人投标外</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29825EE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法定代表人授权委托书及委托代理人有效身份证正反面复印件（格式后附）；（</w:t>
            </w:r>
            <w:r>
              <w:rPr>
                <w:rFonts w:hint="eastAsia" w:ascii="仿宋" w:hAnsi="仿宋" w:eastAsia="仿宋" w:cs="仿宋"/>
                <w:b/>
                <w:color w:val="auto"/>
                <w:sz w:val="24"/>
                <w:highlight w:val="none"/>
              </w:rPr>
              <w:t>委托时必须提供，否则作无效投标处理</w:t>
            </w:r>
            <w:r>
              <w:rPr>
                <w:rFonts w:hint="eastAsia" w:ascii="仿宋" w:hAnsi="仿宋" w:eastAsia="仿宋" w:cs="仿宋"/>
                <w:color w:val="auto"/>
                <w:sz w:val="24"/>
                <w:highlight w:val="none"/>
              </w:rPr>
              <w:t>）</w:t>
            </w:r>
          </w:p>
          <w:p w14:paraId="46322C04">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6.</w:t>
            </w:r>
            <w:r>
              <w:rPr>
                <w:rFonts w:hint="eastAsia" w:ascii="仿宋" w:hAnsi="仿宋" w:eastAsia="仿宋" w:cs="仿宋"/>
                <w:color w:val="auto"/>
                <w:sz w:val="24"/>
                <w:highlight w:val="none"/>
              </w:rPr>
              <w:t>商务条款偏离表（格式后附）；（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347301A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7.</w:t>
            </w:r>
            <w:r>
              <w:rPr>
                <w:rFonts w:hint="eastAsia" w:ascii="仿宋" w:hAnsi="仿宋" w:eastAsia="仿宋" w:cs="仿宋"/>
                <w:color w:val="auto"/>
                <w:sz w:val="24"/>
                <w:highlight w:val="none"/>
              </w:rPr>
              <w:t>投标人情况介绍（格式自拟）；</w:t>
            </w:r>
          </w:p>
          <w:p w14:paraId="3E64D4AA">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8.</w:t>
            </w:r>
            <w:r>
              <w:rPr>
                <w:rFonts w:hint="eastAsia" w:ascii="仿宋" w:hAnsi="仿宋" w:eastAsia="仿宋" w:cs="仿宋"/>
                <w:color w:val="auto"/>
                <w:sz w:val="24"/>
                <w:highlight w:val="none"/>
              </w:rPr>
              <w:t>中小企业声明函（格式后附）；（如有，请提供）</w:t>
            </w:r>
            <w:r>
              <w:rPr>
                <w:rFonts w:hint="eastAsia" w:ascii="仿宋" w:hAnsi="仿宋" w:eastAsia="仿宋" w:cs="仿宋"/>
                <w:b/>
                <w:color w:val="auto"/>
                <w:sz w:val="24"/>
                <w:highlight w:val="none"/>
              </w:rPr>
              <w:t xml:space="preserve"> </w:t>
            </w:r>
          </w:p>
          <w:p w14:paraId="1581E931">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9.</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847FC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29B69209">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1.投标函必须由法定代表人或者委托代理人在规定签章处逐一签字（或者电子签名）并加盖投标人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p w14:paraId="46787C3E">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2.法定代表人授权委托书必须由法定代表人及委托代理人签字（或者电子签名）并加盖投标人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，否则作无效投标处理。</w:t>
            </w:r>
          </w:p>
          <w:p w14:paraId="602F9CAF">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3.以上标明“必须提供”的材料属于复印件的，必须加盖投标人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0AA7F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21DE0A27">
            <w:pPr>
              <w:spacing w:line="400" w:lineRule="exact"/>
              <w:ind w:firstLine="480" w:firstLineChars="200"/>
              <w:rPr>
                <w:rFonts w:hint="eastAsia" w:ascii="仿宋" w:hAnsi="仿宋" w:eastAsia="仿宋" w:cs="仿宋"/>
                <w:color w:val="auto"/>
                <w:sz w:val="24"/>
                <w:highlight w:val="none"/>
              </w:rPr>
            </w:pPr>
            <w:bookmarkStart w:id="66" w:name="_13.3"/>
            <w:bookmarkEnd w:id="66"/>
          </w:p>
        </w:tc>
        <w:tc>
          <w:tcPr>
            <w:tcW w:w="8606" w:type="dxa"/>
            <w:tcBorders>
              <w:top w:val="single" w:color="auto" w:sz="4" w:space="0"/>
              <w:left w:val="single" w:color="auto" w:sz="4" w:space="0"/>
              <w:bottom w:val="single" w:color="auto" w:sz="4" w:space="0"/>
              <w:right w:val="single" w:color="auto" w:sz="4" w:space="0"/>
            </w:tcBorders>
            <w:vAlign w:val="center"/>
          </w:tcPr>
          <w:p w14:paraId="0BB39A29">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技术文件：</w:t>
            </w:r>
          </w:p>
          <w:p w14:paraId="69E7D72E">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color w:val="auto"/>
                <w:sz w:val="24"/>
                <w:highlight w:val="none"/>
              </w:rPr>
              <w:t>技术偏离表（格式后附）；（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441677A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color w:val="auto"/>
                <w:sz w:val="24"/>
                <w:highlight w:val="none"/>
              </w:rPr>
              <w:t>设备性能配置清单（格式后附）；（</w:t>
            </w:r>
            <w:r>
              <w:rPr>
                <w:rFonts w:hint="eastAsia" w:ascii="仿宋" w:hAnsi="仿宋" w:eastAsia="仿宋" w:cs="仿宋"/>
                <w:b/>
                <w:color w:val="auto"/>
                <w:sz w:val="24"/>
                <w:highlight w:val="none"/>
              </w:rPr>
              <w:t>必须提供，否则作无效投标处理</w:t>
            </w:r>
            <w:r>
              <w:rPr>
                <w:rFonts w:hint="eastAsia" w:ascii="仿宋" w:hAnsi="仿宋" w:eastAsia="仿宋" w:cs="仿宋"/>
                <w:color w:val="auto"/>
                <w:sz w:val="24"/>
                <w:highlight w:val="none"/>
              </w:rPr>
              <w:t>）</w:t>
            </w:r>
          </w:p>
          <w:p w14:paraId="57E99BA0">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color w:val="auto"/>
                <w:sz w:val="24"/>
                <w:highlight w:val="none"/>
                <w:lang w:val="en-US" w:eastAsia="zh-CN"/>
              </w:rPr>
              <w:t>售后服务方案</w:t>
            </w:r>
            <w:r>
              <w:rPr>
                <w:rFonts w:hint="eastAsia" w:ascii="仿宋" w:hAnsi="仿宋" w:eastAsia="仿宋" w:cs="仿宋"/>
                <w:color w:val="auto"/>
                <w:sz w:val="24"/>
                <w:highlight w:val="none"/>
              </w:rPr>
              <w:t xml:space="preserve">（格式自拟）； </w:t>
            </w:r>
          </w:p>
          <w:p w14:paraId="512D1BB7">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4.项目实施方案（格式自拟）；</w:t>
            </w:r>
          </w:p>
          <w:p w14:paraId="5D418E28">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w:t>
            </w:r>
            <w:r>
              <w:rPr>
                <w:rFonts w:hint="eastAsia" w:ascii="仿宋" w:hAnsi="仿宋" w:eastAsia="仿宋" w:cs="仿宋"/>
                <w:color w:val="auto"/>
                <w:sz w:val="24"/>
                <w:highlight w:val="none"/>
              </w:rPr>
              <w:t>除招标文件规定必须提供以外，投标人认为需要提供的其他证明材料（格式自拟）。（投标人根据“第二章 采购需求”及“第四章 评标方法及评标标准”提供有关证明材料）。</w:t>
            </w:r>
          </w:p>
          <w:p w14:paraId="66A39405">
            <w:pPr>
              <w:snapToGrid w:val="0"/>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0A872272">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1.以上标明“必须提供”的材料属于复印件的，必须加盖投标人</w:t>
            </w:r>
            <w:r>
              <w:rPr>
                <w:rFonts w:hint="eastAsia" w:ascii="仿宋" w:hAnsi="仿宋" w:eastAsia="仿宋" w:cs="仿宋"/>
                <w:b/>
                <w:color w:val="auto"/>
                <w:sz w:val="24"/>
                <w:highlight w:val="none"/>
              </w:rPr>
              <w:t>公章（或电子签章）</w:t>
            </w:r>
            <w:r>
              <w:rPr>
                <w:rFonts w:hint="eastAsia" w:ascii="仿宋" w:hAnsi="仿宋" w:eastAsia="仿宋" w:cs="仿宋"/>
                <w:b/>
                <w:bCs/>
                <w:color w:val="auto"/>
                <w:sz w:val="24"/>
                <w:highlight w:val="none"/>
              </w:rPr>
              <w:t>，否则</w:t>
            </w:r>
            <w:r>
              <w:rPr>
                <w:rFonts w:hint="eastAsia" w:ascii="仿宋" w:hAnsi="仿宋" w:eastAsia="仿宋" w:cs="仿宋"/>
                <w:b/>
                <w:color w:val="auto"/>
                <w:sz w:val="24"/>
                <w:highlight w:val="none"/>
              </w:rPr>
              <w:t>作无效投标处理</w:t>
            </w:r>
            <w:r>
              <w:rPr>
                <w:rFonts w:hint="eastAsia" w:ascii="仿宋" w:hAnsi="仿宋" w:eastAsia="仿宋" w:cs="仿宋"/>
                <w:b/>
                <w:bCs/>
                <w:color w:val="auto"/>
                <w:sz w:val="24"/>
                <w:highlight w:val="none"/>
              </w:rPr>
              <w:t>。</w:t>
            </w:r>
          </w:p>
        </w:tc>
      </w:tr>
      <w:tr w14:paraId="7B8FA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57DED9C">
            <w:pPr>
              <w:spacing w:line="400" w:lineRule="exact"/>
              <w:jc w:val="center"/>
              <w:rPr>
                <w:rFonts w:hint="eastAsia" w:ascii="仿宋" w:hAnsi="仿宋" w:eastAsia="仿宋" w:cs="仿宋"/>
                <w:color w:val="auto"/>
                <w:sz w:val="24"/>
                <w:highlight w:val="none"/>
              </w:rPr>
            </w:pPr>
            <w:bookmarkStart w:id="67" w:name="_13.4"/>
            <w:bookmarkEnd w:id="67"/>
            <w:bookmarkStart w:id="68" w:name="_13.5"/>
            <w:bookmarkEnd w:id="68"/>
            <w:r>
              <w:rPr>
                <w:rFonts w:hint="eastAsia" w:ascii="仿宋" w:hAnsi="仿宋" w:eastAsia="仿宋" w:cs="仿宋"/>
                <w:color w:val="auto"/>
                <w:sz w:val="24"/>
                <w:highlight w:val="none"/>
              </w:rPr>
              <w:t>13.2</w:t>
            </w:r>
          </w:p>
        </w:tc>
        <w:tc>
          <w:tcPr>
            <w:tcW w:w="8606" w:type="dxa"/>
            <w:tcBorders>
              <w:top w:val="single" w:color="auto" w:sz="4" w:space="0"/>
              <w:left w:val="single" w:color="auto" w:sz="4" w:space="0"/>
              <w:bottom w:val="single" w:color="auto" w:sz="4" w:space="0"/>
              <w:right w:val="single" w:color="auto" w:sz="4" w:space="0"/>
            </w:tcBorders>
            <w:vAlign w:val="center"/>
          </w:tcPr>
          <w:p w14:paraId="5B7995AD">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投标文件编制要求：</w:t>
            </w:r>
          </w:p>
          <w:p w14:paraId="1360557A">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投标文件应按报价文件、资格证明文件、商务文件、技术文件分别编制，报价文件、资格证明文件分别生成电子文件，商务文件和技术文件按顺序合并生成电子文件。</w:t>
            </w:r>
          </w:p>
          <w:p w14:paraId="1371B5C6">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提交方式：本项目为全流程电子化项目，通过广西政府采购云平台（https://www.gcy.zfcg.gxzf.gov.cn/）实行在线电子投标，潜在投标人应先安装“政采云电子交易客户端”（请自行前往广西政府采购云平台进行下载），并按照本项目招标文件和广西政府采购云平台的要求编制、加密后在投标文件提交截止时间前通过网络上传至广西政府采购云平台，潜在投标人在广西政府采购云平台提交电子版投标文件时，请填写参加远程开标活动经办人联系方式。</w:t>
            </w:r>
          </w:p>
          <w:p w14:paraId="77620A05">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进行网上注册并办理数字证书（CA认证）的潜在投标人将无法参与本项目政府采购活动，潜在投标人应当在投标文件提交截止时间前，完成电子交易平台上的CA数字证书办理及投标文件的提交。完成CA数字证书办理预计7日左右，潜在投标人只需办理其中一家CA数字证书及签章，建议各潜在投标人抓紧时间办理，且广西政府采购云平台电子投标具体操作流程如不懂，请提前熟悉，如有问题可拨打广西政府采购云平台客户服务热线95763进行咨询。</w:t>
            </w:r>
          </w:p>
          <w:p w14:paraId="7014FD72">
            <w:pPr>
              <w:snapToGrid w:val="0"/>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（3）为确保网上操作合法、有效和安全，请潜在投标人确保在电子投标过程中能够对相关数据电文进行加密和使用电子签章，妥善保管CA数字证书并使用有效的CA数字证书参与整个招标活动。</w:t>
            </w:r>
          </w:p>
        </w:tc>
      </w:tr>
      <w:tr w14:paraId="1B02F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C3C79D5">
            <w:pPr>
              <w:spacing w:line="400" w:lineRule="exact"/>
              <w:jc w:val="center"/>
              <w:rPr>
                <w:rFonts w:hint="eastAsia" w:ascii="仿宋" w:hAnsi="仿宋" w:eastAsia="仿宋" w:cs="仿宋"/>
                <w:color w:val="auto"/>
                <w:sz w:val="24"/>
                <w:highlight w:val="none"/>
              </w:rPr>
            </w:pPr>
            <w:bookmarkStart w:id="69" w:name="_16.2"/>
            <w:bookmarkEnd w:id="69"/>
            <w:r>
              <w:rPr>
                <w:rFonts w:hint="eastAsia" w:ascii="仿宋" w:hAnsi="仿宋" w:eastAsia="仿宋" w:cs="仿宋"/>
                <w:color w:val="auto"/>
                <w:sz w:val="24"/>
                <w:highlight w:val="none"/>
              </w:rPr>
              <w:t>16</w:t>
            </w:r>
            <w:bookmarkStart w:id="70" w:name="_Hlt19693758"/>
            <w:bookmarkStart w:id="71" w:name="_Hlt19194066"/>
            <w:bookmarkStart w:id="72" w:name="_Hlt19194067"/>
            <w:bookmarkStart w:id="73" w:name="_Hlt19693759"/>
            <w:r>
              <w:rPr>
                <w:rFonts w:hint="eastAsia" w:ascii="仿宋" w:hAnsi="仿宋" w:eastAsia="仿宋" w:cs="仿宋"/>
                <w:color w:val="auto"/>
                <w:sz w:val="24"/>
                <w:highlight w:val="none"/>
              </w:rPr>
              <w:t>.</w:t>
            </w:r>
            <w:bookmarkEnd w:id="70"/>
            <w:bookmarkEnd w:id="71"/>
            <w:bookmarkEnd w:id="72"/>
            <w:bookmarkEnd w:id="73"/>
            <w:r>
              <w:rPr>
                <w:rFonts w:hint="eastAsia" w:ascii="仿宋" w:hAnsi="仿宋" w:eastAsia="仿宋" w:cs="仿宋"/>
                <w:color w:val="auto"/>
                <w:sz w:val="24"/>
                <w:highlight w:val="none"/>
              </w:rPr>
              <w:t>2</w:t>
            </w:r>
          </w:p>
        </w:tc>
        <w:tc>
          <w:tcPr>
            <w:tcW w:w="8606" w:type="dxa"/>
            <w:tcBorders>
              <w:top w:val="single" w:color="auto" w:sz="4" w:space="0"/>
              <w:left w:val="single" w:color="auto" w:sz="4" w:space="0"/>
              <w:bottom w:val="single" w:color="auto" w:sz="4" w:space="0"/>
              <w:right w:val="single" w:color="auto" w:sz="4" w:space="0"/>
            </w:tcBorders>
            <w:vAlign w:val="center"/>
          </w:tcPr>
          <w:p w14:paraId="1FF42EB2">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是履行合同的最终价格，包含货物、货物标准附件、备品备件、专用工具、设备安装辅材、施工辅材、包装、运输、装卸、保险、货到就位的各种费用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约定的所有责任、义务和一般风险等一切费用。</w:t>
            </w:r>
          </w:p>
          <w:p w14:paraId="219E5866">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☑投标报价包含验收费用</w:t>
            </w:r>
          </w:p>
          <w:p w14:paraId="46BC859E">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□投标报价不包含验收费用</w:t>
            </w:r>
          </w:p>
        </w:tc>
      </w:tr>
      <w:tr w14:paraId="13A0C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CB46EFA">
            <w:pPr>
              <w:spacing w:line="400" w:lineRule="exact"/>
              <w:jc w:val="center"/>
              <w:rPr>
                <w:rFonts w:hint="eastAsia" w:ascii="仿宋" w:hAnsi="仿宋" w:eastAsia="仿宋" w:cs="仿宋"/>
                <w:color w:val="auto"/>
                <w:sz w:val="24"/>
                <w:highlight w:val="none"/>
              </w:rPr>
            </w:pPr>
            <w:bookmarkStart w:id="74" w:name="_17.1"/>
            <w:bookmarkEnd w:id="74"/>
            <w:r>
              <w:rPr>
                <w:rFonts w:hint="eastAsia" w:ascii="仿宋" w:hAnsi="仿宋" w:eastAsia="仿宋" w:cs="仿宋"/>
                <w:color w:val="auto"/>
                <w:sz w:val="24"/>
                <w:highlight w:val="none"/>
              </w:rPr>
              <w:t>17.2</w:t>
            </w:r>
          </w:p>
        </w:tc>
        <w:tc>
          <w:tcPr>
            <w:tcW w:w="8606" w:type="dxa"/>
            <w:tcBorders>
              <w:top w:val="single" w:color="auto" w:sz="4" w:space="0"/>
              <w:left w:val="single" w:color="auto" w:sz="4" w:space="0"/>
              <w:bottom w:val="single" w:color="auto" w:sz="4" w:space="0"/>
              <w:right w:val="single" w:color="auto" w:sz="4" w:space="0"/>
            </w:tcBorders>
            <w:vAlign w:val="center"/>
          </w:tcPr>
          <w:p w14:paraId="603A7EF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投标有效期：自投标截止之日起 120日。</w:t>
            </w:r>
          </w:p>
        </w:tc>
      </w:tr>
      <w:tr w14:paraId="4D662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D2B1DE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p>
        </w:tc>
        <w:tc>
          <w:tcPr>
            <w:tcW w:w="8606" w:type="dxa"/>
            <w:tcBorders>
              <w:top w:val="single" w:color="auto" w:sz="4" w:space="0"/>
              <w:left w:val="single" w:color="auto" w:sz="4" w:space="0"/>
              <w:bottom w:val="single" w:color="auto" w:sz="4" w:space="0"/>
              <w:right w:val="single" w:color="auto" w:sz="4" w:space="0"/>
            </w:tcBorders>
            <w:vAlign w:val="center"/>
          </w:tcPr>
          <w:p w14:paraId="76569D3F">
            <w:pPr>
              <w:spacing w:line="40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投标保证金金额：</w:t>
            </w:r>
            <w:r>
              <w:rPr>
                <w:rFonts w:hint="eastAsia" w:ascii="仿宋" w:hAnsi="仿宋" w:eastAsia="仿宋" w:cs="仿宋"/>
                <w:b/>
                <w:bCs/>
                <w:color w:val="auto"/>
                <w:kern w:val="0"/>
                <w:sz w:val="24"/>
                <w:highlight w:val="none"/>
              </w:rPr>
              <w:t>人民币大写壹万贰仟元整（￥12000.00）；</w:t>
            </w:r>
          </w:p>
          <w:p w14:paraId="073607BA">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投标保证金的交纳方式：银行转账、支票、汇票、本票或者金融、担保机构出具的保函、保险机构的保单，禁止采用现钞方式。</w:t>
            </w:r>
          </w:p>
          <w:p w14:paraId="1037F6C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相关要求：</w:t>
            </w:r>
          </w:p>
          <w:p w14:paraId="36C0F234">
            <w:pPr>
              <w:spacing w:line="400" w:lineRule="exact"/>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1.采用银行转账方式的，在投标文件递交截至时间前交至采购代理机构指定账户并且到账银行转账底单扫描件作为投标保证金提交凭证，</w:t>
            </w:r>
            <w:r>
              <w:rPr>
                <w:rFonts w:hint="eastAsia" w:ascii="仿宋" w:hAnsi="仿宋" w:eastAsia="仿宋" w:cs="仿宋"/>
                <w:b/>
                <w:bCs/>
                <w:color w:val="auto"/>
                <w:kern w:val="0"/>
                <w:sz w:val="24"/>
                <w:highlight w:val="none"/>
              </w:rPr>
              <w:t>放置于投标文件中，否则视为无效投标保证金。</w:t>
            </w:r>
          </w:p>
          <w:p w14:paraId="76C0CDE0">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用支票、汇票、本票或者保函等方式的，投标人应将支票、汇票、本票或者金融、担保机构出具的保函、保险机构的保单原件必须在投标文件递交截至时间前单独密封递交至广西壮族自治区公共资源交易中心开标室（具体详见当天大厅显示屏）提交给采购人或代理机构，</w:t>
            </w:r>
            <w:r>
              <w:rPr>
                <w:rFonts w:hint="eastAsia" w:ascii="仿宋" w:hAnsi="仿宋" w:eastAsia="仿宋" w:cs="仿宋"/>
                <w:color w:val="auto"/>
                <w:sz w:val="24"/>
                <w:highlight w:val="none"/>
              </w:rPr>
              <w:t>由采购人或者采购代理机构向投标人出具回执，并妥善保管。</w:t>
            </w:r>
            <w:r>
              <w:rPr>
                <w:rFonts w:hint="eastAsia" w:ascii="仿宋" w:hAnsi="仿宋" w:eastAsia="仿宋" w:cs="仿宋"/>
                <w:color w:val="auto"/>
                <w:kern w:val="0"/>
                <w:sz w:val="24"/>
                <w:highlight w:val="none"/>
              </w:rPr>
              <w:t>原件扫描件作为投标保证金提交、凭证，放置于投标文件中，否则视为无效投标保证金。</w:t>
            </w:r>
          </w:p>
          <w:p w14:paraId="717375E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3.代理机构指定账户：</w:t>
            </w:r>
          </w:p>
          <w:p w14:paraId="046FB20F">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1CDA848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4394F82A">
            <w:pPr>
              <w:spacing w:line="40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银行账号：</w:t>
            </w:r>
            <w:r>
              <w:rPr>
                <w:rFonts w:hint="eastAsia" w:ascii="仿宋" w:hAnsi="仿宋" w:eastAsia="仿宋" w:cs="仿宋"/>
                <w:color w:val="auto"/>
                <w:kern w:val="0"/>
                <w:sz w:val="24"/>
                <w:highlight w:val="none"/>
                <w:lang w:eastAsia="zh-CN"/>
              </w:rPr>
              <w:t>3110910037672529176</w:t>
            </w:r>
          </w:p>
          <w:p w14:paraId="1EB40B0E">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 </w:t>
            </w:r>
          </w:p>
          <w:p w14:paraId="3C689CC0">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1、投标保证金在投标文件递交截止时间后提交的，或者不按规定交纳方式交纳的，或者未足额交纳的（包含保函额度不足的），视为无效投标保证金。</w:t>
            </w:r>
          </w:p>
          <w:p w14:paraId="7D60480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2、投标人采用现钞方式或者从个人账户（自然人投标除外）转出的投标保证金，视为无效投标保证金。</w:t>
            </w:r>
          </w:p>
          <w:p w14:paraId="43AE453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3、支票、汇票或者本票出现无效或者背书情形的，视为无效投标保证金。</w:t>
            </w:r>
          </w:p>
          <w:p w14:paraId="24783B6C">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4、保函、保单有效期低于投标有效期的，视为无效投标保证金。</w:t>
            </w:r>
          </w:p>
          <w:p w14:paraId="73E5B36D">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5、采用金融、担保机构出具保函的，必须为无条件保函，否则视为无效投标保证金。</w:t>
            </w:r>
          </w:p>
        </w:tc>
      </w:tr>
      <w:tr w14:paraId="18243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AD3C77E">
            <w:pPr>
              <w:spacing w:line="400" w:lineRule="exact"/>
              <w:jc w:val="center"/>
              <w:rPr>
                <w:rFonts w:hint="eastAsia" w:ascii="仿宋" w:hAnsi="仿宋" w:eastAsia="仿宋" w:cs="仿宋"/>
                <w:color w:val="auto"/>
                <w:sz w:val="24"/>
                <w:highlight w:val="none"/>
              </w:rPr>
            </w:pPr>
            <w:bookmarkStart w:id="75" w:name="_18"/>
            <w:bookmarkEnd w:id="75"/>
            <w:r>
              <w:rPr>
                <w:rFonts w:hint="eastAsia" w:ascii="仿宋" w:hAnsi="仿宋" w:eastAsia="仿宋" w:cs="仿宋"/>
                <w:color w:val="auto"/>
                <w:sz w:val="24"/>
                <w:highlight w:val="none"/>
              </w:rPr>
              <w:t>20.0</w:t>
            </w:r>
          </w:p>
        </w:tc>
        <w:tc>
          <w:tcPr>
            <w:tcW w:w="8606" w:type="dxa"/>
            <w:tcBorders>
              <w:top w:val="single" w:color="auto" w:sz="4" w:space="0"/>
              <w:left w:val="single" w:color="auto" w:sz="4" w:space="0"/>
              <w:bottom w:val="single" w:color="auto" w:sz="4" w:space="0"/>
              <w:right w:val="single" w:color="auto" w:sz="4" w:space="0"/>
            </w:tcBorders>
            <w:vAlign w:val="center"/>
          </w:tcPr>
          <w:p w14:paraId="2B5662EA">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本项目不接受备份文件。</w:t>
            </w:r>
          </w:p>
        </w:tc>
      </w:tr>
      <w:tr w14:paraId="2E570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765E378A">
            <w:pPr>
              <w:spacing w:line="400" w:lineRule="exact"/>
              <w:jc w:val="center"/>
              <w:rPr>
                <w:rFonts w:hint="eastAsia" w:ascii="仿宋" w:hAnsi="仿宋" w:eastAsia="仿宋" w:cs="仿宋"/>
                <w:color w:val="auto"/>
                <w:sz w:val="24"/>
                <w:highlight w:val="none"/>
              </w:rPr>
            </w:pPr>
            <w:bookmarkStart w:id="76" w:name="_19.2"/>
            <w:bookmarkEnd w:id="76"/>
            <w:bookmarkStart w:id="77" w:name="_21.1"/>
            <w:bookmarkEnd w:id="77"/>
            <w:r>
              <w:rPr>
                <w:rFonts w:hint="eastAsia" w:ascii="仿宋" w:hAnsi="仿宋" w:eastAsia="仿宋" w:cs="仿宋"/>
                <w:color w:val="auto"/>
                <w:sz w:val="24"/>
                <w:highlight w:val="none"/>
              </w:rPr>
              <w:t>21.1</w:t>
            </w:r>
          </w:p>
        </w:tc>
        <w:tc>
          <w:tcPr>
            <w:tcW w:w="8606" w:type="dxa"/>
            <w:tcBorders>
              <w:top w:val="single" w:color="auto" w:sz="4" w:space="0"/>
              <w:left w:val="single" w:color="auto" w:sz="4" w:space="0"/>
              <w:bottom w:val="single" w:color="auto" w:sz="4" w:space="0"/>
              <w:right w:val="single" w:color="auto" w:sz="4" w:space="0"/>
            </w:tcBorders>
            <w:vAlign w:val="center"/>
          </w:tcPr>
          <w:p w14:paraId="25923095">
            <w:pPr>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bCs/>
                <w:color w:val="auto"/>
                <w:sz w:val="24"/>
                <w:highlight w:val="none"/>
              </w:rPr>
              <w:t>提交投标文件截止时间</w:t>
            </w:r>
            <w:r>
              <w:rPr>
                <w:rFonts w:hint="eastAsia" w:ascii="仿宋" w:hAnsi="仿宋" w:eastAsia="仿宋" w:cs="仿宋"/>
                <w:color w:val="auto"/>
                <w:sz w:val="24"/>
                <w:highlight w:val="none"/>
              </w:rPr>
              <w:t>：详见招标公告</w:t>
            </w:r>
          </w:p>
          <w:p w14:paraId="0D604028">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提交投标文件截止地点</w:t>
            </w:r>
            <w:r>
              <w:rPr>
                <w:rFonts w:hint="eastAsia" w:ascii="仿宋" w:hAnsi="仿宋" w:eastAsia="仿宋" w:cs="仿宋"/>
                <w:color w:val="auto"/>
                <w:sz w:val="24"/>
                <w:highlight w:val="none"/>
              </w:rPr>
              <w:t>：详见招标公告</w:t>
            </w:r>
          </w:p>
        </w:tc>
      </w:tr>
      <w:tr w14:paraId="5C71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3B9A0A59">
            <w:pPr>
              <w:spacing w:line="400" w:lineRule="exact"/>
              <w:jc w:val="center"/>
              <w:rPr>
                <w:rFonts w:hint="eastAsia" w:ascii="仿宋" w:hAnsi="仿宋" w:eastAsia="仿宋" w:cs="仿宋"/>
                <w:color w:val="auto"/>
                <w:sz w:val="24"/>
                <w:highlight w:val="none"/>
              </w:rPr>
            </w:pPr>
            <w:bookmarkStart w:id="78" w:name="_23"/>
            <w:bookmarkEnd w:id="78"/>
            <w:r>
              <w:rPr>
                <w:rFonts w:hint="eastAsia" w:ascii="仿宋" w:hAnsi="仿宋" w:eastAsia="仿宋" w:cs="仿宋"/>
                <w:color w:val="auto"/>
                <w:sz w:val="24"/>
                <w:highlight w:val="none"/>
              </w:rPr>
              <w:t>23</w:t>
            </w:r>
          </w:p>
        </w:tc>
        <w:tc>
          <w:tcPr>
            <w:tcW w:w="8606" w:type="dxa"/>
            <w:tcBorders>
              <w:top w:val="single" w:color="auto" w:sz="4" w:space="0"/>
              <w:left w:val="single" w:color="auto" w:sz="4" w:space="0"/>
              <w:bottom w:val="single" w:color="auto" w:sz="4" w:space="0"/>
              <w:right w:val="single" w:color="auto" w:sz="4" w:space="0"/>
            </w:tcBorders>
            <w:vAlign w:val="center"/>
          </w:tcPr>
          <w:p w14:paraId="07A122A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开标时间：详见招标公告</w:t>
            </w:r>
          </w:p>
          <w:p w14:paraId="7262BB7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开标地点：详见招标公告</w:t>
            </w:r>
          </w:p>
        </w:tc>
      </w:tr>
      <w:tr w14:paraId="3682A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BFA37EA">
            <w:pPr>
              <w:spacing w:line="400" w:lineRule="exact"/>
              <w:jc w:val="center"/>
              <w:rPr>
                <w:rFonts w:hint="eastAsia" w:ascii="仿宋" w:hAnsi="仿宋" w:eastAsia="仿宋" w:cs="仿宋"/>
                <w:color w:val="auto"/>
                <w:sz w:val="24"/>
                <w:highlight w:val="none"/>
              </w:rPr>
            </w:pPr>
            <w:bookmarkStart w:id="79" w:name="_25.3"/>
            <w:bookmarkEnd w:id="79"/>
            <w:r>
              <w:rPr>
                <w:rFonts w:hint="eastAsia" w:ascii="仿宋" w:hAnsi="仿宋" w:eastAsia="仿宋" w:cs="仿宋"/>
                <w:color w:val="auto"/>
                <w:sz w:val="24"/>
                <w:highlight w:val="none"/>
              </w:rPr>
              <w:t>25.3（2）</w:t>
            </w:r>
          </w:p>
        </w:tc>
        <w:tc>
          <w:tcPr>
            <w:tcW w:w="8606" w:type="dxa"/>
            <w:tcBorders>
              <w:top w:val="single" w:color="auto" w:sz="4" w:space="0"/>
              <w:left w:val="single" w:color="auto" w:sz="4" w:space="0"/>
              <w:bottom w:val="single" w:color="auto" w:sz="4" w:space="0"/>
              <w:right w:val="single" w:color="auto" w:sz="4" w:space="0"/>
            </w:tcBorders>
            <w:vAlign w:val="center"/>
          </w:tcPr>
          <w:p w14:paraId="4952DF7D">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采购人或者采购代理机构在资格审查结束前，对投标人进行信用查询。</w:t>
            </w:r>
          </w:p>
          <w:p w14:paraId="1441BD8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查询渠道：“信用中国”网站(www.creditchina.gov.cn) 、中国政府采购网(www.ccgp.gov.cn)。</w:t>
            </w:r>
          </w:p>
          <w:p w14:paraId="525CDFD5">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信用查询截止时点：资格审查结束前</w:t>
            </w:r>
          </w:p>
          <w:p w14:paraId="3F2B0A4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查询记录和证据留存方式：在查询网站中直接打印查询记录，打印材料作为评审资料保存。</w:t>
            </w:r>
          </w:p>
          <w:p w14:paraId="412A6A94">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9A0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A67D86D">
            <w:pPr>
              <w:spacing w:line="400" w:lineRule="exact"/>
              <w:jc w:val="center"/>
              <w:rPr>
                <w:rFonts w:hint="eastAsia" w:ascii="仿宋" w:hAnsi="仿宋" w:eastAsia="仿宋" w:cs="仿宋"/>
                <w:color w:val="auto"/>
                <w:sz w:val="24"/>
                <w:highlight w:val="none"/>
              </w:rPr>
            </w:pPr>
            <w:bookmarkStart w:id="80" w:name="_26"/>
            <w:bookmarkEnd w:id="80"/>
            <w:r>
              <w:rPr>
                <w:rFonts w:hint="eastAsia" w:ascii="仿宋" w:hAnsi="仿宋" w:eastAsia="仿宋" w:cs="仿宋"/>
                <w:color w:val="auto"/>
                <w:sz w:val="24"/>
                <w:highlight w:val="none"/>
              </w:rPr>
              <w:t>26</w:t>
            </w:r>
          </w:p>
        </w:tc>
        <w:tc>
          <w:tcPr>
            <w:tcW w:w="8606" w:type="dxa"/>
            <w:tcBorders>
              <w:top w:val="single" w:color="auto" w:sz="4" w:space="0"/>
              <w:left w:val="single" w:color="auto" w:sz="4" w:space="0"/>
              <w:bottom w:val="single" w:color="auto" w:sz="4" w:space="0"/>
              <w:right w:val="single" w:color="auto" w:sz="4" w:space="0"/>
            </w:tcBorders>
            <w:vAlign w:val="center"/>
          </w:tcPr>
          <w:p w14:paraId="39806DC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评标委员会的人数：</w:t>
            </w:r>
            <w:r>
              <w:rPr>
                <w:rFonts w:hint="eastAsia" w:ascii="仿宋" w:hAnsi="仿宋" w:eastAsia="仿宋" w:cs="仿宋"/>
                <w:color w:val="auto"/>
                <w:sz w:val="24"/>
                <w:highlight w:val="none"/>
                <w:u w:val="single"/>
              </w:rPr>
              <w:t xml:space="preserve"> 5 </w:t>
            </w:r>
            <w:r>
              <w:rPr>
                <w:rFonts w:hint="eastAsia" w:ascii="仿宋" w:hAnsi="仿宋" w:eastAsia="仿宋" w:cs="仿宋"/>
                <w:color w:val="auto"/>
                <w:sz w:val="24"/>
                <w:highlight w:val="none"/>
              </w:rPr>
              <w:t>人</w:t>
            </w:r>
          </w:p>
        </w:tc>
      </w:tr>
      <w:tr w14:paraId="4CEF3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3DBD784">
            <w:pPr>
              <w:spacing w:line="400" w:lineRule="exact"/>
              <w:jc w:val="center"/>
              <w:rPr>
                <w:rFonts w:hint="eastAsia" w:ascii="仿宋" w:hAnsi="仿宋" w:eastAsia="仿宋" w:cs="仿宋"/>
                <w:color w:val="auto"/>
                <w:sz w:val="24"/>
                <w:highlight w:val="none"/>
              </w:rPr>
            </w:pPr>
            <w:bookmarkStart w:id="81" w:name="_28.3"/>
            <w:bookmarkEnd w:id="81"/>
            <w:r>
              <w:rPr>
                <w:rFonts w:hint="eastAsia" w:ascii="仿宋" w:hAnsi="仿宋" w:eastAsia="仿宋" w:cs="仿宋"/>
                <w:color w:val="auto"/>
                <w:sz w:val="24"/>
                <w:highlight w:val="none"/>
              </w:rPr>
              <w:t>30.1</w:t>
            </w:r>
          </w:p>
        </w:tc>
        <w:tc>
          <w:tcPr>
            <w:tcW w:w="8606" w:type="dxa"/>
            <w:tcBorders>
              <w:top w:val="single" w:color="auto" w:sz="4" w:space="0"/>
              <w:left w:val="single" w:color="auto" w:sz="4" w:space="0"/>
              <w:bottom w:val="single" w:color="auto" w:sz="4" w:space="0"/>
              <w:right w:val="single" w:color="auto" w:sz="4" w:space="0"/>
            </w:tcBorders>
            <w:vAlign w:val="center"/>
          </w:tcPr>
          <w:p w14:paraId="68447E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评标方法：    ☑综合评分法       □最低评标价法</w:t>
            </w:r>
          </w:p>
        </w:tc>
      </w:tr>
      <w:tr w14:paraId="0D081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6BBF6AE">
            <w:pPr>
              <w:spacing w:line="400" w:lineRule="exact"/>
              <w:jc w:val="center"/>
              <w:rPr>
                <w:rFonts w:hint="eastAsia" w:ascii="仿宋" w:hAnsi="仿宋" w:eastAsia="仿宋" w:cs="仿宋"/>
                <w:color w:val="auto"/>
                <w:sz w:val="24"/>
                <w:highlight w:val="none"/>
              </w:rPr>
            </w:pPr>
            <w:bookmarkStart w:id="82" w:name="_29.2.2（2）"/>
            <w:bookmarkEnd w:id="82"/>
            <w:r>
              <w:rPr>
                <w:rFonts w:hint="eastAsia" w:ascii="仿宋" w:hAnsi="仿宋" w:eastAsia="仿宋" w:cs="仿宋"/>
                <w:color w:val="auto"/>
                <w:sz w:val="24"/>
                <w:highlight w:val="none"/>
              </w:rPr>
              <w:t>31.1</w:t>
            </w:r>
          </w:p>
        </w:tc>
        <w:tc>
          <w:tcPr>
            <w:tcW w:w="8606" w:type="dxa"/>
            <w:tcBorders>
              <w:top w:val="single" w:color="auto" w:sz="4" w:space="0"/>
              <w:left w:val="single" w:color="auto" w:sz="4" w:space="0"/>
              <w:bottom w:val="single" w:color="auto" w:sz="4" w:space="0"/>
              <w:right w:val="single" w:color="auto" w:sz="4" w:space="0"/>
            </w:tcBorders>
            <w:vAlign w:val="center"/>
          </w:tcPr>
          <w:p w14:paraId="7E26087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采购人确定中标人时，出现中标候选人并列的情形，采购人按以下的方式确定中标人：</w:t>
            </w:r>
          </w:p>
          <w:p w14:paraId="5AA6C6A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☑政策分得分高的优先、技术评分高的优先、商务评分高的优先、项目质保期长优先、交货期短优先、故障响应时间短优先的顺序； </w:t>
            </w:r>
          </w:p>
          <w:p w14:paraId="2719DD5C">
            <w:pPr>
              <w:snapToGrid w:val="0"/>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□随机抽取</w:t>
            </w:r>
          </w:p>
        </w:tc>
      </w:tr>
      <w:tr w14:paraId="7EA40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93EA4CC">
            <w:pPr>
              <w:spacing w:line="400" w:lineRule="exact"/>
              <w:jc w:val="center"/>
              <w:rPr>
                <w:rFonts w:hint="eastAsia" w:ascii="仿宋" w:hAnsi="仿宋" w:eastAsia="仿宋" w:cs="仿宋"/>
                <w:color w:val="auto"/>
                <w:sz w:val="24"/>
                <w:highlight w:val="none"/>
              </w:rPr>
            </w:pPr>
            <w:bookmarkStart w:id="83" w:name="_39.1"/>
            <w:bookmarkEnd w:id="83"/>
            <w:r>
              <w:rPr>
                <w:rFonts w:hint="eastAsia" w:ascii="仿宋" w:hAnsi="仿宋" w:eastAsia="仿宋" w:cs="仿宋"/>
                <w:color w:val="auto"/>
                <w:sz w:val="24"/>
                <w:highlight w:val="none"/>
              </w:rPr>
              <w:t>36</w:t>
            </w:r>
          </w:p>
        </w:tc>
        <w:tc>
          <w:tcPr>
            <w:tcW w:w="8606" w:type="dxa"/>
            <w:tcBorders>
              <w:top w:val="single" w:color="auto" w:sz="4" w:space="0"/>
              <w:left w:val="single" w:color="auto" w:sz="4" w:space="0"/>
              <w:bottom w:val="single" w:color="auto" w:sz="4" w:space="0"/>
              <w:right w:val="single" w:color="auto" w:sz="4" w:space="0"/>
            </w:tcBorders>
            <w:vAlign w:val="center"/>
          </w:tcPr>
          <w:p w14:paraId="20064C0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履约保证金金额：按中标金额的 5 %（如</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为中小微企业，按中标金额的2%）。</w:t>
            </w:r>
          </w:p>
          <w:p w14:paraId="19E0E6D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履约保证金提交方式：银行转账、支票、汇票、本票或者金融、担保机构出具的保函、保险机构的保单等方式。</w:t>
            </w:r>
          </w:p>
          <w:p w14:paraId="61ED70A3">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履约保证金退付方式、时间及条件：自项目验收合格及</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履行完质保义务后，由</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向履约保证金收取单位提供《广西壮族自治区政府采购项目合同验收书》（详见附件1）及《政府采购项目履约保证金退付意见书》（详见附件2），保证金收取单位在收到合格材料后无息退还。</w:t>
            </w:r>
          </w:p>
          <w:p w14:paraId="6D651786">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履约保证金指定账户：</w:t>
            </w:r>
          </w:p>
          <w:p w14:paraId="5F26E914">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开户名称：广西壮族自治区人民医院</w:t>
            </w:r>
          </w:p>
          <w:p w14:paraId="3E782800">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开户银行：中国民生银行股份有限公司南宁金湖支行</w:t>
            </w:r>
          </w:p>
          <w:p w14:paraId="6F43DCC1">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银行账号：631333260</w:t>
            </w:r>
          </w:p>
          <w:p w14:paraId="3A555AE7">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p w14:paraId="649E3608">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bookmarkStart w:id="84" w:name="_Hlk166140633"/>
            <w:r>
              <w:rPr>
                <w:rFonts w:hint="eastAsia" w:ascii="仿宋" w:hAnsi="仿宋" w:eastAsia="仿宋" w:cs="仿宋"/>
                <w:color w:val="auto"/>
                <w:sz w:val="24"/>
                <w:highlight w:val="none"/>
              </w:rPr>
              <w:t>符合《广西壮族自治区财政厅关于规范政府采购货物和服务项目保证金管理的通知》桂财采〔2022〕8号 文件要求的，按照相关要求执行（中小企业收取的履约保证金数额为中标金额的2%）</w:t>
            </w:r>
            <w:bookmarkEnd w:id="84"/>
            <w:r>
              <w:rPr>
                <w:rFonts w:hint="eastAsia" w:ascii="仿宋" w:hAnsi="仿宋" w:eastAsia="仿宋" w:cs="仿宋"/>
                <w:color w:val="auto"/>
                <w:sz w:val="24"/>
                <w:highlight w:val="none"/>
              </w:rPr>
              <w:t>。</w:t>
            </w:r>
          </w:p>
          <w:p w14:paraId="53532FE2">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2. 中标人在签订合同之前，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履约保证金自项目验收合格后，待中标人履行完质保义务后无息退还。</w:t>
            </w:r>
          </w:p>
        </w:tc>
      </w:tr>
      <w:tr w14:paraId="58126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81E1CDC">
            <w:pPr>
              <w:spacing w:line="400" w:lineRule="exact"/>
              <w:jc w:val="center"/>
              <w:rPr>
                <w:rFonts w:hint="eastAsia" w:ascii="仿宋" w:hAnsi="仿宋" w:eastAsia="仿宋" w:cs="仿宋"/>
                <w:color w:val="auto"/>
                <w:sz w:val="24"/>
                <w:highlight w:val="none"/>
              </w:rPr>
            </w:pPr>
            <w:bookmarkStart w:id="85" w:name="_40.1"/>
            <w:bookmarkEnd w:id="85"/>
            <w:r>
              <w:rPr>
                <w:rFonts w:hint="eastAsia" w:ascii="仿宋" w:hAnsi="仿宋" w:eastAsia="仿宋" w:cs="仿宋"/>
                <w:color w:val="auto"/>
                <w:sz w:val="24"/>
                <w:highlight w:val="none"/>
              </w:rPr>
              <w:t>37.1</w:t>
            </w:r>
          </w:p>
        </w:tc>
        <w:tc>
          <w:tcPr>
            <w:tcW w:w="8606" w:type="dxa"/>
            <w:tcBorders>
              <w:top w:val="single" w:color="auto" w:sz="4" w:space="0"/>
              <w:left w:val="single" w:color="auto" w:sz="4" w:space="0"/>
              <w:bottom w:val="single" w:color="auto" w:sz="4" w:space="0"/>
              <w:right w:val="single" w:color="auto" w:sz="4" w:space="0"/>
            </w:tcBorders>
            <w:vAlign w:val="center"/>
          </w:tcPr>
          <w:p w14:paraId="7123314D">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签订合同携带的证明材料：</w:t>
            </w:r>
          </w:p>
          <w:p w14:paraId="22551B65">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委托代理人负责签订合同的，须携带授权委托书及委托代理人身份证原件等其他资格证件。</w:t>
            </w:r>
          </w:p>
          <w:p w14:paraId="1A7FF38F">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法定代表人负责签订合同的，须携带法定代表人身份证明原件及身份证原件等其他证明材料。</w:t>
            </w:r>
          </w:p>
        </w:tc>
      </w:tr>
      <w:tr w14:paraId="748D2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A0ADE2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38.2</w:t>
            </w:r>
          </w:p>
        </w:tc>
        <w:tc>
          <w:tcPr>
            <w:tcW w:w="8606" w:type="dxa"/>
            <w:tcBorders>
              <w:top w:val="single" w:color="auto" w:sz="4" w:space="0"/>
              <w:left w:val="single" w:color="auto" w:sz="4" w:space="0"/>
              <w:bottom w:val="single" w:color="auto" w:sz="4" w:space="0"/>
              <w:right w:val="single" w:color="auto" w:sz="4" w:space="0"/>
            </w:tcBorders>
            <w:vAlign w:val="center"/>
          </w:tcPr>
          <w:p w14:paraId="34967188">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接收质疑函方式：以书面形式</w:t>
            </w:r>
          </w:p>
          <w:p w14:paraId="45CA301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质疑联系部门及联系方式：公诚管理咨询有限公司；联系人：</w:t>
            </w:r>
            <w:r>
              <w:rPr>
                <w:rFonts w:hint="eastAsia" w:ascii="仿宋" w:hAnsi="仿宋" w:eastAsia="仿宋" w:cs="仿宋"/>
                <w:color w:val="auto"/>
                <w:sz w:val="24"/>
                <w:highlight w:val="none"/>
                <w:lang w:val="en-US" w:eastAsia="zh-CN"/>
              </w:rPr>
              <w:t>陈雅冰</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15078828204</w:t>
            </w:r>
            <w:r>
              <w:rPr>
                <w:rFonts w:hint="eastAsia" w:ascii="仿宋" w:hAnsi="仿宋" w:eastAsia="仿宋" w:cs="仿宋"/>
                <w:color w:val="auto"/>
                <w:sz w:val="24"/>
                <w:highlight w:val="none"/>
              </w:rPr>
              <w:t>/0771-5583003；邮箱：gcgxjkzb@163.com。</w:t>
            </w:r>
          </w:p>
          <w:p w14:paraId="597F169A">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通讯地址：广西南宁市青秀区金湖北路52-1号东方曼哈顿25楼</w:t>
            </w:r>
          </w:p>
          <w:p w14:paraId="621CF5BB">
            <w:pPr>
              <w:autoSpaceDE w:val="0"/>
              <w:autoSpaceDN w:val="0"/>
              <w:snapToGrid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现场提交质疑办理业务时间：每天8时30分到12时00分，14时30分到18时00分，业务时间以外、双休日和法定节假日不办理业务。</w:t>
            </w:r>
          </w:p>
        </w:tc>
      </w:tr>
      <w:tr w14:paraId="01E4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EE36642">
            <w:pPr>
              <w:spacing w:line="400" w:lineRule="exact"/>
              <w:jc w:val="center"/>
              <w:rPr>
                <w:rFonts w:hint="eastAsia" w:ascii="仿宋" w:hAnsi="仿宋" w:eastAsia="仿宋" w:cs="仿宋"/>
                <w:color w:val="auto"/>
                <w:sz w:val="24"/>
                <w:highlight w:val="none"/>
              </w:rPr>
            </w:pPr>
            <w:bookmarkStart w:id="86" w:name="_42"/>
            <w:bookmarkEnd w:id="86"/>
            <w:bookmarkStart w:id="87" w:name="_41"/>
            <w:bookmarkEnd w:id="87"/>
            <w:r>
              <w:rPr>
                <w:rFonts w:hint="eastAsia" w:ascii="仿宋" w:hAnsi="仿宋" w:eastAsia="仿宋" w:cs="仿宋"/>
                <w:color w:val="auto"/>
                <w:sz w:val="24"/>
                <w:highlight w:val="none"/>
              </w:rPr>
              <w:t>40</w:t>
            </w:r>
          </w:p>
        </w:tc>
        <w:tc>
          <w:tcPr>
            <w:tcW w:w="8606" w:type="dxa"/>
            <w:tcBorders>
              <w:top w:val="single" w:color="auto" w:sz="4" w:space="0"/>
              <w:left w:val="single" w:color="auto" w:sz="4" w:space="0"/>
              <w:bottom w:val="single" w:color="auto" w:sz="4" w:space="0"/>
              <w:right w:val="single" w:color="auto" w:sz="4" w:space="0"/>
            </w:tcBorders>
            <w:vAlign w:val="center"/>
          </w:tcPr>
          <w:p w14:paraId="4AC161F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1.采购代理费支付方式：</w:t>
            </w:r>
          </w:p>
          <w:p w14:paraId="2E722E00">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☑本项目代理服务费由</w:t>
            </w:r>
            <w:r>
              <w:rPr>
                <w:rFonts w:hint="eastAsia" w:ascii="仿宋" w:hAnsi="仿宋" w:eastAsia="仿宋" w:cs="仿宋"/>
                <w:color w:val="auto"/>
                <w:sz w:val="24"/>
                <w:szCs w:val="24"/>
                <w:highlight w:val="none"/>
                <w:u w:val="single"/>
              </w:rPr>
              <w:t>中标人</w:t>
            </w:r>
            <w:r>
              <w:rPr>
                <w:rFonts w:hint="eastAsia" w:ascii="仿宋" w:hAnsi="仿宋" w:eastAsia="仿宋" w:cs="仿宋"/>
                <w:color w:val="auto"/>
                <w:sz w:val="24"/>
                <w:szCs w:val="24"/>
                <w:highlight w:val="none"/>
              </w:rPr>
              <w:t>向采购代理机构支付。</w:t>
            </w:r>
          </w:p>
          <w:p w14:paraId="290278CF">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□采购人支付。</w:t>
            </w:r>
          </w:p>
          <w:p w14:paraId="514E6229">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2.采购代理费收取标准：</w:t>
            </w:r>
          </w:p>
          <w:p w14:paraId="2E395124">
            <w:pPr>
              <w:pStyle w:val="23"/>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采购代理机构向中标人收取代理服务费。以</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sz w:val="24"/>
                <w:szCs w:val="24"/>
                <w:highlight w:val="none"/>
              </w:rPr>
              <w:t>项目中标金额为计费额，按</w:t>
            </w:r>
            <w:r>
              <w:rPr>
                <w:rFonts w:hint="eastAsia" w:ascii="仿宋" w:hAnsi="仿宋" w:eastAsia="仿宋" w:cs="仿宋"/>
                <w:b/>
                <w:bCs/>
                <w:color w:val="auto"/>
                <w:sz w:val="24"/>
                <w:szCs w:val="24"/>
                <w:highlight w:val="none"/>
                <w:u w:val="single"/>
              </w:rPr>
              <w:t>货物类</w:t>
            </w:r>
            <w:r>
              <w:rPr>
                <w:rFonts w:hint="eastAsia" w:ascii="仿宋" w:hAnsi="仿宋" w:eastAsia="仿宋" w:cs="仿宋"/>
                <w:color w:val="auto"/>
                <w:sz w:val="24"/>
                <w:szCs w:val="24"/>
                <w:highlight w:val="none"/>
              </w:rPr>
              <w:t xml:space="preserve"> 差额定率累进法下浮20%计取，具体详见投标人须知正文40。</w:t>
            </w:r>
          </w:p>
          <w:p w14:paraId="5882634E">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开户名称：公诚管理咨询有限公司</w:t>
            </w:r>
          </w:p>
          <w:p w14:paraId="05F99197">
            <w:pPr>
              <w:snapToGrid w:val="0"/>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开户银行：中信银行广州花园支行</w:t>
            </w:r>
          </w:p>
          <w:p w14:paraId="449CE86D">
            <w:pPr>
              <w:pStyle w:val="23"/>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rPr>
              <w:t>银行账号：</w:t>
            </w:r>
            <w:r>
              <w:rPr>
                <w:rFonts w:hint="eastAsia" w:ascii="仿宋" w:hAnsi="仿宋" w:eastAsia="仿宋" w:cs="仿宋"/>
                <w:color w:val="auto"/>
                <w:sz w:val="24"/>
                <w:szCs w:val="24"/>
                <w:highlight w:val="none"/>
                <w:lang w:eastAsia="zh-CN"/>
              </w:rPr>
              <w:t>3110910037672529176</w:t>
            </w:r>
          </w:p>
        </w:tc>
      </w:tr>
      <w:tr w14:paraId="45E8B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BC8F57A">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41.1</w:t>
            </w:r>
          </w:p>
        </w:tc>
        <w:tc>
          <w:tcPr>
            <w:tcW w:w="8606" w:type="dxa"/>
            <w:tcBorders>
              <w:top w:val="single" w:color="auto" w:sz="4" w:space="0"/>
              <w:left w:val="single" w:color="auto" w:sz="4" w:space="0"/>
              <w:bottom w:val="single" w:color="auto" w:sz="4" w:space="0"/>
              <w:right w:val="single" w:color="auto" w:sz="4" w:space="0"/>
            </w:tcBorders>
            <w:vAlign w:val="center"/>
          </w:tcPr>
          <w:p w14:paraId="65044F4F">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B1BD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47CDE58">
            <w:pPr>
              <w:snapToGrid w:val="0"/>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41.2</w:t>
            </w:r>
          </w:p>
        </w:tc>
        <w:tc>
          <w:tcPr>
            <w:tcW w:w="8606" w:type="dxa"/>
            <w:tcBorders>
              <w:top w:val="single" w:color="auto" w:sz="4" w:space="0"/>
              <w:left w:val="single" w:color="auto" w:sz="4" w:space="0"/>
              <w:bottom w:val="single" w:color="auto" w:sz="4" w:space="0"/>
              <w:right w:val="single" w:color="auto" w:sz="4" w:space="0"/>
            </w:tcBorders>
            <w:vAlign w:val="center"/>
          </w:tcPr>
          <w:p w14:paraId="3657D5B7">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59964CE">
            <w:pPr>
              <w:pStyle w:val="23"/>
              <w:numPr>
                <w:ilvl w:val="0"/>
                <w:numId w:val="3"/>
              </w:numPr>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招标文件所称的“电子签章”、“电子签名”，是指经“政采云”平台认可的CA认证的电子签名数据为表现形式的印章，可用于签署电子投标文件，电子印章与实物印章具有同等法律效力，不因其采用电子化表现形式而否定其法律效力。</w:t>
            </w:r>
          </w:p>
          <w:p w14:paraId="45E95CAD">
            <w:pPr>
              <w:pStyle w:val="23"/>
              <w:adjustRightIn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EDAF32C">
            <w:pPr>
              <w:pStyle w:val="23"/>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4.自然人投标的，招标文件规定盖公章或电子签章处由自然人摁手指指印。</w:t>
            </w:r>
          </w:p>
          <w:p w14:paraId="720BBBF8">
            <w:pPr>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5.本招标文件所称的“以上”“以下”“以内”“届满”，包括本数；所称的“不满”“超过”“以外”，不包括本数，法律、行政法规、管理办法等另有规定的，从其规定。</w:t>
            </w:r>
          </w:p>
          <w:p w14:paraId="2D48CC79">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6.根据《关于印发中小企业划型标准规定的通知》（工信部联企业〔2011〕300号），</w:t>
            </w:r>
            <w:bookmarkStart w:id="88" w:name="_Hlk114736424"/>
            <w:r>
              <w:rPr>
                <w:rFonts w:hint="eastAsia" w:ascii="仿宋" w:hAnsi="仿宋" w:eastAsia="仿宋" w:cs="仿宋"/>
                <w:color w:val="auto"/>
                <w:sz w:val="24"/>
                <w:highlight w:val="none"/>
              </w:rPr>
              <w:t>本项目所属行业：</w:t>
            </w:r>
            <w:r>
              <w:rPr>
                <w:rFonts w:hint="eastAsia" w:ascii="仿宋" w:hAnsi="仿宋" w:eastAsia="仿宋" w:cs="仿宋"/>
                <w:b/>
                <w:bCs/>
                <w:color w:val="auto"/>
                <w:sz w:val="24"/>
                <w:highlight w:val="none"/>
                <w:u w:val="single"/>
              </w:rPr>
              <w:t>工业（包括采矿业，制造业，电力、热力、燃气及水生产和供应业）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，行业划型标准为：</w:t>
            </w:r>
            <w:r>
              <w:rPr>
                <w:rFonts w:hint="eastAsia" w:ascii="仿宋" w:hAnsi="仿宋" w:eastAsia="仿宋" w:cs="仿宋"/>
                <w:color w:val="auto"/>
                <w:sz w:val="24"/>
                <w:highlight w:val="none"/>
                <w:u w:val="singl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sz w:val="24"/>
                <w:highlight w:val="none"/>
              </w:rPr>
              <w:t>。</w:t>
            </w:r>
            <w:bookmarkEnd w:id="88"/>
          </w:p>
          <w:p w14:paraId="7EBE6539">
            <w:pPr>
              <w:spacing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7.偏离认定说明</w:t>
            </w:r>
          </w:p>
          <w:p w14:paraId="2FEF8E0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投标人根据采购需求中技术参数为基准，填写响应表，对于响应表或证明材料与技术参数不符的，按如下规定：</w:t>
            </w:r>
          </w:p>
          <w:p w14:paraId="4D487585">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3C723F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（2）响应表中响应的内容与证明材料不一致的，以证明材料为准作为评审依据。</w:t>
            </w:r>
          </w:p>
          <w:p w14:paraId="25176A4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（3）同时出现以上两种情况的，按照（1）-（2）顺序认定。</w:t>
            </w:r>
          </w:p>
          <w:p w14:paraId="1E041FBA">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（4）响应表与采购需求中技术参数比较有漏项的，如为实质性参数漏项，视为未响应；如为非实质性参数漏项，视为负偏离。</w:t>
            </w:r>
          </w:p>
          <w:p w14:paraId="4DF5F1C8">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（5）一项技术参数有多条小项要求的，必须全部响应。如只响应部分参数，视为漏项，按照（4）判定。评审时以每一条技术参数为评审依据。</w:t>
            </w:r>
          </w:p>
          <w:p w14:paraId="45E996E0">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2A9294A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7D188A7E">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（8）对于单边任意参数的要求，例“长度≥50cm”，若响应为50 cm均视为无偏离；若50cm以上任意一个数值，视为正偏离；若响应小于50cm，视为负偏离。</w:t>
            </w:r>
          </w:p>
          <w:p w14:paraId="7B06C5E6">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（9）如采购需求中技术参数有特殊要求与上述说明不一致的，以特殊要求为准。</w:t>
            </w:r>
          </w:p>
        </w:tc>
      </w:tr>
    </w:tbl>
    <w:p w14:paraId="6FE6A3DA">
      <w:pPr>
        <w:snapToGrid w:val="0"/>
        <w:rPr>
          <w:rFonts w:hint="eastAsia" w:ascii="仿宋" w:hAnsi="仿宋" w:eastAsia="仿宋" w:cs="仿宋"/>
          <w:color w:val="auto"/>
          <w:sz w:val="24"/>
          <w:szCs w:val="20"/>
          <w:highlight w:val="none"/>
        </w:rPr>
      </w:pPr>
    </w:p>
    <w:p w14:paraId="1A88CF2C">
      <w:pPr>
        <w:jc w:val="center"/>
        <w:outlineLvl w:val="1"/>
        <w:rPr>
          <w:rFonts w:hint="eastAsia" w:ascii="仿宋" w:hAnsi="仿宋" w:eastAsia="仿宋" w:cs="仿宋"/>
          <w:color w:val="auto"/>
          <w:highlight w:val="none"/>
        </w:rPr>
      </w:pPr>
      <w:r>
        <w:rPr>
          <w:rFonts w:hint="eastAsia" w:ascii="仿宋" w:hAnsi="仿宋" w:eastAsia="仿宋" w:cs="仿宋"/>
          <w:color w:val="auto"/>
          <w:sz w:val="24"/>
          <w:szCs w:val="20"/>
          <w:highlight w:val="none"/>
        </w:rPr>
        <w:br w:type="page"/>
      </w:r>
      <w:bookmarkStart w:id="89" w:name="_Toc11898"/>
      <w:bookmarkStart w:id="90" w:name="_Toc16218"/>
      <w:bookmarkStart w:id="91" w:name="_Toc1014"/>
      <w:bookmarkStart w:id="92" w:name="_Toc11867"/>
      <w:r>
        <w:rPr>
          <w:rFonts w:hint="eastAsia" w:ascii="仿宋" w:hAnsi="仿宋" w:eastAsia="仿宋" w:cs="仿宋"/>
          <w:color w:val="auto"/>
          <w:sz w:val="36"/>
          <w:szCs w:val="36"/>
          <w:highlight w:val="none"/>
        </w:rPr>
        <w:t>投标人须知正文</w:t>
      </w:r>
      <w:bookmarkEnd w:id="89"/>
      <w:bookmarkEnd w:id="90"/>
      <w:bookmarkEnd w:id="91"/>
      <w:bookmarkEnd w:id="92"/>
    </w:p>
    <w:p w14:paraId="7B778D9A">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一、总  则</w:t>
      </w:r>
    </w:p>
    <w:p w14:paraId="041736A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3" w:name="_Toc254970527"/>
      <w:bookmarkStart w:id="94" w:name="_Toc254970668"/>
      <w:r>
        <w:rPr>
          <w:rFonts w:hint="eastAsia" w:ascii="仿宋" w:hAnsi="仿宋" w:eastAsia="仿宋" w:cs="仿宋"/>
          <w:color w:val="auto"/>
          <w:sz w:val="24"/>
          <w:highlight w:val="none"/>
        </w:rPr>
        <w:t>1.适用范围</w:t>
      </w:r>
      <w:bookmarkEnd w:id="93"/>
      <w:bookmarkEnd w:id="94"/>
    </w:p>
    <w:p w14:paraId="4069A51C">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70AB2EA">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1.2本招标文件</w:t>
      </w:r>
      <w:r>
        <w:rPr>
          <w:rFonts w:hint="eastAsia" w:ascii="仿宋" w:hAnsi="仿宋" w:eastAsia="仿宋" w:cs="仿宋"/>
          <w:color w:val="auto"/>
          <w:spacing w:val="-6"/>
          <w:sz w:val="24"/>
          <w:highlight w:val="none"/>
        </w:rPr>
        <w:t>适用于本项目的所有采购程序和环节（法律、法规另有规定的，从其规定）。</w:t>
      </w:r>
    </w:p>
    <w:p w14:paraId="5E04CC2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5" w:name="_Toc254970528"/>
      <w:bookmarkStart w:id="96" w:name="_Toc254970669"/>
      <w:r>
        <w:rPr>
          <w:rFonts w:hint="eastAsia" w:ascii="仿宋" w:hAnsi="仿宋" w:eastAsia="仿宋" w:cs="仿宋"/>
          <w:color w:val="auto"/>
          <w:sz w:val="24"/>
          <w:highlight w:val="none"/>
        </w:rPr>
        <w:t>2.定义</w:t>
      </w:r>
      <w:bookmarkEnd w:id="95"/>
      <w:bookmarkEnd w:id="96"/>
    </w:p>
    <w:p w14:paraId="5580E81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2.1“采购人”是指依法进行政府采购的国家机关、事业单位、团体组织。</w:t>
      </w:r>
    </w:p>
    <w:p w14:paraId="540BA1ED">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2.2“采购代理机构”是指政府采购代理机构（以下简称采购代理机构）是指集中采购机构以外、受采购人委托从事政府采购代理业务的社会中介机构。</w:t>
      </w:r>
    </w:p>
    <w:p w14:paraId="585C7AD8">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2.3“供应商”是指向采购人提供货物、工程或者服务的法人、其他组织或者自然人。</w:t>
      </w:r>
    </w:p>
    <w:p w14:paraId="1C0C0C83">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2.4“投标人”是指响应招标、参加投标竞争的法人、非法人组织或者自然人。</w:t>
      </w:r>
    </w:p>
    <w:p w14:paraId="202BF65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2.5“货物”是指各种形态和种类的物品，包括原材料、燃料、设备、产品等。</w:t>
      </w:r>
    </w:p>
    <w:p w14:paraId="65FD3F4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43F0DD00">
      <w:pPr>
        <w:pStyle w:val="5"/>
        <w:keepNext w:val="0"/>
        <w:keepLines w:val="0"/>
        <w:numPr>
          <w:ilvl w:val="0"/>
          <w:numId w:val="0"/>
        </w:numPr>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2.7“书面形式”是指合同书、信件和数据电文（包括电报、电传、传真、电子数据交换和电子邮件）等可以有形地表现所载内容的形式。</w:t>
      </w:r>
    </w:p>
    <w:p w14:paraId="0EF952E9">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2.8“实质性要求”是指招标文件中已经指明不满足则投标无效的条款，或者不能负偏离的条款，或者采购需求中带“▲”的条款。</w:t>
      </w:r>
    </w:p>
    <w:p w14:paraId="1949BB5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2.9 “正偏离”，是指投标文件对招标文件“采购需求”中有关条款作出的响应优于条款基础要求并有利于采购人的情形。</w:t>
      </w:r>
    </w:p>
    <w:p w14:paraId="3BCB7D3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2.10“负偏离”，是指投标文件对招标文件“采购需求”中有关条款作出的响应不满足条款要求，导致采购人要求不能得到满足的情形。</w:t>
      </w:r>
    </w:p>
    <w:p w14:paraId="3AF9FEA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bookmarkStart w:id="97" w:name="_Toc254970529"/>
      <w:bookmarkStart w:id="98" w:name="_Toc254970670"/>
    </w:p>
    <w:p w14:paraId="34F3CB6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bookmarkEnd w:id="97"/>
      <w:bookmarkEnd w:id="98"/>
      <w:r>
        <w:rPr>
          <w:rFonts w:hint="eastAsia" w:ascii="仿宋" w:hAnsi="仿宋" w:eastAsia="仿宋" w:cs="仿宋"/>
          <w:color w:val="auto"/>
          <w:sz w:val="24"/>
          <w:highlight w:val="none"/>
        </w:rPr>
        <w:t>投标人的资格要求</w:t>
      </w:r>
    </w:p>
    <w:p w14:paraId="552C8E4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投标人的资格要求详见“投标人须知前附表”。</w:t>
      </w:r>
    </w:p>
    <w:p w14:paraId="7657F52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99" w:name="_Toc254970530"/>
      <w:bookmarkStart w:id="100" w:name="_Toc254970671"/>
      <w:r>
        <w:rPr>
          <w:rFonts w:hint="eastAsia" w:ascii="仿宋" w:hAnsi="仿宋" w:eastAsia="仿宋" w:cs="仿宋"/>
          <w:color w:val="auto"/>
          <w:sz w:val="24"/>
          <w:highlight w:val="none"/>
        </w:rPr>
        <w:t>4.投标委托</w:t>
      </w:r>
      <w:bookmarkEnd w:id="99"/>
      <w:bookmarkEnd w:id="100"/>
    </w:p>
    <w:p w14:paraId="3036E930">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投标人代表参加投标活动过程中必须持个人有效身份证件。如投标人代表不是法定代表人，须持有法定代表人授权委托书（按第六章要求格式填写）。</w:t>
      </w:r>
    </w:p>
    <w:p w14:paraId="0422B65A">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1" w:name="_5.投标费用"/>
      <w:bookmarkEnd w:id="101"/>
      <w:bookmarkStart w:id="102" w:name="_Toc254970531"/>
      <w:bookmarkStart w:id="103" w:name="_Toc254970672"/>
      <w:r>
        <w:rPr>
          <w:rFonts w:hint="eastAsia" w:ascii="仿宋" w:hAnsi="仿宋" w:eastAsia="仿宋" w:cs="仿宋"/>
          <w:color w:val="auto"/>
          <w:sz w:val="24"/>
          <w:highlight w:val="none"/>
        </w:rPr>
        <w:t>5.投标费用</w:t>
      </w:r>
      <w:bookmarkEnd w:id="102"/>
      <w:bookmarkEnd w:id="103"/>
    </w:p>
    <w:p w14:paraId="17BF7A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3419DD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6.联合体投标</w:t>
      </w:r>
    </w:p>
    <w:p w14:paraId="0BD4825F">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6.1本项目是否接受联合体投标，详见“投标人须知前附表”。</w:t>
      </w:r>
    </w:p>
    <w:p w14:paraId="72F927A8">
      <w:pPr>
        <w:snapToGrid w:val="0"/>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6.2如接受联合体投标，联合体投标要求详见“投标人须知前附表”。</w:t>
      </w:r>
    </w:p>
    <w:p w14:paraId="18395E8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6.3根据《政府采购促进中小企业发展管理办法》以及广西壮族自治区财政厅关于贯彻落实政府采购支持中小企业发展政策的通知（桂财采〔2022〕31号）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B2471E3">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7.转包与分包</w:t>
      </w:r>
    </w:p>
    <w:p w14:paraId="31F0F1FE">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7.1本项目不允许转包。</w:t>
      </w:r>
    </w:p>
    <w:p w14:paraId="4CAED4EB">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9B96A07">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04" w:name="_Toc254970532"/>
      <w:bookmarkStart w:id="105" w:name="_Toc254970673"/>
      <w:r>
        <w:rPr>
          <w:rFonts w:hint="eastAsia" w:ascii="仿宋" w:hAnsi="仿宋" w:eastAsia="仿宋" w:cs="仿宋"/>
          <w:color w:val="auto"/>
          <w:sz w:val="24"/>
          <w:highlight w:val="none"/>
        </w:rPr>
        <w:t>8.特别说明：</w:t>
      </w:r>
      <w:bookmarkEnd w:id="104"/>
      <w:bookmarkEnd w:id="105"/>
    </w:p>
    <w:p w14:paraId="011B9F2D">
      <w:pPr>
        <w:spacing w:line="360" w:lineRule="auto"/>
        <w:ind w:firstLine="482" w:firstLineChars="200"/>
        <w:rPr>
          <w:rFonts w:hint="eastAsia" w:ascii="仿宋" w:hAnsi="仿宋" w:eastAsia="仿宋" w:cs="仿宋"/>
          <w:b/>
          <w:bCs/>
          <w:color w:val="auto"/>
          <w:sz w:val="24"/>
          <w:highlight w:val="none"/>
        </w:rPr>
      </w:pPr>
      <w:bookmarkStart w:id="106" w:name="_8.1提供相同品牌产品且通过资格审查、符合性审查的不同投标人参加同一合"/>
      <w:bookmarkEnd w:id="106"/>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HYPERLINK  \l "_8.1" </w:instrText>
      </w:r>
      <w:r>
        <w:rPr>
          <w:rFonts w:hint="eastAsia" w:ascii="仿宋" w:hAnsi="仿宋" w:eastAsia="仿宋" w:cs="仿宋"/>
          <w:b/>
          <w:bCs/>
          <w:color w:val="auto"/>
          <w:sz w:val="24"/>
          <w:highlight w:val="none"/>
        </w:rPr>
        <w:fldChar w:fldCharType="separate"/>
      </w:r>
      <w:r>
        <w:rPr>
          <w:rStyle w:val="51"/>
          <w:rFonts w:hint="eastAsia" w:ascii="仿宋" w:hAnsi="仿宋" w:eastAsia="仿宋" w:cs="仿宋"/>
          <w:b/>
          <w:bCs/>
          <w:color w:val="auto"/>
          <w:sz w:val="24"/>
          <w:highlight w:val="none"/>
          <w:u w:val="none"/>
        </w:rPr>
        <w:t>8.1</w:t>
      </w:r>
      <w:r>
        <w:rPr>
          <w:rFonts w:hint="eastAsia" w:ascii="仿宋" w:hAnsi="仿宋" w:eastAsia="仿宋" w:cs="仿宋"/>
          <w:b/>
          <w:bCs/>
          <w:color w:val="auto"/>
          <w:sz w:val="24"/>
          <w:highlight w:val="none"/>
        </w:rPr>
        <w:fldChar w:fldCharType="end"/>
      </w:r>
      <w:r>
        <w:rPr>
          <w:rFonts w:hint="eastAsia" w:ascii="仿宋" w:hAnsi="仿宋" w:eastAsia="仿宋" w:cs="仿宋"/>
          <w:b/>
          <w:bCs/>
          <w:color w:val="auto"/>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62D63D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非单一产品采购项目，多家投标人提供的核心产品品牌相同的，按前款规定处理。</w:t>
      </w:r>
    </w:p>
    <w:p w14:paraId="16B6747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8.2如果本招标文件要求投标人提供资格、信誉、荣誉、业绩与企业认证等材料的，则投标人所提供的以上材料必须为投标人所拥有。</w:t>
      </w:r>
    </w:p>
    <w:p w14:paraId="50610DC2">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8.3投标人应仔细阅读招标文件的所有内容，按照招标文件的要求提交投标文件，并对所提供的全部资料的真实性承担法律责任。</w:t>
      </w:r>
    </w:p>
    <w:p w14:paraId="5077A0A4">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8.4投标人在投标活动中提供任何虚假材料，将报监管部门查处；中标后发现的，中标人须依照《中华人民共和国消费者权益保护法》规定赔偿采购人，且民事赔偿并不免除违法投标人的行政与刑事责任。</w:t>
      </w:r>
    </w:p>
    <w:p w14:paraId="65B964A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9.回避与串通投标</w:t>
      </w:r>
    </w:p>
    <w:p w14:paraId="61B2F66D">
      <w:pPr>
        <w:pStyle w:val="5"/>
        <w:keepNext w:val="0"/>
        <w:keepLines w:val="0"/>
        <w:spacing w:before="0" w:after="0" w:line="360" w:lineRule="auto"/>
        <w:ind w:firstLine="422"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9.1在政府采购活动中，采购人员及相关人员与供应商有下列利害关系之一的，应当回避：</w:t>
      </w:r>
    </w:p>
    <w:p w14:paraId="4B6D202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（1）参加采购活动前3年内与供应商存在劳动关系；</w:t>
      </w:r>
    </w:p>
    <w:p w14:paraId="2C62B33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（2）参加采购活动前3年内担任供应商的董事、监事；</w:t>
      </w:r>
    </w:p>
    <w:p w14:paraId="273D17B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（3）参加采购活动前3年内是供应商的控股股东或者实际控制人；</w:t>
      </w:r>
    </w:p>
    <w:p w14:paraId="27F68D6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（4）与供应商的法定代表人或者负责人有夫妻、直系血亲、三代以内旁系血亲或者近姻亲关系；</w:t>
      </w:r>
    </w:p>
    <w:p w14:paraId="7184C8FF">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（5）与供应商有其他可能影响政府采购活动公平、公正进行的关系。</w:t>
      </w:r>
    </w:p>
    <w:p w14:paraId="195545C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6D061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9.2有下列情形之一的视为投标人相互串通投标，投标文件将被视为无效：</w:t>
      </w:r>
    </w:p>
    <w:p w14:paraId="1F55DEB3">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（1）不同投标人的投标文件由同一单位或者个人编制；或者不同投标人报名的IP地址一致的；或者编制标书硬件设备CPU编号、硬盘编号、网卡地址一致的情况；</w:t>
      </w:r>
    </w:p>
    <w:p w14:paraId="1ECFDC01">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（2）不同投标人委托同一单位或者个人办理投标事宜；</w:t>
      </w:r>
    </w:p>
    <w:p w14:paraId="07CE5852">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（3）不同的投标人的投标文件载明的项目管理员为同一个人；</w:t>
      </w:r>
    </w:p>
    <w:p w14:paraId="31D2EB7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（4）不同投标人的投标文件异常一致或者投标报价呈规律性差异；</w:t>
      </w:r>
    </w:p>
    <w:p w14:paraId="29CA0E45">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（5）不同投标人的投标文件相互混装；</w:t>
      </w:r>
    </w:p>
    <w:p w14:paraId="2C508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（6）不同投标人的投标保证金从同一单位或者个人账户转出。</w:t>
      </w:r>
    </w:p>
    <w:p w14:paraId="400063F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9.3供应商有下列情形之一的，属于恶意串通行为，将报同级监督管理部门：</w:t>
      </w:r>
    </w:p>
    <w:p w14:paraId="7A95675B">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（1）供应商直接或者间接从采购人或者采购代理机构处获得其他供应商的相关信息并修改其投标文件或者响应文件；</w:t>
      </w:r>
    </w:p>
    <w:p w14:paraId="04B47C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（2）供应商按照采购人或者采购代理机构的授意撤换、修改投标文件或者响应文件；</w:t>
      </w:r>
    </w:p>
    <w:p w14:paraId="2712C4C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（3）供应商之间协商报价、技术方案等投标文件或者响应文件的实质性内容；</w:t>
      </w:r>
    </w:p>
    <w:p w14:paraId="4F1D675C">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（4）属于同一集团、协会、商会等组织成员的供应商按照该组织要求协同参加政府采购活动；</w:t>
      </w:r>
    </w:p>
    <w:p w14:paraId="200994F4">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4EB26558">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（6）供应商之间商定部分供应商放弃参加政府采购活动或者放弃中标；</w:t>
      </w:r>
    </w:p>
    <w:p w14:paraId="26107CFA">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（7）供应商与采购人或者采购代理机构之间、供应商相互之间，为谋求特定供应商中标或者排斥其他供应商的其他串通行为。</w:t>
      </w:r>
    </w:p>
    <w:p w14:paraId="1C48BC7E">
      <w:pPr>
        <w:pStyle w:val="23"/>
        <w:snapToGrid w:val="0"/>
        <w:spacing w:line="360" w:lineRule="auto"/>
        <w:ind w:left="2" w:leftChars="1" w:firstLine="482" w:firstLineChars="20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br w:type="column"/>
      </w:r>
    </w:p>
    <w:p w14:paraId="38148074">
      <w:pPr>
        <w:pStyle w:val="4"/>
        <w:keepNext w:val="0"/>
        <w:keepLines w:val="0"/>
        <w:jc w:val="center"/>
        <w:rPr>
          <w:rFonts w:hint="eastAsia" w:ascii="仿宋" w:hAnsi="仿宋" w:eastAsia="仿宋" w:cs="仿宋"/>
          <w:color w:val="auto"/>
          <w:sz w:val="24"/>
          <w:szCs w:val="24"/>
          <w:highlight w:val="none"/>
        </w:rPr>
      </w:pPr>
      <w:bookmarkStart w:id="107" w:name="_Toc254970675"/>
      <w:bookmarkStart w:id="108" w:name="_Toc254970534"/>
      <w:r>
        <w:rPr>
          <w:rFonts w:hint="eastAsia" w:ascii="仿宋" w:hAnsi="仿宋" w:eastAsia="仿宋" w:cs="仿宋"/>
          <w:color w:val="auto"/>
          <w:sz w:val="24"/>
          <w:szCs w:val="24"/>
          <w:highlight w:val="none"/>
        </w:rPr>
        <w:t>二、招标文件</w:t>
      </w:r>
      <w:bookmarkEnd w:id="107"/>
      <w:bookmarkEnd w:id="108"/>
    </w:p>
    <w:p w14:paraId="19FD620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10.招标文件的组成</w:t>
      </w:r>
    </w:p>
    <w:p w14:paraId="0483226F">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10.1招标公告；</w:t>
      </w:r>
    </w:p>
    <w:p w14:paraId="73DA88BE">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10.2采购需求； </w:t>
      </w:r>
    </w:p>
    <w:p w14:paraId="05DF608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10.3投标人须知；</w:t>
      </w:r>
    </w:p>
    <w:p w14:paraId="34E6BDEB">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10.4评标方法及评标标准；</w:t>
      </w:r>
    </w:p>
    <w:p w14:paraId="2CBE4D92">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10.5拟签订的合同文本；</w:t>
      </w:r>
    </w:p>
    <w:p w14:paraId="7B26954C">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10.6投标文件格式。</w:t>
      </w:r>
    </w:p>
    <w:p w14:paraId="0EDEC43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11.招标文件的澄清、修改 、现场考察和答疑会</w:t>
      </w:r>
    </w:p>
    <w:p w14:paraId="7209D7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64811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23BAB1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bookmarkStart w:id="109" w:name="_Hlk53134511"/>
      <w:r>
        <w:rPr>
          <w:rFonts w:hint="eastAsia" w:ascii="仿宋" w:hAnsi="仿宋" w:eastAsia="仿宋" w:cs="仿宋"/>
          <w:color w:val="auto"/>
          <w:sz w:val="24"/>
          <w:highlight w:val="none"/>
        </w:rPr>
        <w:t>采购人或者采购代理机构可以在招标文件提供期限截止后，组织已获取招标文件的潜在投标人现场考察或者召开开标前答疑会，具体详见“投标人须知前附表”。</w:t>
      </w:r>
    </w:p>
    <w:p w14:paraId="2ED4FA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bookmarkEnd w:id="109"/>
    <w:p w14:paraId="4D626F5F">
      <w:pPr>
        <w:pStyle w:val="4"/>
        <w:keepNext w:val="0"/>
        <w:keepLines w:val="0"/>
        <w:jc w:val="center"/>
        <w:rPr>
          <w:rFonts w:hint="eastAsia" w:ascii="仿宋" w:hAnsi="仿宋" w:eastAsia="仿宋" w:cs="仿宋"/>
          <w:color w:val="auto"/>
          <w:sz w:val="24"/>
          <w:szCs w:val="24"/>
          <w:highlight w:val="none"/>
        </w:rPr>
      </w:pPr>
      <w:bookmarkStart w:id="110" w:name="_Toc254970676"/>
      <w:bookmarkStart w:id="111" w:name="_Toc254970535"/>
      <w:r>
        <w:rPr>
          <w:rFonts w:hint="eastAsia" w:ascii="仿宋" w:hAnsi="仿宋" w:eastAsia="仿宋" w:cs="仿宋"/>
          <w:color w:val="auto"/>
          <w:sz w:val="24"/>
          <w:szCs w:val="24"/>
          <w:highlight w:val="none"/>
        </w:rPr>
        <w:t>三、投标文件的编制</w:t>
      </w:r>
      <w:bookmarkEnd w:id="110"/>
      <w:bookmarkEnd w:id="111"/>
    </w:p>
    <w:p w14:paraId="06AFC47F">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12" w:name="_Toc254970536"/>
      <w:bookmarkStart w:id="113" w:name="_Toc254970677"/>
      <w:bookmarkStart w:id="114" w:name="_Toc254970685"/>
      <w:bookmarkStart w:id="115" w:name="_Toc254970544"/>
      <w:r>
        <w:rPr>
          <w:rFonts w:hint="eastAsia" w:ascii="仿宋" w:hAnsi="仿宋" w:eastAsia="仿宋" w:cs="仿宋"/>
          <w:color w:val="auto"/>
          <w:sz w:val="24"/>
          <w:highlight w:val="none"/>
        </w:rPr>
        <w:t>12.投标文件的编制原则</w:t>
      </w:r>
    </w:p>
    <w:p w14:paraId="3D618FA7">
      <w:pPr>
        <w:snapToGrid w:val="0"/>
        <w:spacing w:line="360" w:lineRule="auto"/>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投标人必须按照招标文件的要求编制投标文件。投标文件必须对招标文件提出的要求和条件作出明确响应。</w:t>
      </w:r>
    </w:p>
    <w:p w14:paraId="2091A44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13.投标文件的组成</w:t>
      </w:r>
      <w:bookmarkEnd w:id="112"/>
      <w:bookmarkEnd w:id="113"/>
    </w:p>
    <w:p w14:paraId="535C27DE">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投标文件由报价文件、资格证明文件、商务文件、技术文件四部分组成。</w:t>
      </w:r>
    </w:p>
    <w:p w14:paraId="5EB7A656">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6" w:name="_13.1报价文件:_具体材料见“投标人须知前附表”。"/>
      <w:bookmarkEnd w:id="116"/>
      <w:r>
        <w:rPr>
          <w:rFonts w:hint="eastAsia" w:ascii="仿宋" w:hAnsi="仿宋" w:eastAsia="仿宋" w:cs="仿宋"/>
          <w:b w:val="0"/>
          <w:color w:val="auto"/>
          <w:sz w:val="24"/>
          <w:highlight w:val="none"/>
        </w:rPr>
        <w:t>（1）报价文件：具体材料见“投标人须知前附表”。</w:t>
      </w:r>
    </w:p>
    <w:p w14:paraId="4EB0911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7" w:name="_13.2资格证明文件：具体材料见“投标人须知前附表”。"/>
      <w:bookmarkEnd w:id="117"/>
      <w:r>
        <w:rPr>
          <w:rFonts w:hint="eastAsia" w:ascii="仿宋" w:hAnsi="仿宋" w:eastAsia="仿宋" w:cs="仿宋"/>
          <w:b w:val="0"/>
          <w:color w:val="auto"/>
          <w:sz w:val="24"/>
          <w:highlight w:val="none"/>
        </w:rPr>
        <w:t>（2）资格证明文件：具体材料见“投标人须知前附表”。</w:t>
      </w:r>
    </w:p>
    <w:p w14:paraId="68B6C3EA">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8" w:name="_13.3商务文件:_具体材料见“投标人须知前附表”。"/>
      <w:bookmarkEnd w:id="118"/>
      <w:r>
        <w:rPr>
          <w:rFonts w:hint="eastAsia" w:ascii="仿宋" w:hAnsi="仿宋" w:eastAsia="仿宋" w:cs="仿宋"/>
          <w:b w:val="0"/>
          <w:color w:val="auto"/>
          <w:sz w:val="24"/>
          <w:highlight w:val="none"/>
        </w:rPr>
        <w:t>（3）商务文件：具体材料见“投标人须知前附表”。</w:t>
      </w:r>
    </w:p>
    <w:p w14:paraId="3BADECC4">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19" w:name="_13.4技术文件：具体材料见“投标人须知前附表”。"/>
      <w:bookmarkEnd w:id="119"/>
      <w:r>
        <w:rPr>
          <w:rFonts w:hint="eastAsia" w:ascii="仿宋" w:hAnsi="仿宋" w:eastAsia="仿宋" w:cs="仿宋"/>
          <w:b w:val="0"/>
          <w:color w:val="auto"/>
          <w:sz w:val="24"/>
          <w:highlight w:val="none"/>
        </w:rPr>
        <w:t>（4）技术文件：具体材料见“投标人须知前附表”。</w:t>
      </w:r>
    </w:p>
    <w:p w14:paraId="4CAE6D73">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0" w:name="_13.5投标文件电子版：具体材料见“投标人须知前附表”。"/>
      <w:bookmarkEnd w:id="120"/>
      <w:bookmarkStart w:id="121" w:name="_Toc254970537"/>
      <w:bookmarkStart w:id="122" w:name="_Toc254970678"/>
      <w:r>
        <w:rPr>
          <w:rFonts w:hint="eastAsia" w:ascii="仿宋" w:hAnsi="仿宋" w:eastAsia="仿宋" w:cs="仿宋"/>
          <w:color w:val="auto"/>
          <w:sz w:val="24"/>
          <w:highlight w:val="none"/>
        </w:rPr>
        <w:t>14.投标文件的语言及计量</w:t>
      </w:r>
      <w:bookmarkEnd w:id="121"/>
      <w:bookmarkEnd w:id="122"/>
    </w:p>
    <w:p w14:paraId="3D6D41EF">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14.1语言文字</w:t>
      </w:r>
    </w:p>
    <w:p w14:paraId="62A6E8F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B523D95">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14.2投标计量单位</w:t>
      </w:r>
    </w:p>
    <w:p w14:paraId="506CB6A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招标文件已有明确规定的，使用招标文件规定的计量单位；招标文件没有规定的，应采用中华人民共和国法定计量单位，货币种类为人民币，否则视同未响应。</w:t>
      </w:r>
    </w:p>
    <w:p w14:paraId="47FF772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15.投标的风险</w:t>
      </w:r>
    </w:p>
    <w:p w14:paraId="2EEE56DC">
      <w:pPr>
        <w:pStyle w:val="23"/>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投标人没有按照招标文件要求提供全部资料，或者投标人没有对招标文件作出实质性响应是投标人的风险，并可能导致其投标被拒绝。</w:t>
      </w:r>
    </w:p>
    <w:p w14:paraId="1BDDB16E">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3" w:name="_Toc254970679"/>
      <w:bookmarkStart w:id="124" w:name="_Toc254970538"/>
      <w:r>
        <w:rPr>
          <w:rFonts w:hint="eastAsia" w:ascii="仿宋" w:hAnsi="仿宋" w:eastAsia="仿宋" w:cs="仿宋"/>
          <w:color w:val="auto"/>
          <w:sz w:val="24"/>
          <w:highlight w:val="none"/>
        </w:rPr>
        <w:t>16.投标报价</w:t>
      </w:r>
      <w:bookmarkEnd w:id="123"/>
      <w:bookmarkEnd w:id="124"/>
    </w:p>
    <w:p w14:paraId="7D5156C1">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16.1投标报价应按“第六章　投标文件格式”中“开标一览表”格式填写。</w:t>
      </w:r>
    </w:p>
    <w:p w14:paraId="2AD7B2C2">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5" w:name="_16.2投标报价具体定义见投标人须知前附表。"/>
      <w:bookmarkEnd w:id="125"/>
      <w:r>
        <w:rPr>
          <w:rFonts w:hint="eastAsia" w:ascii="仿宋" w:hAnsi="仿宋" w:eastAsia="仿宋" w:cs="仿宋"/>
          <w:b w:val="0"/>
          <w:color w:val="auto"/>
          <w:sz w:val="24"/>
          <w:highlight w:val="none"/>
        </w:rPr>
        <w:t>16.2投标报价具体包括内容详见“投标人须知前附表”。</w:t>
      </w:r>
    </w:p>
    <w:p w14:paraId="2CE86732">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16.3投标人必须就所投每个分标的全部内容分别作完整唯一总价报价，不得存在漏项报价；投标人必须就所投分标的单项内容作唯一报价。</w:t>
      </w:r>
    </w:p>
    <w:p w14:paraId="27A4335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17.投标有效期</w:t>
      </w:r>
    </w:p>
    <w:p w14:paraId="629E554B">
      <w:pPr>
        <w:pStyle w:val="5"/>
        <w:keepNext w:val="0"/>
        <w:keepLines w:val="0"/>
        <w:spacing w:before="0" w:after="0" w:line="360" w:lineRule="auto"/>
        <w:ind w:left="420" w:leftChars="200"/>
        <w:rPr>
          <w:rFonts w:hint="eastAsia" w:ascii="仿宋" w:hAnsi="仿宋" w:eastAsia="仿宋" w:cs="仿宋"/>
          <w:b w:val="0"/>
          <w:color w:val="auto"/>
          <w:sz w:val="24"/>
          <w:highlight w:val="none"/>
        </w:rPr>
      </w:pPr>
      <w:bookmarkStart w:id="126" w:name="_17.1投标有效期应按“投标人须知中的前附表”规定的期限。"/>
      <w:bookmarkEnd w:id="126"/>
      <w:r>
        <w:rPr>
          <w:rFonts w:hint="eastAsia" w:ascii="仿宋" w:hAnsi="仿宋" w:eastAsia="仿宋" w:cs="仿宋"/>
          <w:b w:val="0"/>
          <w:color w:val="auto"/>
          <w:sz w:val="24"/>
          <w:highlight w:val="none"/>
        </w:rPr>
        <w:t>17.1投标有效期是指为保证采购人有足够的时间在开标后完成评标、定标、合同签订等工作而要求投标人提交的投标文件在一定时间内保持有效的期限。</w:t>
      </w:r>
    </w:p>
    <w:p w14:paraId="11735DE3">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17.2</w:t>
      </w:r>
      <w:bookmarkStart w:id="127" w:name="_Toc254970681"/>
      <w:bookmarkStart w:id="128" w:name="_Toc254970540"/>
      <w:r>
        <w:rPr>
          <w:rFonts w:hint="eastAsia" w:ascii="仿宋" w:hAnsi="仿宋" w:eastAsia="仿宋" w:cs="仿宋"/>
          <w:b w:val="0"/>
          <w:color w:val="auto"/>
          <w:sz w:val="24"/>
          <w:highlight w:val="none"/>
        </w:rPr>
        <w:t xml:space="preserve"> 投标有效期应按规定的期限作出承诺，具体详见“投标人须知前附表”。</w:t>
      </w:r>
    </w:p>
    <w:p w14:paraId="23FC3F3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17.3投标人的投标文件在投标有效期内均保持有效。</w:t>
      </w:r>
      <w:bookmarkEnd w:id="127"/>
      <w:bookmarkEnd w:id="128"/>
    </w:p>
    <w:p w14:paraId="3709A005">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29" w:name="_18.投标保证金"/>
      <w:bookmarkEnd w:id="129"/>
      <w:bookmarkStart w:id="130" w:name="_Toc254970541"/>
      <w:bookmarkStart w:id="131" w:name="_Toc254970682"/>
      <w:r>
        <w:rPr>
          <w:rFonts w:hint="eastAsia" w:ascii="仿宋" w:hAnsi="仿宋" w:eastAsia="仿宋" w:cs="仿宋"/>
          <w:color w:val="auto"/>
          <w:sz w:val="24"/>
          <w:highlight w:val="none"/>
        </w:rPr>
        <w:t>18.投标保证金</w:t>
      </w:r>
      <w:bookmarkEnd w:id="130"/>
      <w:bookmarkEnd w:id="131"/>
    </w:p>
    <w:p w14:paraId="2ECB4445">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18.1投标人须按“投标人须知前附表” 的规定提交投标保证金。</w:t>
      </w:r>
    </w:p>
    <w:p w14:paraId="6640453C">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18.2投标保证金的退还</w:t>
      </w:r>
    </w:p>
    <w:p w14:paraId="2D45C964">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18.2.1未中标人的投标保证金自中标通知书发出之日起5个工作日内退还，退还方式如下：</w:t>
      </w:r>
    </w:p>
    <w:p w14:paraId="5811DD91">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（1）采用银行转账方式的，以转账方式退回到投标人银行账户。</w:t>
      </w:r>
    </w:p>
    <w:p w14:paraId="0813AFD8">
      <w:pPr>
        <w:pStyle w:val="5"/>
        <w:keepNext w:val="0"/>
        <w:keepLines w:val="0"/>
        <w:numPr>
          <w:ilvl w:val="0"/>
          <w:numId w:val="0"/>
        </w:numPr>
        <w:spacing w:before="0" w:after="0" w:line="360" w:lineRule="auto"/>
        <w:ind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采用支票、汇票、本票或者金融、担保机构出具的保函方式的，由投标人代表持相关授权证明材料至采购人或者采购代理机构办理支票、汇票、本票或者金融、担保机构出具的保函、保险机构的保单原件退还手续。</w:t>
      </w:r>
    </w:p>
    <w:p w14:paraId="7FB2E137">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18.2.2中标人的投标保证金自采购合同签订之日起5个工作日内退还，退还方式同本须知正文第18.2.1。 </w:t>
      </w:r>
    </w:p>
    <w:p w14:paraId="311DAA04">
      <w:pPr>
        <w:pStyle w:val="5"/>
        <w:keepNext w:val="0"/>
        <w:keepLines w:val="0"/>
        <w:numPr>
          <w:ilvl w:val="0"/>
          <w:numId w:val="0"/>
        </w:numPr>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18.3除逾期退还投标保证金和终止招标的情形以外，投标保证金采用银行转账缴纳方式的按银行同期存款利息计息退还。</w:t>
      </w:r>
    </w:p>
    <w:p w14:paraId="2ED9B4CA">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18.4投标人有下列情形之一的，投标保证金将不予退还： </w:t>
      </w:r>
    </w:p>
    <w:p w14:paraId="23016FE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（1）投标人在投标有效期内撤销投标文件的；</w:t>
      </w:r>
    </w:p>
    <w:p w14:paraId="5ACD6ADA">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（2）未按规定提交履约保证金的；</w:t>
      </w:r>
    </w:p>
    <w:p w14:paraId="1B7B6C9E">
      <w:pPr>
        <w:snapToGrid w:val="0"/>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（3）投标人在投标过程中弄虚作假，提供虚假材料的；</w:t>
      </w:r>
    </w:p>
    <w:p w14:paraId="1D209465">
      <w:pPr>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（4）中标人无正当理由不与采购人签订合同的；</w:t>
      </w:r>
    </w:p>
    <w:p w14:paraId="30DDDEA8">
      <w:pPr>
        <w:snapToGrid w:val="0"/>
        <w:spacing w:line="360" w:lineRule="auto"/>
        <w:ind w:firstLine="480" w:firstLineChars="200"/>
        <w:rPr>
          <w:rFonts w:hint="eastAsia" w:ascii="仿宋" w:hAnsi="仿宋" w:eastAsia="仿宋" w:cs="仿宋"/>
          <w:color w:val="auto"/>
          <w:sz w:val="24"/>
          <w:highlight w:val="none"/>
        </w:rPr>
      </w:pPr>
      <w:bookmarkStart w:id="132" w:name="_Toc254970542"/>
      <w:bookmarkStart w:id="133" w:name="_Toc254970683"/>
      <w:r>
        <w:rPr>
          <w:rFonts w:hint="eastAsia" w:ascii="仿宋" w:hAnsi="仿宋" w:eastAsia="仿宋" w:cs="仿宋"/>
          <w:color w:val="auto"/>
          <w:sz w:val="24"/>
          <w:highlight w:val="none"/>
        </w:rPr>
        <w:t>（5）投标人出现本章第9.2、9.3情形的；</w:t>
      </w:r>
    </w:p>
    <w:p w14:paraId="6EC910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（6）其他严重扰乱招投标程序的。</w:t>
      </w:r>
    </w:p>
    <w:p w14:paraId="2F64CF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19.投标文件的</w:t>
      </w:r>
      <w:bookmarkEnd w:id="132"/>
      <w:bookmarkEnd w:id="133"/>
      <w:r>
        <w:rPr>
          <w:rFonts w:hint="eastAsia" w:ascii="仿宋" w:hAnsi="仿宋" w:eastAsia="仿宋" w:cs="仿宋"/>
          <w:color w:val="auto"/>
          <w:sz w:val="24"/>
          <w:highlight w:val="none"/>
        </w:rPr>
        <w:t>编制</w:t>
      </w:r>
    </w:p>
    <w:p w14:paraId="01B584B1">
      <w:pPr>
        <w:pStyle w:val="5"/>
        <w:keepNext w:val="0"/>
        <w:keepLines w:val="0"/>
        <w:spacing w:before="0" w:after="0" w:line="360" w:lineRule="auto"/>
        <w:ind w:firstLine="484" w:firstLineChars="202"/>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0EDE43FF">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bookmarkStart w:id="134" w:name="_19.2投标文件应按报价文件、资格证明文件、商务文件、技术文件分别编制"/>
      <w:bookmarkEnd w:id="134"/>
      <w:r>
        <w:rPr>
          <w:rFonts w:hint="eastAsia" w:ascii="仿宋" w:hAnsi="仿宋" w:eastAsia="仿宋" w:cs="仿宋"/>
          <w:b w:val="0"/>
          <w:color w:val="auto"/>
          <w:sz w:val="24"/>
          <w:highlight w:val="none"/>
        </w:rPr>
        <w:t xml:space="preserve"> 19.2投标文件按照招标文件第六章格式要求在规定位置进行签署、盖章。投标人的投标文件未按照招标文件要求签署、盖章的，</w:t>
      </w:r>
      <w:r>
        <w:rPr>
          <w:rFonts w:hint="eastAsia" w:ascii="仿宋" w:hAnsi="仿宋" w:eastAsia="仿宋" w:cs="仿宋"/>
          <w:bCs/>
          <w:color w:val="auto"/>
          <w:sz w:val="24"/>
          <w:highlight w:val="none"/>
        </w:rPr>
        <w:t>其投标无效</w:t>
      </w:r>
      <w:r>
        <w:rPr>
          <w:rFonts w:hint="eastAsia" w:ascii="仿宋" w:hAnsi="仿宋" w:eastAsia="仿宋" w:cs="仿宋"/>
          <w:b w:val="0"/>
          <w:color w:val="auto"/>
          <w:sz w:val="24"/>
          <w:highlight w:val="none"/>
        </w:rPr>
        <w:t>。招标文件要求法定代表人或委托代理人签字的部分应使用CA签章；如法定代表人或委托代理人未办理CA锁的，可以打印手写签字后扫描或者拍照做成PDF格式上传，无签字的作无效投标处理。骑缝盖公章不视为在规定位置盖章。</w:t>
      </w:r>
    </w:p>
    <w:p w14:paraId="3F0C469C">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19.3为确保网上操作合法、有效和安全，投标人应当在投标截止时间前完成在广西政府采购云平台的身份认证，确保在电子投标过程中能够对相关数据电文进行加密和使用电子签章。</w:t>
      </w:r>
    </w:p>
    <w:p w14:paraId="2122E88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19.4投标文件中标注的投标人名称应与主体资格证明（如营业执照、事业单位法人证书、执业许可证、自然人身份证等）及公章（或电子签章）一致，并与广西政府采购云平台中获取招标文件的投标人名称一致，投标人为自然人的，标注的投标人名称应与身份证姓名及签名一致，</w:t>
      </w:r>
      <w:r>
        <w:rPr>
          <w:rFonts w:hint="eastAsia" w:ascii="仿宋" w:hAnsi="仿宋" w:eastAsia="仿宋" w:cs="仿宋"/>
          <w:color w:val="auto"/>
          <w:sz w:val="24"/>
          <w:highlight w:val="none"/>
        </w:rPr>
        <w:t>否则按无效投标处理</w:t>
      </w:r>
      <w:r>
        <w:rPr>
          <w:rFonts w:hint="eastAsia" w:ascii="仿宋" w:hAnsi="仿宋" w:eastAsia="仿宋" w:cs="仿宋"/>
          <w:b w:val="0"/>
          <w:color w:val="auto"/>
          <w:sz w:val="24"/>
          <w:highlight w:val="none"/>
        </w:rPr>
        <w:t>。</w:t>
      </w:r>
    </w:p>
    <w:p w14:paraId="0B66EABB">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45A1C5D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19.6对招标文件的实质性要求和条件作出响应是指投标人必须对招标文件中标注为实质性要求和条件的服务内容及要求、商务条款及其它内容作出满足或者优于原要求和条件的承诺。</w:t>
      </w:r>
    </w:p>
    <w:p w14:paraId="2CB08C1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20.备份投标文件</w:t>
      </w:r>
    </w:p>
    <w:p w14:paraId="496085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详见在“投标人须知前附表”</w:t>
      </w:r>
    </w:p>
    <w:p w14:paraId="04C040A1">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20.1.投标人如提交电子备份文件的，应将电子备份投标文件装入到一个投标文件袋内加以密封（要求文件袋无明显缝隙露出袋内文件）；电子备份投标文件袋在每一封贴处密封签章【公章、密封章、法定代表人（负责人）、委托代理人签字等均可】。</w:t>
      </w:r>
    </w:p>
    <w:p w14:paraId="63E7FB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电子备份投标文件袋的包装封面上应注明投标人名称、投标人地址、投标文件名称（电子备份投标文件）、投标项目名称、项目编号、并加盖投标人公章，并注明“开标时才能启封”。</w:t>
      </w:r>
    </w:p>
    <w:p w14:paraId="30852FFA">
      <w:pPr>
        <w:pStyle w:val="5"/>
        <w:keepNext w:val="0"/>
        <w:keepLines w:val="0"/>
        <w:spacing w:before="0" w:after="0" w:line="360" w:lineRule="auto"/>
        <w:ind w:firstLine="360" w:firstLineChars="15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20.2逾期送达或者未按照招标文件要求密封的电子备份投标文件将被拒绝，由此造成电子备份投标文件被误投或提前拆封的风险由投标人承担。</w:t>
      </w:r>
    </w:p>
    <w:p w14:paraId="59FFDA2F">
      <w:pPr>
        <w:pStyle w:val="5"/>
        <w:keepNext w:val="0"/>
        <w:keepLines w:val="0"/>
        <w:spacing w:before="0" w:after="0"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20.3投标人在投标截止时间之前，可以对已提交的电子备份投标文件进行修改或撤回，并书面通知采购人；投标截止时间后，投标人不得撤回、修改电子备份投标文件。修改后重新递交的电子备份投标文件应当按本招标文件的要求签署、盖章和密封。</w:t>
      </w:r>
    </w:p>
    <w:p w14:paraId="6152FE5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21.投标文件的密封</w:t>
      </w:r>
    </w:p>
    <w:p w14:paraId="41959C8D">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投标文件必须在“投标人须知前附表”规定的投标文件提交截止时间和提交地点提交电子投标文件。电子投标文件应在制作完成后，在投标文件提交截止时间前通过有效数字证书（CA认证锁）进行电子签章、加密，然后通过网络将加密的电子投标文件递交至广西政府采购云平台（https://www.gcy.zfcg.gxzf.gov.cn/）。 </w:t>
      </w:r>
    </w:p>
    <w:p w14:paraId="08341C7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22.投标文件的提交</w:t>
      </w:r>
    </w:p>
    <w:p w14:paraId="05622ACB">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bookmarkStart w:id="135" w:name="_21.1投标人必须在“投标人须知中的前附表”规定的投标文件接收时间和投"/>
      <w:bookmarkEnd w:id="135"/>
      <w:r>
        <w:rPr>
          <w:rFonts w:hint="eastAsia" w:ascii="仿宋" w:hAnsi="仿宋" w:eastAsia="仿宋" w:cs="仿宋"/>
          <w:b w:val="0"/>
          <w:color w:val="auto"/>
          <w:sz w:val="24"/>
          <w:highlight w:val="none"/>
        </w:rPr>
        <w:t>22.1投标人必须在“投标人须知前附表”规定的投标文件接收时间和投标地点提交投标文件。</w:t>
      </w:r>
    </w:p>
    <w:p w14:paraId="0DB99037">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22.2采购代理机构工作人员收到投标文件后，应当如实记载投标文件的送达时间和密封情况，签收保存，并向投标人出具签收回执。</w:t>
      </w:r>
    </w:p>
    <w:p w14:paraId="0853E441">
      <w:pPr>
        <w:pStyle w:val="5"/>
        <w:keepNext w:val="0"/>
        <w:keepLines w:val="0"/>
        <w:numPr>
          <w:ilvl w:val="0"/>
          <w:numId w:val="0"/>
        </w:numPr>
        <w:spacing w:before="0" w:after="0" w:line="360" w:lineRule="auto"/>
        <w:ind w:left="420"/>
        <w:rPr>
          <w:rFonts w:hint="eastAsia" w:ascii="仿宋" w:hAnsi="仿宋" w:eastAsia="仿宋" w:cs="仿宋"/>
          <w:color w:val="auto"/>
          <w:sz w:val="24"/>
          <w:highlight w:val="none"/>
        </w:rPr>
      </w:pPr>
      <w:r>
        <w:rPr>
          <w:rFonts w:hint="eastAsia" w:ascii="仿宋" w:hAnsi="仿宋" w:eastAsia="仿宋" w:cs="仿宋"/>
          <w:b w:val="0"/>
          <w:color w:val="auto"/>
          <w:sz w:val="24"/>
          <w:highlight w:val="none"/>
        </w:rPr>
        <w:t>22.3未在规定时间内提交或者未按照招标文件要求密封或者标记的电子投标文件，将予以拒收。</w:t>
      </w:r>
    </w:p>
    <w:p w14:paraId="227159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23.投标文件的补充、修改、撤回与退回</w:t>
      </w:r>
    </w:p>
    <w:p w14:paraId="3A3F0790">
      <w:pPr>
        <w:snapToGrid w:val="0"/>
        <w:spacing w:line="360" w:lineRule="auto"/>
        <w:ind w:firstLine="420"/>
        <w:jc w:val="left"/>
        <w:rPr>
          <w:rFonts w:hint="eastAsia" w:ascii="仿宋" w:hAnsi="仿宋" w:eastAsia="仿宋" w:cs="仿宋"/>
          <w:color w:val="auto"/>
          <w:sz w:val="24"/>
          <w:highlight w:val="none"/>
        </w:rPr>
      </w:pPr>
      <w:bookmarkStart w:id="136" w:name="_Toc254970543"/>
      <w:bookmarkStart w:id="137" w:name="_Toc254970684"/>
      <w:r>
        <w:rPr>
          <w:rFonts w:hint="eastAsia" w:ascii="仿宋" w:hAnsi="仿宋" w:eastAsia="仿宋" w:cs="仿宋"/>
          <w:color w:val="auto"/>
          <w:sz w:val="24"/>
          <w:highlight w:val="none"/>
        </w:rPr>
        <w:t>23.1投标人在投标截止时间之前，可以对已提交的投标文件进行补充、修改或者撤回，并书面通知采购人或者采购代理机构。补充、修改的内容必须按照本须知前附表第19.2条签署、盖章，并按照本须知正文第21条密封后，作为投标文件的组成部分</w:t>
      </w:r>
      <w:r>
        <w:rPr>
          <w:rFonts w:hint="eastAsia" w:ascii="仿宋" w:hAnsi="仿宋" w:eastAsia="仿宋" w:cs="仿宋"/>
          <w:b/>
          <w:color w:val="auto"/>
          <w:sz w:val="24"/>
          <w:highlight w:val="none"/>
        </w:rPr>
        <w:t>。</w:t>
      </w:r>
    </w:p>
    <w:bookmarkEnd w:id="136"/>
    <w:bookmarkEnd w:id="137"/>
    <w:p w14:paraId="14F4DC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23.2在投标截止时间止提交投标文件的投标人不足3家时，应当由投标人签字领回投标文件（如需提交纸质投标文件时），除此之外采购人和采购代理机构对已提交的投标文件概不退回。</w:t>
      </w:r>
    </w:p>
    <w:p w14:paraId="558233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23.3 投标人在投标截止时间后向采购人、采购代理机构书面申请撤回投标文件的，将根据本须知正文18.4的规定不予退还其投标保证金。</w:t>
      </w:r>
    </w:p>
    <w:p w14:paraId="5932A9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column"/>
      </w:r>
    </w:p>
    <w:p w14:paraId="67F02919">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四、开    标</w:t>
      </w:r>
      <w:bookmarkEnd w:id="114"/>
      <w:bookmarkEnd w:id="115"/>
    </w:p>
    <w:p w14:paraId="7206786C">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38" w:name="_23.开标时间和地点"/>
      <w:bookmarkEnd w:id="138"/>
      <w:r>
        <w:rPr>
          <w:rFonts w:hint="eastAsia" w:ascii="仿宋" w:hAnsi="仿宋" w:eastAsia="仿宋" w:cs="仿宋"/>
          <w:color w:val="auto"/>
          <w:sz w:val="24"/>
          <w:highlight w:val="none"/>
        </w:rPr>
        <w:t>24.开标时间和地点</w:t>
      </w:r>
    </w:p>
    <w:p w14:paraId="133CD04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24.1开标时间及地点详见“投标人须知前附表”</w:t>
      </w:r>
    </w:p>
    <w:p w14:paraId="61DD0C9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24.2如投标人成功解密投标文件，但未在广西政府采购云平台电子开标大厅参加开标的，视同认可开标过程和结果，由此产生的后果由投标人自行负责。投标人不足3家的，不得开标。</w:t>
      </w:r>
    </w:p>
    <w:p w14:paraId="2B2CBA4E">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25.开标程序</w:t>
      </w:r>
    </w:p>
    <w:p w14:paraId="0D8260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25.1开标形式：</w:t>
      </w:r>
    </w:p>
    <w:p w14:paraId="049B7C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（1）开标的准备工作由采购代理机构负责落实，采购人或采购代理机构必须基于</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选取评审专家，如采购人或采购代理机构未按规定选取专家的，视为本次开评标无效，应当重新采购；</w:t>
      </w:r>
    </w:p>
    <w:p w14:paraId="20F15E9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（2）采购人或采购代理机构将按照招标文件规定的时间通过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5051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25.2开标程序：</w:t>
      </w:r>
    </w:p>
    <w:p w14:paraId="57296C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（1）解密电子投标文件。</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按开标时间自动提取所有投标文件。采购代理机构依托</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向各投标人发出电子加密投标文件【开始解密】通知，由投标人按招标文件规定的时间内自行进行投标文件解密。投标人的法定代表人或其委托代理人须携带加密时所用的CA锁准时登录到</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开标大厅签到并对电子投标文件解密，在线解密时间为30分钟。开标后5分钟投标人还未进行解密的，代理机构要通知投标人。通知后，投标文件仍未按时解密，或者投标人没预留联系方式或预留联系方式无效，导致代理机构无法联系到投标人进行解密的，均视为无效投标。</w:t>
      </w:r>
    </w:p>
    <w:p w14:paraId="2DF209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（解密异常情况处理：详见本章30.3 电子交易活动的中止。）</w:t>
      </w:r>
    </w:p>
    <w:p w14:paraId="36D560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（2）电子唱标。投标文件解密结束，各投标人报价均在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远程不见面开标大厅展示；</w:t>
      </w:r>
    </w:p>
    <w:p w14:paraId="2F07FCC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（3）签署电子《政府采购活动现场确认声明书》。通过邮件形式在远程不见面开标大厅发送各投标人签署电子《政府采购活动现场确认声明书》。</w:t>
      </w:r>
    </w:p>
    <w:p w14:paraId="162F1B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EBA7FF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F6DE0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（6）开标结束。</w:t>
      </w:r>
    </w:p>
    <w:p w14:paraId="61273A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特别说明：如遇</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电子化开标或评审程序调整的，按调整后执行。</w:t>
      </w:r>
    </w:p>
    <w:p w14:paraId="14764EDE">
      <w:pPr>
        <w:pStyle w:val="4"/>
        <w:keepNext w:val="0"/>
        <w:keepLines w:val="0"/>
        <w:jc w:val="center"/>
        <w:rPr>
          <w:rFonts w:hint="eastAsia" w:ascii="仿宋" w:hAnsi="仿宋" w:eastAsia="仿宋" w:cs="仿宋"/>
          <w:color w:val="auto"/>
          <w:sz w:val="24"/>
          <w:szCs w:val="24"/>
          <w:highlight w:val="none"/>
        </w:rPr>
        <w:sectPr>
          <w:headerReference r:id="rId9" w:type="first"/>
          <w:footerReference r:id="rId11" w:type="first"/>
          <w:headerReference r:id="rId8" w:type="default"/>
          <w:footerReference r:id="rId10" w:type="default"/>
          <w:pgSz w:w="11906" w:h="16838"/>
          <w:pgMar w:top="1134" w:right="1247" w:bottom="1559" w:left="1247" w:header="851" w:footer="992" w:gutter="0"/>
          <w:pgNumType w:fmt="decimal" w:start="1"/>
          <w:cols w:space="720" w:num="1"/>
          <w:titlePg/>
          <w:docGrid w:linePitch="312" w:charSpace="0"/>
        </w:sectPr>
      </w:pPr>
    </w:p>
    <w:p w14:paraId="6A2BC23C">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五、资格审查</w:t>
      </w:r>
    </w:p>
    <w:p w14:paraId="0159993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26.资格审查</w:t>
      </w:r>
    </w:p>
    <w:p w14:paraId="284E5A93">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26.1开标结束后，</w:t>
      </w:r>
      <w:r>
        <w:rPr>
          <w:rFonts w:hint="eastAsia" w:ascii="仿宋" w:hAnsi="仿宋" w:eastAsia="仿宋" w:cs="仿宋"/>
          <w:bCs/>
          <w:color w:val="auto"/>
          <w:sz w:val="24"/>
          <w:highlight w:val="none"/>
        </w:rPr>
        <w:t>采购人或采购代理机构依法通过电子投标文件对投标人的资格进行线上审查</w:t>
      </w:r>
      <w:r>
        <w:rPr>
          <w:rFonts w:hint="eastAsia" w:ascii="仿宋" w:hAnsi="仿宋" w:eastAsia="仿宋" w:cs="仿宋"/>
          <w:b w:val="0"/>
          <w:color w:val="auto"/>
          <w:sz w:val="24"/>
          <w:highlight w:val="none"/>
        </w:rPr>
        <w:t>。</w:t>
      </w:r>
    </w:p>
    <w:p w14:paraId="5ECE701A">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26.2采购人或采购代理机构依据法律法规和招标文件的规定，对投标人的基本资格条件、特定资格条件进行审查。</w:t>
      </w:r>
    </w:p>
    <w:p w14:paraId="4F390EED">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26.3资格审查标准为详见“第四章 评标方法及评标标准”。本项目资格审查采用合格制，凡符合招标文件规定的投标人资格要求的投标人均通过资格审查。</w:t>
      </w:r>
    </w:p>
    <w:p w14:paraId="6D9D0C7C">
      <w:pPr>
        <w:pStyle w:val="5"/>
        <w:keepNext w:val="0"/>
        <w:keepLines w:val="0"/>
        <w:numPr>
          <w:ilvl w:val="0"/>
          <w:numId w:val="0"/>
        </w:numPr>
        <w:spacing w:before="0" w:after="0" w:line="360" w:lineRule="auto"/>
        <w:ind w:firstLine="482" w:firstLineChars="200"/>
        <w:rPr>
          <w:rFonts w:hint="eastAsia" w:ascii="仿宋" w:hAnsi="仿宋" w:eastAsia="仿宋" w:cs="仿宋"/>
          <w:color w:val="auto"/>
          <w:sz w:val="24"/>
          <w:highlight w:val="none"/>
        </w:rPr>
      </w:pPr>
      <w:bookmarkStart w:id="139" w:name="_25.3_投标人有下列情形之一的，资格审查不通过而导致其投标无效："/>
      <w:bookmarkEnd w:id="139"/>
      <w:r>
        <w:rPr>
          <w:rFonts w:hint="eastAsia" w:ascii="仿宋" w:hAnsi="仿宋" w:eastAsia="仿宋" w:cs="仿宋"/>
          <w:color w:val="auto"/>
          <w:sz w:val="24"/>
          <w:highlight w:val="none"/>
        </w:rPr>
        <w:t>26.4 投标人有下列情形之一的，资格审查不通过，作无效投标处理：</w:t>
      </w:r>
    </w:p>
    <w:p w14:paraId="46987113">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（1）未按招标文件规定的方式获取本招标文件的投标人；</w:t>
      </w:r>
    </w:p>
    <w:p w14:paraId="306E311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（2）不具备招标文件中规定的资格要求的；（注：其中信用查询规则见“投标人须知前附表”）</w:t>
      </w:r>
    </w:p>
    <w:p w14:paraId="5F07E728">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（3）投标文件未提供任一项“投标人须知前附表”资格证明文件规定的“必须提供”的文件资料的；</w:t>
      </w:r>
    </w:p>
    <w:p w14:paraId="3EF2EAFA">
      <w:pPr>
        <w:pStyle w:val="23"/>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（4）投标文件提供的资格证明文件出现任一项不符合“投标人须知前附表”资格证明文件规定的“必须提供”的文件资料要求或者无效的。</w:t>
      </w:r>
    </w:p>
    <w:p w14:paraId="22E1EC2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26.5资格审查的合格投标人不足3家的，不得评标。</w:t>
      </w:r>
    </w:p>
    <w:p w14:paraId="6E560582">
      <w:pPr>
        <w:keepNext w:val="0"/>
        <w:keepLines w:val="0"/>
        <w:spacing w:before="0" w:after="0" w:line="360" w:lineRule="auto"/>
        <w:ind w:left="420" w:leftChars="200"/>
        <w:outlineLvl w:val="9"/>
        <w:rPr>
          <w:rFonts w:hint="eastAsia" w:ascii="仿宋" w:hAnsi="仿宋" w:eastAsia="仿宋" w:cs="仿宋"/>
          <w:b w:val="0"/>
          <w:color w:val="auto"/>
          <w:sz w:val="24"/>
          <w:highlight w:val="none"/>
        </w:rPr>
      </w:pPr>
      <w:r>
        <w:rPr>
          <w:rFonts w:hint="eastAsia" w:ascii="仿宋" w:hAnsi="仿宋" w:eastAsia="仿宋" w:cs="仿宋"/>
          <w:color w:val="auto"/>
          <w:sz w:val="24"/>
          <w:highlight w:val="none"/>
        </w:rPr>
        <w:br w:type="column"/>
      </w:r>
    </w:p>
    <w:p w14:paraId="088F0FBF">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六、评   标</w:t>
      </w:r>
    </w:p>
    <w:p w14:paraId="4EB3196D">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0" w:name="_26.组建评标委员会"/>
      <w:bookmarkEnd w:id="140"/>
      <w:bookmarkStart w:id="141" w:name="_Toc254970546"/>
      <w:bookmarkStart w:id="142" w:name="_Toc254970687"/>
      <w:r>
        <w:rPr>
          <w:rFonts w:hint="eastAsia" w:ascii="仿宋" w:hAnsi="仿宋" w:eastAsia="仿宋" w:cs="仿宋"/>
          <w:color w:val="auto"/>
          <w:sz w:val="24"/>
          <w:highlight w:val="none"/>
        </w:rPr>
        <w:t>27.组建评标委员会</w:t>
      </w:r>
    </w:p>
    <w:p w14:paraId="2B19CE8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评标委员会由采购人代表和评审专家组成，具体人数详见“投标人须知前附表”，其中评审专家不得少于成员总数的三分之二。</w:t>
      </w:r>
    </w:p>
    <w:p w14:paraId="7E3AEFEA">
      <w:pPr>
        <w:pStyle w:val="23"/>
        <w:snapToGrid w:val="0"/>
        <w:spacing w:line="360" w:lineRule="auto"/>
        <w:ind w:left="2" w:leftChars="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参加过采购项目前期咨询论证的专家，不得参加该采购项目的评审活动。</w:t>
      </w:r>
    </w:p>
    <w:p w14:paraId="1C6926B2">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28.评标的依据</w:t>
      </w:r>
    </w:p>
    <w:p w14:paraId="4936FEB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评标委员会以招标文件为依据对投标文件进行评审，“第四章 评标方法和评标标准”没有规定的方法、评审因素和标准，不作为评标依据。</w:t>
      </w:r>
    </w:p>
    <w:p w14:paraId="07D8CF0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29.评标原则</w:t>
      </w:r>
    </w:p>
    <w:p w14:paraId="021D0F8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1EC2F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29.2评委表决。在评标过程中出现法律法规和招标文件均没有明确规定的情形时，由评标委员会现场协商解决，协商不一致的，由全体评委投票表决，以得票率二分之一以上专家的意见为准。</w:t>
      </w:r>
      <w:bookmarkStart w:id="143" w:name="_28.3评标方法。本项目将按须知前附表规定的评标办法进行评标，具体评标"/>
      <w:bookmarkEnd w:id="143"/>
    </w:p>
    <w:p w14:paraId="61D87C6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BF873D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29.4评标过程的监控。本项目评标过程实行全程录音、录像监控，投标人在评标过程中所进行的试图影响评标结果的不公正活动，可能导致其投标按无效处理。</w:t>
      </w:r>
    </w:p>
    <w:p w14:paraId="6C0204B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30.评标方法及评标标准</w:t>
      </w:r>
    </w:p>
    <w:p w14:paraId="0B0B574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30.1本项目的评标方法详见“投标人须知前附表”。</w:t>
      </w:r>
    </w:p>
    <w:p w14:paraId="4415D8AF">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评标委员会按照“第四章 评标方法和评标标准”规定的方法、评审因素、标准和程序对投标文件进行评审。</w:t>
      </w:r>
    </w:p>
    <w:p w14:paraId="531BA64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电子交易活动的中止。采购过程中出现以下情形，导致电子交易平台无法正常运行，或者无法保证电子交易的公平、公正和安全时，采购代理机构可中止电子交易活动：</w:t>
      </w:r>
    </w:p>
    <w:p w14:paraId="4109B8D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2539CAFC">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7D02667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7E8E258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1445F3E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（4）其他无法保证电子交易的公平、公正和安全的情况。</w:t>
      </w:r>
    </w:p>
    <w:p w14:paraId="7DC8E06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出现以上情形，不影响采购公平、公正性的，采购组织机构可以待上述情形消除后继续组织电子交易活动；影响或可能影响采购公平、公正性的，应当重新采购。采购代理机构必须对原有的资料及信息作出妥善保密处理，并报财政部门备案。</w:t>
      </w:r>
    </w:p>
    <w:p w14:paraId="131931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p>
    <w:p w14:paraId="77E48F02">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bookmarkEnd w:id="141"/>
      <w:bookmarkEnd w:id="142"/>
      <w:r>
        <w:rPr>
          <w:rFonts w:hint="eastAsia" w:ascii="仿宋" w:hAnsi="仿宋" w:eastAsia="仿宋" w:cs="仿宋"/>
          <w:color w:val="auto"/>
          <w:sz w:val="24"/>
          <w:szCs w:val="24"/>
          <w:highlight w:val="none"/>
        </w:rPr>
        <w:t>中标和合同</w:t>
      </w:r>
    </w:p>
    <w:p w14:paraId="55D54372">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4" w:name="_八、其他事项"/>
      <w:bookmarkEnd w:id="144"/>
      <w:r>
        <w:rPr>
          <w:rFonts w:hint="eastAsia" w:ascii="仿宋" w:hAnsi="仿宋" w:eastAsia="仿宋" w:cs="仿宋"/>
          <w:color w:val="auto"/>
          <w:sz w:val="24"/>
          <w:highlight w:val="none"/>
        </w:rPr>
        <w:t>31 确定中标人</w:t>
      </w:r>
    </w:p>
    <w:p w14:paraId="058F495A">
      <w:pPr>
        <w:pStyle w:val="5"/>
        <w:keepNext w:val="0"/>
        <w:keepLines w:val="0"/>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31.1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0C9B7A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31.2采购人在收到评标报告5个工作日内未按评标报告推荐的中标候选人顺序确定中标人，又不能说明合法理由的，视同按评标报告推荐的顺序确定排名第一的中标候选人为中标人。</w:t>
      </w:r>
    </w:p>
    <w:p w14:paraId="2E57369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381D3ED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166795F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32.结果公告</w:t>
      </w:r>
    </w:p>
    <w:p w14:paraId="4441744A">
      <w:pPr>
        <w:pStyle w:val="5"/>
        <w:keepNext w:val="0"/>
        <w:keepLines w:val="0"/>
        <w:spacing w:before="0" w:after="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32.1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5EF358A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排名第二的中标候选人因前款规定的同样原因被取消中标资格的，采购人可以确定排名第三的中标候选人为中标人，以此类推。</w:t>
      </w:r>
    </w:p>
    <w:p w14:paraId="457A0F2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以上信息查询记录及相关证据与采购文件一并保存。</w:t>
      </w:r>
    </w:p>
    <w:p w14:paraId="5B5E33D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51CF4BB5">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33.发出中标通知书</w:t>
      </w:r>
    </w:p>
    <w:p w14:paraId="59B6E7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4567CACD">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34.无义务解释未中标原因</w:t>
      </w:r>
    </w:p>
    <w:p w14:paraId="14E2FD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采购代理机构无义务向未中标的投标人解释未中标原因和退还投标文件。</w:t>
      </w:r>
    </w:p>
    <w:p w14:paraId="2FCA0AF8">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35.合同授予标准</w:t>
      </w:r>
    </w:p>
    <w:p w14:paraId="6EBD2425">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合同将授予被确定实质上响应招标文件要求，具备履行合同能力的中标人（招标文件另有约定多名中标人的除外）。</w:t>
      </w:r>
    </w:p>
    <w:p w14:paraId="72218A84">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36.履约保证金</w:t>
      </w:r>
    </w:p>
    <w:p w14:paraId="387799EF">
      <w:pPr>
        <w:spacing w:line="360" w:lineRule="auto"/>
        <w:ind w:firstLine="480" w:firstLineChars="200"/>
        <w:rPr>
          <w:rFonts w:hint="eastAsia" w:ascii="仿宋" w:hAnsi="仿宋" w:eastAsia="仿宋" w:cs="仿宋"/>
          <w:color w:val="auto"/>
          <w:sz w:val="24"/>
          <w:highlight w:val="none"/>
        </w:rPr>
      </w:pPr>
      <w:bookmarkStart w:id="145" w:name="_39.1中标人须于签订合同前按本须知前附表规定的金额转账或电汇到指定账"/>
      <w:bookmarkEnd w:id="145"/>
      <w:r>
        <w:rPr>
          <w:rFonts w:hint="eastAsia" w:ascii="仿宋" w:hAnsi="仿宋" w:eastAsia="仿宋" w:cs="仿宋"/>
          <w:color w:val="auto"/>
          <w:sz w:val="24"/>
          <w:highlight w:val="none"/>
        </w:rPr>
        <w:t>详见须知前附表。</w:t>
      </w:r>
    </w:p>
    <w:p w14:paraId="444F4CF0">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37.签订合同</w:t>
      </w:r>
    </w:p>
    <w:p w14:paraId="080BE021">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6" w:name="_40.1投标人接到中标通知书后，按须知前附表规定向采购人出示相关资格证"/>
      <w:bookmarkEnd w:id="146"/>
      <w:r>
        <w:rPr>
          <w:rFonts w:hint="eastAsia" w:ascii="仿宋" w:hAnsi="仿宋" w:eastAsia="仿宋" w:cs="仿宋"/>
          <w:b w:val="0"/>
          <w:color w:val="auto"/>
          <w:sz w:val="24"/>
          <w:highlight w:val="none"/>
        </w:rPr>
        <w:t xml:space="preserve"> 37.1投标人领取电子中标通知书后，按“投标人须知前附表”规定向采购人出示相关证明材料，经采购人核验合格后方可签订合同。</w:t>
      </w:r>
    </w:p>
    <w:p w14:paraId="6DFDF35D">
      <w:pPr>
        <w:pStyle w:val="5"/>
        <w:keepNext w:val="0"/>
        <w:keepLines w:val="0"/>
        <w:numPr>
          <w:ilvl w:val="0"/>
          <w:numId w:val="0"/>
        </w:numPr>
        <w:spacing w:before="0" w:after="0" w:line="360" w:lineRule="auto"/>
        <w:ind w:firstLine="480" w:firstLine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37.2签订合同时间：按中标通知书规定的时间与采购人签订合同（最长不能超过25日）。</w:t>
      </w:r>
    </w:p>
    <w:p w14:paraId="5EEA39BF">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37.3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3330BA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6FA9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37.5采购人或中标人不得单方面向合同另一方提出任何招标文件没有约定的条件或不合理的要求，作为签订合同的条件；也不得协商另行订立背离招标文件和合同实质性内容的协议。</w:t>
      </w:r>
    </w:p>
    <w:p w14:paraId="5FDF588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37.6如签订合同并生效后，供应商无故拒绝或延期，除按照合同条款处理外，将承担相应的法律责任。</w:t>
      </w:r>
    </w:p>
    <w:p w14:paraId="6A4D54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37.7采购人需追加与合同标的相同的货物或者服务的，在不改变原合同条款且已报财政部门批准落实资金的前提下，可从原中标人处添购，所签订的补充添置合同的采购资金总额不超过原采购合同金额的10%。</w:t>
      </w:r>
    </w:p>
    <w:p w14:paraId="6570A306">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7" w:name="_41.政府采购合同公告"/>
      <w:bookmarkEnd w:id="147"/>
      <w:r>
        <w:rPr>
          <w:rFonts w:hint="eastAsia" w:ascii="仿宋" w:hAnsi="仿宋" w:eastAsia="仿宋" w:cs="仿宋"/>
          <w:color w:val="auto"/>
          <w:sz w:val="24"/>
          <w:highlight w:val="none"/>
        </w:rPr>
        <w:t>38.政府采购合同公告</w:t>
      </w:r>
    </w:p>
    <w:p w14:paraId="7BACD0B1">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在以下媒体上发布“广西壮族自治区政府采购网”（http://zfcg.gxzf.gov.cn）上公告，但政府采购合同中涉及国家秘密、商业秘密的内容除外。</w:t>
      </w:r>
    </w:p>
    <w:p w14:paraId="0F0E3D7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39.询问、质疑和投诉</w:t>
      </w:r>
    </w:p>
    <w:p w14:paraId="7312E7E8">
      <w:pPr>
        <w:pStyle w:val="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39.1供应商对政府采购活动事项有疑问的，可以向采购人提出询问，采购人应当及时作出答复，但答复的内容不得涉及商业秘密。</w:t>
      </w:r>
    </w:p>
    <w:p w14:paraId="1FEC78C2">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 39.2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EA291DE">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（1）对可以质疑的招标文件提出质疑的，为收到招标文件之日或者招标文件公告期限届满之日；</w:t>
      </w:r>
    </w:p>
    <w:p w14:paraId="0A93F71B">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（2）对采购过程提出质疑的，为各采购程序环节结束之日；</w:t>
      </w:r>
    </w:p>
    <w:p w14:paraId="32F3C1C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（3）对中标结果提出质疑的，为中标结果公告期限届满之日。</w:t>
      </w:r>
    </w:p>
    <w:p w14:paraId="468E7C1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0B9E2556">
      <w:pPr>
        <w:pStyle w:val="5"/>
        <w:keepNext w:val="0"/>
        <w:keepLines w:val="0"/>
        <w:spacing w:before="0" w:after="0" w:line="360" w:lineRule="auto"/>
        <w:ind w:firstLine="360" w:firstLineChars="150"/>
        <w:rPr>
          <w:rFonts w:hint="eastAsia" w:ascii="仿宋" w:hAnsi="仿宋" w:eastAsia="仿宋" w:cs="仿宋"/>
          <w:b w:val="0"/>
          <w:color w:val="auto"/>
          <w:sz w:val="24"/>
          <w:highlight w:val="none"/>
        </w:rPr>
      </w:pPr>
      <w:bookmarkStart w:id="148" w:name="_9.2质疑、投诉应当采用书面形式，质疑函、投诉书均应明确阐述招标文件、"/>
      <w:bookmarkEnd w:id="148"/>
      <w:r>
        <w:rPr>
          <w:rFonts w:hint="eastAsia" w:ascii="仿宋" w:hAnsi="仿宋" w:eastAsia="仿宋" w:cs="仿宋"/>
          <w:b w:val="0"/>
          <w:color w:val="auto"/>
          <w:sz w:val="24"/>
          <w:highlight w:val="none"/>
        </w:rPr>
        <w:t xml:space="preserve"> 39.3 </w:t>
      </w:r>
      <w:r>
        <w:rPr>
          <w:rFonts w:hint="eastAsia" w:ascii="仿宋" w:hAnsi="仿宋" w:eastAsia="仿宋" w:cs="仿宋"/>
          <w:bCs/>
          <w:color w:val="auto"/>
          <w:sz w:val="24"/>
          <w:highlight w:val="none"/>
        </w:rPr>
        <w:t>供应商提出质疑应当提交质疑函和必要的证明材料，针对同一采购程序环节的质疑必须在法定质疑期内一次性提出。质疑函应当包括下列内容（质疑函格式后附）：</w:t>
      </w:r>
    </w:p>
    <w:p w14:paraId="3DD31B0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（1）供应商的姓名或者名称、地址、邮编、联系人及联系电话；</w:t>
      </w:r>
    </w:p>
    <w:p w14:paraId="4A36E066">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14:paraId="12472CC1">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（3）具体、明确的质疑事项和与质疑事项相关的请求；</w:t>
      </w:r>
    </w:p>
    <w:p w14:paraId="4D95BFAE">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14:paraId="2489532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（5）必要的法律依据；</w:t>
      </w:r>
    </w:p>
    <w:p w14:paraId="4845B69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（6）提出质疑的日期。</w:t>
      </w:r>
    </w:p>
    <w:p w14:paraId="15EA442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供应商为自然人的，应当由本人签字；供应商为法人或者其他组织的，应当由法定代表人、主要负责人，或者其委托代理人签字或者盖章，并加盖公章。</w:t>
      </w:r>
    </w:p>
    <w:p w14:paraId="72D32E5E">
      <w:pPr>
        <w:pStyle w:val="5"/>
        <w:keepNext w:val="0"/>
        <w:keepLines w:val="0"/>
        <w:snapToGrid w:val="0"/>
        <w:spacing w:before="0" w:after="0"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Cs/>
          <w:color w:val="auto"/>
          <w:sz w:val="24"/>
          <w:highlight w:val="none"/>
        </w:rPr>
        <w:t>9.4采购人、采购代理机构认为供应商质疑不成立，或者成立但未对中标结果构成影响的，继续开展采购活动；认为供应商质疑成立且影响或者可能影响中标结果的，按照下列情况处理：</w:t>
      </w:r>
    </w:p>
    <w:p w14:paraId="4AA9DD7F">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（一）对招标文件提出的质疑，依法通过澄清或者修改可以继续开展采购活动的，澄清或者修改招标文件后继续开展采购活动；否则应当修改招标文件后重新开展采购活动。</w:t>
      </w:r>
    </w:p>
    <w:p w14:paraId="5E12BDD6">
      <w:pPr>
        <w:pStyle w:val="23"/>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（二）对采购过程、中标结果提出的质疑，合格供应商符合法定数量时，可以从合格的中标候选人中另行确定中标人的，应当依法另行确定中标人；否则应当重新开展采购活动。</w:t>
      </w:r>
    </w:p>
    <w:p w14:paraId="6321D272">
      <w:pPr>
        <w:pStyle w:val="23"/>
        <w:snapToGrid w:val="0"/>
        <w:spacing w:line="360" w:lineRule="auto"/>
        <w:ind w:firstLine="42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质疑答复导致中标结果改变的，采购人或者采购代理机构应当将有关情况书面报告本级财政部门。</w:t>
      </w:r>
    </w:p>
    <w:p w14:paraId="42CB3371">
      <w:pPr>
        <w:pStyle w:val="23"/>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39.5</w:t>
      </w:r>
      <w:r>
        <w:rPr>
          <w:rFonts w:hint="eastAsia" w:ascii="仿宋" w:hAnsi="仿宋" w:eastAsia="仿宋" w:cs="仿宋"/>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620C3BF">
      <w:pPr>
        <w:pStyle w:val="23"/>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column"/>
      </w:r>
    </w:p>
    <w:p w14:paraId="557B63B3">
      <w:pPr>
        <w:pStyle w:val="4"/>
        <w:keepNext w:val="0"/>
        <w:keepLines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八、其他事项</w:t>
      </w:r>
    </w:p>
    <w:p w14:paraId="1C5D06A0">
      <w:pPr>
        <w:pStyle w:val="5"/>
        <w:keepNext w:val="0"/>
        <w:keepLines w:val="0"/>
        <w:spacing w:before="0" w:after="0" w:line="360" w:lineRule="auto"/>
        <w:ind w:left="420" w:leftChars="200"/>
        <w:rPr>
          <w:rFonts w:hint="eastAsia" w:ascii="仿宋" w:hAnsi="仿宋" w:eastAsia="仿宋" w:cs="仿宋"/>
          <w:color w:val="auto"/>
          <w:sz w:val="24"/>
          <w:highlight w:val="none"/>
        </w:rPr>
      </w:pPr>
      <w:bookmarkStart w:id="149" w:name="_42.代理服务费"/>
      <w:bookmarkEnd w:id="149"/>
      <w:r>
        <w:rPr>
          <w:rFonts w:hint="eastAsia" w:ascii="仿宋" w:hAnsi="仿宋" w:eastAsia="仿宋" w:cs="仿宋"/>
          <w:color w:val="auto"/>
          <w:sz w:val="24"/>
          <w:highlight w:val="none"/>
        </w:rPr>
        <w:t>40.代理服务费</w:t>
      </w:r>
    </w:p>
    <w:p w14:paraId="03AE8DD9">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40.1代理服务收费标准及缴费账户详见“投标人须知前附表”，投标人为联合体的，可以由联合体中的一方或者多方共同交纳代理服务费。</w:t>
      </w:r>
    </w:p>
    <w:p w14:paraId="76E210FE">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40.2代理服务收费标准：</w:t>
      </w: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BCA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472" w:type="dxa"/>
            <w:tcBorders>
              <w:tl2br w:val="single" w:color="auto" w:sz="4" w:space="0"/>
            </w:tcBorders>
          </w:tcPr>
          <w:p w14:paraId="4092F81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6268B7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中标金额</w:t>
            </w:r>
          </w:p>
        </w:tc>
        <w:tc>
          <w:tcPr>
            <w:tcW w:w="1659" w:type="dxa"/>
            <w:vAlign w:val="center"/>
          </w:tcPr>
          <w:p w14:paraId="561DD119">
            <w:pPr>
              <w:spacing w:line="360" w:lineRule="auto"/>
              <w:ind w:firstLine="120" w:firstLineChar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1687" w:type="dxa"/>
            <w:vAlign w:val="center"/>
          </w:tcPr>
          <w:p w14:paraId="6E9905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1659" w:type="dxa"/>
            <w:vAlign w:val="center"/>
          </w:tcPr>
          <w:p w14:paraId="38E9137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32F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8CE9D4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6A940DF6">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1.5%                </w:t>
            </w:r>
          </w:p>
        </w:tc>
        <w:tc>
          <w:tcPr>
            <w:tcW w:w="1687" w:type="dxa"/>
          </w:tcPr>
          <w:p w14:paraId="2925DA5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1.5%</w:t>
            </w:r>
          </w:p>
        </w:tc>
        <w:tc>
          <w:tcPr>
            <w:tcW w:w="1659" w:type="dxa"/>
          </w:tcPr>
          <w:p w14:paraId="666CF6A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1.0% </w:t>
            </w:r>
          </w:p>
        </w:tc>
      </w:tr>
      <w:tr w14:paraId="40EC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CE1A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63A57D4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1.1%                 </w:t>
            </w:r>
          </w:p>
        </w:tc>
        <w:tc>
          <w:tcPr>
            <w:tcW w:w="1687" w:type="dxa"/>
          </w:tcPr>
          <w:p w14:paraId="0EE6B8F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0.8%</w:t>
            </w:r>
          </w:p>
        </w:tc>
        <w:tc>
          <w:tcPr>
            <w:tcW w:w="1659" w:type="dxa"/>
          </w:tcPr>
          <w:p w14:paraId="74902703">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0.7% </w:t>
            </w:r>
          </w:p>
        </w:tc>
      </w:tr>
      <w:tr w14:paraId="3A28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1005E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5474EF52">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  0.8%                </w:t>
            </w:r>
          </w:p>
        </w:tc>
        <w:tc>
          <w:tcPr>
            <w:tcW w:w="1687" w:type="dxa"/>
          </w:tcPr>
          <w:p w14:paraId="1C2DE237">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0.45%</w:t>
            </w:r>
          </w:p>
        </w:tc>
        <w:tc>
          <w:tcPr>
            <w:tcW w:w="1659" w:type="dxa"/>
          </w:tcPr>
          <w:p w14:paraId="5DF89ED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0.55%</w:t>
            </w:r>
          </w:p>
        </w:tc>
      </w:tr>
      <w:tr w14:paraId="0840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9853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18CA136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0.5%                </w:t>
            </w:r>
          </w:p>
        </w:tc>
        <w:tc>
          <w:tcPr>
            <w:tcW w:w="1687" w:type="dxa"/>
          </w:tcPr>
          <w:p w14:paraId="4788A8E4">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0.25%</w:t>
            </w:r>
          </w:p>
        </w:tc>
        <w:tc>
          <w:tcPr>
            <w:tcW w:w="1659" w:type="dxa"/>
          </w:tcPr>
          <w:p w14:paraId="166238B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0.35% </w:t>
            </w:r>
          </w:p>
        </w:tc>
      </w:tr>
      <w:tr w14:paraId="3406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EC227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tcPr>
          <w:p w14:paraId="68363C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0.25%                 </w:t>
            </w:r>
          </w:p>
        </w:tc>
        <w:tc>
          <w:tcPr>
            <w:tcW w:w="1687" w:type="dxa"/>
          </w:tcPr>
          <w:p w14:paraId="7F6CBB9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0.1%</w:t>
            </w:r>
          </w:p>
        </w:tc>
        <w:tc>
          <w:tcPr>
            <w:tcW w:w="1659" w:type="dxa"/>
          </w:tcPr>
          <w:p w14:paraId="690AB13E">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0.2%</w:t>
            </w:r>
          </w:p>
        </w:tc>
      </w:tr>
      <w:tr w14:paraId="48C8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D31E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1～5亿元</w:t>
            </w:r>
          </w:p>
        </w:tc>
        <w:tc>
          <w:tcPr>
            <w:tcW w:w="1659" w:type="dxa"/>
          </w:tcPr>
          <w:p w14:paraId="13F6A8AF">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0.05%</w:t>
            </w:r>
          </w:p>
        </w:tc>
        <w:tc>
          <w:tcPr>
            <w:tcW w:w="1687" w:type="dxa"/>
          </w:tcPr>
          <w:p w14:paraId="27730BB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c>
          <w:tcPr>
            <w:tcW w:w="1659" w:type="dxa"/>
          </w:tcPr>
          <w:p w14:paraId="0CC03F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0.05%</w:t>
            </w:r>
          </w:p>
        </w:tc>
      </w:tr>
      <w:tr w14:paraId="01A1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FA8CB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5～10亿元</w:t>
            </w:r>
          </w:p>
        </w:tc>
        <w:tc>
          <w:tcPr>
            <w:tcW w:w="1659" w:type="dxa"/>
          </w:tcPr>
          <w:p w14:paraId="3A3A56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c>
          <w:tcPr>
            <w:tcW w:w="1687" w:type="dxa"/>
          </w:tcPr>
          <w:p w14:paraId="4826A69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0.035%</w:t>
            </w:r>
          </w:p>
        </w:tc>
        <w:tc>
          <w:tcPr>
            <w:tcW w:w="1659" w:type="dxa"/>
          </w:tcPr>
          <w:p w14:paraId="180275E4">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0.035%</w:t>
            </w:r>
          </w:p>
        </w:tc>
      </w:tr>
      <w:tr w14:paraId="024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D4CB88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10～50亿元</w:t>
            </w:r>
          </w:p>
        </w:tc>
        <w:tc>
          <w:tcPr>
            <w:tcW w:w="1659" w:type="dxa"/>
          </w:tcPr>
          <w:p w14:paraId="6892DE86">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87" w:type="dxa"/>
          </w:tcPr>
          <w:p w14:paraId="54B3BABB">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c>
          <w:tcPr>
            <w:tcW w:w="1659" w:type="dxa"/>
          </w:tcPr>
          <w:p w14:paraId="29ACA4B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0.008%</w:t>
            </w:r>
          </w:p>
        </w:tc>
      </w:tr>
      <w:tr w14:paraId="7F39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F45245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50～100亿元</w:t>
            </w:r>
          </w:p>
        </w:tc>
        <w:tc>
          <w:tcPr>
            <w:tcW w:w="1659" w:type="dxa"/>
          </w:tcPr>
          <w:p w14:paraId="50A14C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0.006%</w:t>
            </w:r>
          </w:p>
        </w:tc>
        <w:tc>
          <w:tcPr>
            <w:tcW w:w="1687" w:type="dxa"/>
          </w:tcPr>
          <w:p w14:paraId="46D2AD78">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c>
          <w:tcPr>
            <w:tcW w:w="1659" w:type="dxa"/>
          </w:tcPr>
          <w:p w14:paraId="03FAD7D2">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0.006%</w:t>
            </w:r>
          </w:p>
        </w:tc>
      </w:tr>
      <w:tr w14:paraId="72C9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A36E4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100亿以上</w:t>
            </w:r>
          </w:p>
        </w:tc>
        <w:tc>
          <w:tcPr>
            <w:tcW w:w="1659" w:type="dxa"/>
          </w:tcPr>
          <w:p w14:paraId="5F55293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0.004%</w:t>
            </w:r>
          </w:p>
        </w:tc>
        <w:tc>
          <w:tcPr>
            <w:tcW w:w="1687" w:type="dxa"/>
          </w:tcPr>
          <w:p w14:paraId="0C6198C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c>
          <w:tcPr>
            <w:tcW w:w="1659" w:type="dxa"/>
          </w:tcPr>
          <w:p w14:paraId="1F7CCD2A">
            <w:pPr>
              <w:spacing w:line="360" w:lineRule="auto"/>
              <w:ind w:firstLine="120" w:firstLine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0.004%</w:t>
            </w:r>
          </w:p>
        </w:tc>
      </w:tr>
    </w:tbl>
    <w:p w14:paraId="56091C7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2A1E341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（1）按本表费率计算的收费为采购代理的收费基准价格；</w:t>
      </w:r>
    </w:p>
    <w:p w14:paraId="4D11E64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654BF33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例如：某服务采购代理业务中标金额或者暂定价为150万元，下浮20%计取，计算采购代理收费额如下：</w:t>
      </w:r>
    </w:p>
    <w:p w14:paraId="0A6CB5B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100 万元 ×l.5 ％＝ 1.5 万元</w:t>
      </w:r>
    </w:p>
    <w:p w14:paraId="7ABF150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150 － 100 ）万元 ×0.8％＝ 0.4万元</w:t>
      </w:r>
    </w:p>
    <w:p w14:paraId="7481FEA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合计收费＝ （1.5 ＋ 0.4）×80%＝ 1.52万元</w:t>
      </w:r>
    </w:p>
    <w:p w14:paraId="4E0B1EE2">
      <w:pPr>
        <w:pStyle w:val="5"/>
        <w:keepNext w:val="0"/>
        <w:keepLines w:val="0"/>
        <w:spacing w:before="0" w:after="0" w:line="280" w:lineRule="exact"/>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 需要补充的其他内容</w:t>
      </w:r>
    </w:p>
    <w:p w14:paraId="4B2A7FF1">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41.1本招标文件解释规则详见“投标人须知前附表”。</w:t>
      </w:r>
    </w:p>
    <w:p w14:paraId="5271A42D">
      <w:pPr>
        <w:pStyle w:val="23"/>
        <w:snapToGrid w:val="0"/>
        <w:spacing w:before="120" w:after="120" w:line="2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其他事项详见“投标人须知前附表”。</w:t>
      </w:r>
    </w:p>
    <w:p w14:paraId="453C845D">
      <w:pPr>
        <w:pStyle w:val="23"/>
        <w:snapToGrid w:val="0"/>
        <w:spacing w:before="120" w:after="12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附件1：</w:t>
      </w:r>
    </w:p>
    <w:p w14:paraId="69754332">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广西壮族自治区政府采购项目合同验收书（格式）</w:t>
      </w:r>
    </w:p>
    <w:p w14:paraId="15382190">
      <w:pPr>
        <w:shd w:val="clear" w:color="auto" w:fill="FFFFFF"/>
        <w:snapToGrid w:val="0"/>
        <w:spacing w:line="320" w:lineRule="atLeast"/>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xml:space="preserve"> 项目名称 </w:t>
      </w:r>
      <w:r>
        <w:rPr>
          <w:rFonts w:hint="eastAsia" w:ascii="仿宋" w:hAnsi="仿宋" w:eastAsia="仿宋" w:cs="仿宋"/>
          <w:color w:val="auto"/>
          <w:kern w:val="0"/>
          <w:sz w:val="24"/>
          <w:highlight w:val="none"/>
        </w:rPr>
        <w:t>） 政府采购项目中标（或者成交）投标人（</w:t>
      </w:r>
      <w:r>
        <w:rPr>
          <w:rFonts w:hint="eastAsia" w:ascii="仿宋" w:hAnsi="仿宋" w:eastAsia="仿宋" w:cs="仿宋"/>
          <w:color w:val="auto"/>
          <w:kern w:val="0"/>
          <w:sz w:val="24"/>
          <w:highlight w:val="none"/>
          <w:u w:val="single"/>
        </w:rPr>
        <w:t xml:space="preserve"> 公司名称 </w:t>
      </w:r>
      <w:r>
        <w:rPr>
          <w:rFonts w:hint="eastAsia" w:ascii="仿宋" w:hAnsi="仿宋" w:eastAsia="仿宋" w:cs="仿宋"/>
          <w:color w:val="auto"/>
          <w:kern w:val="0"/>
          <w:sz w:val="24"/>
          <w:highlight w:val="none"/>
        </w:rPr>
        <w:t>） 提供的货物（或者工程、服务）进行了验收，验收情况如下：</w:t>
      </w:r>
    </w:p>
    <w:tbl>
      <w:tblPr>
        <w:tblStyle w:val="45"/>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C27DC2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43F24CBF">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10FF5466">
            <w:pPr>
              <w:snapToGrid w:val="0"/>
              <w:spacing w:before="100" w:beforeAutospacing="1" w:after="100" w:afterAutospacing="1" w:line="320" w:lineRule="atLeast"/>
              <w:ind w:firstLine="48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□自行验收 □委托验收</w:t>
            </w:r>
          </w:p>
        </w:tc>
      </w:tr>
      <w:tr w14:paraId="1F5A9B3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9D06FC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921" w:type="dxa"/>
            <w:tcBorders>
              <w:top w:val="nil"/>
              <w:left w:val="nil"/>
              <w:bottom w:val="single" w:color="auto" w:sz="8" w:space="0"/>
              <w:right w:val="single" w:color="auto" w:sz="8" w:space="0"/>
            </w:tcBorders>
            <w:vAlign w:val="center"/>
          </w:tcPr>
          <w:p w14:paraId="3559001D">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名 称</w:t>
            </w:r>
          </w:p>
        </w:tc>
        <w:tc>
          <w:tcPr>
            <w:tcW w:w="2902" w:type="dxa"/>
            <w:gridSpan w:val="3"/>
            <w:tcBorders>
              <w:top w:val="nil"/>
              <w:left w:val="nil"/>
              <w:bottom w:val="single" w:color="auto" w:sz="8" w:space="0"/>
              <w:right w:val="single" w:color="auto" w:sz="8" w:space="0"/>
            </w:tcBorders>
            <w:vAlign w:val="center"/>
          </w:tcPr>
          <w:p w14:paraId="5622B7B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1DDCDAA">
            <w:pPr>
              <w:snapToGrid w:val="0"/>
              <w:spacing w:before="100" w:beforeAutospacing="1" w:after="100" w:afterAutospacing="1" w:line="32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2354" w:type="dxa"/>
            <w:tcBorders>
              <w:top w:val="nil"/>
              <w:left w:val="nil"/>
              <w:bottom w:val="single" w:color="auto" w:sz="8" w:space="0"/>
              <w:right w:val="single" w:color="auto" w:sz="8" w:space="0"/>
            </w:tcBorders>
            <w:vAlign w:val="center"/>
          </w:tcPr>
          <w:p w14:paraId="38AE8606">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金 额</w:t>
            </w:r>
          </w:p>
        </w:tc>
      </w:tr>
      <w:tr w14:paraId="056DD27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18BFE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7E23D9B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80CD2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5FFF3C47">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D1CEBA">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0CDED4B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77ACBBAE">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33D0E3DC">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49C96A7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17D2424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62A66CF">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0F4DEA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9C32C34">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1921" w:type="dxa"/>
            <w:tcBorders>
              <w:top w:val="nil"/>
              <w:left w:val="nil"/>
              <w:bottom w:val="single" w:color="auto" w:sz="8" w:space="0"/>
              <w:right w:val="single" w:color="auto" w:sz="8" w:space="0"/>
            </w:tcBorders>
            <w:vAlign w:val="center"/>
          </w:tcPr>
          <w:p w14:paraId="056DC7EA">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902" w:type="dxa"/>
            <w:gridSpan w:val="3"/>
            <w:tcBorders>
              <w:top w:val="nil"/>
              <w:left w:val="nil"/>
              <w:bottom w:val="single" w:color="auto" w:sz="8" w:space="0"/>
              <w:right w:val="single" w:color="auto" w:sz="8" w:space="0"/>
            </w:tcBorders>
            <w:vAlign w:val="center"/>
          </w:tcPr>
          <w:p w14:paraId="051714FD">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863" w:type="dxa"/>
            <w:gridSpan w:val="2"/>
            <w:tcBorders>
              <w:top w:val="nil"/>
              <w:left w:val="nil"/>
              <w:bottom w:val="single" w:color="auto" w:sz="8" w:space="0"/>
              <w:right w:val="single" w:color="auto" w:sz="8" w:space="0"/>
            </w:tcBorders>
            <w:vAlign w:val="center"/>
          </w:tcPr>
          <w:p w14:paraId="4BD508E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59E7E92C">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3281FF6">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19C6D50">
            <w:pPr>
              <w:snapToGrid w:val="0"/>
              <w:spacing w:before="100" w:beforeAutospacing="1" w:after="100" w:afterAutospacing="1" w:line="320" w:lineRule="atLeast"/>
              <w:ind w:firstLine="5"/>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 计</w:t>
            </w:r>
          </w:p>
        </w:tc>
        <w:tc>
          <w:tcPr>
            <w:tcW w:w="863" w:type="dxa"/>
            <w:gridSpan w:val="2"/>
            <w:tcBorders>
              <w:top w:val="nil"/>
              <w:left w:val="nil"/>
              <w:bottom w:val="single" w:color="auto" w:sz="8" w:space="0"/>
              <w:right w:val="single" w:color="auto" w:sz="8" w:space="0"/>
            </w:tcBorders>
            <w:vAlign w:val="center"/>
          </w:tcPr>
          <w:p w14:paraId="2F8431EB">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354" w:type="dxa"/>
            <w:tcBorders>
              <w:top w:val="nil"/>
              <w:left w:val="nil"/>
              <w:bottom w:val="single" w:color="auto" w:sz="8" w:space="0"/>
              <w:right w:val="single" w:color="auto" w:sz="8" w:space="0"/>
            </w:tcBorders>
            <w:vAlign w:val="center"/>
          </w:tcPr>
          <w:p w14:paraId="62F52504">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12B4F7F">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6BB99FFC">
            <w:pPr>
              <w:snapToGrid w:val="0"/>
              <w:spacing w:before="100" w:beforeAutospacing="1" w:after="100" w:afterAutospacing="1" w:line="320" w:lineRule="atLeast"/>
              <w:ind w:firstLine="2"/>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合计大写金额： 亿 仟 佰 拾 万 仟 佰 拾 元</w:t>
            </w:r>
          </w:p>
        </w:tc>
      </w:tr>
      <w:tr w14:paraId="6E917EBF">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0B0821A5">
            <w:pPr>
              <w:snapToGrid w:val="0"/>
              <w:spacing w:before="100" w:beforeAutospacing="1" w:after="100" w:afterAutospacing="1" w:line="320" w:lineRule="atLeast"/>
              <w:ind w:firstLine="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实际供货日期</w:t>
            </w:r>
          </w:p>
        </w:tc>
        <w:tc>
          <w:tcPr>
            <w:tcW w:w="2719" w:type="dxa"/>
            <w:gridSpan w:val="2"/>
            <w:tcBorders>
              <w:top w:val="nil"/>
              <w:left w:val="nil"/>
              <w:bottom w:val="single" w:color="auto" w:sz="8" w:space="0"/>
              <w:right w:val="single" w:color="auto" w:sz="8" w:space="0"/>
            </w:tcBorders>
            <w:vAlign w:val="center"/>
          </w:tcPr>
          <w:p w14:paraId="71A02DB9">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30A47F7F">
            <w:pPr>
              <w:snapToGrid w:val="0"/>
              <w:spacing w:before="100" w:beforeAutospacing="1" w:after="100" w:afterAutospacing="1" w:line="320" w:lineRule="atLeast"/>
              <w:ind w:firstLine="46"/>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25CB18C0">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674F2BD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65DBE72">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719" w:type="dxa"/>
            <w:gridSpan w:val="2"/>
            <w:tcBorders>
              <w:top w:val="nil"/>
              <w:left w:val="nil"/>
              <w:bottom w:val="single" w:color="auto" w:sz="8" w:space="0"/>
              <w:right w:val="single" w:color="auto" w:sz="8" w:space="0"/>
            </w:tcBorders>
            <w:vAlign w:val="center"/>
          </w:tcPr>
          <w:p w14:paraId="6314D77F">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2282" w:type="dxa"/>
            <w:gridSpan w:val="3"/>
            <w:tcBorders>
              <w:top w:val="nil"/>
              <w:left w:val="nil"/>
              <w:bottom w:val="single" w:color="auto" w:sz="8" w:space="0"/>
              <w:right w:val="single" w:color="auto" w:sz="8" w:space="0"/>
            </w:tcBorders>
            <w:vAlign w:val="center"/>
          </w:tcPr>
          <w:p w14:paraId="1CE90720">
            <w:pPr>
              <w:spacing w:before="100" w:beforeAutospacing="1" w:after="100" w:afterAutospacing="1" w:line="240" w:lineRule="atLeast"/>
              <w:jc w:val="center"/>
              <w:rPr>
                <w:rFonts w:hint="eastAsia" w:ascii="仿宋" w:hAnsi="仿宋" w:eastAsia="仿宋" w:cs="仿宋"/>
                <w:color w:val="auto"/>
                <w:kern w:val="0"/>
                <w:sz w:val="24"/>
                <w:highlight w:val="none"/>
              </w:rPr>
            </w:pPr>
          </w:p>
        </w:tc>
        <w:tc>
          <w:tcPr>
            <w:tcW w:w="3039" w:type="dxa"/>
            <w:gridSpan w:val="2"/>
            <w:tcBorders>
              <w:top w:val="nil"/>
              <w:left w:val="nil"/>
              <w:bottom w:val="single" w:color="auto" w:sz="8" w:space="0"/>
              <w:right w:val="single" w:color="auto" w:sz="8" w:space="0"/>
            </w:tcBorders>
            <w:vAlign w:val="center"/>
          </w:tcPr>
          <w:p w14:paraId="270BDAD5">
            <w:pPr>
              <w:spacing w:before="100" w:beforeAutospacing="1" w:after="100" w:afterAutospacing="1" w:line="240" w:lineRule="atLeast"/>
              <w:jc w:val="center"/>
              <w:rPr>
                <w:rFonts w:hint="eastAsia" w:ascii="仿宋" w:hAnsi="仿宋" w:eastAsia="仿宋" w:cs="仿宋"/>
                <w:color w:val="auto"/>
                <w:kern w:val="0"/>
                <w:sz w:val="24"/>
                <w:highlight w:val="none"/>
              </w:rPr>
            </w:pPr>
          </w:p>
        </w:tc>
      </w:tr>
      <w:tr w14:paraId="5F4D961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D6F24B">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5347045">
            <w:pPr>
              <w:snapToGrid w:val="0"/>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0352A3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D34695">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验收小组意见</w:t>
            </w:r>
          </w:p>
        </w:tc>
        <w:tc>
          <w:tcPr>
            <w:tcW w:w="8040" w:type="dxa"/>
            <w:gridSpan w:val="7"/>
            <w:tcBorders>
              <w:top w:val="nil"/>
              <w:left w:val="nil"/>
              <w:bottom w:val="single" w:color="auto" w:sz="8" w:space="0"/>
              <w:right w:val="single" w:color="auto" w:sz="8" w:space="0"/>
            </w:tcBorders>
            <w:vAlign w:val="center"/>
          </w:tcPr>
          <w:p w14:paraId="2453E0C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验收结论性意见：</w:t>
            </w:r>
          </w:p>
        </w:tc>
      </w:tr>
      <w:tr w14:paraId="485DEC0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66DCA164">
            <w:pPr>
              <w:jc w:val="left"/>
              <w:rPr>
                <w:rFonts w:hint="eastAsia" w:ascii="仿宋" w:hAnsi="仿宋" w:eastAsia="仿宋" w:cs="仿宋"/>
                <w:color w:val="auto"/>
                <w:kern w:val="0"/>
                <w:sz w:val="24"/>
                <w:highlight w:val="none"/>
              </w:rPr>
            </w:pPr>
          </w:p>
        </w:tc>
        <w:tc>
          <w:tcPr>
            <w:tcW w:w="8040" w:type="dxa"/>
            <w:gridSpan w:val="7"/>
            <w:tcBorders>
              <w:top w:val="nil"/>
              <w:left w:val="nil"/>
              <w:bottom w:val="single" w:color="auto" w:sz="8" w:space="0"/>
              <w:right w:val="single" w:color="auto" w:sz="8" w:space="0"/>
            </w:tcBorders>
            <w:vAlign w:val="center"/>
          </w:tcPr>
          <w:p w14:paraId="37A9DAD0">
            <w:pPr>
              <w:spacing w:before="100" w:beforeAutospacing="1" w:after="100" w:afterAutospacing="1" w:line="320" w:lineRule="atLeast"/>
              <w:ind w:firstLine="96"/>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有异议的意见和说明理由：</w:t>
            </w:r>
          </w:p>
          <w:p w14:paraId="4C309EF6">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签字：</w:t>
            </w:r>
          </w:p>
        </w:tc>
      </w:tr>
      <w:tr w14:paraId="09BD0829">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A22263">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验收小组成员签字：</w:t>
            </w:r>
          </w:p>
        </w:tc>
      </w:tr>
      <w:tr w14:paraId="5B055AA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E0E56E">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监督人员或者其他相关人员签字：</w:t>
            </w:r>
          </w:p>
          <w:p w14:paraId="0CA81B5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或者受邀机构的意见（盖章）：</w:t>
            </w:r>
          </w:p>
        </w:tc>
      </w:tr>
      <w:tr w14:paraId="5BD9657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4E66D075">
            <w:pPr>
              <w:spacing w:before="100" w:beforeAutospacing="1" w:after="100" w:afterAutospacing="1" w:line="320" w:lineRule="atLeast"/>
              <w:ind w:firstLine="74"/>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中标或者成交人负责人签字或者盖章：</w:t>
            </w:r>
          </w:p>
          <w:p w14:paraId="70AE0D47">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7FBB4431">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采购人或者受托机构的意见（盖章）：</w:t>
            </w:r>
          </w:p>
          <w:p w14:paraId="71E01EA4">
            <w:pPr>
              <w:spacing w:before="100" w:beforeAutospacing="1" w:after="100" w:afterAutospacing="1" w:line="32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联系电话： 年 月 日</w:t>
            </w:r>
          </w:p>
        </w:tc>
      </w:tr>
    </w:tbl>
    <w:p w14:paraId="7FF41EDE">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rPr>
        <w:t>附件2：</w:t>
      </w:r>
    </w:p>
    <w:p w14:paraId="7559360D">
      <w:pPr>
        <w:shd w:val="clear" w:color="auto" w:fill="FFFFFF"/>
        <w:spacing w:after="240" w:afterLines="100" w:line="480" w:lineRule="atLeas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政府采购项目履约保证金退付意见书（参考）</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604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8" w:type="dxa"/>
            <w:vMerge w:val="restart"/>
            <w:vAlign w:val="center"/>
          </w:tcPr>
          <w:p w14:paraId="346411C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w:t>
            </w:r>
          </w:p>
          <w:p w14:paraId="2988104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w:t>
            </w:r>
          </w:p>
          <w:p w14:paraId="2E5DC3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商</w:t>
            </w:r>
          </w:p>
          <w:p w14:paraId="207B5B6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w:t>
            </w:r>
          </w:p>
          <w:p w14:paraId="4C157E3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请</w:t>
            </w:r>
          </w:p>
        </w:tc>
        <w:tc>
          <w:tcPr>
            <w:tcW w:w="8456" w:type="dxa"/>
            <w:vAlign w:val="center"/>
          </w:tcPr>
          <w:p w14:paraId="487ECCE3">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r>
      <w:tr w14:paraId="69D0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08" w:type="dxa"/>
            <w:vMerge w:val="continue"/>
            <w:vAlign w:val="center"/>
          </w:tcPr>
          <w:p w14:paraId="762ACB51">
            <w:pPr>
              <w:rPr>
                <w:rFonts w:hint="eastAsia" w:ascii="仿宋" w:hAnsi="仿宋" w:eastAsia="仿宋" w:cs="仿宋"/>
                <w:color w:val="auto"/>
                <w:sz w:val="24"/>
                <w:highlight w:val="none"/>
              </w:rPr>
            </w:pPr>
          </w:p>
        </w:tc>
        <w:tc>
          <w:tcPr>
            <w:tcW w:w="8456" w:type="dxa"/>
            <w:vAlign w:val="center"/>
          </w:tcPr>
          <w:p w14:paraId="70DF40AB">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r>
      <w:tr w14:paraId="237C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14:paraId="2664B16B">
            <w:pPr>
              <w:rPr>
                <w:rFonts w:hint="eastAsia" w:ascii="仿宋" w:hAnsi="仿宋" w:eastAsia="仿宋" w:cs="仿宋"/>
                <w:color w:val="auto"/>
                <w:sz w:val="24"/>
                <w:highlight w:val="none"/>
              </w:rPr>
            </w:pPr>
          </w:p>
        </w:tc>
        <w:tc>
          <w:tcPr>
            <w:tcW w:w="8456" w:type="dxa"/>
            <w:vAlign w:val="center"/>
          </w:tcPr>
          <w:p w14:paraId="6BF68182">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1CA0370">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该项目已于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日验收并交付使用。根据合同规定，该项目的履约保证金期限于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日已满，请将履约保证金</w:t>
            </w:r>
          </w:p>
          <w:p w14:paraId="6FC346C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（小写）退付到达以下帐户。</w:t>
            </w:r>
          </w:p>
          <w:p w14:paraId="4DF33A18">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p w14:paraId="643554E9">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14:paraId="1C027001">
            <w:pPr>
              <w:spacing w:line="400" w:lineRule="exact"/>
              <w:ind w:firstLine="705"/>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w:t>
            </w:r>
          </w:p>
          <w:p w14:paraId="40FED4E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w:t>
            </w:r>
          </w:p>
          <w:p w14:paraId="1DEFA776">
            <w:pPr>
              <w:spacing w:line="400" w:lineRule="exact"/>
              <w:rPr>
                <w:rFonts w:hint="eastAsia" w:ascii="仿宋" w:hAnsi="仿宋" w:eastAsia="仿宋" w:cs="仿宋"/>
                <w:color w:val="auto"/>
                <w:sz w:val="24"/>
                <w:highlight w:val="none"/>
              </w:rPr>
            </w:pPr>
          </w:p>
          <w:p w14:paraId="205E1A87">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投标人签章：</w:t>
            </w:r>
          </w:p>
          <w:p w14:paraId="2A9CC8E8">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5CA9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6496B5B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w:t>
            </w:r>
          </w:p>
          <w:p w14:paraId="1F7004E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购</w:t>
            </w:r>
          </w:p>
          <w:p w14:paraId="4857EC2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w:t>
            </w:r>
          </w:p>
          <w:p w14:paraId="2837C48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意</w:t>
            </w:r>
          </w:p>
          <w:p w14:paraId="0009E93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见</w:t>
            </w:r>
          </w:p>
        </w:tc>
        <w:tc>
          <w:tcPr>
            <w:tcW w:w="8456" w:type="dxa"/>
            <w:vAlign w:val="center"/>
          </w:tcPr>
          <w:p w14:paraId="40FFBD15">
            <w:pPr>
              <w:rPr>
                <w:rFonts w:hint="eastAsia" w:ascii="仿宋" w:hAnsi="仿宋" w:eastAsia="仿宋" w:cs="仿宋"/>
                <w:color w:val="auto"/>
                <w:sz w:val="24"/>
                <w:highlight w:val="none"/>
              </w:rPr>
            </w:pPr>
          </w:p>
          <w:p w14:paraId="75626275">
            <w:pPr>
              <w:rPr>
                <w:rFonts w:hint="eastAsia" w:ascii="仿宋" w:hAnsi="仿宋" w:eastAsia="仿宋" w:cs="仿宋"/>
                <w:color w:val="auto"/>
                <w:sz w:val="24"/>
                <w:highlight w:val="none"/>
              </w:rPr>
            </w:pPr>
            <w:r>
              <w:rPr>
                <w:rFonts w:hint="eastAsia" w:ascii="仿宋" w:hAnsi="仿宋" w:eastAsia="仿宋" w:cs="仿宋"/>
                <w:color w:val="auto"/>
                <w:sz w:val="24"/>
                <w:highlight w:val="none"/>
              </w:rPr>
              <w:t>退付意见：（是否同意退付履约保证金及退付金额）</w:t>
            </w:r>
          </w:p>
          <w:p w14:paraId="4E557C99">
            <w:pPr>
              <w:rPr>
                <w:rFonts w:hint="eastAsia" w:ascii="仿宋" w:hAnsi="仿宋" w:eastAsia="仿宋" w:cs="仿宋"/>
                <w:color w:val="auto"/>
                <w:sz w:val="24"/>
                <w:highlight w:val="none"/>
              </w:rPr>
            </w:pPr>
          </w:p>
          <w:p w14:paraId="29193A66">
            <w:pPr>
              <w:rPr>
                <w:rFonts w:hint="eastAsia" w:ascii="仿宋" w:hAnsi="仿宋" w:eastAsia="仿宋" w:cs="仿宋"/>
                <w:color w:val="auto"/>
                <w:sz w:val="24"/>
                <w:highlight w:val="none"/>
              </w:rPr>
            </w:pPr>
          </w:p>
          <w:p w14:paraId="586F1B72">
            <w:pPr>
              <w:rPr>
                <w:rFonts w:hint="eastAsia" w:ascii="仿宋" w:hAnsi="仿宋" w:eastAsia="仿宋" w:cs="仿宋"/>
                <w:color w:val="auto"/>
                <w:sz w:val="24"/>
                <w:highlight w:val="none"/>
              </w:rPr>
            </w:pPr>
          </w:p>
          <w:p w14:paraId="7032D0AD">
            <w:pPr>
              <w:rPr>
                <w:rFonts w:hint="eastAsia" w:ascii="仿宋" w:hAnsi="仿宋" w:eastAsia="仿宋" w:cs="仿宋"/>
                <w:color w:val="auto"/>
                <w:sz w:val="24"/>
                <w:highlight w:val="none"/>
              </w:rPr>
            </w:pPr>
          </w:p>
          <w:p w14:paraId="0266BF7D">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联系人及电话：                         采购人签章</w:t>
            </w:r>
          </w:p>
          <w:p w14:paraId="3A7CC334">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tc>
      </w:tr>
      <w:tr w14:paraId="05B2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08" w:type="dxa"/>
            <w:vAlign w:val="center"/>
          </w:tcPr>
          <w:p w14:paraId="301CFC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8456" w:type="dxa"/>
            <w:vAlign w:val="center"/>
          </w:tcPr>
          <w:p w14:paraId="5DC4B419">
            <w:pPr>
              <w:rPr>
                <w:rFonts w:hint="eastAsia" w:ascii="仿宋" w:hAnsi="仿宋" w:eastAsia="仿宋" w:cs="仿宋"/>
                <w:color w:val="auto"/>
                <w:sz w:val="24"/>
                <w:highlight w:val="none"/>
              </w:rPr>
            </w:pPr>
          </w:p>
        </w:tc>
      </w:tr>
    </w:tbl>
    <w:p w14:paraId="20DBE32C">
      <w:pPr>
        <w:pStyle w:val="16"/>
        <w:ind w:left="480" w:leftChars="114" w:hanging="241" w:hangingChars="100"/>
        <w:rPr>
          <w:rFonts w:hint="eastAsia" w:ascii="仿宋" w:hAnsi="仿宋" w:eastAsia="仿宋" w:cs="仿宋"/>
          <w:b/>
          <w:bCs/>
          <w:color w:val="auto"/>
          <w:highlight w:val="none"/>
        </w:rPr>
      </w:pPr>
      <w:r>
        <w:rPr>
          <w:rFonts w:hint="eastAsia" w:ascii="仿宋" w:hAnsi="仿宋" w:eastAsia="仿宋" w:cs="仿宋"/>
          <w:b/>
          <w:bCs/>
          <w:color w:val="auto"/>
          <w:highlight w:val="none"/>
        </w:rPr>
        <w:t>注：投标人凭经采购人审批的退付意见书到保证金收取单位办理履约保证金退付事宜。</w:t>
      </w:r>
    </w:p>
    <w:p w14:paraId="241B1AB6">
      <w:pPr>
        <w:pStyle w:val="23"/>
        <w:snapToGrid w:val="0"/>
        <w:spacing w:before="120" w:after="120"/>
        <w:ind w:firstLine="400" w:firstLineChars="200"/>
        <w:rPr>
          <w:rFonts w:hint="eastAsia" w:ascii="仿宋" w:hAnsi="仿宋" w:eastAsia="仿宋" w:cs="仿宋"/>
          <w:color w:val="auto"/>
          <w:sz w:val="36"/>
          <w:szCs w:val="36"/>
          <w:highlight w:val="none"/>
        </w:rPr>
      </w:pPr>
      <w:r>
        <w:rPr>
          <w:rFonts w:hint="eastAsia" w:ascii="仿宋" w:hAnsi="仿宋" w:eastAsia="仿宋" w:cs="仿宋"/>
          <w:color w:val="auto"/>
          <w:highlight w:val="none"/>
        </w:rPr>
        <w:br w:type="page"/>
      </w:r>
      <w:bookmarkStart w:id="150" w:name="_Toc330456896"/>
      <w:bookmarkStart w:id="151" w:name="_Toc254970548"/>
      <w:bookmarkStart w:id="152" w:name="_Toc254970689"/>
      <w:bookmarkStart w:id="153" w:name="_Toc19686832"/>
    </w:p>
    <w:p w14:paraId="362BBE8A">
      <w:pPr>
        <w:jc w:val="center"/>
        <w:outlineLvl w:val="1"/>
        <w:rPr>
          <w:rFonts w:hint="eastAsia" w:ascii="仿宋" w:hAnsi="仿宋" w:eastAsia="仿宋" w:cs="仿宋"/>
          <w:color w:val="auto"/>
          <w:sz w:val="36"/>
          <w:szCs w:val="36"/>
          <w:highlight w:val="none"/>
        </w:rPr>
      </w:pPr>
      <w:bookmarkStart w:id="154" w:name="_Toc30183"/>
      <w:bookmarkStart w:id="155" w:name="_Toc419"/>
      <w:r>
        <w:rPr>
          <w:rFonts w:hint="eastAsia" w:ascii="仿宋" w:hAnsi="仿宋" w:eastAsia="仿宋" w:cs="仿宋"/>
          <w:color w:val="auto"/>
          <w:sz w:val="36"/>
          <w:szCs w:val="36"/>
          <w:highlight w:val="none"/>
        </w:rPr>
        <w:t>第四章  评标方法及评标标准</w:t>
      </w:r>
      <w:bookmarkEnd w:id="150"/>
      <w:bookmarkEnd w:id="151"/>
      <w:bookmarkEnd w:id="152"/>
      <w:bookmarkEnd w:id="153"/>
      <w:bookmarkEnd w:id="154"/>
      <w:bookmarkEnd w:id="155"/>
    </w:p>
    <w:p w14:paraId="2C123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一、评标方法</w:t>
      </w:r>
    </w:p>
    <w:p w14:paraId="61F78C14">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综合评分法，是指投标文件满足招标文件全部实质性要求，且按照评审因素的量化指标评审得分最高的投标人为中标候选人的评标方法。</w:t>
      </w:r>
    </w:p>
    <w:p w14:paraId="43C96930">
      <w:pPr>
        <w:pStyle w:val="23"/>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最低评标价法，是指投标文件满足招标文件全部实质性要求，且投标报价最低的投标人为中标候选人的评标方法。</w:t>
      </w:r>
    </w:p>
    <w:p w14:paraId="49DE74B8">
      <w:pPr>
        <w:pStyle w:val="4"/>
        <w:keepNext w:val="0"/>
        <w:keepLines w:val="0"/>
        <w:jc w:val="center"/>
        <w:rPr>
          <w:rFonts w:hint="eastAsia" w:ascii="仿宋" w:hAnsi="仿宋" w:eastAsia="仿宋" w:cs="仿宋"/>
          <w:color w:val="auto"/>
          <w:highlight w:val="none"/>
        </w:rPr>
      </w:pPr>
      <w:r>
        <w:rPr>
          <w:rFonts w:hint="eastAsia" w:ascii="仿宋" w:hAnsi="仿宋" w:eastAsia="仿宋" w:cs="仿宋"/>
          <w:color w:val="auto"/>
          <w:highlight w:val="none"/>
        </w:rPr>
        <w:t>二、评标程序</w:t>
      </w:r>
    </w:p>
    <w:p w14:paraId="2D75AE89">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1.符合性审查</w:t>
      </w:r>
    </w:p>
    <w:p w14:paraId="51A91265">
      <w:pPr>
        <w:pStyle w:val="23"/>
        <w:snapToGrid w:val="0"/>
        <w:spacing w:line="360" w:lineRule="auto"/>
        <w:ind w:left="1" w:firstLine="420"/>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6A5BB7C6">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2.符合性审查不通过而导致投标无效的情形</w:t>
      </w:r>
    </w:p>
    <w:p w14:paraId="4C5271C3">
      <w:p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投标人的投标文件中存在对招标文件的任何实质性要求和条件的负偏离，将被视为投标无效。</w:t>
      </w:r>
    </w:p>
    <w:p w14:paraId="53D8EB3F">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2.1在报价评审时，如发现下列情形之一的，将被视为投标无效：</w:t>
      </w:r>
    </w:p>
    <w:p w14:paraId="5B3B18C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投标文件未提供“投标人须知前附表”第13.1条规定中“必须提供”的文件资料的;</w:t>
      </w:r>
    </w:p>
    <w:p w14:paraId="05584C62">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未采用人民币报价或者未按照招标文件标明的币种报价的；</w:t>
      </w:r>
    </w:p>
    <w:p w14:paraId="0DB266EC">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报价超出招标文件规定最高限价，或者超出采购预算金额的；</w:t>
      </w:r>
    </w:p>
    <w:p w14:paraId="791504B3">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9D09CB4">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修正后的报价，投标人不确认的；</w:t>
      </w:r>
    </w:p>
    <w:p w14:paraId="62724C30">
      <w:pPr>
        <w:pStyle w:val="6"/>
        <w:numPr>
          <w:ilvl w:val="0"/>
          <w:numId w:val="4"/>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投标人属于本章第5条第（2）项情形的。</w:t>
      </w:r>
    </w:p>
    <w:p w14:paraId="153776A7">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2.2在商务评审时，如发现下列情形之一的，将被视为投标无效：</w:t>
      </w:r>
    </w:p>
    <w:p w14:paraId="3318A9B9">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投标文件未按招标文件要求签署、盖章的；</w:t>
      </w:r>
    </w:p>
    <w:p w14:paraId="4A9D9CDE">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委托代理人未能出具有效身份证明或者出具的身份证明与授权委托书中的信息不符的； </w:t>
      </w:r>
    </w:p>
    <w:p w14:paraId="3534445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为无效投标保证金的或者未按照招标文件的规定提交投标保证金的；</w:t>
      </w:r>
    </w:p>
    <w:p w14:paraId="35029387">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投标文件未提供“投标人须知前附表”第13.1条规定中“必须提供”或者“委托时必须提供”的文件资料的;</w:t>
      </w:r>
    </w:p>
    <w:p w14:paraId="2D640DF3">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投标有效期、项目完成时间（交货时间、服务完成时间或者服务期等）、质保期、售后服务等招标文件中标“▲”的商务条款发生负偏离的；</w:t>
      </w:r>
    </w:p>
    <w:p w14:paraId="2A5BD3FF">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商务条款评审允许负偏离的条款数超过“投标人须知前附表”规定项数的（如有）。</w:t>
      </w:r>
    </w:p>
    <w:p w14:paraId="28DB70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投标文件的实质性内容未使用中文表述、使用计量单位不符合招标文件要求的；</w:t>
      </w:r>
    </w:p>
    <w:p w14:paraId="4E306C21">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投标文件中的文件资料因填写不齐全或者内容虚假或者出现其他情形而导致被评标委员会认定无效的；</w:t>
      </w:r>
    </w:p>
    <w:p w14:paraId="2AB7A432">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w:t>
      </w:r>
    </w:p>
    <w:p w14:paraId="2E053A7B">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未响应招标文件实质性要求的；</w:t>
      </w:r>
    </w:p>
    <w:p w14:paraId="45FA2954">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属于投标人须知正文第9.2条情形的；</w:t>
      </w:r>
    </w:p>
    <w:p w14:paraId="6A0E112C">
      <w:pPr>
        <w:numPr>
          <w:ilvl w:val="0"/>
          <w:numId w:val="5"/>
        </w:numPr>
        <w:snapToGrid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法律、法规和招标文件规定的其他无效情形。</w:t>
      </w:r>
    </w:p>
    <w:p w14:paraId="669406CA">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2.3在技术评审时，如发现下列情形之一的，将被视为投标无效：</w:t>
      </w:r>
    </w:p>
    <w:p w14:paraId="17587A06">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（1）明显不满足招标文件要求的技术规格、安全、质量标准，或者与招标文件中标“▲”的技术需求发生负偏离的；</w:t>
      </w:r>
    </w:p>
    <w:p w14:paraId="2518BC2C">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（2）技术需求评审允许负偏离的条款数超过“投标人须知前附表”规定项数的</w:t>
      </w:r>
      <w:r>
        <w:rPr>
          <w:rFonts w:hint="eastAsia" w:ascii="仿宋" w:hAnsi="仿宋" w:eastAsia="仿宋" w:cs="仿宋"/>
          <w:b/>
          <w:color w:val="auto"/>
          <w:sz w:val="24"/>
          <w:highlight w:val="none"/>
        </w:rPr>
        <w:t>（如有）</w:t>
      </w:r>
      <w:r>
        <w:rPr>
          <w:rFonts w:hint="eastAsia" w:ascii="仿宋" w:hAnsi="仿宋" w:eastAsia="仿宋" w:cs="仿宋"/>
          <w:b/>
          <w:color w:val="auto"/>
          <w:kern w:val="2"/>
          <w:sz w:val="24"/>
          <w:szCs w:val="24"/>
          <w:highlight w:val="none"/>
        </w:rPr>
        <w:t>；</w:t>
      </w:r>
    </w:p>
    <w:p w14:paraId="702882A9">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（3）投标文件未提供“投标人须知前附表”第13.1条规定中“必须提供”的文件资料的;</w:t>
      </w:r>
    </w:p>
    <w:p w14:paraId="3E0CDDBD">
      <w:pPr>
        <w:pStyle w:val="17"/>
        <w:snapToGrid w:val="0"/>
        <w:spacing w:line="360" w:lineRule="auto"/>
        <w:ind w:firstLine="472" w:firstLineChars="196"/>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（4）虚假投标，或者出现其他情形而导致被评标委员会认定无效的；</w:t>
      </w:r>
    </w:p>
    <w:p w14:paraId="74209E27">
      <w:pPr>
        <w:pStyle w:val="17"/>
        <w:snapToGrid w:val="0"/>
        <w:spacing w:line="360" w:lineRule="auto"/>
        <w:ind w:firstLine="472" w:firstLineChars="196"/>
        <w:rPr>
          <w:rFonts w:hint="eastAsia" w:ascii="仿宋" w:hAnsi="仿宋" w:eastAsia="仿宋" w:cs="仿宋"/>
          <w:color w:val="auto"/>
          <w:sz w:val="24"/>
          <w:szCs w:val="24"/>
          <w:highlight w:val="none"/>
        </w:rPr>
      </w:pPr>
      <w:r>
        <w:rPr>
          <w:rFonts w:hint="eastAsia" w:ascii="仿宋" w:hAnsi="仿宋" w:eastAsia="仿宋" w:cs="仿宋"/>
          <w:b/>
          <w:color w:val="auto"/>
          <w:kern w:val="2"/>
          <w:sz w:val="24"/>
          <w:szCs w:val="24"/>
          <w:highlight w:val="none"/>
        </w:rPr>
        <w:t>（5）投标技术方案不明确，招标文件未允许但存在一个或者一个以上备选（替代）投标方案的。</w:t>
      </w:r>
    </w:p>
    <w:p w14:paraId="185CB17C">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3.澄清补正</w:t>
      </w:r>
    </w:p>
    <w:p w14:paraId="6ECE148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对投标文件中含义不明确、同类问题表述不一致或者有明显文字和计算错误的内容，评标委员会应在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发布电子澄清函，要求投标人在规定时间内作出必要的澄清、说明或者补正。投标人在</w:t>
      </w:r>
      <w:r>
        <w:rPr>
          <w:rFonts w:hint="eastAsia" w:ascii="仿宋" w:hAnsi="仿宋" w:eastAsia="仿宋" w:cs="仿宋"/>
          <w:bCs/>
          <w:color w:val="auto"/>
          <w:sz w:val="24"/>
          <w:highlight w:val="none"/>
        </w:rPr>
        <w:t>广西政府采购云平台</w:t>
      </w:r>
      <w:r>
        <w:rPr>
          <w:rFonts w:hint="eastAsia" w:ascii="仿宋" w:hAnsi="仿宋" w:eastAsia="仿宋" w:cs="仿宋"/>
          <w:color w:val="auto"/>
          <w:sz w:val="24"/>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1393D4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C4EE0D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投标人的澄清、说明或者补正不得超出投标文件的范围或者改变投标文件的实质性内容。</w:t>
      </w:r>
    </w:p>
    <w:p w14:paraId="267B71D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4.投标文件修正</w:t>
      </w:r>
    </w:p>
    <w:p w14:paraId="26AF4A7B">
      <w:pPr>
        <w:pStyle w:val="5"/>
        <w:keepNext w:val="0"/>
        <w:keepLines w:val="0"/>
        <w:spacing w:before="0" w:after="0" w:line="360" w:lineRule="auto"/>
        <w:ind w:left="420" w:leftChars="20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 xml:space="preserve">4.1投标文件报价出现前后不一致的，按照下列规定修正： </w:t>
      </w:r>
    </w:p>
    <w:p w14:paraId="1049B64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（1）投标文件中开标一览表（报价表）内容与投标文件中相应内容不一致的，以开标一览表（报价表）为准；</w:t>
      </w:r>
    </w:p>
    <w:p w14:paraId="2A460076">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0AC4947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（3）单价金额小数点或者百分比有明显错位的，以开标一览表的总价为准，并修改单价；</w:t>
      </w:r>
    </w:p>
    <w:p w14:paraId="6F5E32DD">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61295CEA">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同时出现两种以上不一致的，按照以上（1）-（4）规定的顺序修正。修正后的报价经投标人确认后产生约束力，投标人不确认的，</w:t>
      </w:r>
      <w:r>
        <w:rPr>
          <w:rFonts w:hint="eastAsia" w:ascii="仿宋" w:hAnsi="仿宋" w:eastAsia="仿宋" w:cs="仿宋"/>
          <w:b/>
          <w:color w:val="auto"/>
          <w:kern w:val="2"/>
          <w:sz w:val="24"/>
          <w:szCs w:val="24"/>
          <w:highlight w:val="none"/>
        </w:rPr>
        <w:t>其投标无效</w:t>
      </w:r>
      <w:r>
        <w:rPr>
          <w:rFonts w:hint="eastAsia" w:ascii="仿宋" w:hAnsi="仿宋" w:eastAsia="仿宋" w:cs="仿宋"/>
          <w:color w:val="auto"/>
          <w:sz w:val="24"/>
          <w:szCs w:val="24"/>
          <w:highlight w:val="none"/>
        </w:rPr>
        <w:t>。</w:t>
      </w:r>
    </w:p>
    <w:p w14:paraId="3EC88408">
      <w:pPr>
        <w:pStyle w:val="5"/>
        <w:keepNext w:val="0"/>
        <w:keepLines w:val="0"/>
        <w:spacing w:before="0" w:after="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 w:val="0"/>
          <w:bCs/>
          <w:color w:val="auto"/>
          <w:sz w:val="24"/>
          <w:highlight w:val="none"/>
        </w:rPr>
        <w:t>4.2经投标人确认修正后的报价若超过采购预算金额或者最高限价，投标人的投标文件</w:t>
      </w:r>
      <w:r>
        <w:rPr>
          <w:rFonts w:hint="eastAsia" w:ascii="仿宋" w:hAnsi="仿宋" w:eastAsia="仿宋" w:cs="仿宋"/>
          <w:color w:val="auto"/>
          <w:sz w:val="24"/>
          <w:highlight w:val="none"/>
        </w:rPr>
        <w:t>作无效投标处理。</w:t>
      </w:r>
    </w:p>
    <w:p w14:paraId="1E6FB721">
      <w:pPr>
        <w:snapToGrid w:val="0"/>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4.3经投标人确认修正后的报价作为签订合同的依据，并以此报价计算价格分。</w:t>
      </w:r>
    </w:p>
    <w:p w14:paraId="71FB2B9B">
      <w:pPr>
        <w:pStyle w:val="5"/>
        <w:keepNext w:val="0"/>
        <w:keepLines w:val="0"/>
        <w:spacing w:before="0" w:after="0"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5.比较与评价</w:t>
      </w:r>
    </w:p>
    <w:p w14:paraId="0D111E54">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（1）评标委员会按照招标文件中规定的评标方法和评标标准，对符合性审查合格的投标文件进行商务和技术评估，综合比较与评价。</w:t>
      </w:r>
    </w:p>
    <w:p w14:paraId="11A9ADD2">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（2）评标委员会独立对每个投标人的投标文件进行评价，并汇总每个投标人的得分。</w:t>
      </w:r>
    </w:p>
    <w:p w14:paraId="31BA0833">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仿宋" w:hAnsi="仿宋" w:eastAsia="仿宋" w:cs="仿宋"/>
          <w:b/>
          <w:color w:val="auto"/>
          <w:kern w:val="2"/>
          <w:sz w:val="24"/>
          <w:szCs w:val="24"/>
          <w:highlight w:val="none"/>
        </w:rPr>
        <w:t>评标委员会将其作为无效投标处理</w:t>
      </w:r>
      <w:r>
        <w:rPr>
          <w:rFonts w:hint="eastAsia" w:ascii="仿宋" w:hAnsi="仿宋" w:eastAsia="仿宋" w:cs="仿宋"/>
          <w:color w:val="auto"/>
          <w:sz w:val="24"/>
          <w:szCs w:val="24"/>
          <w:highlight w:val="none"/>
        </w:rPr>
        <w:t>。</w:t>
      </w:r>
    </w:p>
    <w:p w14:paraId="0BE99299">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（3）评标委员会按照招标文件中规定的评标方法和标准计算各投标人的报价得分。在计算过程中，不得去掉最高报价或者最低报价。</w:t>
      </w:r>
    </w:p>
    <w:p w14:paraId="167C46E0">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（4）各投标人的得分为所有评委的有效评分的算术平均数。</w:t>
      </w:r>
    </w:p>
    <w:p w14:paraId="5C0E58F5">
      <w:pPr>
        <w:pStyle w:val="23"/>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（5）评标委员会按照招标文件中的规定推荐中标候选人。</w:t>
      </w:r>
    </w:p>
    <w:p w14:paraId="7500485C">
      <w:pPr>
        <w:pStyle w:val="23"/>
        <w:snapToGrid w:val="0"/>
        <w:spacing w:line="360" w:lineRule="auto"/>
        <w:ind w:firstLine="480" w:firstLineChars="200"/>
        <w:rPr>
          <w:rFonts w:hint="eastAsia" w:ascii="仿宋" w:hAnsi="仿宋" w:eastAsia="仿宋" w:cs="仿宋"/>
          <w:color w:val="auto"/>
          <w:sz w:val="21"/>
          <w:highlight w:val="none"/>
        </w:rPr>
      </w:pPr>
      <w:r>
        <w:rPr>
          <w:rFonts w:hint="eastAsia" w:ascii="仿宋" w:hAnsi="仿宋" w:eastAsia="仿宋" w:cs="仿宋"/>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7F492FF">
      <w:pPr>
        <w:pStyle w:val="4"/>
        <w:keepNext w:val="0"/>
        <w:keepLines w:val="0"/>
        <w:spacing w:before="0" w:after="0" w:line="415" w:lineRule="auto"/>
        <w:rPr>
          <w:rFonts w:hint="eastAsia" w:ascii="仿宋" w:hAnsi="仿宋" w:eastAsia="仿宋" w:cs="仿宋"/>
          <w:color w:val="auto"/>
          <w:sz w:val="30"/>
          <w:szCs w:val="30"/>
          <w:highlight w:val="none"/>
        </w:rPr>
      </w:pPr>
      <w:bookmarkStart w:id="156" w:name="_Hlk114737820"/>
      <w:r>
        <w:rPr>
          <w:rFonts w:hint="eastAsia" w:ascii="仿宋" w:hAnsi="仿宋" w:eastAsia="仿宋" w:cs="仿宋"/>
          <w:color w:val="auto"/>
          <w:sz w:val="30"/>
          <w:szCs w:val="30"/>
          <w:highlight w:val="none"/>
        </w:rPr>
        <w:t>三、评标标准（综合评分法，计分方法按四舍五入取至百分位）</w:t>
      </w:r>
    </w:p>
    <w:tbl>
      <w:tblPr>
        <w:tblStyle w:val="4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1"/>
        <w:gridCol w:w="1134"/>
        <w:gridCol w:w="6475"/>
      </w:tblGrid>
      <w:tr w14:paraId="2F59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3" w:type="dxa"/>
            <w:vAlign w:val="center"/>
          </w:tcPr>
          <w:p w14:paraId="5CF403FC">
            <w:pPr>
              <w:adjustRightInd w:val="0"/>
              <w:spacing w:line="400" w:lineRule="exact"/>
              <w:jc w:val="center"/>
              <w:textAlignment w:val="baseline"/>
              <w:rPr>
                <w:rFonts w:hint="eastAsia" w:ascii="仿宋" w:hAnsi="仿宋" w:eastAsia="仿宋" w:cs="仿宋"/>
                <w:color w:val="auto"/>
                <w:sz w:val="24"/>
                <w:highlight w:val="none"/>
              </w:rPr>
            </w:pPr>
            <w:bookmarkStart w:id="157" w:name="_Hlk117257734"/>
            <w:r>
              <w:rPr>
                <w:rFonts w:hint="eastAsia" w:ascii="仿宋" w:hAnsi="仿宋" w:eastAsia="仿宋" w:cs="仿宋"/>
                <w:b/>
                <w:color w:val="auto"/>
                <w:sz w:val="24"/>
                <w:highlight w:val="none"/>
              </w:rPr>
              <w:t>序号</w:t>
            </w:r>
          </w:p>
        </w:tc>
        <w:tc>
          <w:tcPr>
            <w:tcW w:w="2055" w:type="dxa"/>
            <w:gridSpan w:val="2"/>
            <w:vAlign w:val="center"/>
          </w:tcPr>
          <w:p w14:paraId="68D92A53">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评审因素</w:t>
            </w:r>
          </w:p>
        </w:tc>
        <w:tc>
          <w:tcPr>
            <w:tcW w:w="6475" w:type="dxa"/>
            <w:vAlign w:val="center"/>
          </w:tcPr>
          <w:p w14:paraId="5B55B60E">
            <w:pPr>
              <w:adjustRightInd w:val="0"/>
              <w:spacing w:line="400" w:lineRule="exact"/>
              <w:jc w:val="center"/>
              <w:textAlignment w:val="baseline"/>
              <w:rPr>
                <w:rFonts w:hint="eastAsia" w:ascii="仿宋" w:hAnsi="仿宋" w:eastAsia="仿宋" w:cs="仿宋"/>
                <w:color w:val="auto"/>
                <w:sz w:val="24"/>
                <w:highlight w:val="none"/>
              </w:rPr>
            </w:pPr>
            <w:r>
              <w:rPr>
                <w:rFonts w:hint="eastAsia" w:ascii="仿宋" w:hAnsi="仿宋" w:eastAsia="仿宋" w:cs="仿宋"/>
                <w:b/>
                <w:color w:val="auto"/>
                <w:sz w:val="24"/>
                <w:highlight w:val="none"/>
              </w:rPr>
              <w:t>评标标准</w:t>
            </w:r>
          </w:p>
        </w:tc>
      </w:tr>
      <w:tr w14:paraId="5D7D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39FF612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21" w:type="dxa"/>
            <w:vAlign w:val="center"/>
          </w:tcPr>
          <w:p w14:paraId="713D34B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价格分（满分</w:t>
            </w:r>
            <w:r>
              <w:rPr>
                <w:rFonts w:hint="eastAsia" w:ascii="仿宋" w:hAnsi="仿宋" w:eastAsia="仿宋" w:cs="仿宋"/>
                <w:b/>
                <w:color w:val="auto"/>
                <w:sz w:val="24"/>
                <w:highlight w:val="none"/>
                <w:u w:val="single"/>
              </w:rPr>
              <w:t>30</w:t>
            </w:r>
            <w:r>
              <w:rPr>
                <w:rFonts w:hint="eastAsia" w:ascii="仿宋" w:hAnsi="仿宋" w:eastAsia="仿宋" w:cs="仿宋"/>
                <w:b/>
                <w:color w:val="auto"/>
                <w:sz w:val="24"/>
                <w:highlight w:val="none"/>
              </w:rPr>
              <w:t>分）</w:t>
            </w:r>
          </w:p>
        </w:tc>
        <w:tc>
          <w:tcPr>
            <w:tcW w:w="1134" w:type="dxa"/>
            <w:vAlign w:val="center"/>
          </w:tcPr>
          <w:p w14:paraId="063DF830">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6475" w:type="dxa"/>
            <w:vAlign w:val="center"/>
          </w:tcPr>
          <w:p w14:paraId="4F055199">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（1）评标报价为投标人的投标报价进行政策性扣除后的价格，评标报价只是作为评标时使用。最终中标人的中标金额等于投标报价。</w:t>
            </w:r>
          </w:p>
          <w:p w14:paraId="12E12D6C">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按照《政府采购促进中小企业发展管理办法》（财库﹝2020﹞46 号）、《广西壮族自治区财政厅关于持续优化政府采购营商环境推动高质量发展的通知》（桂财采〔2024〕55号）等规定，投标人为小型和微型企业，并在其投标文件中提供《中小企业声明函》，且其所投标产品全部为小型和微型企业产品的，对其投标价格给予10%的扣除。</w:t>
            </w:r>
          </w:p>
          <w:p w14:paraId="14906FAC">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（3）大中型企业在其投标文件中提供制造商《中小企业声明函》且提供的所有采购标的均为小微企业制造的，对其投标价格给予10%的扣除。</w:t>
            </w:r>
          </w:p>
          <w:p w14:paraId="6A28FD85">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（4）按照《财政部、司法部关于政府采购支持监狱企业发展有关问题的通知》（财库〔2014〕68号）的规定，监狱企业视同小型、微型企业，享受预留份额、评审中价格扣除等促进中小企业发展的政府采购政策。</w:t>
            </w: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bCs/>
                <w:color w:val="auto"/>
                <w:sz w:val="24"/>
                <w:highlight w:val="none"/>
              </w:rPr>
              <w:t>不重复享受政策。</w:t>
            </w:r>
          </w:p>
          <w:p w14:paraId="57F79644">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（5）按照</w:t>
            </w:r>
            <w:r>
              <w:rPr>
                <w:rFonts w:hint="eastAsia" w:ascii="仿宋" w:hAnsi="仿宋" w:eastAsia="仿宋" w:cs="仿宋"/>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仿宋" w:hAnsi="仿宋" w:eastAsia="仿宋" w:cs="仿宋"/>
                <w:color w:val="auto"/>
                <w:sz w:val="24"/>
                <w:highlight w:val="none"/>
              </w:rPr>
              <w:t>残疾人福利性单位参加政府采购活动时，应当提供该通知规定的《残疾人福利性单位声明函》，并对声明的真实性负责。</w:t>
            </w:r>
            <w:r>
              <w:rPr>
                <w:rFonts w:hint="eastAsia" w:ascii="仿宋" w:hAnsi="仿宋" w:eastAsia="仿宋" w:cs="仿宋"/>
                <w:bCs/>
                <w:color w:val="auto"/>
                <w:sz w:val="24"/>
                <w:highlight w:val="none"/>
              </w:rPr>
              <w:t>残疾人福利性单位属于小型、微型企业的，不重复享受政策。</w:t>
            </w:r>
          </w:p>
          <w:p w14:paraId="3E2E20B3">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（6）政策性扣除计算方法。</w:t>
            </w:r>
          </w:p>
          <w:p w14:paraId="541E2BE0">
            <w:pPr>
              <w:snapToGrid w:val="0"/>
              <w:spacing w:line="40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投标人</w:t>
            </w:r>
            <w:r>
              <w:rPr>
                <w:rFonts w:hint="eastAsia" w:ascii="仿宋" w:hAnsi="仿宋" w:eastAsia="仿宋" w:cs="仿宋"/>
                <w:color w:val="auto"/>
                <w:sz w:val="24"/>
                <w:highlight w:val="none"/>
              </w:rPr>
              <w:t>被评定为</w:t>
            </w:r>
            <w:r>
              <w:rPr>
                <w:rFonts w:hint="eastAsia" w:ascii="仿宋" w:hAnsi="仿宋" w:eastAsia="仿宋" w:cs="仿宋"/>
                <w:bCs/>
                <w:color w:val="auto"/>
                <w:sz w:val="24"/>
                <w:highlight w:val="none"/>
              </w:rPr>
              <w:t>监狱企业或者残疾人福利性单位或者</w:t>
            </w:r>
            <w:r>
              <w:rPr>
                <w:rFonts w:hint="eastAsia" w:ascii="仿宋" w:hAnsi="仿宋" w:eastAsia="仿宋" w:cs="仿宋"/>
                <w:color w:val="auto"/>
                <w:sz w:val="24"/>
                <w:highlight w:val="none"/>
              </w:rPr>
              <w:t>小型和微型企业且其所投标全部产品为小型和微型企业产品的，</w:t>
            </w:r>
            <w:r>
              <w:rPr>
                <w:rFonts w:hint="eastAsia" w:ascii="仿宋" w:hAnsi="仿宋" w:eastAsia="仿宋" w:cs="仿宋"/>
                <w:bCs/>
                <w:color w:val="auto"/>
                <w:sz w:val="24"/>
                <w:highlight w:val="none"/>
              </w:rPr>
              <w:t>该投标人的投标报价</w:t>
            </w:r>
            <w:r>
              <w:rPr>
                <w:rFonts w:hint="eastAsia" w:ascii="仿宋" w:hAnsi="仿宋" w:eastAsia="仿宋" w:cs="仿宋"/>
                <w:color w:val="auto"/>
                <w:sz w:val="24"/>
                <w:highlight w:val="none"/>
              </w:rPr>
              <w:t>给予10%的扣除</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扣除后的价格为评标报价，即评标报价=投标报价×（1-10%）；大中型企业和其他自然人、法人或者其他组织与小型、微型企业组成联合体投标，且联合体协议中约定小型、微型企业的协议合同金额占到联合体协议合同总金额30%以上的，联合体投标价给予</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%的扣除，扣除后的价格为评标价，即评标报价=投标报价×（1-</w:t>
            </w:r>
            <w:r>
              <w:rPr>
                <w:rFonts w:hint="eastAsia" w:ascii="仿宋" w:hAnsi="仿宋" w:eastAsia="仿宋" w:cs="仿宋"/>
                <w:color w:val="auto"/>
                <w:sz w:val="24"/>
                <w:highlight w:val="none"/>
                <w:u w:val="single"/>
              </w:rPr>
              <w:t xml:space="preserve"> 4 </w:t>
            </w:r>
            <w:r>
              <w:rPr>
                <w:rFonts w:hint="eastAsia" w:ascii="仿宋" w:hAnsi="仿宋" w:eastAsia="仿宋" w:cs="仿宋"/>
                <w:color w:val="auto"/>
                <w:sz w:val="24"/>
                <w:highlight w:val="none"/>
              </w:rPr>
              <w:t>%）；除上述情况外，评标报价=投标报价。</w:t>
            </w:r>
          </w:p>
          <w:p w14:paraId="6E24CEF2">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（7）满足招标文件要求且评标报价最低的评标报价为评标基准价，基准价报价得分为</w:t>
            </w:r>
            <w:r>
              <w:rPr>
                <w:rFonts w:hint="eastAsia" w:ascii="仿宋" w:hAnsi="仿宋" w:eastAsia="仿宋" w:cs="仿宋"/>
                <w:bCs/>
                <w:color w:val="auto"/>
                <w:sz w:val="24"/>
                <w:highlight w:val="none"/>
                <w:u w:val="single"/>
              </w:rPr>
              <w:t>30</w:t>
            </w:r>
            <w:r>
              <w:rPr>
                <w:rFonts w:hint="eastAsia" w:ascii="仿宋" w:hAnsi="仿宋" w:eastAsia="仿宋" w:cs="仿宋"/>
                <w:bCs/>
                <w:color w:val="auto"/>
                <w:sz w:val="24"/>
                <w:highlight w:val="none"/>
              </w:rPr>
              <w:t>分。</w:t>
            </w:r>
          </w:p>
          <w:p w14:paraId="14A3C0CB">
            <w:pPr>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（8）价格分计算公式：价格分=(评标基准价／评标报价)×</w:t>
            </w:r>
            <w:r>
              <w:rPr>
                <w:rFonts w:hint="eastAsia" w:ascii="仿宋" w:hAnsi="仿宋" w:eastAsia="仿宋" w:cs="仿宋"/>
                <w:bCs/>
                <w:color w:val="auto"/>
                <w:sz w:val="24"/>
                <w:highlight w:val="none"/>
                <w:u w:val="single"/>
              </w:rPr>
              <w:t xml:space="preserve"> 30</w:t>
            </w:r>
            <w:r>
              <w:rPr>
                <w:rFonts w:hint="eastAsia" w:ascii="仿宋" w:hAnsi="仿宋" w:eastAsia="仿宋" w:cs="仿宋"/>
                <w:bCs/>
                <w:color w:val="auto"/>
                <w:sz w:val="24"/>
                <w:highlight w:val="none"/>
              </w:rPr>
              <w:t>分。</w:t>
            </w:r>
          </w:p>
        </w:tc>
      </w:tr>
      <w:tr w14:paraId="036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93" w:type="dxa"/>
            <w:vMerge w:val="restart"/>
            <w:vAlign w:val="center"/>
          </w:tcPr>
          <w:p w14:paraId="610D6F85">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21" w:type="dxa"/>
            <w:vMerge w:val="restart"/>
            <w:vAlign w:val="center"/>
          </w:tcPr>
          <w:p w14:paraId="252EA6F0">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技术分</w:t>
            </w:r>
          </w:p>
          <w:p w14:paraId="0D8399F4">
            <w:pPr>
              <w:adjustRightInd w:val="0"/>
              <w:spacing w:line="400" w:lineRule="exact"/>
              <w:ind w:left="-105" w:leftChars="-50" w:right="-105" w:rightChars="-50"/>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64</w:t>
            </w:r>
            <w:r>
              <w:rPr>
                <w:rFonts w:hint="eastAsia" w:ascii="仿宋" w:hAnsi="仿宋" w:eastAsia="仿宋" w:cs="仿宋"/>
                <w:b/>
                <w:bCs/>
                <w:color w:val="auto"/>
                <w:sz w:val="24"/>
                <w:highlight w:val="none"/>
              </w:rPr>
              <w:t>）</w:t>
            </w:r>
          </w:p>
        </w:tc>
        <w:tc>
          <w:tcPr>
            <w:tcW w:w="1134" w:type="dxa"/>
            <w:vAlign w:val="center"/>
          </w:tcPr>
          <w:p w14:paraId="76610C5E">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技术性能</w:t>
            </w:r>
          </w:p>
          <w:p w14:paraId="2410A9C4">
            <w:pPr>
              <w:spacing w:line="400" w:lineRule="exact"/>
              <w:jc w:val="center"/>
              <w:rPr>
                <w:rFonts w:hint="eastAsia" w:ascii="仿宋" w:hAnsi="仿宋" w:eastAsia="仿宋" w:cs="仿宋"/>
                <w:b/>
                <w:bCs/>
                <w:color w:val="auto"/>
                <w:kern w:val="1"/>
                <w:sz w:val="24"/>
                <w:highlight w:val="none"/>
              </w:rPr>
            </w:pPr>
            <w:r>
              <w:rPr>
                <w:rFonts w:hint="eastAsia" w:ascii="仿宋" w:hAnsi="仿宋" w:eastAsia="仿宋" w:cs="仿宋"/>
                <w:b/>
                <w:bCs/>
                <w:color w:val="auto"/>
                <w:kern w:val="1"/>
                <w:sz w:val="24"/>
                <w:highlight w:val="none"/>
              </w:rPr>
              <w:t>（满分</w:t>
            </w:r>
            <w:r>
              <w:rPr>
                <w:rFonts w:hint="eastAsia" w:ascii="仿宋" w:hAnsi="仿宋" w:eastAsia="仿宋" w:cs="仿宋"/>
                <w:b/>
                <w:bCs/>
                <w:color w:val="auto"/>
                <w:kern w:val="1"/>
                <w:sz w:val="24"/>
                <w:highlight w:val="none"/>
                <w:u w:val="single"/>
                <w:lang w:val="en-US" w:eastAsia="zh-CN"/>
              </w:rPr>
              <w:t>39</w:t>
            </w:r>
            <w:r>
              <w:rPr>
                <w:rFonts w:hint="eastAsia" w:ascii="仿宋" w:hAnsi="仿宋" w:eastAsia="仿宋" w:cs="仿宋"/>
                <w:b/>
                <w:bCs/>
                <w:color w:val="auto"/>
                <w:kern w:val="1"/>
                <w:sz w:val="24"/>
                <w:highlight w:val="none"/>
              </w:rPr>
              <w:t>分）</w:t>
            </w:r>
          </w:p>
        </w:tc>
        <w:tc>
          <w:tcPr>
            <w:tcW w:w="6475" w:type="dxa"/>
            <w:vAlign w:val="center"/>
          </w:tcPr>
          <w:p w14:paraId="7B146D19">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招标文件第二章的采购需求中“</w:t>
            </w:r>
            <w:r>
              <w:rPr>
                <w:rFonts w:hint="eastAsia" w:ascii="仿宋" w:hAnsi="仿宋" w:eastAsia="仿宋" w:cs="仿宋"/>
                <w:color w:val="auto"/>
                <w:sz w:val="24"/>
                <w:highlight w:val="none"/>
              </w:rPr>
              <w:t>技术指标要求</w:t>
            </w:r>
            <w:r>
              <w:rPr>
                <w:rFonts w:hint="eastAsia" w:ascii="仿宋" w:hAnsi="仿宋" w:eastAsia="仿宋" w:cs="仿宋"/>
                <w:color w:val="auto"/>
                <w:sz w:val="24"/>
                <w:highlight w:val="none"/>
                <w:lang w:val="en-US" w:eastAsia="zh-CN" w:bidi="ar"/>
              </w:rPr>
              <w:t>”</w:t>
            </w:r>
            <w:r>
              <w:rPr>
                <w:rFonts w:hint="eastAsia" w:ascii="仿宋" w:hAnsi="仿宋" w:eastAsia="仿宋" w:cs="仿宋"/>
                <w:color w:val="auto"/>
                <w:sz w:val="24"/>
                <w:highlight w:val="none"/>
                <w:lang w:bidi="ar"/>
              </w:rPr>
              <w:t>标注“</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bidi="ar"/>
              </w:rPr>
              <w:t>”的技术指标）每有一项满足招标文件要求得</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分（负偏离或漏项不得分），满分</w:t>
            </w:r>
            <w:r>
              <w:rPr>
                <w:rFonts w:hint="eastAsia" w:ascii="仿宋" w:hAnsi="仿宋" w:eastAsia="仿宋" w:cs="仿宋"/>
                <w:color w:val="auto"/>
                <w:sz w:val="24"/>
                <w:highlight w:val="none"/>
                <w:lang w:val="en-US" w:eastAsia="zh-CN" w:bidi="ar"/>
              </w:rPr>
              <w:t>6</w:t>
            </w:r>
            <w:r>
              <w:rPr>
                <w:rFonts w:hint="eastAsia" w:ascii="仿宋" w:hAnsi="仿宋" w:eastAsia="仿宋" w:cs="仿宋"/>
                <w:color w:val="auto"/>
                <w:sz w:val="24"/>
                <w:highlight w:val="none"/>
                <w:lang w:bidi="ar"/>
              </w:rPr>
              <w:t>分。</w:t>
            </w:r>
          </w:p>
          <w:p w14:paraId="4151FB29">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rPr>
              <w:t>重要</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36A994FD">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1）2.系统技术概述</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序号2.15.5为1项；</w:t>
            </w:r>
          </w:p>
          <w:p w14:paraId="225D73E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2）3.成像模式技术规格</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序号3.1.3为1项；</w:t>
            </w:r>
          </w:p>
          <w:p w14:paraId="15A23326">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3）5.测量/分析和报告</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序号5.4为1项。</w:t>
            </w:r>
          </w:p>
          <w:p w14:paraId="0ADA01E3">
            <w:pPr>
              <w:numPr>
                <w:ilvl w:val="0"/>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一般技术指标（招标文件第二章的采购需求中“技术指标要求”未标注“▲”或者未标注“◆”的技术指标）超过20项（含20项）以上不满足招标文件要求的，此项评分得0分。在满足上述要求的基础上，每有一项满足招标文件要求得0.5分（负偏离或漏项不得分），此项满分33分。</w:t>
            </w:r>
          </w:p>
          <w:p w14:paraId="0AE374CB">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rPr>
              <w:t>一般</w:t>
            </w:r>
            <w:r>
              <w:rPr>
                <w:rFonts w:hint="eastAsia" w:ascii="仿宋" w:hAnsi="仿宋" w:eastAsia="仿宋" w:cs="仿宋"/>
                <w:color w:val="auto"/>
                <w:sz w:val="24"/>
                <w:highlight w:val="none"/>
                <w:lang w:bidi="ar"/>
              </w:rPr>
              <w:t>技术指标</w:t>
            </w:r>
            <w:r>
              <w:rPr>
                <w:rFonts w:hint="eastAsia" w:ascii="仿宋" w:hAnsi="仿宋" w:eastAsia="仿宋" w:cs="仿宋"/>
                <w:color w:val="auto"/>
                <w:sz w:val="24"/>
                <w:highlight w:val="none"/>
                <w:lang w:val="en-US" w:eastAsia="zh-CN" w:bidi="ar"/>
              </w:rPr>
              <w:t>项数认定规则：</w:t>
            </w:r>
          </w:p>
          <w:p w14:paraId="74F1DCC3">
            <w:pPr>
              <w:numPr>
                <w:ilvl w:val="-1"/>
                <w:numId w:val="0"/>
              </w:numPr>
              <w:rPr>
                <w:rFonts w:hint="eastAsia" w:ascii="仿宋" w:hAnsi="仿宋" w:eastAsia="仿宋" w:cs="仿宋"/>
                <w:color w:val="auto"/>
                <w:sz w:val="24"/>
                <w:highlight w:val="none"/>
                <w:lang w:val="en-US" w:eastAsia="zh-CN" w:bidi="ar"/>
              </w:rPr>
            </w:pP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设备用途</w:t>
            </w:r>
            <w:r>
              <w:rPr>
                <w:rFonts w:hint="eastAsia" w:ascii="仿宋" w:hAnsi="仿宋" w:eastAsia="仿宋" w:cs="仿宋"/>
                <w:color w:val="auto"/>
                <w:sz w:val="24"/>
                <w:highlight w:val="none"/>
                <w:lang w:val="en-US" w:eastAsia="zh-CN" w:bidi="ar"/>
              </w:rPr>
              <w:t>为1项；</w:t>
            </w:r>
          </w:p>
          <w:p w14:paraId="08564C73">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2）2.系统技术概述</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2.1</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2.13、2.15.1~2.15.4、2.16.1~2.16.3、2.17.1~2.17.5</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25</w:t>
            </w:r>
            <w:r>
              <w:rPr>
                <w:rFonts w:hint="default" w:ascii="仿宋" w:hAnsi="仿宋" w:eastAsia="仿宋" w:cs="仿宋"/>
                <w:color w:val="auto"/>
                <w:sz w:val="24"/>
                <w:highlight w:val="none"/>
                <w:lang w:bidi="ar"/>
              </w:rPr>
              <w:t>项；</w:t>
            </w:r>
          </w:p>
          <w:p w14:paraId="23584F63">
            <w:pPr>
              <w:numPr>
                <w:ilvl w:val="-1"/>
                <w:numId w:val="0"/>
              </w:numPr>
              <w:rPr>
                <w:rFonts w:hint="eastAsia" w:ascii="仿宋" w:hAnsi="仿宋" w:eastAsia="仿宋" w:cs="仿宋"/>
                <w:color w:val="auto"/>
                <w:sz w:val="24"/>
                <w:highlight w:val="none"/>
                <w:lang w:eastAsia="zh-CN" w:bidi="ar"/>
              </w:rPr>
            </w:pPr>
            <w:r>
              <w:rPr>
                <w:rFonts w:hint="eastAsia" w:ascii="仿宋" w:hAnsi="仿宋" w:eastAsia="仿宋" w:cs="仿宋"/>
                <w:color w:val="auto"/>
                <w:sz w:val="24"/>
                <w:highlight w:val="none"/>
                <w:lang w:val="en-US" w:eastAsia="zh-CN" w:bidi="ar"/>
              </w:rPr>
              <w:t>3）3.成像模式技术规格</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3.1.1~3.1.2</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3.1.4、3.1.6~3.1.9、3.2.1~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3、3.3.1~3</w:t>
            </w: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8、3</w:t>
            </w:r>
            <w:r>
              <w:rPr>
                <w:rFonts w:hint="eastAsia" w:ascii="仿宋" w:hAnsi="仿宋" w:eastAsia="仿宋" w:cs="仿宋"/>
                <w:bCs/>
                <w:color w:val="auto"/>
                <w:sz w:val="24"/>
                <w:szCs w:val="24"/>
                <w:highlight w:val="none"/>
              </w:rPr>
              <w:t>.4.1</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19</w:t>
            </w:r>
            <w:r>
              <w:rPr>
                <w:rFonts w:hint="default" w:ascii="仿宋" w:hAnsi="仿宋" w:eastAsia="仿宋" w:cs="仿宋"/>
                <w:color w:val="auto"/>
                <w:sz w:val="24"/>
                <w:highlight w:val="none"/>
                <w:lang w:bidi="ar"/>
              </w:rPr>
              <w:t>项</w:t>
            </w:r>
            <w:r>
              <w:rPr>
                <w:rFonts w:hint="eastAsia" w:ascii="仿宋" w:hAnsi="仿宋" w:eastAsia="仿宋" w:cs="仿宋"/>
                <w:color w:val="auto"/>
                <w:sz w:val="24"/>
                <w:highlight w:val="none"/>
                <w:lang w:eastAsia="zh-CN" w:bidi="ar"/>
              </w:rPr>
              <w:t>；</w:t>
            </w:r>
          </w:p>
          <w:p w14:paraId="49D00138">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4）4.探头配置及规格</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2~4</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5</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4</w:t>
            </w:r>
            <w:r>
              <w:rPr>
                <w:rFonts w:hint="default" w:ascii="仿宋" w:hAnsi="仿宋" w:eastAsia="仿宋" w:cs="仿宋"/>
                <w:color w:val="auto"/>
                <w:sz w:val="24"/>
                <w:highlight w:val="none"/>
                <w:lang w:bidi="ar"/>
              </w:rPr>
              <w:t>项；</w:t>
            </w:r>
          </w:p>
          <w:p w14:paraId="3AB30BAD">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5）5.测量/分析和报告</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5</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~5.3</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3</w:t>
            </w:r>
            <w:r>
              <w:rPr>
                <w:rFonts w:hint="default" w:ascii="仿宋" w:hAnsi="仿宋" w:eastAsia="仿宋" w:cs="仿宋"/>
                <w:color w:val="auto"/>
                <w:sz w:val="24"/>
                <w:highlight w:val="none"/>
                <w:lang w:bidi="ar"/>
              </w:rPr>
              <w:t>项；</w:t>
            </w:r>
          </w:p>
          <w:p w14:paraId="626B2309">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6）6.电影回放和数据存储</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项；</w:t>
            </w:r>
          </w:p>
          <w:p w14:paraId="1015F52A">
            <w:pPr>
              <w:numPr>
                <w:ilvl w:val="-1"/>
                <w:numId w:val="0"/>
              </w:numPr>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7）7.连通性要求</w:t>
            </w:r>
            <w:r>
              <w:rPr>
                <w:rFonts w:hint="default" w:ascii="仿宋" w:hAnsi="仿宋" w:eastAsia="仿宋" w:cs="仿宋"/>
                <w:color w:val="auto"/>
                <w:sz w:val="24"/>
                <w:highlight w:val="none"/>
                <w:lang w:bidi="ar"/>
              </w:rPr>
              <w:t>：序号</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.1</w:t>
            </w:r>
            <w:r>
              <w:rPr>
                <w:rFonts w:hint="eastAsia" w:ascii="仿宋" w:hAnsi="仿宋" w:eastAsia="仿宋" w:cs="仿宋"/>
                <w:color w:val="auto"/>
                <w:sz w:val="24"/>
                <w:highlight w:val="none"/>
                <w:lang w:val="en-US" w:eastAsia="zh-CN" w:bidi="ar"/>
              </w:rPr>
              <w:t>~7</w:t>
            </w:r>
            <w:r>
              <w:rPr>
                <w:rFonts w:hint="default"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为</w:t>
            </w:r>
            <w:r>
              <w:rPr>
                <w:rFonts w:hint="eastAsia" w:ascii="仿宋" w:hAnsi="仿宋" w:eastAsia="仿宋" w:cs="仿宋"/>
                <w:color w:val="auto"/>
                <w:sz w:val="24"/>
                <w:highlight w:val="none"/>
                <w:lang w:val="en-US" w:eastAsia="zh-CN" w:bidi="ar"/>
              </w:rPr>
              <w:t>6</w:t>
            </w:r>
            <w:r>
              <w:rPr>
                <w:rFonts w:hint="default" w:ascii="仿宋" w:hAnsi="仿宋" w:eastAsia="仿宋" w:cs="仿宋"/>
                <w:color w:val="auto"/>
                <w:sz w:val="24"/>
                <w:highlight w:val="none"/>
                <w:lang w:bidi="ar"/>
              </w:rPr>
              <w:t>项；</w:t>
            </w:r>
          </w:p>
          <w:p w14:paraId="3B96DA64">
            <w:pPr>
              <w:numPr>
                <w:ilvl w:val="-1"/>
                <w:numId w:val="0"/>
              </w:numPr>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val="en-US" w:eastAsia="zh-CN" w:bidi="ar"/>
              </w:rPr>
              <w:t>8）8.外设和附件</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序号8.1~8.2为2项。</w:t>
            </w:r>
          </w:p>
        </w:tc>
      </w:tr>
      <w:tr w14:paraId="0C6C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93" w:type="dxa"/>
            <w:vMerge w:val="continue"/>
            <w:vAlign w:val="center"/>
          </w:tcPr>
          <w:p w14:paraId="08E81731">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6136DE17">
            <w:pPr>
              <w:adjustRightInd w:val="0"/>
              <w:spacing w:line="400" w:lineRule="exact"/>
              <w:ind w:left="-105" w:leftChars="-50" w:right="-105" w:rightChars="-50"/>
              <w:jc w:val="center"/>
              <w:textAlignment w:val="baseline"/>
              <w:rPr>
                <w:rFonts w:hint="eastAsia" w:ascii="仿宋" w:hAnsi="仿宋" w:eastAsia="仿宋" w:cs="仿宋"/>
                <w:b/>
                <w:bCs/>
                <w:color w:val="auto"/>
                <w:spacing w:val="-18"/>
                <w:sz w:val="24"/>
                <w:highlight w:val="none"/>
              </w:rPr>
            </w:pPr>
          </w:p>
        </w:tc>
        <w:tc>
          <w:tcPr>
            <w:tcW w:w="1134" w:type="dxa"/>
            <w:vAlign w:val="center"/>
          </w:tcPr>
          <w:p w14:paraId="4DFD7252">
            <w:pPr>
              <w:spacing w:line="400" w:lineRule="exact"/>
              <w:jc w:val="center"/>
              <w:rPr>
                <w:rFonts w:hint="eastAsia" w:ascii="仿宋" w:hAnsi="仿宋" w:eastAsia="仿宋" w:cs="仿宋"/>
                <w:b/>
                <w:bCs/>
                <w:color w:val="auto"/>
                <w:sz w:val="24"/>
                <w:highlight w:val="none"/>
                <w:u w:val="single"/>
              </w:rPr>
            </w:pPr>
            <w:r>
              <w:rPr>
                <w:rFonts w:hint="eastAsia" w:ascii="仿宋" w:hAnsi="仿宋" w:eastAsia="仿宋" w:cs="仿宋"/>
                <w:b/>
                <w:bCs/>
                <w:color w:val="auto"/>
                <w:kern w:val="1"/>
                <w:sz w:val="24"/>
                <w:highlight w:val="none"/>
              </w:rPr>
              <w:t>项目实施方案</w:t>
            </w: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9</w:t>
            </w:r>
            <w:r>
              <w:rPr>
                <w:rFonts w:hint="eastAsia" w:ascii="仿宋" w:hAnsi="仿宋" w:eastAsia="仿宋" w:cs="仿宋"/>
                <w:b/>
                <w:bCs/>
                <w:color w:val="auto"/>
                <w:sz w:val="24"/>
                <w:highlight w:val="none"/>
              </w:rPr>
              <w:t>分）</w:t>
            </w:r>
          </w:p>
        </w:tc>
        <w:tc>
          <w:tcPr>
            <w:tcW w:w="6475" w:type="dxa"/>
            <w:vAlign w:val="center"/>
          </w:tcPr>
          <w:p w14:paraId="4E81FA11">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评委根据各投标人提供的项目实施方案（管理措施、具体实施流程、进度安排、质量保证措施、风险防范措施</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color w:val="auto"/>
                <w:kern w:val="0"/>
                <w:sz w:val="24"/>
                <w:highlight w:val="none"/>
              </w:rPr>
              <w:t>等）进行评审。</w:t>
            </w:r>
          </w:p>
          <w:p w14:paraId="17E88123">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一档（</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分）：提供的管理措施、实施流程、进度安排等方案内容简单，基本满足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 xml:space="preserve">。 </w:t>
            </w:r>
          </w:p>
          <w:p w14:paraId="4DAEDE8D">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二档（</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分）：提供的管理措施、实施流程、进度安排、质量保证措施、设备运输安装保障、应急方案等内容齐全，措施逻辑合理且满足</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w:t>
            </w:r>
          </w:p>
          <w:p w14:paraId="6EC95E1A">
            <w:pPr>
              <w:pStyle w:val="23"/>
              <w:spacing w:line="40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三档（</w:t>
            </w:r>
            <w:r>
              <w:rPr>
                <w:rFonts w:hint="eastAsia" w:ascii="仿宋" w:hAnsi="仿宋" w:eastAsia="仿宋" w:cs="仿宋"/>
                <w:bCs/>
                <w:color w:val="auto"/>
                <w:sz w:val="24"/>
                <w:highlight w:val="none"/>
                <w:lang w:val="en-US" w:eastAsia="zh-CN"/>
              </w:rPr>
              <w:t>9</w:t>
            </w:r>
            <w:r>
              <w:rPr>
                <w:rFonts w:hint="eastAsia" w:ascii="仿宋" w:hAnsi="仿宋" w:eastAsia="仿宋" w:cs="仿宋"/>
                <w:bCs/>
                <w:color w:val="auto"/>
                <w:sz w:val="24"/>
                <w:highlight w:val="none"/>
              </w:rPr>
              <w:t>分）：提供的管理措施、实施流程、进度安排、质量保证措施、设备运输安装保障、应急方案</w:t>
            </w:r>
            <w:r>
              <w:rPr>
                <w:rFonts w:hint="eastAsia" w:ascii="仿宋" w:hAnsi="仿宋" w:eastAsia="仿宋" w:cs="仿宋"/>
                <w:bCs/>
                <w:color w:val="auto"/>
                <w:sz w:val="24"/>
                <w:highlight w:val="none"/>
                <w:lang w:eastAsia="zh-CN"/>
              </w:rPr>
              <w:t>、</w:t>
            </w:r>
            <w:r>
              <w:rPr>
                <w:rFonts w:hint="eastAsia" w:ascii="仿宋" w:hAnsi="仿宋" w:eastAsia="仿宋" w:cs="仿宋"/>
                <w:color w:val="auto"/>
                <w:kern w:val="0"/>
                <w:sz w:val="24"/>
                <w:highlight w:val="none"/>
                <w:lang w:val="en-US" w:eastAsia="zh-CN"/>
              </w:rPr>
              <w:t>安装调试和验收</w:t>
            </w:r>
            <w:r>
              <w:rPr>
                <w:rFonts w:hint="eastAsia" w:ascii="仿宋" w:hAnsi="仿宋" w:eastAsia="仿宋" w:cs="仿宋"/>
                <w:bCs/>
                <w:color w:val="auto"/>
                <w:sz w:val="24"/>
                <w:highlight w:val="none"/>
              </w:rPr>
              <w:t>等内容齐全</w:t>
            </w:r>
            <w:r>
              <w:rPr>
                <w:rFonts w:hint="eastAsia" w:ascii="仿宋" w:hAnsi="仿宋" w:eastAsia="仿宋" w:cs="仿宋"/>
                <w:bCs/>
                <w:color w:val="auto"/>
                <w:sz w:val="24"/>
                <w:highlight w:val="none"/>
                <w:lang w:val="en-US" w:eastAsia="zh-CN"/>
              </w:rPr>
              <w:t>完善</w:t>
            </w:r>
            <w:r>
              <w:rPr>
                <w:rFonts w:hint="eastAsia" w:ascii="仿宋" w:hAnsi="仿宋" w:eastAsia="仿宋" w:cs="仿宋"/>
                <w:bCs/>
                <w:color w:val="auto"/>
                <w:sz w:val="24"/>
                <w:highlight w:val="none"/>
              </w:rPr>
              <w:t>、措施逻辑</w:t>
            </w:r>
            <w:r>
              <w:rPr>
                <w:rFonts w:hint="eastAsia" w:ascii="仿宋" w:hAnsi="仿宋" w:eastAsia="仿宋" w:cs="仿宋"/>
                <w:bCs/>
                <w:color w:val="auto"/>
                <w:sz w:val="24"/>
                <w:highlight w:val="none"/>
                <w:lang w:val="en-US" w:eastAsia="zh-CN"/>
              </w:rPr>
              <w:t>合理</w:t>
            </w:r>
            <w:r>
              <w:rPr>
                <w:rFonts w:hint="eastAsia" w:ascii="仿宋" w:hAnsi="仿宋" w:eastAsia="仿宋" w:cs="仿宋"/>
                <w:bCs/>
                <w:color w:val="auto"/>
                <w:sz w:val="24"/>
                <w:highlight w:val="none"/>
              </w:rPr>
              <w:t>清晰且贴合</w:t>
            </w:r>
            <w:r>
              <w:rPr>
                <w:rFonts w:hint="eastAsia" w:ascii="仿宋" w:hAnsi="仿宋" w:eastAsia="仿宋" w:cs="仿宋"/>
                <w:bCs/>
                <w:color w:val="auto"/>
                <w:sz w:val="24"/>
                <w:highlight w:val="none"/>
                <w:lang w:val="en-US" w:eastAsia="zh-CN"/>
              </w:rPr>
              <w:t>项目实施</w:t>
            </w:r>
            <w:r>
              <w:rPr>
                <w:rFonts w:hint="eastAsia" w:ascii="仿宋" w:hAnsi="仿宋" w:eastAsia="仿宋" w:cs="仿宋"/>
                <w:bCs/>
                <w:color w:val="auto"/>
                <w:sz w:val="24"/>
                <w:highlight w:val="none"/>
              </w:rPr>
              <w:t>，安排严密，保障措施有力，实施进度及风险防范管理规范化程度高，更有利于项目的开展实施。</w:t>
            </w:r>
          </w:p>
          <w:p w14:paraId="7D4B6511">
            <w:pPr>
              <w:pStyle w:val="23"/>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未提供实施方案或未达到一档要求的不得分。</w:t>
            </w:r>
          </w:p>
        </w:tc>
      </w:tr>
      <w:tr w14:paraId="45F4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41AF91FD">
            <w:pPr>
              <w:adjustRightInd w:val="0"/>
              <w:spacing w:line="400" w:lineRule="exact"/>
              <w:jc w:val="center"/>
              <w:textAlignment w:val="baseline"/>
              <w:rPr>
                <w:rFonts w:hint="eastAsia" w:ascii="仿宋" w:hAnsi="仿宋" w:eastAsia="仿宋" w:cs="仿宋"/>
                <w:b/>
                <w:color w:val="auto"/>
                <w:sz w:val="24"/>
                <w:highlight w:val="none"/>
              </w:rPr>
            </w:pPr>
          </w:p>
        </w:tc>
        <w:tc>
          <w:tcPr>
            <w:tcW w:w="921" w:type="dxa"/>
            <w:vMerge w:val="continue"/>
            <w:vAlign w:val="center"/>
          </w:tcPr>
          <w:p w14:paraId="0AE20959">
            <w:pPr>
              <w:adjustRightInd w:val="0"/>
              <w:spacing w:line="400" w:lineRule="exact"/>
              <w:jc w:val="center"/>
              <w:textAlignment w:val="baseline"/>
              <w:rPr>
                <w:rFonts w:hint="eastAsia" w:ascii="仿宋" w:hAnsi="仿宋" w:eastAsia="仿宋" w:cs="仿宋"/>
                <w:color w:val="auto"/>
                <w:sz w:val="24"/>
                <w:highlight w:val="none"/>
              </w:rPr>
            </w:pPr>
          </w:p>
        </w:tc>
        <w:tc>
          <w:tcPr>
            <w:tcW w:w="1134" w:type="dxa"/>
            <w:tcMar>
              <w:left w:w="57" w:type="dxa"/>
              <w:right w:w="57" w:type="dxa"/>
            </w:tcMar>
            <w:vAlign w:val="center"/>
          </w:tcPr>
          <w:p w14:paraId="6E383E23">
            <w:pPr>
              <w:spacing w:line="400" w:lineRule="exact"/>
              <w:jc w:val="center"/>
              <w:rPr>
                <w:rFonts w:hint="eastAsia" w:ascii="仿宋" w:hAnsi="仿宋" w:eastAsia="仿宋" w:cs="仿宋"/>
                <w:b/>
                <w:bCs/>
                <w:color w:val="auto"/>
                <w:kern w:val="1"/>
                <w:sz w:val="24"/>
                <w:highlight w:val="none"/>
                <w:lang w:val="en-US" w:eastAsia="zh-CN"/>
              </w:rPr>
            </w:pPr>
            <w:r>
              <w:rPr>
                <w:rFonts w:hint="eastAsia" w:ascii="仿宋" w:hAnsi="仿宋" w:eastAsia="仿宋" w:cs="仿宋"/>
                <w:b/>
                <w:bCs/>
                <w:color w:val="auto"/>
                <w:kern w:val="1"/>
                <w:sz w:val="24"/>
                <w:highlight w:val="none"/>
              </w:rPr>
              <w:t>售后服务</w:t>
            </w:r>
            <w:r>
              <w:rPr>
                <w:rFonts w:hint="eastAsia" w:ascii="仿宋" w:hAnsi="仿宋" w:eastAsia="仿宋" w:cs="仿宋"/>
                <w:b/>
                <w:bCs/>
                <w:color w:val="auto"/>
                <w:kern w:val="1"/>
                <w:sz w:val="24"/>
                <w:highlight w:val="none"/>
                <w:lang w:val="en-US" w:eastAsia="zh-CN"/>
              </w:rPr>
              <w:t>方案</w:t>
            </w:r>
          </w:p>
          <w:p w14:paraId="564A843B">
            <w:pPr>
              <w:spacing w:line="400" w:lineRule="exact"/>
              <w:jc w:val="center"/>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16</w:t>
            </w:r>
            <w:r>
              <w:rPr>
                <w:rFonts w:hint="eastAsia" w:ascii="仿宋" w:hAnsi="仿宋" w:eastAsia="仿宋" w:cs="仿宋"/>
                <w:b/>
                <w:bCs/>
                <w:color w:val="auto"/>
                <w:sz w:val="24"/>
                <w:highlight w:val="none"/>
              </w:rPr>
              <w:t>分）</w:t>
            </w:r>
          </w:p>
        </w:tc>
        <w:tc>
          <w:tcPr>
            <w:tcW w:w="6475" w:type="dxa"/>
            <w:vAlign w:val="center"/>
          </w:tcPr>
          <w:p w14:paraId="76087A7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评委根据各投标人提供的售后服务方案（</w:t>
            </w:r>
            <w:r>
              <w:rPr>
                <w:rFonts w:hint="eastAsia" w:ascii="仿宋" w:hAnsi="仿宋" w:eastAsia="仿宋" w:cs="仿宋"/>
                <w:color w:val="auto"/>
                <w:kern w:val="0"/>
                <w:sz w:val="24"/>
                <w:highlight w:val="none"/>
                <w:lang w:val="en-US" w:eastAsia="zh-CN"/>
              </w:rPr>
              <w:t>质保期、</w:t>
            </w:r>
            <w:r>
              <w:rPr>
                <w:rFonts w:hint="eastAsia" w:ascii="仿宋" w:hAnsi="仿宋" w:eastAsia="仿宋" w:cs="仿宋"/>
                <w:color w:val="auto"/>
                <w:kern w:val="0"/>
                <w:sz w:val="24"/>
                <w:highlight w:val="none"/>
              </w:rPr>
              <w:t>培训计划、</w:t>
            </w:r>
            <w:r>
              <w:rPr>
                <w:rFonts w:hint="eastAsia" w:ascii="仿宋" w:hAnsi="仿宋" w:eastAsia="仿宋" w:cs="仿宋"/>
                <w:color w:val="auto"/>
                <w:kern w:val="0"/>
                <w:sz w:val="24"/>
                <w:highlight w:val="none"/>
                <w:lang w:val="en-US" w:eastAsia="zh-CN"/>
              </w:rPr>
              <w:t>售后服务承诺</w:t>
            </w:r>
            <w:r>
              <w:rPr>
                <w:rFonts w:hint="eastAsia" w:ascii="仿宋" w:hAnsi="仿宋" w:eastAsia="仿宋" w:cs="仿宋"/>
                <w:color w:val="auto"/>
                <w:kern w:val="0"/>
                <w:sz w:val="24"/>
                <w:highlight w:val="none"/>
              </w:rPr>
              <w:t>等）进行评审。</w:t>
            </w:r>
          </w:p>
          <w:p w14:paraId="026BDD4A">
            <w:pPr>
              <w:spacing w:line="400" w:lineRule="exact"/>
              <w:jc w:val="left"/>
              <w:rPr>
                <w:rFonts w:hint="eastAsia" w:ascii="仿宋" w:hAnsi="仿宋" w:eastAsia="仿宋"/>
                <w:b/>
                <w:bCs/>
                <w:color w:val="auto"/>
                <w:kern w:val="0"/>
                <w:sz w:val="24"/>
                <w:highlight w:val="none"/>
              </w:rPr>
            </w:pPr>
            <w:r>
              <w:rPr>
                <w:rFonts w:hint="eastAsia" w:ascii="仿宋" w:hAnsi="仿宋" w:eastAsia="仿宋"/>
                <w:b/>
                <w:bCs/>
                <w:color w:val="auto"/>
                <w:kern w:val="0"/>
                <w:sz w:val="24"/>
                <w:highlight w:val="none"/>
              </w:rPr>
              <w:t>1</w:t>
            </w:r>
            <w:r>
              <w:rPr>
                <w:rFonts w:hint="eastAsia" w:ascii="仿宋" w:hAnsi="仿宋" w:eastAsia="仿宋"/>
                <w:b/>
                <w:bCs/>
                <w:color w:val="auto"/>
                <w:kern w:val="0"/>
                <w:sz w:val="24"/>
                <w:highlight w:val="none"/>
                <w:lang w:eastAsia="zh-CN"/>
              </w:rPr>
              <w:t>.</w:t>
            </w:r>
            <w:r>
              <w:rPr>
                <w:rFonts w:hint="eastAsia" w:ascii="仿宋" w:hAnsi="仿宋" w:eastAsia="仿宋"/>
                <w:b/>
                <w:bCs/>
                <w:color w:val="auto"/>
                <w:kern w:val="0"/>
                <w:sz w:val="24"/>
                <w:highlight w:val="none"/>
              </w:rPr>
              <w:t>质保期（满分</w:t>
            </w:r>
            <w:r>
              <w:rPr>
                <w:rFonts w:hint="eastAsia" w:ascii="仿宋" w:hAnsi="仿宋" w:eastAsia="仿宋"/>
                <w:b/>
                <w:bCs/>
                <w:color w:val="auto"/>
                <w:kern w:val="0"/>
                <w:sz w:val="24"/>
                <w:highlight w:val="none"/>
                <w:lang w:val="en-US" w:eastAsia="zh-CN"/>
              </w:rPr>
              <w:t>2</w:t>
            </w:r>
            <w:r>
              <w:rPr>
                <w:rFonts w:hint="eastAsia" w:ascii="仿宋" w:hAnsi="仿宋" w:eastAsia="仿宋"/>
                <w:b/>
                <w:bCs/>
                <w:color w:val="auto"/>
                <w:kern w:val="0"/>
                <w:sz w:val="24"/>
                <w:highlight w:val="none"/>
              </w:rPr>
              <w:t>分）</w:t>
            </w:r>
          </w:p>
          <w:p w14:paraId="295BF3B1">
            <w:pPr>
              <w:spacing w:line="400" w:lineRule="exact"/>
              <w:rPr>
                <w:rFonts w:hint="eastAsia" w:ascii="仿宋" w:hAnsi="仿宋" w:eastAsia="仿宋" w:cs="仿宋"/>
                <w:b/>
                <w:bCs/>
                <w:color w:val="auto"/>
                <w:kern w:val="0"/>
                <w:sz w:val="24"/>
                <w:highlight w:val="none"/>
                <w:lang w:val="en-US" w:eastAsia="zh-CN"/>
              </w:rPr>
            </w:pPr>
            <w:r>
              <w:rPr>
                <w:rFonts w:ascii="仿宋" w:hAnsi="仿宋" w:eastAsia="仿宋"/>
                <w:color w:val="auto"/>
                <w:kern w:val="0"/>
                <w:sz w:val="24"/>
                <w:highlight w:val="none"/>
              </w:rPr>
              <w:t>在满足招标文件设备质保期限要求的前提下，质保期每延长</w:t>
            </w:r>
            <w:r>
              <w:rPr>
                <w:rFonts w:hint="eastAsia" w:ascii="仿宋" w:hAnsi="仿宋" w:eastAsia="仿宋"/>
                <w:color w:val="auto"/>
                <w:kern w:val="0"/>
                <w:sz w:val="24"/>
                <w:highlight w:val="none"/>
              </w:rPr>
              <w:t>半年</w:t>
            </w:r>
            <w:r>
              <w:rPr>
                <w:rFonts w:ascii="仿宋" w:hAnsi="仿宋" w:eastAsia="仿宋"/>
                <w:color w:val="auto"/>
                <w:kern w:val="0"/>
                <w:sz w:val="24"/>
                <w:highlight w:val="none"/>
              </w:rPr>
              <w:t>得</w:t>
            </w:r>
            <w:r>
              <w:rPr>
                <w:rFonts w:hint="eastAsia" w:ascii="仿宋" w:hAnsi="仿宋" w:eastAsia="仿宋"/>
                <w:color w:val="auto"/>
                <w:kern w:val="0"/>
                <w:sz w:val="24"/>
                <w:highlight w:val="none"/>
              </w:rPr>
              <w:t>0.5</w:t>
            </w:r>
            <w:r>
              <w:rPr>
                <w:rFonts w:ascii="仿宋" w:hAnsi="仿宋" w:eastAsia="仿宋"/>
                <w:color w:val="auto"/>
                <w:kern w:val="0"/>
                <w:sz w:val="24"/>
                <w:highlight w:val="none"/>
              </w:rPr>
              <w:t>分，满分</w:t>
            </w:r>
            <w:r>
              <w:rPr>
                <w:rFonts w:hint="eastAsia" w:ascii="仿宋" w:hAnsi="仿宋" w:eastAsia="仿宋"/>
                <w:color w:val="auto"/>
                <w:kern w:val="0"/>
                <w:sz w:val="24"/>
                <w:highlight w:val="none"/>
                <w:lang w:val="en-US" w:eastAsia="zh-CN"/>
              </w:rPr>
              <w:t>2</w:t>
            </w:r>
            <w:r>
              <w:rPr>
                <w:rFonts w:ascii="仿宋" w:hAnsi="仿宋" w:eastAsia="仿宋"/>
                <w:color w:val="auto"/>
                <w:kern w:val="0"/>
                <w:sz w:val="24"/>
                <w:highlight w:val="none"/>
              </w:rPr>
              <w:t>分。</w:t>
            </w:r>
          </w:p>
          <w:p w14:paraId="0E8DC11F">
            <w:pPr>
              <w:spacing w:line="400" w:lineRule="exac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rPr>
              <w:t>培训计划（满分</w:t>
            </w:r>
            <w:r>
              <w:rPr>
                <w:rFonts w:hint="eastAsia" w:ascii="仿宋" w:hAnsi="仿宋" w:eastAsia="仿宋" w:cs="仿宋"/>
                <w:b/>
                <w:bCs/>
                <w:color w:val="auto"/>
                <w:kern w:val="0"/>
                <w:sz w:val="24"/>
                <w:highlight w:val="none"/>
                <w:lang w:val="en-US" w:eastAsia="zh-CN"/>
              </w:rPr>
              <w:t>7</w:t>
            </w:r>
            <w:r>
              <w:rPr>
                <w:rFonts w:hint="eastAsia" w:ascii="仿宋" w:hAnsi="仿宋" w:eastAsia="仿宋" w:cs="仿宋"/>
                <w:b/>
                <w:bCs/>
                <w:color w:val="auto"/>
                <w:kern w:val="0"/>
                <w:sz w:val="24"/>
                <w:highlight w:val="none"/>
              </w:rPr>
              <w:t>分）</w:t>
            </w:r>
          </w:p>
          <w:p w14:paraId="78747D8F">
            <w:pPr>
              <w:spacing w:line="400" w:lineRule="exact"/>
              <w:rPr>
                <w:rFonts w:hint="eastAsia" w:ascii="仿宋" w:hAnsi="仿宋" w:eastAsia="仿宋"/>
                <w:color w:val="auto"/>
                <w:sz w:val="24"/>
                <w:highlight w:val="none"/>
              </w:rPr>
            </w:pPr>
            <w:r>
              <w:rPr>
                <w:rFonts w:hint="eastAsia" w:ascii="仿宋" w:hAnsi="仿宋" w:eastAsia="仿宋"/>
                <w:color w:val="auto"/>
                <w:kern w:val="0"/>
                <w:sz w:val="24"/>
                <w:highlight w:val="none"/>
              </w:rPr>
              <w:t>一档</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分）培训计划满足招标文件基本要求，</w:t>
            </w:r>
            <w:r>
              <w:rPr>
                <w:rFonts w:hint="eastAsia" w:ascii="仿宋" w:hAnsi="仿宋" w:eastAsia="仿宋"/>
                <w:color w:val="auto"/>
                <w:sz w:val="24"/>
                <w:highlight w:val="none"/>
                <w:lang w:val="en-US" w:eastAsia="zh-CN"/>
              </w:rPr>
              <w:t>培训计划较简单，</w:t>
            </w:r>
            <w:r>
              <w:rPr>
                <w:rFonts w:hint="eastAsia" w:ascii="仿宋" w:hAnsi="仿宋" w:eastAsia="仿宋"/>
                <w:color w:val="auto"/>
                <w:sz w:val="24"/>
                <w:highlight w:val="none"/>
              </w:rPr>
              <w:t>包括基本的</w:t>
            </w:r>
            <w:r>
              <w:rPr>
                <w:rFonts w:hint="eastAsia" w:ascii="仿宋" w:hAnsi="仿宋" w:eastAsia="仿宋"/>
                <w:color w:val="auto"/>
                <w:sz w:val="24"/>
                <w:highlight w:val="none"/>
                <w:lang w:val="en-US" w:eastAsia="zh-CN"/>
              </w:rPr>
              <w:t>人员</w:t>
            </w:r>
            <w:r>
              <w:rPr>
                <w:rFonts w:hint="eastAsia" w:ascii="仿宋" w:hAnsi="仿宋" w:eastAsia="仿宋"/>
                <w:color w:val="auto"/>
                <w:sz w:val="24"/>
                <w:highlight w:val="none"/>
              </w:rPr>
              <w:t>培训计划。</w:t>
            </w:r>
          </w:p>
          <w:p w14:paraId="1D72D579">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培训计划满足招标文件基本要求，具有</w:t>
            </w:r>
            <w:r>
              <w:rPr>
                <w:rFonts w:hint="eastAsia" w:ascii="仿宋" w:hAnsi="仿宋" w:eastAsia="仿宋" w:cs="仿宋"/>
                <w:color w:val="auto"/>
                <w:sz w:val="24"/>
                <w:highlight w:val="none"/>
                <w:lang w:val="en-US" w:eastAsia="zh-CN"/>
              </w:rPr>
              <w:t>较详细</w:t>
            </w:r>
            <w:r>
              <w:rPr>
                <w:rFonts w:hint="eastAsia" w:ascii="仿宋" w:hAnsi="仿宋" w:eastAsia="仿宋" w:cs="仿宋"/>
                <w:color w:val="auto"/>
                <w:sz w:val="24"/>
                <w:highlight w:val="none"/>
              </w:rPr>
              <w:t>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w:t>
            </w:r>
          </w:p>
          <w:p w14:paraId="6912F064">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档（</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培训计划优于招标文件基本要求，具有详细、完善的培训计划（包括培训人员安排</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培训方式、</w:t>
            </w:r>
            <w:r>
              <w:rPr>
                <w:rFonts w:hint="eastAsia" w:ascii="仿宋" w:hAnsi="仿宋" w:eastAsia="仿宋" w:cs="仿宋"/>
                <w:color w:val="auto"/>
                <w:sz w:val="24"/>
                <w:highlight w:val="none"/>
              </w:rPr>
              <w:t>培训内容安排，其中培训内容安排包括详细的设备功能理论培训计划、</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操作培训计划、设备常见问题的基本维修操作培训计划等）。</w:t>
            </w:r>
          </w:p>
          <w:p w14:paraId="2B683E3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售后服务承诺（满分</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分）</w:t>
            </w:r>
          </w:p>
          <w:p w14:paraId="174C58B8">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一档（</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分）：售后服务满足招标文件要求，且具有设备使用中的安全保障体系方案，回访计划。</w:t>
            </w:r>
          </w:p>
          <w:p w14:paraId="241F6AC8">
            <w:pPr>
              <w:spacing w:line="40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二档（</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分）：满足一档的基础上</w:t>
            </w:r>
            <w:r>
              <w:rPr>
                <w:rFonts w:hint="eastAsia" w:ascii="仿宋" w:hAnsi="仿宋" w:eastAsia="仿宋" w:cs="仿宋"/>
                <w:color w:val="auto"/>
                <w:sz w:val="24"/>
                <w:highlight w:val="none"/>
              </w:rPr>
              <w:t>，售后技术支持能力</w:t>
            </w:r>
            <w:r>
              <w:rPr>
                <w:rFonts w:hint="eastAsia" w:ascii="仿宋" w:hAnsi="仿宋" w:eastAsia="仿宋" w:cs="仿宋"/>
                <w:color w:val="auto"/>
                <w:sz w:val="24"/>
                <w:highlight w:val="none"/>
                <w:lang w:val="en-US" w:eastAsia="zh-CN"/>
              </w:rPr>
              <w:t>较强</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en-US" w:eastAsia="zh-CN"/>
              </w:rPr>
              <w:t>售后响应迅速，</w:t>
            </w:r>
            <w:r>
              <w:rPr>
                <w:rFonts w:hint="eastAsia" w:ascii="仿宋" w:hAnsi="仿宋" w:eastAsia="仿宋" w:cs="仿宋"/>
                <w:color w:val="auto"/>
                <w:sz w:val="24"/>
                <w:highlight w:val="none"/>
              </w:rPr>
              <w:t>具有完整的回访计划（包括回访时间计划、回访人员安排等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lang w:val="en-US" w:eastAsia="zh-CN"/>
              </w:rPr>
              <w:t>有设备故障解决方案</w:t>
            </w:r>
            <w:r>
              <w:rPr>
                <w:rFonts w:hint="eastAsia" w:ascii="仿宋" w:hAnsi="仿宋" w:eastAsia="仿宋" w:cs="仿宋"/>
                <w:color w:val="auto"/>
                <w:sz w:val="24"/>
                <w:highlight w:val="none"/>
              </w:rPr>
              <w:t>。</w:t>
            </w:r>
          </w:p>
          <w:p w14:paraId="47A9D94D">
            <w:pPr>
              <w:spacing w:line="40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三档（</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分）：</w:t>
            </w:r>
            <w:r>
              <w:rPr>
                <w:rFonts w:hint="eastAsia" w:ascii="仿宋" w:hAnsi="仿宋" w:eastAsia="仿宋" w:cs="仿宋"/>
                <w:color w:val="auto"/>
                <w:kern w:val="0"/>
                <w:sz w:val="24"/>
                <w:highlight w:val="none"/>
                <w:lang w:val="en-US" w:eastAsia="zh-CN"/>
              </w:rPr>
              <w:t>满足二档的基础上，</w:t>
            </w:r>
            <w:r>
              <w:rPr>
                <w:rFonts w:hint="eastAsia" w:ascii="仿宋" w:hAnsi="仿宋" w:eastAsia="仿宋" w:cs="仿宋"/>
                <w:color w:val="auto"/>
                <w:kern w:val="0"/>
                <w:sz w:val="24"/>
                <w:highlight w:val="none"/>
              </w:rPr>
              <w:t>售后</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保障体系及措施</w:t>
            </w:r>
            <w:r>
              <w:rPr>
                <w:rFonts w:hint="eastAsia" w:ascii="仿宋" w:hAnsi="仿宋" w:eastAsia="仿宋" w:cs="仿宋"/>
                <w:color w:val="auto"/>
                <w:kern w:val="0"/>
                <w:sz w:val="24"/>
                <w:highlight w:val="none"/>
              </w:rPr>
              <w:t>优于招标文件要求，具有</w:t>
            </w:r>
            <w:r>
              <w:rPr>
                <w:rFonts w:hint="eastAsia" w:ascii="仿宋" w:hAnsi="仿宋" w:eastAsia="仿宋" w:cs="仿宋"/>
                <w:color w:val="auto"/>
                <w:kern w:val="0"/>
                <w:sz w:val="24"/>
                <w:highlight w:val="none"/>
                <w:lang w:val="en-US" w:eastAsia="zh-CN"/>
              </w:rPr>
              <w:t>完整详细</w:t>
            </w:r>
            <w:r>
              <w:rPr>
                <w:rFonts w:hint="eastAsia" w:ascii="仿宋" w:hAnsi="仿宋" w:eastAsia="仿宋" w:cs="仿宋"/>
                <w:color w:val="auto"/>
                <w:kern w:val="0"/>
                <w:sz w:val="24"/>
                <w:highlight w:val="none"/>
              </w:rPr>
              <w:t>的回访计划（</w:t>
            </w:r>
            <w:r>
              <w:rPr>
                <w:rFonts w:hint="eastAsia" w:ascii="仿宋" w:hAnsi="仿宋" w:eastAsia="仿宋" w:cs="仿宋"/>
                <w:color w:val="auto"/>
                <w:sz w:val="24"/>
                <w:highlight w:val="none"/>
              </w:rPr>
              <w:t>包括回访时间计划、回访人员安排等</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设备故障解决方案完善，</w:t>
            </w:r>
            <w:r>
              <w:rPr>
                <w:rFonts w:hint="eastAsia" w:ascii="仿宋" w:hAnsi="仿宋" w:eastAsia="仿宋" w:cs="仿宋"/>
                <w:color w:val="auto"/>
                <w:kern w:val="0"/>
                <w:sz w:val="24"/>
                <w:highlight w:val="none"/>
              </w:rPr>
              <w:t>可提供质保期内的原厂售后服务承诺，针对本项目类似医疗设备的售后服务经验丰富，耗材和备品备件库存配备充足可及时供应。</w:t>
            </w:r>
          </w:p>
        </w:tc>
      </w:tr>
      <w:tr w14:paraId="131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1BC28C66">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21" w:type="dxa"/>
            <w:vMerge w:val="restart"/>
            <w:vAlign w:val="center"/>
          </w:tcPr>
          <w:p w14:paraId="6D54E6BB">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商务分</w:t>
            </w:r>
          </w:p>
          <w:p w14:paraId="5B4B4FB4">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4</w:t>
            </w:r>
            <w:r>
              <w:rPr>
                <w:rFonts w:hint="eastAsia" w:ascii="仿宋" w:hAnsi="仿宋" w:eastAsia="仿宋" w:cs="仿宋"/>
                <w:b/>
                <w:color w:val="auto"/>
                <w:sz w:val="24"/>
                <w:highlight w:val="none"/>
                <w:u w:val="single"/>
              </w:rPr>
              <w:t>分</w:t>
            </w:r>
            <w:r>
              <w:rPr>
                <w:rFonts w:hint="eastAsia" w:ascii="仿宋" w:hAnsi="仿宋" w:eastAsia="仿宋" w:cs="仿宋"/>
                <w:b/>
                <w:color w:val="auto"/>
                <w:sz w:val="24"/>
                <w:highlight w:val="none"/>
              </w:rPr>
              <w:t>）</w:t>
            </w:r>
          </w:p>
        </w:tc>
        <w:tc>
          <w:tcPr>
            <w:tcW w:w="1134" w:type="dxa"/>
            <w:vAlign w:val="center"/>
          </w:tcPr>
          <w:p w14:paraId="00A86E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14:paraId="098BD0DE">
            <w:pPr>
              <w:adjustRightInd w:val="0"/>
              <w:spacing w:line="400" w:lineRule="exact"/>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（满分</w:t>
            </w:r>
            <w:r>
              <w:rPr>
                <w:rFonts w:hint="eastAsia" w:ascii="仿宋" w:hAnsi="仿宋" w:eastAsia="仿宋" w:cs="仿宋"/>
                <w:b/>
                <w:color w:val="auto"/>
                <w:sz w:val="24"/>
                <w:highlight w:val="none"/>
                <w:u w:val="single"/>
                <w:lang w:val="en-US" w:eastAsia="zh-CN"/>
              </w:rPr>
              <w:t>3</w:t>
            </w:r>
            <w:r>
              <w:rPr>
                <w:rFonts w:hint="eastAsia" w:ascii="仿宋" w:hAnsi="仿宋" w:eastAsia="仿宋" w:cs="仿宋"/>
                <w:b/>
                <w:color w:val="auto"/>
                <w:sz w:val="24"/>
                <w:highlight w:val="none"/>
              </w:rPr>
              <w:t>分）</w:t>
            </w:r>
          </w:p>
        </w:tc>
        <w:tc>
          <w:tcPr>
            <w:tcW w:w="6475" w:type="dxa"/>
            <w:tcMar>
              <w:left w:w="57" w:type="dxa"/>
              <w:right w:w="57" w:type="dxa"/>
            </w:tcMar>
            <w:vAlign w:val="center"/>
          </w:tcPr>
          <w:p w14:paraId="033CCF4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类似</w:t>
            </w:r>
            <w:r>
              <w:rPr>
                <w:rFonts w:hint="eastAsia" w:ascii="仿宋" w:hAnsi="仿宋" w:eastAsia="仿宋" w:cs="仿宋"/>
                <w:color w:val="auto"/>
                <w:sz w:val="24"/>
                <w:highlight w:val="none"/>
              </w:rPr>
              <w:t>项目业绩：投标人2022年1月1日至今（以合同签订日期为准）</w:t>
            </w:r>
            <w:r>
              <w:rPr>
                <w:rFonts w:hint="eastAsia" w:ascii="仿宋" w:hAnsi="仿宋" w:eastAsia="仿宋" w:cs="仿宋"/>
                <w:color w:val="auto"/>
                <w:sz w:val="24"/>
                <w:highlight w:val="none"/>
                <w:lang w:val="en-US" w:eastAsia="zh-CN"/>
              </w:rPr>
              <w:t>具有类似</w:t>
            </w:r>
            <w:r>
              <w:rPr>
                <w:rFonts w:hint="eastAsia" w:ascii="仿宋" w:hAnsi="仿宋" w:eastAsia="仿宋" w:cs="仿宋"/>
                <w:color w:val="auto"/>
                <w:sz w:val="24"/>
                <w:highlight w:val="none"/>
              </w:rPr>
              <w:t>医疗设备项目业绩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，每项得1分，</w:t>
            </w:r>
            <w:r>
              <w:rPr>
                <w:rFonts w:hint="eastAsia" w:ascii="仿宋" w:hAnsi="仿宋" w:eastAsia="仿宋" w:cs="仿宋"/>
                <w:color w:val="auto"/>
                <w:sz w:val="24"/>
                <w:highlight w:val="none"/>
                <w:lang w:val="en-US" w:eastAsia="zh-CN"/>
              </w:rPr>
              <w:t>满分3</w:t>
            </w:r>
            <w:r>
              <w:rPr>
                <w:rFonts w:hint="eastAsia" w:ascii="仿宋" w:hAnsi="仿宋" w:eastAsia="仿宋" w:cs="仿宋"/>
                <w:color w:val="auto"/>
                <w:sz w:val="24"/>
                <w:highlight w:val="none"/>
              </w:rPr>
              <w:t>分。</w:t>
            </w:r>
          </w:p>
          <w:p w14:paraId="44F9F27D">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（注：须提供合同关键页扫描件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包括但不限于合同名称页、合同主要内容页、合同签订日期页、合同双方签字盖章页</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并加盖投标人公章，否则不得分。合同体现签订日期的，以合同签订日期为准；合同未体现签订日期的，但是合同履行期限能明显判断在2022年1月1日或之后开始实施的，该合同应予以认可。若合同无法体现具体内容的，可增加客户方提供的证明材料作为佐证材料，否则不得分。）</w:t>
            </w:r>
          </w:p>
        </w:tc>
      </w:tr>
      <w:tr w14:paraId="48DD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5400EAD">
            <w:pPr>
              <w:spacing w:line="400" w:lineRule="exact"/>
              <w:jc w:val="center"/>
              <w:rPr>
                <w:rFonts w:hint="eastAsia" w:ascii="仿宋" w:hAnsi="仿宋" w:eastAsia="仿宋" w:cs="仿宋"/>
                <w:b/>
                <w:color w:val="auto"/>
                <w:sz w:val="24"/>
                <w:highlight w:val="none"/>
              </w:rPr>
            </w:pPr>
          </w:p>
        </w:tc>
        <w:tc>
          <w:tcPr>
            <w:tcW w:w="921" w:type="dxa"/>
            <w:vMerge w:val="continue"/>
            <w:vAlign w:val="center"/>
          </w:tcPr>
          <w:p w14:paraId="257FCC48">
            <w:pPr>
              <w:adjustRightInd w:val="0"/>
              <w:spacing w:line="400" w:lineRule="exact"/>
              <w:jc w:val="center"/>
              <w:textAlignment w:val="baseline"/>
              <w:rPr>
                <w:rFonts w:hint="eastAsia" w:ascii="仿宋" w:hAnsi="仿宋" w:eastAsia="仿宋" w:cs="仿宋"/>
                <w:b/>
                <w:color w:val="auto"/>
                <w:sz w:val="24"/>
                <w:highlight w:val="none"/>
              </w:rPr>
            </w:pPr>
          </w:p>
        </w:tc>
        <w:tc>
          <w:tcPr>
            <w:tcW w:w="1134" w:type="dxa"/>
            <w:vAlign w:val="center"/>
          </w:tcPr>
          <w:p w14:paraId="32CC99EF">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企业信誉（满分</w:t>
            </w:r>
            <w:r>
              <w:rPr>
                <w:rFonts w:hint="eastAsia" w:ascii="仿宋" w:hAnsi="仿宋" w:eastAsia="仿宋" w:cs="仿宋"/>
                <w:b/>
                <w:bCs/>
                <w:color w:val="auto"/>
                <w:sz w:val="24"/>
                <w:highlight w:val="none"/>
                <w:u w:val="single"/>
                <w:lang w:val="en-US" w:eastAsia="zh-CN"/>
              </w:rPr>
              <w:t>1</w:t>
            </w:r>
            <w:r>
              <w:rPr>
                <w:rFonts w:hint="eastAsia" w:ascii="仿宋" w:hAnsi="仿宋" w:eastAsia="仿宋" w:cs="仿宋"/>
                <w:b/>
                <w:bCs/>
                <w:color w:val="auto"/>
                <w:sz w:val="24"/>
                <w:highlight w:val="none"/>
              </w:rPr>
              <w:t>分）</w:t>
            </w:r>
          </w:p>
        </w:tc>
        <w:tc>
          <w:tcPr>
            <w:tcW w:w="6475" w:type="dxa"/>
            <w:tcMar>
              <w:left w:w="57" w:type="dxa"/>
              <w:right w:w="57" w:type="dxa"/>
            </w:tcMar>
            <w:vAlign w:val="center"/>
          </w:tcPr>
          <w:p w14:paraId="390AFE2C">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投标人或投标产品生产厂家具备以下证书的，每有一个得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0F3C2EDE">
            <w:pPr>
              <w:rPr>
                <w:rFonts w:hint="eastAsia"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ISO9001质量</w:t>
            </w:r>
            <w:r>
              <w:rPr>
                <w:rFonts w:hint="eastAsia" w:ascii="仿宋" w:hAnsi="仿宋" w:eastAsia="仿宋"/>
                <w:color w:val="auto"/>
                <w:sz w:val="24"/>
                <w:highlight w:val="none"/>
              </w:rPr>
              <w:t>管理</w:t>
            </w:r>
            <w:r>
              <w:rPr>
                <w:rFonts w:ascii="仿宋" w:hAnsi="仿宋" w:eastAsia="仿宋"/>
                <w:color w:val="auto"/>
                <w:sz w:val="24"/>
                <w:highlight w:val="none"/>
              </w:rPr>
              <w:t>体系认证</w:t>
            </w:r>
          </w:p>
          <w:p w14:paraId="6E3FF60E">
            <w:pPr>
              <w:spacing w:line="400" w:lineRule="exact"/>
              <w:rPr>
                <w:rFonts w:hint="eastAsia"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ISO13485医疗器械质量管理体系认证</w:t>
            </w:r>
          </w:p>
          <w:p w14:paraId="6E3A2D01">
            <w:pPr>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（注：需提供有效证书扫描件并加盖投标人公章或电子签章，否则不得分。）</w:t>
            </w:r>
          </w:p>
        </w:tc>
      </w:tr>
      <w:tr w14:paraId="22A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3F043BE">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w:t>
            </w:r>
          </w:p>
        </w:tc>
        <w:tc>
          <w:tcPr>
            <w:tcW w:w="921" w:type="dxa"/>
            <w:vAlign w:val="center"/>
          </w:tcPr>
          <w:p w14:paraId="60A94FC3">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政策分</w:t>
            </w:r>
          </w:p>
          <w:p w14:paraId="2A0F0CFD">
            <w:pPr>
              <w:adjustRightInd w:val="0"/>
              <w:spacing w:line="400" w:lineRule="exact"/>
              <w:jc w:val="center"/>
              <w:textAlignment w:val="baseline"/>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rPr>
              <w:t>分）</w:t>
            </w:r>
          </w:p>
        </w:tc>
        <w:tc>
          <w:tcPr>
            <w:tcW w:w="1134" w:type="dxa"/>
            <w:vAlign w:val="center"/>
          </w:tcPr>
          <w:p w14:paraId="7B956AA4">
            <w:pPr>
              <w:spacing w:line="400" w:lineRule="exact"/>
              <w:jc w:val="center"/>
              <w:rPr>
                <w:rFonts w:hint="eastAsia" w:ascii="仿宋" w:hAnsi="仿宋" w:eastAsia="仿宋" w:cs="仿宋"/>
                <w:b/>
                <w:color w:val="auto"/>
                <w:sz w:val="24"/>
                <w:highlight w:val="none"/>
              </w:rPr>
            </w:pPr>
            <w:r>
              <w:rPr>
                <w:rFonts w:hint="eastAsia" w:ascii="仿宋" w:hAnsi="仿宋" w:eastAsia="仿宋"/>
                <w:b/>
                <w:color w:val="auto"/>
                <w:sz w:val="24"/>
                <w:highlight w:val="none"/>
              </w:rPr>
              <w:t>节能、环境标志产品</w:t>
            </w:r>
            <w:r>
              <w:rPr>
                <w:rFonts w:hint="eastAsia" w:ascii="仿宋" w:hAnsi="仿宋" w:eastAsia="仿宋"/>
                <w:b/>
                <w:bCs/>
                <w:color w:val="auto"/>
                <w:sz w:val="24"/>
                <w:highlight w:val="none"/>
              </w:rPr>
              <w:t>（满分</w:t>
            </w:r>
            <w:r>
              <w:rPr>
                <w:rFonts w:hint="eastAsia" w:ascii="仿宋" w:hAnsi="仿宋" w:eastAsia="仿宋"/>
                <w:b/>
                <w:bCs/>
                <w:color w:val="auto"/>
                <w:sz w:val="24"/>
                <w:highlight w:val="none"/>
                <w:u w:val="single"/>
              </w:rPr>
              <w:t>2</w:t>
            </w:r>
            <w:r>
              <w:rPr>
                <w:rFonts w:hint="eastAsia" w:ascii="仿宋" w:hAnsi="仿宋" w:eastAsia="仿宋"/>
                <w:b/>
                <w:bCs/>
                <w:color w:val="auto"/>
                <w:sz w:val="24"/>
                <w:highlight w:val="none"/>
              </w:rPr>
              <w:t>分）</w:t>
            </w:r>
          </w:p>
        </w:tc>
        <w:tc>
          <w:tcPr>
            <w:tcW w:w="6475" w:type="dxa"/>
            <w:vAlign w:val="center"/>
          </w:tcPr>
          <w:p w14:paraId="3714E24D">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1）属于财政部《节能产品政府采购品目清单》内优先采购（清单内未标注“★”的品目）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71E23192">
            <w:pPr>
              <w:pStyle w:val="23"/>
              <w:spacing w:line="400" w:lineRule="exact"/>
              <w:rPr>
                <w:rFonts w:hint="eastAsia" w:ascii="仿宋" w:hAnsi="仿宋" w:eastAsia="仿宋" w:cs="Courier New"/>
                <w:bCs/>
                <w:color w:val="auto"/>
                <w:kern w:val="2"/>
                <w:sz w:val="24"/>
                <w:szCs w:val="24"/>
                <w:highlight w:val="none"/>
              </w:rPr>
            </w:pPr>
            <w:r>
              <w:rPr>
                <w:rFonts w:hint="eastAsia" w:ascii="仿宋" w:hAnsi="仿宋" w:eastAsia="仿宋" w:cs="Courier New"/>
                <w:bCs/>
                <w:color w:val="auto"/>
                <w:kern w:val="2"/>
                <w:sz w:val="24"/>
                <w:szCs w:val="24"/>
                <w:highlight w:val="none"/>
              </w:rPr>
              <w:t>（2）属于财政部《环境标志产品政府采购品目清单》内的产品[投标文件中提供有效的认证证书复印件及品目清单（标注出投标产品在品目清单中所属的品目），并加盖投标人公章]，根据其所占项目（或者分标）预算金额比例得</w:t>
            </w:r>
            <w:r>
              <w:rPr>
                <w:rFonts w:ascii="仿宋" w:hAnsi="仿宋" w:eastAsia="仿宋" w:cs="Courier New"/>
                <w:bCs/>
                <w:color w:val="auto"/>
                <w:kern w:val="2"/>
                <w:sz w:val="24"/>
                <w:szCs w:val="24"/>
                <w:highlight w:val="none"/>
                <w:u w:val="single"/>
              </w:rPr>
              <w:t>0</w:t>
            </w:r>
            <w:r>
              <w:rPr>
                <w:rFonts w:hint="eastAsia" w:ascii="仿宋" w:hAnsi="仿宋" w:eastAsia="仿宋" w:cs="Courier New"/>
                <w:bCs/>
                <w:color w:val="auto"/>
                <w:kern w:val="2"/>
                <w:sz w:val="24"/>
                <w:szCs w:val="24"/>
                <w:highlight w:val="none"/>
              </w:rPr>
              <w:t>至</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分，满分</w:t>
            </w:r>
            <w:r>
              <w:rPr>
                <w:rFonts w:hint="eastAsia" w:ascii="仿宋" w:hAnsi="仿宋" w:eastAsia="仿宋" w:cs="Courier New"/>
                <w:bCs/>
                <w:color w:val="auto"/>
                <w:kern w:val="2"/>
                <w:sz w:val="24"/>
                <w:szCs w:val="24"/>
                <w:highlight w:val="none"/>
                <w:u w:val="single"/>
              </w:rPr>
              <w:t>1</w:t>
            </w:r>
            <w:r>
              <w:rPr>
                <w:rFonts w:hint="eastAsia" w:ascii="仿宋" w:hAnsi="仿宋" w:eastAsia="仿宋" w:cs="Courier New"/>
                <w:bCs/>
                <w:color w:val="auto"/>
                <w:kern w:val="2"/>
                <w:sz w:val="24"/>
                <w:szCs w:val="24"/>
                <w:highlight w:val="none"/>
              </w:rPr>
              <w:t>分；</w:t>
            </w:r>
          </w:p>
          <w:p w14:paraId="7D2FB17F">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Courier New"/>
                <w:bCs/>
                <w:color w:val="auto"/>
                <w:kern w:val="2"/>
                <w:sz w:val="24"/>
                <w:szCs w:val="24"/>
                <w:highlight w:val="none"/>
              </w:rPr>
              <w:t>（3）非节能、环境标志产品的不得分。</w:t>
            </w:r>
          </w:p>
        </w:tc>
      </w:tr>
      <w:tr w14:paraId="1F9A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3" w:type="dxa"/>
            <w:gridSpan w:val="4"/>
            <w:vAlign w:val="center"/>
          </w:tcPr>
          <w:p w14:paraId="184EBEE0">
            <w:pPr>
              <w:pStyle w:val="23"/>
              <w:spacing w:line="400" w:lineRule="exact"/>
              <w:rPr>
                <w:rFonts w:hint="eastAsia" w:ascii="仿宋" w:hAnsi="仿宋" w:eastAsia="仿宋" w:cs="仿宋"/>
                <w:bCs/>
                <w:color w:val="auto"/>
                <w:kern w:val="2"/>
                <w:sz w:val="24"/>
                <w:szCs w:val="24"/>
                <w:highlight w:val="none"/>
              </w:rPr>
            </w:pPr>
            <w:r>
              <w:rPr>
                <w:rFonts w:hint="eastAsia" w:ascii="仿宋" w:hAnsi="仿宋" w:eastAsia="仿宋" w:cs="仿宋"/>
                <w:b/>
                <w:bCs/>
                <w:color w:val="auto"/>
                <w:kern w:val="2"/>
                <w:sz w:val="24"/>
                <w:szCs w:val="24"/>
                <w:highlight w:val="none"/>
              </w:rPr>
              <w:t>总得分=1+2+3+4。</w:t>
            </w:r>
          </w:p>
        </w:tc>
      </w:tr>
      <w:bookmarkEnd w:id="157"/>
    </w:tbl>
    <w:p w14:paraId="6F2E6D36">
      <w:pPr>
        <w:pStyle w:val="23"/>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总得分由高到低排列次序并推荐3名中标候选人。得分相同的，以投标报价由低到高顺序排列。得分相同且投标报价相同的并列，投标文件满足招标文件全部实质性要求，且按照评审因素的量化指标评审得分最高的投标人为排名第一的中标候选人。</w:t>
      </w:r>
      <w:bookmarkEnd w:id="156"/>
    </w:p>
    <w:p w14:paraId="357A819B">
      <w:pPr>
        <w:pStyle w:val="23"/>
        <w:spacing w:line="360" w:lineRule="auto"/>
        <w:ind w:firstLine="480" w:firstLineChars="200"/>
        <w:rPr>
          <w:rFonts w:hint="eastAsia" w:ascii="仿宋" w:hAnsi="仿宋" w:eastAsia="仿宋" w:cs="仿宋"/>
          <w:color w:val="auto"/>
          <w:sz w:val="24"/>
          <w:szCs w:val="24"/>
          <w:highlight w:val="none"/>
        </w:rPr>
      </w:pPr>
    </w:p>
    <w:p w14:paraId="3791961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4CF2FFB">
      <w:pPr>
        <w:pStyle w:val="23"/>
        <w:spacing w:line="360" w:lineRule="auto"/>
        <w:outlineLvl w:val="9"/>
        <w:rPr>
          <w:rFonts w:hint="eastAsia" w:ascii="仿宋" w:hAnsi="仿宋" w:eastAsia="仿宋" w:cs="仿宋"/>
          <w:b/>
          <w:bCs/>
          <w:color w:val="auto"/>
          <w:sz w:val="24"/>
          <w:szCs w:val="24"/>
          <w:highlight w:val="none"/>
          <w:lang w:val="en-US" w:eastAsia="zh-CN"/>
        </w:rPr>
      </w:pPr>
      <w:bookmarkStart w:id="158" w:name="_Toc19686833"/>
    </w:p>
    <w:p w14:paraId="7F091979">
      <w:pPr>
        <w:jc w:val="center"/>
        <w:outlineLvl w:val="1"/>
        <w:rPr>
          <w:rFonts w:hint="eastAsia" w:ascii="仿宋" w:hAnsi="仿宋" w:eastAsia="仿宋" w:cs="仿宋"/>
          <w:color w:val="auto"/>
          <w:sz w:val="36"/>
          <w:szCs w:val="36"/>
          <w:highlight w:val="none"/>
        </w:rPr>
      </w:pPr>
      <w:bookmarkStart w:id="159" w:name="_Toc11983"/>
      <w:bookmarkStart w:id="160" w:name="_Toc1020"/>
      <w:r>
        <w:rPr>
          <w:rFonts w:hint="eastAsia" w:ascii="仿宋" w:hAnsi="仿宋" w:eastAsia="仿宋" w:cs="仿宋"/>
          <w:color w:val="auto"/>
          <w:sz w:val="36"/>
          <w:szCs w:val="36"/>
          <w:highlight w:val="none"/>
        </w:rPr>
        <w:t>第五章  拟签订的合同文本</w:t>
      </w:r>
      <w:bookmarkEnd w:id="158"/>
      <w:bookmarkEnd w:id="159"/>
      <w:bookmarkEnd w:id="160"/>
    </w:p>
    <w:p w14:paraId="25A0C55C">
      <w:pPr>
        <w:tabs>
          <w:tab w:val="left" w:pos="422"/>
          <w:tab w:val="center" w:pos="5198"/>
        </w:tabs>
        <w:spacing w:line="840" w:lineRule="exact"/>
        <w:ind w:firstLine="420"/>
        <w:jc w:val="center"/>
        <w:rPr>
          <w:rFonts w:hint="eastAsia" w:ascii="仿宋" w:hAnsi="仿宋" w:eastAsia="仿宋" w:cs="仿宋"/>
          <w:b/>
          <w:bCs/>
          <w:color w:val="auto"/>
          <w:sz w:val="28"/>
          <w:szCs w:val="28"/>
          <w:highlight w:val="none"/>
          <w:lang w:eastAsia="zh-CN"/>
        </w:rPr>
      </w:pPr>
    </w:p>
    <w:p w14:paraId="23C02C3F">
      <w:pPr>
        <w:tabs>
          <w:tab w:val="left" w:pos="422"/>
          <w:tab w:val="center" w:pos="5198"/>
        </w:tabs>
        <w:spacing w:line="840" w:lineRule="exact"/>
        <w:ind w:firstLine="420"/>
        <w:jc w:val="center"/>
        <w:rPr>
          <w:rFonts w:hint="eastAsia" w:ascii="仿宋" w:hAnsi="仿宋" w:eastAsia="仿宋" w:cs="仿宋"/>
          <w:b/>
          <w:bCs/>
          <w:color w:val="auto"/>
          <w:sz w:val="72"/>
          <w:szCs w:val="20"/>
          <w:highlight w:val="none"/>
        </w:rPr>
      </w:pPr>
    </w:p>
    <w:p w14:paraId="1EE8B0DC">
      <w:pPr>
        <w:pStyle w:val="23"/>
        <w:tabs>
          <w:tab w:val="left" w:pos="422"/>
          <w:tab w:val="center" w:pos="5198"/>
        </w:tabs>
        <w:spacing w:line="840" w:lineRule="exact"/>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广西壮族自治区人民医院</w:t>
      </w:r>
    </w:p>
    <w:p w14:paraId="4B1AC17A">
      <w:pPr>
        <w:pStyle w:val="23"/>
        <w:tabs>
          <w:tab w:val="left" w:pos="422"/>
          <w:tab w:val="center" w:pos="5198"/>
        </w:tabs>
        <w:spacing w:line="840" w:lineRule="exact"/>
        <w:ind w:firstLine="420"/>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采购合同书</w:t>
      </w:r>
    </w:p>
    <w:p w14:paraId="7B0323DF">
      <w:pPr>
        <w:pStyle w:val="23"/>
        <w:spacing w:line="340" w:lineRule="exact"/>
        <w:ind w:firstLine="420"/>
        <w:rPr>
          <w:rFonts w:hint="eastAsia" w:ascii="仿宋" w:hAnsi="仿宋" w:eastAsia="仿宋" w:cs="仿宋"/>
          <w:color w:val="auto"/>
          <w:highlight w:val="none"/>
        </w:rPr>
      </w:pPr>
    </w:p>
    <w:p w14:paraId="795D7519">
      <w:pPr>
        <w:pStyle w:val="23"/>
        <w:spacing w:line="340" w:lineRule="exact"/>
        <w:rPr>
          <w:rFonts w:hint="eastAsia" w:ascii="仿宋" w:hAnsi="仿宋" w:eastAsia="仿宋" w:cs="仿宋"/>
          <w:color w:val="auto"/>
          <w:highlight w:val="none"/>
        </w:rPr>
      </w:pPr>
    </w:p>
    <w:p w14:paraId="5AD47CE5">
      <w:pPr>
        <w:pStyle w:val="23"/>
        <w:spacing w:line="340" w:lineRule="exact"/>
        <w:rPr>
          <w:rFonts w:hint="eastAsia" w:ascii="仿宋" w:hAnsi="仿宋" w:eastAsia="仿宋" w:cs="仿宋"/>
          <w:color w:val="auto"/>
          <w:highlight w:val="none"/>
        </w:rPr>
      </w:pPr>
    </w:p>
    <w:p w14:paraId="2E46E282">
      <w:pPr>
        <w:pStyle w:val="23"/>
        <w:spacing w:line="340" w:lineRule="exact"/>
        <w:rPr>
          <w:rFonts w:hint="eastAsia" w:ascii="仿宋" w:hAnsi="仿宋" w:eastAsia="仿宋" w:cs="仿宋"/>
          <w:color w:val="auto"/>
          <w:highlight w:val="none"/>
        </w:rPr>
      </w:pPr>
    </w:p>
    <w:p w14:paraId="0AD9D7AF">
      <w:pPr>
        <w:pStyle w:val="23"/>
        <w:spacing w:line="340" w:lineRule="exact"/>
        <w:rPr>
          <w:rFonts w:hint="eastAsia" w:ascii="仿宋" w:hAnsi="仿宋" w:eastAsia="仿宋" w:cs="仿宋"/>
          <w:color w:val="auto"/>
          <w:highlight w:val="none"/>
        </w:rPr>
      </w:pPr>
    </w:p>
    <w:p w14:paraId="3E00A69F">
      <w:pPr>
        <w:pStyle w:val="23"/>
        <w:spacing w:line="340" w:lineRule="exact"/>
        <w:rPr>
          <w:rFonts w:hint="eastAsia" w:ascii="仿宋" w:hAnsi="仿宋" w:eastAsia="仿宋" w:cs="仿宋"/>
          <w:color w:val="auto"/>
          <w:highlight w:val="none"/>
        </w:rPr>
      </w:pPr>
    </w:p>
    <w:p w14:paraId="2CCB7003">
      <w:pPr>
        <w:pStyle w:val="23"/>
        <w:spacing w:line="340" w:lineRule="exact"/>
        <w:rPr>
          <w:rFonts w:hint="eastAsia" w:ascii="仿宋" w:hAnsi="仿宋" w:eastAsia="仿宋" w:cs="仿宋"/>
          <w:color w:val="auto"/>
          <w:highlight w:val="none"/>
        </w:rPr>
      </w:pPr>
    </w:p>
    <w:p w14:paraId="389012F2">
      <w:pPr>
        <w:pStyle w:val="23"/>
        <w:spacing w:line="340" w:lineRule="exact"/>
        <w:rPr>
          <w:rFonts w:hint="eastAsia" w:ascii="仿宋" w:hAnsi="仿宋" w:eastAsia="仿宋" w:cs="仿宋"/>
          <w:color w:val="auto"/>
          <w:highlight w:val="none"/>
        </w:rPr>
      </w:pPr>
    </w:p>
    <w:p w14:paraId="3D8C00C4">
      <w:pPr>
        <w:pStyle w:val="23"/>
        <w:spacing w:line="340" w:lineRule="exact"/>
        <w:rPr>
          <w:rFonts w:hint="eastAsia" w:ascii="仿宋" w:hAnsi="仿宋" w:eastAsia="仿宋" w:cs="仿宋"/>
          <w:color w:val="auto"/>
          <w:highlight w:val="none"/>
        </w:rPr>
      </w:pPr>
    </w:p>
    <w:p w14:paraId="2C8BBC7B">
      <w:pPr>
        <w:pStyle w:val="23"/>
        <w:spacing w:line="340" w:lineRule="exact"/>
        <w:rPr>
          <w:rFonts w:hint="eastAsia" w:ascii="仿宋" w:hAnsi="仿宋" w:eastAsia="仿宋" w:cs="仿宋"/>
          <w:color w:val="auto"/>
          <w:highlight w:val="none"/>
        </w:rPr>
      </w:pPr>
    </w:p>
    <w:p w14:paraId="6C48E78B">
      <w:pPr>
        <w:pStyle w:val="23"/>
        <w:spacing w:line="340" w:lineRule="exact"/>
        <w:rPr>
          <w:rFonts w:hint="eastAsia" w:ascii="仿宋" w:hAnsi="仿宋" w:eastAsia="仿宋" w:cs="仿宋"/>
          <w:color w:val="auto"/>
          <w:highlight w:val="none"/>
        </w:rPr>
      </w:pPr>
    </w:p>
    <w:p w14:paraId="42287C4D">
      <w:pPr>
        <w:pStyle w:val="23"/>
        <w:spacing w:line="340" w:lineRule="exact"/>
        <w:rPr>
          <w:rFonts w:hint="eastAsia" w:ascii="仿宋" w:hAnsi="仿宋" w:eastAsia="仿宋" w:cs="仿宋"/>
          <w:color w:val="auto"/>
          <w:highlight w:val="none"/>
        </w:rPr>
      </w:pPr>
    </w:p>
    <w:p w14:paraId="3E0B5FDD">
      <w:pPr>
        <w:pStyle w:val="23"/>
        <w:spacing w:line="340" w:lineRule="exact"/>
        <w:rPr>
          <w:rFonts w:hint="eastAsia" w:ascii="仿宋" w:hAnsi="仿宋" w:eastAsia="仿宋" w:cs="仿宋"/>
          <w:color w:val="auto"/>
          <w:highlight w:val="none"/>
        </w:rPr>
      </w:pPr>
    </w:p>
    <w:tbl>
      <w:tblPr>
        <w:tblStyle w:val="46"/>
        <w:tblpPr w:leftFromText="180" w:rightFromText="180" w:vertAnchor="text" w:horzAnchor="page" w:tblpX="3029" w:tblpY="8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0"/>
        <w:gridCol w:w="5239"/>
      </w:tblGrid>
      <w:tr w14:paraId="6B9D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60" w:type="dxa"/>
            <w:noWrap w:val="0"/>
            <w:vAlign w:val="top"/>
          </w:tcPr>
          <w:p w14:paraId="7F2086F8">
            <w:pPr>
              <w:pStyle w:val="23"/>
              <w:spacing w:line="500" w:lineRule="exact"/>
              <w:jc w:val="both"/>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pacing w:val="37"/>
                <w:kern w:val="0"/>
                <w:sz w:val="30"/>
                <w:szCs w:val="30"/>
                <w:highlight w:val="none"/>
                <w:fitText w:val="1800" w:id="1015764903"/>
              </w:rPr>
              <w:t>合同名称</w:t>
            </w:r>
            <w:r>
              <w:rPr>
                <w:rFonts w:hint="eastAsia" w:ascii="仿宋" w:hAnsi="仿宋" w:eastAsia="仿宋" w:cs="仿宋"/>
                <w:b/>
                <w:color w:val="auto"/>
                <w:spacing w:val="2"/>
                <w:kern w:val="0"/>
                <w:sz w:val="30"/>
                <w:szCs w:val="30"/>
                <w:highlight w:val="none"/>
                <w:fitText w:val="1800" w:id="1015764903"/>
              </w:rPr>
              <w:t>：</w:t>
            </w:r>
          </w:p>
        </w:tc>
        <w:tc>
          <w:tcPr>
            <w:tcW w:w="5239" w:type="dxa"/>
            <w:tcBorders>
              <w:bottom w:val="nil"/>
            </w:tcBorders>
            <w:noWrap w:val="0"/>
            <w:vAlign w:val="center"/>
          </w:tcPr>
          <w:p w14:paraId="1151FC23">
            <w:pPr>
              <w:pStyle w:val="23"/>
              <w:spacing w:line="500" w:lineRule="exact"/>
              <w:jc w:val="both"/>
              <w:rPr>
                <w:rFonts w:hint="eastAsia" w:ascii="仿宋" w:hAnsi="仿宋" w:eastAsia="仿宋" w:cs="仿宋"/>
                <w:b/>
                <w:color w:val="auto"/>
                <w:kern w:val="0"/>
                <w:sz w:val="30"/>
                <w:szCs w:val="30"/>
                <w:highlight w:val="none"/>
                <w:vertAlign w:val="baseline"/>
                <w:lang w:val="en-US"/>
              </w:rPr>
            </w:pPr>
          </w:p>
        </w:tc>
      </w:tr>
      <w:tr w14:paraId="0707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19665371">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37"/>
                <w:kern w:val="0"/>
                <w:sz w:val="30"/>
                <w:szCs w:val="30"/>
                <w:highlight w:val="none"/>
                <w:fitText w:val="1800" w:id="1878093056"/>
              </w:rPr>
              <w:t>合同编号</w:t>
            </w:r>
            <w:r>
              <w:rPr>
                <w:rFonts w:hint="eastAsia" w:ascii="仿宋" w:hAnsi="仿宋" w:eastAsia="仿宋" w:cs="仿宋"/>
                <w:b/>
                <w:color w:val="auto"/>
                <w:spacing w:val="2"/>
                <w:kern w:val="0"/>
                <w:sz w:val="30"/>
                <w:szCs w:val="30"/>
                <w:highlight w:val="none"/>
                <w:fitText w:val="1800" w:id="1878093056"/>
              </w:rPr>
              <w:t>：</w:t>
            </w:r>
          </w:p>
        </w:tc>
        <w:tc>
          <w:tcPr>
            <w:tcW w:w="5239" w:type="dxa"/>
            <w:tcBorders>
              <w:top w:val="nil"/>
              <w:bottom w:val="nil"/>
            </w:tcBorders>
            <w:noWrap w:val="0"/>
            <w:vAlign w:val="center"/>
          </w:tcPr>
          <w:p w14:paraId="1372AA43">
            <w:pPr>
              <w:pStyle w:val="23"/>
              <w:spacing w:line="500" w:lineRule="exact"/>
              <w:jc w:val="both"/>
              <w:rPr>
                <w:rFonts w:hint="eastAsia" w:ascii="仿宋" w:hAnsi="仿宋" w:eastAsia="仿宋" w:cs="仿宋"/>
                <w:b/>
                <w:color w:val="auto"/>
                <w:kern w:val="0"/>
                <w:sz w:val="30"/>
                <w:szCs w:val="30"/>
                <w:highlight w:val="none"/>
                <w:vertAlign w:val="baseline"/>
              </w:rPr>
            </w:pPr>
          </w:p>
        </w:tc>
      </w:tr>
      <w:tr w14:paraId="61CD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2D68D8B6">
            <w:pPr>
              <w:pStyle w:val="23"/>
              <w:spacing w:line="500" w:lineRule="exact"/>
              <w:jc w:val="both"/>
              <w:rPr>
                <w:rFonts w:hint="eastAsia" w:ascii="仿宋" w:hAnsi="仿宋" w:eastAsia="仿宋" w:cs="仿宋"/>
                <w:b/>
                <w:color w:val="auto"/>
                <w:kern w:val="0"/>
                <w:sz w:val="30"/>
                <w:szCs w:val="30"/>
                <w:highlight w:val="none"/>
                <w:vertAlign w:val="baseline"/>
              </w:rPr>
            </w:pPr>
            <w:r>
              <w:rPr>
                <w:rFonts w:hint="eastAsia" w:ascii="仿宋" w:hAnsi="仿宋" w:eastAsia="仿宋" w:cs="仿宋"/>
                <w:b/>
                <w:color w:val="auto"/>
                <w:spacing w:val="0"/>
                <w:kern w:val="0"/>
                <w:sz w:val="30"/>
                <w:szCs w:val="30"/>
                <w:highlight w:val="none"/>
                <w:fitText w:val="1800" w:id="447173924"/>
              </w:rPr>
              <w:t>需方</w:t>
            </w:r>
            <w:r>
              <w:rPr>
                <w:rFonts w:hint="eastAsia" w:ascii="仿宋" w:hAnsi="仿宋" w:eastAsia="仿宋" w:cs="仿宋"/>
                <w:b/>
                <w:color w:val="auto"/>
                <w:spacing w:val="0"/>
                <w:kern w:val="0"/>
                <w:sz w:val="30"/>
                <w:szCs w:val="30"/>
                <w:highlight w:val="none"/>
                <w:fitText w:val="1800" w:id="447173924"/>
                <w:lang w:val="en-US" w:eastAsia="zh-CN"/>
              </w:rPr>
              <w:t>(</w:t>
            </w:r>
            <w:r>
              <w:rPr>
                <w:rFonts w:hint="eastAsia" w:ascii="仿宋" w:hAnsi="仿宋" w:eastAsia="仿宋" w:cs="仿宋"/>
                <w:b/>
                <w:color w:val="auto"/>
                <w:spacing w:val="0"/>
                <w:kern w:val="0"/>
                <w:sz w:val="30"/>
                <w:szCs w:val="30"/>
                <w:highlight w:val="none"/>
                <w:fitText w:val="1800" w:id="447173924"/>
              </w:rPr>
              <w:t>甲方</w:t>
            </w:r>
            <w:r>
              <w:rPr>
                <w:rFonts w:hint="eastAsia" w:ascii="仿宋" w:hAnsi="仿宋" w:eastAsia="仿宋" w:cs="仿宋"/>
                <w:b/>
                <w:color w:val="auto"/>
                <w:spacing w:val="0"/>
                <w:kern w:val="0"/>
                <w:sz w:val="30"/>
                <w:szCs w:val="30"/>
                <w:highlight w:val="none"/>
                <w:fitText w:val="1800" w:id="447173924"/>
                <w:lang w:val="en-US" w:eastAsia="zh-CN"/>
              </w:rPr>
              <w:t>)</w:t>
            </w:r>
            <w:r>
              <w:rPr>
                <w:rFonts w:hint="eastAsia" w:ascii="仿宋" w:hAnsi="仿宋" w:eastAsia="仿宋" w:cs="仿宋"/>
                <w:b/>
                <w:color w:val="auto"/>
                <w:spacing w:val="0"/>
                <w:kern w:val="0"/>
                <w:sz w:val="30"/>
                <w:szCs w:val="30"/>
                <w:highlight w:val="none"/>
                <w:fitText w:val="1800" w:id="447173924"/>
              </w:rPr>
              <w:t>：</w:t>
            </w:r>
          </w:p>
        </w:tc>
        <w:tc>
          <w:tcPr>
            <w:tcW w:w="5239" w:type="dxa"/>
            <w:tcBorders>
              <w:top w:val="nil"/>
              <w:bottom w:val="nil"/>
            </w:tcBorders>
            <w:noWrap w:val="0"/>
            <w:vAlign w:val="center"/>
          </w:tcPr>
          <w:p w14:paraId="2D749716">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eastAsia="zh-CN"/>
              </w:rPr>
              <w:t>广西壮族自治区人民医院</w:t>
            </w:r>
          </w:p>
        </w:tc>
      </w:tr>
      <w:tr w14:paraId="098D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746716CA">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0"/>
                <w:kern w:val="0"/>
                <w:sz w:val="30"/>
                <w:szCs w:val="30"/>
                <w:highlight w:val="none"/>
                <w:fitText w:val="1800" w:id="1157262644"/>
              </w:rPr>
              <w:t>供方</w:t>
            </w:r>
            <w:r>
              <w:rPr>
                <w:rFonts w:hint="eastAsia" w:ascii="仿宋" w:hAnsi="仿宋" w:eastAsia="仿宋" w:cs="仿宋"/>
                <w:b/>
                <w:color w:val="auto"/>
                <w:spacing w:val="0"/>
                <w:kern w:val="0"/>
                <w:sz w:val="30"/>
                <w:szCs w:val="30"/>
                <w:highlight w:val="none"/>
                <w:fitText w:val="1800" w:id="1157262644"/>
                <w:lang w:val="en-US" w:eastAsia="zh-CN"/>
              </w:rPr>
              <w:t>(</w:t>
            </w:r>
            <w:r>
              <w:rPr>
                <w:rFonts w:hint="eastAsia" w:ascii="仿宋" w:hAnsi="仿宋" w:eastAsia="仿宋" w:cs="仿宋"/>
                <w:b/>
                <w:color w:val="auto"/>
                <w:spacing w:val="0"/>
                <w:kern w:val="0"/>
                <w:sz w:val="30"/>
                <w:szCs w:val="30"/>
                <w:highlight w:val="none"/>
                <w:fitText w:val="1800" w:id="1157262644"/>
              </w:rPr>
              <w:t>乙方</w:t>
            </w:r>
            <w:r>
              <w:rPr>
                <w:rFonts w:hint="eastAsia" w:ascii="仿宋" w:hAnsi="仿宋" w:eastAsia="仿宋" w:cs="仿宋"/>
                <w:b/>
                <w:color w:val="auto"/>
                <w:spacing w:val="0"/>
                <w:kern w:val="0"/>
                <w:sz w:val="30"/>
                <w:szCs w:val="30"/>
                <w:highlight w:val="none"/>
                <w:fitText w:val="1800" w:id="1157262644"/>
                <w:lang w:val="en-US" w:eastAsia="zh-CN"/>
              </w:rPr>
              <w:t>)</w:t>
            </w:r>
            <w:r>
              <w:rPr>
                <w:rFonts w:hint="eastAsia" w:ascii="仿宋" w:hAnsi="仿宋" w:eastAsia="仿宋" w:cs="仿宋"/>
                <w:b/>
                <w:color w:val="auto"/>
                <w:spacing w:val="0"/>
                <w:kern w:val="0"/>
                <w:sz w:val="30"/>
                <w:szCs w:val="30"/>
                <w:highlight w:val="none"/>
                <w:fitText w:val="1800" w:id="1157262644"/>
              </w:rPr>
              <w:t>：</w:t>
            </w:r>
          </w:p>
        </w:tc>
        <w:tc>
          <w:tcPr>
            <w:tcW w:w="5239" w:type="dxa"/>
            <w:tcBorders>
              <w:top w:val="nil"/>
              <w:bottom w:val="nil"/>
            </w:tcBorders>
            <w:noWrap w:val="0"/>
            <w:vAlign w:val="center"/>
          </w:tcPr>
          <w:p w14:paraId="74CD6C3A">
            <w:pPr>
              <w:pStyle w:val="23"/>
              <w:spacing w:line="500" w:lineRule="exact"/>
              <w:jc w:val="both"/>
              <w:rPr>
                <w:rFonts w:hint="eastAsia" w:ascii="仿宋" w:hAnsi="仿宋" w:eastAsia="仿宋" w:cs="仿宋"/>
                <w:b/>
                <w:color w:val="auto"/>
                <w:kern w:val="0"/>
                <w:sz w:val="30"/>
                <w:szCs w:val="30"/>
                <w:highlight w:val="none"/>
                <w:vertAlign w:val="baseline"/>
              </w:rPr>
            </w:pPr>
          </w:p>
        </w:tc>
      </w:tr>
      <w:tr w14:paraId="3DB1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60" w:type="dxa"/>
            <w:noWrap w:val="0"/>
            <w:vAlign w:val="top"/>
          </w:tcPr>
          <w:p w14:paraId="3F0DE758">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192505171"/>
              </w:rPr>
              <w:t>签订地点</w:t>
            </w:r>
            <w:r>
              <w:rPr>
                <w:rFonts w:hint="eastAsia" w:ascii="仿宋" w:hAnsi="仿宋" w:eastAsia="仿宋" w:cs="仿宋"/>
                <w:b/>
                <w:color w:val="auto"/>
                <w:spacing w:val="2"/>
                <w:kern w:val="0"/>
                <w:sz w:val="30"/>
                <w:szCs w:val="30"/>
                <w:highlight w:val="none"/>
                <w:fitText w:val="1800" w:id="192505171"/>
              </w:rPr>
              <w:t>：</w:t>
            </w:r>
          </w:p>
        </w:tc>
        <w:tc>
          <w:tcPr>
            <w:tcW w:w="5239" w:type="dxa"/>
            <w:tcBorders>
              <w:top w:val="nil"/>
              <w:bottom w:val="nil"/>
            </w:tcBorders>
            <w:noWrap w:val="0"/>
            <w:vAlign w:val="center"/>
          </w:tcPr>
          <w:p w14:paraId="0FADED43">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rPr>
              <w:t>南宁市青秀区</w:t>
            </w:r>
          </w:p>
        </w:tc>
      </w:tr>
      <w:tr w14:paraId="6F74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60" w:type="dxa"/>
            <w:noWrap w:val="0"/>
            <w:vAlign w:val="top"/>
          </w:tcPr>
          <w:p w14:paraId="746E0756">
            <w:pPr>
              <w:pStyle w:val="23"/>
              <w:spacing w:line="500" w:lineRule="exact"/>
              <w:jc w:val="both"/>
              <w:rPr>
                <w:rFonts w:hint="eastAsia" w:ascii="仿宋" w:hAnsi="仿宋" w:eastAsia="仿宋" w:cs="仿宋"/>
                <w:b/>
                <w:color w:val="auto"/>
                <w:spacing w:val="1500"/>
                <w:kern w:val="0"/>
                <w:sz w:val="30"/>
                <w:szCs w:val="30"/>
                <w:highlight w:val="none"/>
                <w:fitText w:val="1800" w:id="1300850442"/>
              </w:rPr>
            </w:pPr>
            <w:r>
              <w:rPr>
                <w:rFonts w:hint="eastAsia" w:ascii="仿宋" w:hAnsi="仿宋" w:eastAsia="仿宋" w:cs="仿宋"/>
                <w:b/>
                <w:color w:val="auto"/>
                <w:spacing w:val="37"/>
                <w:kern w:val="0"/>
                <w:sz w:val="30"/>
                <w:szCs w:val="30"/>
                <w:highlight w:val="none"/>
                <w:fitText w:val="1800" w:id="1892960480"/>
              </w:rPr>
              <w:t>签订时间</w:t>
            </w:r>
            <w:r>
              <w:rPr>
                <w:rFonts w:hint="eastAsia" w:ascii="仿宋" w:hAnsi="仿宋" w:eastAsia="仿宋" w:cs="仿宋"/>
                <w:b/>
                <w:color w:val="auto"/>
                <w:spacing w:val="2"/>
                <w:kern w:val="0"/>
                <w:sz w:val="30"/>
                <w:szCs w:val="30"/>
                <w:highlight w:val="none"/>
                <w:fitText w:val="1800" w:id="1892960480"/>
              </w:rPr>
              <w:t>：</w:t>
            </w:r>
          </w:p>
        </w:tc>
        <w:tc>
          <w:tcPr>
            <w:tcW w:w="5239" w:type="dxa"/>
            <w:tcBorders>
              <w:top w:val="nil"/>
              <w:bottom w:val="nil"/>
            </w:tcBorders>
            <w:noWrap w:val="0"/>
            <w:vAlign w:val="center"/>
          </w:tcPr>
          <w:p w14:paraId="6DC0D367">
            <w:pPr>
              <w:pStyle w:val="23"/>
              <w:spacing w:line="500" w:lineRule="exact"/>
              <w:jc w:val="left"/>
              <w:rPr>
                <w:rFonts w:hint="eastAsia" w:ascii="仿宋" w:hAnsi="仿宋" w:eastAsia="仿宋" w:cs="仿宋"/>
                <w:b/>
                <w:color w:val="auto"/>
                <w:spacing w:val="37"/>
                <w:kern w:val="0"/>
                <w:sz w:val="30"/>
                <w:szCs w:val="30"/>
                <w:highlight w:val="none"/>
                <w:fitText w:val="337" w:id="1939154515"/>
                <w:vertAlign w:val="baseline"/>
              </w:rPr>
            </w:pPr>
            <w:r>
              <w:rPr>
                <w:rFonts w:hint="eastAsia" w:ascii="仿宋" w:hAnsi="仿宋" w:eastAsia="仿宋" w:cs="仿宋"/>
                <w:b/>
                <w:color w:val="auto"/>
                <w:sz w:val="30"/>
                <w:szCs w:val="30"/>
                <w:highlight w:val="none"/>
                <w:lang w:val="en-US" w:eastAsia="zh-CN"/>
              </w:rPr>
              <w:t xml:space="preserve">        </w:t>
            </w:r>
            <w:r>
              <w:rPr>
                <w:rFonts w:hint="eastAsia" w:ascii="仿宋" w:hAnsi="仿宋" w:eastAsia="仿宋" w:cs="仿宋"/>
                <w:b/>
                <w:color w:val="auto"/>
                <w:sz w:val="30"/>
                <w:szCs w:val="30"/>
                <w:highlight w:val="none"/>
              </w:rPr>
              <w:t>年   月   日</w:t>
            </w:r>
          </w:p>
        </w:tc>
      </w:tr>
    </w:tbl>
    <w:p w14:paraId="78308BDA">
      <w:pPr>
        <w:snapToGrid w:val="0"/>
        <w:spacing w:line="400" w:lineRule="exact"/>
        <w:jc w:val="center"/>
        <w:rPr>
          <w:rFonts w:hint="eastAsia" w:ascii="仿宋" w:hAnsi="仿宋" w:eastAsia="仿宋" w:cs="仿宋"/>
          <w:b/>
          <w:color w:val="auto"/>
          <w:sz w:val="30"/>
          <w:szCs w:val="30"/>
          <w:highlight w:val="none"/>
        </w:rPr>
      </w:pPr>
    </w:p>
    <w:p w14:paraId="17419B38">
      <w:pPr>
        <w:snapToGrid w:val="0"/>
        <w:spacing w:line="400" w:lineRule="exact"/>
        <w:jc w:val="center"/>
        <w:rPr>
          <w:rFonts w:hint="eastAsia" w:ascii="仿宋" w:hAnsi="仿宋" w:eastAsia="仿宋" w:cs="仿宋"/>
          <w:b/>
          <w:color w:val="auto"/>
          <w:sz w:val="30"/>
          <w:szCs w:val="30"/>
          <w:highlight w:val="none"/>
        </w:rPr>
      </w:pPr>
    </w:p>
    <w:p w14:paraId="16C17E4D">
      <w:pPr>
        <w:snapToGrid w:val="0"/>
        <w:spacing w:line="400" w:lineRule="exact"/>
        <w:jc w:val="center"/>
        <w:rPr>
          <w:rFonts w:hint="eastAsia" w:ascii="仿宋" w:hAnsi="仿宋" w:eastAsia="仿宋" w:cs="仿宋"/>
          <w:b/>
          <w:color w:val="auto"/>
          <w:sz w:val="30"/>
          <w:szCs w:val="30"/>
          <w:highlight w:val="none"/>
        </w:rPr>
      </w:pPr>
    </w:p>
    <w:p w14:paraId="47B5FD44">
      <w:pPr>
        <w:snapToGrid w:val="0"/>
        <w:spacing w:line="400" w:lineRule="exact"/>
        <w:jc w:val="center"/>
        <w:rPr>
          <w:rFonts w:hint="eastAsia" w:ascii="仿宋" w:hAnsi="仿宋" w:eastAsia="仿宋" w:cs="仿宋"/>
          <w:b/>
          <w:color w:val="auto"/>
          <w:sz w:val="30"/>
          <w:szCs w:val="30"/>
          <w:highlight w:val="none"/>
        </w:rPr>
      </w:pPr>
    </w:p>
    <w:p w14:paraId="09A24544">
      <w:pPr>
        <w:snapToGrid w:val="0"/>
        <w:spacing w:line="400" w:lineRule="exact"/>
        <w:jc w:val="center"/>
        <w:rPr>
          <w:rFonts w:hint="eastAsia" w:ascii="仿宋" w:hAnsi="仿宋" w:eastAsia="仿宋" w:cs="仿宋"/>
          <w:b/>
          <w:color w:val="auto"/>
          <w:sz w:val="30"/>
          <w:szCs w:val="30"/>
          <w:highlight w:val="none"/>
        </w:rPr>
      </w:pPr>
    </w:p>
    <w:p w14:paraId="4BC9645E">
      <w:pPr>
        <w:snapToGrid w:val="0"/>
        <w:spacing w:line="400" w:lineRule="exact"/>
        <w:jc w:val="center"/>
        <w:rPr>
          <w:rFonts w:hint="eastAsia" w:ascii="仿宋" w:hAnsi="仿宋" w:eastAsia="仿宋" w:cs="仿宋"/>
          <w:b/>
          <w:color w:val="auto"/>
          <w:sz w:val="30"/>
          <w:szCs w:val="30"/>
          <w:highlight w:val="none"/>
        </w:rPr>
      </w:pPr>
    </w:p>
    <w:p w14:paraId="115906DB">
      <w:pPr>
        <w:snapToGrid w:val="0"/>
        <w:spacing w:line="400" w:lineRule="exact"/>
        <w:jc w:val="center"/>
        <w:rPr>
          <w:rFonts w:hint="eastAsia" w:ascii="仿宋" w:hAnsi="仿宋" w:eastAsia="仿宋" w:cs="仿宋"/>
          <w:b/>
          <w:color w:val="auto"/>
          <w:sz w:val="30"/>
          <w:szCs w:val="30"/>
          <w:highlight w:val="none"/>
        </w:rPr>
      </w:pPr>
    </w:p>
    <w:p w14:paraId="033F5AD3">
      <w:pPr>
        <w:snapToGrid w:val="0"/>
        <w:spacing w:line="400" w:lineRule="exact"/>
        <w:jc w:val="center"/>
        <w:rPr>
          <w:rFonts w:hint="eastAsia" w:ascii="仿宋" w:hAnsi="仿宋" w:eastAsia="仿宋" w:cs="仿宋"/>
          <w:b/>
          <w:color w:val="auto"/>
          <w:sz w:val="30"/>
          <w:szCs w:val="30"/>
          <w:highlight w:val="none"/>
        </w:rPr>
      </w:pPr>
    </w:p>
    <w:p w14:paraId="28932B6F">
      <w:pPr>
        <w:snapToGrid w:val="0"/>
        <w:spacing w:line="400" w:lineRule="exact"/>
        <w:jc w:val="center"/>
        <w:rPr>
          <w:rFonts w:hint="eastAsia" w:ascii="仿宋" w:hAnsi="仿宋" w:eastAsia="仿宋" w:cs="仿宋"/>
          <w:b/>
          <w:color w:val="auto"/>
          <w:sz w:val="30"/>
          <w:szCs w:val="30"/>
          <w:highlight w:val="none"/>
        </w:rPr>
      </w:pPr>
    </w:p>
    <w:p w14:paraId="29749EA1">
      <w:pPr>
        <w:snapToGrid w:val="0"/>
        <w:spacing w:line="400" w:lineRule="exact"/>
        <w:jc w:val="center"/>
        <w:rPr>
          <w:rFonts w:hint="eastAsia" w:ascii="仿宋" w:hAnsi="仿宋" w:eastAsia="仿宋" w:cs="仿宋"/>
          <w:b/>
          <w:bCs/>
          <w:color w:val="auto"/>
          <w:sz w:val="32"/>
          <w:szCs w:val="32"/>
          <w:highlight w:val="none"/>
        </w:rPr>
        <w:sectPr>
          <w:headerReference r:id="rId12" w:type="default"/>
          <w:pgSz w:w="11906" w:h="16838"/>
          <w:pgMar w:top="1440" w:right="1800" w:bottom="1440" w:left="1800" w:header="851" w:footer="992" w:gutter="0"/>
          <w:pgNumType w:fmt="decimal"/>
          <w:cols w:space="720" w:num="1"/>
          <w:docGrid w:type="lines" w:linePitch="312" w:charSpace="0"/>
        </w:sectPr>
      </w:pPr>
    </w:p>
    <w:p w14:paraId="12DBC43A">
      <w:pPr>
        <w:snapToGrid w:val="0"/>
        <w:spacing w:line="400" w:lineRule="exact"/>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目</w:t>
      </w:r>
      <w:r>
        <w:rPr>
          <w:rFonts w:hint="eastAsia" w:ascii="仿宋" w:hAnsi="仿宋" w:eastAsia="仿宋" w:cs="仿宋"/>
          <w:b/>
          <w:bCs/>
          <w:color w:val="auto"/>
          <w:sz w:val="32"/>
          <w:szCs w:val="40"/>
          <w:highlight w:val="none"/>
          <w:lang w:val="en-US" w:eastAsia="zh-CN"/>
        </w:rPr>
        <w:t xml:space="preserve">  </w:t>
      </w:r>
      <w:r>
        <w:rPr>
          <w:rFonts w:hint="eastAsia" w:ascii="仿宋" w:hAnsi="仿宋" w:eastAsia="仿宋" w:cs="仿宋"/>
          <w:b/>
          <w:bCs/>
          <w:color w:val="auto"/>
          <w:sz w:val="32"/>
          <w:szCs w:val="40"/>
          <w:highlight w:val="none"/>
        </w:rPr>
        <w:t>录</w:t>
      </w:r>
    </w:p>
    <w:p w14:paraId="4A5D93F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04"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color w:val="auto"/>
          <w:sz w:val="22"/>
          <w:szCs w:val="28"/>
          <w:highlight w:val="none"/>
        </w:rPr>
        <w:fldChar w:fldCharType="begin"/>
      </w:r>
      <w:r>
        <w:rPr>
          <w:rFonts w:hint="eastAsia" w:ascii="仿宋" w:hAnsi="仿宋" w:eastAsia="仿宋" w:cs="仿宋"/>
          <w:color w:val="auto"/>
          <w:sz w:val="22"/>
          <w:szCs w:val="28"/>
          <w:highlight w:val="none"/>
        </w:rPr>
        <w:instrText xml:space="preserve">TOC \o "1-1" \h \u </w:instrText>
      </w:r>
      <w:r>
        <w:rPr>
          <w:rFonts w:hint="eastAsia" w:ascii="仿宋" w:hAnsi="仿宋" w:eastAsia="仿宋" w:cs="仿宋"/>
          <w:color w:val="auto"/>
          <w:sz w:val="22"/>
          <w:szCs w:val="28"/>
          <w:highlight w:val="none"/>
        </w:rPr>
        <w:fldChar w:fldCharType="separate"/>
      </w: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_Toc24158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采购合同书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507499E">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_Toc17535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合同附件：</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7559BCEC">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_Toc23927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采购需求：</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2457BF7">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_Toc5055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投标声明</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3BE476FB">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_Toc7719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技术需求偏离表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621A205B">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_Toc18425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商务条款偏离表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AC6787F">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_Toc23379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产品技术参数表</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49FFB050">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_Toc27394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设备配置清单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1B882287">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_Toc10800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厂家售后服务承诺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81CBB96">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_Toc32675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供应商售后服务承诺</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694A65C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_Toc27973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产品注册证</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02766FC0">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_Toc9634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中标通知书</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p>
    <w:p w14:paraId="5F289D9E">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pPr>
      <w:r>
        <w:rPr>
          <w:rFonts w:hint="eastAsia" w:ascii="仿宋" w:hAnsi="仿宋" w:eastAsia="仿宋" w:cs="仿宋"/>
          <w:bCs/>
          <w:color w:val="auto"/>
          <w:kern w:val="0"/>
          <w:sz w:val="24"/>
          <w:szCs w:val="36"/>
          <w:highlight w:val="none"/>
          <w:lang w:val="en-US" w:eastAsia="zh-CN" w:bidi="ar"/>
        </w:rPr>
        <w:fldChar w:fldCharType="begin"/>
      </w:r>
      <w:r>
        <w:rPr>
          <w:rFonts w:hint="eastAsia" w:ascii="仿宋" w:hAnsi="仿宋" w:eastAsia="仿宋" w:cs="仿宋"/>
          <w:bCs/>
          <w:color w:val="auto"/>
          <w:kern w:val="0"/>
          <w:sz w:val="24"/>
          <w:szCs w:val="36"/>
          <w:highlight w:val="none"/>
          <w:lang w:val="en-US" w:eastAsia="zh-CN" w:bidi="ar"/>
        </w:rPr>
        <w:instrText xml:space="preserve"> HYPERLINK \l _Toc22315 </w:instrText>
      </w:r>
      <w:r>
        <w:rPr>
          <w:rFonts w:hint="eastAsia" w:ascii="仿宋" w:hAnsi="仿宋" w:eastAsia="仿宋" w:cs="仿宋"/>
          <w:bCs/>
          <w:color w:val="auto"/>
          <w:kern w:val="0"/>
          <w:sz w:val="24"/>
          <w:szCs w:val="36"/>
          <w:highlight w:val="none"/>
          <w:lang w:val="en-US" w:eastAsia="zh-CN" w:bidi="ar"/>
        </w:rPr>
        <w:fldChar w:fldCharType="separate"/>
      </w:r>
      <w:r>
        <w:rPr>
          <w:rFonts w:hint="eastAsia" w:ascii="仿宋" w:hAnsi="仿宋" w:eastAsia="仿宋" w:cs="仿宋"/>
          <w:bCs/>
          <w:color w:val="auto"/>
          <w:kern w:val="0"/>
          <w:sz w:val="24"/>
          <w:szCs w:val="36"/>
          <w:highlight w:val="none"/>
          <w:lang w:val="en-US" w:eastAsia="zh-CN" w:bidi="ar"/>
        </w:rPr>
        <w:t>全国个体私营经济发展服务网（小微企业名录）网页查询截图</w:t>
      </w:r>
      <w:r>
        <w:rPr>
          <w:rFonts w:hint="eastAsia" w:ascii="仿宋" w:hAnsi="仿宋" w:eastAsia="仿宋" w:cs="仿宋"/>
          <w:bCs/>
          <w:color w:val="auto"/>
          <w:kern w:val="0"/>
          <w:sz w:val="24"/>
          <w:szCs w:val="36"/>
          <w:highlight w:val="none"/>
          <w:lang w:val="en-US" w:eastAsia="zh-CN" w:bidi="ar"/>
        </w:rPr>
        <w:tab/>
      </w:r>
    </w:p>
    <w:p w14:paraId="0015BE21">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color w:val="auto"/>
          <w:szCs w:val="28"/>
          <w:highlight w:val="none"/>
        </w:rPr>
      </w:pPr>
      <w:r>
        <w:rPr>
          <w:rFonts w:hint="eastAsia" w:ascii="仿宋" w:hAnsi="仿宋" w:eastAsia="仿宋" w:cs="仿宋"/>
          <w:bCs/>
          <w:color w:val="auto"/>
          <w:kern w:val="0"/>
          <w:sz w:val="24"/>
          <w:szCs w:val="36"/>
          <w:highlight w:val="none"/>
          <w:lang w:val="en-US" w:eastAsia="zh-CN" w:bidi="ar"/>
        </w:rPr>
        <w:t>履约保证金银行转账或电汇回单</w:t>
      </w:r>
      <w:r>
        <w:rPr>
          <w:rFonts w:hint="eastAsia" w:ascii="仿宋" w:hAnsi="仿宋" w:eastAsia="仿宋" w:cs="仿宋"/>
          <w:bCs/>
          <w:color w:val="auto"/>
          <w:kern w:val="0"/>
          <w:sz w:val="24"/>
          <w:szCs w:val="36"/>
          <w:highlight w:val="none"/>
          <w:lang w:val="en-US" w:eastAsia="zh-CN" w:bidi="ar"/>
        </w:rPr>
        <w:tab/>
      </w:r>
      <w:r>
        <w:rPr>
          <w:rFonts w:hint="eastAsia" w:ascii="仿宋" w:hAnsi="仿宋" w:eastAsia="仿宋" w:cs="仿宋"/>
          <w:bCs/>
          <w:color w:val="auto"/>
          <w:kern w:val="0"/>
          <w:sz w:val="24"/>
          <w:szCs w:val="36"/>
          <w:highlight w:val="none"/>
          <w:lang w:val="en-US" w:eastAsia="zh-CN" w:bidi="ar"/>
        </w:rPr>
        <w:fldChar w:fldCharType="end"/>
      </w:r>
      <w:r>
        <w:rPr>
          <w:rFonts w:hint="eastAsia" w:ascii="仿宋" w:hAnsi="仿宋" w:eastAsia="仿宋" w:cs="仿宋"/>
          <w:color w:val="auto"/>
          <w:szCs w:val="28"/>
          <w:highlight w:val="none"/>
        </w:rPr>
        <w:fldChar w:fldCharType="end"/>
      </w:r>
    </w:p>
    <w:p w14:paraId="3A7AFF59">
      <w:pPr>
        <w:rPr>
          <w:rFonts w:hint="eastAsia" w:ascii="仿宋" w:hAnsi="仿宋" w:eastAsia="仿宋" w:cs="仿宋"/>
          <w:color w:val="auto"/>
          <w:highlight w:val="none"/>
          <w:lang w:val="en-US" w:eastAsia="zh-CN"/>
        </w:rPr>
      </w:pPr>
    </w:p>
    <w:p w14:paraId="5F2F207C">
      <w:pPr>
        <w:pStyle w:val="31"/>
        <w:keepNext w:val="0"/>
        <w:keepLines w:val="0"/>
        <w:pageBreakBefore w:val="0"/>
        <w:widowControl w:val="0"/>
        <w:tabs>
          <w:tab w:val="right" w:leader="dot" w:pos="7980"/>
          <w:tab w:val="clear" w:pos="8398"/>
        </w:tabs>
        <w:kinsoku/>
        <w:wordWrap/>
        <w:overflowPunct/>
        <w:topLinePunct w:val="0"/>
        <w:autoSpaceDE/>
        <w:autoSpaceDN/>
        <w:bidi w:val="0"/>
        <w:adjustRightInd/>
        <w:snapToGrid/>
        <w:spacing w:line="500" w:lineRule="exact"/>
        <w:ind w:left="17" w:leftChars="8" w:firstLine="441" w:firstLineChars="183"/>
        <w:textAlignment w:val="auto"/>
        <w:rPr>
          <w:rFonts w:hint="eastAsia" w:ascii="仿宋" w:hAnsi="仿宋" w:eastAsia="仿宋" w:cs="仿宋"/>
          <w:bCs/>
          <w:color w:val="auto"/>
          <w:kern w:val="0"/>
          <w:sz w:val="24"/>
          <w:szCs w:val="36"/>
          <w:highlight w:val="none"/>
          <w:lang w:val="en-US" w:eastAsia="zh-CN" w:bidi="ar"/>
        </w:rPr>
        <w:sectPr>
          <w:footerReference r:id="rId13" w:type="default"/>
          <w:pgSz w:w="11906" w:h="16838"/>
          <w:pgMar w:top="1440" w:right="1800" w:bottom="1440" w:left="1800" w:header="851" w:footer="992" w:gutter="0"/>
          <w:pgNumType w:fmt="decimal"/>
          <w:cols w:space="720" w:num="1"/>
          <w:docGrid w:type="lines" w:linePitch="312" w:charSpace="0"/>
        </w:sectPr>
      </w:pPr>
    </w:p>
    <w:p w14:paraId="0ADBC94B">
      <w:pPr>
        <w:snapToGrid w:val="0"/>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广西壮族自治区人民医院采购合同</w:t>
      </w:r>
    </w:p>
    <w:p w14:paraId="28531ECE">
      <w:pPr>
        <w:snapToGrid w:val="0"/>
        <w:spacing w:line="400" w:lineRule="exact"/>
        <w:jc w:val="center"/>
        <w:rPr>
          <w:rFonts w:hint="eastAsia" w:ascii="仿宋" w:hAnsi="仿宋" w:eastAsia="仿宋" w:cs="仿宋"/>
          <w:b/>
          <w:bCs/>
          <w:color w:val="auto"/>
          <w:sz w:val="32"/>
          <w:szCs w:val="32"/>
          <w:highlight w:val="none"/>
        </w:rPr>
      </w:pPr>
    </w:p>
    <w:p w14:paraId="2B65E2AA">
      <w:pPr>
        <w:snapToGrid w:val="0"/>
        <w:spacing w:line="400" w:lineRule="exact"/>
        <w:ind w:right="480"/>
        <w:jc w:val="righ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月版】</w:t>
      </w:r>
    </w:p>
    <w:p w14:paraId="5D6929FB">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采购单位（甲方）</w:t>
      </w:r>
      <w:r>
        <w:rPr>
          <w:rFonts w:hint="eastAsia" w:ascii="仿宋" w:hAnsi="仿宋" w:eastAsia="仿宋" w:cs="仿宋"/>
          <w:color w:val="auto"/>
          <w:sz w:val="24"/>
          <w:szCs w:val="24"/>
          <w:highlight w:val="none"/>
          <w:u w:val="single"/>
        </w:rPr>
        <w:t xml:space="preserve">  广西壮族自治区人民医院 </w:t>
      </w:r>
      <w:r>
        <w:rPr>
          <w:rFonts w:hint="eastAsia" w:ascii="仿宋" w:hAnsi="仿宋" w:eastAsia="仿宋" w:cs="仿宋"/>
          <w:color w:val="auto"/>
          <w:sz w:val="24"/>
          <w:szCs w:val="24"/>
          <w:highlight w:val="none"/>
        </w:rPr>
        <w:t xml:space="preserve">  </w:t>
      </w:r>
    </w:p>
    <w:p w14:paraId="40382CE6">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 应 商（乙方）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 同 编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026B9E">
      <w:pPr>
        <w:snapToGrid w:val="0"/>
        <w:spacing w:line="360" w:lineRule="exact"/>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签  订  地  点 </w:t>
      </w:r>
      <w:r>
        <w:rPr>
          <w:rFonts w:hint="eastAsia" w:ascii="仿宋" w:hAnsi="仿宋" w:eastAsia="仿宋" w:cs="仿宋"/>
          <w:color w:val="auto"/>
          <w:sz w:val="24"/>
          <w:szCs w:val="24"/>
          <w:highlight w:val="none"/>
          <w:u w:val="single"/>
        </w:rPr>
        <w:t xml:space="preserve">    南宁市青秀区        </w:t>
      </w:r>
      <w:r>
        <w:rPr>
          <w:rFonts w:hint="eastAsia" w:ascii="仿宋" w:hAnsi="仿宋" w:eastAsia="仿宋" w:cs="仿宋"/>
          <w:color w:val="auto"/>
          <w:sz w:val="24"/>
          <w:szCs w:val="24"/>
          <w:highlight w:val="none"/>
        </w:rPr>
        <w:t xml:space="preserve">  签 订 时 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 </w:t>
      </w:r>
    </w:p>
    <w:p w14:paraId="6BCBF4E0">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根据《中华人民共和国政府采购法》《中华人民共和国民法典》等法律法规规定，按照采购文件规定条款和中标供应商承诺，甲乙双方签订本合同。</w:t>
      </w:r>
    </w:p>
    <w:p w14:paraId="1AA6649F">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合同标的</w:t>
      </w:r>
    </w:p>
    <w:p w14:paraId="3B637A8C">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供货一览表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063"/>
        <w:gridCol w:w="1177"/>
      </w:tblGrid>
      <w:tr w14:paraId="2CAA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noWrap w:val="0"/>
            <w:vAlign w:val="center"/>
          </w:tcPr>
          <w:p w14:paraId="44D90008">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33" w:type="pct"/>
            <w:noWrap w:val="0"/>
            <w:vAlign w:val="center"/>
          </w:tcPr>
          <w:p w14:paraId="2C2A0337">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w:t>
            </w:r>
          </w:p>
        </w:tc>
        <w:tc>
          <w:tcPr>
            <w:tcW w:w="633" w:type="pct"/>
            <w:noWrap w:val="0"/>
            <w:vAlign w:val="center"/>
          </w:tcPr>
          <w:p w14:paraId="53F99169">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商标品牌</w:t>
            </w:r>
          </w:p>
        </w:tc>
        <w:tc>
          <w:tcPr>
            <w:tcW w:w="797" w:type="pct"/>
            <w:noWrap w:val="0"/>
            <w:vAlign w:val="center"/>
          </w:tcPr>
          <w:p w14:paraId="64F04B5B">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624" w:type="pct"/>
            <w:noWrap w:val="0"/>
            <w:vAlign w:val="center"/>
          </w:tcPr>
          <w:p w14:paraId="1410FECC">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生产厂家</w:t>
            </w:r>
          </w:p>
        </w:tc>
        <w:tc>
          <w:tcPr>
            <w:tcW w:w="613" w:type="pct"/>
            <w:noWrap w:val="0"/>
            <w:vAlign w:val="center"/>
          </w:tcPr>
          <w:p w14:paraId="4D1E4AB8">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p w14:paraId="4F132A7A">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623" w:type="pct"/>
            <w:noWrap w:val="0"/>
            <w:vAlign w:val="center"/>
          </w:tcPr>
          <w:p w14:paraId="650F12E3">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单价(元)</w:t>
            </w:r>
          </w:p>
        </w:tc>
        <w:tc>
          <w:tcPr>
            <w:tcW w:w="689" w:type="pct"/>
            <w:noWrap w:val="0"/>
            <w:vAlign w:val="center"/>
          </w:tcPr>
          <w:p w14:paraId="566244EA">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金额(元)</w:t>
            </w:r>
          </w:p>
        </w:tc>
      </w:tr>
      <w:tr w14:paraId="0C47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noWrap w:val="0"/>
            <w:vAlign w:val="center"/>
          </w:tcPr>
          <w:p w14:paraId="54F98670">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3" w:type="pct"/>
            <w:noWrap w:val="0"/>
            <w:vAlign w:val="center"/>
          </w:tcPr>
          <w:p w14:paraId="49E35C16">
            <w:pPr>
              <w:spacing w:line="360" w:lineRule="exact"/>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产品名称</w:t>
            </w:r>
            <w:r>
              <w:rPr>
                <w:rFonts w:hint="eastAsia" w:ascii="仿宋" w:hAnsi="仿宋" w:eastAsia="仿宋" w:cs="仿宋"/>
                <w:color w:val="auto"/>
                <w:sz w:val="24"/>
                <w:szCs w:val="24"/>
                <w:highlight w:val="none"/>
                <w:lang w:val="en-US" w:eastAsia="zh-CN"/>
              </w:rPr>
              <w:t>必须</w:t>
            </w:r>
            <w:r>
              <w:rPr>
                <w:rFonts w:hint="eastAsia" w:ascii="仿宋" w:hAnsi="仿宋" w:eastAsia="仿宋" w:cs="仿宋"/>
                <w:color w:val="auto"/>
                <w:sz w:val="24"/>
                <w:szCs w:val="24"/>
                <w:highlight w:val="none"/>
              </w:rPr>
              <w:t>与注册证一致</w:t>
            </w:r>
            <w:r>
              <w:rPr>
                <w:rFonts w:hint="eastAsia" w:ascii="仿宋" w:hAnsi="仿宋" w:eastAsia="仿宋" w:cs="仿宋"/>
                <w:color w:val="auto"/>
                <w:sz w:val="24"/>
                <w:szCs w:val="24"/>
                <w:highlight w:val="none"/>
                <w:lang w:eastAsia="zh-CN"/>
              </w:rPr>
              <w:t>）</w:t>
            </w:r>
          </w:p>
        </w:tc>
        <w:tc>
          <w:tcPr>
            <w:tcW w:w="633" w:type="pct"/>
            <w:noWrap w:val="0"/>
            <w:vAlign w:val="center"/>
          </w:tcPr>
          <w:p w14:paraId="4F99463F">
            <w:pPr>
              <w:spacing w:line="360" w:lineRule="exact"/>
              <w:outlineLvl w:val="9"/>
              <w:rPr>
                <w:rFonts w:hint="eastAsia" w:ascii="仿宋" w:hAnsi="仿宋" w:eastAsia="仿宋" w:cs="仿宋"/>
                <w:color w:val="auto"/>
                <w:sz w:val="24"/>
                <w:szCs w:val="24"/>
                <w:highlight w:val="none"/>
              </w:rPr>
            </w:pPr>
          </w:p>
        </w:tc>
        <w:tc>
          <w:tcPr>
            <w:tcW w:w="797" w:type="pct"/>
            <w:noWrap w:val="0"/>
            <w:vAlign w:val="center"/>
          </w:tcPr>
          <w:p w14:paraId="53A8D739">
            <w:pPr>
              <w:spacing w:line="36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（规格型号必须与注册证一致</w:t>
            </w:r>
            <w:r>
              <w:rPr>
                <w:rFonts w:hint="eastAsia" w:ascii="仿宋" w:hAnsi="仿宋" w:eastAsia="仿宋" w:cs="仿宋"/>
                <w:color w:val="auto"/>
                <w:sz w:val="24"/>
                <w:szCs w:val="24"/>
                <w:highlight w:val="none"/>
                <w:lang w:eastAsia="zh-CN"/>
              </w:rPr>
              <w:t>）</w:t>
            </w:r>
          </w:p>
        </w:tc>
        <w:tc>
          <w:tcPr>
            <w:tcW w:w="624" w:type="pct"/>
            <w:noWrap w:val="0"/>
            <w:vAlign w:val="center"/>
          </w:tcPr>
          <w:p w14:paraId="1663F2A7">
            <w:pPr>
              <w:spacing w:line="360" w:lineRule="exact"/>
              <w:jc w:val="center"/>
              <w:outlineLvl w:val="9"/>
              <w:rPr>
                <w:rFonts w:hint="eastAsia" w:ascii="仿宋" w:hAnsi="仿宋" w:eastAsia="仿宋" w:cs="仿宋"/>
                <w:color w:val="auto"/>
                <w:sz w:val="24"/>
                <w:szCs w:val="24"/>
                <w:highlight w:val="none"/>
              </w:rPr>
            </w:pPr>
          </w:p>
        </w:tc>
        <w:tc>
          <w:tcPr>
            <w:tcW w:w="613" w:type="pct"/>
            <w:noWrap w:val="0"/>
            <w:vAlign w:val="center"/>
          </w:tcPr>
          <w:p w14:paraId="59125831">
            <w:pPr>
              <w:spacing w:line="360" w:lineRule="exact"/>
              <w:jc w:val="center"/>
              <w:outlineLvl w:val="9"/>
              <w:rPr>
                <w:rFonts w:hint="eastAsia" w:ascii="仿宋" w:hAnsi="仿宋" w:eastAsia="仿宋" w:cs="仿宋"/>
                <w:color w:val="auto"/>
                <w:sz w:val="24"/>
                <w:szCs w:val="24"/>
                <w:highlight w:val="none"/>
              </w:rPr>
            </w:pPr>
          </w:p>
        </w:tc>
        <w:tc>
          <w:tcPr>
            <w:tcW w:w="623" w:type="pct"/>
            <w:noWrap w:val="0"/>
            <w:vAlign w:val="center"/>
          </w:tcPr>
          <w:p w14:paraId="35DD8B4C">
            <w:pPr>
              <w:spacing w:line="360" w:lineRule="exact"/>
              <w:jc w:val="center"/>
              <w:outlineLvl w:val="9"/>
              <w:rPr>
                <w:rFonts w:hint="eastAsia" w:ascii="仿宋" w:hAnsi="仿宋" w:eastAsia="仿宋" w:cs="仿宋"/>
                <w:color w:val="auto"/>
                <w:sz w:val="24"/>
                <w:szCs w:val="24"/>
                <w:highlight w:val="none"/>
              </w:rPr>
            </w:pPr>
          </w:p>
        </w:tc>
        <w:tc>
          <w:tcPr>
            <w:tcW w:w="689" w:type="pct"/>
            <w:noWrap w:val="0"/>
            <w:vAlign w:val="center"/>
          </w:tcPr>
          <w:p w14:paraId="7D839334">
            <w:pPr>
              <w:spacing w:line="360" w:lineRule="exact"/>
              <w:jc w:val="center"/>
              <w:outlineLvl w:val="9"/>
              <w:rPr>
                <w:rFonts w:hint="eastAsia" w:ascii="仿宋" w:hAnsi="仿宋" w:eastAsia="仿宋" w:cs="仿宋"/>
                <w:color w:val="auto"/>
                <w:sz w:val="24"/>
                <w:szCs w:val="24"/>
                <w:highlight w:val="none"/>
              </w:rPr>
            </w:pPr>
          </w:p>
        </w:tc>
      </w:tr>
      <w:tr w14:paraId="4B4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noWrap w:val="0"/>
            <w:vAlign w:val="center"/>
          </w:tcPr>
          <w:p w14:paraId="489F7594">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人民币合计金额（含税）(大写)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tc>
      </w:tr>
    </w:tbl>
    <w:p w14:paraId="55B0D552">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合同合计金额包括货物价款，备件、专用工具、安装、调试、检验、技术培训及技术资料和包装、运输、搬卸、税金、售后服务、软件升级等全部费用。如公告规定、采购文件及投标文件对其另有规定的，从其规定。</w:t>
      </w:r>
    </w:p>
    <w:p w14:paraId="103DC479">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 质量保证</w:t>
      </w:r>
    </w:p>
    <w:p w14:paraId="09ED0404">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乙方所提供的货物型号、技术规格、技术参数等应符合</w:t>
      </w:r>
      <w:r>
        <w:rPr>
          <w:rFonts w:hint="eastAsia" w:ascii="仿宋" w:hAnsi="仿宋" w:eastAsia="仿宋" w:cs="仿宋"/>
          <w:color w:val="auto"/>
          <w:sz w:val="24"/>
          <w:szCs w:val="24"/>
          <w:highlight w:val="none"/>
          <w:lang w:eastAsia="zh-Hans"/>
        </w:rPr>
        <w:t>国家标准、行业标准、地方标准等标准、规范（上述标准、规范有出入的，以较严格为准）</w:t>
      </w:r>
      <w:r>
        <w:rPr>
          <w:rFonts w:hint="eastAsia" w:ascii="仿宋" w:hAnsi="仿宋" w:eastAsia="仿宋" w:cs="仿宋"/>
          <w:color w:val="auto"/>
          <w:sz w:val="24"/>
          <w:szCs w:val="24"/>
          <w:highlight w:val="none"/>
        </w:rPr>
        <w:t>，并与公告规定、采购文件及投标文件承诺的质量相一致，以确保使用过程的安全有效</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454E4606">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乙方所提供的货物必须是全新、未使用的原装产品，且在正常安装、使用和保养条件下，其使用寿命期内各项指标均达到公告规定、采购文件或投标文件承诺的质量要求。</w:t>
      </w:r>
    </w:p>
    <w:p w14:paraId="07B6F705">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 权利保证</w:t>
      </w:r>
    </w:p>
    <w:p w14:paraId="447FEBC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乙方应保证所提供货物在使用时不会侵犯任何第三方的专利权、商标权、工业设计权或其他权利。</w:t>
      </w:r>
    </w:p>
    <w:p w14:paraId="786A7E54">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乙方应按公告规定、采购文件或投标文件承诺的时间向甲方提供使用货物的有关技术资料。</w:t>
      </w:r>
    </w:p>
    <w:p w14:paraId="6331A026">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该保密义务为永久性，不因本合同的解除、撤销、无效、终止而免除。</w:t>
      </w:r>
    </w:p>
    <w:p w14:paraId="0A004AFC">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乙方保证将要交付的货物的所有权完全属于乙方，且无任何抵押、质押、查封、留置等产权瑕疵。</w:t>
      </w:r>
    </w:p>
    <w:p w14:paraId="733DFEFE">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包装和运输</w:t>
      </w:r>
    </w:p>
    <w:p w14:paraId="2D1ED8DB">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乙方提供的货物均应按照公告规定、采购文件或投标文件承诺的包装材料、包装标准、包装方式进行包装，每一包装单元内应附详细的装箱单和质量合格证。</w:t>
      </w:r>
    </w:p>
    <w:p w14:paraId="6200D4CB">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货物的运输方式：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1"/>
          <w:sz w:val="24"/>
          <w:szCs w:val="24"/>
          <w:highlight w:val="none"/>
          <w:u w:val="single"/>
        </w:rPr>
        <w:t>不限</w:t>
      </w:r>
      <w:r>
        <w:rPr>
          <w:rFonts w:hint="eastAsia" w:ascii="仿宋" w:hAnsi="仿宋" w:eastAsia="仿宋" w:cs="仿宋"/>
          <w:color w:val="auto"/>
          <w:sz w:val="24"/>
          <w:szCs w:val="24"/>
          <w:highlight w:val="none"/>
          <w:u w:val="single"/>
        </w:rPr>
        <w:t xml:space="preserve">        </w:t>
      </w:r>
    </w:p>
    <w:p w14:paraId="206BE31D">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乙方负责货物运输及相关费用，货物运输合理损耗及计算方法：</w:t>
      </w:r>
      <w:r>
        <w:rPr>
          <w:rFonts w:hint="eastAsia" w:ascii="仿宋" w:hAnsi="仿宋" w:eastAsia="仿宋" w:cs="仿宋"/>
          <w:color w:val="auto"/>
          <w:sz w:val="24"/>
          <w:szCs w:val="24"/>
          <w:highlight w:val="none"/>
          <w:u w:val="single"/>
        </w:rPr>
        <w:t>货物运输保险费已包含在合同总价中，乙方须确保货物安全无损地运抵安装地点</w:t>
      </w:r>
      <w:r>
        <w:rPr>
          <w:rFonts w:hint="eastAsia" w:ascii="仿宋" w:hAnsi="仿宋" w:eastAsia="仿宋" w:cs="仿宋"/>
          <w:color w:val="auto"/>
          <w:sz w:val="24"/>
          <w:szCs w:val="24"/>
          <w:highlight w:val="none"/>
        </w:rPr>
        <w:t>。</w:t>
      </w:r>
    </w:p>
    <w:p w14:paraId="6527248A">
      <w:pPr>
        <w:spacing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第五条 交付和验收</w:t>
      </w:r>
    </w:p>
    <w:p w14:paraId="0AC17A5F">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rPr>
        <w:t xml:space="preserve">自合同签订之日起     天内全部货物交货并安装调试完毕  </w:t>
      </w:r>
      <w:r>
        <w:rPr>
          <w:rFonts w:hint="eastAsia" w:ascii="仿宋" w:hAnsi="仿宋" w:eastAsia="仿宋" w:cs="仿宋"/>
          <w:color w:val="auto"/>
          <w:sz w:val="24"/>
          <w:szCs w:val="24"/>
          <w:highlight w:val="none"/>
        </w:rPr>
        <w:t>。</w:t>
      </w:r>
    </w:p>
    <w:p w14:paraId="57D0E759">
      <w:pPr>
        <w:spacing w:line="360" w:lineRule="exact"/>
        <w:ind w:firstLine="720"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交货地点：</w:t>
      </w:r>
      <w:r>
        <w:rPr>
          <w:rFonts w:hint="eastAsia" w:ascii="仿宋" w:hAnsi="仿宋" w:eastAsia="仿宋" w:cs="仿宋"/>
          <w:color w:val="auto"/>
          <w:kern w:val="1"/>
          <w:sz w:val="24"/>
          <w:szCs w:val="24"/>
          <w:highlight w:val="none"/>
          <w:u w:val="single"/>
        </w:rPr>
        <w:t>甲方指定地点</w:t>
      </w:r>
      <w:r>
        <w:rPr>
          <w:rFonts w:hint="eastAsia" w:ascii="仿宋" w:hAnsi="仿宋" w:eastAsia="仿宋" w:cs="仿宋"/>
          <w:color w:val="auto"/>
          <w:sz w:val="24"/>
          <w:szCs w:val="24"/>
          <w:highlight w:val="none"/>
        </w:rPr>
        <w:t>。</w:t>
      </w:r>
    </w:p>
    <w:p w14:paraId="5C8C9237">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甲方对乙方提交的货物依据采购文件上的技术规格要求和国家有关质量标准进行现</w:t>
      </w:r>
      <w:r>
        <w:rPr>
          <w:rFonts w:hint="eastAsia" w:ascii="仿宋" w:hAnsi="仿宋" w:eastAsia="仿宋" w:cs="仿宋"/>
          <w:bCs/>
          <w:color w:val="auto"/>
          <w:sz w:val="24"/>
          <w:szCs w:val="24"/>
          <w:highlight w:val="none"/>
        </w:rPr>
        <w:t>场签收，外观、说明书符合采购文件技术要求的，给予签收，不合格的不予签收。该签收仅指外观、说明书符合采购文件技术要求而非认可货物验收合格。</w:t>
      </w:r>
    </w:p>
    <w:p w14:paraId="43D70FD9">
      <w:pPr>
        <w:numPr>
          <w:ilvl w:val="0"/>
          <w:numId w:val="6"/>
        </w:numPr>
        <w:snapToGrid w:val="0"/>
        <w:spacing w:before="120" w:after="120" w:line="360" w:lineRule="exact"/>
        <w:ind w:firstLine="480" w:firstLineChars="200"/>
        <w:jc w:val="left"/>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甲方如发现乙方所交付的货物有短装、次品、损坏或其它不符合</w:t>
      </w:r>
      <w:r>
        <w:rPr>
          <w:rFonts w:hint="eastAsia" w:ascii="仿宋" w:hAnsi="仿宋" w:eastAsia="仿宋" w:cs="仿宋"/>
          <w:color w:val="auto"/>
          <w:sz w:val="24"/>
          <w:szCs w:val="24"/>
          <w:highlight w:val="none"/>
        </w:rPr>
        <w:t>公告规定、采购文件、投标文件承诺、</w:t>
      </w:r>
      <w:r>
        <w:rPr>
          <w:rFonts w:hint="eastAsia" w:ascii="仿宋" w:hAnsi="仿宋" w:eastAsia="仿宋" w:cs="仿宋"/>
          <w:bCs/>
          <w:color w:val="auto"/>
          <w:sz w:val="24"/>
          <w:szCs w:val="24"/>
          <w:highlight w:val="none"/>
        </w:rPr>
        <w:t>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r>
        <w:rPr>
          <w:rFonts w:hint="eastAsia" w:ascii="仿宋" w:hAnsi="仿宋" w:eastAsia="仿宋" w:cs="仿宋"/>
          <w:bCs/>
          <w:color w:val="auto"/>
          <w:sz w:val="24"/>
          <w:szCs w:val="24"/>
          <w:highlight w:val="none"/>
          <w:lang w:val="en-US" w:eastAsia="zh-CN"/>
        </w:rPr>
        <w:t>如乙方</w:t>
      </w:r>
      <w:r>
        <w:rPr>
          <w:rFonts w:hint="eastAsia" w:ascii="仿宋" w:hAnsi="仿宋" w:eastAsia="仿宋" w:cs="仿宋"/>
          <w:bCs/>
          <w:color w:val="auto"/>
          <w:sz w:val="24"/>
          <w:szCs w:val="24"/>
          <w:highlight w:val="none"/>
        </w:rPr>
        <w:t>补充、更换的货物</w:t>
      </w:r>
      <w:r>
        <w:rPr>
          <w:rFonts w:hint="eastAsia" w:ascii="仿宋" w:hAnsi="仿宋" w:eastAsia="仿宋" w:cs="仿宋"/>
          <w:bCs/>
          <w:color w:val="auto"/>
          <w:sz w:val="24"/>
          <w:szCs w:val="24"/>
          <w:highlight w:val="none"/>
          <w:lang w:val="en-US" w:eastAsia="zh-CN"/>
        </w:rPr>
        <w:t>仍然</w:t>
      </w:r>
      <w:r>
        <w:rPr>
          <w:rFonts w:hint="eastAsia" w:ascii="仿宋" w:hAnsi="仿宋" w:eastAsia="仿宋" w:cs="仿宋"/>
          <w:bCs/>
          <w:color w:val="auto"/>
          <w:sz w:val="24"/>
          <w:szCs w:val="24"/>
          <w:highlight w:val="none"/>
        </w:rPr>
        <w:t>不符合公告规定、采购文件、投标文件承诺、本合同规定之情形的</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视为验收不合格。</w:t>
      </w:r>
    </w:p>
    <w:p w14:paraId="13E62E45">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bCs/>
          <w:color w:val="auto"/>
          <w:sz w:val="24"/>
          <w:szCs w:val="24"/>
          <w:highlight w:val="none"/>
        </w:rPr>
        <w:t>乙方交货前应对拟提交的货物作出全面检查和对验收文件进行整理，并列出清单，作为甲方收货验收和使用的技术条件依据，检验的结果同样应随货物交甲方。同时，</w:t>
      </w:r>
      <w:r>
        <w:rPr>
          <w:rFonts w:hint="eastAsia" w:ascii="仿宋" w:hAnsi="仿宋" w:eastAsia="仿宋" w:cs="仿宋"/>
          <w:color w:val="auto"/>
          <w:sz w:val="24"/>
          <w:szCs w:val="24"/>
          <w:highlight w:val="none"/>
        </w:rPr>
        <w:t>乙方应将所提供货物的装箱清单、用户手册、原厂保修卡、随机资料、工具和备品、备件等一并交付给甲方。</w:t>
      </w:r>
      <w:r>
        <w:rPr>
          <w:rFonts w:hint="eastAsia" w:ascii="仿宋" w:hAnsi="仿宋" w:eastAsia="仿宋" w:cs="仿宋"/>
          <w:bCs/>
          <w:color w:val="auto"/>
          <w:sz w:val="24"/>
          <w:szCs w:val="24"/>
          <w:highlight w:val="none"/>
        </w:rPr>
        <w:t>乙方不能完整交付货物及本款规定的单证和工具的，必须负责补齐，否则视为逾期交货。</w:t>
      </w:r>
    </w:p>
    <w:p w14:paraId="6D3D1131">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乙方需负责货物的安装、调试，并培训甲方的使用操作人员，直到设备运行符合技术要求，甲方方可验收。</w:t>
      </w:r>
    </w:p>
    <w:p w14:paraId="2BFB4868">
      <w:pPr>
        <w:numPr>
          <w:ilvl w:val="0"/>
          <w:numId w:val="7"/>
        </w:num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甲方应当在到货并安装、调试完后</w:t>
      </w:r>
      <w:bookmarkStart w:id="161" w:name="OLE_LINK12"/>
      <w:bookmarkStart w:id="162" w:name="OLE_LINK11"/>
      <w:r>
        <w:rPr>
          <w:rFonts w:hint="eastAsia" w:ascii="仿宋" w:hAnsi="仿宋" w:eastAsia="仿宋" w:cs="仿宋"/>
          <w:color w:val="auto"/>
          <w:sz w:val="24"/>
          <w:szCs w:val="24"/>
          <w:highlight w:val="none"/>
        </w:rPr>
        <w:t>一个月内进行验收</w:t>
      </w:r>
      <w:bookmarkEnd w:id="161"/>
      <w:bookmarkEnd w:id="162"/>
      <w:r>
        <w:rPr>
          <w:rFonts w:hint="eastAsia" w:ascii="仿宋" w:hAnsi="仿宋" w:eastAsia="仿宋" w:cs="仿宋"/>
          <w:color w:val="auto"/>
          <w:sz w:val="24"/>
          <w:szCs w:val="24"/>
          <w:highlight w:val="none"/>
        </w:rPr>
        <w:t>，逾期不验收的，亦不免除乙方质量保证责任。甲方组织验收，</w:t>
      </w:r>
      <w:r>
        <w:rPr>
          <w:rFonts w:hint="eastAsia" w:ascii="仿宋" w:hAnsi="仿宋" w:eastAsia="仿宋" w:cs="仿宋"/>
          <w:bCs/>
          <w:color w:val="auto"/>
          <w:sz w:val="24"/>
          <w:szCs w:val="24"/>
          <w:highlight w:val="none"/>
        </w:rPr>
        <w:t>乙方必须到场</w:t>
      </w:r>
      <w:r>
        <w:rPr>
          <w:rFonts w:hint="eastAsia" w:ascii="仿宋" w:hAnsi="仿宋" w:eastAsia="仿宋" w:cs="仿宋"/>
          <w:color w:val="auto"/>
          <w:sz w:val="24"/>
          <w:szCs w:val="24"/>
          <w:highlight w:val="none"/>
        </w:rPr>
        <w:t>配合，验收合格后由甲乙双方签署货物验收单并加盖双方公章，甲乙双方各执一份。对技术复杂的货物，甲方可请国家认可的专业检测机构参与验收，费用由乙方承担。</w:t>
      </w:r>
    </w:p>
    <w:p w14:paraId="0DB1D899">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7427635F">
      <w:pPr>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甲方对验收有异议的，在验收后五个工作日内以书面形式向乙方提出，乙方应自收到甲方书面异议后三日内及时予以解决，乙方不予答复或未予以实质解决的，视为认可甲方异议及处置意见。</w:t>
      </w:r>
    </w:p>
    <w:p w14:paraId="3C431306">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01C957F6">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 安装和培训</w:t>
      </w:r>
    </w:p>
    <w:p w14:paraId="3CC23B55">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甲方应提供必要安装条件（如场地、电源、水源等）。乙方应在到货之日起</w:t>
      </w:r>
      <w:r>
        <w:rPr>
          <w:rFonts w:hint="eastAsia" w:ascii="仿宋" w:hAnsi="仿宋" w:eastAsia="仿宋" w:cs="仿宋"/>
          <w:color w:val="auto"/>
          <w:sz w:val="24"/>
          <w:szCs w:val="24"/>
          <w:highlight w:val="none"/>
          <w:u w:val="single"/>
        </w:rPr>
        <w:t xml:space="preserve"> 5</w:t>
      </w:r>
      <w:r>
        <w:rPr>
          <w:rFonts w:hint="eastAsia" w:ascii="仿宋" w:hAnsi="仿宋" w:eastAsia="仿宋" w:cs="仿宋"/>
          <w:i/>
          <w:iCs/>
          <w:color w:val="auto"/>
          <w:sz w:val="24"/>
          <w:szCs w:val="24"/>
          <w:highlight w:val="none"/>
          <w:u w:val="single"/>
        </w:rPr>
        <w:t xml:space="preserve"> </w:t>
      </w:r>
      <w:r>
        <w:rPr>
          <w:rFonts w:hint="eastAsia" w:ascii="仿宋" w:hAnsi="仿宋" w:eastAsia="仿宋" w:cs="仿宋"/>
          <w:color w:val="auto"/>
          <w:sz w:val="24"/>
          <w:szCs w:val="24"/>
          <w:highlight w:val="none"/>
        </w:rPr>
        <w:t>个工作日内对货物进行安装、调试。</w:t>
      </w:r>
    </w:p>
    <w:p w14:paraId="5D1AEB07">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乙方负责甲方有关人员的培训</w:t>
      </w:r>
      <w:r>
        <w:rPr>
          <w:rFonts w:hint="eastAsia" w:ascii="仿宋" w:hAnsi="仿宋" w:eastAsia="仿宋" w:cs="仿宋"/>
          <w:color w:val="auto"/>
          <w:sz w:val="24"/>
          <w:szCs w:val="24"/>
          <w:highlight w:val="none"/>
          <w:lang w:eastAsia="zh-Hans"/>
        </w:rPr>
        <w:t>，具体培训时间由甲方予以确定</w:t>
      </w:r>
      <w:r>
        <w:rPr>
          <w:rFonts w:hint="eastAsia" w:ascii="仿宋" w:hAnsi="仿宋" w:eastAsia="仿宋" w:cs="仿宋"/>
          <w:color w:val="auto"/>
          <w:sz w:val="24"/>
          <w:szCs w:val="24"/>
          <w:highlight w:val="none"/>
        </w:rPr>
        <w:t>。</w:t>
      </w:r>
    </w:p>
    <w:p w14:paraId="348F3941">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 售后服务、质保期</w:t>
      </w:r>
    </w:p>
    <w:p w14:paraId="226574FB">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乙方应按照国家有关法律法规和“三包”规定以及公告、采购文件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投标文件和本合同所附的《服务承诺》，为甲方提供售后服务。</w:t>
      </w:r>
    </w:p>
    <w:p w14:paraId="5152400C">
      <w:pPr>
        <w:spacing w:after="124" w:afterLines="40" w:line="36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货物保修期：</w:t>
      </w:r>
      <w:r>
        <w:rPr>
          <w:rFonts w:hint="eastAsia" w:ascii="仿宋" w:hAnsi="仿宋" w:eastAsia="仿宋" w:cs="仿宋"/>
          <w:color w:val="auto"/>
          <w:sz w:val="24"/>
          <w:szCs w:val="24"/>
          <w:highlight w:val="none"/>
          <w:u w:val="single"/>
        </w:rPr>
        <w:t xml:space="preserve">  自验收合格之日起   年。</w:t>
      </w:r>
      <w:r>
        <w:rPr>
          <w:rFonts w:hint="eastAsia" w:ascii="仿宋" w:hAnsi="仿宋" w:eastAsia="仿宋" w:cs="仿宋"/>
          <w:color w:val="auto"/>
          <w:sz w:val="24"/>
          <w:szCs w:val="24"/>
          <w:highlight w:val="none"/>
          <w:u w:val="single"/>
          <w:lang w:val="en-US" w:eastAsia="zh-CN"/>
        </w:rPr>
        <w:t xml:space="preserve">  </w:t>
      </w:r>
    </w:p>
    <w:p w14:paraId="66977168">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1"/>
          <w:sz w:val="24"/>
          <w:szCs w:val="24"/>
          <w:highlight w:val="none"/>
        </w:rPr>
        <w:t xml:space="preserve">. </w:t>
      </w:r>
      <w:r>
        <w:rPr>
          <w:rFonts w:hint="eastAsia" w:ascii="仿宋" w:hAnsi="仿宋" w:eastAsia="仿宋" w:cs="仿宋"/>
          <w:color w:val="auto"/>
          <w:sz w:val="24"/>
          <w:szCs w:val="24"/>
          <w:highlight w:val="none"/>
        </w:rPr>
        <w:t>乙方提供的服务承诺和售后服务及质保期责任等其它具体约定事项（见合同附件)。</w:t>
      </w:r>
    </w:p>
    <w:p w14:paraId="2E5DF0B7">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 付款方式</w:t>
      </w:r>
    </w:p>
    <w:p w14:paraId="153577D6">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当采购数量与实际使用数量不一致时，乙方应根据实际使用量供货，合同的最终结算金额按实际使用量乘以中标单价进行计算。如最终结算金额超过本合同约定合计金额的，双方应在不改变本合同其他条款的情况下签订补充合同，否则甲方有权拒绝支付超过部分的合同款且无须承担违约责任，但所有补充合同的采购金额不得超过本合同约定合计金额的10%。</w:t>
      </w:r>
    </w:p>
    <w:p w14:paraId="6D8EE199">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rPr>
        <w:t>2. 付款方式：</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支付合同金额的30%作为预付款，</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所有货物交货安装调试完毕并验收合格后支付剩余合同款。每次支付前，</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需开具合法有效的全额发票，</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未开具合法有效的全额发票的，</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有权不支付合同款。</w:t>
      </w:r>
    </w:p>
    <w:p w14:paraId="10DDC43E">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 履约保证金</w:t>
      </w:r>
    </w:p>
    <w:p w14:paraId="1E1BAF3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u w:val="single"/>
        </w:rPr>
      </w:pPr>
      <w:r>
        <w:rPr>
          <w:rFonts w:hint="eastAsia" w:ascii="仿宋" w:hAnsi="仿宋" w:eastAsia="仿宋" w:cs="仿宋"/>
          <w:color w:val="auto"/>
          <w:kern w:val="1"/>
          <w:sz w:val="24"/>
          <w:szCs w:val="24"/>
          <w:highlight w:val="none"/>
          <w:u w:val="none"/>
        </w:rPr>
        <w:t>履约保证金：</w:t>
      </w:r>
      <w:r>
        <w:rPr>
          <w:rFonts w:hint="eastAsia" w:ascii="仿宋" w:hAnsi="仿宋" w:eastAsia="仿宋" w:cs="仿宋"/>
          <w:color w:val="auto"/>
          <w:kern w:val="1"/>
          <w:sz w:val="24"/>
          <w:szCs w:val="24"/>
          <w:highlight w:val="none"/>
          <w:u w:val="single"/>
        </w:rPr>
        <w:t>按中标金额的</w:t>
      </w:r>
      <w:r>
        <w:rPr>
          <w:rFonts w:hint="eastAsia" w:ascii="仿宋" w:hAnsi="仿宋" w:eastAsia="仿宋" w:cs="仿宋"/>
          <w:color w:val="auto"/>
          <w:kern w:val="1"/>
          <w:sz w:val="24"/>
          <w:szCs w:val="24"/>
          <w:highlight w:val="none"/>
          <w:u w:val="single"/>
          <w:lang w:val="en-US" w:eastAsia="zh-CN"/>
        </w:rPr>
        <w:t>5</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(如为中小微企业按2%计算)</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val="en-US" w:eastAsia="zh-CN"/>
        </w:rPr>
        <w:t>人民币</w:t>
      </w:r>
      <w:r>
        <w:rPr>
          <w:rFonts w:hint="eastAsia"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lang w:val="en-US" w:eastAsia="zh-CN"/>
        </w:rPr>
        <w:t xml:space="preserve">   元</w:t>
      </w:r>
      <w:r>
        <w:rPr>
          <w:rFonts w:hint="eastAsia" w:ascii="仿宋" w:hAnsi="仿宋" w:eastAsia="仿宋" w:cs="仿宋"/>
          <w:color w:val="auto"/>
          <w:kern w:val="1"/>
          <w:sz w:val="24"/>
          <w:szCs w:val="24"/>
          <w:highlight w:val="none"/>
          <w:u w:val="single"/>
        </w:rPr>
        <w:t>（¥      ）。</w:t>
      </w:r>
    </w:p>
    <w:p w14:paraId="626F1FF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4"/>
          <w:szCs w:val="24"/>
          <w:highlight w:val="none"/>
        </w:rPr>
        <w:t>履约保证金递交方式：银行转账或电汇</w:t>
      </w:r>
      <w:r>
        <w:rPr>
          <w:rFonts w:hint="eastAsia" w:ascii="仿宋" w:hAnsi="仿宋" w:eastAsia="仿宋" w:cs="仿宋"/>
          <w:color w:val="auto"/>
          <w:kern w:val="1"/>
          <w:sz w:val="24"/>
          <w:szCs w:val="24"/>
          <w:highlight w:val="none"/>
          <w:lang w:eastAsia="zh-CN"/>
        </w:rPr>
        <w:t>。</w:t>
      </w:r>
    </w:p>
    <w:p w14:paraId="064E34E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备注：在签订合同之前，乙方需把履约保证金足额交到甲方指定账户。未提交履约保证金的，不予签订本合同。履约保证金自项目验收合格后，待乙方履行完质保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45AED3E2">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履约保证金指定账户：</w:t>
      </w:r>
    </w:p>
    <w:p w14:paraId="2EA65FD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开户名称：广西壮族自治区人民医院</w:t>
      </w:r>
    </w:p>
    <w:p w14:paraId="2FB3B7B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开户银行：中国民生银行股份有限公司南宁金湖支行</w:t>
      </w:r>
    </w:p>
    <w:p w14:paraId="019E63A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履约保证金的银行账户为：6313 33260</w:t>
      </w:r>
    </w:p>
    <w:p w14:paraId="16C55A5C">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 税费</w:t>
      </w:r>
    </w:p>
    <w:p w14:paraId="19F07B59">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14:paraId="159B0800">
      <w:pPr>
        <w:spacing w:after="124" w:afterLines="40" w:line="360" w:lineRule="exact"/>
        <w:ind w:firstLine="482"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第十一条 质量保证及售后服务</w:t>
      </w:r>
    </w:p>
    <w:p w14:paraId="6A053C69">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60E684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（1）更换：产品出现质量问题、经乙方</w:t>
      </w:r>
      <w:r>
        <w:rPr>
          <w:rFonts w:hint="eastAsia" w:ascii="仿宋" w:hAnsi="仿宋" w:eastAsia="仿宋" w:cs="仿宋"/>
          <w:color w:val="auto"/>
          <w:kern w:val="1"/>
          <w:sz w:val="24"/>
          <w:szCs w:val="24"/>
          <w:highlight w:val="none"/>
          <w:u w:val="none"/>
        </w:rPr>
        <w:t>1</w:t>
      </w:r>
      <w:r>
        <w:rPr>
          <w:rFonts w:hint="eastAsia" w:ascii="仿宋" w:hAnsi="仿宋" w:eastAsia="仿宋" w:cs="仿宋"/>
          <w:color w:val="auto"/>
          <w:kern w:val="1"/>
          <w:sz w:val="24"/>
          <w:szCs w:val="24"/>
          <w:highlight w:val="none"/>
        </w:rPr>
        <w:t>次维修仍不能达到合同约定的质量标准的，甲方有权更换，并由乙方承担所发生的全部费用。</w:t>
      </w:r>
    </w:p>
    <w:p w14:paraId="73C4E50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（2）贬值处理：</w:t>
      </w:r>
      <w:r>
        <w:rPr>
          <w:rFonts w:hint="eastAsia" w:ascii="仿宋" w:hAnsi="仿宋" w:eastAsia="仿宋" w:cs="仿宋"/>
          <w:color w:val="auto"/>
          <w:kern w:val="1"/>
          <w:sz w:val="24"/>
          <w:szCs w:val="24"/>
          <w:highlight w:val="none"/>
          <w:lang w:eastAsia="zh-Hans"/>
        </w:rPr>
        <w:t>因乙方</w:t>
      </w:r>
      <w:r>
        <w:rPr>
          <w:rFonts w:hint="eastAsia" w:ascii="仿宋" w:hAnsi="仿宋" w:eastAsia="仿宋" w:cs="仿宋"/>
          <w:color w:val="auto"/>
          <w:kern w:val="1"/>
          <w:sz w:val="24"/>
          <w:szCs w:val="24"/>
          <w:highlight w:val="none"/>
        </w:rPr>
        <w:t>产品出现质量问题</w:t>
      </w:r>
      <w:r>
        <w:rPr>
          <w:rFonts w:hint="eastAsia" w:ascii="仿宋" w:hAnsi="仿宋" w:eastAsia="仿宋" w:cs="仿宋"/>
          <w:color w:val="auto"/>
          <w:kern w:val="1"/>
          <w:sz w:val="24"/>
          <w:szCs w:val="24"/>
          <w:highlight w:val="none"/>
          <w:lang w:eastAsia="zh-Hans"/>
        </w:rPr>
        <w:t>造成退换货产生的贬值由乙方自行承担</w:t>
      </w:r>
      <w:r>
        <w:rPr>
          <w:rFonts w:hint="eastAsia" w:ascii="仿宋" w:hAnsi="仿宋" w:eastAsia="仿宋" w:cs="仿宋"/>
          <w:color w:val="auto"/>
          <w:kern w:val="1"/>
          <w:sz w:val="24"/>
          <w:szCs w:val="24"/>
          <w:highlight w:val="none"/>
        </w:rPr>
        <w:t>。</w:t>
      </w:r>
    </w:p>
    <w:p w14:paraId="2D97ED7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1E3B797">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如在使用过程中出现故障，乙方应在接到甲方通知后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小时内响应，</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小时内解决故障，否则须在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作日内提供与原设备技术参数要求相同或高于原设备技术参数要求的备用产品，以保证甲方的正常工作。乙方在接到甲方通知后拒不响应或解决故障的，甲方有权聘请第三方进行维修，由此产生的费用由乙方承担。</w:t>
      </w:r>
    </w:p>
    <w:p w14:paraId="62FFDB51">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在质保期内，乙方应对货物出现的质量及安全问题负责处理解决并承担一切费用。如有产品质量争议，则按照国家相关法律法规及行业标准</w:t>
      </w:r>
      <w:r>
        <w:rPr>
          <w:rFonts w:hint="eastAsia" w:ascii="仿宋" w:hAnsi="仿宋" w:eastAsia="仿宋" w:cs="仿宋"/>
          <w:color w:val="auto"/>
          <w:sz w:val="24"/>
          <w:szCs w:val="24"/>
          <w:highlight w:val="none"/>
          <w:lang w:eastAsia="zh-Hans"/>
        </w:rPr>
        <w:t>、地方标准等标准、规范解决（上述标准、规范有出入的，以较严格为准）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Hans"/>
        </w:rPr>
        <w:t>如采购文件中明确对货物提出更高的技术要求的，乙方还应当确保符合采购文件提出的技术要求</w:t>
      </w:r>
      <w:r>
        <w:rPr>
          <w:rFonts w:hint="eastAsia" w:ascii="仿宋" w:hAnsi="仿宋" w:eastAsia="仿宋" w:cs="仿宋"/>
          <w:color w:val="auto"/>
          <w:sz w:val="24"/>
          <w:szCs w:val="24"/>
          <w:highlight w:val="none"/>
        </w:rPr>
        <w:t>。</w:t>
      </w:r>
    </w:p>
    <w:p w14:paraId="4FC3B4DF">
      <w:pPr>
        <w:snapToGrid w:val="0"/>
        <w:spacing w:before="120" w:after="12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上述的货物因人为因素出现的故障不在免费保修范围内。超过质保期的机器设备，终生维修，维修时只收取部件成本费。</w:t>
      </w:r>
    </w:p>
    <w:p w14:paraId="694A8B22">
      <w:pPr>
        <w:snapToGrid w:val="0"/>
        <w:spacing w:before="120" w:after="120" w:line="360" w:lineRule="exact"/>
        <w:ind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第十二条 货物包装、发运及运输</w:t>
      </w:r>
    </w:p>
    <w:p w14:paraId="79D978B5">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乙方应在货物发运前对其进行满足运输距离、防潮、防震、防锈和防破损装卸等要求包装，以保证货物安全运达甲方指定地点。</w:t>
      </w:r>
    </w:p>
    <w:p w14:paraId="40752E97">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使用说明书、质量检验证明书、随配附件和工具以及清单一并附于货物内。</w:t>
      </w:r>
    </w:p>
    <w:p w14:paraId="1C20C33C">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乙方在货物发运手续办理完毕后二十四小时内或货到甲方四十八小时前通知甲方，以准备接货。</w:t>
      </w:r>
    </w:p>
    <w:p w14:paraId="3E7BF45C">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货物在交付甲方签收前发生的风险均由乙方负责。</w:t>
      </w:r>
    </w:p>
    <w:p w14:paraId="0BEAC53D">
      <w:pPr>
        <w:snapToGrid w:val="0"/>
        <w:spacing w:before="120" w:after="120" w:line="36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货物在规定的交付期限内由乙方送达甲方指定的地点。</w:t>
      </w:r>
    </w:p>
    <w:p w14:paraId="257BCD00">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违约责任</w:t>
      </w:r>
    </w:p>
    <w:p w14:paraId="154909CF">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乙方所提供的货物规格、技术标准、材料、品牌等不符合采购文件、投标文件、国家质量标准、行业质量标准的，应在</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15 </w:t>
      </w:r>
      <w:r>
        <w:rPr>
          <w:rFonts w:hint="eastAsia" w:ascii="仿宋" w:hAnsi="仿宋" w:eastAsia="仿宋" w:cs="仿宋"/>
          <w:color w:val="auto"/>
          <w:kern w:val="1"/>
          <w:sz w:val="24"/>
          <w:szCs w:val="24"/>
          <w:highlight w:val="none"/>
        </w:rPr>
        <w:t>个工作日内更换，换货期间计入乙方交货时间，如因换货导致逾期交货的，乙方应承担相应违约责任。乙方拒绝更换或更换货物后仍不符合本合同约定</w:t>
      </w:r>
      <w:r>
        <w:rPr>
          <w:rFonts w:hint="eastAsia" w:ascii="仿宋" w:hAnsi="仿宋" w:eastAsia="仿宋" w:cs="仿宋"/>
          <w:color w:val="auto"/>
          <w:kern w:val="1"/>
          <w:sz w:val="24"/>
          <w:szCs w:val="24"/>
          <w:highlight w:val="none"/>
          <w:lang w:val="en-US" w:eastAsia="zh-CN"/>
        </w:rPr>
        <w:t>或验收不合格</w:t>
      </w:r>
      <w:r>
        <w:rPr>
          <w:rFonts w:hint="eastAsia" w:ascii="仿宋" w:hAnsi="仿宋" w:eastAsia="仿宋" w:cs="仿宋"/>
          <w:color w:val="auto"/>
          <w:kern w:val="1"/>
          <w:sz w:val="24"/>
          <w:szCs w:val="24"/>
          <w:highlight w:val="none"/>
        </w:rPr>
        <w:t>的，该货物的价款不计入结算金额（或从合同合计金额中扣除），且乙方应按合同合计金额的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向甲方支付违约金；乙方所提供的货物仅存在不影响使用的质量瑕疵且特殊情况下甲方同意接收的，乙方应向甲方支付违约货款额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的违约金。</w:t>
      </w:r>
    </w:p>
    <w:p w14:paraId="058C45A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如侵犯了第三方合法权益（包括但不限于知识产权、所有权、用益物权、担保物权等）而引发的任何纠纷或诉讼，均由乙方负责交涉并承担全部责任。在处理纠纷或诉讼的过程中，乙方应为甲方取得继续使用该货物的权利，或者将该货物替换或修改，以便使用该货物不再侵权。如果乙方不能合理地完成这些补救措施，并且甲方必须停止使用侵权的货物，甲方有权解除合同，要求乙方需退还甲方已付价款，没收履约保证金，并有权要求乙方按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29C19CC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因包装、运输引起的货物损坏，</w:t>
      </w:r>
      <w:r>
        <w:rPr>
          <w:rFonts w:hint="eastAsia" w:ascii="仿宋" w:hAnsi="仿宋" w:eastAsia="仿宋" w:cs="仿宋"/>
          <w:color w:val="auto"/>
          <w:kern w:val="1"/>
          <w:sz w:val="24"/>
          <w:szCs w:val="24"/>
          <w:highlight w:val="none"/>
          <w:lang w:eastAsia="zh-Hans"/>
        </w:rPr>
        <w:t>甲方有权选择不予接收或</w:t>
      </w:r>
      <w:r>
        <w:rPr>
          <w:rFonts w:hint="eastAsia" w:ascii="仿宋" w:hAnsi="仿宋" w:eastAsia="仿宋" w:cs="仿宋"/>
          <w:color w:val="auto"/>
          <w:kern w:val="1"/>
          <w:sz w:val="24"/>
          <w:szCs w:val="24"/>
          <w:highlight w:val="none"/>
        </w:rPr>
        <w:t>按质量不合格要求乙方承担相应违约责任。</w:t>
      </w:r>
    </w:p>
    <w:p w14:paraId="1BADC5A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甲方无故延期接收货物的</w:t>
      </w:r>
      <w:r>
        <w:rPr>
          <w:rFonts w:hint="eastAsia" w:ascii="仿宋" w:hAnsi="仿宋" w:eastAsia="仿宋" w:cs="仿宋"/>
          <w:color w:val="auto"/>
          <w:sz w:val="24"/>
          <w:szCs w:val="24"/>
          <w:highlight w:val="none"/>
        </w:rPr>
        <w:t>，需补偿乙方因此增加的直接成本。</w:t>
      </w:r>
      <w:r>
        <w:rPr>
          <w:rFonts w:hint="eastAsia" w:ascii="仿宋" w:hAnsi="仿宋" w:eastAsia="仿宋" w:cs="仿宋"/>
          <w:color w:val="auto"/>
          <w:kern w:val="1"/>
          <w:sz w:val="24"/>
          <w:szCs w:val="24"/>
          <w:highlight w:val="none"/>
        </w:rPr>
        <w:t>乙方逾期交货的，每天向甲方偿付违约货款额</w:t>
      </w:r>
      <w:r>
        <w:rPr>
          <w:rFonts w:hint="eastAsia" w:ascii="仿宋" w:hAnsi="仿宋" w:eastAsia="仿宋" w:cs="仿宋"/>
          <w:color w:val="auto"/>
          <w:kern w:val="1"/>
          <w:sz w:val="24"/>
          <w:szCs w:val="24"/>
          <w:highlight w:val="none"/>
          <w:u w:val="none"/>
        </w:rPr>
        <w:t>0.4‰</w:t>
      </w:r>
      <w:r>
        <w:rPr>
          <w:rFonts w:hint="eastAsia" w:ascii="仿宋" w:hAnsi="仿宋" w:eastAsia="仿宋" w:cs="仿宋"/>
          <w:color w:val="auto"/>
          <w:kern w:val="1"/>
          <w:sz w:val="24"/>
          <w:szCs w:val="24"/>
          <w:highlight w:val="none"/>
        </w:rPr>
        <w:t>的违约金，超过</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天甲方有权解除合同；甲方延期付货款的，每天向乙方偿付延期货款额</w:t>
      </w:r>
      <w:r>
        <w:rPr>
          <w:rFonts w:hint="eastAsia" w:ascii="仿宋" w:hAnsi="仿宋" w:eastAsia="仿宋" w:cs="仿宋"/>
          <w:color w:val="auto"/>
          <w:kern w:val="1"/>
          <w:sz w:val="24"/>
          <w:szCs w:val="24"/>
          <w:highlight w:val="none"/>
          <w:u w:val="none"/>
        </w:rPr>
        <w:t>0.1‰</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，但</w:t>
      </w:r>
      <w:r>
        <w:rPr>
          <w:rFonts w:hint="eastAsia" w:ascii="仿宋" w:hAnsi="仿宋" w:eastAsia="仿宋" w:cs="仿宋"/>
          <w:color w:val="auto"/>
          <w:kern w:val="1"/>
          <w:sz w:val="24"/>
          <w:szCs w:val="24"/>
          <w:highlight w:val="none"/>
          <w:lang w:val="en-US" w:eastAsia="zh-CN"/>
        </w:rPr>
        <w:t>违约金</w:t>
      </w:r>
      <w:r>
        <w:rPr>
          <w:rFonts w:hint="eastAsia" w:ascii="仿宋" w:hAnsi="仿宋" w:eastAsia="仿宋" w:cs="仿宋"/>
          <w:color w:val="auto"/>
          <w:kern w:val="1"/>
          <w:sz w:val="24"/>
          <w:szCs w:val="24"/>
          <w:highlight w:val="none"/>
        </w:rPr>
        <w:t>累计不得超过延期货款额</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。乙方逾期交付货物核心部件导致货物无法使用的，乙方须赔偿甲方所受到的全部损失（包括但不限于：替代物购置及安装费用等）并按本合同合计金额的</w:t>
      </w:r>
      <w:r>
        <w:rPr>
          <w:rFonts w:hint="eastAsia" w:ascii="仿宋" w:hAnsi="仿宋" w:eastAsia="仿宋" w:cs="仿宋"/>
          <w:color w:val="auto"/>
          <w:kern w:val="1"/>
          <w:sz w:val="24"/>
          <w:szCs w:val="24"/>
          <w:highlight w:val="none"/>
          <w:u w:val="none"/>
        </w:rPr>
        <w:t>30%</w:t>
      </w:r>
      <w:r>
        <w:rPr>
          <w:rFonts w:hint="eastAsia" w:ascii="仿宋" w:hAnsi="仿宋" w:eastAsia="仿宋" w:cs="仿宋"/>
          <w:color w:val="auto"/>
          <w:kern w:val="1"/>
          <w:sz w:val="24"/>
          <w:szCs w:val="24"/>
          <w:highlight w:val="none"/>
        </w:rPr>
        <w:t>支付违约金。</w:t>
      </w:r>
    </w:p>
    <w:p w14:paraId="59EE8EB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5.</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乙方未按本合同和投标文件中规定的服务承诺提供售后服务的，每出现一次，乙方应按本合同合计金额的</w:t>
      </w:r>
      <w:r>
        <w:rPr>
          <w:rFonts w:hint="eastAsia" w:ascii="仿宋" w:hAnsi="仿宋" w:eastAsia="仿宋" w:cs="仿宋"/>
          <w:color w:val="auto"/>
          <w:kern w:val="1"/>
          <w:sz w:val="24"/>
          <w:szCs w:val="24"/>
          <w:highlight w:val="none"/>
          <w:u w:val="none"/>
        </w:rPr>
        <w:t>5%</w:t>
      </w:r>
      <w:r>
        <w:rPr>
          <w:rFonts w:hint="eastAsia" w:ascii="仿宋" w:hAnsi="仿宋" w:eastAsia="仿宋" w:cs="仿宋"/>
          <w:color w:val="auto"/>
          <w:kern w:val="1"/>
          <w:sz w:val="24"/>
          <w:szCs w:val="24"/>
          <w:highlight w:val="none"/>
        </w:rPr>
        <w:t>向甲方支付违约金，同时甲方有权根据本合同第十一条第2项的约定自行交由第三方提供售后服务，乙方每次除向甲方支付违约金外，还需承担甲方为此支出的配件费、工时费等一切售后服务相关费用。</w:t>
      </w:r>
    </w:p>
    <w:p w14:paraId="2C61F6A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6.</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提供的货物在质量保证期内，因设计、工艺或材料的缺陷和其它质量原因造成甲方人员（含经允许进入甲方场地的第三人）、该货物之外的其他物品受到伤害（损坏）的，由乙方负责承担由此产生的一切赔偿责任。赔偿款从履约保证金中扣除，履约保证金不足以支付的，由乙方另行支付。</w:t>
      </w:r>
    </w:p>
    <w:p w14:paraId="1A4C482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7.</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未经甲方书面许可，乙方擅自将本合同项下义务交由第三方完成的，视为乙方根本违约，甲方有权解除本合同。</w:t>
      </w:r>
    </w:p>
    <w:p w14:paraId="65C3730E">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8.</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乙方未按约提供合法有效的足额发票的，除须向甲方补开发票外，还须向甲方支付相当于不符合合同约定的发票票面金额30%的违约金</w:t>
      </w:r>
      <w:r>
        <w:rPr>
          <w:rFonts w:hint="eastAsia" w:ascii="仿宋" w:hAnsi="仿宋" w:eastAsia="仿宋" w:cs="仿宋"/>
          <w:color w:val="auto"/>
          <w:kern w:val="1"/>
          <w:sz w:val="24"/>
          <w:szCs w:val="24"/>
          <w:highlight w:val="none"/>
          <w:lang w:eastAsia="zh-CN"/>
        </w:rPr>
        <w:t>，</w:t>
      </w:r>
      <w:r>
        <w:rPr>
          <w:rFonts w:hint="eastAsia" w:ascii="仿宋" w:hAnsi="仿宋" w:eastAsia="仿宋" w:cs="仿宋"/>
          <w:color w:val="auto"/>
          <w:kern w:val="1"/>
          <w:sz w:val="24"/>
          <w:szCs w:val="24"/>
          <w:highlight w:val="none"/>
        </w:rPr>
        <w:t>且甲方有权解除合同，要求乙方退还已付款项。</w:t>
      </w:r>
    </w:p>
    <w:p w14:paraId="2B3A58BE">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9.</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sz w:val="24"/>
          <w:szCs w:val="24"/>
          <w:highlight w:val="none"/>
        </w:rPr>
        <w:t>乙方违反</w:t>
      </w:r>
      <w:r>
        <w:rPr>
          <w:rFonts w:hint="eastAsia" w:ascii="仿宋" w:hAnsi="仿宋" w:eastAsia="仿宋" w:cs="仿宋"/>
          <w:color w:val="auto"/>
          <w:kern w:val="1"/>
          <w:sz w:val="24"/>
          <w:szCs w:val="24"/>
          <w:highlight w:val="none"/>
        </w:rPr>
        <w:t>第三条第3款</w:t>
      </w:r>
      <w:r>
        <w:rPr>
          <w:rFonts w:hint="eastAsia" w:ascii="仿宋" w:hAnsi="仿宋" w:eastAsia="仿宋" w:cs="仿宋"/>
          <w:color w:val="auto"/>
          <w:sz w:val="24"/>
          <w:szCs w:val="24"/>
          <w:highlight w:val="none"/>
        </w:rPr>
        <w:t>约定的，应向甲方一次性支付合同合计金额30%的违约金。</w:t>
      </w:r>
    </w:p>
    <w:p w14:paraId="24BEA9B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10.乙方的其它违约行为，按违约货款额5%收取违约金。</w:t>
      </w:r>
    </w:p>
    <w:p w14:paraId="72ADEC7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11.甲方解除合同的，除有权要求乙方按相应违约条款承担违约责任外，还有权要求乙方按本合同合计金额的30%支付违约金。</w:t>
      </w:r>
    </w:p>
    <w:p w14:paraId="784C897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lang w:eastAsia="zh-Hans"/>
        </w:rPr>
      </w:pPr>
      <w:r>
        <w:rPr>
          <w:rFonts w:hint="eastAsia" w:ascii="仿宋" w:hAnsi="仿宋" w:eastAsia="仿宋" w:cs="仿宋"/>
          <w:color w:val="auto"/>
          <w:kern w:val="1"/>
          <w:sz w:val="24"/>
          <w:szCs w:val="24"/>
          <w:highlight w:val="none"/>
        </w:rPr>
        <w:t>12.</w:t>
      </w:r>
      <w:r>
        <w:rPr>
          <w:rFonts w:hint="eastAsia" w:ascii="仿宋" w:hAnsi="仿宋" w:eastAsia="仿宋" w:cs="仿宋"/>
          <w:color w:val="auto"/>
          <w:kern w:val="1"/>
          <w:sz w:val="24"/>
          <w:szCs w:val="24"/>
          <w:highlight w:val="none"/>
          <w:lang w:eastAsia="zh-Hans"/>
        </w:rPr>
        <w:t>任何一方存在任何违约行为的，除按合同约定承担</w:t>
      </w:r>
      <w:r>
        <w:rPr>
          <w:rFonts w:hint="eastAsia" w:ascii="仿宋" w:hAnsi="仿宋" w:eastAsia="仿宋" w:cs="仿宋"/>
          <w:color w:val="auto"/>
          <w:kern w:val="1"/>
          <w:sz w:val="24"/>
          <w:szCs w:val="24"/>
          <w:highlight w:val="none"/>
        </w:rPr>
        <w:t>违约</w:t>
      </w:r>
      <w:r>
        <w:rPr>
          <w:rFonts w:hint="eastAsia" w:ascii="仿宋" w:hAnsi="仿宋" w:eastAsia="仿宋" w:cs="仿宋"/>
          <w:color w:val="auto"/>
          <w:kern w:val="1"/>
          <w:sz w:val="24"/>
          <w:szCs w:val="24"/>
          <w:highlight w:val="none"/>
          <w:lang w:eastAsia="zh-Hans"/>
        </w:rPr>
        <w:t>责任外，还应赔偿守约方的一切</w:t>
      </w:r>
      <w:r>
        <w:rPr>
          <w:rFonts w:hint="eastAsia" w:ascii="仿宋" w:hAnsi="仿宋" w:eastAsia="仿宋" w:cs="仿宋"/>
          <w:color w:val="auto"/>
          <w:kern w:val="1"/>
          <w:sz w:val="24"/>
          <w:szCs w:val="24"/>
          <w:highlight w:val="none"/>
        </w:rPr>
        <w:t>经济</w:t>
      </w:r>
      <w:r>
        <w:rPr>
          <w:rFonts w:hint="eastAsia" w:ascii="仿宋" w:hAnsi="仿宋" w:eastAsia="仿宋" w:cs="仿宋"/>
          <w:color w:val="auto"/>
          <w:kern w:val="1"/>
          <w:sz w:val="24"/>
          <w:szCs w:val="24"/>
          <w:highlight w:val="none"/>
          <w:lang w:eastAsia="zh-Hans"/>
        </w:rPr>
        <w:t>损失（包括但不限于向第三方支付</w:t>
      </w:r>
      <w:r>
        <w:rPr>
          <w:rFonts w:hint="eastAsia" w:ascii="仿宋" w:hAnsi="仿宋" w:eastAsia="仿宋" w:cs="仿宋"/>
          <w:color w:val="auto"/>
          <w:kern w:val="1"/>
          <w:sz w:val="24"/>
          <w:szCs w:val="24"/>
          <w:highlight w:val="none"/>
        </w:rPr>
        <w:t>的</w:t>
      </w:r>
      <w:r>
        <w:rPr>
          <w:rFonts w:hint="eastAsia" w:ascii="仿宋" w:hAnsi="仿宋" w:eastAsia="仿宋" w:cs="仿宋"/>
          <w:color w:val="auto"/>
          <w:kern w:val="1"/>
          <w:sz w:val="24"/>
          <w:szCs w:val="24"/>
          <w:highlight w:val="none"/>
          <w:lang w:eastAsia="zh-Hans"/>
        </w:rPr>
        <w:t>赔偿金、补偿金、违约金等，为实现债权而支付的律师费、公证费、诉讼费、保全费、公告费、鉴定费、诉讼财产保全责任险保</w:t>
      </w:r>
      <w:r>
        <w:rPr>
          <w:rFonts w:hint="eastAsia" w:ascii="仿宋" w:hAnsi="仿宋" w:eastAsia="仿宋" w:cs="仿宋"/>
          <w:color w:val="auto"/>
          <w:kern w:val="1"/>
          <w:sz w:val="24"/>
          <w:szCs w:val="24"/>
          <w:highlight w:val="none"/>
        </w:rPr>
        <w:t>险</w:t>
      </w:r>
      <w:r>
        <w:rPr>
          <w:rFonts w:hint="eastAsia" w:ascii="仿宋" w:hAnsi="仿宋" w:eastAsia="仿宋" w:cs="仿宋"/>
          <w:color w:val="auto"/>
          <w:kern w:val="1"/>
          <w:sz w:val="24"/>
          <w:szCs w:val="24"/>
          <w:highlight w:val="none"/>
          <w:lang w:eastAsia="zh-Hans"/>
        </w:rPr>
        <w:t>费等一切费用）。</w:t>
      </w:r>
    </w:p>
    <w:p w14:paraId="0FA45BA3">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不可抗力事件处理</w:t>
      </w:r>
    </w:p>
    <w:p w14:paraId="00F85C1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在合同有效期内，任何一方因不可抗力事件导致不能履行合同，则合同履行期可延长，其延长期与不可抗力影响期相同。</w:t>
      </w:r>
    </w:p>
    <w:p w14:paraId="0E3E91C0">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不可抗力事件发生后，应立即通知对方，并寄送有关权威机构出具的证明。</w:t>
      </w:r>
    </w:p>
    <w:p w14:paraId="64DE18E4">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不可抗力事件延续一百二十天以上，双方应通过友好协商，确定是否继续履行合同。</w:t>
      </w:r>
    </w:p>
    <w:p w14:paraId="7113D987">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合同争议解决</w:t>
      </w:r>
    </w:p>
    <w:p w14:paraId="3F0B3E23">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 因货物质量问题发生争议的，应邀请国家认可的质量检测机构按照国家标准对货物质量进行</w:t>
      </w:r>
      <w:r>
        <w:rPr>
          <w:rFonts w:hint="eastAsia" w:ascii="仿宋" w:hAnsi="仿宋" w:eastAsia="仿宋" w:cs="仿宋"/>
          <w:color w:val="auto"/>
          <w:kern w:val="1"/>
          <w:sz w:val="24"/>
          <w:szCs w:val="24"/>
          <w:highlight w:val="none"/>
          <w:lang w:eastAsia="zh-Hans"/>
        </w:rPr>
        <w:t>鉴定</w:t>
      </w:r>
      <w:r>
        <w:rPr>
          <w:rFonts w:hint="eastAsia" w:ascii="仿宋" w:hAnsi="仿宋" w:eastAsia="仿宋" w:cs="仿宋"/>
          <w:color w:val="auto"/>
          <w:kern w:val="1"/>
          <w:sz w:val="24"/>
          <w:szCs w:val="24"/>
          <w:highlight w:val="none"/>
        </w:rPr>
        <w:t>。货物符合国家标准的，鉴定费由甲方承担；货物不符合国家标准的，鉴定费由乙方承担。</w:t>
      </w:r>
    </w:p>
    <w:p w14:paraId="542527E8">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 因履行本合同引起的或与本合同有关的争议，甲乙双方应首先通过友好协商解决，如果协商不能解决，可向甲方所在地人民法院提起诉讼。</w:t>
      </w:r>
    </w:p>
    <w:p w14:paraId="77C53E76">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诉讼期间，本合同继续履行。</w:t>
      </w:r>
    </w:p>
    <w:p w14:paraId="708C9610">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第十六条 合同生效及其它</w:t>
      </w:r>
    </w:p>
    <w:p w14:paraId="65F1DA0B">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合同履行地点为：</w:t>
      </w:r>
      <w:r>
        <w:rPr>
          <w:rFonts w:hint="eastAsia" w:ascii="仿宋" w:hAnsi="仿宋" w:eastAsia="仿宋" w:cs="仿宋"/>
          <w:color w:val="auto"/>
          <w:kern w:val="1"/>
          <w:sz w:val="24"/>
          <w:szCs w:val="24"/>
          <w:highlight w:val="none"/>
          <w:u w:val="single"/>
        </w:rPr>
        <w:t>广西壮族自治区人民医院</w:t>
      </w:r>
      <w:r>
        <w:rPr>
          <w:rFonts w:hint="eastAsia" w:ascii="仿宋" w:hAnsi="仿宋" w:eastAsia="仿宋" w:cs="仿宋"/>
          <w:color w:val="auto"/>
          <w:kern w:val="1"/>
          <w:sz w:val="24"/>
          <w:szCs w:val="24"/>
          <w:highlight w:val="none"/>
        </w:rPr>
        <w:t>；合同履行的方式：</w:t>
      </w:r>
      <w:r>
        <w:rPr>
          <w:rFonts w:hint="eastAsia" w:ascii="仿宋" w:hAnsi="仿宋" w:eastAsia="仿宋" w:cs="仿宋"/>
          <w:color w:val="auto"/>
          <w:kern w:val="1"/>
          <w:sz w:val="24"/>
          <w:szCs w:val="24"/>
          <w:highlight w:val="none"/>
          <w:u w:val="single"/>
        </w:rPr>
        <w:t>按照本合同约定</w:t>
      </w:r>
      <w:r>
        <w:rPr>
          <w:rFonts w:hint="eastAsia" w:ascii="仿宋" w:hAnsi="仿宋" w:eastAsia="仿宋" w:cs="仿宋"/>
          <w:color w:val="auto"/>
          <w:kern w:val="1"/>
          <w:sz w:val="24"/>
          <w:szCs w:val="24"/>
          <w:highlight w:val="none"/>
        </w:rPr>
        <w:t>。</w:t>
      </w:r>
    </w:p>
    <w:p w14:paraId="34025F42">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2. </w:t>
      </w:r>
      <w:r>
        <w:rPr>
          <w:rFonts w:hint="eastAsia" w:ascii="仿宋" w:hAnsi="仿宋" w:eastAsia="仿宋" w:cs="仿宋"/>
          <w:color w:val="auto"/>
          <w:kern w:val="1"/>
          <w:sz w:val="24"/>
          <w:szCs w:val="24"/>
          <w:highlight w:val="none"/>
          <w:lang w:val="en-US" w:eastAsia="zh-CN"/>
        </w:rPr>
        <w:t>本</w:t>
      </w:r>
      <w:r>
        <w:rPr>
          <w:rFonts w:hint="eastAsia" w:ascii="仿宋" w:hAnsi="仿宋" w:eastAsia="仿宋" w:cs="仿宋"/>
          <w:color w:val="auto"/>
          <w:kern w:val="1"/>
          <w:sz w:val="24"/>
          <w:szCs w:val="24"/>
          <w:highlight w:val="none"/>
        </w:rPr>
        <w:t>合同经双方法定代表人或委托代理人签字并加盖</w:t>
      </w:r>
      <w:r>
        <w:rPr>
          <w:rFonts w:hint="eastAsia" w:ascii="仿宋" w:hAnsi="仿宋" w:eastAsia="仿宋" w:cs="仿宋"/>
          <w:color w:val="auto"/>
          <w:kern w:val="1"/>
          <w:sz w:val="24"/>
          <w:szCs w:val="24"/>
          <w:highlight w:val="none"/>
          <w:lang w:val="en-US" w:eastAsia="zh-CN"/>
        </w:rPr>
        <w:t>双方</w:t>
      </w:r>
      <w:r>
        <w:rPr>
          <w:rFonts w:hint="eastAsia" w:ascii="仿宋" w:hAnsi="仿宋" w:eastAsia="仿宋" w:cs="仿宋"/>
          <w:color w:val="auto"/>
          <w:kern w:val="1"/>
          <w:sz w:val="24"/>
          <w:szCs w:val="24"/>
          <w:highlight w:val="none"/>
        </w:rPr>
        <w:t>单位公章后生效。</w:t>
      </w:r>
    </w:p>
    <w:p w14:paraId="589ACD7D">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3. </w:t>
      </w:r>
      <w:r>
        <w:rPr>
          <w:rFonts w:hint="eastAsia" w:ascii="仿宋" w:hAnsi="仿宋" w:eastAsia="仿宋" w:cs="仿宋"/>
          <w:color w:val="auto"/>
          <w:sz w:val="24"/>
          <w:szCs w:val="24"/>
          <w:highlight w:val="none"/>
        </w:rPr>
        <w:t>合同执行中涉及采购内容修改或补充的，按政府采购相关规定要求签订书面补充协议，并作为主合同不可分割的一部分</w:t>
      </w:r>
      <w:r>
        <w:rPr>
          <w:rFonts w:hint="eastAsia" w:ascii="仿宋" w:hAnsi="仿宋" w:eastAsia="仿宋" w:cs="仿宋"/>
          <w:color w:val="auto"/>
          <w:kern w:val="1"/>
          <w:sz w:val="24"/>
          <w:szCs w:val="24"/>
          <w:highlight w:val="none"/>
        </w:rPr>
        <w:t>。</w:t>
      </w:r>
    </w:p>
    <w:p w14:paraId="3423657A">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本合同未尽事宜，遵照《中华人民共和国民法典》有关条文执行。</w:t>
      </w:r>
    </w:p>
    <w:p w14:paraId="1EAA659D">
      <w:pPr>
        <w:snapToGrid w:val="0"/>
        <w:spacing w:before="120" w:after="120" w:line="360" w:lineRule="exact"/>
        <w:ind w:firstLine="482"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第十七条 合同的变更、终止与转让</w:t>
      </w:r>
    </w:p>
    <w:p w14:paraId="54901955">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本合同一经签订，甲乙双方不得擅自变更、中止或终止。</w:t>
      </w:r>
    </w:p>
    <w:p w14:paraId="683E4A8C">
      <w:pPr>
        <w:suppressAutoHyphens/>
        <w:snapToGrid w:val="0"/>
        <w:spacing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w:t>
      </w:r>
      <w:r>
        <w:rPr>
          <w:rFonts w:hint="eastAsia" w:ascii="仿宋" w:hAnsi="仿宋" w:eastAsia="仿宋" w:cs="仿宋"/>
          <w:color w:val="auto"/>
          <w:kern w:val="1"/>
          <w:sz w:val="24"/>
          <w:szCs w:val="24"/>
          <w:highlight w:val="none"/>
          <w:lang w:val="en-US" w:eastAsia="zh-CN"/>
        </w:rPr>
        <w:t xml:space="preserve"> </w:t>
      </w:r>
      <w:r>
        <w:rPr>
          <w:rFonts w:hint="eastAsia" w:ascii="仿宋" w:hAnsi="仿宋" w:eastAsia="仿宋" w:cs="仿宋"/>
          <w:color w:val="auto"/>
          <w:kern w:val="1"/>
          <w:sz w:val="24"/>
          <w:szCs w:val="24"/>
          <w:highlight w:val="none"/>
        </w:rPr>
        <w:t>未经甲方书面同意，乙方不得擅自转让</w:t>
      </w:r>
      <w:r>
        <w:rPr>
          <w:rFonts w:hint="eastAsia" w:ascii="仿宋" w:hAnsi="仿宋" w:eastAsia="仿宋" w:cs="仿宋"/>
          <w:color w:val="auto"/>
          <w:kern w:val="1"/>
          <w:sz w:val="24"/>
          <w:szCs w:val="24"/>
          <w:highlight w:val="none"/>
          <w:lang w:eastAsia="zh-Hans"/>
        </w:rPr>
        <w:t>、分包</w:t>
      </w:r>
      <w:r>
        <w:rPr>
          <w:rFonts w:hint="eastAsia" w:ascii="仿宋" w:hAnsi="仿宋" w:eastAsia="仿宋" w:cs="仿宋"/>
          <w:color w:val="auto"/>
          <w:kern w:val="1"/>
          <w:sz w:val="24"/>
          <w:szCs w:val="24"/>
          <w:highlight w:val="none"/>
        </w:rPr>
        <w:t>（无进口资格的乙方委托进口货物除外）其应履行的合同义务。</w:t>
      </w:r>
    </w:p>
    <w:p w14:paraId="485E31D3">
      <w:pPr>
        <w:spacing w:after="124" w:afterLines="40" w:line="360" w:lineRule="exact"/>
        <w:ind w:firstLine="482" w:firstLineChars="200"/>
        <w:outlineLvl w:val="9"/>
        <w:rPr>
          <w:rFonts w:hint="eastAsia" w:ascii="仿宋" w:hAnsi="仿宋" w:eastAsia="仿宋" w:cs="仿宋"/>
          <w:b/>
          <w:color w:val="auto"/>
          <w:kern w:val="1"/>
          <w:sz w:val="24"/>
          <w:szCs w:val="24"/>
          <w:highlight w:val="none"/>
        </w:rPr>
      </w:pPr>
      <w:r>
        <w:rPr>
          <w:rFonts w:hint="eastAsia" w:ascii="仿宋" w:hAnsi="仿宋" w:eastAsia="仿宋" w:cs="仿宋"/>
          <w:b/>
          <w:color w:val="auto"/>
          <w:kern w:val="1"/>
          <w:sz w:val="24"/>
          <w:szCs w:val="24"/>
          <w:highlight w:val="none"/>
        </w:rPr>
        <w:t>第十八条 签订本合同依据</w:t>
      </w:r>
    </w:p>
    <w:p w14:paraId="382E3F72">
      <w:pPr>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 xml:space="preserve">1. 本合同； </w:t>
      </w:r>
    </w:p>
    <w:p w14:paraId="6678A60D">
      <w:pPr>
        <w:spacing w:after="124" w:afterLines="40"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kern w:val="1"/>
          <w:sz w:val="24"/>
          <w:szCs w:val="24"/>
          <w:highlight w:val="none"/>
        </w:rPr>
        <w:t>2. 中标（成交）通知书；</w:t>
      </w:r>
    </w:p>
    <w:p w14:paraId="4A68FF87">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3. 乙方提供的投标（响应）文件；</w:t>
      </w:r>
    </w:p>
    <w:p w14:paraId="30D3A0CF">
      <w:pPr>
        <w:suppressAutoHyphens/>
        <w:spacing w:after="124" w:afterLines="40" w:line="360" w:lineRule="exact"/>
        <w:ind w:firstLine="480"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4. 采购文件。</w:t>
      </w:r>
    </w:p>
    <w:p w14:paraId="4C8B91DE">
      <w:pPr>
        <w:autoSpaceDE w:val="0"/>
        <w:autoSpaceDN w:val="0"/>
        <w:adjustRightInd w:val="0"/>
        <w:spacing w:line="420" w:lineRule="exact"/>
        <w:ind w:firstLine="482" w:firstLineChars="200"/>
        <w:outlineLvl w:val="9"/>
        <w:rPr>
          <w:rFonts w:hint="eastAsia" w:ascii="仿宋" w:hAnsi="仿宋" w:eastAsia="仿宋" w:cs="仿宋"/>
          <w:b/>
          <w:bCs/>
          <w:color w:val="auto"/>
          <w:kern w:val="1"/>
          <w:sz w:val="24"/>
          <w:szCs w:val="24"/>
          <w:highlight w:val="none"/>
        </w:rPr>
      </w:pPr>
      <w:r>
        <w:rPr>
          <w:rFonts w:hint="eastAsia" w:ascii="仿宋" w:hAnsi="仿宋" w:eastAsia="仿宋" w:cs="仿宋"/>
          <w:b/>
          <w:bCs/>
          <w:color w:val="auto"/>
          <w:kern w:val="1"/>
          <w:sz w:val="24"/>
          <w:szCs w:val="24"/>
          <w:highlight w:val="none"/>
        </w:rPr>
        <w:t>上述合同文件互相补充和解释。如果合同文件之间存在矛盾或者不一致之处，以上述文件的排列顺序在先者为准。</w:t>
      </w:r>
    </w:p>
    <w:p w14:paraId="7700830C">
      <w:pPr>
        <w:snapToGrid w:val="0"/>
        <w:spacing w:line="420" w:lineRule="exact"/>
        <w:ind w:firstLine="482"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第十九条 </w:t>
      </w:r>
      <w:r>
        <w:rPr>
          <w:rFonts w:hint="eastAsia" w:ascii="仿宋" w:hAnsi="仿宋" w:eastAsia="仿宋" w:cs="仿宋"/>
          <w:b/>
          <w:color w:val="auto"/>
          <w:sz w:val="24"/>
          <w:szCs w:val="24"/>
          <w:highlight w:val="none"/>
          <w:lang w:eastAsia="zh-Hans"/>
        </w:rPr>
        <w:t>通知</w:t>
      </w:r>
    </w:p>
    <w:p w14:paraId="5CF16785">
      <w:pPr>
        <w:snapToGrid w:val="0"/>
        <w:spacing w:line="420" w:lineRule="exact"/>
        <w:ind w:firstLine="480" w:firstLineChars="200"/>
        <w:jc w:val="left"/>
        <w:outlineLvl w:val="9"/>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01120D1A">
      <w:pPr>
        <w:snapToGrid w:val="0"/>
        <w:spacing w:line="360" w:lineRule="exact"/>
        <w:ind w:firstLine="482" w:firstLineChars="200"/>
        <w:outlineLvl w:val="9"/>
        <w:rPr>
          <w:rFonts w:hint="eastAsia" w:ascii="仿宋" w:hAnsi="仿宋" w:eastAsia="仿宋" w:cs="仿宋"/>
          <w:color w:val="auto"/>
          <w:kern w:val="1"/>
          <w:sz w:val="24"/>
          <w:szCs w:val="24"/>
          <w:highlight w:val="none"/>
        </w:rPr>
      </w:pPr>
      <w:r>
        <w:rPr>
          <w:rFonts w:hint="eastAsia" w:ascii="仿宋" w:hAnsi="仿宋" w:eastAsia="仿宋" w:cs="仿宋"/>
          <w:b/>
          <w:color w:val="auto"/>
          <w:sz w:val="24"/>
          <w:szCs w:val="24"/>
          <w:highlight w:val="none"/>
        </w:rPr>
        <w:t xml:space="preserve">第二十条 </w:t>
      </w:r>
      <w:r>
        <w:rPr>
          <w:rFonts w:hint="eastAsia" w:ascii="仿宋" w:hAnsi="仿宋" w:eastAsia="仿宋" w:cs="仿宋"/>
          <w:color w:val="auto"/>
          <w:kern w:val="1"/>
          <w:sz w:val="24"/>
          <w:szCs w:val="24"/>
          <w:highlight w:val="none"/>
        </w:rPr>
        <w:t>本合同一式</w:t>
      </w:r>
      <w:r>
        <w:rPr>
          <w:rFonts w:hint="eastAsia" w:ascii="仿宋" w:hAnsi="仿宋" w:eastAsia="仿宋" w:cs="仿宋"/>
          <w:color w:val="auto"/>
          <w:kern w:val="1"/>
          <w:sz w:val="24"/>
          <w:szCs w:val="24"/>
          <w:highlight w:val="none"/>
          <w:lang w:val="en-US" w:eastAsia="zh-CN"/>
        </w:rPr>
        <w:t>四</w:t>
      </w:r>
      <w:r>
        <w:rPr>
          <w:rFonts w:hint="eastAsia" w:ascii="仿宋" w:hAnsi="仿宋" w:eastAsia="仿宋" w:cs="仿宋"/>
          <w:color w:val="auto"/>
          <w:kern w:val="1"/>
          <w:sz w:val="24"/>
          <w:szCs w:val="24"/>
          <w:highlight w:val="none"/>
        </w:rPr>
        <w:t>份，具有同等法律效力。甲方二份，乙方</w:t>
      </w:r>
      <w:r>
        <w:rPr>
          <w:rFonts w:hint="eastAsia" w:ascii="仿宋" w:hAnsi="仿宋" w:eastAsia="仿宋" w:cs="仿宋"/>
          <w:color w:val="auto"/>
          <w:kern w:val="1"/>
          <w:sz w:val="24"/>
          <w:szCs w:val="24"/>
          <w:highlight w:val="none"/>
          <w:lang w:val="en-US" w:eastAsia="zh-CN"/>
        </w:rPr>
        <w:t>二</w:t>
      </w:r>
      <w:r>
        <w:rPr>
          <w:rFonts w:hint="eastAsia" w:ascii="仿宋" w:hAnsi="仿宋" w:eastAsia="仿宋" w:cs="仿宋"/>
          <w:color w:val="auto"/>
          <w:kern w:val="1"/>
          <w:sz w:val="24"/>
          <w:szCs w:val="24"/>
          <w:highlight w:val="none"/>
        </w:rPr>
        <w:t>份。</w:t>
      </w:r>
    </w:p>
    <w:p w14:paraId="3A14D17F">
      <w:pPr>
        <w:snapToGrid w:val="0"/>
        <w:spacing w:line="36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（以下为签章页，无正文）</w:t>
      </w:r>
    </w:p>
    <w:p w14:paraId="7E994F90">
      <w:pPr>
        <w:snapToGrid w:val="0"/>
        <w:spacing w:line="360" w:lineRule="exact"/>
        <w:ind w:firstLine="480" w:firstLineChars="200"/>
        <w:outlineLvl w:val="9"/>
        <w:rPr>
          <w:rFonts w:hint="eastAsia" w:ascii="仿宋" w:hAnsi="仿宋" w:eastAsia="仿宋" w:cs="仿宋"/>
          <w:color w:val="auto"/>
          <w:sz w:val="24"/>
          <w:szCs w:val="24"/>
          <w:highlight w:val="none"/>
        </w:rPr>
      </w:pPr>
    </w:p>
    <w:tbl>
      <w:tblPr>
        <w:tblStyle w:val="45"/>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2"/>
        <w:gridCol w:w="4524"/>
      </w:tblGrid>
      <w:tr w14:paraId="3E9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trPr>
        <w:tc>
          <w:tcPr>
            <w:tcW w:w="2425" w:type="pct"/>
            <w:noWrap w:val="0"/>
            <w:vAlign w:val="center"/>
          </w:tcPr>
          <w:p w14:paraId="0FE9381B">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甲方（章）广西壮族自治区人民医院 </w:t>
            </w:r>
          </w:p>
          <w:p w14:paraId="0268EB73">
            <w:pPr>
              <w:snapToGrid w:val="0"/>
              <w:spacing w:line="360" w:lineRule="exact"/>
              <w:outlineLvl w:val="9"/>
              <w:rPr>
                <w:rFonts w:hint="eastAsia" w:ascii="仿宋" w:hAnsi="仿宋" w:eastAsia="仿宋" w:cs="仿宋"/>
                <w:color w:val="auto"/>
                <w:sz w:val="24"/>
                <w:szCs w:val="24"/>
                <w:highlight w:val="none"/>
              </w:rPr>
            </w:pPr>
          </w:p>
          <w:p w14:paraId="27B505F3">
            <w:pPr>
              <w:pStyle w:val="16"/>
              <w:outlineLvl w:val="9"/>
              <w:rPr>
                <w:rFonts w:hint="eastAsia" w:ascii="仿宋" w:hAnsi="仿宋" w:eastAsia="仿宋" w:cs="仿宋"/>
                <w:color w:val="auto"/>
                <w:sz w:val="24"/>
                <w:szCs w:val="24"/>
                <w:highlight w:val="none"/>
              </w:rPr>
            </w:pPr>
          </w:p>
          <w:p w14:paraId="07A3DB68">
            <w:pPr>
              <w:pStyle w:val="16"/>
              <w:outlineLvl w:val="9"/>
              <w:rPr>
                <w:rFonts w:hint="eastAsia" w:ascii="仿宋" w:hAnsi="仿宋" w:eastAsia="仿宋" w:cs="仿宋"/>
                <w:color w:val="auto"/>
                <w:sz w:val="24"/>
                <w:szCs w:val="24"/>
                <w:highlight w:val="none"/>
              </w:rPr>
            </w:pPr>
          </w:p>
          <w:p w14:paraId="713B7BC1">
            <w:pPr>
              <w:pStyle w:val="16"/>
              <w:outlineLvl w:val="9"/>
              <w:rPr>
                <w:rFonts w:hint="eastAsia" w:ascii="仿宋" w:hAnsi="仿宋" w:eastAsia="仿宋" w:cs="仿宋"/>
                <w:color w:val="auto"/>
                <w:sz w:val="24"/>
                <w:szCs w:val="24"/>
                <w:highlight w:val="none"/>
              </w:rPr>
            </w:pPr>
          </w:p>
          <w:p w14:paraId="5B491CD6">
            <w:pPr>
              <w:snapToGrid w:val="0"/>
              <w:spacing w:line="360" w:lineRule="exact"/>
              <w:ind w:firstLine="1080" w:firstLineChars="450"/>
              <w:jc w:val="right"/>
              <w:outlineLvl w:val="9"/>
              <w:rPr>
                <w:rFonts w:hint="eastAsia" w:ascii="仿宋" w:hAnsi="仿宋" w:eastAsia="仿宋" w:cs="仿宋"/>
                <w:color w:val="auto"/>
                <w:sz w:val="24"/>
                <w:szCs w:val="24"/>
                <w:highlight w:val="none"/>
              </w:rPr>
            </w:pPr>
          </w:p>
        </w:tc>
        <w:tc>
          <w:tcPr>
            <w:tcW w:w="2574" w:type="pct"/>
            <w:noWrap w:val="0"/>
            <w:vAlign w:val="center"/>
          </w:tcPr>
          <w:p w14:paraId="65716ED4">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乙方（章）               </w:t>
            </w:r>
          </w:p>
          <w:p w14:paraId="28D15CE1">
            <w:pPr>
              <w:spacing w:line="360" w:lineRule="exact"/>
              <w:outlineLvl w:val="9"/>
              <w:rPr>
                <w:rFonts w:hint="eastAsia" w:ascii="仿宋" w:hAnsi="仿宋" w:eastAsia="仿宋" w:cs="仿宋"/>
                <w:color w:val="auto"/>
                <w:sz w:val="24"/>
                <w:szCs w:val="24"/>
                <w:highlight w:val="none"/>
              </w:rPr>
            </w:pPr>
          </w:p>
          <w:p w14:paraId="7582B5C2">
            <w:pPr>
              <w:spacing w:line="360" w:lineRule="exact"/>
              <w:outlineLvl w:val="9"/>
              <w:rPr>
                <w:rFonts w:hint="eastAsia" w:ascii="仿宋" w:hAnsi="仿宋" w:eastAsia="仿宋" w:cs="仿宋"/>
                <w:color w:val="auto"/>
                <w:sz w:val="24"/>
                <w:szCs w:val="24"/>
                <w:highlight w:val="none"/>
              </w:rPr>
            </w:pPr>
          </w:p>
          <w:p w14:paraId="6325BC74">
            <w:pPr>
              <w:spacing w:line="360" w:lineRule="exact"/>
              <w:outlineLvl w:val="9"/>
              <w:rPr>
                <w:rFonts w:hint="eastAsia" w:ascii="仿宋" w:hAnsi="仿宋" w:eastAsia="仿宋" w:cs="仿宋"/>
                <w:color w:val="auto"/>
                <w:sz w:val="24"/>
                <w:szCs w:val="24"/>
                <w:highlight w:val="none"/>
              </w:rPr>
            </w:pPr>
          </w:p>
          <w:p w14:paraId="28FD3BCC">
            <w:pPr>
              <w:spacing w:line="360" w:lineRule="exact"/>
              <w:outlineLvl w:val="9"/>
              <w:rPr>
                <w:rFonts w:hint="eastAsia" w:ascii="仿宋" w:hAnsi="仿宋" w:eastAsia="仿宋" w:cs="仿宋"/>
                <w:color w:val="auto"/>
                <w:sz w:val="24"/>
                <w:szCs w:val="24"/>
                <w:highlight w:val="none"/>
              </w:rPr>
            </w:pPr>
          </w:p>
          <w:p w14:paraId="117BE747">
            <w:pPr>
              <w:spacing w:line="360" w:lineRule="exact"/>
              <w:outlineLvl w:val="9"/>
              <w:rPr>
                <w:rFonts w:hint="eastAsia" w:ascii="仿宋" w:hAnsi="仿宋" w:eastAsia="仿宋" w:cs="仿宋"/>
                <w:color w:val="auto"/>
                <w:sz w:val="24"/>
                <w:szCs w:val="24"/>
                <w:highlight w:val="none"/>
              </w:rPr>
            </w:pPr>
          </w:p>
        </w:tc>
      </w:tr>
      <w:tr w14:paraId="5A1C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2425" w:type="pct"/>
            <w:noWrap w:val="0"/>
            <w:vAlign w:val="top"/>
          </w:tcPr>
          <w:p w14:paraId="741F6BC7">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单位地址：南宁市青秀区桃源路6号</w:t>
            </w:r>
          </w:p>
        </w:tc>
        <w:tc>
          <w:tcPr>
            <w:tcW w:w="2574" w:type="pct"/>
            <w:noWrap w:val="0"/>
            <w:vAlign w:val="top"/>
          </w:tcPr>
          <w:p w14:paraId="69CABC33">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单位地址： </w:t>
            </w:r>
          </w:p>
        </w:tc>
      </w:tr>
      <w:tr w14:paraId="5BDA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2425" w:type="pct"/>
            <w:noWrap w:val="0"/>
            <w:vAlign w:val="top"/>
          </w:tcPr>
          <w:p w14:paraId="14379748">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574" w:type="pct"/>
            <w:noWrap w:val="0"/>
            <w:vAlign w:val="top"/>
          </w:tcPr>
          <w:p w14:paraId="27FB05C1">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法定代表人（负责人或自然人）：</w:t>
            </w:r>
          </w:p>
        </w:tc>
      </w:tr>
      <w:tr w14:paraId="2A72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2425" w:type="pct"/>
            <w:noWrap w:val="0"/>
            <w:vAlign w:val="center"/>
          </w:tcPr>
          <w:p w14:paraId="4B46D58F">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2574" w:type="pct"/>
            <w:noWrap w:val="0"/>
            <w:vAlign w:val="center"/>
          </w:tcPr>
          <w:p w14:paraId="52181E9A">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r>
      <w:tr w14:paraId="0AC1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425" w:type="pct"/>
            <w:noWrap w:val="0"/>
            <w:vAlign w:val="center"/>
          </w:tcPr>
          <w:p w14:paraId="321F3F0D">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电话：0771-5722430</w:t>
            </w:r>
          </w:p>
        </w:tc>
        <w:tc>
          <w:tcPr>
            <w:tcW w:w="2574" w:type="pct"/>
            <w:noWrap w:val="0"/>
            <w:vAlign w:val="center"/>
          </w:tcPr>
          <w:p w14:paraId="18642D37">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手机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D76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5FCBE9A">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开户银行：中国民生银行股份有限公司南宁金湖支行</w:t>
            </w:r>
          </w:p>
        </w:tc>
        <w:tc>
          <w:tcPr>
            <w:tcW w:w="2574" w:type="pct"/>
            <w:noWrap w:val="0"/>
            <w:vAlign w:val="top"/>
          </w:tcPr>
          <w:p w14:paraId="680E88E2">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tc>
      </w:tr>
      <w:tr w14:paraId="6C18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425" w:type="pct"/>
            <w:noWrap w:val="0"/>
            <w:vAlign w:val="center"/>
          </w:tcPr>
          <w:p w14:paraId="060D39B7">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 6313 33260</w:t>
            </w:r>
          </w:p>
        </w:tc>
        <w:tc>
          <w:tcPr>
            <w:tcW w:w="2574" w:type="pct"/>
            <w:noWrap w:val="0"/>
            <w:vAlign w:val="center"/>
          </w:tcPr>
          <w:p w14:paraId="3A995CA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r>
      <w:tr w14:paraId="438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1A517D9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统一社会信用代码：12450000498500618J</w:t>
            </w:r>
          </w:p>
        </w:tc>
        <w:tc>
          <w:tcPr>
            <w:tcW w:w="2574" w:type="pct"/>
            <w:noWrap w:val="0"/>
            <w:vAlign w:val="center"/>
          </w:tcPr>
          <w:p w14:paraId="415E6F80">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r>
      <w:tr w14:paraId="057C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5" w:type="pct"/>
            <w:noWrap w:val="0"/>
            <w:vAlign w:val="center"/>
          </w:tcPr>
          <w:p w14:paraId="76EE0FA5">
            <w:pPr>
              <w:snapToGrid w:val="0"/>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邮政编码：530021</w:t>
            </w:r>
          </w:p>
        </w:tc>
        <w:tc>
          <w:tcPr>
            <w:tcW w:w="2574" w:type="pct"/>
            <w:noWrap w:val="0"/>
            <w:vAlign w:val="center"/>
          </w:tcPr>
          <w:p w14:paraId="1EAE017E">
            <w:pPr>
              <w:spacing w:line="36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r>
    </w:tbl>
    <w:p w14:paraId="76D249E0">
      <w:pPr>
        <w:outlineLvl w:val="9"/>
        <w:rPr>
          <w:rFonts w:hint="eastAsia" w:ascii="仿宋" w:hAnsi="仿宋" w:eastAsia="仿宋" w:cs="仿宋"/>
          <w:color w:val="auto"/>
          <w:sz w:val="24"/>
          <w:szCs w:val="24"/>
          <w:highlight w:val="none"/>
        </w:rPr>
      </w:pPr>
    </w:p>
    <w:p w14:paraId="0924105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szCs w:val="24"/>
          <w:highlight w:val="none"/>
        </w:rPr>
        <w:br w:type="page"/>
      </w:r>
      <w:r>
        <w:rPr>
          <w:rFonts w:hint="eastAsia" w:ascii="仿宋" w:hAnsi="仿宋" w:eastAsia="仿宋" w:cs="仿宋"/>
          <w:b/>
          <w:bCs/>
          <w:color w:val="auto"/>
          <w:kern w:val="0"/>
          <w:sz w:val="24"/>
          <w:szCs w:val="24"/>
          <w:highlight w:val="none"/>
          <w:lang w:val="en-US" w:eastAsia="zh-CN" w:bidi="ar"/>
        </w:rPr>
        <w:t>产品</w:t>
      </w:r>
      <w:r>
        <w:rPr>
          <w:rFonts w:hint="eastAsia" w:ascii="仿宋" w:hAnsi="仿宋" w:eastAsia="仿宋" w:cs="仿宋"/>
          <w:b/>
          <w:bCs/>
          <w:color w:val="auto"/>
          <w:kern w:val="0"/>
          <w:sz w:val="24"/>
          <w:szCs w:val="24"/>
          <w:highlight w:val="none"/>
          <w:lang w:bidi="ar"/>
        </w:rPr>
        <w:t>技术参数</w:t>
      </w:r>
      <w:r>
        <w:rPr>
          <w:rFonts w:hint="eastAsia" w:ascii="仿宋" w:hAnsi="仿宋" w:eastAsia="仿宋" w:cs="仿宋"/>
          <w:b/>
          <w:bCs/>
          <w:color w:val="auto"/>
          <w:kern w:val="0"/>
          <w:sz w:val="24"/>
          <w:szCs w:val="24"/>
          <w:highlight w:val="none"/>
          <w:lang w:val="en-US" w:eastAsia="zh-CN" w:bidi="ar"/>
        </w:rPr>
        <w:t>表</w:t>
      </w:r>
    </w:p>
    <w:p w14:paraId="106E2EEF">
      <w:pPr>
        <w:spacing w:before="214" w:line="387" w:lineRule="exact"/>
        <w:ind w:left="624" w:hanging="537" w:hangingChars="223"/>
        <w:outlineLvl w:val="9"/>
        <w:rPr>
          <w:rFonts w:hint="eastAsia" w:ascii="仿宋" w:hAnsi="仿宋" w:eastAsia="仿宋" w:cs="仿宋"/>
          <w:b/>
          <w:bCs/>
          <w:color w:val="auto"/>
          <w:kern w:val="0"/>
          <w:sz w:val="24"/>
          <w:szCs w:val="24"/>
          <w:highlight w:val="none"/>
          <w:lang w:bidi="ar"/>
        </w:rPr>
      </w:pPr>
    </w:p>
    <w:p w14:paraId="59FE243C">
      <w:pPr>
        <w:pStyle w:val="16"/>
        <w:outlineLvl w:val="9"/>
        <w:rPr>
          <w:rFonts w:hint="eastAsia" w:ascii="仿宋" w:hAnsi="仿宋" w:eastAsia="仿宋" w:cs="仿宋"/>
          <w:b/>
          <w:bCs/>
          <w:color w:val="auto"/>
          <w:kern w:val="0"/>
          <w:sz w:val="24"/>
          <w:szCs w:val="24"/>
          <w:highlight w:val="none"/>
          <w:lang w:bidi="ar"/>
        </w:rPr>
      </w:pPr>
    </w:p>
    <w:p w14:paraId="06492D96">
      <w:pPr>
        <w:pStyle w:val="16"/>
        <w:outlineLvl w:val="9"/>
        <w:rPr>
          <w:rFonts w:hint="eastAsia" w:ascii="仿宋" w:hAnsi="仿宋" w:eastAsia="仿宋" w:cs="仿宋"/>
          <w:b/>
          <w:bCs/>
          <w:color w:val="auto"/>
          <w:kern w:val="0"/>
          <w:sz w:val="24"/>
          <w:szCs w:val="24"/>
          <w:highlight w:val="none"/>
          <w:lang w:bidi="ar"/>
        </w:rPr>
      </w:pPr>
    </w:p>
    <w:p w14:paraId="3D2A9021">
      <w:pPr>
        <w:pStyle w:val="16"/>
        <w:outlineLvl w:val="9"/>
        <w:rPr>
          <w:rFonts w:hint="eastAsia" w:ascii="仿宋" w:hAnsi="仿宋" w:eastAsia="仿宋" w:cs="仿宋"/>
          <w:b/>
          <w:bCs/>
          <w:color w:val="auto"/>
          <w:kern w:val="0"/>
          <w:sz w:val="24"/>
          <w:szCs w:val="24"/>
          <w:highlight w:val="none"/>
          <w:lang w:bidi="ar"/>
        </w:rPr>
      </w:pPr>
    </w:p>
    <w:p w14:paraId="45D95C7B">
      <w:pPr>
        <w:pStyle w:val="16"/>
        <w:outlineLvl w:val="9"/>
        <w:rPr>
          <w:rFonts w:hint="eastAsia" w:ascii="仿宋" w:hAnsi="仿宋" w:eastAsia="仿宋" w:cs="仿宋"/>
          <w:b/>
          <w:bCs/>
          <w:color w:val="auto"/>
          <w:kern w:val="0"/>
          <w:sz w:val="24"/>
          <w:szCs w:val="24"/>
          <w:highlight w:val="none"/>
          <w:lang w:bidi="ar"/>
        </w:rPr>
      </w:pPr>
    </w:p>
    <w:p w14:paraId="2305AB4C">
      <w:pPr>
        <w:spacing w:before="214" w:line="387" w:lineRule="exact"/>
        <w:ind w:left="3266" w:firstLine="241" w:firstLineChars="100"/>
        <w:jc w:val="left"/>
        <w:outlineLvl w:val="9"/>
        <w:rPr>
          <w:rFonts w:hint="eastAsia" w:ascii="仿宋" w:hAnsi="仿宋" w:eastAsia="仿宋" w:cs="仿宋"/>
          <w:b/>
          <w:bCs/>
          <w:color w:val="auto"/>
          <w:kern w:val="0"/>
          <w:sz w:val="24"/>
          <w:szCs w:val="24"/>
          <w:highlight w:val="none"/>
          <w:lang w:bidi="ar"/>
        </w:rPr>
      </w:pPr>
    </w:p>
    <w:p w14:paraId="38A36980">
      <w:pPr>
        <w:pStyle w:val="16"/>
        <w:outlineLvl w:val="9"/>
        <w:rPr>
          <w:rFonts w:hint="eastAsia" w:ascii="仿宋" w:hAnsi="仿宋" w:eastAsia="仿宋" w:cs="仿宋"/>
          <w:b/>
          <w:bCs/>
          <w:color w:val="auto"/>
          <w:kern w:val="0"/>
          <w:sz w:val="24"/>
          <w:szCs w:val="24"/>
          <w:highlight w:val="none"/>
          <w:lang w:bidi="ar"/>
        </w:rPr>
      </w:pPr>
    </w:p>
    <w:p w14:paraId="3A772272">
      <w:pPr>
        <w:pStyle w:val="16"/>
        <w:outlineLvl w:val="9"/>
        <w:rPr>
          <w:rFonts w:hint="eastAsia" w:ascii="仿宋" w:hAnsi="仿宋" w:eastAsia="仿宋" w:cs="仿宋"/>
          <w:b/>
          <w:bCs/>
          <w:color w:val="auto"/>
          <w:kern w:val="0"/>
          <w:sz w:val="24"/>
          <w:szCs w:val="24"/>
          <w:highlight w:val="none"/>
          <w:lang w:bidi="ar"/>
        </w:rPr>
      </w:pPr>
    </w:p>
    <w:p w14:paraId="195AF4D5">
      <w:pPr>
        <w:pStyle w:val="16"/>
        <w:outlineLvl w:val="9"/>
        <w:rPr>
          <w:rFonts w:hint="eastAsia" w:ascii="仿宋" w:hAnsi="仿宋" w:eastAsia="仿宋" w:cs="仿宋"/>
          <w:b/>
          <w:bCs/>
          <w:color w:val="auto"/>
          <w:kern w:val="0"/>
          <w:sz w:val="24"/>
          <w:szCs w:val="24"/>
          <w:highlight w:val="none"/>
          <w:lang w:bidi="ar"/>
        </w:rPr>
      </w:pPr>
    </w:p>
    <w:p w14:paraId="5BF55889">
      <w:pPr>
        <w:pStyle w:val="16"/>
        <w:outlineLvl w:val="9"/>
        <w:rPr>
          <w:rFonts w:hint="eastAsia" w:ascii="仿宋" w:hAnsi="仿宋" w:eastAsia="仿宋" w:cs="仿宋"/>
          <w:b/>
          <w:bCs/>
          <w:color w:val="auto"/>
          <w:kern w:val="0"/>
          <w:sz w:val="24"/>
          <w:szCs w:val="24"/>
          <w:highlight w:val="none"/>
          <w:lang w:bidi="ar"/>
        </w:rPr>
      </w:pPr>
    </w:p>
    <w:p w14:paraId="1D4F4F79">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设备配置（或装箱）清单</w:t>
      </w:r>
    </w:p>
    <w:p w14:paraId="1C98A286">
      <w:pPr>
        <w:pStyle w:val="127"/>
        <w:jc w:val="both"/>
        <w:outlineLvl w:val="9"/>
        <w:rPr>
          <w:rFonts w:hint="eastAsia" w:ascii="仿宋" w:hAnsi="仿宋" w:eastAsia="仿宋" w:cs="仿宋"/>
          <w:color w:val="auto"/>
          <w:sz w:val="24"/>
          <w:szCs w:val="24"/>
          <w:highlight w:val="none"/>
          <w:lang w:bidi="ar"/>
        </w:rPr>
      </w:pPr>
    </w:p>
    <w:p w14:paraId="23FBE49C">
      <w:pPr>
        <w:pStyle w:val="127"/>
        <w:jc w:val="both"/>
        <w:outlineLvl w:val="9"/>
        <w:rPr>
          <w:rFonts w:hint="eastAsia" w:ascii="仿宋" w:hAnsi="仿宋" w:eastAsia="仿宋" w:cs="仿宋"/>
          <w:color w:val="auto"/>
          <w:sz w:val="24"/>
          <w:szCs w:val="24"/>
          <w:highlight w:val="none"/>
          <w:lang w:bidi="ar"/>
        </w:rPr>
      </w:pPr>
    </w:p>
    <w:p w14:paraId="2C68BF1F">
      <w:pPr>
        <w:pStyle w:val="127"/>
        <w:tabs>
          <w:tab w:val="left" w:pos="3348"/>
        </w:tabs>
        <w:jc w:val="both"/>
        <w:outlineLvl w:val="9"/>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eastAsia="zh-CN" w:bidi="ar"/>
        </w:rPr>
        <w:tab/>
      </w:r>
    </w:p>
    <w:p w14:paraId="6F735D0B">
      <w:pPr>
        <w:widowControl/>
        <w:textAlignment w:val="center"/>
        <w:outlineLvl w:val="9"/>
        <w:rPr>
          <w:rFonts w:hint="eastAsia" w:ascii="仿宋" w:hAnsi="仿宋" w:eastAsia="仿宋" w:cs="仿宋"/>
          <w:color w:val="auto"/>
          <w:kern w:val="0"/>
          <w:sz w:val="24"/>
          <w:szCs w:val="24"/>
          <w:highlight w:val="none"/>
        </w:rPr>
      </w:pPr>
    </w:p>
    <w:p w14:paraId="239C627F">
      <w:pPr>
        <w:pStyle w:val="16"/>
        <w:outlineLvl w:val="9"/>
        <w:rPr>
          <w:rFonts w:hint="eastAsia" w:ascii="仿宋" w:hAnsi="仿宋" w:eastAsia="仿宋" w:cs="仿宋"/>
          <w:color w:val="auto"/>
          <w:kern w:val="0"/>
          <w:sz w:val="24"/>
          <w:szCs w:val="24"/>
          <w:highlight w:val="none"/>
        </w:rPr>
      </w:pPr>
    </w:p>
    <w:p w14:paraId="3D7827EE">
      <w:pPr>
        <w:pStyle w:val="1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64C14FF">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厂家售后服务承诺</w:t>
      </w:r>
    </w:p>
    <w:p w14:paraId="272EE1A6">
      <w:pPr>
        <w:jc w:val="center"/>
        <w:outlineLvl w:val="9"/>
        <w:rPr>
          <w:rFonts w:hint="eastAsia" w:ascii="仿宋" w:hAnsi="仿宋" w:eastAsia="仿宋" w:cs="仿宋"/>
          <w:b/>
          <w:bCs/>
          <w:color w:val="auto"/>
          <w:kern w:val="0"/>
          <w:sz w:val="24"/>
          <w:szCs w:val="24"/>
          <w:highlight w:val="none"/>
          <w:lang w:val="en-US" w:eastAsia="zh-CN" w:bidi="ar"/>
        </w:rPr>
      </w:pPr>
    </w:p>
    <w:p w14:paraId="588958AE">
      <w:pPr>
        <w:jc w:val="center"/>
        <w:outlineLvl w:val="9"/>
        <w:rPr>
          <w:rFonts w:hint="eastAsia" w:ascii="仿宋" w:hAnsi="仿宋" w:eastAsia="仿宋" w:cs="仿宋"/>
          <w:b/>
          <w:bCs/>
          <w:color w:val="auto"/>
          <w:kern w:val="0"/>
          <w:sz w:val="24"/>
          <w:szCs w:val="24"/>
          <w:highlight w:val="none"/>
          <w:lang w:val="en-US" w:eastAsia="zh-CN" w:bidi="ar"/>
        </w:rPr>
      </w:pPr>
    </w:p>
    <w:p w14:paraId="70B52385">
      <w:pPr>
        <w:jc w:val="center"/>
        <w:outlineLvl w:val="9"/>
        <w:rPr>
          <w:rFonts w:hint="eastAsia" w:ascii="仿宋" w:hAnsi="仿宋" w:eastAsia="仿宋" w:cs="仿宋"/>
          <w:b/>
          <w:bCs/>
          <w:color w:val="auto"/>
          <w:kern w:val="0"/>
          <w:sz w:val="24"/>
          <w:szCs w:val="24"/>
          <w:highlight w:val="none"/>
          <w:lang w:val="en-US" w:eastAsia="zh-CN" w:bidi="ar"/>
        </w:rPr>
      </w:pPr>
    </w:p>
    <w:p w14:paraId="7527E232">
      <w:pPr>
        <w:pStyle w:val="16"/>
        <w:outlineLvl w:val="9"/>
        <w:rPr>
          <w:rFonts w:hint="eastAsia" w:ascii="仿宋" w:hAnsi="仿宋" w:eastAsia="仿宋" w:cs="仿宋"/>
          <w:b/>
          <w:bCs/>
          <w:color w:val="auto"/>
          <w:kern w:val="0"/>
          <w:sz w:val="24"/>
          <w:szCs w:val="24"/>
          <w:highlight w:val="none"/>
          <w:lang w:val="en-US" w:eastAsia="zh-CN" w:bidi="ar"/>
        </w:rPr>
      </w:pPr>
    </w:p>
    <w:p w14:paraId="591FE6A8">
      <w:pPr>
        <w:pStyle w:val="16"/>
        <w:outlineLvl w:val="9"/>
        <w:rPr>
          <w:rFonts w:hint="eastAsia" w:ascii="仿宋" w:hAnsi="仿宋" w:eastAsia="仿宋" w:cs="仿宋"/>
          <w:b/>
          <w:bCs/>
          <w:color w:val="auto"/>
          <w:kern w:val="0"/>
          <w:sz w:val="24"/>
          <w:szCs w:val="24"/>
          <w:highlight w:val="none"/>
          <w:lang w:val="en-US" w:eastAsia="zh-CN" w:bidi="ar"/>
        </w:rPr>
      </w:pPr>
    </w:p>
    <w:p w14:paraId="772EB6CC">
      <w:pPr>
        <w:pStyle w:val="16"/>
        <w:outlineLvl w:val="9"/>
        <w:rPr>
          <w:rFonts w:hint="eastAsia" w:ascii="仿宋" w:hAnsi="仿宋" w:eastAsia="仿宋" w:cs="仿宋"/>
          <w:b/>
          <w:bCs/>
          <w:color w:val="auto"/>
          <w:kern w:val="0"/>
          <w:sz w:val="24"/>
          <w:szCs w:val="24"/>
          <w:highlight w:val="none"/>
          <w:lang w:val="en-US" w:eastAsia="zh-CN" w:bidi="ar"/>
        </w:rPr>
      </w:pPr>
    </w:p>
    <w:p w14:paraId="63903EC8">
      <w:pPr>
        <w:pStyle w:val="16"/>
        <w:outlineLvl w:val="9"/>
        <w:rPr>
          <w:rFonts w:hint="eastAsia" w:ascii="仿宋" w:hAnsi="仿宋" w:eastAsia="仿宋" w:cs="仿宋"/>
          <w:b/>
          <w:bCs/>
          <w:color w:val="auto"/>
          <w:kern w:val="0"/>
          <w:sz w:val="24"/>
          <w:szCs w:val="24"/>
          <w:highlight w:val="none"/>
          <w:lang w:val="en-US" w:eastAsia="zh-CN" w:bidi="ar"/>
        </w:rPr>
      </w:pPr>
    </w:p>
    <w:p w14:paraId="33FC97A6">
      <w:pPr>
        <w:pStyle w:val="16"/>
        <w:outlineLvl w:val="9"/>
        <w:rPr>
          <w:rFonts w:hint="eastAsia" w:ascii="仿宋" w:hAnsi="仿宋" w:eastAsia="仿宋" w:cs="仿宋"/>
          <w:b/>
          <w:bCs/>
          <w:color w:val="auto"/>
          <w:kern w:val="0"/>
          <w:sz w:val="24"/>
          <w:szCs w:val="24"/>
          <w:highlight w:val="none"/>
          <w:lang w:val="en-US" w:eastAsia="zh-CN" w:bidi="ar"/>
        </w:rPr>
      </w:pPr>
    </w:p>
    <w:p w14:paraId="3F83B402">
      <w:pPr>
        <w:pStyle w:val="16"/>
        <w:outlineLvl w:val="9"/>
        <w:rPr>
          <w:rFonts w:hint="eastAsia" w:ascii="仿宋" w:hAnsi="仿宋" w:eastAsia="仿宋" w:cs="仿宋"/>
          <w:b/>
          <w:bCs/>
          <w:color w:val="auto"/>
          <w:kern w:val="0"/>
          <w:sz w:val="24"/>
          <w:szCs w:val="24"/>
          <w:highlight w:val="none"/>
          <w:lang w:val="en-US" w:eastAsia="zh-CN" w:bidi="ar"/>
        </w:rPr>
      </w:pPr>
    </w:p>
    <w:p w14:paraId="22516AEB">
      <w:pPr>
        <w:pStyle w:val="16"/>
        <w:outlineLvl w:val="9"/>
        <w:rPr>
          <w:rFonts w:hint="eastAsia" w:ascii="仿宋" w:hAnsi="仿宋" w:eastAsia="仿宋" w:cs="仿宋"/>
          <w:b/>
          <w:bCs/>
          <w:color w:val="auto"/>
          <w:kern w:val="0"/>
          <w:sz w:val="24"/>
          <w:szCs w:val="24"/>
          <w:highlight w:val="none"/>
          <w:lang w:val="en-US" w:eastAsia="zh-CN" w:bidi="ar"/>
        </w:rPr>
      </w:pPr>
    </w:p>
    <w:p w14:paraId="39011F21">
      <w:pPr>
        <w:pStyle w:val="16"/>
        <w:outlineLvl w:val="9"/>
        <w:rPr>
          <w:rFonts w:hint="eastAsia" w:ascii="仿宋" w:hAnsi="仿宋" w:eastAsia="仿宋" w:cs="仿宋"/>
          <w:b/>
          <w:bCs/>
          <w:color w:val="auto"/>
          <w:kern w:val="0"/>
          <w:sz w:val="24"/>
          <w:szCs w:val="24"/>
          <w:highlight w:val="none"/>
          <w:lang w:val="en-US" w:eastAsia="zh-CN" w:bidi="ar"/>
        </w:rPr>
      </w:pPr>
    </w:p>
    <w:p w14:paraId="2F02CBE9">
      <w:pPr>
        <w:jc w:val="center"/>
        <w:outlineLvl w:val="9"/>
        <w:rPr>
          <w:rFonts w:hint="eastAsia" w:ascii="仿宋" w:hAnsi="仿宋" w:eastAsia="仿宋" w:cs="仿宋"/>
          <w:b/>
          <w:bCs/>
          <w:color w:val="auto"/>
          <w:kern w:val="0"/>
          <w:sz w:val="24"/>
          <w:szCs w:val="24"/>
          <w:highlight w:val="none"/>
          <w:lang w:val="en-US" w:eastAsia="zh-CN" w:bidi="ar"/>
        </w:rPr>
      </w:pPr>
    </w:p>
    <w:p w14:paraId="44B79768">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供应商售后服务承诺(必填)</w:t>
      </w:r>
    </w:p>
    <w:p w14:paraId="34B46B6C">
      <w:pPr>
        <w:jc w:val="center"/>
        <w:outlineLvl w:val="9"/>
        <w:rPr>
          <w:rFonts w:hint="eastAsia" w:ascii="仿宋" w:hAnsi="仿宋" w:eastAsia="仿宋" w:cs="仿宋"/>
          <w:b/>
          <w:bCs/>
          <w:color w:val="auto"/>
          <w:kern w:val="0"/>
          <w:sz w:val="24"/>
          <w:szCs w:val="24"/>
          <w:highlight w:val="none"/>
          <w:lang w:val="en-US" w:eastAsia="zh-CN" w:bidi="ar"/>
        </w:rPr>
      </w:pPr>
    </w:p>
    <w:p w14:paraId="604FCAC4">
      <w:pPr>
        <w:jc w:val="center"/>
        <w:outlineLvl w:val="9"/>
        <w:rPr>
          <w:rFonts w:hint="eastAsia" w:ascii="仿宋" w:hAnsi="仿宋" w:eastAsia="仿宋" w:cs="仿宋"/>
          <w:b/>
          <w:bCs/>
          <w:color w:val="auto"/>
          <w:kern w:val="0"/>
          <w:sz w:val="24"/>
          <w:szCs w:val="24"/>
          <w:highlight w:val="none"/>
          <w:lang w:val="en-US" w:eastAsia="zh-CN" w:bidi="ar"/>
        </w:rPr>
      </w:pPr>
    </w:p>
    <w:p w14:paraId="059204CD">
      <w:pPr>
        <w:jc w:val="center"/>
        <w:outlineLvl w:val="9"/>
        <w:rPr>
          <w:rFonts w:hint="eastAsia" w:ascii="仿宋" w:hAnsi="仿宋" w:eastAsia="仿宋" w:cs="仿宋"/>
          <w:b/>
          <w:bCs/>
          <w:color w:val="auto"/>
          <w:kern w:val="0"/>
          <w:sz w:val="24"/>
          <w:szCs w:val="24"/>
          <w:highlight w:val="none"/>
          <w:lang w:val="en-US" w:eastAsia="zh-CN" w:bidi="ar"/>
        </w:rPr>
      </w:pPr>
    </w:p>
    <w:p w14:paraId="72867C2F">
      <w:pPr>
        <w:jc w:val="center"/>
        <w:outlineLvl w:val="9"/>
        <w:rPr>
          <w:rFonts w:hint="eastAsia" w:ascii="仿宋" w:hAnsi="仿宋" w:eastAsia="仿宋" w:cs="仿宋"/>
          <w:b/>
          <w:bCs/>
          <w:color w:val="auto"/>
          <w:kern w:val="0"/>
          <w:sz w:val="24"/>
          <w:szCs w:val="24"/>
          <w:highlight w:val="none"/>
          <w:lang w:val="en-US" w:eastAsia="zh-CN" w:bidi="ar"/>
        </w:rPr>
      </w:pPr>
    </w:p>
    <w:p w14:paraId="56593269">
      <w:pPr>
        <w:spacing w:before="214" w:line="387" w:lineRule="exact"/>
        <w:outlineLvl w:val="9"/>
        <w:rPr>
          <w:rFonts w:hint="eastAsia" w:ascii="仿宋" w:hAnsi="仿宋" w:eastAsia="仿宋" w:cs="仿宋"/>
          <w:color w:val="auto"/>
          <w:spacing w:val="17"/>
          <w:position w:val="1"/>
          <w:sz w:val="24"/>
          <w:szCs w:val="24"/>
          <w:highlight w:val="none"/>
        </w:rPr>
      </w:pPr>
    </w:p>
    <w:p w14:paraId="71111BC0">
      <w:pPr>
        <w:pStyle w:val="127"/>
        <w:outlineLvl w:val="9"/>
        <w:rPr>
          <w:rFonts w:hint="eastAsia" w:ascii="仿宋" w:hAnsi="仿宋" w:eastAsia="仿宋" w:cs="仿宋"/>
          <w:b w:val="0"/>
          <w:bCs w:val="0"/>
          <w:color w:val="auto"/>
          <w:kern w:val="0"/>
          <w:sz w:val="24"/>
          <w:szCs w:val="24"/>
          <w:highlight w:val="none"/>
          <w:lang w:bidi="ar"/>
        </w:rPr>
      </w:pPr>
      <w:r>
        <w:rPr>
          <w:rFonts w:hint="eastAsia" w:ascii="仿宋" w:hAnsi="仿宋" w:eastAsia="仿宋" w:cs="仿宋"/>
          <w:color w:val="auto"/>
          <w:spacing w:val="17"/>
          <w:position w:val="1"/>
          <w:sz w:val="24"/>
          <w:szCs w:val="24"/>
          <w:highlight w:val="none"/>
        </w:rPr>
        <w:br w:type="page"/>
      </w:r>
      <w:r>
        <w:rPr>
          <w:rFonts w:hint="eastAsia" w:ascii="仿宋" w:hAnsi="仿宋" w:eastAsia="仿宋" w:cs="仿宋"/>
          <w:b/>
          <w:bCs/>
          <w:color w:val="auto"/>
          <w:kern w:val="0"/>
          <w:sz w:val="24"/>
          <w:szCs w:val="24"/>
          <w:highlight w:val="none"/>
          <w:lang w:val="en-US" w:eastAsia="zh-CN" w:bidi="ar"/>
        </w:rPr>
        <w:t>产品注册证/备案证/如非医疗产品的标签（需体现厂家，型号等）</w:t>
      </w:r>
    </w:p>
    <w:p w14:paraId="063BB875">
      <w:pPr>
        <w:outlineLvl w:val="9"/>
        <w:rPr>
          <w:rFonts w:hint="eastAsia" w:ascii="仿宋" w:hAnsi="仿宋" w:eastAsia="仿宋" w:cs="仿宋"/>
          <w:color w:val="auto"/>
          <w:sz w:val="24"/>
          <w:szCs w:val="24"/>
          <w:highlight w:val="none"/>
        </w:rPr>
      </w:pPr>
    </w:p>
    <w:p w14:paraId="5E2C467A">
      <w:pPr>
        <w:pStyle w:val="127"/>
        <w:outlineLvl w:val="9"/>
        <w:rPr>
          <w:rFonts w:hint="eastAsia" w:ascii="仿宋" w:hAnsi="仿宋" w:eastAsia="仿宋" w:cs="仿宋"/>
          <w:color w:val="auto"/>
          <w:kern w:val="0"/>
          <w:sz w:val="24"/>
          <w:szCs w:val="24"/>
          <w:highlight w:val="none"/>
          <w:lang w:bidi="ar"/>
        </w:rPr>
      </w:pPr>
    </w:p>
    <w:p w14:paraId="56655187">
      <w:pPr>
        <w:outlineLvl w:val="9"/>
        <w:rPr>
          <w:rFonts w:hint="eastAsia" w:ascii="仿宋" w:hAnsi="仿宋" w:eastAsia="仿宋" w:cs="仿宋"/>
          <w:b/>
          <w:bCs/>
          <w:color w:val="auto"/>
          <w:sz w:val="24"/>
          <w:szCs w:val="24"/>
          <w:highlight w:val="none"/>
        </w:rPr>
      </w:pPr>
    </w:p>
    <w:p w14:paraId="39B6E03F">
      <w:pPr>
        <w:outlineLvl w:val="9"/>
        <w:rPr>
          <w:rFonts w:hint="eastAsia" w:ascii="仿宋" w:hAnsi="仿宋" w:eastAsia="仿宋" w:cs="仿宋"/>
          <w:color w:val="auto"/>
          <w:sz w:val="24"/>
          <w:szCs w:val="24"/>
          <w:highlight w:val="none"/>
        </w:rPr>
      </w:pPr>
    </w:p>
    <w:p w14:paraId="78196E24">
      <w:pPr>
        <w:outlineLvl w:val="9"/>
        <w:rPr>
          <w:rFonts w:hint="eastAsia" w:ascii="仿宋" w:hAnsi="仿宋" w:eastAsia="仿宋" w:cs="仿宋"/>
          <w:color w:val="auto"/>
          <w:sz w:val="24"/>
          <w:szCs w:val="24"/>
          <w:highlight w:val="none"/>
        </w:rPr>
      </w:pPr>
    </w:p>
    <w:p w14:paraId="42CF0854">
      <w:pPr>
        <w:outlineLvl w:val="9"/>
        <w:rPr>
          <w:rFonts w:hint="eastAsia" w:ascii="仿宋" w:hAnsi="仿宋" w:eastAsia="仿宋" w:cs="仿宋"/>
          <w:color w:val="auto"/>
          <w:sz w:val="24"/>
          <w:szCs w:val="24"/>
          <w:highlight w:val="none"/>
        </w:rPr>
      </w:pPr>
    </w:p>
    <w:p w14:paraId="4F221AFC">
      <w:pPr>
        <w:outlineLvl w:val="9"/>
        <w:rPr>
          <w:rFonts w:hint="eastAsia" w:ascii="仿宋" w:hAnsi="仿宋" w:eastAsia="仿宋" w:cs="仿宋"/>
          <w:color w:val="auto"/>
          <w:sz w:val="24"/>
          <w:szCs w:val="24"/>
          <w:highlight w:val="none"/>
        </w:rPr>
      </w:pPr>
    </w:p>
    <w:p w14:paraId="78AC2D18">
      <w:pPr>
        <w:outlineLvl w:val="9"/>
        <w:rPr>
          <w:rFonts w:hint="eastAsia" w:ascii="仿宋" w:hAnsi="仿宋" w:eastAsia="仿宋" w:cs="仿宋"/>
          <w:color w:val="auto"/>
          <w:sz w:val="24"/>
          <w:szCs w:val="24"/>
          <w:highlight w:val="none"/>
        </w:rPr>
      </w:pPr>
    </w:p>
    <w:p w14:paraId="3F33003D">
      <w:pPr>
        <w:outlineLvl w:val="9"/>
        <w:rPr>
          <w:rFonts w:hint="eastAsia" w:ascii="仿宋" w:hAnsi="仿宋" w:eastAsia="仿宋" w:cs="仿宋"/>
          <w:color w:val="auto"/>
          <w:sz w:val="24"/>
          <w:szCs w:val="24"/>
          <w:highlight w:val="none"/>
        </w:rPr>
      </w:pPr>
    </w:p>
    <w:p w14:paraId="60B27655">
      <w:pPr>
        <w:outlineLvl w:val="9"/>
        <w:rPr>
          <w:rFonts w:hint="eastAsia" w:ascii="仿宋" w:hAnsi="仿宋" w:eastAsia="仿宋" w:cs="仿宋"/>
          <w:color w:val="auto"/>
          <w:sz w:val="24"/>
          <w:szCs w:val="24"/>
          <w:highlight w:val="none"/>
        </w:rPr>
      </w:pPr>
    </w:p>
    <w:p w14:paraId="67E712E2">
      <w:pPr>
        <w:outlineLvl w:val="9"/>
        <w:rPr>
          <w:rFonts w:hint="eastAsia" w:ascii="仿宋" w:hAnsi="仿宋" w:eastAsia="仿宋" w:cs="仿宋"/>
          <w:color w:val="auto"/>
          <w:sz w:val="24"/>
          <w:szCs w:val="24"/>
          <w:highlight w:val="none"/>
        </w:rPr>
      </w:pPr>
    </w:p>
    <w:p w14:paraId="7CF5B19C">
      <w:pPr>
        <w:outlineLvl w:val="9"/>
        <w:rPr>
          <w:rFonts w:hint="eastAsia" w:ascii="仿宋" w:hAnsi="仿宋" w:eastAsia="仿宋" w:cs="仿宋"/>
          <w:color w:val="auto"/>
          <w:sz w:val="24"/>
          <w:szCs w:val="24"/>
          <w:highlight w:val="none"/>
        </w:rPr>
      </w:pPr>
    </w:p>
    <w:p w14:paraId="4C3E6158">
      <w:pPr>
        <w:outlineLvl w:val="9"/>
        <w:rPr>
          <w:rFonts w:hint="eastAsia" w:ascii="仿宋" w:hAnsi="仿宋" w:eastAsia="仿宋" w:cs="仿宋"/>
          <w:color w:val="auto"/>
          <w:sz w:val="24"/>
          <w:szCs w:val="24"/>
          <w:highlight w:val="none"/>
        </w:rPr>
      </w:pPr>
    </w:p>
    <w:p w14:paraId="12F7C38D">
      <w:pPr>
        <w:pStyle w:val="16"/>
        <w:outlineLvl w:val="9"/>
        <w:rPr>
          <w:rFonts w:hint="eastAsia" w:ascii="仿宋" w:hAnsi="仿宋" w:eastAsia="仿宋" w:cs="仿宋"/>
          <w:color w:val="auto"/>
          <w:sz w:val="24"/>
          <w:szCs w:val="24"/>
          <w:highlight w:val="none"/>
        </w:rPr>
      </w:pPr>
    </w:p>
    <w:p w14:paraId="2346E0DC">
      <w:pPr>
        <w:pStyle w:val="127"/>
        <w:outlineLvl w:val="9"/>
        <w:rPr>
          <w:rFonts w:hint="eastAsia" w:ascii="仿宋" w:hAnsi="仿宋" w:eastAsia="仿宋" w:cs="仿宋"/>
          <w:color w:val="auto"/>
          <w:kern w:val="0"/>
          <w:sz w:val="24"/>
          <w:szCs w:val="24"/>
          <w:highlight w:val="none"/>
          <w:lang w:bidi="ar"/>
        </w:rPr>
      </w:pPr>
      <w:r>
        <w:rPr>
          <w:rFonts w:hint="eastAsia" w:ascii="仿宋" w:hAnsi="仿宋" w:eastAsia="仿宋" w:cs="仿宋"/>
          <w:color w:val="auto"/>
          <w:sz w:val="24"/>
          <w:szCs w:val="24"/>
          <w:highlight w:val="none"/>
        </w:rPr>
        <w:br w:type="page"/>
      </w:r>
      <w:bookmarkStart w:id="163" w:name="_Toc10309"/>
      <w:bookmarkStart w:id="164" w:name="_Toc106369833"/>
      <w:bookmarkStart w:id="165" w:name="_Toc55223015"/>
      <w:bookmarkStart w:id="166" w:name="_Toc59807980"/>
      <w:bookmarkStart w:id="167" w:name="_Toc29998"/>
      <w:bookmarkStart w:id="168" w:name="_Toc67303667"/>
      <w:bookmarkStart w:id="169" w:name="_Toc104379508"/>
      <w:r>
        <w:rPr>
          <w:rFonts w:hint="eastAsia" w:ascii="仿宋" w:hAnsi="仿宋" w:eastAsia="仿宋" w:cs="仿宋"/>
          <w:b/>
          <w:bCs/>
          <w:color w:val="auto"/>
          <w:kern w:val="0"/>
          <w:sz w:val="24"/>
          <w:szCs w:val="24"/>
          <w:highlight w:val="none"/>
          <w:lang w:val="en-US" w:eastAsia="zh-CN" w:bidi="ar"/>
        </w:rPr>
        <w:t>附：</w:t>
      </w:r>
      <w:bookmarkEnd w:id="163"/>
      <w:bookmarkEnd w:id="164"/>
      <w:bookmarkEnd w:id="165"/>
      <w:bookmarkEnd w:id="166"/>
      <w:bookmarkEnd w:id="167"/>
      <w:bookmarkEnd w:id="168"/>
      <w:bookmarkEnd w:id="169"/>
      <w:r>
        <w:rPr>
          <w:rFonts w:hint="eastAsia" w:ascii="仿宋" w:hAnsi="仿宋" w:eastAsia="仿宋" w:cs="仿宋"/>
          <w:b/>
          <w:bCs/>
          <w:color w:val="auto"/>
          <w:kern w:val="0"/>
          <w:sz w:val="24"/>
          <w:szCs w:val="24"/>
          <w:highlight w:val="none"/>
          <w:lang w:val="en-US" w:eastAsia="zh-CN" w:bidi="ar"/>
        </w:rPr>
        <w:t>全国个体私营经济发展服务网（小微企业名录）网页查询截图</w:t>
      </w:r>
    </w:p>
    <w:p w14:paraId="291A207B">
      <w:pPr>
        <w:pStyle w:val="127"/>
        <w:outlineLvl w:val="9"/>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查询</w:t>
      </w:r>
      <w:r>
        <w:rPr>
          <w:rFonts w:hint="eastAsia" w:ascii="仿宋" w:hAnsi="仿宋" w:eastAsia="仿宋" w:cs="仿宋"/>
          <w:color w:val="auto"/>
          <w:kern w:val="0"/>
          <w:sz w:val="24"/>
          <w:szCs w:val="24"/>
          <w:highlight w:val="none"/>
          <w:lang w:bidi="ar"/>
        </w:rPr>
        <w:t>网址：</w:t>
      </w:r>
      <w:r>
        <w:rPr>
          <w:rFonts w:hint="eastAsia" w:ascii="仿宋" w:hAnsi="仿宋" w:eastAsia="仿宋" w:cs="仿宋"/>
          <w:color w:val="auto"/>
          <w:kern w:val="0"/>
          <w:sz w:val="24"/>
          <w:szCs w:val="24"/>
          <w:highlight w:val="none"/>
          <w:lang w:bidi="ar"/>
        </w:rPr>
        <w:fldChar w:fldCharType="begin"/>
      </w:r>
      <w:r>
        <w:rPr>
          <w:rFonts w:hint="eastAsia" w:ascii="仿宋" w:hAnsi="仿宋" w:eastAsia="仿宋" w:cs="仿宋"/>
          <w:color w:val="auto"/>
          <w:sz w:val="24"/>
          <w:szCs w:val="24"/>
          <w:highlight w:val="none"/>
        </w:rPr>
        <w:instrText xml:space="preserve"> HYPERLINK "https://xwqy.gsxt.gov.cn/" </w:instrText>
      </w:r>
      <w:r>
        <w:rPr>
          <w:rFonts w:hint="eastAsia" w:ascii="仿宋" w:hAnsi="仿宋" w:eastAsia="仿宋" w:cs="仿宋"/>
          <w:color w:val="auto"/>
          <w:kern w:val="0"/>
          <w:sz w:val="24"/>
          <w:szCs w:val="24"/>
          <w:highlight w:val="none"/>
          <w:lang w:bidi="ar"/>
        </w:rPr>
        <w:fldChar w:fldCharType="separate"/>
      </w:r>
      <w:r>
        <w:rPr>
          <w:rStyle w:val="50"/>
          <w:rFonts w:hint="eastAsia" w:ascii="仿宋" w:hAnsi="仿宋" w:eastAsia="仿宋" w:cs="仿宋"/>
          <w:color w:val="auto"/>
          <w:kern w:val="0"/>
          <w:sz w:val="24"/>
          <w:szCs w:val="24"/>
          <w:highlight w:val="none"/>
          <w:lang w:bidi="ar"/>
        </w:rPr>
        <w:t>https://xwqy.gsxt.gov.cn/</w:t>
      </w:r>
      <w:r>
        <w:rPr>
          <w:rFonts w:hint="eastAsia" w:ascii="仿宋" w:hAnsi="仿宋" w:eastAsia="仿宋" w:cs="仿宋"/>
          <w:color w:val="auto"/>
          <w:kern w:val="0"/>
          <w:sz w:val="24"/>
          <w:szCs w:val="24"/>
          <w:highlight w:val="none"/>
          <w:lang w:bidi="ar"/>
        </w:rPr>
        <w:fldChar w:fldCharType="end"/>
      </w:r>
      <w:r>
        <w:rPr>
          <w:rFonts w:hint="eastAsia" w:ascii="仿宋" w:hAnsi="仿宋" w:eastAsia="仿宋" w:cs="仿宋"/>
          <w:color w:val="auto"/>
          <w:kern w:val="0"/>
          <w:sz w:val="24"/>
          <w:szCs w:val="24"/>
          <w:highlight w:val="none"/>
          <w:lang w:val="en-US" w:eastAsia="zh-CN" w:bidi="ar"/>
        </w:rPr>
        <w:t>）</w:t>
      </w:r>
    </w:p>
    <w:p w14:paraId="3FB7AB76">
      <w:pPr>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
        </w:rPr>
        <w:t>（能提供证明材料就按2%计算履约保证金、不提供按5%计算履约保证金）</w:t>
      </w:r>
    </w:p>
    <w:p w14:paraId="54C79B96">
      <w:pPr>
        <w:pStyle w:val="127"/>
        <w:jc w:val="left"/>
        <w:outlineLvl w:val="9"/>
        <w:rPr>
          <w:rStyle w:val="51"/>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粘贴处：</w:t>
      </w:r>
    </w:p>
    <w:p w14:paraId="27BCF6C4">
      <w:pPr>
        <w:pStyle w:val="16"/>
        <w:outlineLvl w:val="9"/>
        <w:rPr>
          <w:rFonts w:hint="eastAsia" w:ascii="仿宋" w:hAnsi="仿宋" w:eastAsia="仿宋" w:cs="仿宋"/>
          <w:color w:val="auto"/>
          <w:sz w:val="24"/>
          <w:szCs w:val="24"/>
          <w:highlight w:val="none"/>
        </w:rPr>
      </w:pPr>
    </w:p>
    <w:p w14:paraId="1E5E76F0">
      <w:pPr>
        <w:pStyle w:val="1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样张：</w:t>
      </w:r>
    </w:p>
    <w:p w14:paraId="6A925548">
      <w:pPr>
        <w:pStyle w:val="127"/>
        <w:outlineLvl w:val="9"/>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rPr>
        <w:t>附：《全国个体私营经济发展服务网（小微企业名录）》网页查询截图</w:t>
      </w:r>
    </w:p>
    <w:p w14:paraId="4FBF7C55">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rPr>
        <w:drawing>
          <wp:inline distT="0" distB="0" distL="114300" distR="114300">
            <wp:extent cx="4819650" cy="3092450"/>
            <wp:effectExtent l="0" t="0" r="11430" b="12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9"/>
                    <a:stretch>
                      <a:fillRect/>
                    </a:stretch>
                  </pic:blipFill>
                  <pic:spPr>
                    <a:xfrm>
                      <a:off x="0" y="0"/>
                      <a:ext cx="4819650" cy="3092450"/>
                    </a:xfrm>
                    <a:prstGeom prst="rect">
                      <a:avLst/>
                    </a:prstGeom>
                    <a:noFill/>
                    <a:ln>
                      <a:noFill/>
                    </a:ln>
                  </pic:spPr>
                </pic:pic>
              </a:graphicData>
            </a:graphic>
          </wp:inline>
        </w:drawing>
      </w:r>
    </w:p>
    <w:p w14:paraId="45AEC9AB">
      <w:pPr>
        <w:pStyle w:val="16"/>
        <w:rPr>
          <w:rFonts w:hint="eastAsia" w:ascii="仿宋" w:hAnsi="仿宋" w:eastAsia="仿宋" w:cs="仿宋"/>
          <w:b/>
          <w:bCs/>
          <w:color w:val="auto"/>
          <w:kern w:val="0"/>
          <w:sz w:val="24"/>
          <w:szCs w:val="24"/>
          <w:highlight w:val="none"/>
          <w:lang w:val="en-US" w:eastAsia="zh-CN" w:bidi="ar"/>
        </w:rPr>
      </w:pPr>
    </w:p>
    <w:p w14:paraId="26CF87EF">
      <w:pPr>
        <w:pStyle w:val="16"/>
        <w:rPr>
          <w:rFonts w:hint="eastAsia" w:ascii="仿宋" w:hAnsi="仿宋" w:eastAsia="仿宋" w:cs="仿宋"/>
          <w:b/>
          <w:bCs/>
          <w:color w:val="auto"/>
          <w:kern w:val="0"/>
          <w:sz w:val="24"/>
          <w:szCs w:val="24"/>
          <w:highlight w:val="none"/>
          <w:lang w:val="en-US" w:eastAsia="zh-CN" w:bidi="ar"/>
        </w:rPr>
      </w:pPr>
    </w:p>
    <w:p w14:paraId="5CCF7CB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4"/>
          <w:szCs w:val="24"/>
          <w:highlight w:val="none"/>
        </w:rPr>
        <w:drawing>
          <wp:inline distT="0" distB="0" distL="114300" distR="114300">
            <wp:extent cx="4944110" cy="2951480"/>
            <wp:effectExtent l="0" t="0" r="889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0"/>
                    <a:srcRect t="10944"/>
                    <a:stretch>
                      <a:fillRect/>
                    </a:stretch>
                  </pic:blipFill>
                  <pic:spPr>
                    <a:xfrm>
                      <a:off x="0" y="0"/>
                      <a:ext cx="4944110" cy="2951480"/>
                    </a:xfrm>
                    <a:prstGeom prst="rect">
                      <a:avLst/>
                    </a:prstGeom>
                    <a:noFill/>
                    <a:ln>
                      <a:noFill/>
                    </a:ln>
                  </pic:spPr>
                </pic:pic>
              </a:graphicData>
            </a:graphic>
          </wp:inline>
        </w:drawing>
      </w:r>
    </w:p>
    <w:p w14:paraId="6BB44630">
      <w:pPr>
        <w:jc w:val="center"/>
        <w:outlineLvl w:val="9"/>
        <w:rPr>
          <w:rFonts w:hint="eastAsia" w:ascii="仿宋" w:hAnsi="仿宋" w:eastAsia="仿宋" w:cs="仿宋"/>
          <w:b/>
          <w:bCs/>
          <w:color w:val="auto"/>
          <w:kern w:val="0"/>
          <w:sz w:val="24"/>
          <w:szCs w:val="24"/>
          <w:highlight w:val="none"/>
          <w:lang w:val="en-US" w:eastAsia="zh-CN" w:bidi="ar"/>
        </w:rPr>
      </w:pPr>
    </w:p>
    <w:p w14:paraId="381931E1">
      <w:pPr>
        <w:jc w:val="center"/>
        <w:outlineLvl w:val="9"/>
        <w:rPr>
          <w:rFonts w:hint="eastAsia" w:ascii="仿宋" w:hAnsi="仿宋" w:eastAsia="仿宋" w:cs="仿宋"/>
          <w:b/>
          <w:bCs/>
          <w:color w:val="auto"/>
          <w:kern w:val="0"/>
          <w:sz w:val="24"/>
          <w:szCs w:val="24"/>
          <w:highlight w:val="none"/>
          <w:lang w:val="en-US" w:eastAsia="zh-CN" w:bidi="ar"/>
        </w:rPr>
      </w:pPr>
    </w:p>
    <w:p w14:paraId="2481FA03">
      <w:pPr>
        <w:jc w:val="both"/>
        <w:outlineLvl w:val="9"/>
        <w:rPr>
          <w:rFonts w:hint="eastAsia" w:ascii="仿宋" w:hAnsi="仿宋" w:eastAsia="仿宋" w:cs="仿宋"/>
          <w:b/>
          <w:bCs/>
          <w:color w:val="auto"/>
          <w:kern w:val="0"/>
          <w:sz w:val="24"/>
          <w:szCs w:val="24"/>
          <w:highlight w:val="none"/>
          <w:lang w:val="en-US" w:eastAsia="zh-CN" w:bidi="ar"/>
        </w:rPr>
      </w:pPr>
    </w:p>
    <w:p w14:paraId="52B6D4C1">
      <w:pPr>
        <w:jc w:val="center"/>
        <w:outlineLvl w:val="9"/>
        <w:rPr>
          <w:rFonts w:hint="eastAsia" w:ascii="仿宋" w:hAnsi="仿宋" w:eastAsia="仿宋" w:cs="仿宋"/>
          <w:b/>
          <w:bCs/>
          <w:color w:val="auto"/>
          <w:kern w:val="0"/>
          <w:sz w:val="24"/>
          <w:szCs w:val="24"/>
          <w:highlight w:val="none"/>
          <w:lang w:val="en-US" w:eastAsia="zh-CN" w:bidi="ar"/>
        </w:rPr>
      </w:pPr>
    </w:p>
    <w:p w14:paraId="54A1DCA2">
      <w:pPr>
        <w:jc w:val="center"/>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履约保证金银行转账或电汇回单</w:t>
      </w:r>
    </w:p>
    <w:p w14:paraId="6C02DEC2">
      <w:pPr>
        <w:outlineLvl w:val="9"/>
        <w:rPr>
          <w:rFonts w:hint="eastAsia" w:ascii="仿宋" w:hAnsi="仿宋" w:eastAsia="仿宋" w:cs="仿宋"/>
          <w:color w:val="auto"/>
          <w:sz w:val="24"/>
          <w:szCs w:val="24"/>
          <w:highlight w:val="none"/>
        </w:rPr>
      </w:pPr>
    </w:p>
    <w:p w14:paraId="2E7BEC4A">
      <w:pPr>
        <w:outlineLvl w:val="9"/>
        <w:rPr>
          <w:rFonts w:hint="eastAsia" w:ascii="仿宋" w:hAnsi="仿宋" w:eastAsia="仿宋" w:cs="仿宋"/>
          <w:color w:val="auto"/>
          <w:sz w:val="24"/>
          <w:szCs w:val="24"/>
          <w:highlight w:val="none"/>
        </w:rPr>
      </w:pPr>
    </w:p>
    <w:p w14:paraId="1C77B39E">
      <w:pPr>
        <w:outlineLvl w:val="9"/>
        <w:rPr>
          <w:rFonts w:hint="eastAsia" w:ascii="仿宋" w:hAnsi="仿宋" w:eastAsia="仿宋" w:cs="仿宋"/>
          <w:color w:val="auto"/>
          <w:sz w:val="24"/>
          <w:szCs w:val="24"/>
          <w:highlight w:val="none"/>
        </w:rPr>
      </w:pPr>
    </w:p>
    <w:p w14:paraId="30B8527E">
      <w:pPr>
        <w:jc w:val="center"/>
        <w:outlineLvl w:val="9"/>
        <w:rPr>
          <w:rFonts w:hint="eastAsia" w:ascii="仿宋" w:hAnsi="仿宋" w:eastAsia="仿宋" w:cs="仿宋"/>
          <w:color w:val="auto"/>
          <w:sz w:val="24"/>
          <w:szCs w:val="24"/>
          <w:highlight w:val="none"/>
        </w:rPr>
      </w:pPr>
    </w:p>
    <w:p w14:paraId="2E1EA68F">
      <w:pPr>
        <w:snapToGrid w:val="0"/>
        <w:spacing w:line="400" w:lineRule="exact"/>
        <w:jc w:val="center"/>
        <w:outlineLvl w:val="9"/>
        <w:rPr>
          <w:rFonts w:hint="eastAsia" w:ascii="仿宋" w:hAnsi="仿宋" w:eastAsia="仿宋" w:cs="仿宋"/>
          <w:b/>
          <w:color w:val="auto"/>
          <w:sz w:val="32"/>
          <w:szCs w:val="32"/>
          <w:highlight w:val="none"/>
        </w:rPr>
      </w:pPr>
    </w:p>
    <w:p w14:paraId="7F7B3B3A">
      <w:pPr>
        <w:pStyle w:val="3"/>
        <w:keepNext w:val="0"/>
        <w:keepLines w:val="0"/>
        <w:jc w:val="center"/>
        <w:rPr>
          <w:rFonts w:hint="eastAsia" w:ascii="仿宋" w:hAnsi="仿宋" w:eastAsia="仿宋" w:cs="仿宋"/>
          <w:color w:val="auto"/>
          <w:highlight w:val="none"/>
        </w:rPr>
      </w:pPr>
      <w:bookmarkStart w:id="170" w:name="_Toc28977"/>
      <w:bookmarkStart w:id="171" w:name="_Toc19686834"/>
      <w:bookmarkStart w:id="172" w:name="_Toc26676"/>
      <w:r>
        <w:rPr>
          <w:rFonts w:hint="eastAsia" w:ascii="仿宋" w:hAnsi="仿宋" w:eastAsia="仿宋" w:cs="仿宋"/>
          <w:color w:val="auto"/>
          <w:highlight w:val="none"/>
        </w:rPr>
        <w:t>第六章　投标文件格式</w:t>
      </w:r>
      <w:bookmarkEnd w:id="170"/>
      <w:bookmarkEnd w:id="171"/>
      <w:bookmarkEnd w:id="172"/>
    </w:p>
    <w:p w14:paraId="4F14CDE1">
      <w:pPr>
        <w:snapToGrid w:val="0"/>
        <w:spacing w:before="120" w:beforeLines="50" w:after="50"/>
        <w:jc w:val="center"/>
        <w:rPr>
          <w:rFonts w:hint="eastAsia" w:ascii="仿宋" w:hAnsi="仿宋" w:eastAsia="仿宋" w:cs="仿宋"/>
          <w:bCs/>
          <w:color w:val="auto"/>
          <w:highlight w:val="none"/>
        </w:rPr>
      </w:pPr>
    </w:p>
    <w:p w14:paraId="7B98D6BA">
      <w:pPr>
        <w:snapToGrid w:val="0"/>
        <w:spacing w:before="120" w:beforeLines="50" w:after="50"/>
        <w:jc w:val="center"/>
        <w:rPr>
          <w:rFonts w:hint="eastAsia" w:ascii="仿宋" w:hAnsi="仿宋" w:eastAsia="仿宋" w:cs="仿宋"/>
          <w:bCs/>
          <w:color w:val="auto"/>
          <w:sz w:val="24"/>
          <w:szCs w:val="20"/>
          <w:highlight w:val="none"/>
        </w:rPr>
      </w:pPr>
    </w:p>
    <w:p w14:paraId="3E1DC612">
      <w:pPr>
        <w:snapToGrid w:val="0"/>
        <w:spacing w:before="120" w:beforeLines="50" w:after="50"/>
        <w:jc w:val="center"/>
        <w:rPr>
          <w:rFonts w:hint="eastAsia" w:ascii="仿宋" w:hAnsi="仿宋" w:eastAsia="仿宋" w:cs="仿宋"/>
          <w:bCs/>
          <w:color w:val="auto"/>
          <w:sz w:val="24"/>
          <w:szCs w:val="20"/>
          <w:highlight w:val="none"/>
        </w:rPr>
      </w:pPr>
    </w:p>
    <w:p w14:paraId="3DD79C30">
      <w:pPr>
        <w:snapToGrid w:val="0"/>
        <w:spacing w:before="120" w:beforeLines="50" w:after="50"/>
        <w:jc w:val="center"/>
        <w:rPr>
          <w:rFonts w:hint="eastAsia" w:ascii="仿宋" w:hAnsi="仿宋" w:eastAsia="仿宋" w:cs="仿宋"/>
          <w:bCs/>
          <w:color w:val="auto"/>
          <w:sz w:val="24"/>
          <w:szCs w:val="20"/>
          <w:highlight w:val="none"/>
        </w:rPr>
      </w:pPr>
    </w:p>
    <w:p w14:paraId="1E2EDC59">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21B4C40D">
      <w:pPr>
        <w:snapToGrid w:val="0"/>
        <w:spacing w:before="120" w:beforeLines="50" w:after="50"/>
        <w:jc w:val="center"/>
        <w:rPr>
          <w:rFonts w:hint="eastAsia" w:ascii="仿宋" w:hAnsi="仿宋" w:eastAsia="仿宋" w:cs="仿宋"/>
          <w:bCs/>
          <w:color w:val="auto"/>
          <w:sz w:val="24"/>
          <w:szCs w:val="20"/>
          <w:highlight w:val="none"/>
        </w:rPr>
      </w:pPr>
    </w:p>
    <w:p w14:paraId="1C7472A4">
      <w:pPr>
        <w:snapToGrid w:val="0"/>
        <w:spacing w:before="120" w:beforeLines="50" w:after="50"/>
        <w:jc w:val="center"/>
        <w:rPr>
          <w:rFonts w:hint="eastAsia" w:ascii="仿宋" w:hAnsi="仿宋" w:eastAsia="仿宋" w:cs="仿宋"/>
          <w:bCs/>
          <w:color w:val="auto"/>
          <w:sz w:val="24"/>
          <w:szCs w:val="20"/>
          <w:highlight w:val="none"/>
        </w:rPr>
      </w:pPr>
    </w:p>
    <w:p w14:paraId="3583CC55">
      <w:pPr>
        <w:snapToGrid w:val="0"/>
        <w:spacing w:before="120" w:beforeLines="50" w:after="50"/>
        <w:jc w:val="center"/>
        <w:rPr>
          <w:rFonts w:hint="eastAsia" w:ascii="仿宋" w:hAnsi="仿宋" w:eastAsia="仿宋" w:cs="仿宋"/>
          <w:bCs/>
          <w:color w:val="auto"/>
          <w:sz w:val="24"/>
          <w:szCs w:val="20"/>
          <w:highlight w:val="none"/>
        </w:rPr>
      </w:pPr>
    </w:p>
    <w:p w14:paraId="35B35C02">
      <w:pPr>
        <w:snapToGrid w:val="0"/>
        <w:spacing w:before="120" w:beforeLines="50" w:after="50"/>
        <w:jc w:val="center"/>
        <w:rPr>
          <w:rFonts w:hint="eastAsia" w:ascii="仿宋" w:hAnsi="仿宋" w:eastAsia="仿宋" w:cs="仿宋"/>
          <w:bCs/>
          <w:color w:val="auto"/>
          <w:sz w:val="24"/>
          <w:szCs w:val="20"/>
          <w:highlight w:val="none"/>
        </w:rPr>
      </w:pPr>
    </w:p>
    <w:p w14:paraId="365910E7">
      <w:pPr>
        <w:snapToGrid w:val="0"/>
        <w:spacing w:before="120" w:beforeLines="50" w:after="50"/>
        <w:jc w:val="center"/>
        <w:rPr>
          <w:rFonts w:hint="eastAsia" w:ascii="仿宋" w:hAnsi="仿宋" w:eastAsia="仿宋" w:cs="仿宋"/>
          <w:bCs/>
          <w:color w:val="auto"/>
          <w:sz w:val="24"/>
          <w:szCs w:val="20"/>
          <w:highlight w:val="none"/>
        </w:rPr>
      </w:pPr>
    </w:p>
    <w:p w14:paraId="4F649249">
      <w:pPr>
        <w:snapToGrid w:val="0"/>
        <w:spacing w:before="120" w:beforeLines="50" w:after="50"/>
        <w:jc w:val="center"/>
        <w:rPr>
          <w:rFonts w:hint="eastAsia" w:ascii="仿宋" w:hAnsi="仿宋" w:eastAsia="仿宋" w:cs="仿宋"/>
          <w:bCs/>
          <w:color w:val="auto"/>
          <w:sz w:val="24"/>
          <w:szCs w:val="20"/>
          <w:highlight w:val="none"/>
        </w:rPr>
      </w:pPr>
    </w:p>
    <w:p w14:paraId="04E8ACFA">
      <w:pPr>
        <w:snapToGrid w:val="0"/>
        <w:spacing w:before="120" w:beforeLines="50" w:after="50"/>
        <w:jc w:val="center"/>
        <w:rPr>
          <w:rFonts w:hint="eastAsia" w:ascii="仿宋" w:hAnsi="仿宋" w:eastAsia="仿宋" w:cs="仿宋"/>
          <w:bCs/>
          <w:color w:val="auto"/>
          <w:sz w:val="24"/>
          <w:szCs w:val="20"/>
          <w:highlight w:val="none"/>
        </w:rPr>
      </w:pPr>
    </w:p>
    <w:p w14:paraId="445CADC9">
      <w:pPr>
        <w:snapToGrid w:val="0"/>
        <w:spacing w:before="120" w:beforeLines="50" w:after="50"/>
        <w:jc w:val="center"/>
        <w:rPr>
          <w:rFonts w:hint="eastAsia" w:ascii="仿宋" w:hAnsi="仿宋" w:eastAsia="仿宋" w:cs="仿宋"/>
          <w:bCs/>
          <w:color w:val="auto"/>
          <w:sz w:val="24"/>
          <w:szCs w:val="20"/>
          <w:highlight w:val="none"/>
        </w:rPr>
      </w:pPr>
    </w:p>
    <w:p w14:paraId="43431E0E">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16FCF51B">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36E2AA3D">
      <w:pPr>
        <w:snapToGrid w:val="0"/>
        <w:spacing w:before="120" w:beforeLines="50" w:after="50"/>
        <w:ind w:firstLine="422" w:firstLineChars="150"/>
        <w:rPr>
          <w:rFonts w:hint="default"/>
          <w:color w:val="auto"/>
          <w:highlight w:val="none"/>
          <w:lang w:val="en-US"/>
        </w:rPr>
      </w:pPr>
      <w:r>
        <w:rPr>
          <w:rFonts w:hint="eastAsia" w:ascii="仿宋" w:hAnsi="仿宋" w:eastAsia="仿宋" w:cs="仿宋"/>
          <w:b/>
          <w:bCs/>
          <w:color w:val="auto"/>
          <w:sz w:val="28"/>
          <w:szCs w:val="28"/>
          <w:highlight w:val="none"/>
          <w:lang w:val="en-US" w:eastAsia="zh-CN"/>
        </w:rPr>
        <w:t>分    标</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如有</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 xml:space="preserve">                       </w:t>
      </w:r>
    </w:p>
    <w:p w14:paraId="4ECFFFDD">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76FE5EA">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469704E2">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34FA4E64">
      <w:pPr>
        <w:snapToGrid w:val="0"/>
        <w:spacing w:before="120" w:beforeLines="50" w:after="50"/>
        <w:ind w:firstLine="422" w:firstLineChars="150"/>
        <w:rPr>
          <w:rFonts w:hint="eastAsia" w:ascii="仿宋" w:hAnsi="仿宋" w:eastAsia="仿宋" w:cs="仿宋"/>
          <w:b/>
          <w:bCs/>
          <w:color w:val="auto"/>
          <w:sz w:val="28"/>
          <w:szCs w:val="28"/>
          <w:highlight w:val="none"/>
          <w:u w:val="single"/>
        </w:rPr>
      </w:pPr>
    </w:p>
    <w:p w14:paraId="02D2FC04">
      <w:pPr>
        <w:snapToGrid w:val="0"/>
        <w:spacing w:before="120" w:beforeLines="50" w:after="50"/>
        <w:jc w:val="center"/>
        <w:rPr>
          <w:rFonts w:hint="eastAsia" w:ascii="仿宋" w:hAnsi="仿宋" w:eastAsia="仿宋" w:cs="仿宋"/>
          <w:bCs/>
          <w:color w:val="auto"/>
          <w:sz w:val="24"/>
          <w:highlight w:val="none"/>
        </w:rPr>
      </w:pPr>
      <w:r>
        <w:rPr>
          <w:rFonts w:hint="eastAsia" w:ascii="仿宋" w:hAnsi="仿宋" w:eastAsia="仿宋" w:cs="仿宋"/>
          <w:bCs/>
          <w:color w:val="auto"/>
          <w:sz w:val="24"/>
          <w:szCs w:val="20"/>
          <w:highlight w:val="none"/>
        </w:rPr>
        <w:t>投标截止时间前不得启封</w:t>
      </w:r>
    </w:p>
    <w:p w14:paraId="6A26C76A">
      <w:pPr>
        <w:snapToGrid w:val="0"/>
        <w:spacing w:before="120" w:beforeLines="50" w:after="50"/>
        <w:jc w:val="center"/>
        <w:rPr>
          <w:rFonts w:hint="eastAsia" w:ascii="仿宋" w:hAnsi="仿宋" w:eastAsia="仿宋" w:cs="仿宋"/>
          <w:color w:val="auto"/>
          <w:highlight w:val="none"/>
        </w:rPr>
      </w:pPr>
      <w:r>
        <w:rPr>
          <w:rFonts w:hint="eastAsia" w:ascii="仿宋" w:hAnsi="仿宋" w:eastAsia="仿宋" w:cs="仿宋"/>
          <w:bCs/>
          <w:color w:val="auto"/>
          <w:sz w:val="24"/>
          <w:highlight w:val="none"/>
        </w:rPr>
        <w:t>年    月    日</w:t>
      </w:r>
      <w:r>
        <w:rPr>
          <w:rFonts w:hint="eastAsia" w:ascii="仿宋" w:hAnsi="仿宋" w:eastAsia="仿宋" w:cs="仿宋"/>
          <w:color w:val="auto"/>
          <w:highlight w:val="none"/>
        </w:rPr>
        <w:br w:type="page"/>
      </w:r>
    </w:p>
    <w:p w14:paraId="7C6970D3">
      <w:pPr>
        <w:pStyle w:val="4"/>
        <w:keepNext w:val="0"/>
        <w:keepLines w:val="0"/>
        <w:spacing w:line="415" w:lineRule="auto"/>
        <w:jc w:val="center"/>
        <w:rPr>
          <w:rFonts w:hint="eastAsia" w:ascii="仿宋" w:hAnsi="仿宋" w:eastAsia="仿宋" w:cs="仿宋"/>
          <w:color w:val="auto"/>
          <w:highlight w:val="none"/>
        </w:rPr>
      </w:pPr>
      <w:bookmarkStart w:id="173" w:name="_Toc19686836"/>
      <w:bookmarkStart w:id="174" w:name="_Toc254970698"/>
      <w:bookmarkStart w:id="175" w:name="_Toc254970557"/>
      <w:r>
        <w:rPr>
          <w:rFonts w:hint="eastAsia" w:ascii="仿宋" w:hAnsi="仿宋" w:eastAsia="仿宋" w:cs="仿宋"/>
          <w:color w:val="auto"/>
          <w:highlight w:val="none"/>
        </w:rPr>
        <w:t>投标文件格式</w:t>
      </w:r>
      <w:bookmarkEnd w:id="173"/>
    </w:p>
    <w:p w14:paraId="0CC87B30">
      <w:pPr>
        <w:snapToGrid w:val="0"/>
        <w:spacing w:before="120" w:beforeLines="50" w:after="50" w:line="360" w:lineRule="auto"/>
        <w:jc w:val="left"/>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t>投标文件封面格式：</w:t>
      </w:r>
    </w:p>
    <w:p w14:paraId="056519DC">
      <w:pPr>
        <w:snapToGrid w:val="0"/>
        <w:spacing w:before="120" w:beforeLines="50" w:after="50" w:line="400" w:lineRule="exact"/>
        <w:jc w:val="right"/>
        <w:rPr>
          <w:rFonts w:hint="eastAsia" w:ascii="仿宋" w:hAnsi="仿宋" w:eastAsia="仿宋" w:cs="仿宋"/>
          <w:b/>
          <w:bCs/>
          <w:color w:val="auto"/>
          <w:sz w:val="32"/>
          <w:szCs w:val="20"/>
          <w:highlight w:val="none"/>
        </w:rPr>
      </w:pPr>
      <w:r>
        <w:rPr>
          <w:rFonts w:hint="eastAsia" w:ascii="仿宋" w:hAnsi="仿宋" w:eastAsia="仿宋" w:cs="仿宋"/>
          <w:color w:val="auto"/>
          <w:sz w:val="24"/>
          <w:highlight w:val="none"/>
        </w:rPr>
        <w:t xml:space="preserve">                                                   </w:t>
      </w:r>
      <w:bookmarkStart w:id="176" w:name="_Hlk114737731"/>
      <w:r>
        <w:rPr>
          <w:rFonts w:hint="eastAsia" w:ascii="仿宋" w:hAnsi="仿宋" w:eastAsia="仿宋" w:cs="仿宋"/>
          <w:color w:val="auto"/>
          <w:sz w:val="24"/>
          <w:highlight w:val="none"/>
        </w:rPr>
        <w:t xml:space="preserve"> </w:t>
      </w:r>
      <w:r>
        <w:rPr>
          <w:rFonts w:hint="eastAsia" w:ascii="仿宋" w:hAnsi="仿宋" w:eastAsia="仿宋" w:cs="仿宋"/>
          <w:b/>
          <w:bCs/>
          <w:color w:val="auto"/>
          <w:highlight w:val="none"/>
        </w:rPr>
        <w:t>全流程电子标文件</w:t>
      </w:r>
      <w:bookmarkEnd w:id="176"/>
    </w:p>
    <w:p w14:paraId="6AA85F4A">
      <w:pPr>
        <w:snapToGrid w:val="0"/>
        <w:spacing w:before="120" w:beforeLines="50" w:after="50" w:line="400" w:lineRule="exact"/>
        <w:jc w:val="center"/>
        <w:rPr>
          <w:rFonts w:hint="eastAsia" w:ascii="仿宋" w:hAnsi="仿宋" w:eastAsia="仿宋" w:cs="仿宋"/>
          <w:bCs/>
          <w:color w:val="auto"/>
          <w:sz w:val="24"/>
          <w:szCs w:val="20"/>
          <w:highlight w:val="none"/>
        </w:rPr>
      </w:pPr>
    </w:p>
    <w:p w14:paraId="52318B9B">
      <w:pPr>
        <w:snapToGrid w:val="0"/>
        <w:spacing w:before="120" w:beforeLines="50" w:after="50" w:line="400" w:lineRule="exact"/>
        <w:jc w:val="center"/>
        <w:rPr>
          <w:rFonts w:hint="eastAsia" w:ascii="仿宋" w:hAnsi="仿宋" w:eastAsia="仿宋" w:cs="仿宋"/>
          <w:bCs/>
          <w:color w:val="auto"/>
          <w:sz w:val="24"/>
          <w:szCs w:val="20"/>
          <w:highlight w:val="none"/>
        </w:rPr>
      </w:pPr>
    </w:p>
    <w:p w14:paraId="0C25E118">
      <w:pPr>
        <w:snapToGrid w:val="0"/>
        <w:spacing w:before="120" w:beforeLines="50" w:after="50" w:line="400" w:lineRule="exact"/>
        <w:jc w:val="center"/>
        <w:rPr>
          <w:rFonts w:hint="eastAsia" w:ascii="仿宋" w:hAnsi="仿宋" w:eastAsia="仿宋" w:cs="仿宋"/>
          <w:bCs/>
          <w:color w:val="auto"/>
          <w:sz w:val="24"/>
          <w:szCs w:val="20"/>
          <w:highlight w:val="none"/>
        </w:rPr>
      </w:pPr>
    </w:p>
    <w:p w14:paraId="7BB92BD4">
      <w:pPr>
        <w:snapToGrid w:val="0"/>
        <w:spacing w:before="120" w:beforeLines="50" w:after="50" w:line="400" w:lineRule="exact"/>
        <w:jc w:val="center"/>
        <w:rPr>
          <w:rFonts w:hint="eastAsia" w:ascii="仿宋" w:hAnsi="仿宋" w:eastAsia="仿宋" w:cs="仿宋"/>
          <w:bCs/>
          <w:color w:val="auto"/>
          <w:sz w:val="24"/>
          <w:szCs w:val="20"/>
          <w:highlight w:val="none"/>
        </w:rPr>
      </w:pPr>
    </w:p>
    <w:p w14:paraId="4206369A">
      <w:pPr>
        <w:snapToGrid w:val="0"/>
        <w:spacing w:before="120" w:beforeLines="50" w:after="50" w:line="400" w:lineRule="exact"/>
        <w:jc w:val="center"/>
        <w:rPr>
          <w:rFonts w:hint="eastAsia" w:ascii="仿宋" w:hAnsi="仿宋" w:eastAsia="仿宋" w:cs="仿宋"/>
          <w:bCs/>
          <w:color w:val="auto"/>
          <w:sz w:val="24"/>
          <w:szCs w:val="20"/>
          <w:highlight w:val="none"/>
        </w:rPr>
      </w:pPr>
    </w:p>
    <w:p w14:paraId="4B856C3C">
      <w:pPr>
        <w:snapToGrid w:val="0"/>
        <w:spacing w:before="120" w:beforeLines="50" w:after="50" w:line="400" w:lineRule="exact"/>
        <w:jc w:val="center"/>
        <w:rPr>
          <w:rFonts w:hint="eastAsia" w:ascii="仿宋" w:hAnsi="仿宋" w:eastAsia="仿宋" w:cs="仿宋"/>
          <w:bCs/>
          <w:color w:val="auto"/>
          <w:sz w:val="24"/>
          <w:szCs w:val="20"/>
          <w:highlight w:val="none"/>
        </w:rPr>
      </w:pPr>
    </w:p>
    <w:p w14:paraId="2D7BF573">
      <w:pPr>
        <w:snapToGrid w:val="0"/>
        <w:spacing w:before="120" w:beforeLines="50" w:after="50"/>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投 标 文 件</w:t>
      </w:r>
    </w:p>
    <w:p w14:paraId="0D64895D">
      <w:pPr>
        <w:snapToGrid w:val="0"/>
        <w:spacing w:before="120" w:beforeLines="50" w:after="50" w:line="400" w:lineRule="exact"/>
        <w:jc w:val="center"/>
        <w:rPr>
          <w:rFonts w:hint="eastAsia" w:ascii="仿宋" w:hAnsi="仿宋" w:eastAsia="仿宋" w:cs="仿宋"/>
          <w:bCs/>
          <w:color w:val="auto"/>
          <w:sz w:val="24"/>
          <w:szCs w:val="20"/>
          <w:highlight w:val="none"/>
        </w:rPr>
      </w:pPr>
    </w:p>
    <w:p w14:paraId="2A92AEF8">
      <w:pPr>
        <w:snapToGrid w:val="0"/>
        <w:spacing w:before="120" w:beforeLines="50" w:after="50" w:line="400" w:lineRule="exact"/>
        <w:jc w:val="center"/>
        <w:rPr>
          <w:rFonts w:hint="eastAsia" w:ascii="仿宋" w:hAnsi="仿宋" w:eastAsia="仿宋" w:cs="仿宋"/>
          <w:bCs/>
          <w:color w:val="auto"/>
          <w:sz w:val="24"/>
          <w:szCs w:val="20"/>
          <w:highlight w:val="none"/>
        </w:rPr>
      </w:pPr>
    </w:p>
    <w:p w14:paraId="75D0F936">
      <w:pPr>
        <w:snapToGrid w:val="0"/>
        <w:spacing w:before="120" w:beforeLines="50" w:after="50" w:line="400" w:lineRule="exact"/>
        <w:jc w:val="center"/>
        <w:rPr>
          <w:rFonts w:hint="eastAsia" w:ascii="仿宋" w:hAnsi="仿宋" w:eastAsia="仿宋" w:cs="仿宋"/>
          <w:bCs/>
          <w:color w:val="auto"/>
          <w:sz w:val="24"/>
          <w:szCs w:val="20"/>
          <w:highlight w:val="none"/>
        </w:rPr>
      </w:pPr>
    </w:p>
    <w:p w14:paraId="475B6117">
      <w:pPr>
        <w:snapToGrid w:val="0"/>
        <w:spacing w:before="120" w:beforeLines="50" w:after="50" w:line="400" w:lineRule="exact"/>
        <w:jc w:val="center"/>
        <w:rPr>
          <w:rFonts w:hint="eastAsia" w:ascii="仿宋" w:hAnsi="仿宋" w:eastAsia="仿宋" w:cs="仿宋"/>
          <w:bCs/>
          <w:color w:val="auto"/>
          <w:sz w:val="24"/>
          <w:szCs w:val="20"/>
          <w:highlight w:val="none"/>
        </w:rPr>
      </w:pPr>
    </w:p>
    <w:p w14:paraId="3BF4D829">
      <w:pPr>
        <w:snapToGrid w:val="0"/>
        <w:spacing w:before="120" w:beforeLines="50" w:after="50" w:line="400" w:lineRule="exact"/>
        <w:jc w:val="center"/>
        <w:rPr>
          <w:rFonts w:hint="eastAsia" w:ascii="仿宋" w:hAnsi="仿宋" w:eastAsia="仿宋" w:cs="仿宋"/>
          <w:bCs/>
          <w:color w:val="auto"/>
          <w:sz w:val="24"/>
          <w:szCs w:val="20"/>
          <w:highlight w:val="none"/>
        </w:rPr>
      </w:pPr>
    </w:p>
    <w:p w14:paraId="202EFB6B">
      <w:pPr>
        <w:snapToGrid w:val="0"/>
        <w:spacing w:before="120" w:beforeLines="50" w:after="50" w:line="400" w:lineRule="exact"/>
        <w:jc w:val="center"/>
        <w:rPr>
          <w:rFonts w:hint="eastAsia" w:ascii="仿宋" w:hAnsi="仿宋" w:eastAsia="仿宋" w:cs="仿宋"/>
          <w:bCs/>
          <w:color w:val="auto"/>
          <w:sz w:val="24"/>
          <w:szCs w:val="20"/>
          <w:highlight w:val="none"/>
        </w:rPr>
      </w:pPr>
    </w:p>
    <w:p w14:paraId="6BA1F6F3">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p>
    <w:p w14:paraId="7B42F081">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u w:val="single"/>
        </w:rPr>
        <w:t xml:space="preserve">                                  </w:t>
      </w:r>
    </w:p>
    <w:p w14:paraId="1118CE55">
      <w:pPr>
        <w:snapToGrid w:val="0"/>
        <w:spacing w:before="120" w:beforeLines="50" w:after="50"/>
        <w:ind w:firstLine="422" w:firstLineChars="150"/>
        <w:rPr>
          <w:rFonts w:hint="default"/>
          <w:color w:val="auto"/>
          <w:highlight w:val="none"/>
          <w:lang w:val="en-US"/>
        </w:rPr>
      </w:pPr>
      <w:r>
        <w:rPr>
          <w:rFonts w:hint="eastAsia" w:ascii="仿宋" w:hAnsi="仿宋" w:eastAsia="仿宋" w:cs="仿宋"/>
          <w:b/>
          <w:bCs/>
          <w:color w:val="auto"/>
          <w:sz w:val="28"/>
          <w:szCs w:val="28"/>
          <w:highlight w:val="none"/>
          <w:lang w:val="en-US" w:eastAsia="zh-CN"/>
        </w:rPr>
        <w:t>分    标</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如有</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 xml:space="preserve">                     </w:t>
      </w:r>
    </w:p>
    <w:p w14:paraId="43B737E1">
      <w:pPr>
        <w:snapToGrid w:val="0"/>
        <w:spacing w:before="120" w:beforeLines="50" w:after="50"/>
        <w:ind w:firstLine="422" w:firstLineChars="1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投标人名称：</w:t>
      </w:r>
      <w:r>
        <w:rPr>
          <w:rFonts w:hint="eastAsia" w:ascii="仿宋" w:hAnsi="仿宋" w:eastAsia="仿宋" w:cs="仿宋"/>
          <w:b/>
          <w:bCs/>
          <w:color w:val="auto"/>
          <w:sz w:val="28"/>
          <w:szCs w:val="28"/>
          <w:highlight w:val="none"/>
          <w:u w:val="single"/>
        </w:rPr>
        <w:t xml:space="preserve">                                </w:t>
      </w:r>
    </w:p>
    <w:p w14:paraId="48744650">
      <w:pPr>
        <w:snapToGrid w:val="0"/>
        <w:spacing w:before="120" w:beforeLines="50" w:after="50"/>
        <w:ind w:firstLine="422" w:firstLineChars="150"/>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投标人地址：</w:t>
      </w:r>
      <w:r>
        <w:rPr>
          <w:rFonts w:hint="eastAsia" w:ascii="仿宋" w:hAnsi="仿宋" w:eastAsia="仿宋" w:cs="仿宋"/>
          <w:b/>
          <w:bCs/>
          <w:color w:val="auto"/>
          <w:sz w:val="28"/>
          <w:szCs w:val="28"/>
          <w:highlight w:val="none"/>
          <w:u w:val="single"/>
        </w:rPr>
        <w:t xml:space="preserve">                                </w:t>
      </w:r>
    </w:p>
    <w:p w14:paraId="5412E7BB">
      <w:pPr>
        <w:pStyle w:val="6"/>
        <w:snapToGrid w:val="0"/>
        <w:spacing w:before="50" w:after="50" w:line="400" w:lineRule="exact"/>
        <w:ind w:firstLine="960" w:firstLineChars="400"/>
        <w:rPr>
          <w:rFonts w:hint="eastAsia" w:ascii="仿宋" w:hAnsi="仿宋" w:eastAsia="仿宋" w:cs="仿宋"/>
          <w:bCs/>
          <w:color w:val="auto"/>
          <w:sz w:val="24"/>
          <w:szCs w:val="24"/>
          <w:highlight w:val="none"/>
        </w:rPr>
      </w:pPr>
    </w:p>
    <w:p w14:paraId="2AB2DF4F">
      <w:pPr>
        <w:snapToGrid w:val="0"/>
        <w:spacing w:before="120" w:beforeLines="50" w:after="50" w:line="400" w:lineRule="exact"/>
        <w:rPr>
          <w:rFonts w:hint="eastAsia" w:ascii="仿宋" w:hAnsi="仿宋" w:eastAsia="仿宋" w:cs="仿宋"/>
          <w:b/>
          <w:color w:val="auto"/>
          <w:sz w:val="30"/>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年   月   日</w:t>
      </w:r>
    </w:p>
    <w:p w14:paraId="4EF5564E">
      <w:pPr>
        <w:snapToGrid w:val="0"/>
        <w:spacing w:before="120" w:beforeLines="50" w:after="50" w:line="360" w:lineRule="auto"/>
        <w:jc w:val="center"/>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bCs/>
          <w:color w:val="auto"/>
          <w:sz w:val="24"/>
          <w:highlight w:val="none"/>
        </w:rPr>
        <w:t>投标文件目录</w:t>
      </w:r>
    </w:p>
    <w:p w14:paraId="35963CD7">
      <w:pPr>
        <w:snapToGrid w:val="0"/>
        <w:spacing w:before="5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t>注：投标文件目录根据招标文件规定及投标人提供的材料自行编写目录（部分格式后附）。</w:t>
      </w:r>
    </w:p>
    <w:p w14:paraId="356DDE26">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投标函格式：</w:t>
      </w:r>
    </w:p>
    <w:p w14:paraId="0B6AAB76">
      <w:pPr>
        <w:snapToGrid w:val="0"/>
        <w:spacing w:before="120" w:beforeLines="50" w:after="5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 标 函</w:t>
      </w:r>
    </w:p>
    <w:p w14:paraId="42760C8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51B59F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_____     _</w:t>
      </w:r>
      <w:r>
        <w:rPr>
          <w:rFonts w:hint="eastAsia" w:ascii="仿宋" w:hAnsi="仿宋" w:eastAsia="仿宋" w:cs="仿宋"/>
          <w:color w:val="auto"/>
          <w:sz w:val="24"/>
          <w:highlight w:val="none"/>
        </w:rPr>
        <w:t>_）的招标公告，签字代表______</w:t>
      </w:r>
      <w:r>
        <w:rPr>
          <w:rFonts w:hint="eastAsia" w:ascii="仿宋" w:hAnsi="仿宋" w:eastAsia="仿宋" w:cs="仿宋"/>
          <w:color w:val="auto"/>
          <w:sz w:val="24"/>
          <w:highlight w:val="none"/>
          <w:u w:val="single"/>
        </w:rPr>
        <w:t xml:space="preserve">_     </w:t>
      </w:r>
      <w:r>
        <w:rPr>
          <w:rFonts w:hint="eastAsia" w:ascii="仿宋" w:hAnsi="仿宋" w:eastAsia="仿宋" w:cs="仿宋"/>
          <w:color w:val="auto"/>
          <w:sz w:val="24"/>
          <w:highlight w:val="none"/>
        </w:rPr>
        <w:t>（姓名）经正式授权并代表投标人</w:t>
      </w:r>
      <w:r>
        <w:rPr>
          <w:rFonts w:hint="eastAsia" w:ascii="仿宋" w:hAnsi="仿宋" w:eastAsia="仿宋" w:cs="仿宋"/>
          <w:color w:val="auto"/>
          <w:sz w:val="24"/>
          <w:highlight w:val="none"/>
          <w:u w:val="single"/>
        </w:rPr>
        <w:t>_______                  __</w:t>
      </w:r>
      <w:r>
        <w:rPr>
          <w:rFonts w:hint="eastAsia" w:ascii="仿宋" w:hAnsi="仿宋" w:eastAsia="仿宋" w:cs="仿宋"/>
          <w:color w:val="auto"/>
          <w:sz w:val="24"/>
          <w:highlight w:val="none"/>
        </w:rPr>
        <w:t>（投标人名称）提交投标文件。</w:t>
      </w:r>
    </w:p>
    <w:p w14:paraId="7CF2233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据此函，我方宣布同意如下：</w:t>
      </w:r>
    </w:p>
    <w:p w14:paraId="16AB13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60ACC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2.我方在投标之前已经完全理解并接受招标文件的各项规定和要求，对招标文件的合理性、合法性不再有异议。</w:t>
      </w:r>
    </w:p>
    <w:p w14:paraId="71A8CBF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3.我方承诺投标文件的投标有效期与招标文件第三章投标人须知前附表中要求的投标有效期一致。</w:t>
      </w:r>
    </w:p>
    <w:p w14:paraId="50F5E8E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4.如中标，本投标文件至本项目合同履行完毕止均保持有效，我方将按“招标文件”及政府采购法律、法规的规定履行合同责任和义务。</w:t>
      </w:r>
    </w:p>
    <w:p w14:paraId="6373E436">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5.我方同意按照贵方要求提供与投标有关的一切数据或者资料。</w:t>
      </w:r>
    </w:p>
    <w:p w14:paraId="0150C2D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6.我方向贵方提交的所有投标文件、资料都是准确的和真实的。</w:t>
      </w:r>
    </w:p>
    <w:p w14:paraId="6F16DE1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7.如中标，本投标文件至本项目合同履行完毕止均保持有效，我方将按“招标文件”及政府采购法律、法规的规定履行合同责任和义务，并承诺不分包及转包他人。</w:t>
      </w:r>
    </w:p>
    <w:p w14:paraId="74A15A6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50C05B0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0F14E6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C6614A7">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□我方本次投标文件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5D1209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9.与本投标有关的一切正式往来信函请寄：</w:t>
      </w:r>
    </w:p>
    <w:p w14:paraId="6DA380B2">
      <w:pPr>
        <w:snapToGrid w:val="0"/>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p>
    <w:p w14:paraId="6871C503">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p>
    <w:p w14:paraId="284E725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p>
    <w:p w14:paraId="685AB17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85B36AD">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法定代表人或者委托代理人签字:___________ </w:t>
      </w:r>
    </w:p>
    <w:p w14:paraId="4DC14023">
      <w:pPr>
        <w:pStyle w:val="23"/>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投标人（盖公章或电子签章）：</w:t>
      </w:r>
    </w:p>
    <w:p w14:paraId="4ECF589F">
      <w:pPr>
        <w:pStyle w:val="23"/>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DF503E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color w:val="auto"/>
          <w:highlight w:val="none"/>
          <w:u w:val="single"/>
        </w:rPr>
        <w:br w:type="page"/>
      </w:r>
      <w:r>
        <w:rPr>
          <w:rFonts w:hint="eastAsia" w:ascii="仿宋" w:hAnsi="仿宋" w:eastAsia="仿宋" w:cs="仿宋"/>
          <w:b/>
          <w:color w:val="auto"/>
          <w:sz w:val="24"/>
          <w:highlight w:val="none"/>
        </w:rPr>
        <w:t>开标一览表（货物类格式）</w:t>
      </w:r>
    </w:p>
    <w:p w14:paraId="139E726D">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开标一览表</w:t>
      </w:r>
    </w:p>
    <w:p w14:paraId="50E1268E">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1E26CF6">
      <w:pPr>
        <w:snapToGrid w:val="0"/>
        <w:spacing w:before="50" w:after="50"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分标：</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如有</w:t>
      </w:r>
      <w:r>
        <w:rPr>
          <w:rFonts w:hint="eastAsia" w:ascii="仿宋" w:hAnsi="仿宋" w:eastAsia="仿宋" w:cs="仿宋"/>
          <w:color w:val="auto"/>
          <w:sz w:val="24"/>
          <w:highlight w:val="none"/>
          <w:u w:val="single"/>
        </w:rPr>
        <w:t xml:space="preserve">） </w:t>
      </w:r>
    </w:p>
    <w:p w14:paraId="7EC386DE">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0D7C7D2">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单位：元</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6"/>
        <w:gridCol w:w="1317"/>
        <w:gridCol w:w="873"/>
        <w:gridCol w:w="2187"/>
        <w:gridCol w:w="1018"/>
        <w:gridCol w:w="2417"/>
      </w:tblGrid>
      <w:tr w14:paraId="3B8C9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9C62B3E">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4D91718C">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产品名称</w:t>
            </w:r>
          </w:p>
        </w:tc>
        <w:tc>
          <w:tcPr>
            <w:tcW w:w="512" w:type="pct"/>
            <w:tcBorders>
              <w:top w:val="single" w:color="auto" w:sz="4" w:space="0"/>
              <w:left w:val="single" w:color="auto" w:sz="4" w:space="0"/>
              <w:bottom w:val="single" w:color="auto" w:sz="4" w:space="0"/>
              <w:right w:val="single" w:color="auto" w:sz="4" w:space="0"/>
            </w:tcBorders>
            <w:vAlign w:val="center"/>
          </w:tcPr>
          <w:p w14:paraId="099C317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1282" w:type="pct"/>
            <w:tcBorders>
              <w:top w:val="single" w:color="auto" w:sz="4" w:space="0"/>
              <w:left w:val="single" w:color="auto" w:sz="4" w:space="0"/>
              <w:bottom w:val="single" w:color="auto" w:sz="4" w:space="0"/>
              <w:right w:val="single" w:color="auto" w:sz="4" w:space="0"/>
            </w:tcBorders>
            <w:vAlign w:val="center"/>
          </w:tcPr>
          <w:p w14:paraId="659A6E60">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数量及单位①</w:t>
            </w:r>
          </w:p>
        </w:tc>
        <w:tc>
          <w:tcPr>
            <w:tcW w:w="597" w:type="pct"/>
            <w:tcBorders>
              <w:top w:val="single" w:color="auto" w:sz="4" w:space="0"/>
              <w:left w:val="single" w:color="auto" w:sz="4" w:space="0"/>
              <w:bottom w:val="single" w:color="auto" w:sz="4" w:space="0"/>
              <w:right w:val="single" w:color="auto" w:sz="4" w:space="0"/>
            </w:tcBorders>
            <w:vAlign w:val="center"/>
          </w:tcPr>
          <w:p w14:paraId="14CBEC3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单价②</w:t>
            </w:r>
          </w:p>
        </w:tc>
        <w:tc>
          <w:tcPr>
            <w:tcW w:w="1417" w:type="pct"/>
            <w:tcBorders>
              <w:top w:val="single" w:color="auto" w:sz="4" w:space="0"/>
              <w:left w:val="single" w:color="auto" w:sz="4" w:space="0"/>
              <w:bottom w:val="single" w:color="auto" w:sz="4" w:space="0"/>
              <w:right w:val="single" w:color="auto" w:sz="4" w:space="0"/>
            </w:tcBorders>
            <w:vAlign w:val="center"/>
          </w:tcPr>
          <w:p w14:paraId="61B0DB67">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投标报价③=①×②</w:t>
            </w:r>
          </w:p>
        </w:tc>
      </w:tr>
      <w:tr w14:paraId="18958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7D74004">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772" w:type="pct"/>
            <w:tcBorders>
              <w:top w:val="single" w:color="auto" w:sz="4" w:space="0"/>
              <w:left w:val="single" w:color="auto" w:sz="4" w:space="0"/>
              <w:bottom w:val="single" w:color="auto" w:sz="4" w:space="0"/>
              <w:right w:val="single" w:color="auto" w:sz="4" w:space="0"/>
            </w:tcBorders>
            <w:vAlign w:val="center"/>
          </w:tcPr>
          <w:p w14:paraId="25332FB7">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5BF88D23">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6E35193F">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5B9BBBC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7721D0B">
            <w:pPr>
              <w:snapToGrid w:val="0"/>
              <w:spacing w:line="360" w:lineRule="exact"/>
              <w:rPr>
                <w:rFonts w:hint="eastAsia" w:ascii="仿宋" w:hAnsi="仿宋" w:eastAsia="仿宋" w:cs="仿宋"/>
                <w:color w:val="auto"/>
                <w:sz w:val="24"/>
                <w:highlight w:val="none"/>
              </w:rPr>
            </w:pPr>
          </w:p>
        </w:tc>
      </w:tr>
      <w:tr w14:paraId="308FF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02"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F9D7FD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772" w:type="pct"/>
            <w:tcBorders>
              <w:top w:val="single" w:color="auto" w:sz="4" w:space="0"/>
              <w:left w:val="single" w:color="auto" w:sz="4" w:space="0"/>
              <w:bottom w:val="single" w:color="auto" w:sz="4" w:space="0"/>
              <w:right w:val="single" w:color="auto" w:sz="4" w:space="0"/>
            </w:tcBorders>
            <w:vAlign w:val="center"/>
          </w:tcPr>
          <w:p w14:paraId="52028868">
            <w:pPr>
              <w:snapToGrid w:val="0"/>
              <w:spacing w:line="360" w:lineRule="exact"/>
              <w:jc w:val="center"/>
              <w:rPr>
                <w:rFonts w:hint="eastAsia" w:ascii="仿宋" w:hAnsi="仿宋" w:eastAsia="仿宋" w:cs="仿宋"/>
                <w:b/>
                <w:color w:val="auto"/>
                <w:sz w:val="24"/>
                <w:highlight w:val="none"/>
              </w:rPr>
            </w:pPr>
          </w:p>
        </w:tc>
        <w:tc>
          <w:tcPr>
            <w:tcW w:w="512" w:type="pct"/>
            <w:tcBorders>
              <w:top w:val="single" w:color="auto" w:sz="4" w:space="0"/>
              <w:left w:val="single" w:color="auto" w:sz="4" w:space="0"/>
              <w:bottom w:val="single" w:color="auto" w:sz="4" w:space="0"/>
              <w:right w:val="single" w:color="auto" w:sz="4" w:space="0"/>
            </w:tcBorders>
            <w:vAlign w:val="center"/>
          </w:tcPr>
          <w:p w14:paraId="70E403AE">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424B006B">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600C44D4">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1AE389FF">
            <w:pPr>
              <w:snapToGrid w:val="0"/>
              <w:spacing w:line="360" w:lineRule="exact"/>
              <w:rPr>
                <w:rFonts w:hint="eastAsia" w:ascii="仿宋" w:hAnsi="仿宋" w:eastAsia="仿宋" w:cs="仿宋"/>
                <w:color w:val="auto"/>
                <w:sz w:val="24"/>
                <w:highlight w:val="none"/>
              </w:rPr>
            </w:pPr>
          </w:p>
        </w:tc>
      </w:tr>
      <w:tr w14:paraId="3F176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6F5316D">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772" w:type="pct"/>
            <w:tcBorders>
              <w:top w:val="single" w:color="auto" w:sz="4" w:space="0"/>
              <w:left w:val="single" w:color="auto" w:sz="4" w:space="0"/>
              <w:bottom w:val="single" w:color="auto" w:sz="4" w:space="0"/>
              <w:right w:val="single" w:color="auto" w:sz="4" w:space="0"/>
            </w:tcBorders>
            <w:vAlign w:val="center"/>
          </w:tcPr>
          <w:p w14:paraId="4A1FFDD2">
            <w:pPr>
              <w:snapToGrid w:val="0"/>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w:t>
            </w:r>
          </w:p>
        </w:tc>
        <w:tc>
          <w:tcPr>
            <w:tcW w:w="512" w:type="pct"/>
            <w:tcBorders>
              <w:top w:val="single" w:color="auto" w:sz="4" w:space="0"/>
              <w:left w:val="single" w:color="auto" w:sz="4" w:space="0"/>
              <w:bottom w:val="single" w:color="auto" w:sz="4" w:space="0"/>
              <w:right w:val="single" w:color="auto" w:sz="4" w:space="0"/>
            </w:tcBorders>
            <w:vAlign w:val="center"/>
          </w:tcPr>
          <w:p w14:paraId="17E4B254">
            <w:pPr>
              <w:snapToGrid w:val="0"/>
              <w:spacing w:line="360" w:lineRule="exact"/>
              <w:rPr>
                <w:rFonts w:hint="eastAsia" w:ascii="仿宋" w:hAnsi="仿宋" w:eastAsia="仿宋" w:cs="仿宋"/>
                <w:color w:val="auto"/>
                <w:sz w:val="24"/>
                <w:highlight w:val="none"/>
              </w:rPr>
            </w:pPr>
          </w:p>
        </w:tc>
        <w:tc>
          <w:tcPr>
            <w:tcW w:w="1282" w:type="pct"/>
            <w:tcBorders>
              <w:top w:val="single" w:color="auto" w:sz="4" w:space="0"/>
              <w:left w:val="single" w:color="auto" w:sz="4" w:space="0"/>
              <w:bottom w:val="single" w:color="auto" w:sz="4" w:space="0"/>
              <w:right w:val="single" w:color="auto" w:sz="4" w:space="0"/>
            </w:tcBorders>
            <w:vAlign w:val="center"/>
          </w:tcPr>
          <w:p w14:paraId="5C2F3886">
            <w:pPr>
              <w:snapToGrid w:val="0"/>
              <w:spacing w:line="360" w:lineRule="exact"/>
              <w:rPr>
                <w:rFonts w:hint="eastAsia" w:ascii="仿宋" w:hAnsi="仿宋" w:eastAsia="仿宋" w:cs="仿宋"/>
                <w:color w:val="auto"/>
                <w:sz w:val="24"/>
                <w:highlight w:val="none"/>
              </w:rPr>
            </w:pPr>
          </w:p>
        </w:tc>
        <w:tc>
          <w:tcPr>
            <w:tcW w:w="597" w:type="pct"/>
            <w:tcBorders>
              <w:top w:val="single" w:color="auto" w:sz="4" w:space="0"/>
              <w:left w:val="single" w:color="auto" w:sz="4" w:space="0"/>
              <w:bottom w:val="single" w:color="auto" w:sz="4" w:space="0"/>
              <w:right w:val="single" w:color="auto" w:sz="4" w:space="0"/>
            </w:tcBorders>
            <w:vAlign w:val="center"/>
          </w:tcPr>
          <w:p w14:paraId="77172E23">
            <w:pPr>
              <w:snapToGrid w:val="0"/>
              <w:spacing w:line="360" w:lineRule="exact"/>
              <w:rPr>
                <w:rFonts w:hint="eastAsia" w:ascii="仿宋" w:hAnsi="仿宋" w:eastAsia="仿宋" w:cs="仿宋"/>
                <w:color w:val="auto"/>
                <w:sz w:val="24"/>
                <w:highlight w:val="none"/>
              </w:rPr>
            </w:pPr>
          </w:p>
        </w:tc>
        <w:tc>
          <w:tcPr>
            <w:tcW w:w="1417" w:type="pct"/>
            <w:tcBorders>
              <w:top w:val="single" w:color="auto" w:sz="4" w:space="0"/>
              <w:left w:val="single" w:color="auto" w:sz="4" w:space="0"/>
              <w:bottom w:val="single" w:color="auto" w:sz="4" w:space="0"/>
              <w:right w:val="single" w:color="auto" w:sz="4" w:space="0"/>
            </w:tcBorders>
            <w:vAlign w:val="center"/>
          </w:tcPr>
          <w:p w14:paraId="6F4D18C1">
            <w:pPr>
              <w:snapToGrid w:val="0"/>
              <w:spacing w:line="360" w:lineRule="exact"/>
              <w:rPr>
                <w:rFonts w:hint="eastAsia" w:ascii="仿宋" w:hAnsi="仿宋" w:eastAsia="仿宋" w:cs="仿宋"/>
                <w:color w:val="auto"/>
                <w:sz w:val="24"/>
                <w:highlight w:val="none"/>
              </w:rPr>
            </w:pPr>
          </w:p>
        </w:tc>
      </w:tr>
      <w:tr w14:paraId="57DA0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855EC31">
            <w:pPr>
              <w:spacing w:line="36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报价合计：（大写）人民币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63AB4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3A71E88">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61DADC5C">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1F6DA926">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1.投标人的开标一览表必须加盖投标人（盖公章或电子签章）并由法定代表人或者委托代理人（签字或者电子签名），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7E09BB6B">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1F82883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2E343AFA">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78E700C8">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49A4A2E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086F0B71">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6F8207F">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240096C0">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168178F6">
      <w:pPr>
        <w:snapToGrid w:val="0"/>
        <w:spacing w:before="50" w:after="5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column"/>
      </w:r>
      <w:r>
        <w:rPr>
          <w:rFonts w:hint="eastAsia" w:ascii="仿宋" w:hAnsi="仿宋" w:eastAsia="仿宋" w:cs="仿宋"/>
          <w:b/>
          <w:color w:val="auto"/>
          <w:sz w:val="24"/>
          <w:highlight w:val="none"/>
        </w:rPr>
        <w:t>报价明细表</w:t>
      </w:r>
    </w:p>
    <w:p w14:paraId="000A3583">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1F642D1">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分标：</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如有</w:t>
      </w:r>
      <w:r>
        <w:rPr>
          <w:rFonts w:hint="eastAsia" w:ascii="仿宋" w:hAnsi="仿宋" w:eastAsia="仿宋" w:cs="仿宋"/>
          <w:color w:val="auto"/>
          <w:sz w:val="24"/>
          <w:highlight w:val="none"/>
          <w:u w:val="single"/>
        </w:rPr>
        <w:t xml:space="preserve">） </w:t>
      </w:r>
    </w:p>
    <w:p w14:paraId="22B38249">
      <w:pPr>
        <w:snapToGrid w:val="0"/>
        <w:spacing w:before="50" w:after="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单位：元</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80"/>
        <w:gridCol w:w="1080"/>
        <w:gridCol w:w="1359"/>
        <w:gridCol w:w="1064"/>
        <w:gridCol w:w="1046"/>
        <w:gridCol w:w="1133"/>
        <w:gridCol w:w="1107"/>
      </w:tblGrid>
      <w:tr w14:paraId="3255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87" w:type="pct"/>
            <w:vAlign w:val="center"/>
          </w:tcPr>
          <w:p w14:paraId="0D6C6FE8">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633" w:type="pct"/>
            <w:vAlign w:val="center"/>
          </w:tcPr>
          <w:p w14:paraId="140DD16E">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产品名称</w:t>
            </w:r>
          </w:p>
        </w:tc>
        <w:tc>
          <w:tcPr>
            <w:tcW w:w="633" w:type="pct"/>
            <w:vAlign w:val="center"/>
          </w:tcPr>
          <w:p w14:paraId="71281AA3">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商标品牌</w:t>
            </w:r>
          </w:p>
        </w:tc>
        <w:tc>
          <w:tcPr>
            <w:tcW w:w="797" w:type="pct"/>
            <w:vAlign w:val="center"/>
          </w:tcPr>
          <w:p w14:paraId="2A92C977">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规格型号</w:t>
            </w:r>
          </w:p>
        </w:tc>
        <w:tc>
          <w:tcPr>
            <w:tcW w:w="624" w:type="pct"/>
            <w:vAlign w:val="center"/>
          </w:tcPr>
          <w:p w14:paraId="5C47A395">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生产厂家</w:t>
            </w:r>
          </w:p>
        </w:tc>
        <w:tc>
          <w:tcPr>
            <w:tcW w:w="613" w:type="pct"/>
            <w:vAlign w:val="center"/>
          </w:tcPr>
          <w:p w14:paraId="28FD3910">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数量及单位</w:t>
            </w:r>
          </w:p>
        </w:tc>
        <w:tc>
          <w:tcPr>
            <w:tcW w:w="664" w:type="pct"/>
            <w:vAlign w:val="center"/>
          </w:tcPr>
          <w:p w14:paraId="1582E359">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单价(元)</w:t>
            </w:r>
          </w:p>
        </w:tc>
        <w:tc>
          <w:tcPr>
            <w:tcW w:w="649" w:type="pct"/>
            <w:vAlign w:val="center"/>
          </w:tcPr>
          <w:p w14:paraId="59587A36">
            <w:pPr>
              <w:spacing w:line="4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总价(元)</w:t>
            </w:r>
          </w:p>
        </w:tc>
      </w:tr>
      <w:tr w14:paraId="46D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10A71C07">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633" w:type="pct"/>
            <w:vAlign w:val="center"/>
          </w:tcPr>
          <w:p w14:paraId="75EAE5CC">
            <w:pPr>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（产品名称必须与注册证一致）</w:t>
            </w:r>
          </w:p>
        </w:tc>
        <w:tc>
          <w:tcPr>
            <w:tcW w:w="633" w:type="pct"/>
            <w:vAlign w:val="center"/>
          </w:tcPr>
          <w:p w14:paraId="4F7EB839">
            <w:pPr>
              <w:spacing w:line="400" w:lineRule="exact"/>
              <w:rPr>
                <w:rFonts w:hint="eastAsia" w:ascii="仿宋" w:hAnsi="仿宋" w:eastAsia="仿宋" w:cs="仿宋"/>
                <w:color w:val="auto"/>
                <w:szCs w:val="21"/>
                <w:highlight w:val="none"/>
              </w:rPr>
            </w:pPr>
          </w:p>
        </w:tc>
        <w:tc>
          <w:tcPr>
            <w:tcW w:w="797" w:type="pct"/>
            <w:vAlign w:val="center"/>
          </w:tcPr>
          <w:p w14:paraId="4B6E38F3">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（规格型号必须与注册证一致）</w:t>
            </w:r>
          </w:p>
        </w:tc>
        <w:tc>
          <w:tcPr>
            <w:tcW w:w="624" w:type="pct"/>
            <w:vAlign w:val="center"/>
          </w:tcPr>
          <w:p w14:paraId="5E8B9EBD">
            <w:pPr>
              <w:spacing w:line="400" w:lineRule="exact"/>
              <w:jc w:val="center"/>
              <w:rPr>
                <w:rFonts w:hint="eastAsia" w:ascii="仿宋" w:hAnsi="仿宋" w:eastAsia="仿宋" w:cs="仿宋"/>
                <w:color w:val="auto"/>
                <w:szCs w:val="21"/>
                <w:highlight w:val="none"/>
              </w:rPr>
            </w:pPr>
          </w:p>
        </w:tc>
        <w:tc>
          <w:tcPr>
            <w:tcW w:w="613" w:type="pct"/>
            <w:vAlign w:val="center"/>
          </w:tcPr>
          <w:p w14:paraId="2D55980C">
            <w:pPr>
              <w:spacing w:line="400" w:lineRule="exact"/>
              <w:jc w:val="center"/>
              <w:rPr>
                <w:rFonts w:hint="eastAsia" w:ascii="仿宋" w:hAnsi="仿宋" w:eastAsia="仿宋" w:cs="仿宋"/>
                <w:color w:val="auto"/>
                <w:szCs w:val="21"/>
                <w:highlight w:val="none"/>
              </w:rPr>
            </w:pPr>
          </w:p>
        </w:tc>
        <w:tc>
          <w:tcPr>
            <w:tcW w:w="664" w:type="pct"/>
            <w:vAlign w:val="center"/>
          </w:tcPr>
          <w:p w14:paraId="47B6C09A">
            <w:pPr>
              <w:spacing w:line="400" w:lineRule="exact"/>
              <w:jc w:val="center"/>
              <w:rPr>
                <w:rFonts w:hint="eastAsia" w:ascii="仿宋" w:hAnsi="仿宋" w:eastAsia="仿宋" w:cs="仿宋"/>
                <w:color w:val="auto"/>
                <w:szCs w:val="21"/>
                <w:highlight w:val="none"/>
              </w:rPr>
            </w:pPr>
          </w:p>
        </w:tc>
        <w:tc>
          <w:tcPr>
            <w:tcW w:w="649" w:type="pct"/>
            <w:vAlign w:val="center"/>
          </w:tcPr>
          <w:p w14:paraId="4907AF48">
            <w:pPr>
              <w:spacing w:line="400" w:lineRule="exact"/>
              <w:jc w:val="center"/>
              <w:rPr>
                <w:rFonts w:hint="eastAsia" w:ascii="仿宋" w:hAnsi="仿宋" w:eastAsia="仿宋" w:cs="仿宋"/>
                <w:color w:val="auto"/>
                <w:szCs w:val="21"/>
                <w:highlight w:val="none"/>
              </w:rPr>
            </w:pPr>
          </w:p>
        </w:tc>
      </w:tr>
      <w:tr w14:paraId="5D0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87" w:type="pct"/>
            <w:vAlign w:val="center"/>
          </w:tcPr>
          <w:p w14:paraId="5C51C2EE">
            <w:pPr>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33" w:type="pct"/>
            <w:vAlign w:val="center"/>
          </w:tcPr>
          <w:p w14:paraId="47B01EF8">
            <w:pPr>
              <w:spacing w:line="400" w:lineRule="exact"/>
              <w:rPr>
                <w:rFonts w:hint="eastAsia" w:ascii="仿宋" w:hAnsi="仿宋" w:eastAsia="仿宋" w:cs="仿宋"/>
                <w:color w:val="auto"/>
                <w:szCs w:val="21"/>
                <w:highlight w:val="none"/>
              </w:rPr>
            </w:pPr>
          </w:p>
        </w:tc>
        <w:tc>
          <w:tcPr>
            <w:tcW w:w="633" w:type="pct"/>
            <w:vAlign w:val="center"/>
          </w:tcPr>
          <w:p w14:paraId="4AA0E942">
            <w:pPr>
              <w:spacing w:line="400" w:lineRule="exact"/>
              <w:rPr>
                <w:rFonts w:hint="eastAsia" w:ascii="仿宋" w:hAnsi="仿宋" w:eastAsia="仿宋" w:cs="仿宋"/>
                <w:color w:val="auto"/>
                <w:szCs w:val="21"/>
                <w:highlight w:val="none"/>
              </w:rPr>
            </w:pPr>
          </w:p>
        </w:tc>
        <w:tc>
          <w:tcPr>
            <w:tcW w:w="797" w:type="pct"/>
            <w:vAlign w:val="center"/>
          </w:tcPr>
          <w:p w14:paraId="1A2168AA">
            <w:pPr>
              <w:spacing w:line="400" w:lineRule="exact"/>
              <w:jc w:val="center"/>
              <w:rPr>
                <w:rFonts w:hint="eastAsia" w:ascii="仿宋" w:hAnsi="仿宋" w:eastAsia="仿宋" w:cs="仿宋"/>
                <w:color w:val="auto"/>
                <w:szCs w:val="21"/>
                <w:highlight w:val="none"/>
              </w:rPr>
            </w:pPr>
          </w:p>
        </w:tc>
        <w:tc>
          <w:tcPr>
            <w:tcW w:w="624" w:type="pct"/>
            <w:vAlign w:val="center"/>
          </w:tcPr>
          <w:p w14:paraId="0EB8F383">
            <w:pPr>
              <w:spacing w:line="400" w:lineRule="exact"/>
              <w:jc w:val="center"/>
              <w:rPr>
                <w:rFonts w:hint="eastAsia" w:ascii="仿宋" w:hAnsi="仿宋" w:eastAsia="仿宋" w:cs="仿宋"/>
                <w:color w:val="auto"/>
                <w:szCs w:val="21"/>
                <w:highlight w:val="none"/>
              </w:rPr>
            </w:pPr>
          </w:p>
        </w:tc>
        <w:tc>
          <w:tcPr>
            <w:tcW w:w="613" w:type="pct"/>
            <w:vAlign w:val="center"/>
          </w:tcPr>
          <w:p w14:paraId="6862B371">
            <w:pPr>
              <w:spacing w:line="400" w:lineRule="exact"/>
              <w:jc w:val="center"/>
              <w:rPr>
                <w:rFonts w:hint="eastAsia" w:ascii="仿宋" w:hAnsi="仿宋" w:eastAsia="仿宋" w:cs="仿宋"/>
                <w:color w:val="auto"/>
                <w:szCs w:val="21"/>
                <w:highlight w:val="none"/>
              </w:rPr>
            </w:pPr>
          </w:p>
        </w:tc>
        <w:tc>
          <w:tcPr>
            <w:tcW w:w="664" w:type="pct"/>
            <w:vAlign w:val="center"/>
          </w:tcPr>
          <w:p w14:paraId="2D8AE180">
            <w:pPr>
              <w:spacing w:line="400" w:lineRule="exact"/>
              <w:jc w:val="center"/>
              <w:rPr>
                <w:rFonts w:hint="eastAsia" w:ascii="仿宋" w:hAnsi="仿宋" w:eastAsia="仿宋" w:cs="仿宋"/>
                <w:color w:val="auto"/>
                <w:szCs w:val="21"/>
                <w:highlight w:val="none"/>
              </w:rPr>
            </w:pPr>
          </w:p>
        </w:tc>
        <w:tc>
          <w:tcPr>
            <w:tcW w:w="649" w:type="pct"/>
            <w:vAlign w:val="center"/>
          </w:tcPr>
          <w:p w14:paraId="43F9B11C">
            <w:pPr>
              <w:spacing w:line="400" w:lineRule="exact"/>
              <w:jc w:val="center"/>
              <w:rPr>
                <w:rFonts w:hint="eastAsia" w:ascii="仿宋" w:hAnsi="仿宋" w:eastAsia="仿宋" w:cs="仿宋"/>
                <w:color w:val="auto"/>
                <w:szCs w:val="21"/>
                <w:highlight w:val="none"/>
              </w:rPr>
            </w:pPr>
          </w:p>
        </w:tc>
      </w:tr>
      <w:tr w14:paraId="2DB9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8"/>
            <w:vAlign w:val="center"/>
          </w:tcPr>
          <w:p w14:paraId="0BA0AA82">
            <w:pPr>
              <w:spacing w:line="40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人民币合计金额（含税）(大写) </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元整(小写)（¥</w:t>
            </w:r>
            <w:r>
              <w:rPr>
                <w:rFonts w:hint="eastAsia" w:ascii="仿宋" w:hAnsi="仿宋" w:eastAsia="仿宋" w:cs="仿宋"/>
                <w:b/>
                <w:bCs/>
                <w:color w:val="auto"/>
                <w:szCs w:val="21"/>
                <w:highlight w:val="none"/>
                <w:u w:val="single"/>
              </w:rPr>
              <w:t xml:space="preserve">       </w:t>
            </w:r>
            <w:r>
              <w:rPr>
                <w:rFonts w:hint="eastAsia" w:ascii="仿宋" w:hAnsi="仿宋" w:eastAsia="仿宋" w:cs="仿宋"/>
                <w:b/>
                <w:bCs/>
                <w:color w:val="auto"/>
                <w:szCs w:val="21"/>
                <w:highlight w:val="none"/>
              </w:rPr>
              <w:t xml:space="preserve">） </w:t>
            </w:r>
          </w:p>
        </w:tc>
      </w:tr>
      <w:tr w14:paraId="7D68B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27"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1B44FDF">
            <w:pPr>
              <w:snapToGrid w:val="0"/>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投标货物中，属于小微企业生产的产品总值为￥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；属于优先采购节能产品总值为￥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；属于优先采购环境标志产品总值为￥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，占本投标报价的比例为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bl>
    <w:p w14:paraId="36201DC7">
      <w:pPr>
        <w:snapToGrid w:val="0"/>
        <w:spacing w:before="50" w:after="50" w:line="24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09233E47">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1.投标人的报价明细表必须加盖投标人（盖公章或电子签章）并由法定代表人或者委托代理人（签字或者电子签名），</w:t>
      </w:r>
      <w:r>
        <w:rPr>
          <w:rFonts w:hint="eastAsia" w:ascii="仿宋" w:hAnsi="仿宋" w:eastAsia="仿宋" w:cs="仿宋"/>
          <w:b/>
          <w:color w:val="auto"/>
          <w:sz w:val="24"/>
          <w:highlight w:val="none"/>
        </w:rPr>
        <w:t>否则其投标作无效标处理</w:t>
      </w:r>
      <w:r>
        <w:rPr>
          <w:rFonts w:hint="eastAsia" w:ascii="仿宋" w:hAnsi="仿宋" w:eastAsia="仿宋" w:cs="仿宋"/>
          <w:color w:val="auto"/>
          <w:sz w:val="24"/>
          <w:highlight w:val="none"/>
        </w:rPr>
        <w:t>。</w:t>
      </w:r>
    </w:p>
    <w:p w14:paraId="2818DB3F">
      <w:pPr>
        <w:snapToGrid w:val="0"/>
        <w:spacing w:before="50" w:after="50" w:line="24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报价一经涂改，应在涂改处加盖投标人（盖公章或电子签章）或者由法定代表人或者授权委托人（签字或者电子签名）</w:t>
      </w:r>
      <w:r>
        <w:rPr>
          <w:rFonts w:hint="eastAsia" w:ascii="仿宋" w:hAnsi="仿宋" w:eastAsia="仿宋" w:cs="仿宋"/>
          <w:b/>
          <w:color w:val="auto"/>
          <w:sz w:val="24"/>
          <w:highlight w:val="none"/>
        </w:rPr>
        <w:t>，否则其投标作无效标处理。</w:t>
      </w:r>
    </w:p>
    <w:p w14:paraId="5C9FD53B">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3.招标文件中列明采购专用耗材的，应按招标文件规定的耗材量或者按耗材的常规试用量提供报价。</w:t>
      </w:r>
    </w:p>
    <w:p w14:paraId="7AC40E00">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4.如为联合体投标，“投标人名称”处必须列明联合体各方名称，并标注联合体牵头人名称，</w:t>
      </w:r>
      <w:r>
        <w:rPr>
          <w:rFonts w:hint="eastAsia" w:ascii="仿宋" w:hAnsi="仿宋" w:eastAsia="仿宋" w:cs="仿宋"/>
          <w:b/>
          <w:color w:val="auto"/>
          <w:sz w:val="24"/>
          <w:highlight w:val="none"/>
        </w:rPr>
        <w:t>否则其投标作无效标处理。</w:t>
      </w:r>
    </w:p>
    <w:p w14:paraId="4E5A0079">
      <w:pPr>
        <w:snapToGrid w:val="0"/>
        <w:spacing w:before="50" w:after="50" w:line="24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5.如为联合体投标，盖章处须加盖联合体各方公章或电子签章，</w:t>
      </w:r>
      <w:r>
        <w:rPr>
          <w:rFonts w:hint="eastAsia" w:ascii="仿宋" w:hAnsi="仿宋" w:eastAsia="仿宋" w:cs="仿宋"/>
          <w:b/>
          <w:color w:val="auto"/>
          <w:sz w:val="24"/>
          <w:highlight w:val="none"/>
        </w:rPr>
        <w:t>否则其投标作无效标处理。</w:t>
      </w:r>
    </w:p>
    <w:p w14:paraId="64ECEF1C">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rPr>
      </w:pPr>
    </w:p>
    <w:p w14:paraId="6DD10024">
      <w:pPr>
        <w:tabs>
          <w:tab w:val="left" w:pos="8931"/>
        </w:tabs>
        <w:snapToGrid w:val="0"/>
        <w:spacing w:before="120" w:beforeLines="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05FF4B49">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5E8984D">
      <w:pPr>
        <w:tabs>
          <w:tab w:val="left" w:pos="8931"/>
        </w:tabs>
        <w:snapToGrid w:val="0"/>
        <w:spacing w:before="120" w:beforeLines="50" w:after="50" w:line="360" w:lineRule="auto"/>
        <w:ind w:left="1" w:right="480" w:firstLine="1699" w:firstLineChars="708"/>
        <w:rPr>
          <w:rFonts w:hint="eastAsia" w:ascii="仿宋" w:hAnsi="仿宋" w:eastAsia="仿宋" w:cs="仿宋"/>
          <w:color w:val="auto"/>
          <w:szCs w:val="21"/>
          <w:highlight w:val="none"/>
        </w:rPr>
      </w:pPr>
      <w:r>
        <w:rPr>
          <w:rFonts w:hint="eastAsia" w:ascii="仿宋" w:hAnsi="仿宋" w:eastAsia="仿宋" w:cs="仿宋"/>
          <w:color w:val="auto"/>
          <w:sz w:val="24"/>
          <w:highlight w:val="none"/>
        </w:rPr>
        <w:t>年    月    日</w:t>
      </w:r>
    </w:p>
    <w:bookmarkEnd w:id="174"/>
    <w:bookmarkEnd w:id="175"/>
    <w:p w14:paraId="1B87E607">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投标人直接控股、管理关系信息表</w:t>
      </w:r>
    </w:p>
    <w:p w14:paraId="77C17EF1">
      <w:pPr>
        <w:snapToGrid w:val="0"/>
        <w:spacing w:before="240" w:after="120" w:afterLines="50"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投标人直接控股股东信息表</w:t>
      </w:r>
    </w:p>
    <w:tbl>
      <w:tblPr>
        <w:tblStyle w:val="45"/>
        <w:tblW w:w="0" w:type="auto"/>
        <w:jc w:val="center"/>
        <w:shd w:val="clear" w:color="auto" w:fill="FBFBFB"/>
        <w:tblLayout w:type="fixed"/>
        <w:tblCellMar>
          <w:top w:w="0" w:type="dxa"/>
          <w:left w:w="0" w:type="dxa"/>
          <w:bottom w:w="0" w:type="dxa"/>
          <w:right w:w="0" w:type="dxa"/>
        </w:tblCellMar>
      </w:tblPr>
      <w:tblGrid>
        <w:gridCol w:w="740"/>
        <w:gridCol w:w="2028"/>
        <w:gridCol w:w="1107"/>
        <w:gridCol w:w="3454"/>
        <w:gridCol w:w="1140"/>
      </w:tblGrid>
      <w:tr w14:paraId="4BA4C72C">
        <w:tblPrEx>
          <w:shd w:val="clear" w:color="auto" w:fill="FBFBFB"/>
          <w:tblCellMar>
            <w:top w:w="0" w:type="dxa"/>
            <w:left w:w="0" w:type="dxa"/>
            <w:bottom w:w="0" w:type="dxa"/>
            <w:right w:w="0" w:type="dxa"/>
          </w:tblCellMar>
        </w:tblPrEx>
        <w:trPr>
          <w:trHeight w:val="367"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B700D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0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0DFFA">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10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9F715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354FF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1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CC3B84">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608ED639">
        <w:tblPrEx>
          <w:tblCellMar>
            <w:top w:w="0" w:type="dxa"/>
            <w:left w:w="0" w:type="dxa"/>
            <w:bottom w:w="0" w:type="dxa"/>
            <w:right w:w="0" w:type="dxa"/>
          </w:tblCellMar>
        </w:tblPrEx>
        <w:trPr>
          <w:trHeight w:val="382"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10DE3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D1AA0">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1300D5">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A4608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281FA">
            <w:pPr>
              <w:spacing w:line="360" w:lineRule="auto"/>
              <w:jc w:val="center"/>
              <w:rPr>
                <w:rFonts w:hint="eastAsia" w:ascii="仿宋" w:hAnsi="仿宋" w:eastAsia="仿宋" w:cs="仿宋"/>
                <w:color w:val="auto"/>
                <w:kern w:val="0"/>
                <w:sz w:val="24"/>
                <w:highlight w:val="none"/>
              </w:rPr>
            </w:pPr>
          </w:p>
        </w:tc>
      </w:tr>
      <w:tr w14:paraId="5FC4E0B3">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CAB5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9E184">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C0BC7E">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015512">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4962AD">
            <w:pPr>
              <w:spacing w:line="360" w:lineRule="auto"/>
              <w:jc w:val="center"/>
              <w:rPr>
                <w:rFonts w:hint="eastAsia" w:ascii="仿宋" w:hAnsi="仿宋" w:eastAsia="仿宋" w:cs="仿宋"/>
                <w:color w:val="auto"/>
                <w:kern w:val="0"/>
                <w:sz w:val="24"/>
                <w:highlight w:val="none"/>
              </w:rPr>
            </w:pPr>
          </w:p>
        </w:tc>
      </w:tr>
      <w:tr w14:paraId="61FE8476">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7223C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1339C">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18483">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50C3C">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09FB9E">
            <w:pPr>
              <w:spacing w:line="360" w:lineRule="auto"/>
              <w:jc w:val="center"/>
              <w:rPr>
                <w:rFonts w:hint="eastAsia" w:ascii="仿宋" w:hAnsi="仿宋" w:eastAsia="仿宋" w:cs="仿宋"/>
                <w:color w:val="auto"/>
                <w:kern w:val="0"/>
                <w:sz w:val="24"/>
                <w:highlight w:val="none"/>
              </w:rPr>
            </w:pPr>
          </w:p>
        </w:tc>
      </w:tr>
      <w:tr w14:paraId="4715E3AE">
        <w:tblPrEx>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B6DF2A">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FB639">
            <w:pPr>
              <w:spacing w:line="360" w:lineRule="auto"/>
              <w:jc w:val="center"/>
              <w:rPr>
                <w:rFonts w:hint="eastAsia" w:ascii="仿宋" w:hAnsi="仿宋" w:eastAsia="仿宋" w:cs="仿宋"/>
                <w:color w:val="auto"/>
                <w:kern w:val="0"/>
                <w:sz w:val="24"/>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D7560">
            <w:pPr>
              <w:spacing w:line="360" w:lineRule="auto"/>
              <w:jc w:val="center"/>
              <w:rPr>
                <w:rFonts w:hint="eastAsia" w:ascii="仿宋" w:hAnsi="仿宋" w:eastAsia="仿宋" w:cs="仿宋"/>
                <w:color w:val="auto"/>
                <w:kern w:val="0"/>
                <w:sz w:val="24"/>
                <w:highlight w:val="none"/>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0FD4D">
            <w:pPr>
              <w:spacing w:line="360" w:lineRule="auto"/>
              <w:jc w:val="center"/>
              <w:rPr>
                <w:rFonts w:hint="eastAsia" w:ascii="仿宋" w:hAnsi="仿宋" w:eastAsia="仿宋" w:cs="仿宋"/>
                <w:color w:val="auto"/>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81625">
            <w:pPr>
              <w:spacing w:line="360" w:lineRule="auto"/>
              <w:jc w:val="center"/>
              <w:rPr>
                <w:rFonts w:hint="eastAsia" w:ascii="仿宋" w:hAnsi="仿宋" w:eastAsia="仿宋" w:cs="仿宋"/>
                <w:color w:val="auto"/>
                <w:kern w:val="0"/>
                <w:sz w:val="24"/>
                <w:highlight w:val="none"/>
              </w:rPr>
            </w:pPr>
          </w:p>
        </w:tc>
      </w:tr>
    </w:tbl>
    <w:p w14:paraId="6AAA2EE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BF220BD">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34E8A75">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75DD31D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39B81945">
      <w:pPr>
        <w:snapToGrid w:val="0"/>
        <w:spacing w:line="360" w:lineRule="auto"/>
        <w:jc w:val="left"/>
        <w:rPr>
          <w:rFonts w:hint="eastAsia" w:ascii="仿宋" w:hAnsi="仿宋" w:eastAsia="仿宋" w:cs="仿宋"/>
          <w:color w:val="auto"/>
          <w:sz w:val="24"/>
          <w:highlight w:val="none"/>
        </w:rPr>
      </w:pPr>
    </w:p>
    <w:p w14:paraId="5C06983E">
      <w:pPr>
        <w:snapToGrid w:val="0"/>
        <w:spacing w:line="360" w:lineRule="auto"/>
        <w:jc w:val="left"/>
        <w:rPr>
          <w:rFonts w:hint="eastAsia" w:ascii="仿宋" w:hAnsi="仿宋" w:eastAsia="仿宋" w:cs="仿宋"/>
          <w:color w:val="auto"/>
          <w:sz w:val="24"/>
          <w:highlight w:val="none"/>
        </w:rPr>
      </w:pPr>
    </w:p>
    <w:p w14:paraId="109065FF">
      <w:pPr>
        <w:snapToGrid w:val="0"/>
        <w:spacing w:before="120" w:beforeLines="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D38CBF0">
      <w:pPr>
        <w:snapToGrid w:val="0"/>
        <w:spacing w:before="120" w:beforeLines="50" w:after="50" w:line="360" w:lineRule="auto"/>
        <w:ind w:right="-1" w:firstLine="1132" w:firstLineChars="47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E2D6438">
      <w:pPr>
        <w:snapToGrid w:val="0"/>
        <w:spacing w:before="120" w:beforeLines="50" w:after="50" w:line="360" w:lineRule="auto"/>
        <w:ind w:right="-1" w:firstLine="1132" w:firstLineChars="472"/>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0FBFB7E9">
      <w:pPr>
        <w:snapToGrid w:val="0"/>
        <w:jc w:val="center"/>
        <w:rPr>
          <w:rFonts w:hint="eastAsia" w:ascii="仿宋" w:hAnsi="仿宋" w:eastAsia="仿宋" w:cs="仿宋"/>
          <w:b/>
          <w:color w:val="auto"/>
          <w:sz w:val="28"/>
          <w:szCs w:val="28"/>
          <w:highlight w:val="none"/>
        </w:rPr>
      </w:pPr>
      <w:r>
        <w:rPr>
          <w:rFonts w:hint="eastAsia" w:ascii="仿宋" w:hAnsi="仿宋" w:eastAsia="仿宋" w:cs="仿宋"/>
          <w:b/>
          <w:color w:val="auto"/>
          <w:szCs w:val="21"/>
          <w:highlight w:val="none"/>
        </w:rPr>
        <w:br w:type="page"/>
      </w:r>
    </w:p>
    <w:p w14:paraId="26F83F85">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投标人直接管理关系信息表</w:t>
      </w:r>
    </w:p>
    <w:tbl>
      <w:tblPr>
        <w:tblStyle w:val="45"/>
        <w:tblW w:w="8675" w:type="dxa"/>
        <w:jc w:val="center"/>
        <w:shd w:val="clear" w:color="auto" w:fill="FBFBFB"/>
        <w:tblLayout w:type="fixed"/>
        <w:tblCellMar>
          <w:top w:w="0" w:type="dxa"/>
          <w:left w:w="0" w:type="dxa"/>
          <w:bottom w:w="0" w:type="dxa"/>
          <w:right w:w="0" w:type="dxa"/>
        </w:tblCellMar>
      </w:tblPr>
      <w:tblGrid>
        <w:gridCol w:w="902"/>
        <w:gridCol w:w="2390"/>
        <w:gridCol w:w="3528"/>
        <w:gridCol w:w="1855"/>
      </w:tblGrid>
      <w:tr w14:paraId="09975F99">
        <w:tblPrEx>
          <w:shd w:val="clear" w:color="auto" w:fill="FBFBFB"/>
          <w:tblCellMar>
            <w:top w:w="0" w:type="dxa"/>
            <w:left w:w="0" w:type="dxa"/>
            <w:bottom w:w="0" w:type="dxa"/>
            <w:right w:w="0" w:type="dxa"/>
          </w:tblCellMar>
        </w:tblPrEx>
        <w:trPr>
          <w:trHeight w:val="377" w:hRule="atLeast"/>
          <w:tblHeader/>
          <w:jc w:val="center"/>
        </w:trPr>
        <w:tc>
          <w:tcPr>
            <w:tcW w:w="90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EE352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25BB7F">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2C1DE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8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FE3826">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5DC6590">
        <w:tblPrEx>
          <w:shd w:val="clear" w:color="auto" w:fill="FBFBFB"/>
          <w:tblCellMar>
            <w:top w:w="0" w:type="dxa"/>
            <w:left w:w="0" w:type="dxa"/>
            <w:bottom w:w="0" w:type="dxa"/>
            <w:right w:w="0" w:type="dxa"/>
          </w:tblCellMar>
        </w:tblPrEx>
        <w:trPr>
          <w:trHeight w:val="393"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B6024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E71E8">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30874C">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C863ED">
            <w:pPr>
              <w:spacing w:line="360" w:lineRule="auto"/>
              <w:jc w:val="center"/>
              <w:rPr>
                <w:rFonts w:hint="eastAsia" w:ascii="仿宋" w:hAnsi="仿宋" w:eastAsia="仿宋" w:cs="仿宋"/>
                <w:color w:val="auto"/>
                <w:kern w:val="0"/>
                <w:sz w:val="24"/>
                <w:highlight w:val="none"/>
              </w:rPr>
            </w:pPr>
          </w:p>
        </w:tc>
      </w:tr>
      <w:tr w14:paraId="2E09A289">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D6535C">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C08F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F1DCB">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C65CE2">
            <w:pPr>
              <w:spacing w:line="360" w:lineRule="auto"/>
              <w:jc w:val="center"/>
              <w:rPr>
                <w:rFonts w:hint="eastAsia" w:ascii="仿宋" w:hAnsi="仿宋" w:eastAsia="仿宋" w:cs="仿宋"/>
                <w:color w:val="auto"/>
                <w:kern w:val="0"/>
                <w:sz w:val="24"/>
                <w:highlight w:val="none"/>
              </w:rPr>
            </w:pPr>
          </w:p>
        </w:tc>
      </w:tr>
      <w:tr w14:paraId="56743ED2">
        <w:tblPrEx>
          <w:shd w:val="clear" w:color="auto" w:fill="FBFBFB"/>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51F0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C8E01">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24E1F">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67402A">
            <w:pPr>
              <w:spacing w:line="360" w:lineRule="auto"/>
              <w:jc w:val="center"/>
              <w:rPr>
                <w:rFonts w:hint="eastAsia" w:ascii="仿宋" w:hAnsi="仿宋" w:eastAsia="仿宋" w:cs="仿宋"/>
                <w:color w:val="auto"/>
                <w:kern w:val="0"/>
                <w:sz w:val="24"/>
                <w:highlight w:val="none"/>
              </w:rPr>
            </w:pPr>
          </w:p>
        </w:tc>
      </w:tr>
      <w:tr w14:paraId="1A3605B3">
        <w:tblPrEx>
          <w:shd w:val="clear" w:color="auto" w:fill="FBFBFB"/>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680F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E3D54E">
            <w:pPr>
              <w:spacing w:line="360" w:lineRule="auto"/>
              <w:jc w:val="center"/>
              <w:rPr>
                <w:rFonts w:hint="eastAsia" w:ascii="仿宋" w:hAnsi="仿宋" w:eastAsia="仿宋" w:cs="仿宋"/>
                <w:color w:val="auto"/>
                <w:kern w:val="0"/>
                <w:sz w:val="24"/>
                <w:highlight w:val="none"/>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CF5ACD">
            <w:pPr>
              <w:spacing w:line="360" w:lineRule="auto"/>
              <w:jc w:val="center"/>
              <w:rPr>
                <w:rFonts w:hint="eastAsia" w:ascii="仿宋" w:hAnsi="仿宋" w:eastAsia="仿宋" w:cs="仿宋"/>
                <w:color w:val="auto"/>
                <w:kern w:val="0"/>
                <w:sz w:val="24"/>
                <w:highlight w:val="none"/>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5789C">
            <w:pPr>
              <w:spacing w:line="360" w:lineRule="auto"/>
              <w:jc w:val="center"/>
              <w:rPr>
                <w:rFonts w:hint="eastAsia" w:ascii="仿宋" w:hAnsi="仿宋" w:eastAsia="仿宋" w:cs="仿宋"/>
                <w:color w:val="auto"/>
                <w:kern w:val="0"/>
                <w:sz w:val="24"/>
                <w:highlight w:val="none"/>
              </w:rPr>
            </w:pPr>
          </w:p>
        </w:tc>
      </w:tr>
    </w:tbl>
    <w:p w14:paraId="60117063">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F2E26F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28555998">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39FC0A07">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137999D4">
      <w:pPr>
        <w:snapToGrid w:val="0"/>
        <w:spacing w:line="360" w:lineRule="auto"/>
        <w:jc w:val="left"/>
        <w:rPr>
          <w:rFonts w:hint="eastAsia" w:ascii="仿宋" w:hAnsi="仿宋" w:eastAsia="仿宋" w:cs="仿宋"/>
          <w:color w:val="auto"/>
          <w:sz w:val="24"/>
          <w:highlight w:val="none"/>
        </w:rPr>
      </w:pPr>
    </w:p>
    <w:p w14:paraId="2FE96851">
      <w:pPr>
        <w:snapToGrid w:val="0"/>
        <w:spacing w:line="360" w:lineRule="auto"/>
        <w:jc w:val="left"/>
        <w:rPr>
          <w:rFonts w:hint="eastAsia" w:ascii="仿宋" w:hAnsi="仿宋" w:eastAsia="仿宋" w:cs="仿宋"/>
          <w:color w:val="auto"/>
          <w:sz w:val="24"/>
          <w:highlight w:val="none"/>
        </w:rPr>
      </w:pPr>
    </w:p>
    <w:p w14:paraId="541BF365">
      <w:pPr>
        <w:snapToGrid w:val="0"/>
        <w:spacing w:before="120" w:beforeLines="50" w:line="360" w:lineRule="auto"/>
        <w:ind w:right="-1" w:firstLine="2692" w:firstLineChars="112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15FC3B93">
      <w:pPr>
        <w:snapToGrid w:val="0"/>
        <w:spacing w:before="120" w:beforeLines="50" w:after="50" w:line="360" w:lineRule="auto"/>
        <w:ind w:right="-1" w:firstLine="2692" w:firstLineChars="112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4CF15EA8">
      <w:pPr>
        <w:snapToGrid w:val="0"/>
        <w:spacing w:before="120" w:beforeLines="50" w:after="50" w:line="360" w:lineRule="auto"/>
        <w:ind w:right="-1" w:firstLine="2551" w:firstLineChars="1063"/>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4538C2C">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投标声明</w:t>
      </w:r>
    </w:p>
    <w:p w14:paraId="0DFDA402">
      <w:pPr>
        <w:snapToGrid w:val="0"/>
        <w:spacing w:before="50" w:after="120" w:afterLines="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投标声明</w:t>
      </w:r>
    </w:p>
    <w:p w14:paraId="394093B1">
      <w:pPr>
        <w:snapToGrid w:val="0"/>
        <w:spacing w:before="50" w:after="120" w:afterLines="50"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招标人名称</w:t>
      </w:r>
    </w:p>
    <w:p w14:paraId="32E395C6">
      <w:pPr>
        <w:snapToGrid w:val="0"/>
        <w:spacing w:line="400" w:lineRule="exact"/>
        <w:ind w:firstLine="40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我方参加贵单位组织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）的政府采购活动。我方在此郑重声明：</w:t>
      </w:r>
    </w:p>
    <w:p w14:paraId="1451320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3949AC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1742CF4">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 我方承诺符合《中华人民共和国政府采购法》第二十二条规定：</w:t>
      </w:r>
    </w:p>
    <w:p w14:paraId="20B8B26C">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14:paraId="10AA9D4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333C63A7">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3D14B38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32875DB3">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6C18B63B">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14:paraId="6486AB06">
      <w:pPr>
        <w:snapToGrid w:val="0"/>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4.以上事项如有虚假或者隐瞒，我方愿意承担一切后果，并不再寻求任何旨在减轻或者免除法律责任的辩解。</w:t>
      </w:r>
    </w:p>
    <w:p w14:paraId="0AF0A1B4">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B864EC6">
      <w:pPr>
        <w:snapToGrid w:val="0"/>
        <w:spacing w:line="400" w:lineRule="exact"/>
        <w:ind w:firstLine="42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注：如为联合体投标，盖章处须加盖联合体各方公章并由联合体各方法定代表人分别</w:t>
      </w:r>
    </w:p>
    <w:p w14:paraId="5A05BCCC">
      <w:pPr>
        <w:snapToGrid w:val="0"/>
        <w:spacing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签署，否则投标无效。</w:t>
      </w:r>
    </w:p>
    <w:p w14:paraId="5212A767">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法定代表人或者委托代理人（签字或者电子签名）：</w:t>
      </w:r>
      <w:r>
        <w:rPr>
          <w:rFonts w:hint="eastAsia" w:ascii="仿宋" w:hAnsi="仿宋" w:eastAsia="仿宋" w:cs="仿宋"/>
          <w:color w:val="auto"/>
          <w:sz w:val="24"/>
          <w:highlight w:val="none"/>
          <w:u w:val="single"/>
        </w:rPr>
        <w:t xml:space="preserve">       </w:t>
      </w:r>
    </w:p>
    <w:p w14:paraId="3811B0B1">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投标人（盖公章或电子签章）：</w:t>
      </w:r>
      <w:r>
        <w:rPr>
          <w:rFonts w:hint="eastAsia" w:ascii="仿宋" w:hAnsi="仿宋" w:eastAsia="仿宋" w:cs="仿宋"/>
          <w:color w:val="auto"/>
          <w:sz w:val="24"/>
          <w:highlight w:val="none"/>
          <w:u w:val="single"/>
        </w:rPr>
        <w:t xml:space="preserve">              </w:t>
      </w:r>
    </w:p>
    <w:p w14:paraId="0C12979C">
      <w:pPr>
        <w:snapToGrid w:val="0"/>
        <w:spacing w:before="50" w:after="120" w:afterLines="50" w:line="360" w:lineRule="exact"/>
        <w:ind w:left="-2" w:leftChars="-1" w:right="139" w:rightChars="66" w:firstLine="1843" w:firstLineChars="76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750248B5">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参加本项目无围标串标行为的承诺</w:t>
      </w:r>
    </w:p>
    <w:p w14:paraId="72602735">
      <w:pPr>
        <w:snapToGrid w:val="0"/>
        <w:spacing w:before="120" w:beforeLines="50" w:after="50"/>
        <w:ind w:left="42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投标人参加本项目无围标串标行为的承诺函</w:t>
      </w:r>
    </w:p>
    <w:p w14:paraId="2CE11F9E">
      <w:pPr>
        <w:snapToGrid w:val="0"/>
        <w:spacing w:before="120" w:beforeLines="50" w:after="50"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一、我方承诺无下列相互串通投标的情形：</w:t>
      </w:r>
    </w:p>
    <w:p w14:paraId="1DD1B19C">
      <w:pPr>
        <w:spacing w:line="400" w:lineRule="exact"/>
        <w:ind w:firstLine="470" w:firstLineChars="196"/>
        <w:contextualSpacing/>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bookmarkStart w:id="177" w:name="_Hlk166142426"/>
      <w:r>
        <w:rPr>
          <w:rFonts w:hint="eastAsia" w:ascii="仿宋" w:hAnsi="仿宋" w:eastAsia="仿宋" w:cs="仿宋"/>
          <w:color w:val="auto"/>
          <w:sz w:val="24"/>
          <w:highlight w:val="none"/>
        </w:rPr>
        <w:t>或者不同投标人报名的IP地址一致的；或者编制标书硬件设备CPU编号、硬盘编号、网卡地址一致的情况；</w:t>
      </w:r>
    </w:p>
    <w:bookmarkEnd w:id="177"/>
    <w:p w14:paraId="27E067A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7AAAC8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54CF6F8C">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4.不同投标人的投标文件异常一致或者投标报价呈规律性差异；</w:t>
      </w:r>
    </w:p>
    <w:p w14:paraId="7D59754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11948B62">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6.不同投标人的投标保证金从同一单位或者个人账户转出。</w:t>
      </w:r>
    </w:p>
    <w:p w14:paraId="4E9FA5DC">
      <w:pPr>
        <w:snapToGrid w:val="0"/>
        <w:spacing w:before="120" w:beforeLines="50" w:after="50" w:line="360" w:lineRule="auto"/>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二、我方承诺无下列恶意串通的情形：</w:t>
      </w:r>
    </w:p>
    <w:p w14:paraId="1DA535F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1.投标人直接或者间接从采购人或者采购代理机构处获得其他投标人的相关信息并修改其投标文件或者响应文件；</w:t>
      </w:r>
    </w:p>
    <w:p w14:paraId="0A57F741">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2.投标人按照采购人或者采购代理机构的授意撤换、修改投标文件或者响应文件；</w:t>
      </w:r>
    </w:p>
    <w:p w14:paraId="77431AB7">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3.投标人之间协商报价、技术方案等投标文件或者响应文件的实质性内容；</w:t>
      </w:r>
    </w:p>
    <w:p w14:paraId="3EDDA50A">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4.属于同一集团、协会、商会等组织成员的投标人按照该组织要求协同参加政府采购活动；</w:t>
      </w:r>
    </w:p>
    <w:p w14:paraId="348B6CB8">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5952343">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6.投标人之间商定部分投标人放弃参加政府采购活动或者放弃中标；</w:t>
      </w:r>
    </w:p>
    <w:p w14:paraId="3BDEEFDF">
      <w:pPr>
        <w:snapToGrid w:val="0"/>
        <w:spacing w:before="120" w:beforeLines="50" w:after="50"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7.投标人与采购人或者采购代理机构之间、投标人相互之间，为谋求特定投标人中标或者排斥其他投标人的其他串通行为。</w:t>
      </w:r>
    </w:p>
    <w:p w14:paraId="243E8654">
      <w:pPr>
        <w:snapToGrid w:val="0"/>
        <w:spacing w:before="120" w:beforeLines="50" w:after="50" w:line="360" w:lineRule="auto"/>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以上情形一经核查属实，我方愿意承担一切后果，并不再寻求任何旨在减轻或者免除法律责任的辩解。</w:t>
      </w:r>
    </w:p>
    <w:p w14:paraId="1BB4EADA">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688A43C1">
      <w:pPr>
        <w:snapToGrid w:val="0"/>
        <w:spacing w:before="50" w:after="120" w:afterLines="50" w:line="360" w:lineRule="auto"/>
        <w:jc w:val="left"/>
        <w:rPr>
          <w:rFonts w:hint="eastAsia" w:ascii="仿宋" w:hAnsi="仿宋" w:eastAsia="仿宋" w:cs="仿宋"/>
          <w:b/>
          <w:color w:val="auto"/>
          <w:sz w:val="24"/>
          <w:szCs w:val="20"/>
          <w:highlight w:val="none"/>
        </w:rPr>
      </w:pPr>
      <w:r>
        <w:rPr>
          <w:rFonts w:hint="eastAsia" w:ascii="仿宋" w:hAnsi="仿宋" w:eastAsia="仿宋" w:cs="仿宋"/>
          <w:color w:val="auto"/>
          <w:sz w:val="24"/>
          <w:highlight w:val="none"/>
        </w:rPr>
        <w:t xml:space="preserve">                                                  年    月    日</w:t>
      </w: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法定代表人身份证明</w:t>
      </w:r>
    </w:p>
    <w:p w14:paraId="1DC97B11">
      <w:pPr>
        <w:spacing w:before="240" w:beforeLines="100" w:after="120" w:afterLines="50"/>
        <w:ind w:left="54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法定代表人身份证明</w:t>
      </w:r>
    </w:p>
    <w:p w14:paraId="5C097AB6">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70F44A0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539B3F11">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19EF2070">
      <w:pPr>
        <w:spacing w:line="500" w:lineRule="exact"/>
        <w:ind w:left="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02EE71EB">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379C850F">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（投标人名称）              </w:t>
      </w:r>
      <w:r>
        <w:rPr>
          <w:rFonts w:hint="eastAsia" w:ascii="仿宋" w:hAnsi="仿宋" w:eastAsia="仿宋" w:cs="仿宋"/>
          <w:color w:val="auto"/>
          <w:sz w:val="24"/>
          <w:highlight w:val="none"/>
        </w:rPr>
        <w:t>的法定代表人。</w:t>
      </w:r>
    </w:p>
    <w:p w14:paraId="2D508D4A">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784C8AA9">
      <w:pPr>
        <w:spacing w:line="500" w:lineRule="exac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7E8D4782">
      <w:pPr>
        <w:spacing w:line="500" w:lineRule="exact"/>
        <w:rPr>
          <w:rFonts w:hint="eastAsia" w:ascii="仿宋" w:hAnsi="仿宋" w:eastAsia="仿宋" w:cs="仿宋"/>
          <w:color w:val="auto"/>
          <w:sz w:val="24"/>
          <w:highlight w:val="none"/>
        </w:rPr>
      </w:pPr>
    </w:p>
    <w:p w14:paraId="406F279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2B43C066">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449C64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注：自然人投标的无需提供</w:t>
      </w:r>
    </w:p>
    <w:p w14:paraId="4E9C2D71">
      <w:pPr>
        <w:snapToGrid w:val="0"/>
        <w:spacing w:before="120" w:beforeLines="50" w:after="50"/>
        <w:jc w:val="left"/>
        <w:rPr>
          <w:rFonts w:hint="eastAsia" w:ascii="仿宋" w:hAnsi="仿宋" w:eastAsia="仿宋" w:cs="仿宋"/>
          <w:b/>
          <w:color w:val="auto"/>
          <w:sz w:val="24"/>
          <w:szCs w:val="2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法定代表人授权委托书格式</w:t>
      </w:r>
    </w:p>
    <w:p w14:paraId="6B256B2C">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法定代表人授权委托书（非联合体投标格式）（如有委托时）</w:t>
      </w:r>
    </w:p>
    <w:p w14:paraId="0C2678C3">
      <w:pPr>
        <w:snapToGrid w:val="0"/>
        <w:spacing w:line="360" w:lineRule="auto"/>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致：</w:t>
      </w:r>
      <w:r>
        <w:rPr>
          <w:rFonts w:hint="eastAsia" w:ascii="仿宋" w:hAnsi="仿宋" w:eastAsia="仿宋" w:cs="仿宋"/>
          <w:color w:val="auto"/>
          <w:sz w:val="24"/>
          <w:highlight w:val="none"/>
          <w:u w:val="single"/>
        </w:rPr>
        <w:t>招标人名称</w:t>
      </w:r>
      <w:r>
        <w:rPr>
          <w:rFonts w:hint="eastAsia" w:ascii="仿宋" w:hAnsi="仿宋" w:eastAsia="仿宋" w:cs="仿宋"/>
          <w:color w:val="auto"/>
          <w:sz w:val="24"/>
          <w:highlight w:val="none"/>
        </w:rPr>
        <w:t>：</w:t>
      </w:r>
    </w:p>
    <w:p w14:paraId="3C1765B0">
      <w:pPr>
        <w:snapToGrid w:val="0"/>
        <w:spacing w:line="360" w:lineRule="auto"/>
        <w:ind w:firstLine="566" w:firstLineChars="236"/>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（投标人名称）的法定代表人，现授权委托</w:t>
      </w:r>
      <w:r>
        <w:rPr>
          <w:rFonts w:hint="eastAsia" w:ascii="仿宋" w:hAnsi="仿宋" w:eastAsia="仿宋" w:cs="仿宋"/>
          <w:color w:val="auto"/>
          <w:sz w:val="24"/>
          <w:highlight w:val="none"/>
          <w:u w:val="single"/>
        </w:rPr>
        <w:t xml:space="preserve">              （姓名）</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项目的投标活动，并代表我方全权办理针对上述项目的所有采购程序和环节的具体事务和签署相关文件。</w:t>
      </w:r>
    </w:p>
    <w:p w14:paraId="0A2D599D">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0F411A4">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本授权书自签署之日起生效，在撤销授权的书面通知以前，本授权书一直有效。委托代理人在授权书有效期内签署的所有文件不因授权的撤销而失效。</w:t>
      </w:r>
    </w:p>
    <w:p w14:paraId="5A5E51B2">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1DF3C311">
      <w:pPr>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附：法定代表人身份证明及委托代理人有效身份证正反面复印件</w:t>
      </w:r>
    </w:p>
    <w:p w14:paraId="01E70E58">
      <w:pPr>
        <w:snapToGrid w:val="0"/>
        <w:spacing w:before="120" w:beforeLines="50" w:after="50"/>
        <w:rPr>
          <w:rFonts w:hint="eastAsia" w:ascii="仿宋" w:hAnsi="仿宋" w:eastAsia="仿宋" w:cs="仿宋"/>
          <w:color w:val="auto"/>
          <w:sz w:val="24"/>
          <w:highlight w:val="none"/>
        </w:rPr>
      </w:pPr>
    </w:p>
    <w:p w14:paraId="7EF933B4">
      <w:pPr>
        <w:snapToGrid w:val="0"/>
        <w:spacing w:before="120" w:beforeLines="50" w:after="5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委托代理人签字或电子签名：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法定代表人签字或电子签名：</w:t>
      </w:r>
      <w:r>
        <w:rPr>
          <w:rFonts w:hint="eastAsia" w:ascii="仿宋" w:hAnsi="仿宋" w:eastAsia="仿宋" w:cs="仿宋"/>
          <w:color w:val="auto"/>
          <w:sz w:val="24"/>
          <w:highlight w:val="none"/>
          <w:u w:val="single"/>
        </w:rPr>
        <w:t xml:space="preserve">          </w:t>
      </w:r>
    </w:p>
    <w:p w14:paraId="7FAE28DF">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所在部门职务：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4B24AAFB">
      <w:pPr>
        <w:snapToGrid w:val="0"/>
        <w:spacing w:before="120" w:beforeLines="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D9266EC">
      <w:pPr>
        <w:snapToGrid w:val="0"/>
        <w:spacing w:before="120" w:beforeLines="50" w:after="50"/>
        <w:rPr>
          <w:rFonts w:hint="eastAsia" w:ascii="仿宋" w:hAnsi="仿宋" w:eastAsia="仿宋" w:cs="仿宋"/>
          <w:color w:val="auto"/>
          <w:sz w:val="24"/>
          <w:highlight w:val="none"/>
        </w:rPr>
      </w:pPr>
    </w:p>
    <w:p w14:paraId="5BAC0564">
      <w:pPr>
        <w:snapToGrid w:val="0"/>
        <w:spacing w:before="120" w:beforeLines="50" w:after="50"/>
        <w:rPr>
          <w:rFonts w:hint="eastAsia" w:ascii="仿宋" w:hAnsi="仿宋" w:eastAsia="仿宋" w:cs="仿宋"/>
          <w:color w:val="auto"/>
          <w:sz w:val="24"/>
          <w:highlight w:val="none"/>
        </w:rPr>
      </w:pPr>
    </w:p>
    <w:p w14:paraId="1D007622">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投标人（盖公章或电子签章）：</w:t>
      </w:r>
      <w:r>
        <w:rPr>
          <w:rFonts w:hint="eastAsia" w:ascii="仿宋" w:hAnsi="仿宋" w:eastAsia="仿宋" w:cs="仿宋"/>
          <w:color w:val="auto"/>
          <w:sz w:val="24"/>
          <w:highlight w:val="none"/>
          <w:u w:val="single"/>
        </w:rPr>
        <w:t xml:space="preserve">              </w:t>
      </w:r>
    </w:p>
    <w:p w14:paraId="4614BBB1">
      <w:pPr>
        <w:snapToGrid w:val="0"/>
        <w:spacing w:before="50" w:after="120" w:afterLines="50"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00D9AB12">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66D900A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1.法定代表人和委托代理人必须在授权委托书上签字；</w:t>
      </w:r>
    </w:p>
    <w:p w14:paraId="09C90B7C">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2.以联合体形式投标的，本授权委托书应由联合体牵头人的法定代表人按上述规定签署。</w:t>
      </w:r>
    </w:p>
    <w:p w14:paraId="79643C64">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2807080">
      <w:pPr>
        <w:snapToGrid w:val="0"/>
        <w:spacing w:before="120" w:beforeLines="50" w:after="50"/>
        <w:ind w:firstLine="566" w:firstLineChars="236"/>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商务条款偏离表格式</w:t>
      </w:r>
    </w:p>
    <w:p w14:paraId="17364178">
      <w:pPr>
        <w:spacing w:before="240" w:beforeLines="100" w:line="360" w:lineRule="auto"/>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商务条款偏离表</w:t>
      </w:r>
    </w:p>
    <w:p w14:paraId="18FF2A8B">
      <w:pPr>
        <w:pStyle w:val="23"/>
        <w:spacing w:line="360" w:lineRule="auto"/>
        <w:ind w:firstLine="480" w:firstLineChars="200"/>
        <w:rPr>
          <w:rFonts w:hint="eastAsia" w:ascii="仿宋" w:hAnsi="仿宋" w:eastAsia="仿宋" w:cs="仿宋"/>
          <w:color w:val="auto"/>
          <w:sz w:val="24"/>
          <w:szCs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DD6E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4892DE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vAlign w:val="center"/>
          </w:tcPr>
          <w:p w14:paraId="13A3CC3F">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vAlign w:val="center"/>
          </w:tcPr>
          <w:p w14:paraId="3D932466">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vAlign w:val="center"/>
          </w:tcPr>
          <w:p w14:paraId="22CF2457">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163B5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52571AF8">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7163A0D8">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67FC2AF7">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5AD07E6">
            <w:pPr>
              <w:snapToGrid w:val="0"/>
              <w:jc w:val="center"/>
              <w:rPr>
                <w:rFonts w:hint="eastAsia" w:ascii="仿宋" w:hAnsi="仿宋" w:eastAsia="仿宋" w:cs="仿宋"/>
                <w:color w:val="auto"/>
                <w:sz w:val="24"/>
                <w:highlight w:val="none"/>
              </w:rPr>
            </w:pPr>
          </w:p>
        </w:tc>
      </w:tr>
      <w:tr w14:paraId="78590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3E0415EC">
            <w:pPr>
              <w:jc w:val="center"/>
              <w:rPr>
                <w:rFonts w:hint="eastAsia" w:ascii="仿宋" w:hAnsi="仿宋" w:eastAsia="仿宋" w:cs="仿宋"/>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D995AC6">
            <w:pPr>
              <w:snapToGrid w:val="0"/>
              <w:rPr>
                <w:rFonts w:hint="eastAsia" w:ascii="仿宋" w:hAnsi="仿宋" w:eastAsia="仿宋" w:cs="仿宋"/>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vAlign w:val="center"/>
          </w:tcPr>
          <w:p w14:paraId="02A995BB">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AA7E28F">
            <w:pPr>
              <w:snapToGrid w:val="0"/>
              <w:jc w:val="center"/>
              <w:rPr>
                <w:rFonts w:hint="eastAsia" w:ascii="仿宋" w:hAnsi="仿宋" w:eastAsia="仿宋" w:cs="仿宋"/>
                <w:color w:val="auto"/>
                <w:sz w:val="24"/>
                <w:highlight w:val="none"/>
              </w:rPr>
            </w:pPr>
          </w:p>
        </w:tc>
      </w:tr>
      <w:tr w14:paraId="057B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10C3D52B">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c>
          <w:tcPr>
            <w:tcW w:w="3336" w:type="dxa"/>
            <w:tcBorders>
              <w:top w:val="single" w:color="auto" w:sz="4" w:space="0"/>
              <w:left w:val="single" w:color="auto" w:sz="4" w:space="0"/>
              <w:bottom w:val="single" w:color="auto" w:sz="4" w:space="0"/>
              <w:right w:val="single" w:color="auto" w:sz="4" w:space="0"/>
            </w:tcBorders>
            <w:vAlign w:val="center"/>
          </w:tcPr>
          <w:p w14:paraId="1896ADC6">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23E85033">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584F5F89">
            <w:pPr>
              <w:snapToGrid w:val="0"/>
              <w:jc w:val="center"/>
              <w:rPr>
                <w:rFonts w:hint="eastAsia" w:ascii="仿宋" w:hAnsi="仿宋" w:eastAsia="仿宋" w:cs="仿宋"/>
                <w:color w:val="auto"/>
                <w:sz w:val="24"/>
                <w:highlight w:val="none"/>
              </w:rPr>
            </w:pPr>
          </w:p>
        </w:tc>
      </w:tr>
      <w:tr w14:paraId="37D7D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14:paraId="20E98EC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vAlign w:val="center"/>
          </w:tcPr>
          <w:p w14:paraId="27961C62">
            <w:pPr>
              <w:snapToGrid w:val="0"/>
              <w:jc w:val="center"/>
              <w:rPr>
                <w:rFonts w:hint="eastAsia" w:ascii="仿宋" w:hAnsi="仿宋" w:eastAsia="仿宋" w:cs="仿宋"/>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14:paraId="36DD43C5">
            <w:pPr>
              <w:snapToGrid w:val="0"/>
              <w:jc w:val="center"/>
              <w:rPr>
                <w:rFonts w:hint="eastAsia" w:ascii="仿宋" w:hAnsi="仿宋" w:eastAsia="仿宋" w:cs="仿宋"/>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1E630729">
            <w:pPr>
              <w:snapToGrid w:val="0"/>
              <w:jc w:val="center"/>
              <w:rPr>
                <w:rFonts w:hint="eastAsia" w:ascii="仿宋" w:hAnsi="仿宋" w:eastAsia="仿宋" w:cs="仿宋"/>
                <w:color w:val="auto"/>
                <w:sz w:val="24"/>
                <w:highlight w:val="none"/>
              </w:rPr>
            </w:pPr>
          </w:p>
        </w:tc>
      </w:tr>
    </w:tbl>
    <w:p w14:paraId="094195CB">
      <w:pPr>
        <w:pStyle w:val="15"/>
        <w:spacing w:line="360" w:lineRule="auto"/>
        <w:ind w:firstLine="482"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6F13909B">
      <w:pPr>
        <w:pStyle w:val="1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商务</w:t>
      </w:r>
      <w:r>
        <w:rPr>
          <w:rFonts w:hint="eastAsia" w:ascii="仿宋" w:hAnsi="仿宋" w:eastAsia="仿宋" w:cs="仿宋"/>
          <w:b/>
          <w:bCs/>
          <w:color w:val="auto"/>
          <w:sz w:val="24"/>
          <w:highlight w:val="none"/>
        </w:rPr>
        <w:t>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逐条实质性响应，并作出偏离说明。</w:t>
      </w:r>
    </w:p>
    <w:p w14:paraId="5B5E47E3">
      <w:pPr>
        <w:pStyle w:val="15"/>
        <w:spacing w:line="360" w:lineRule="auto"/>
        <w:ind w:firstLine="480"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2.投标人应根据自身的承诺，对照招标文件要求在“偏离说明”中注明“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4F3BFC1B">
      <w:pPr>
        <w:snapToGrid w:val="0"/>
        <w:spacing w:line="360" w:lineRule="auto"/>
        <w:ind w:firstLine="480" w:firstLineChars="200"/>
        <w:rPr>
          <w:rFonts w:hint="eastAsia" w:ascii="仿宋" w:hAnsi="仿宋" w:eastAsia="仿宋" w:cs="仿宋"/>
          <w:color w:val="auto"/>
          <w:sz w:val="24"/>
          <w:highlight w:val="none"/>
        </w:rPr>
      </w:pPr>
    </w:p>
    <w:p w14:paraId="3AACC866">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592A67DB">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A18EEDE">
      <w:pPr>
        <w:snapToGrid w:val="0"/>
        <w:spacing w:line="360" w:lineRule="auto"/>
        <w:rPr>
          <w:rFonts w:hint="eastAsia" w:ascii="仿宋" w:hAnsi="仿宋" w:eastAsia="仿宋" w:cs="仿宋"/>
          <w:color w:val="auto"/>
          <w:spacing w:val="20"/>
          <w:sz w:val="24"/>
          <w:highlight w:val="none"/>
          <w:u w:val="singl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77FC3C70">
      <w:pPr>
        <w:snapToGrid w:val="0"/>
        <w:spacing w:line="360" w:lineRule="auto"/>
        <w:rPr>
          <w:rFonts w:hint="eastAsia" w:ascii="仿宋" w:hAnsi="仿宋" w:eastAsia="仿宋" w:cs="仿宋"/>
          <w:b/>
          <w:color w:val="auto"/>
          <w:szCs w:val="21"/>
          <w:highlight w:val="none"/>
        </w:rPr>
      </w:pPr>
      <w:r>
        <w:rPr>
          <w:rFonts w:hint="eastAsia" w:ascii="仿宋" w:hAnsi="仿宋" w:eastAsia="仿宋" w:cs="仿宋"/>
          <w:color w:val="auto"/>
          <w:spacing w:val="20"/>
          <w:sz w:val="24"/>
          <w:highlight w:val="none"/>
          <w:u w:val="single"/>
        </w:rPr>
        <w:br w:type="column"/>
      </w:r>
      <w:r>
        <w:rPr>
          <w:rFonts w:hint="eastAsia" w:ascii="仿宋" w:hAnsi="仿宋" w:eastAsia="仿宋" w:cs="仿宋"/>
          <w:b/>
          <w:color w:val="auto"/>
          <w:sz w:val="24"/>
          <w:highlight w:val="none"/>
        </w:rPr>
        <w:t>投标人类似的业绩证明文件</w:t>
      </w:r>
    </w:p>
    <w:p w14:paraId="46739FE6">
      <w:pPr>
        <w:pStyle w:val="33"/>
        <w:snapToGrid w:val="0"/>
        <w:spacing w:after="240" w:afterLines="100"/>
        <w:ind w:left="482" w:hanging="48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投标人类似业绩情况表</w:t>
      </w:r>
    </w:p>
    <w:p w14:paraId="6AD711A4">
      <w:pPr>
        <w:pStyle w:val="33"/>
        <w:snapToGrid w:val="0"/>
        <w:ind w:left="480" w:hanging="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投标人同类项目情况一览表格式：（投标人同类项目合同复印件）</w:t>
      </w:r>
    </w:p>
    <w:tbl>
      <w:tblPr>
        <w:tblStyle w:val="45"/>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2"/>
        <w:gridCol w:w="1090"/>
        <w:gridCol w:w="1486"/>
        <w:gridCol w:w="2080"/>
        <w:gridCol w:w="1701"/>
      </w:tblGrid>
      <w:tr w14:paraId="3524C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432" w:type="dxa"/>
            <w:vMerge w:val="restart"/>
            <w:tcBorders>
              <w:top w:val="single" w:color="auto" w:sz="4" w:space="0"/>
              <w:left w:val="single" w:color="auto" w:sz="4" w:space="0"/>
              <w:bottom w:val="single" w:color="auto" w:sz="4" w:space="0"/>
              <w:right w:val="single" w:color="auto" w:sz="4" w:space="0"/>
            </w:tcBorders>
            <w:vAlign w:val="center"/>
          </w:tcPr>
          <w:p w14:paraId="31AD83E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14:paraId="5B5C158A">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486" w:type="dxa"/>
            <w:vMerge w:val="restart"/>
            <w:tcBorders>
              <w:top w:val="single" w:color="auto" w:sz="4" w:space="0"/>
              <w:left w:val="single" w:color="auto" w:sz="4" w:space="0"/>
              <w:bottom w:val="single" w:color="auto" w:sz="4" w:space="0"/>
              <w:right w:val="single" w:color="auto" w:sz="4" w:space="0"/>
            </w:tcBorders>
            <w:vAlign w:val="center"/>
          </w:tcPr>
          <w:p w14:paraId="3CF408A6">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合同金额</w:t>
            </w:r>
          </w:p>
          <w:p w14:paraId="02B45173">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2080" w:type="dxa"/>
            <w:tcBorders>
              <w:top w:val="single" w:color="auto" w:sz="4" w:space="0"/>
              <w:left w:val="single" w:color="auto" w:sz="4" w:space="0"/>
              <w:bottom w:val="single" w:color="auto" w:sz="4" w:space="0"/>
              <w:right w:val="single" w:color="auto" w:sz="4" w:space="0"/>
            </w:tcBorders>
            <w:vAlign w:val="center"/>
          </w:tcPr>
          <w:p w14:paraId="0BF06B72">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附件在投标文件中页码</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3F410E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采购人联系人及</w:t>
            </w:r>
          </w:p>
          <w:p w14:paraId="3139313B">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r>
      <w:tr w14:paraId="4C92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2432" w:type="dxa"/>
            <w:vMerge w:val="continue"/>
            <w:tcBorders>
              <w:top w:val="single" w:color="auto" w:sz="4" w:space="0"/>
              <w:left w:val="single" w:color="auto" w:sz="4" w:space="0"/>
              <w:bottom w:val="single" w:color="auto" w:sz="4" w:space="0"/>
              <w:right w:val="single" w:color="auto" w:sz="4" w:space="0"/>
            </w:tcBorders>
            <w:vAlign w:val="center"/>
          </w:tcPr>
          <w:p w14:paraId="4AF72B0C">
            <w:pPr>
              <w:jc w:val="left"/>
              <w:rPr>
                <w:rFonts w:hint="eastAsia" w:ascii="仿宋" w:hAnsi="仿宋" w:eastAsia="仿宋" w:cs="仿宋"/>
                <w:color w:val="auto"/>
                <w:sz w:val="24"/>
                <w:highlight w:val="none"/>
              </w:rPr>
            </w:pPr>
          </w:p>
        </w:tc>
        <w:tc>
          <w:tcPr>
            <w:tcW w:w="1090" w:type="dxa"/>
            <w:vMerge w:val="continue"/>
            <w:tcBorders>
              <w:top w:val="single" w:color="auto" w:sz="4" w:space="0"/>
              <w:left w:val="single" w:color="auto" w:sz="4" w:space="0"/>
              <w:bottom w:val="single" w:color="auto" w:sz="4" w:space="0"/>
              <w:right w:val="single" w:color="auto" w:sz="4" w:space="0"/>
            </w:tcBorders>
            <w:vAlign w:val="center"/>
          </w:tcPr>
          <w:p w14:paraId="7440DECF">
            <w:pPr>
              <w:jc w:val="left"/>
              <w:rPr>
                <w:rFonts w:hint="eastAsia" w:ascii="仿宋" w:hAnsi="仿宋" w:eastAsia="仿宋" w:cs="仿宋"/>
                <w:color w:val="auto"/>
                <w:sz w:val="24"/>
                <w:highlight w:val="none"/>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14:paraId="7B9CEEFA">
            <w:pPr>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60FC3CD9">
            <w:pPr>
              <w:snapToGrid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972262E">
            <w:pPr>
              <w:jc w:val="left"/>
              <w:rPr>
                <w:rFonts w:hint="eastAsia" w:ascii="仿宋" w:hAnsi="仿宋" w:eastAsia="仿宋" w:cs="仿宋"/>
                <w:color w:val="auto"/>
                <w:sz w:val="24"/>
                <w:highlight w:val="none"/>
              </w:rPr>
            </w:pPr>
          </w:p>
        </w:tc>
      </w:tr>
      <w:tr w14:paraId="781CD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5A57A42B">
            <w:pPr>
              <w:snapToGrid w:val="0"/>
              <w:spacing w:line="24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644EE2">
            <w:pPr>
              <w:snapToGrid w:val="0"/>
              <w:spacing w:line="24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03D72D2F">
            <w:pPr>
              <w:snapToGrid w:val="0"/>
              <w:spacing w:line="24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CA98B6F">
            <w:pPr>
              <w:snapToGrid w:val="0"/>
              <w:spacing w:line="24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8045AFD">
            <w:pPr>
              <w:snapToGrid w:val="0"/>
              <w:spacing w:line="240" w:lineRule="exact"/>
              <w:jc w:val="left"/>
              <w:rPr>
                <w:rFonts w:hint="eastAsia" w:ascii="仿宋" w:hAnsi="仿宋" w:eastAsia="仿宋" w:cs="仿宋"/>
                <w:color w:val="auto"/>
                <w:sz w:val="24"/>
                <w:highlight w:val="none"/>
              </w:rPr>
            </w:pPr>
          </w:p>
        </w:tc>
      </w:tr>
      <w:tr w14:paraId="45FCE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6D5BDDC6">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921640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1A974063">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08BA8A47">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6BD2587">
            <w:pPr>
              <w:snapToGrid w:val="0"/>
              <w:spacing w:before="50" w:after="120" w:afterLines="50" w:line="400" w:lineRule="exact"/>
              <w:jc w:val="left"/>
              <w:rPr>
                <w:rFonts w:hint="eastAsia" w:ascii="仿宋" w:hAnsi="仿宋" w:eastAsia="仿宋" w:cs="仿宋"/>
                <w:color w:val="auto"/>
                <w:sz w:val="24"/>
                <w:highlight w:val="none"/>
              </w:rPr>
            </w:pPr>
          </w:p>
        </w:tc>
      </w:tr>
      <w:tr w14:paraId="496A9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75E3C47A">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5ABCE534">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832D21F">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BD6F206">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024EE8">
            <w:pPr>
              <w:snapToGrid w:val="0"/>
              <w:spacing w:before="50" w:after="120" w:afterLines="50" w:line="400" w:lineRule="exact"/>
              <w:jc w:val="left"/>
              <w:rPr>
                <w:rFonts w:hint="eastAsia" w:ascii="仿宋" w:hAnsi="仿宋" w:eastAsia="仿宋" w:cs="仿宋"/>
                <w:color w:val="auto"/>
                <w:sz w:val="24"/>
                <w:highlight w:val="none"/>
              </w:rPr>
            </w:pPr>
          </w:p>
        </w:tc>
      </w:tr>
      <w:tr w14:paraId="22FE0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300C087E">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69E29800">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663CFE4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E6D40EF">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8F52778">
            <w:pPr>
              <w:snapToGrid w:val="0"/>
              <w:spacing w:before="50" w:after="120" w:afterLines="50" w:line="400" w:lineRule="exact"/>
              <w:jc w:val="left"/>
              <w:rPr>
                <w:rFonts w:hint="eastAsia" w:ascii="仿宋" w:hAnsi="仿宋" w:eastAsia="仿宋" w:cs="仿宋"/>
                <w:color w:val="auto"/>
                <w:sz w:val="24"/>
                <w:highlight w:val="none"/>
              </w:rPr>
            </w:pPr>
          </w:p>
        </w:tc>
      </w:tr>
      <w:tr w14:paraId="1C54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32" w:type="dxa"/>
            <w:tcBorders>
              <w:top w:val="single" w:color="auto" w:sz="4" w:space="0"/>
              <w:left w:val="single" w:color="auto" w:sz="4" w:space="0"/>
              <w:bottom w:val="single" w:color="auto" w:sz="4" w:space="0"/>
              <w:right w:val="single" w:color="auto" w:sz="4" w:space="0"/>
            </w:tcBorders>
            <w:vAlign w:val="center"/>
          </w:tcPr>
          <w:p w14:paraId="441CBCF9">
            <w:pPr>
              <w:snapToGrid w:val="0"/>
              <w:spacing w:before="50" w:after="120" w:afterLines="50" w:line="400" w:lineRule="exact"/>
              <w:jc w:val="left"/>
              <w:rPr>
                <w:rFonts w:hint="eastAsia" w:ascii="仿宋" w:hAnsi="仿宋" w:eastAsia="仿宋" w:cs="仿宋"/>
                <w:color w:val="auto"/>
                <w:sz w:val="24"/>
                <w:highlight w:val="none"/>
              </w:rPr>
            </w:pPr>
          </w:p>
        </w:tc>
        <w:tc>
          <w:tcPr>
            <w:tcW w:w="1090" w:type="dxa"/>
            <w:tcBorders>
              <w:top w:val="single" w:color="auto" w:sz="4" w:space="0"/>
              <w:left w:val="single" w:color="auto" w:sz="4" w:space="0"/>
              <w:bottom w:val="single" w:color="auto" w:sz="4" w:space="0"/>
              <w:right w:val="single" w:color="auto" w:sz="4" w:space="0"/>
            </w:tcBorders>
            <w:vAlign w:val="center"/>
          </w:tcPr>
          <w:p w14:paraId="02E90042">
            <w:pPr>
              <w:snapToGrid w:val="0"/>
              <w:spacing w:before="50" w:after="120" w:afterLines="50" w:line="400" w:lineRule="exact"/>
              <w:jc w:val="left"/>
              <w:rPr>
                <w:rFonts w:hint="eastAsia" w:ascii="仿宋" w:hAnsi="仿宋" w:eastAsia="仿宋" w:cs="仿宋"/>
                <w:color w:val="auto"/>
                <w:sz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14:paraId="2191F111">
            <w:pPr>
              <w:snapToGrid w:val="0"/>
              <w:spacing w:before="50" w:after="120" w:afterLines="50" w:line="400" w:lineRule="exact"/>
              <w:jc w:val="left"/>
              <w:rPr>
                <w:rFonts w:hint="eastAsia" w:ascii="仿宋" w:hAnsi="仿宋" w:eastAsia="仿宋" w:cs="仿宋"/>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vAlign w:val="center"/>
          </w:tcPr>
          <w:p w14:paraId="4981D17A">
            <w:pPr>
              <w:snapToGrid w:val="0"/>
              <w:spacing w:before="50" w:after="120" w:afterLines="50" w:line="400" w:lineRule="exact"/>
              <w:jc w:val="left"/>
              <w:rPr>
                <w:rFonts w:hint="eastAsia" w:ascii="仿宋" w:hAnsi="仿宋" w:eastAsia="仿宋" w:cs="仿宋"/>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08882C">
            <w:pPr>
              <w:snapToGrid w:val="0"/>
              <w:spacing w:before="50" w:after="120" w:afterLines="50" w:line="400" w:lineRule="exact"/>
              <w:jc w:val="left"/>
              <w:rPr>
                <w:rFonts w:hint="eastAsia" w:ascii="仿宋" w:hAnsi="仿宋" w:eastAsia="仿宋" w:cs="仿宋"/>
                <w:color w:val="auto"/>
                <w:sz w:val="24"/>
                <w:highlight w:val="none"/>
              </w:rPr>
            </w:pPr>
          </w:p>
        </w:tc>
      </w:tr>
    </w:tbl>
    <w:p w14:paraId="26B3E941">
      <w:pPr>
        <w:pStyle w:val="13"/>
        <w:snapToGrid w:val="0"/>
        <w:rPr>
          <w:rFonts w:hint="eastAsia" w:ascii="仿宋" w:hAnsi="仿宋" w:eastAsia="仿宋" w:cs="仿宋"/>
          <w:color w:val="auto"/>
          <w:sz w:val="24"/>
          <w:szCs w:val="24"/>
          <w:highlight w:val="none"/>
        </w:rPr>
      </w:pPr>
    </w:p>
    <w:p w14:paraId="258991AE">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0233858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1DC8A18A">
      <w:pPr>
        <w:snapToGrid w:val="0"/>
        <w:spacing w:before="50" w:line="360" w:lineRule="auto"/>
        <w:ind w:right="480" w:firstLine="480" w:firstLineChars="200"/>
        <w:jc w:val="left"/>
        <w:rPr>
          <w:rFonts w:hint="eastAsia" w:ascii="仿宋" w:hAnsi="仿宋" w:eastAsia="仿宋" w:cs="仿宋"/>
          <w:color w:val="auto"/>
          <w:sz w:val="24"/>
          <w:highlight w:val="none"/>
        </w:rPr>
        <w:sectPr>
          <w:footerReference r:id="rId16" w:type="first"/>
          <w:footerReference r:id="rId14" w:type="default"/>
          <w:footerReference r:id="rId15" w:type="even"/>
          <w:pgSz w:w="11906" w:h="16838"/>
          <w:pgMar w:top="1440" w:right="1797" w:bottom="1440" w:left="1797" w:header="851" w:footer="992" w:gutter="0"/>
          <w:pgNumType w:fmt="decimal"/>
          <w:cols w:space="720" w:num="1"/>
          <w:docGrid w:linePitch="312" w:charSpace="0"/>
        </w:sectPr>
      </w:pPr>
      <w:r>
        <w:rPr>
          <w:rFonts w:hint="eastAsia" w:ascii="仿宋" w:hAnsi="仿宋" w:eastAsia="仿宋" w:cs="仿宋"/>
          <w:color w:val="auto"/>
          <w:sz w:val="24"/>
          <w:highlight w:val="none"/>
        </w:rPr>
        <w:t>年    月    日</w:t>
      </w:r>
    </w:p>
    <w:p w14:paraId="04AD5D3C">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设备性能配置清单格式</w:t>
      </w:r>
    </w:p>
    <w:p w14:paraId="3B3D5AC5">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设备性能配置清单</w:t>
      </w:r>
    </w:p>
    <w:p w14:paraId="6C05EA81">
      <w:pPr>
        <w:pStyle w:val="23"/>
        <w:rPr>
          <w:rFonts w:hint="eastAsia" w:ascii="仿宋" w:hAnsi="仿宋" w:eastAsia="仿宋" w:cs="仿宋"/>
          <w:color w:val="auto"/>
          <w:sz w:val="24"/>
          <w:szCs w:val="24"/>
          <w:highlight w:val="none"/>
        </w:rPr>
      </w:pP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72"/>
        <w:gridCol w:w="1052"/>
        <w:gridCol w:w="1147"/>
        <w:gridCol w:w="1638"/>
        <w:gridCol w:w="981"/>
        <w:gridCol w:w="1202"/>
        <w:gridCol w:w="1648"/>
      </w:tblGrid>
      <w:tr w14:paraId="5077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DEC0B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2821AE80">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534" w:type="pct"/>
            <w:tcBorders>
              <w:top w:val="single" w:color="auto" w:sz="4" w:space="0"/>
              <w:left w:val="single" w:color="auto" w:sz="4" w:space="0"/>
              <w:bottom w:val="single" w:color="auto" w:sz="4" w:space="0"/>
              <w:right w:val="single" w:color="auto" w:sz="4" w:space="0"/>
            </w:tcBorders>
            <w:vAlign w:val="center"/>
          </w:tcPr>
          <w:p w14:paraId="50AF57BB">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数量及单位</w:t>
            </w:r>
          </w:p>
        </w:tc>
        <w:tc>
          <w:tcPr>
            <w:tcW w:w="582" w:type="pct"/>
            <w:tcBorders>
              <w:top w:val="single" w:color="auto" w:sz="4" w:space="0"/>
              <w:left w:val="single" w:color="auto" w:sz="4" w:space="0"/>
              <w:bottom w:val="single" w:color="auto" w:sz="4" w:space="0"/>
              <w:right w:val="single" w:color="auto" w:sz="4" w:space="0"/>
            </w:tcBorders>
            <w:vAlign w:val="center"/>
          </w:tcPr>
          <w:p w14:paraId="1FB641CC">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831" w:type="pct"/>
            <w:tcBorders>
              <w:top w:val="single" w:color="auto" w:sz="4" w:space="0"/>
              <w:left w:val="single" w:color="auto" w:sz="4" w:space="0"/>
              <w:bottom w:val="single" w:color="auto" w:sz="4" w:space="0"/>
              <w:right w:val="single" w:color="auto" w:sz="4" w:space="0"/>
            </w:tcBorders>
            <w:vAlign w:val="center"/>
          </w:tcPr>
          <w:p w14:paraId="79B74254">
            <w:pPr>
              <w:snapToGrid w:val="0"/>
              <w:spacing w:before="50" w:after="50"/>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498" w:type="pct"/>
            <w:tcBorders>
              <w:top w:val="single" w:color="auto" w:sz="4" w:space="0"/>
              <w:left w:val="single" w:color="auto" w:sz="4" w:space="0"/>
              <w:bottom w:val="single" w:color="auto" w:sz="4" w:space="0"/>
              <w:right w:val="single" w:color="auto" w:sz="4" w:space="0"/>
            </w:tcBorders>
            <w:vAlign w:val="center"/>
          </w:tcPr>
          <w:p w14:paraId="1BFF8C2E">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w:t>
            </w:r>
          </w:p>
        </w:tc>
        <w:tc>
          <w:tcPr>
            <w:tcW w:w="610" w:type="pct"/>
            <w:tcBorders>
              <w:top w:val="single" w:color="auto" w:sz="4" w:space="0"/>
              <w:left w:val="single" w:color="auto" w:sz="4" w:space="0"/>
              <w:bottom w:val="single" w:color="auto" w:sz="4" w:space="0"/>
              <w:right w:val="single" w:color="auto" w:sz="4" w:space="0"/>
            </w:tcBorders>
            <w:vAlign w:val="center"/>
          </w:tcPr>
          <w:p w14:paraId="059F65A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ED905E7">
            <w:pPr>
              <w:snapToGrid w:val="0"/>
              <w:spacing w:before="50" w:after="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参数性能、指标及配置</w:t>
            </w:r>
          </w:p>
        </w:tc>
      </w:tr>
      <w:tr w14:paraId="39BE1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0814E30">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31A57FF">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754A22BA">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1E65DCC0">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3A450D80">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5868DDDA">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5CB56AA4">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894BAFE">
            <w:pPr>
              <w:snapToGrid w:val="0"/>
              <w:spacing w:before="50" w:after="50"/>
              <w:jc w:val="center"/>
              <w:rPr>
                <w:rFonts w:hint="eastAsia" w:ascii="仿宋" w:hAnsi="仿宋" w:eastAsia="仿宋" w:cs="仿宋"/>
                <w:color w:val="auto"/>
                <w:sz w:val="24"/>
                <w:highlight w:val="none"/>
              </w:rPr>
            </w:pPr>
          </w:p>
        </w:tc>
      </w:tr>
      <w:tr w14:paraId="5727D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AB23ACC">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4A8FB81">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0BB1A7D8">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222B69C2">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55792FA8">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096E4B">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69BA69A2">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814A801">
            <w:pPr>
              <w:snapToGrid w:val="0"/>
              <w:spacing w:before="50" w:after="50"/>
              <w:jc w:val="center"/>
              <w:rPr>
                <w:rFonts w:hint="eastAsia" w:ascii="仿宋" w:hAnsi="仿宋" w:eastAsia="仿宋" w:cs="仿宋"/>
                <w:color w:val="auto"/>
                <w:sz w:val="24"/>
                <w:highlight w:val="none"/>
              </w:rPr>
            </w:pPr>
          </w:p>
        </w:tc>
      </w:tr>
      <w:tr w14:paraId="52F7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5F118B3">
            <w:pPr>
              <w:snapToGrid w:val="0"/>
              <w:spacing w:before="50" w:after="50"/>
              <w:jc w:val="center"/>
              <w:rPr>
                <w:rFonts w:hint="eastAsia" w:ascii="仿宋" w:hAnsi="仿宋" w:eastAsia="仿宋" w:cs="仿宋"/>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00C598">
            <w:pPr>
              <w:snapToGrid w:val="0"/>
              <w:spacing w:before="50" w:after="50"/>
              <w:jc w:val="center"/>
              <w:rPr>
                <w:rFonts w:hint="eastAsia" w:ascii="仿宋" w:hAnsi="仿宋" w:eastAsia="仿宋" w:cs="仿宋"/>
                <w:color w:val="auto"/>
                <w:sz w:val="24"/>
                <w:highlight w:val="none"/>
              </w:rPr>
            </w:pPr>
          </w:p>
        </w:tc>
        <w:tc>
          <w:tcPr>
            <w:tcW w:w="534" w:type="pct"/>
            <w:tcBorders>
              <w:top w:val="single" w:color="auto" w:sz="4" w:space="0"/>
              <w:left w:val="single" w:color="auto" w:sz="4" w:space="0"/>
              <w:bottom w:val="single" w:color="auto" w:sz="4" w:space="0"/>
              <w:right w:val="single" w:color="auto" w:sz="4" w:space="0"/>
            </w:tcBorders>
            <w:vAlign w:val="center"/>
          </w:tcPr>
          <w:p w14:paraId="540F7404">
            <w:pPr>
              <w:snapToGrid w:val="0"/>
              <w:spacing w:before="50" w:after="50"/>
              <w:jc w:val="center"/>
              <w:rPr>
                <w:rFonts w:hint="eastAsia" w:ascii="仿宋" w:hAnsi="仿宋" w:eastAsia="仿宋" w:cs="仿宋"/>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1EEFBE9">
            <w:pPr>
              <w:snapToGrid w:val="0"/>
              <w:spacing w:before="50" w:after="50"/>
              <w:jc w:val="center"/>
              <w:rPr>
                <w:rFonts w:hint="eastAsia" w:ascii="仿宋" w:hAnsi="仿宋" w:eastAsia="仿宋" w:cs="仿宋"/>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14:paraId="4E1A8216">
            <w:pPr>
              <w:snapToGrid w:val="0"/>
              <w:spacing w:before="50" w:after="50"/>
              <w:jc w:val="center"/>
              <w:rPr>
                <w:rFonts w:hint="eastAsia" w:ascii="仿宋" w:hAnsi="仿宋" w:eastAsia="仿宋" w:cs="仿宋"/>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7E467802">
            <w:pPr>
              <w:snapToGrid w:val="0"/>
              <w:spacing w:before="50" w:after="50"/>
              <w:jc w:val="center"/>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7B63690D">
            <w:pPr>
              <w:snapToGrid w:val="0"/>
              <w:spacing w:before="50" w:after="50"/>
              <w:jc w:val="center"/>
              <w:rPr>
                <w:rFonts w:hint="eastAsia" w:ascii="仿宋" w:hAnsi="仿宋" w:eastAsia="仿宋" w:cs="仿宋"/>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B91BE99">
            <w:pPr>
              <w:snapToGrid w:val="0"/>
              <w:spacing w:before="50" w:after="50"/>
              <w:jc w:val="center"/>
              <w:rPr>
                <w:rFonts w:hint="eastAsia" w:ascii="仿宋" w:hAnsi="仿宋" w:eastAsia="仿宋" w:cs="仿宋"/>
                <w:color w:val="auto"/>
                <w:sz w:val="24"/>
                <w:highlight w:val="none"/>
              </w:rPr>
            </w:pPr>
          </w:p>
        </w:tc>
      </w:tr>
    </w:tbl>
    <w:p w14:paraId="66BF367E">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备注：以上性能配置清单中“货物名称、数量及单位、品牌、规格型号、制造商、原产地、参数性能、指标及配置”必须如实填写完整，品牌、规格型号没有则填无，填写有缺漏</w:t>
      </w:r>
      <w:r>
        <w:rPr>
          <w:rFonts w:hint="eastAsia" w:ascii="仿宋" w:hAnsi="仿宋" w:eastAsia="仿宋" w:cs="仿宋"/>
          <w:bCs/>
          <w:color w:val="auto"/>
          <w:sz w:val="24"/>
          <w:highlight w:val="none"/>
        </w:rPr>
        <w:t>的，</w:t>
      </w:r>
      <w:r>
        <w:rPr>
          <w:rFonts w:hint="eastAsia" w:ascii="仿宋" w:hAnsi="仿宋" w:eastAsia="仿宋" w:cs="仿宋"/>
          <w:b/>
          <w:color w:val="auto"/>
          <w:sz w:val="24"/>
          <w:highlight w:val="none"/>
        </w:rPr>
        <w:t>作无效投标处理。</w:t>
      </w:r>
    </w:p>
    <w:p w14:paraId="291DBF7C">
      <w:pPr>
        <w:snapToGrid w:val="0"/>
        <w:spacing w:before="50" w:after="50"/>
        <w:rPr>
          <w:rFonts w:hint="eastAsia" w:ascii="仿宋" w:hAnsi="仿宋" w:eastAsia="仿宋" w:cs="仿宋"/>
          <w:color w:val="auto"/>
          <w:sz w:val="24"/>
          <w:highlight w:val="none"/>
        </w:rPr>
      </w:pPr>
    </w:p>
    <w:p w14:paraId="7AF5282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3F7E36BD">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6A2EF80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1759BC70">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4"/>
          <w:highlight w:val="none"/>
        </w:rPr>
        <w:t>技术偏离表格式</w:t>
      </w:r>
    </w:p>
    <w:p w14:paraId="4761492B">
      <w:pPr>
        <w:snapToGrid w:val="0"/>
        <w:spacing w:before="120" w:beforeLines="50" w:after="50"/>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技术偏离表</w:t>
      </w:r>
    </w:p>
    <w:p w14:paraId="6EC9CCB2">
      <w:pPr>
        <w:pStyle w:val="23"/>
        <w:rPr>
          <w:rFonts w:hint="eastAsia" w:ascii="仿宋" w:hAnsi="仿宋" w:eastAsia="仿宋" w:cs="仿宋"/>
          <w:color w:val="auto"/>
          <w:sz w:val="24"/>
          <w:szCs w:val="24"/>
          <w:highlight w:val="none"/>
        </w:rPr>
      </w:pP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17E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EF14527">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项号</w:t>
            </w:r>
          </w:p>
        </w:tc>
        <w:tc>
          <w:tcPr>
            <w:tcW w:w="2143" w:type="dxa"/>
            <w:vAlign w:val="center"/>
          </w:tcPr>
          <w:p w14:paraId="7087E1AE">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标的的名称</w:t>
            </w:r>
          </w:p>
        </w:tc>
        <w:tc>
          <w:tcPr>
            <w:tcW w:w="1834" w:type="dxa"/>
            <w:vAlign w:val="center"/>
          </w:tcPr>
          <w:p w14:paraId="0045D036">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招标要求</w:t>
            </w:r>
          </w:p>
        </w:tc>
        <w:tc>
          <w:tcPr>
            <w:tcW w:w="2181" w:type="dxa"/>
            <w:vAlign w:val="center"/>
          </w:tcPr>
          <w:p w14:paraId="4E1E8F01">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投标响应</w:t>
            </w:r>
          </w:p>
        </w:tc>
        <w:tc>
          <w:tcPr>
            <w:tcW w:w="1934" w:type="dxa"/>
            <w:vAlign w:val="center"/>
          </w:tcPr>
          <w:p w14:paraId="334E56E8">
            <w:pPr>
              <w:pStyle w:val="23"/>
              <w:spacing w:line="40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偏离说明</w:t>
            </w:r>
          </w:p>
        </w:tc>
      </w:tr>
      <w:tr w14:paraId="6E1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61D053">
            <w:pPr>
              <w:pStyle w:val="23"/>
              <w:spacing w:line="600" w:lineRule="exact"/>
              <w:rPr>
                <w:rFonts w:hint="eastAsia" w:ascii="仿宋" w:hAnsi="仿宋" w:eastAsia="仿宋" w:cs="仿宋"/>
                <w:color w:val="auto"/>
                <w:kern w:val="2"/>
                <w:sz w:val="24"/>
                <w:szCs w:val="24"/>
                <w:highlight w:val="none"/>
              </w:rPr>
            </w:pPr>
          </w:p>
        </w:tc>
        <w:tc>
          <w:tcPr>
            <w:tcW w:w="2143" w:type="dxa"/>
          </w:tcPr>
          <w:p w14:paraId="4E56708D">
            <w:pPr>
              <w:pStyle w:val="23"/>
              <w:spacing w:line="600" w:lineRule="exact"/>
              <w:rPr>
                <w:rFonts w:hint="eastAsia" w:ascii="仿宋" w:hAnsi="仿宋" w:eastAsia="仿宋" w:cs="仿宋"/>
                <w:color w:val="auto"/>
                <w:kern w:val="2"/>
                <w:sz w:val="24"/>
                <w:szCs w:val="24"/>
                <w:highlight w:val="none"/>
              </w:rPr>
            </w:pPr>
          </w:p>
        </w:tc>
        <w:tc>
          <w:tcPr>
            <w:tcW w:w="1834" w:type="dxa"/>
          </w:tcPr>
          <w:p w14:paraId="01DBCE94">
            <w:pPr>
              <w:pStyle w:val="23"/>
              <w:spacing w:line="600" w:lineRule="exact"/>
              <w:rPr>
                <w:rFonts w:hint="eastAsia" w:ascii="仿宋" w:hAnsi="仿宋" w:eastAsia="仿宋" w:cs="仿宋"/>
                <w:color w:val="auto"/>
                <w:kern w:val="2"/>
                <w:sz w:val="24"/>
                <w:szCs w:val="24"/>
                <w:highlight w:val="none"/>
              </w:rPr>
            </w:pPr>
          </w:p>
        </w:tc>
        <w:tc>
          <w:tcPr>
            <w:tcW w:w="2181" w:type="dxa"/>
          </w:tcPr>
          <w:p w14:paraId="72E0EC45">
            <w:pPr>
              <w:pStyle w:val="23"/>
              <w:spacing w:line="600" w:lineRule="exact"/>
              <w:rPr>
                <w:rFonts w:hint="eastAsia" w:ascii="仿宋" w:hAnsi="仿宋" w:eastAsia="仿宋" w:cs="仿宋"/>
                <w:color w:val="auto"/>
                <w:kern w:val="2"/>
                <w:sz w:val="24"/>
                <w:szCs w:val="24"/>
                <w:highlight w:val="none"/>
              </w:rPr>
            </w:pPr>
          </w:p>
        </w:tc>
        <w:tc>
          <w:tcPr>
            <w:tcW w:w="1934" w:type="dxa"/>
          </w:tcPr>
          <w:p w14:paraId="0FAA0444">
            <w:pPr>
              <w:pStyle w:val="23"/>
              <w:spacing w:line="600" w:lineRule="exact"/>
              <w:rPr>
                <w:rFonts w:hint="eastAsia" w:ascii="仿宋" w:hAnsi="仿宋" w:eastAsia="仿宋" w:cs="仿宋"/>
                <w:color w:val="auto"/>
                <w:kern w:val="2"/>
                <w:sz w:val="24"/>
                <w:szCs w:val="24"/>
                <w:highlight w:val="none"/>
              </w:rPr>
            </w:pPr>
          </w:p>
        </w:tc>
      </w:tr>
      <w:tr w14:paraId="414F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461FD7">
            <w:pPr>
              <w:pStyle w:val="23"/>
              <w:spacing w:line="600" w:lineRule="exact"/>
              <w:rPr>
                <w:rFonts w:hint="eastAsia" w:ascii="仿宋" w:hAnsi="仿宋" w:eastAsia="仿宋" w:cs="仿宋"/>
                <w:color w:val="auto"/>
                <w:kern w:val="2"/>
                <w:sz w:val="24"/>
                <w:szCs w:val="24"/>
                <w:highlight w:val="none"/>
              </w:rPr>
            </w:pPr>
          </w:p>
        </w:tc>
        <w:tc>
          <w:tcPr>
            <w:tcW w:w="2143" w:type="dxa"/>
          </w:tcPr>
          <w:p w14:paraId="5424369F">
            <w:pPr>
              <w:pStyle w:val="23"/>
              <w:spacing w:line="600" w:lineRule="exact"/>
              <w:rPr>
                <w:rFonts w:hint="eastAsia" w:ascii="仿宋" w:hAnsi="仿宋" w:eastAsia="仿宋" w:cs="仿宋"/>
                <w:color w:val="auto"/>
                <w:kern w:val="2"/>
                <w:sz w:val="24"/>
                <w:szCs w:val="24"/>
                <w:highlight w:val="none"/>
              </w:rPr>
            </w:pPr>
          </w:p>
        </w:tc>
        <w:tc>
          <w:tcPr>
            <w:tcW w:w="1834" w:type="dxa"/>
          </w:tcPr>
          <w:p w14:paraId="2A5EE18C">
            <w:pPr>
              <w:pStyle w:val="23"/>
              <w:spacing w:line="600" w:lineRule="exact"/>
              <w:rPr>
                <w:rFonts w:hint="eastAsia" w:ascii="仿宋" w:hAnsi="仿宋" w:eastAsia="仿宋" w:cs="仿宋"/>
                <w:color w:val="auto"/>
                <w:kern w:val="2"/>
                <w:sz w:val="24"/>
                <w:szCs w:val="24"/>
                <w:highlight w:val="none"/>
              </w:rPr>
            </w:pPr>
          </w:p>
        </w:tc>
        <w:tc>
          <w:tcPr>
            <w:tcW w:w="2181" w:type="dxa"/>
          </w:tcPr>
          <w:p w14:paraId="63AEF6F6">
            <w:pPr>
              <w:pStyle w:val="23"/>
              <w:spacing w:line="600" w:lineRule="exact"/>
              <w:rPr>
                <w:rFonts w:hint="eastAsia" w:ascii="仿宋" w:hAnsi="仿宋" w:eastAsia="仿宋" w:cs="仿宋"/>
                <w:color w:val="auto"/>
                <w:kern w:val="2"/>
                <w:sz w:val="24"/>
                <w:szCs w:val="24"/>
                <w:highlight w:val="none"/>
              </w:rPr>
            </w:pPr>
          </w:p>
        </w:tc>
        <w:tc>
          <w:tcPr>
            <w:tcW w:w="1934" w:type="dxa"/>
          </w:tcPr>
          <w:p w14:paraId="60FAB0DA">
            <w:pPr>
              <w:pStyle w:val="23"/>
              <w:spacing w:line="600" w:lineRule="exact"/>
              <w:rPr>
                <w:rFonts w:hint="eastAsia" w:ascii="仿宋" w:hAnsi="仿宋" w:eastAsia="仿宋" w:cs="仿宋"/>
                <w:color w:val="auto"/>
                <w:kern w:val="2"/>
                <w:sz w:val="24"/>
                <w:szCs w:val="24"/>
                <w:highlight w:val="none"/>
              </w:rPr>
            </w:pPr>
          </w:p>
        </w:tc>
      </w:tr>
      <w:tr w14:paraId="0E49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C17B14">
            <w:pPr>
              <w:pStyle w:val="23"/>
              <w:spacing w:line="600" w:lineRule="exact"/>
              <w:rPr>
                <w:rFonts w:hint="eastAsia" w:ascii="仿宋" w:hAnsi="仿宋" w:eastAsia="仿宋" w:cs="仿宋"/>
                <w:color w:val="auto"/>
                <w:kern w:val="2"/>
                <w:sz w:val="24"/>
                <w:szCs w:val="24"/>
                <w:highlight w:val="none"/>
              </w:rPr>
            </w:pPr>
          </w:p>
        </w:tc>
        <w:tc>
          <w:tcPr>
            <w:tcW w:w="2143" w:type="dxa"/>
          </w:tcPr>
          <w:p w14:paraId="5842D874">
            <w:pPr>
              <w:pStyle w:val="23"/>
              <w:spacing w:line="600" w:lineRule="exact"/>
              <w:rPr>
                <w:rFonts w:hint="eastAsia" w:ascii="仿宋" w:hAnsi="仿宋" w:eastAsia="仿宋" w:cs="仿宋"/>
                <w:color w:val="auto"/>
                <w:kern w:val="2"/>
                <w:sz w:val="24"/>
                <w:szCs w:val="24"/>
                <w:highlight w:val="none"/>
              </w:rPr>
            </w:pPr>
          </w:p>
        </w:tc>
        <w:tc>
          <w:tcPr>
            <w:tcW w:w="1834" w:type="dxa"/>
          </w:tcPr>
          <w:p w14:paraId="4AD16CFF">
            <w:pPr>
              <w:pStyle w:val="23"/>
              <w:spacing w:line="600" w:lineRule="exact"/>
              <w:rPr>
                <w:rFonts w:hint="eastAsia" w:ascii="仿宋" w:hAnsi="仿宋" w:eastAsia="仿宋" w:cs="仿宋"/>
                <w:color w:val="auto"/>
                <w:kern w:val="2"/>
                <w:sz w:val="24"/>
                <w:szCs w:val="24"/>
                <w:highlight w:val="none"/>
              </w:rPr>
            </w:pPr>
          </w:p>
        </w:tc>
        <w:tc>
          <w:tcPr>
            <w:tcW w:w="2181" w:type="dxa"/>
          </w:tcPr>
          <w:p w14:paraId="20764BAD">
            <w:pPr>
              <w:pStyle w:val="23"/>
              <w:spacing w:line="600" w:lineRule="exact"/>
              <w:rPr>
                <w:rFonts w:hint="eastAsia" w:ascii="仿宋" w:hAnsi="仿宋" w:eastAsia="仿宋" w:cs="仿宋"/>
                <w:color w:val="auto"/>
                <w:kern w:val="2"/>
                <w:sz w:val="24"/>
                <w:szCs w:val="24"/>
                <w:highlight w:val="none"/>
              </w:rPr>
            </w:pPr>
          </w:p>
        </w:tc>
        <w:tc>
          <w:tcPr>
            <w:tcW w:w="1934" w:type="dxa"/>
          </w:tcPr>
          <w:p w14:paraId="1736FBBE">
            <w:pPr>
              <w:pStyle w:val="23"/>
              <w:spacing w:line="600" w:lineRule="exact"/>
              <w:rPr>
                <w:rFonts w:hint="eastAsia" w:ascii="仿宋" w:hAnsi="仿宋" w:eastAsia="仿宋" w:cs="仿宋"/>
                <w:color w:val="auto"/>
                <w:kern w:val="2"/>
                <w:sz w:val="24"/>
                <w:szCs w:val="24"/>
                <w:highlight w:val="none"/>
              </w:rPr>
            </w:pPr>
          </w:p>
        </w:tc>
      </w:tr>
      <w:tr w14:paraId="6DAC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DFD055E">
            <w:pPr>
              <w:pStyle w:val="23"/>
              <w:spacing w:line="600" w:lineRule="exact"/>
              <w:rPr>
                <w:rFonts w:hint="eastAsia" w:ascii="仿宋" w:hAnsi="仿宋" w:eastAsia="仿宋" w:cs="仿宋"/>
                <w:color w:val="auto"/>
                <w:kern w:val="2"/>
                <w:sz w:val="24"/>
                <w:szCs w:val="24"/>
                <w:highlight w:val="none"/>
              </w:rPr>
            </w:pPr>
          </w:p>
        </w:tc>
        <w:tc>
          <w:tcPr>
            <w:tcW w:w="2143" w:type="dxa"/>
          </w:tcPr>
          <w:p w14:paraId="6F95A6F0">
            <w:pPr>
              <w:pStyle w:val="23"/>
              <w:spacing w:line="600" w:lineRule="exact"/>
              <w:rPr>
                <w:rFonts w:hint="eastAsia" w:ascii="仿宋" w:hAnsi="仿宋" w:eastAsia="仿宋" w:cs="仿宋"/>
                <w:color w:val="auto"/>
                <w:kern w:val="2"/>
                <w:sz w:val="24"/>
                <w:szCs w:val="24"/>
                <w:highlight w:val="none"/>
              </w:rPr>
            </w:pPr>
          </w:p>
        </w:tc>
        <w:tc>
          <w:tcPr>
            <w:tcW w:w="1834" w:type="dxa"/>
          </w:tcPr>
          <w:p w14:paraId="1C73FBB1">
            <w:pPr>
              <w:pStyle w:val="23"/>
              <w:spacing w:line="600" w:lineRule="exact"/>
              <w:rPr>
                <w:rFonts w:hint="eastAsia" w:ascii="仿宋" w:hAnsi="仿宋" w:eastAsia="仿宋" w:cs="仿宋"/>
                <w:color w:val="auto"/>
                <w:kern w:val="2"/>
                <w:sz w:val="24"/>
                <w:szCs w:val="24"/>
                <w:highlight w:val="none"/>
              </w:rPr>
            </w:pPr>
          </w:p>
        </w:tc>
        <w:tc>
          <w:tcPr>
            <w:tcW w:w="2181" w:type="dxa"/>
          </w:tcPr>
          <w:p w14:paraId="6F3C86A7">
            <w:pPr>
              <w:pStyle w:val="23"/>
              <w:spacing w:line="600" w:lineRule="exact"/>
              <w:rPr>
                <w:rFonts w:hint="eastAsia" w:ascii="仿宋" w:hAnsi="仿宋" w:eastAsia="仿宋" w:cs="仿宋"/>
                <w:color w:val="auto"/>
                <w:kern w:val="2"/>
                <w:sz w:val="24"/>
                <w:szCs w:val="24"/>
                <w:highlight w:val="none"/>
              </w:rPr>
            </w:pPr>
          </w:p>
        </w:tc>
        <w:tc>
          <w:tcPr>
            <w:tcW w:w="1934" w:type="dxa"/>
          </w:tcPr>
          <w:p w14:paraId="1E4B4D50">
            <w:pPr>
              <w:pStyle w:val="23"/>
              <w:spacing w:line="600" w:lineRule="exact"/>
              <w:rPr>
                <w:rFonts w:hint="eastAsia" w:ascii="仿宋" w:hAnsi="仿宋" w:eastAsia="仿宋" w:cs="仿宋"/>
                <w:color w:val="auto"/>
                <w:kern w:val="2"/>
                <w:sz w:val="24"/>
                <w:szCs w:val="24"/>
                <w:highlight w:val="none"/>
              </w:rPr>
            </w:pPr>
          </w:p>
        </w:tc>
      </w:tr>
      <w:tr w14:paraId="075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C49EC1B">
            <w:pPr>
              <w:pStyle w:val="23"/>
              <w:spacing w:line="600" w:lineRule="exact"/>
              <w:rPr>
                <w:rFonts w:hint="eastAsia" w:ascii="仿宋" w:hAnsi="仿宋" w:eastAsia="仿宋" w:cs="仿宋"/>
                <w:color w:val="auto"/>
                <w:kern w:val="2"/>
                <w:sz w:val="24"/>
                <w:szCs w:val="24"/>
                <w:highlight w:val="none"/>
              </w:rPr>
            </w:pPr>
          </w:p>
        </w:tc>
        <w:tc>
          <w:tcPr>
            <w:tcW w:w="2143" w:type="dxa"/>
          </w:tcPr>
          <w:p w14:paraId="4AF450A0">
            <w:pPr>
              <w:pStyle w:val="23"/>
              <w:spacing w:line="600" w:lineRule="exact"/>
              <w:rPr>
                <w:rFonts w:hint="eastAsia" w:ascii="仿宋" w:hAnsi="仿宋" w:eastAsia="仿宋" w:cs="仿宋"/>
                <w:color w:val="auto"/>
                <w:kern w:val="2"/>
                <w:sz w:val="24"/>
                <w:szCs w:val="24"/>
                <w:highlight w:val="none"/>
              </w:rPr>
            </w:pPr>
          </w:p>
        </w:tc>
        <w:tc>
          <w:tcPr>
            <w:tcW w:w="1834" w:type="dxa"/>
          </w:tcPr>
          <w:p w14:paraId="049259FC">
            <w:pPr>
              <w:pStyle w:val="23"/>
              <w:spacing w:line="600" w:lineRule="exact"/>
              <w:rPr>
                <w:rFonts w:hint="eastAsia" w:ascii="仿宋" w:hAnsi="仿宋" w:eastAsia="仿宋" w:cs="仿宋"/>
                <w:color w:val="auto"/>
                <w:kern w:val="2"/>
                <w:sz w:val="24"/>
                <w:szCs w:val="24"/>
                <w:highlight w:val="none"/>
              </w:rPr>
            </w:pPr>
          </w:p>
        </w:tc>
        <w:tc>
          <w:tcPr>
            <w:tcW w:w="2181" w:type="dxa"/>
          </w:tcPr>
          <w:p w14:paraId="6BCBAF6E">
            <w:pPr>
              <w:pStyle w:val="23"/>
              <w:spacing w:line="600" w:lineRule="exact"/>
              <w:rPr>
                <w:rFonts w:hint="eastAsia" w:ascii="仿宋" w:hAnsi="仿宋" w:eastAsia="仿宋" w:cs="仿宋"/>
                <w:color w:val="auto"/>
                <w:kern w:val="2"/>
                <w:sz w:val="24"/>
                <w:szCs w:val="24"/>
                <w:highlight w:val="none"/>
              </w:rPr>
            </w:pPr>
          </w:p>
        </w:tc>
        <w:tc>
          <w:tcPr>
            <w:tcW w:w="1934" w:type="dxa"/>
          </w:tcPr>
          <w:p w14:paraId="029727C5">
            <w:pPr>
              <w:pStyle w:val="23"/>
              <w:spacing w:line="600" w:lineRule="exact"/>
              <w:rPr>
                <w:rFonts w:hint="eastAsia" w:ascii="仿宋" w:hAnsi="仿宋" w:eastAsia="仿宋" w:cs="仿宋"/>
                <w:color w:val="auto"/>
                <w:kern w:val="2"/>
                <w:sz w:val="24"/>
                <w:szCs w:val="24"/>
                <w:highlight w:val="none"/>
              </w:rPr>
            </w:pPr>
          </w:p>
        </w:tc>
      </w:tr>
      <w:tr w14:paraId="16EF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7A2C6D">
            <w:pPr>
              <w:pStyle w:val="23"/>
              <w:spacing w:line="600" w:lineRule="exact"/>
              <w:rPr>
                <w:rFonts w:hint="eastAsia" w:ascii="仿宋" w:hAnsi="仿宋" w:eastAsia="仿宋" w:cs="仿宋"/>
                <w:color w:val="auto"/>
                <w:kern w:val="2"/>
                <w:sz w:val="24"/>
                <w:szCs w:val="24"/>
                <w:highlight w:val="none"/>
              </w:rPr>
            </w:pPr>
          </w:p>
        </w:tc>
        <w:tc>
          <w:tcPr>
            <w:tcW w:w="2143" w:type="dxa"/>
          </w:tcPr>
          <w:p w14:paraId="37CB744C">
            <w:pPr>
              <w:pStyle w:val="23"/>
              <w:spacing w:line="600" w:lineRule="exact"/>
              <w:rPr>
                <w:rFonts w:hint="eastAsia" w:ascii="仿宋" w:hAnsi="仿宋" w:eastAsia="仿宋" w:cs="仿宋"/>
                <w:color w:val="auto"/>
                <w:kern w:val="2"/>
                <w:sz w:val="24"/>
                <w:szCs w:val="24"/>
                <w:highlight w:val="none"/>
              </w:rPr>
            </w:pPr>
          </w:p>
        </w:tc>
        <w:tc>
          <w:tcPr>
            <w:tcW w:w="1834" w:type="dxa"/>
          </w:tcPr>
          <w:p w14:paraId="43AAC26E">
            <w:pPr>
              <w:pStyle w:val="23"/>
              <w:spacing w:line="600" w:lineRule="exact"/>
              <w:rPr>
                <w:rFonts w:hint="eastAsia" w:ascii="仿宋" w:hAnsi="仿宋" w:eastAsia="仿宋" w:cs="仿宋"/>
                <w:color w:val="auto"/>
                <w:kern w:val="2"/>
                <w:sz w:val="24"/>
                <w:szCs w:val="24"/>
                <w:highlight w:val="none"/>
              </w:rPr>
            </w:pPr>
          </w:p>
        </w:tc>
        <w:tc>
          <w:tcPr>
            <w:tcW w:w="2181" w:type="dxa"/>
          </w:tcPr>
          <w:p w14:paraId="6E284E14">
            <w:pPr>
              <w:pStyle w:val="23"/>
              <w:spacing w:line="600" w:lineRule="exact"/>
              <w:rPr>
                <w:rFonts w:hint="eastAsia" w:ascii="仿宋" w:hAnsi="仿宋" w:eastAsia="仿宋" w:cs="仿宋"/>
                <w:color w:val="auto"/>
                <w:kern w:val="2"/>
                <w:sz w:val="24"/>
                <w:szCs w:val="24"/>
                <w:highlight w:val="none"/>
              </w:rPr>
            </w:pPr>
          </w:p>
        </w:tc>
        <w:tc>
          <w:tcPr>
            <w:tcW w:w="1934" w:type="dxa"/>
          </w:tcPr>
          <w:p w14:paraId="644090CA">
            <w:pPr>
              <w:pStyle w:val="23"/>
              <w:spacing w:line="600" w:lineRule="exact"/>
              <w:rPr>
                <w:rFonts w:hint="eastAsia" w:ascii="仿宋" w:hAnsi="仿宋" w:eastAsia="仿宋" w:cs="仿宋"/>
                <w:color w:val="auto"/>
                <w:kern w:val="2"/>
                <w:sz w:val="24"/>
                <w:szCs w:val="24"/>
                <w:highlight w:val="none"/>
              </w:rPr>
            </w:pPr>
          </w:p>
        </w:tc>
      </w:tr>
    </w:tbl>
    <w:p w14:paraId="10E5A5BC">
      <w:pPr>
        <w:pStyle w:val="1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注：</w:t>
      </w:r>
    </w:p>
    <w:p w14:paraId="4BB0ECA8">
      <w:pPr>
        <w:pStyle w:val="17"/>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说明：应对照招标文件“第二章 采购需求”中的</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highlight w:val="none"/>
        </w:rPr>
        <w:t>技术条款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逐条实质性响应，并作出偏离说明。</w:t>
      </w:r>
    </w:p>
    <w:p w14:paraId="4D2EFBEB">
      <w:pPr>
        <w:pStyle w:val="15"/>
        <w:spacing w:line="360" w:lineRule="auto"/>
        <w:rPr>
          <w:rFonts w:hint="eastAsia" w:ascii="仿宋" w:hAnsi="仿宋" w:eastAsia="仿宋" w:cs="仿宋"/>
          <w:color w:val="auto"/>
          <w:highlight w:val="none"/>
        </w:rPr>
      </w:pPr>
      <w:r>
        <w:rPr>
          <w:rFonts w:hint="eastAsia" w:ascii="仿宋" w:hAnsi="仿宋" w:eastAsia="仿宋" w:cs="仿宋"/>
          <w:b w:val="0"/>
          <w:bCs w:val="0"/>
          <w:color w:val="auto"/>
          <w:highlight w:val="none"/>
        </w:rPr>
        <w:t>2.投标人应根据投标设备的性能指标，对照招标文件要求，在“偏离说明”中注明“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”或者“</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”。既不属于“</w:t>
      </w:r>
      <w:r>
        <w:rPr>
          <w:rFonts w:hint="eastAsia" w:ascii="仿宋" w:hAnsi="仿宋" w:eastAsia="仿宋" w:cs="仿宋"/>
          <w:color w:val="auto"/>
          <w:highlight w:val="none"/>
        </w:rPr>
        <w:t>正偏离</w:t>
      </w:r>
      <w:r>
        <w:rPr>
          <w:rFonts w:hint="eastAsia" w:ascii="仿宋" w:hAnsi="仿宋" w:eastAsia="仿宋" w:cs="仿宋"/>
          <w:b w:val="0"/>
          <w:bCs w:val="0"/>
          <w:color w:val="auto"/>
          <w:highlight w:val="none"/>
        </w:rPr>
        <w:t>”也不属于“</w:t>
      </w:r>
      <w:r>
        <w:rPr>
          <w:rFonts w:hint="eastAsia" w:ascii="仿宋" w:hAnsi="仿宋" w:eastAsia="仿宋" w:cs="仿宋"/>
          <w:color w:val="auto"/>
          <w:highlight w:val="none"/>
        </w:rPr>
        <w:t>负偏离</w:t>
      </w:r>
      <w:r>
        <w:rPr>
          <w:rFonts w:hint="eastAsia" w:ascii="仿宋" w:hAnsi="仿宋" w:eastAsia="仿宋" w:cs="仿宋"/>
          <w:b w:val="0"/>
          <w:bCs w:val="0"/>
          <w:color w:val="auto"/>
          <w:highlight w:val="none"/>
        </w:rPr>
        <w:t>”即为“</w:t>
      </w:r>
      <w:r>
        <w:rPr>
          <w:rFonts w:hint="eastAsia" w:ascii="仿宋" w:hAnsi="仿宋" w:eastAsia="仿宋" w:cs="仿宋"/>
          <w:color w:val="auto"/>
          <w:highlight w:val="none"/>
        </w:rPr>
        <w:t>无偏离</w:t>
      </w:r>
      <w:r>
        <w:rPr>
          <w:rFonts w:hint="eastAsia" w:ascii="仿宋" w:hAnsi="仿宋" w:eastAsia="仿宋" w:cs="仿宋"/>
          <w:b w:val="0"/>
          <w:bCs w:val="0"/>
          <w:color w:val="auto"/>
          <w:highlight w:val="none"/>
        </w:rPr>
        <w:t>”。</w:t>
      </w:r>
    </w:p>
    <w:p w14:paraId="2205CF51">
      <w:pPr>
        <w:pStyle w:val="15"/>
        <w:rPr>
          <w:rFonts w:hint="eastAsia" w:ascii="仿宋" w:hAnsi="仿宋" w:eastAsia="仿宋" w:cs="仿宋"/>
          <w:color w:val="auto"/>
          <w:spacing w:val="20"/>
          <w:highlight w:val="none"/>
        </w:rPr>
      </w:pPr>
    </w:p>
    <w:p w14:paraId="26029281">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2DDE538">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5ED16A8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3259E6A4">
      <w:pPr>
        <w:snapToGrid w:val="0"/>
        <w:spacing w:before="120"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项目实施人员一览表格式</w:t>
      </w:r>
    </w:p>
    <w:p w14:paraId="4A354182">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项目实施人员一览表</w:t>
      </w:r>
    </w:p>
    <w:p w14:paraId="32D211A6">
      <w:pPr>
        <w:pStyle w:val="23"/>
        <w:spacing w:line="360" w:lineRule="auto"/>
        <w:rPr>
          <w:rFonts w:hint="eastAsia" w:ascii="仿宋" w:hAnsi="仿宋" w:eastAsia="仿宋" w:cs="仿宋"/>
          <w:color w:val="auto"/>
          <w:sz w:val="24"/>
          <w:szCs w:val="24"/>
          <w:highlight w:val="none"/>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24"/>
        <w:gridCol w:w="4287"/>
        <w:gridCol w:w="1317"/>
        <w:gridCol w:w="1484"/>
        <w:gridCol w:w="988"/>
      </w:tblGrid>
      <w:tr w14:paraId="704D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732107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8" w:type="pct"/>
            <w:vAlign w:val="center"/>
          </w:tcPr>
          <w:p w14:paraId="6225556E">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2175" w:type="pct"/>
            <w:vAlign w:val="center"/>
          </w:tcPr>
          <w:p w14:paraId="5D98D770">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专业技术资格（职称）或者职业资格或者执业资格证或者其他证书</w:t>
            </w:r>
          </w:p>
        </w:tc>
        <w:tc>
          <w:tcPr>
            <w:tcW w:w="668" w:type="pct"/>
            <w:vAlign w:val="center"/>
          </w:tcPr>
          <w:p w14:paraId="1396B404">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证书编号</w:t>
            </w:r>
          </w:p>
        </w:tc>
        <w:tc>
          <w:tcPr>
            <w:tcW w:w="753" w:type="pct"/>
            <w:vAlign w:val="center"/>
          </w:tcPr>
          <w:p w14:paraId="1C24DD73">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参加本单位</w:t>
            </w:r>
          </w:p>
          <w:p w14:paraId="584FFCD5">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工作时间</w:t>
            </w:r>
          </w:p>
        </w:tc>
        <w:tc>
          <w:tcPr>
            <w:tcW w:w="501" w:type="pct"/>
            <w:vAlign w:val="center"/>
          </w:tcPr>
          <w:p w14:paraId="09E0AD1A">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劳动合同编号</w:t>
            </w:r>
          </w:p>
        </w:tc>
      </w:tr>
      <w:tr w14:paraId="7E79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2ED8BE11">
            <w:pPr>
              <w:snapToGrid w:val="0"/>
              <w:jc w:val="center"/>
              <w:rPr>
                <w:rFonts w:hint="eastAsia" w:ascii="仿宋" w:hAnsi="仿宋" w:eastAsia="仿宋" w:cs="仿宋"/>
                <w:color w:val="auto"/>
                <w:sz w:val="24"/>
                <w:highlight w:val="none"/>
              </w:rPr>
            </w:pPr>
          </w:p>
        </w:tc>
        <w:tc>
          <w:tcPr>
            <w:tcW w:w="418" w:type="pct"/>
            <w:vAlign w:val="center"/>
          </w:tcPr>
          <w:p w14:paraId="642D9110">
            <w:pPr>
              <w:snapToGrid w:val="0"/>
              <w:jc w:val="center"/>
              <w:rPr>
                <w:rFonts w:hint="eastAsia" w:ascii="仿宋" w:hAnsi="仿宋" w:eastAsia="仿宋" w:cs="仿宋"/>
                <w:color w:val="auto"/>
                <w:sz w:val="24"/>
                <w:highlight w:val="none"/>
              </w:rPr>
            </w:pPr>
          </w:p>
        </w:tc>
        <w:tc>
          <w:tcPr>
            <w:tcW w:w="2175" w:type="pct"/>
            <w:vAlign w:val="center"/>
          </w:tcPr>
          <w:p w14:paraId="4A4C9CF5">
            <w:pPr>
              <w:snapToGrid w:val="0"/>
              <w:jc w:val="center"/>
              <w:rPr>
                <w:rFonts w:hint="eastAsia" w:ascii="仿宋" w:hAnsi="仿宋" w:eastAsia="仿宋" w:cs="仿宋"/>
                <w:color w:val="auto"/>
                <w:sz w:val="24"/>
                <w:highlight w:val="none"/>
              </w:rPr>
            </w:pPr>
          </w:p>
        </w:tc>
        <w:tc>
          <w:tcPr>
            <w:tcW w:w="668" w:type="pct"/>
            <w:vAlign w:val="center"/>
          </w:tcPr>
          <w:p w14:paraId="54C0ACA3">
            <w:pPr>
              <w:snapToGrid w:val="0"/>
              <w:jc w:val="center"/>
              <w:rPr>
                <w:rFonts w:hint="eastAsia" w:ascii="仿宋" w:hAnsi="仿宋" w:eastAsia="仿宋" w:cs="仿宋"/>
                <w:color w:val="auto"/>
                <w:sz w:val="24"/>
                <w:highlight w:val="none"/>
              </w:rPr>
            </w:pPr>
          </w:p>
        </w:tc>
        <w:tc>
          <w:tcPr>
            <w:tcW w:w="753" w:type="pct"/>
            <w:vAlign w:val="center"/>
          </w:tcPr>
          <w:p w14:paraId="3C8A51D7">
            <w:pPr>
              <w:snapToGrid w:val="0"/>
              <w:jc w:val="center"/>
              <w:rPr>
                <w:rFonts w:hint="eastAsia" w:ascii="仿宋" w:hAnsi="仿宋" w:eastAsia="仿宋" w:cs="仿宋"/>
                <w:color w:val="auto"/>
                <w:sz w:val="24"/>
                <w:highlight w:val="none"/>
              </w:rPr>
            </w:pPr>
          </w:p>
        </w:tc>
        <w:tc>
          <w:tcPr>
            <w:tcW w:w="501" w:type="pct"/>
            <w:vAlign w:val="center"/>
          </w:tcPr>
          <w:p w14:paraId="6BED5D94">
            <w:pPr>
              <w:snapToGrid w:val="0"/>
              <w:jc w:val="center"/>
              <w:rPr>
                <w:rFonts w:hint="eastAsia" w:ascii="仿宋" w:hAnsi="仿宋" w:eastAsia="仿宋" w:cs="仿宋"/>
                <w:color w:val="auto"/>
                <w:sz w:val="24"/>
                <w:highlight w:val="none"/>
              </w:rPr>
            </w:pPr>
          </w:p>
        </w:tc>
      </w:tr>
      <w:tr w14:paraId="176E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282F4F5">
            <w:pPr>
              <w:snapToGrid w:val="0"/>
              <w:jc w:val="center"/>
              <w:rPr>
                <w:rFonts w:hint="eastAsia" w:ascii="仿宋" w:hAnsi="仿宋" w:eastAsia="仿宋" w:cs="仿宋"/>
                <w:color w:val="auto"/>
                <w:sz w:val="24"/>
                <w:highlight w:val="none"/>
              </w:rPr>
            </w:pPr>
          </w:p>
        </w:tc>
        <w:tc>
          <w:tcPr>
            <w:tcW w:w="418" w:type="pct"/>
            <w:vAlign w:val="center"/>
          </w:tcPr>
          <w:p w14:paraId="132D4D35">
            <w:pPr>
              <w:snapToGrid w:val="0"/>
              <w:jc w:val="center"/>
              <w:rPr>
                <w:rFonts w:hint="eastAsia" w:ascii="仿宋" w:hAnsi="仿宋" w:eastAsia="仿宋" w:cs="仿宋"/>
                <w:color w:val="auto"/>
                <w:sz w:val="24"/>
                <w:highlight w:val="none"/>
              </w:rPr>
            </w:pPr>
          </w:p>
        </w:tc>
        <w:tc>
          <w:tcPr>
            <w:tcW w:w="2175" w:type="pct"/>
            <w:vAlign w:val="center"/>
          </w:tcPr>
          <w:p w14:paraId="0A6A036E">
            <w:pPr>
              <w:snapToGrid w:val="0"/>
              <w:jc w:val="center"/>
              <w:rPr>
                <w:rFonts w:hint="eastAsia" w:ascii="仿宋" w:hAnsi="仿宋" w:eastAsia="仿宋" w:cs="仿宋"/>
                <w:color w:val="auto"/>
                <w:sz w:val="24"/>
                <w:highlight w:val="none"/>
              </w:rPr>
            </w:pPr>
          </w:p>
        </w:tc>
        <w:tc>
          <w:tcPr>
            <w:tcW w:w="668" w:type="pct"/>
            <w:vAlign w:val="center"/>
          </w:tcPr>
          <w:p w14:paraId="13E286E7">
            <w:pPr>
              <w:snapToGrid w:val="0"/>
              <w:jc w:val="center"/>
              <w:rPr>
                <w:rFonts w:hint="eastAsia" w:ascii="仿宋" w:hAnsi="仿宋" w:eastAsia="仿宋" w:cs="仿宋"/>
                <w:color w:val="auto"/>
                <w:sz w:val="24"/>
                <w:highlight w:val="none"/>
              </w:rPr>
            </w:pPr>
          </w:p>
        </w:tc>
        <w:tc>
          <w:tcPr>
            <w:tcW w:w="753" w:type="pct"/>
            <w:vAlign w:val="center"/>
          </w:tcPr>
          <w:p w14:paraId="3AA89881">
            <w:pPr>
              <w:snapToGrid w:val="0"/>
              <w:jc w:val="center"/>
              <w:rPr>
                <w:rFonts w:hint="eastAsia" w:ascii="仿宋" w:hAnsi="仿宋" w:eastAsia="仿宋" w:cs="仿宋"/>
                <w:color w:val="auto"/>
                <w:sz w:val="24"/>
                <w:highlight w:val="none"/>
              </w:rPr>
            </w:pPr>
          </w:p>
        </w:tc>
        <w:tc>
          <w:tcPr>
            <w:tcW w:w="501" w:type="pct"/>
            <w:vAlign w:val="center"/>
          </w:tcPr>
          <w:p w14:paraId="115A6F8A">
            <w:pPr>
              <w:snapToGrid w:val="0"/>
              <w:jc w:val="center"/>
              <w:rPr>
                <w:rFonts w:hint="eastAsia" w:ascii="仿宋" w:hAnsi="仿宋" w:eastAsia="仿宋" w:cs="仿宋"/>
                <w:color w:val="auto"/>
                <w:sz w:val="24"/>
                <w:highlight w:val="none"/>
              </w:rPr>
            </w:pPr>
          </w:p>
        </w:tc>
      </w:tr>
      <w:tr w14:paraId="4E0E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5F8405C8">
            <w:pPr>
              <w:snapToGrid w:val="0"/>
              <w:jc w:val="center"/>
              <w:rPr>
                <w:rFonts w:hint="eastAsia" w:ascii="仿宋" w:hAnsi="仿宋" w:eastAsia="仿宋" w:cs="仿宋"/>
                <w:color w:val="auto"/>
                <w:sz w:val="24"/>
                <w:highlight w:val="none"/>
              </w:rPr>
            </w:pPr>
          </w:p>
        </w:tc>
        <w:tc>
          <w:tcPr>
            <w:tcW w:w="418" w:type="pct"/>
            <w:vAlign w:val="center"/>
          </w:tcPr>
          <w:p w14:paraId="0E64A4E0">
            <w:pPr>
              <w:snapToGrid w:val="0"/>
              <w:jc w:val="center"/>
              <w:rPr>
                <w:rFonts w:hint="eastAsia" w:ascii="仿宋" w:hAnsi="仿宋" w:eastAsia="仿宋" w:cs="仿宋"/>
                <w:color w:val="auto"/>
                <w:sz w:val="24"/>
                <w:highlight w:val="none"/>
              </w:rPr>
            </w:pPr>
          </w:p>
        </w:tc>
        <w:tc>
          <w:tcPr>
            <w:tcW w:w="2175" w:type="pct"/>
            <w:vAlign w:val="center"/>
          </w:tcPr>
          <w:p w14:paraId="54EA5B16">
            <w:pPr>
              <w:snapToGrid w:val="0"/>
              <w:jc w:val="center"/>
              <w:rPr>
                <w:rFonts w:hint="eastAsia" w:ascii="仿宋" w:hAnsi="仿宋" w:eastAsia="仿宋" w:cs="仿宋"/>
                <w:color w:val="auto"/>
                <w:sz w:val="24"/>
                <w:highlight w:val="none"/>
              </w:rPr>
            </w:pPr>
          </w:p>
        </w:tc>
        <w:tc>
          <w:tcPr>
            <w:tcW w:w="668" w:type="pct"/>
            <w:vAlign w:val="center"/>
          </w:tcPr>
          <w:p w14:paraId="110DE926">
            <w:pPr>
              <w:snapToGrid w:val="0"/>
              <w:jc w:val="center"/>
              <w:rPr>
                <w:rFonts w:hint="eastAsia" w:ascii="仿宋" w:hAnsi="仿宋" w:eastAsia="仿宋" w:cs="仿宋"/>
                <w:color w:val="auto"/>
                <w:sz w:val="24"/>
                <w:highlight w:val="none"/>
              </w:rPr>
            </w:pPr>
          </w:p>
        </w:tc>
        <w:tc>
          <w:tcPr>
            <w:tcW w:w="753" w:type="pct"/>
            <w:vAlign w:val="center"/>
          </w:tcPr>
          <w:p w14:paraId="7202DB1C">
            <w:pPr>
              <w:snapToGrid w:val="0"/>
              <w:jc w:val="center"/>
              <w:rPr>
                <w:rFonts w:hint="eastAsia" w:ascii="仿宋" w:hAnsi="仿宋" w:eastAsia="仿宋" w:cs="仿宋"/>
                <w:color w:val="auto"/>
                <w:sz w:val="24"/>
                <w:highlight w:val="none"/>
              </w:rPr>
            </w:pPr>
          </w:p>
        </w:tc>
        <w:tc>
          <w:tcPr>
            <w:tcW w:w="501" w:type="pct"/>
            <w:vAlign w:val="center"/>
          </w:tcPr>
          <w:p w14:paraId="21881AD4">
            <w:pPr>
              <w:snapToGrid w:val="0"/>
              <w:jc w:val="center"/>
              <w:rPr>
                <w:rFonts w:hint="eastAsia" w:ascii="仿宋" w:hAnsi="仿宋" w:eastAsia="仿宋" w:cs="仿宋"/>
                <w:color w:val="auto"/>
                <w:sz w:val="24"/>
                <w:highlight w:val="none"/>
              </w:rPr>
            </w:pPr>
          </w:p>
        </w:tc>
      </w:tr>
    </w:tbl>
    <w:p w14:paraId="7D5D502E">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注：在填写时，如本表格不适合投标单位的实际情况，可根据本表格式自行制表填写。</w:t>
      </w:r>
    </w:p>
    <w:p w14:paraId="0C82FADD">
      <w:pPr>
        <w:snapToGrid w:val="0"/>
        <w:spacing w:line="360" w:lineRule="auto"/>
        <w:jc w:val="left"/>
        <w:rPr>
          <w:rFonts w:hint="eastAsia" w:ascii="仿宋" w:hAnsi="仿宋" w:eastAsia="仿宋" w:cs="仿宋"/>
          <w:color w:val="auto"/>
          <w:sz w:val="24"/>
          <w:highlight w:val="none"/>
        </w:rPr>
      </w:pPr>
    </w:p>
    <w:p w14:paraId="60466A3C">
      <w:pPr>
        <w:snapToGrid w:val="0"/>
        <w:spacing w:line="360" w:lineRule="auto"/>
        <w:jc w:val="left"/>
        <w:rPr>
          <w:rFonts w:hint="eastAsia" w:ascii="仿宋" w:hAnsi="仿宋" w:eastAsia="仿宋" w:cs="仿宋"/>
          <w:color w:val="auto"/>
          <w:sz w:val="24"/>
          <w:highlight w:val="none"/>
        </w:rPr>
      </w:pPr>
    </w:p>
    <w:p w14:paraId="2645B810">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4D4D891A">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2AAA54E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0D328E57">
      <w:pPr>
        <w:snapToGrid w:val="0"/>
        <w:spacing w:before="120" w:beforeLines="50" w:after="5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选配件、专用耗材、售后服务优惠表格式</w:t>
      </w:r>
    </w:p>
    <w:p w14:paraId="4FDAED8B">
      <w:pPr>
        <w:snapToGrid w:val="0"/>
        <w:spacing w:before="240" w:beforeLines="100" w:after="48" w:afterLines="20" w:line="360" w:lineRule="auto"/>
        <w:ind w:left="142"/>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选配件、专用耗材、售后服务优惠表</w:t>
      </w:r>
    </w:p>
    <w:p w14:paraId="6BEED880">
      <w:pPr>
        <w:pStyle w:val="23"/>
        <w:rPr>
          <w:rFonts w:hint="eastAsia" w:ascii="仿宋" w:hAnsi="仿宋" w:eastAsia="仿宋" w:cs="仿宋"/>
          <w:color w:val="auto"/>
          <w:sz w:val="24"/>
          <w:szCs w:val="24"/>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BFE3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994A0B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14CDE46F">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BA8A8BB">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24DF226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08FEA945">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比市场价优惠率</w:t>
            </w:r>
          </w:p>
        </w:tc>
      </w:tr>
      <w:tr w14:paraId="7455B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DAAF3D9">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24E40933">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3565B81A">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6A6E098">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0291BD87">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0F6F7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7869383">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3188D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3D145B5">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B810384">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6B0C5212">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r w14:paraId="1CE6A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405CD98">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18C7FBE7">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593589AD">
            <w:pPr>
              <w:pStyle w:val="23"/>
              <w:snapToGrid w:val="0"/>
              <w:spacing w:before="295" w:after="295"/>
              <w:jc w:val="center"/>
              <w:rPr>
                <w:rFonts w:hint="eastAsia" w:ascii="仿宋" w:hAnsi="仿宋" w:eastAsia="仿宋" w:cs="仿宋"/>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215AC39">
            <w:pPr>
              <w:pStyle w:val="23"/>
              <w:snapToGrid w:val="0"/>
              <w:spacing w:before="295" w:after="295"/>
              <w:jc w:val="center"/>
              <w:rPr>
                <w:rFonts w:hint="eastAsia" w:ascii="仿宋" w:hAnsi="仿宋" w:eastAsia="仿宋" w:cs="仿宋"/>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2CB4B28D">
            <w:pPr>
              <w:pStyle w:val="23"/>
              <w:snapToGrid w:val="0"/>
              <w:spacing w:before="295" w:after="295"/>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w:t>
            </w:r>
          </w:p>
        </w:tc>
      </w:tr>
    </w:tbl>
    <w:p w14:paraId="480BE03E">
      <w:pPr>
        <w:snapToGrid w:val="0"/>
        <w:spacing w:before="50" w:after="50"/>
        <w:rPr>
          <w:rFonts w:hint="eastAsia" w:ascii="仿宋" w:hAnsi="仿宋" w:eastAsia="仿宋" w:cs="仿宋"/>
          <w:color w:val="auto"/>
          <w:sz w:val="24"/>
          <w:highlight w:val="none"/>
        </w:rPr>
      </w:pPr>
    </w:p>
    <w:p w14:paraId="6AEEA450">
      <w:pPr>
        <w:snapToGrid w:val="0"/>
        <w:spacing w:before="50" w:after="50"/>
        <w:rPr>
          <w:rFonts w:hint="eastAsia" w:ascii="仿宋" w:hAnsi="仿宋" w:eastAsia="仿宋" w:cs="仿宋"/>
          <w:color w:val="auto"/>
          <w:sz w:val="24"/>
          <w:highlight w:val="none"/>
        </w:rPr>
      </w:pPr>
    </w:p>
    <w:p w14:paraId="730EAAB4">
      <w:pPr>
        <w:snapToGrid w:val="0"/>
        <w:spacing w:line="360" w:lineRule="auto"/>
        <w:jc w:val="left"/>
        <w:rPr>
          <w:rFonts w:hint="eastAsia" w:ascii="仿宋" w:hAnsi="仿宋" w:eastAsia="仿宋" w:cs="仿宋"/>
          <w:color w:val="auto"/>
          <w:spacing w:val="20"/>
          <w:sz w:val="24"/>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（签字或者电子签名）：</w:t>
      </w:r>
      <w:r>
        <w:rPr>
          <w:rFonts w:hint="eastAsia" w:ascii="仿宋" w:hAnsi="仿宋" w:eastAsia="仿宋" w:cs="仿宋"/>
          <w:color w:val="auto"/>
          <w:spacing w:val="20"/>
          <w:sz w:val="24"/>
          <w:highlight w:val="none"/>
          <w:u w:val="single"/>
        </w:rPr>
        <w:t xml:space="preserve">        </w:t>
      </w:r>
    </w:p>
    <w:p w14:paraId="210382FC">
      <w:pPr>
        <w:snapToGrid w:val="0"/>
        <w:spacing w:line="360" w:lineRule="auto"/>
        <w:jc w:val="left"/>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投标人（盖公章或电子签章）：</w:t>
      </w:r>
      <w:r>
        <w:rPr>
          <w:rFonts w:hint="eastAsia" w:ascii="仿宋" w:hAnsi="仿宋" w:eastAsia="仿宋" w:cs="仿宋"/>
          <w:color w:val="auto"/>
          <w:spacing w:val="20"/>
          <w:sz w:val="24"/>
          <w:highlight w:val="none"/>
          <w:u w:val="single"/>
        </w:rPr>
        <w:t xml:space="preserve">            </w:t>
      </w:r>
    </w:p>
    <w:p w14:paraId="7754179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pacing w:val="20"/>
          <w:sz w:val="24"/>
          <w:highlight w:val="none"/>
        </w:rPr>
        <w:t>日  期：</w:t>
      </w:r>
      <w:r>
        <w:rPr>
          <w:rFonts w:hint="eastAsia" w:ascii="仿宋" w:hAnsi="仿宋" w:eastAsia="仿宋" w:cs="仿宋"/>
          <w:color w:val="auto"/>
          <w:spacing w:val="20"/>
          <w:sz w:val="24"/>
          <w:highlight w:val="none"/>
          <w:u w:val="single"/>
        </w:rPr>
        <w:t xml:space="preserve">          </w:t>
      </w:r>
    </w:p>
    <w:p w14:paraId="43A217F5">
      <w:pPr>
        <w:snapToGrid w:val="0"/>
        <w:spacing w:before="120" w:beforeLines="50" w:after="50"/>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r>
        <w:rPr>
          <w:rFonts w:hint="eastAsia" w:ascii="仿宋" w:hAnsi="仿宋" w:eastAsia="仿宋" w:cs="仿宋"/>
          <w:b/>
          <w:color w:val="auto"/>
          <w:sz w:val="24"/>
          <w:highlight w:val="none"/>
        </w:rPr>
        <w:t>中小企业声明函格式</w:t>
      </w:r>
    </w:p>
    <w:p w14:paraId="2B977FCD">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中小企业声明函</w:t>
      </w:r>
    </w:p>
    <w:p w14:paraId="5AD2314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本公司(联合体)郑重声明，根据《政府采购促进中小企业发展管理办法》(财库( 2020 )46号)的规定，本公司(联合体)参加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14:paraId="680E31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，从业人员____人， 营业收入为___万元，资产总额为___万元，属于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0C42219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 xml:space="preserve"> ,属于</w:t>
      </w:r>
      <w:r>
        <w:rPr>
          <w:rFonts w:hint="eastAsia" w:ascii="仿宋" w:hAnsi="仿宋" w:eastAsia="仿宋" w:cs="仿宋"/>
          <w:color w:val="auto"/>
          <w:sz w:val="24"/>
          <w:highlight w:val="none"/>
          <w:u w:val="single"/>
        </w:rPr>
        <w:t>(采购文件中明确的所属行业)行</w:t>
      </w:r>
      <w:r>
        <w:rPr>
          <w:rFonts w:hint="eastAsia" w:ascii="仿宋" w:hAnsi="仿宋" w:eastAsia="仿宋" w:cs="仿宋"/>
          <w:color w:val="auto"/>
          <w:sz w:val="24"/>
          <w:highlight w:val="none"/>
        </w:rPr>
        <w:t>业；制造商为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，从业人员___人， 营业收入为___ 万元，资产总额为___万元，属于(中型企业、小型企业、微型企业)；</w:t>
      </w:r>
    </w:p>
    <w:p w14:paraId="6D316D42">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F42838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FD936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136AA493">
      <w:pPr>
        <w:spacing w:line="360" w:lineRule="auto"/>
        <w:rPr>
          <w:rFonts w:hint="eastAsia" w:ascii="仿宋" w:hAnsi="仿宋" w:eastAsia="仿宋" w:cs="仿宋"/>
          <w:color w:val="auto"/>
          <w:sz w:val="24"/>
          <w:highlight w:val="none"/>
        </w:rPr>
      </w:pPr>
    </w:p>
    <w:p w14:paraId="0A2D3F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0C4008A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747A77B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0B277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（1）请根据自己的真实情况出具《中小企业声明函》。依法享受中小企业优惠政策的，采购人或者采购代理机构在公告成交结果时，同时公告其《中小企业声明函》，接受社会监督。</w:t>
      </w:r>
    </w:p>
    <w:p w14:paraId="5095113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（2）从业人员、营业收入、资产总额填报上一年度数据，无上一年度数据的新成立企业可不填报</w:t>
      </w:r>
    </w:p>
    <w:p w14:paraId="12131F50">
      <w:pPr>
        <w:snapToGrid w:val="0"/>
        <w:spacing w:before="120" w:beforeLines="50" w:after="240" w:afterLines="100"/>
        <w:jc w:val="center"/>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监狱企业声明函</w:t>
      </w:r>
    </w:p>
    <w:p w14:paraId="483BE0BF">
      <w:pPr>
        <w:autoSpaceDE w:val="0"/>
        <w:autoSpaceDN w:val="0"/>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本公司郑重声明，根据《关于政府采购支持监狱企业发展有关问题的通知》（财库[2014]68号）的规定，本公司为监狱企业。即，本公司同时满足以下条件：</w:t>
      </w:r>
    </w:p>
    <w:p w14:paraId="432890E4">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D5F02D">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2.本公司参加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项目（项目编号：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）采购活动时提供的是本企业的产品（包括由本企业承担的工程和提供的服务），或者提供的是其他监狱企业制造的产品。</w:t>
      </w:r>
    </w:p>
    <w:p w14:paraId="25B98DB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677CDBF6">
      <w:pPr>
        <w:autoSpaceDE w:val="0"/>
        <w:autoSpaceDN w:val="0"/>
        <w:adjustRightInd w:val="0"/>
        <w:snapToGrid w:val="0"/>
        <w:spacing w:line="360" w:lineRule="auto"/>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附件：省级以上监狱管理局、戒毒管理局(含新疆生产建设兵团)出具的属于监狱企业的证明文件</w:t>
      </w:r>
    </w:p>
    <w:p w14:paraId="48565394">
      <w:pPr>
        <w:rPr>
          <w:rFonts w:hint="eastAsia" w:ascii="仿宋" w:hAnsi="仿宋" w:eastAsia="仿宋" w:cs="仿宋"/>
          <w:b/>
          <w:color w:val="auto"/>
          <w:spacing w:val="-8"/>
          <w:sz w:val="24"/>
          <w:highlight w:val="none"/>
        </w:rPr>
      </w:pPr>
    </w:p>
    <w:p w14:paraId="47743C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企业名称（盖公章或电子签章）：</w:t>
      </w:r>
    </w:p>
    <w:p w14:paraId="255F2E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43963B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注：请根据自己的真实情况出具《监狱企业声明函》。依法享受中小企业优惠政策的，采购人或者采购代理机构在公告成交结果时，同时公告其《监狱企业声明函》，接受社会监督。</w:t>
      </w:r>
    </w:p>
    <w:p w14:paraId="543AF9C2">
      <w:pPr>
        <w:snapToGrid w:val="0"/>
        <w:spacing w:before="120" w:beforeLines="50" w:after="240" w:afterLines="100"/>
        <w:jc w:val="center"/>
        <w:rPr>
          <w:rFonts w:hint="eastAsia" w:ascii="仿宋" w:hAnsi="仿宋" w:eastAsia="仿宋" w:cs="仿宋"/>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32"/>
          <w:szCs w:val="32"/>
          <w:highlight w:val="none"/>
        </w:rPr>
        <w:t>残疾人福利性单位声明函</w:t>
      </w:r>
    </w:p>
    <w:p w14:paraId="6B640A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B8E6D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CB4B3E5">
      <w:pPr>
        <w:spacing w:line="360" w:lineRule="auto"/>
        <w:rPr>
          <w:rFonts w:hint="eastAsia" w:ascii="仿宋" w:hAnsi="仿宋" w:eastAsia="仿宋" w:cs="仿宋"/>
          <w:color w:val="auto"/>
          <w:sz w:val="24"/>
          <w:highlight w:val="none"/>
        </w:rPr>
      </w:pPr>
    </w:p>
    <w:p w14:paraId="0CFAA878">
      <w:pPr>
        <w:spacing w:line="360" w:lineRule="auto"/>
        <w:ind w:firstLine="2400" w:firstLineChars="10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单位名称（盖公章或电子签章）：</w:t>
      </w:r>
    </w:p>
    <w:p w14:paraId="361594A5">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5F2E6C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33C2F09">
      <w:pPr>
        <w:pStyle w:val="3"/>
        <w:keepNext w:val="0"/>
        <w:keepLines w:val="0"/>
        <w:jc w:val="center"/>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bookmarkStart w:id="178" w:name="_Toc20358"/>
      <w:bookmarkStart w:id="179" w:name="_Toc8603"/>
      <w:r>
        <w:rPr>
          <w:rFonts w:hint="eastAsia" w:ascii="仿宋" w:hAnsi="仿宋" w:eastAsia="仿宋" w:cs="仿宋"/>
          <w:color w:val="auto"/>
          <w:highlight w:val="none"/>
        </w:rPr>
        <w:t>第七章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其他文件</w:t>
      </w:r>
      <w:bookmarkEnd w:id="178"/>
      <w:bookmarkEnd w:id="179"/>
    </w:p>
    <w:p w14:paraId="5FDFB3CB">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质疑函（格式）</w:t>
      </w:r>
    </w:p>
    <w:p w14:paraId="11616DE2">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253151B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p>
    <w:p w14:paraId="57C7799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1202C2DF">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D65863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EBCC0A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4691B90">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072DCF2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4FEECF9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C9DE1F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3B2F1816">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E0915DB">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79C6F222">
      <w:pPr>
        <w:pStyle w:val="23"/>
        <w:spacing w:line="360" w:lineRule="auto"/>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□采购过程</w:t>
      </w:r>
    </w:p>
    <w:p w14:paraId="5339091F">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□中标结果</w:t>
      </w:r>
    </w:p>
    <w:p w14:paraId="3E92364E">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152172C3">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0893AAB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4F1D9A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B8F3F29">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3F8E117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C23D918">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2B84A691">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6F18EAF2">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5B95A40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9037833">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13A7A3A">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2AE6AE0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A3DDB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49BCD891">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0ED0567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5E34E88E">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F022A6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投诉书（格式）</w:t>
      </w:r>
    </w:p>
    <w:p w14:paraId="0A3375B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7C27E75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A3B8457">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DC9105F">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5A8636EB">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070FBB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F8FA5E5">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7D19870">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2C72872D">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0425C9A8">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3F452B8">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1AA12EA2">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61E90CB">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64D163D5">
      <w:pPr>
        <w:pStyle w:val="23"/>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1713179">
      <w:pPr>
        <w:pStyle w:val="23"/>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2B5ED36">
      <w:pPr>
        <w:pStyle w:val="23"/>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2513D8A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172CD31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7C82C326">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1604C49F">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4F28FD79">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58ABB01">
      <w:pPr>
        <w:pStyle w:val="23"/>
        <w:spacing w:line="360" w:lineRule="auto"/>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CB19E0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0E2B379B">
      <w:pPr>
        <w:pStyle w:val="23"/>
        <w:spacing w:line="360" w:lineRule="auto"/>
        <w:ind w:left="25" w:leftChars="12" w:firstLine="952" w:firstLineChars="3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580D23EA">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8DD5D24">
      <w:pPr>
        <w:pStyle w:val="23"/>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12F64285">
      <w:pPr>
        <w:pStyle w:val="23"/>
        <w:spacing w:line="360" w:lineRule="auto"/>
        <w:ind w:firstLine="241"/>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5FDDDE81">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12A8E42B">
      <w:pPr>
        <w:pStyle w:val="23"/>
        <w:spacing w:line="360" w:lineRule="auto"/>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0C87E11C">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1DA27DB">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5B767A75">
      <w:pPr>
        <w:pStyle w:val="23"/>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E86FEE7">
      <w:pPr>
        <w:pStyle w:val="23"/>
        <w:spacing w:line="360" w:lineRule="auto"/>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0469C77">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2803ED54">
      <w:pPr>
        <w:pStyle w:val="23"/>
        <w:spacing w:line="360" w:lineRule="auto"/>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925C535">
      <w:pPr>
        <w:pStyle w:val="23"/>
        <w:spacing w:line="360" w:lineRule="auto"/>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00757FC">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D2A2EAB">
      <w:pPr>
        <w:pStyle w:val="23"/>
        <w:spacing w:line="360" w:lineRule="auto"/>
        <w:ind w:left="25" w:leftChars="12" w:firstLine="472" w:firstLineChars="197"/>
        <w:rPr>
          <w:rFonts w:hint="eastAsia" w:ascii="仿宋" w:hAnsi="仿宋" w:eastAsia="仿宋" w:cs="仿宋"/>
          <w:color w:val="auto"/>
          <w:sz w:val="24"/>
          <w:szCs w:val="24"/>
          <w:highlight w:val="none"/>
        </w:rPr>
      </w:pPr>
    </w:p>
    <w:p w14:paraId="1BC09487">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A62F14F">
      <w:pPr>
        <w:pStyle w:val="23"/>
        <w:spacing w:line="360" w:lineRule="auto"/>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AB8788B">
      <w:pPr>
        <w:pStyle w:val="23"/>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1D519A85">
      <w:pPr>
        <w:pStyle w:val="23"/>
        <w:spacing w:line="360" w:lineRule="auto"/>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1992B5B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A6E8706">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79F3341E">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29B7C783">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6AA25A04">
      <w:pPr>
        <w:pStyle w:val="23"/>
        <w:spacing w:line="360" w:lineRule="auto"/>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pgSz w:w="11906" w:h="16838"/>
      <w:pgMar w:top="1440" w:right="1134" w:bottom="1440" w:left="113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panose1 w:val="02040604050505020304"/>
    <w:charset w:val="00"/>
    <w:family w:val="roman"/>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1DC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78A">
    <w:pPr>
      <w:pStyle w:val="29"/>
      <w:jc w:val="center"/>
    </w:pPr>
  </w:p>
  <w:p w14:paraId="34DF196B">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F397">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E33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64EE334">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E6C8">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1407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61407D">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FF5A">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67830">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067830">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9001">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B7CF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FB7CF2">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E2ECC8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9B90">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47</w:t>
    </w:r>
    <w:r>
      <w:fldChar w:fldCharType="end"/>
    </w:r>
  </w:p>
  <w:p w14:paraId="6FECAFD1">
    <w:pPr>
      <w:pStyle w:val="29"/>
    </w:pPr>
  </w:p>
  <w:p w14:paraId="0EED8ED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E6D4">
    <w:pPr>
      <w:pStyle w:val="29"/>
      <w:framePr w:wrap="around" w:vAnchor="text" w:hAnchor="margin" w:xAlign="right" w:y="1"/>
      <w:rPr>
        <w:rStyle w:val="49"/>
      </w:rPr>
    </w:pPr>
    <w:r>
      <w:fldChar w:fldCharType="begin"/>
    </w:r>
    <w:r>
      <w:rPr>
        <w:rStyle w:val="49"/>
      </w:rPr>
      <w:instrText xml:space="preserve">PAGE  </w:instrText>
    </w:r>
    <w:r>
      <w:fldChar w:fldCharType="separate"/>
    </w:r>
    <w:r>
      <w:rPr>
        <w:rStyle w:val="49"/>
      </w:rPr>
      <w:t>122</w:t>
    </w:r>
    <w:r>
      <w:fldChar w:fldCharType="end"/>
    </w:r>
  </w:p>
  <w:p w14:paraId="213B4DC1">
    <w:pPr>
      <w:pStyle w:val="29"/>
      <w:ind w:right="360"/>
      <w:jc w:val="both"/>
    </w:pPr>
    <w:r>
      <w:rPr>
        <w:rFonts w:hint="eastAsia"/>
      </w:rPr>
      <w:t>121</w:t>
    </w:r>
  </w:p>
  <w:p w14:paraId="1F5623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E1C6">
    <w:pPr>
      <w:pStyle w:val="30"/>
      <w:jc w:val="left"/>
      <w:rPr>
        <w:rFonts w:hint="eastAsia" w:ascii="宋体" w:hAnsi="宋体"/>
        <w:color w:val="00000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8FF0">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7B6D">
    <w:pPr>
      <w:pStyle w:val="30"/>
      <w:jc w:val="left"/>
      <w:rPr>
        <w:rFonts w:hint="eastAsia" w:ascii="宋体" w:hAnsi="宋体"/>
        <w:color w:val="000000"/>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6433">
    <w:pPr>
      <w:pStyle w:val="30"/>
      <w:jc w:val="left"/>
      <w:rPr>
        <w:rFonts w:hint="eastAsia" w:eastAsia="宋体"/>
        <w:lang w:eastAsia="zh-CN"/>
      </w:rPr>
    </w:pPr>
    <w:r>
      <w:rPr>
        <w:rFonts w:hint="eastAsia"/>
      </w:rPr>
      <w:t>项目名称：</w:t>
    </w:r>
    <w:r>
      <w:rPr>
        <w:rFonts w:hint="eastAsia"/>
        <w:lang w:eastAsia="zh-CN"/>
      </w:rPr>
      <w:t>广西壮族自治区人民医院超声诊断仪、超声诊断仪（心脏）及超声诊断仪（妇产）设备采购（重）</w:t>
    </w:r>
  </w:p>
  <w:p w14:paraId="6757BC3F">
    <w:pPr>
      <w:pStyle w:val="30"/>
      <w:jc w:val="left"/>
      <w:rPr>
        <w:rFonts w:hint="eastAsia" w:ascii="宋体" w:hAnsi="宋体" w:eastAsia="宋体"/>
        <w:color w:val="000000"/>
        <w:szCs w:val="21"/>
        <w:lang w:eastAsia="zh-CN"/>
      </w:rPr>
    </w:pPr>
    <w:r>
      <w:rPr>
        <w:rFonts w:hint="eastAsia"/>
      </w:rPr>
      <w:t>项目编号：</w:t>
    </w:r>
    <w:r>
      <w:rPr>
        <w:rFonts w:hint="eastAsia"/>
        <w:lang w:eastAsia="zh-CN"/>
      </w:rPr>
      <w:t>GXZC2025-G1-003806-GCZX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66C91">
    <w:pPr>
      <w:pStyle w:val="30"/>
      <w:jc w:val="left"/>
      <w:rPr>
        <w:rFonts w:hint="eastAsia" w:eastAsia="宋体"/>
        <w:lang w:eastAsia="zh-CN"/>
      </w:rPr>
    </w:pPr>
    <w:r>
      <w:rPr>
        <w:rFonts w:hint="eastAsia"/>
      </w:rPr>
      <w:t>项目名称：</w:t>
    </w:r>
    <w:r>
      <w:rPr>
        <w:rFonts w:hint="eastAsia"/>
        <w:lang w:eastAsia="zh-CN"/>
      </w:rPr>
      <w:t>广西壮族自治区人民医院超声诊断仪、超声诊断仪（心脏）及超声诊断仪（妇产）设备采购（重）</w:t>
    </w:r>
  </w:p>
  <w:p w14:paraId="3F2A1DB0">
    <w:pPr>
      <w:pStyle w:val="30"/>
      <w:jc w:val="left"/>
      <w:rPr>
        <w:rFonts w:hint="eastAsia" w:eastAsia="宋体"/>
        <w:lang w:eastAsia="zh-CN"/>
      </w:rPr>
    </w:pPr>
    <w:r>
      <w:rPr>
        <w:rFonts w:hint="eastAsia"/>
      </w:rPr>
      <w:t>项目编号：</w:t>
    </w:r>
    <w:r>
      <w:rPr>
        <w:rFonts w:hint="eastAsia"/>
        <w:lang w:eastAsia="zh-CN"/>
      </w:rPr>
      <w:t>GXZC2025-G1-003806-GCZX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7124">
    <w:pPr>
      <w:pStyle w:val="30"/>
      <w:jc w:val="left"/>
      <w:rPr>
        <w:rFonts w:hint="eastAsia" w:eastAsia="宋体"/>
        <w:lang w:eastAsia="zh-CN"/>
      </w:rPr>
    </w:pPr>
    <w:r>
      <w:rPr>
        <w:rFonts w:hint="eastAsia"/>
      </w:rPr>
      <w:t>项目名称：</w:t>
    </w:r>
    <w:r>
      <w:rPr>
        <w:rFonts w:hint="eastAsia"/>
        <w:lang w:eastAsia="zh-CN"/>
      </w:rPr>
      <w:t>广西壮族自治区人民医院超声诊断仪、超声诊断仪（心脏）及超声诊断仪（妇产）设备采购（重）</w:t>
    </w:r>
  </w:p>
  <w:p w14:paraId="24F4911D">
    <w:pPr>
      <w:pStyle w:val="30"/>
      <w:jc w:val="left"/>
      <w:rPr>
        <w:rFonts w:hint="eastAsia" w:eastAsia="宋体"/>
        <w:lang w:eastAsia="zh-CN"/>
      </w:rPr>
    </w:pPr>
    <w:r>
      <w:rPr>
        <w:rFonts w:hint="eastAsia"/>
      </w:rPr>
      <w:t>项目编号：</w:t>
    </w:r>
    <w:r>
      <w:rPr>
        <w:rFonts w:hint="eastAsia"/>
        <w:lang w:eastAsia="zh-CN"/>
      </w:rPr>
      <w:t>GXZC2025-G1-003806-GCZX</w:t>
    </w:r>
  </w:p>
  <w:p w14:paraId="5DFA635E">
    <w:pPr>
      <w:pStyle w:val="30"/>
      <w:pBdr>
        <w:bottom w:val="none" w:color="auto" w:sz="0" w:space="0"/>
      </w:pBdr>
      <w:tabs>
        <w:tab w:val="center" w:pos="4153"/>
        <w:tab w:val="right" w:pos="8306"/>
        <w:tab w:val="clea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0A9D3FE2"/>
    <w:multiLevelType w:val="singleLevel"/>
    <w:tmpl w:val="0A9D3FE2"/>
    <w:lvl w:ilvl="0" w:tentative="0">
      <w:start w:val="5"/>
      <w:numFmt w:val="decimal"/>
      <w:suff w:val="space"/>
      <w:lvlText w:val="%1."/>
      <w:lvlJc w:val="left"/>
    </w:lvl>
  </w:abstractNum>
  <w:abstractNum w:abstractNumId="2">
    <w:nsid w:val="1F9CB027"/>
    <w:multiLevelType w:val="singleLevel"/>
    <w:tmpl w:val="1F9CB027"/>
    <w:lvl w:ilvl="0" w:tentative="0">
      <w:start w:val="2"/>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E66D773"/>
    <w:multiLevelType w:val="singleLevel"/>
    <w:tmpl w:val="7E66D773"/>
    <w:lvl w:ilvl="0" w:tentative="0">
      <w:start w:val="1"/>
      <w:numFmt w:val="decimal"/>
      <w:lvlText w:val="%1."/>
      <w:lvlJc w:val="left"/>
      <w:pPr>
        <w:tabs>
          <w:tab w:val="left" w:pos="312"/>
        </w:tabs>
      </w:p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MDQ0NWMwMDAxM2NiOGM2ZjIzNjFiYTYwNjZhOTMifQ=="/>
  </w:docVars>
  <w:rsids>
    <w:rsidRoot w:val="00172A27"/>
    <w:rsid w:val="0000010C"/>
    <w:rsid w:val="000004FE"/>
    <w:rsid w:val="00000FE0"/>
    <w:rsid w:val="00001068"/>
    <w:rsid w:val="0000114A"/>
    <w:rsid w:val="00001731"/>
    <w:rsid w:val="00001C2D"/>
    <w:rsid w:val="00001C55"/>
    <w:rsid w:val="00001CA8"/>
    <w:rsid w:val="00001FAE"/>
    <w:rsid w:val="00002291"/>
    <w:rsid w:val="00002DBF"/>
    <w:rsid w:val="00002EC0"/>
    <w:rsid w:val="00002F69"/>
    <w:rsid w:val="00003224"/>
    <w:rsid w:val="000033F5"/>
    <w:rsid w:val="0000358C"/>
    <w:rsid w:val="00003BEF"/>
    <w:rsid w:val="00004130"/>
    <w:rsid w:val="0000431F"/>
    <w:rsid w:val="000045EB"/>
    <w:rsid w:val="00004634"/>
    <w:rsid w:val="00004CD0"/>
    <w:rsid w:val="00004D8B"/>
    <w:rsid w:val="000059E2"/>
    <w:rsid w:val="000061EA"/>
    <w:rsid w:val="00006AE7"/>
    <w:rsid w:val="00006B9B"/>
    <w:rsid w:val="00006C35"/>
    <w:rsid w:val="000072B1"/>
    <w:rsid w:val="00007329"/>
    <w:rsid w:val="00007E28"/>
    <w:rsid w:val="00007E84"/>
    <w:rsid w:val="00010401"/>
    <w:rsid w:val="0001041F"/>
    <w:rsid w:val="000105A1"/>
    <w:rsid w:val="000107AD"/>
    <w:rsid w:val="00010835"/>
    <w:rsid w:val="000117DF"/>
    <w:rsid w:val="00011842"/>
    <w:rsid w:val="00011DCA"/>
    <w:rsid w:val="00012137"/>
    <w:rsid w:val="000121FF"/>
    <w:rsid w:val="000125B8"/>
    <w:rsid w:val="00012692"/>
    <w:rsid w:val="00013446"/>
    <w:rsid w:val="00013509"/>
    <w:rsid w:val="000135BC"/>
    <w:rsid w:val="000135DC"/>
    <w:rsid w:val="000136D6"/>
    <w:rsid w:val="00014085"/>
    <w:rsid w:val="00014BCB"/>
    <w:rsid w:val="00014DD9"/>
    <w:rsid w:val="00014EE0"/>
    <w:rsid w:val="000151E4"/>
    <w:rsid w:val="00015577"/>
    <w:rsid w:val="000156E4"/>
    <w:rsid w:val="000159A7"/>
    <w:rsid w:val="000159F5"/>
    <w:rsid w:val="00015ECA"/>
    <w:rsid w:val="00015FB8"/>
    <w:rsid w:val="0001609F"/>
    <w:rsid w:val="0001635B"/>
    <w:rsid w:val="00016549"/>
    <w:rsid w:val="00016BF7"/>
    <w:rsid w:val="000172E0"/>
    <w:rsid w:val="0001767E"/>
    <w:rsid w:val="0001776D"/>
    <w:rsid w:val="000179BB"/>
    <w:rsid w:val="00017F31"/>
    <w:rsid w:val="00020607"/>
    <w:rsid w:val="0002103A"/>
    <w:rsid w:val="00021470"/>
    <w:rsid w:val="000217E4"/>
    <w:rsid w:val="00021852"/>
    <w:rsid w:val="00021A12"/>
    <w:rsid w:val="00021DFE"/>
    <w:rsid w:val="0002228A"/>
    <w:rsid w:val="00022622"/>
    <w:rsid w:val="00023363"/>
    <w:rsid w:val="000235F3"/>
    <w:rsid w:val="00023644"/>
    <w:rsid w:val="00023712"/>
    <w:rsid w:val="00024E3C"/>
    <w:rsid w:val="00024EB0"/>
    <w:rsid w:val="00026458"/>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1AF"/>
    <w:rsid w:val="00033413"/>
    <w:rsid w:val="000337F3"/>
    <w:rsid w:val="00033C94"/>
    <w:rsid w:val="00034247"/>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D1E"/>
    <w:rsid w:val="00045E69"/>
    <w:rsid w:val="00045EF4"/>
    <w:rsid w:val="00046547"/>
    <w:rsid w:val="000466D7"/>
    <w:rsid w:val="00046753"/>
    <w:rsid w:val="00047254"/>
    <w:rsid w:val="00047E41"/>
    <w:rsid w:val="0005022B"/>
    <w:rsid w:val="00050771"/>
    <w:rsid w:val="00050EC3"/>
    <w:rsid w:val="000513F3"/>
    <w:rsid w:val="00052287"/>
    <w:rsid w:val="000522E0"/>
    <w:rsid w:val="0005242B"/>
    <w:rsid w:val="000532F4"/>
    <w:rsid w:val="000536AE"/>
    <w:rsid w:val="00054510"/>
    <w:rsid w:val="00054CD5"/>
    <w:rsid w:val="00054D03"/>
    <w:rsid w:val="000550AC"/>
    <w:rsid w:val="00055403"/>
    <w:rsid w:val="0005584D"/>
    <w:rsid w:val="00055CC3"/>
    <w:rsid w:val="00055CEE"/>
    <w:rsid w:val="000561A1"/>
    <w:rsid w:val="000564BB"/>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3518"/>
    <w:rsid w:val="0006400F"/>
    <w:rsid w:val="000645DD"/>
    <w:rsid w:val="00064D7E"/>
    <w:rsid w:val="00064F65"/>
    <w:rsid w:val="00064FD0"/>
    <w:rsid w:val="0006534A"/>
    <w:rsid w:val="00065A5D"/>
    <w:rsid w:val="00065BA2"/>
    <w:rsid w:val="000661CA"/>
    <w:rsid w:val="0006668D"/>
    <w:rsid w:val="00066E00"/>
    <w:rsid w:val="00067002"/>
    <w:rsid w:val="00067334"/>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35C2"/>
    <w:rsid w:val="00073935"/>
    <w:rsid w:val="0007439D"/>
    <w:rsid w:val="0007483E"/>
    <w:rsid w:val="000751DB"/>
    <w:rsid w:val="0007542D"/>
    <w:rsid w:val="0007578F"/>
    <w:rsid w:val="00075E43"/>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DDE"/>
    <w:rsid w:val="00085F82"/>
    <w:rsid w:val="00086411"/>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4E88"/>
    <w:rsid w:val="000951E7"/>
    <w:rsid w:val="00095B82"/>
    <w:rsid w:val="00096098"/>
    <w:rsid w:val="000969D9"/>
    <w:rsid w:val="00096F37"/>
    <w:rsid w:val="00097FE5"/>
    <w:rsid w:val="000A0354"/>
    <w:rsid w:val="000A091F"/>
    <w:rsid w:val="000A0958"/>
    <w:rsid w:val="000A0A3C"/>
    <w:rsid w:val="000A0FCC"/>
    <w:rsid w:val="000A1033"/>
    <w:rsid w:val="000A1355"/>
    <w:rsid w:val="000A2712"/>
    <w:rsid w:val="000A2877"/>
    <w:rsid w:val="000A355D"/>
    <w:rsid w:val="000A35DA"/>
    <w:rsid w:val="000A371E"/>
    <w:rsid w:val="000A3DE5"/>
    <w:rsid w:val="000A4011"/>
    <w:rsid w:val="000A45D5"/>
    <w:rsid w:val="000A490E"/>
    <w:rsid w:val="000A5B49"/>
    <w:rsid w:val="000A5FE5"/>
    <w:rsid w:val="000A60BC"/>
    <w:rsid w:val="000A6ABA"/>
    <w:rsid w:val="000A7218"/>
    <w:rsid w:val="000A73D7"/>
    <w:rsid w:val="000A740A"/>
    <w:rsid w:val="000A7446"/>
    <w:rsid w:val="000A7E7F"/>
    <w:rsid w:val="000A7ECD"/>
    <w:rsid w:val="000B04DD"/>
    <w:rsid w:val="000B0F01"/>
    <w:rsid w:val="000B1346"/>
    <w:rsid w:val="000B1914"/>
    <w:rsid w:val="000B19DC"/>
    <w:rsid w:val="000B1C35"/>
    <w:rsid w:val="000B1CA2"/>
    <w:rsid w:val="000B202E"/>
    <w:rsid w:val="000B2293"/>
    <w:rsid w:val="000B24A4"/>
    <w:rsid w:val="000B255C"/>
    <w:rsid w:val="000B394A"/>
    <w:rsid w:val="000B395E"/>
    <w:rsid w:val="000B39C3"/>
    <w:rsid w:val="000B3A00"/>
    <w:rsid w:val="000B44D3"/>
    <w:rsid w:val="000B4840"/>
    <w:rsid w:val="000B4D79"/>
    <w:rsid w:val="000B5627"/>
    <w:rsid w:val="000B5671"/>
    <w:rsid w:val="000B6084"/>
    <w:rsid w:val="000B62BE"/>
    <w:rsid w:val="000B6BF0"/>
    <w:rsid w:val="000B6CE8"/>
    <w:rsid w:val="000B7DAF"/>
    <w:rsid w:val="000C071C"/>
    <w:rsid w:val="000C0BB4"/>
    <w:rsid w:val="000C0BEE"/>
    <w:rsid w:val="000C1CB9"/>
    <w:rsid w:val="000C2159"/>
    <w:rsid w:val="000C21BB"/>
    <w:rsid w:val="000C289B"/>
    <w:rsid w:val="000C3F01"/>
    <w:rsid w:val="000C420D"/>
    <w:rsid w:val="000C4773"/>
    <w:rsid w:val="000C4944"/>
    <w:rsid w:val="000C4BBB"/>
    <w:rsid w:val="000C4E24"/>
    <w:rsid w:val="000C5C4A"/>
    <w:rsid w:val="000C5F01"/>
    <w:rsid w:val="000C5F07"/>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35"/>
    <w:rsid w:val="000D2C9B"/>
    <w:rsid w:val="000D35FD"/>
    <w:rsid w:val="000D38D0"/>
    <w:rsid w:val="000D3D2D"/>
    <w:rsid w:val="000D3D99"/>
    <w:rsid w:val="000D4653"/>
    <w:rsid w:val="000D4696"/>
    <w:rsid w:val="000D4817"/>
    <w:rsid w:val="000D4FB9"/>
    <w:rsid w:val="000D54B4"/>
    <w:rsid w:val="000D584B"/>
    <w:rsid w:val="000D5F55"/>
    <w:rsid w:val="000D6372"/>
    <w:rsid w:val="000D666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2C5A"/>
    <w:rsid w:val="000E2EDC"/>
    <w:rsid w:val="000E30F2"/>
    <w:rsid w:val="000E316B"/>
    <w:rsid w:val="000E3D08"/>
    <w:rsid w:val="000E43C7"/>
    <w:rsid w:val="000E4728"/>
    <w:rsid w:val="000E4D1F"/>
    <w:rsid w:val="000E5658"/>
    <w:rsid w:val="000E5698"/>
    <w:rsid w:val="000E5723"/>
    <w:rsid w:val="000E581B"/>
    <w:rsid w:val="000E59A4"/>
    <w:rsid w:val="000E61A1"/>
    <w:rsid w:val="000E64B2"/>
    <w:rsid w:val="000E65D2"/>
    <w:rsid w:val="000E6919"/>
    <w:rsid w:val="000E6B1B"/>
    <w:rsid w:val="000E6F0C"/>
    <w:rsid w:val="000E732D"/>
    <w:rsid w:val="000F07ED"/>
    <w:rsid w:val="000F09E2"/>
    <w:rsid w:val="000F0CF2"/>
    <w:rsid w:val="000F1A32"/>
    <w:rsid w:val="000F1BBB"/>
    <w:rsid w:val="000F1CC2"/>
    <w:rsid w:val="000F1D15"/>
    <w:rsid w:val="000F270A"/>
    <w:rsid w:val="000F34C8"/>
    <w:rsid w:val="000F38BC"/>
    <w:rsid w:val="000F3E2A"/>
    <w:rsid w:val="000F4D26"/>
    <w:rsid w:val="000F5639"/>
    <w:rsid w:val="000F58A4"/>
    <w:rsid w:val="000F6757"/>
    <w:rsid w:val="000F6833"/>
    <w:rsid w:val="000F6A24"/>
    <w:rsid w:val="000F6FBB"/>
    <w:rsid w:val="000F7616"/>
    <w:rsid w:val="000F7DE9"/>
    <w:rsid w:val="000F7F7A"/>
    <w:rsid w:val="001002F4"/>
    <w:rsid w:val="001011FC"/>
    <w:rsid w:val="00101232"/>
    <w:rsid w:val="0010165F"/>
    <w:rsid w:val="00101E7C"/>
    <w:rsid w:val="001023DC"/>
    <w:rsid w:val="00102572"/>
    <w:rsid w:val="00102946"/>
    <w:rsid w:val="00102FBF"/>
    <w:rsid w:val="0010333D"/>
    <w:rsid w:val="0010372A"/>
    <w:rsid w:val="00103F41"/>
    <w:rsid w:val="00104060"/>
    <w:rsid w:val="00104F34"/>
    <w:rsid w:val="001053C5"/>
    <w:rsid w:val="001055AD"/>
    <w:rsid w:val="00105AEC"/>
    <w:rsid w:val="00105C14"/>
    <w:rsid w:val="001065A3"/>
    <w:rsid w:val="00106831"/>
    <w:rsid w:val="0010691D"/>
    <w:rsid w:val="00106B33"/>
    <w:rsid w:val="00106E69"/>
    <w:rsid w:val="00110AC5"/>
    <w:rsid w:val="00110F0B"/>
    <w:rsid w:val="0011108B"/>
    <w:rsid w:val="00111136"/>
    <w:rsid w:val="00111164"/>
    <w:rsid w:val="001111F7"/>
    <w:rsid w:val="00111761"/>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3EA3"/>
    <w:rsid w:val="00124B43"/>
    <w:rsid w:val="00124DF8"/>
    <w:rsid w:val="001253EA"/>
    <w:rsid w:val="00125B99"/>
    <w:rsid w:val="00126160"/>
    <w:rsid w:val="001268DE"/>
    <w:rsid w:val="00126DB5"/>
    <w:rsid w:val="00127178"/>
    <w:rsid w:val="00127F09"/>
    <w:rsid w:val="0013002A"/>
    <w:rsid w:val="0013085D"/>
    <w:rsid w:val="0013089C"/>
    <w:rsid w:val="00130A2D"/>
    <w:rsid w:val="00130F54"/>
    <w:rsid w:val="00131888"/>
    <w:rsid w:val="00131EC4"/>
    <w:rsid w:val="00131F17"/>
    <w:rsid w:val="0013212F"/>
    <w:rsid w:val="001323F9"/>
    <w:rsid w:val="0013251F"/>
    <w:rsid w:val="00133088"/>
    <w:rsid w:val="00133346"/>
    <w:rsid w:val="001335B1"/>
    <w:rsid w:val="00133B4E"/>
    <w:rsid w:val="001346AF"/>
    <w:rsid w:val="00134990"/>
    <w:rsid w:val="001354D1"/>
    <w:rsid w:val="00135A0A"/>
    <w:rsid w:val="00135BB9"/>
    <w:rsid w:val="0013621D"/>
    <w:rsid w:val="00136354"/>
    <w:rsid w:val="00136674"/>
    <w:rsid w:val="00136B0E"/>
    <w:rsid w:val="00136C3B"/>
    <w:rsid w:val="001376AB"/>
    <w:rsid w:val="0013777C"/>
    <w:rsid w:val="00137BA7"/>
    <w:rsid w:val="00137D5F"/>
    <w:rsid w:val="00140082"/>
    <w:rsid w:val="00140175"/>
    <w:rsid w:val="00140757"/>
    <w:rsid w:val="00140D07"/>
    <w:rsid w:val="00141A3A"/>
    <w:rsid w:val="00141CFC"/>
    <w:rsid w:val="001423FA"/>
    <w:rsid w:val="001427B5"/>
    <w:rsid w:val="001428CF"/>
    <w:rsid w:val="00142D0C"/>
    <w:rsid w:val="00142E3C"/>
    <w:rsid w:val="00142F6A"/>
    <w:rsid w:val="00143387"/>
    <w:rsid w:val="0014401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084"/>
    <w:rsid w:val="00153652"/>
    <w:rsid w:val="00153697"/>
    <w:rsid w:val="00153956"/>
    <w:rsid w:val="00153B95"/>
    <w:rsid w:val="00153C37"/>
    <w:rsid w:val="00153F81"/>
    <w:rsid w:val="00154146"/>
    <w:rsid w:val="00154190"/>
    <w:rsid w:val="001545EA"/>
    <w:rsid w:val="001549BA"/>
    <w:rsid w:val="00154BBF"/>
    <w:rsid w:val="00155099"/>
    <w:rsid w:val="001552B1"/>
    <w:rsid w:val="00155C85"/>
    <w:rsid w:val="001568D1"/>
    <w:rsid w:val="00156A6C"/>
    <w:rsid w:val="00156B10"/>
    <w:rsid w:val="00157204"/>
    <w:rsid w:val="001576FE"/>
    <w:rsid w:val="00157823"/>
    <w:rsid w:val="0015790D"/>
    <w:rsid w:val="00157C5E"/>
    <w:rsid w:val="0016015A"/>
    <w:rsid w:val="0016020E"/>
    <w:rsid w:val="00160503"/>
    <w:rsid w:val="00160D7C"/>
    <w:rsid w:val="00160E30"/>
    <w:rsid w:val="0016106D"/>
    <w:rsid w:val="001611F3"/>
    <w:rsid w:val="001612E1"/>
    <w:rsid w:val="001614DB"/>
    <w:rsid w:val="0016194E"/>
    <w:rsid w:val="0016236C"/>
    <w:rsid w:val="00162625"/>
    <w:rsid w:val="001630A8"/>
    <w:rsid w:val="00163826"/>
    <w:rsid w:val="00163943"/>
    <w:rsid w:val="00163BA1"/>
    <w:rsid w:val="00163F22"/>
    <w:rsid w:val="0016417B"/>
    <w:rsid w:val="0016470E"/>
    <w:rsid w:val="00164E0A"/>
    <w:rsid w:val="001652D7"/>
    <w:rsid w:val="00165A5F"/>
    <w:rsid w:val="00166223"/>
    <w:rsid w:val="0016793E"/>
    <w:rsid w:val="00167CF4"/>
    <w:rsid w:val="00167D4D"/>
    <w:rsid w:val="00170635"/>
    <w:rsid w:val="0017070D"/>
    <w:rsid w:val="00170837"/>
    <w:rsid w:val="00171035"/>
    <w:rsid w:val="001713B7"/>
    <w:rsid w:val="00171ADB"/>
    <w:rsid w:val="00171E2C"/>
    <w:rsid w:val="00172029"/>
    <w:rsid w:val="001733A4"/>
    <w:rsid w:val="00173AB9"/>
    <w:rsid w:val="00173EE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3964"/>
    <w:rsid w:val="001845FB"/>
    <w:rsid w:val="00184B26"/>
    <w:rsid w:val="00185DA6"/>
    <w:rsid w:val="00185F64"/>
    <w:rsid w:val="00186096"/>
    <w:rsid w:val="0018772E"/>
    <w:rsid w:val="00187A94"/>
    <w:rsid w:val="0019029E"/>
    <w:rsid w:val="00190300"/>
    <w:rsid w:val="00190804"/>
    <w:rsid w:val="0019088F"/>
    <w:rsid w:val="00190C51"/>
    <w:rsid w:val="00192135"/>
    <w:rsid w:val="0019306B"/>
    <w:rsid w:val="00193ACC"/>
    <w:rsid w:val="00193BFE"/>
    <w:rsid w:val="0019525E"/>
    <w:rsid w:val="00195322"/>
    <w:rsid w:val="0019560E"/>
    <w:rsid w:val="001958E3"/>
    <w:rsid w:val="0019601B"/>
    <w:rsid w:val="00196048"/>
    <w:rsid w:val="001965BD"/>
    <w:rsid w:val="00196A82"/>
    <w:rsid w:val="001970B4"/>
    <w:rsid w:val="0019769B"/>
    <w:rsid w:val="001979F9"/>
    <w:rsid w:val="00197FFE"/>
    <w:rsid w:val="001A020D"/>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70C8"/>
    <w:rsid w:val="001A71C9"/>
    <w:rsid w:val="001A7429"/>
    <w:rsid w:val="001A760C"/>
    <w:rsid w:val="001A7632"/>
    <w:rsid w:val="001A799B"/>
    <w:rsid w:val="001A7AC7"/>
    <w:rsid w:val="001A7C38"/>
    <w:rsid w:val="001B02F8"/>
    <w:rsid w:val="001B095C"/>
    <w:rsid w:val="001B2104"/>
    <w:rsid w:val="001B2114"/>
    <w:rsid w:val="001B2279"/>
    <w:rsid w:val="001B2729"/>
    <w:rsid w:val="001B2866"/>
    <w:rsid w:val="001B2881"/>
    <w:rsid w:val="001B2B73"/>
    <w:rsid w:val="001B3675"/>
    <w:rsid w:val="001B37C8"/>
    <w:rsid w:val="001B4B2C"/>
    <w:rsid w:val="001B4C58"/>
    <w:rsid w:val="001B4F10"/>
    <w:rsid w:val="001B5154"/>
    <w:rsid w:val="001B528A"/>
    <w:rsid w:val="001B6D73"/>
    <w:rsid w:val="001B6E30"/>
    <w:rsid w:val="001B7C83"/>
    <w:rsid w:val="001B7F9E"/>
    <w:rsid w:val="001C0206"/>
    <w:rsid w:val="001C0246"/>
    <w:rsid w:val="001C04D4"/>
    <w:rsid w:val="001C0AE4"/>
    <w:rsid w:val="001C0B34"/>
    <w:rsid w:val="001C12A3"/>
    <w:rsid w:val="001C17BB"/>
    <w:rsid w:val="001C187E"/>
    <w:rsid w:val="001C1A37"/>
    <w:rsid w:val="001C1C49"/>
    <w:rsid w:val="001C286F"/>
    <w:rsid w:val="001C2A54"/>
    <w:rsid w:val="001C2B86"/>
    <w:rsid w:val="001C2F54"/>
    <w:rsid w:val="001C2F85"/>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21A"/>
    <w:rsid w:val="001D286F"/>
    <w:rsid w:val="001D2C94"/>
    <w:rsid w:val="001D33D9"/>
    <w:rsid w:val="001D36F6"/>
    <w:rsid w:val="001D4303"/>
    <w:rsid w:val="001D45E5"/>
    <w:rsid w:val="001D461A"/>
    <w:rsid w:val="001D4A9D"/>
    <w:rsid w:val="001D4AAD"/>
    <w:rsid w:val="001D4B86"/>
    <w:rsid w:val="001D5AFA"/>
    <w:rsid w:val="001D61F2"/>
    <w:rsid w:val="001D784A"/>
    <w:rsid w:val="001E04A4"/>
    <w:rsid w:val="001E07C5"/>
    <w:rsid w:val="001E176D"/>
    <w:rsid w:val="001E1BCE"/>
    <w:rsid w:val="001E1E05"/>
    <w:rsid w:val="001E2086"/>
    <w:rsid w:val="001E2529"/>
    <w:rsid w:val="001E2860"/>
    <w:rsid w:val="001E28DB"/>
    <w:rsid w:val="001E339F"/>
    <w:rsid w:val="001E3629"/>
    <w:rsid w:val="001E3E7D"/>
    <w:rsid w:val="001E40F0"/>
    <w:rsid w:val="001E4172"/>
    <w:rsid w:val="001E4471"/>
    <w:rsid w:val="001E5490"/>
    <w:rsid w:val="001E5730"/>
    <w:rsid w:val="001E5E2E"/>
    <w:rsid w:val="001E6352"/>
    <w:rsid w:val="001E70AD"/>
    <w:rsid w:val="001E7237"/>
    <w:rsid w:val="001E7AF6"/>
    <w:rsid w:val="001E7D5F"/>
    <w:rsid w:val="001F01B8"/>
    <w:rsid w:val="001F0FC3"/>
    <w:rsid w:val="001F1188"/>
    <w:rsid w:val="001F1B8D"/>
    <w:rsid w:val="001F2523"/>
    <w:rsid w:val="001F274F"/>
    <w:rsid w:val="001F289C"/>
    <w:rsid w:val="001F2BF9"/>
    <w:rsid w:val="001F3154"/>
    <w:rsid w:val="001F399E"/>
    <w:rsid w:val="001F3AF2"/>
    <w:rsid w:val="001F4486"/>
    <w:rsid w:val="001F6008"/>
    <w:rsid w:val="001F641B"/>
    <w:rsid w:val="001F6D4D"/>
    <w:rsid w:val="00200AB7"/>
    <w:rsid w:val="00200D97"/>
    <w:rsid w:val="0020130D"/>
    <w:rsid w:val="00201D06"/>
    <w:rsid w:val="00201E9F"/>
    <w:rsid w:val="00202F25"/>
    <w:rsid w:val="002030A2"/>
    <w:rsid w:val="002035B3"/>
    <w:rsid w:val="00203929"/>
    <w:rsid w:val="00203CD6"/>
    <w:rsid w:val="00204410"/>
    <w:rsid w:val="00204460"/>
    <w:rsid w:val="00204EA3"/>
    <w:rsid w:val="00205032"/>
    <w:rsid w:val="002051EA"/>
    <w:rsid w:val="00205CBC"/>
    <w:rsid w:val="00206259"/>
    <w:rsid w:val="002074B7"/>
    <w:rsid w:val="0020758D"/>
    <w:rsid w:val="00207C7B"/>
    <w:rsid w:val="00210D7A"/>
    <w:rsid w:val="00211470"/>
    <w:rsid w:val="00211922"/>
    <w:rsid w:val="00211F79"/>
    <w:rsid w:val="0021213A"/>
    <w:rsid w:val="00212151"/>
    <w:rsid w:val="0021265F"/>
    <w:rsid w:val="00213817"/>
    <w:rsid w:val="00213EF2"/>
    <w:rsid w:val="00214428"/>
    <w:rsid w:val="002145EB"/>
    <w:rsid w:val="00214C2C"/>
    <w:rsid w:val="00215834"/>
    <w:rsid w:val="00215CC2"/>
    <w:rsid w:val="00215DBC"/>
    <w:rsid w:val="00215ED8"/>
    <w:rsid w:val="00216111"/>
    <w:rsid w:val="00217700"/>
    <w:rsid w:val="002177E2"/>
    <w:rsid w:val="002205F3"/>
    <w:rsid w:val="0022085B"/>
    <w:rsid w:val="00220924"/>
    <w:rsid w:val="00220E53"/>
    <w:rsid w:val="0022176C"/>
    <w:rsid w:val="002225D1"/>
    <w:rsid w:val="002230FA"/>
    <w:rsid w:val="00223288"/>
    <w:rsid w:val="00223C4F"/>
    <w:rsid w:val="00223DF2"/>
    <w:rsid w:val="00224C0C"/>
    <w:rsid w:val="002256C2"/>
    <w:rsid w:val="002256D0"/>
    <w:rsid w:val="00225C8E"/>
    <w:rsid w:val="00226428"/>
    <w:rsid w:val="002265A9"/>
    <w:rsid w:val="002266CB"/>
    <w:rsid w:val="00226740"/>
    <w:rsid w:val="00227052"/>
    <w:rsid w:val="002272D5"/>
    <w:rsid w:val="0022738E"/>
    <w:rsid w:val="00227906"/>
    <w:rsid w:val="00227934"/>
    <w:rsid w:val="00227E21"/>
    <w:rsid w:val="00231D05"/>
    <w:rsid w:val="00231D1D"/>
    <w:rsid w:val="002325E5"/>
    <w:rsid w:val="002336E2"/>
    <w:rsid w:val="00233AC2"/>
    <w:rsid w:val="00233BAF"/>
    <w:rsid w:val="00234180"/>
    <w:rsid w:val="0023499E"/>
    <w:rsid w:val="00235420"/>
    <w:rsid w:val="00235700"/>
    <w:rsid w:val="0023641E"/>
    <w:rsid w:val="0024065B"/>
    <w:rsid w:val="002409A6"/>
    <w:rsid w:val="00240C63"/>
    <w:rsid w:val="00240EA5"/>
    <w:rsid w:val="00241132"/>
    <w:rsid w:val="00241205"/>
    <w:rsid w:val="002418C5"/>
    <w:rsid w:val="0024261D"/>
    <w:rsid w:val="00242712"/>
    <w:rsid w:val="00242A01"/>
    <w:rsid w:val="00242DFB"/>
    <w:rsid w:val="00243807"/>
    <w:rsid w:val="002440AC"/>
    <w:rsid w:val="00244365"/>
    <w:rsid w:val="0024459A"/>
    <w:rsid w:val="00244771"/>
    <w:rsid w:val="00244903"/>
    <w:rsid w:val="00244AFB"/>
    <w:rsid w:val="002453DF"/>
    <w:rsid w:val="00245A81"/>
    <w:rsid w:val="0024615F"/>
    <w:rsid w:val="00246B86"/>
    <w:rsid w:val="00247335"/>
    <w:rsid w:val="002473EF"/>
    <w:rsid w:val="002477B9"/>
    <w:rsid w:val="00247CBE"/>
    <w:rsid w:val="00247DB0"/>
    <w:rsid w:val="00250979"/>
    <w:rsid w:val="00250A1F"/>
    <w:rsid w:val="00250ADA"/>
    <w:rsid w:val="00250F1D"/>
    <w:rsid w:val="00251078"/>
    <w:rsid w:val="0025138E"/>
    <w:rsid w:val="00251FF1"/>
    <w:rsid w:val="002520BA"/>
    <w:rsid w:val="00252234"/>
    <w:rsid w:val="002528E3"/>
    <w:rsid w:val="00252944"/>
    <w:rsid w:val="00252D55"/>
    <w:rsid w:val="00252D82"/>
    <w:rsid w:val="00253006"/>
    <w:rsid w:val="002533F5"/>
    <w:rsid w:val="00253C60"/>
    <w:rsid w:val="00253F21"/>
    <w:rsid w:val="0025429D"/>
    <w:rsid w:val="002549E9"/>
    <w:rsid w:val="00254FF6"/>
    <w:rsid w:val="00255099"/>
    <w:rsid w:val="002550E8"/>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0FBC"/>
    <w:rsid w:val="00261223"/>
    <w:rsid w:val="002617AB"/>
    <w:rsid w:val="00261D08"/>
    <w:rsid w:val="00261DCC"/>
    <w:rsid w:val="002624D0"/>
    <w:rsid w:val="00263EC7"/>
    <w:rsid w:val="00264065"/>
    <w:rsid w:val="0026491B"/>
    <w:rsid w:val="00264A36"/>
    <w:rsid w:val="00264B06"/>
    <w:rsid w:val="00264C1B"/>
    <w:rsid w:val="00265D10"/>
    <w:rsid w:val="00265D56"/>
    <w:rsid w:val="00265E2E"/>
    <w:rsid w:val="002661AB"/>
    <w:rsid w:val="0026742B"/>
    <w:rsid w:val="002674FE"/>
    <w:rsid w:val="00270701"/>
    <w:rsid w:val="00270748"/>
    <w:rsid w:val="002710B4"/>
    <w:rsid w:val="0027117F"/>
    <w:rsid w:val="002712CD"/>
    <w:rsid w:val="002712DC"/>
    <w:rsid w:val="00271875"/>
    <w:rsid w:val="002718A4"/>
    <w:rsid w:val="002718FF"/>
    <w:rsid w:val="00271955"/>
    <w:rsid w:val="00272278"/>
    <w:rsid w:val="00272432"/>
    <w:rsid w:val="00272633"/>
    <w:rsid w:val="00272E48"/>
    <w:rsid w:val="00272FBF"/>
    <w:rsid w:val="002732C8"/>
    <w:rsid w:val="00273A10"/>
    <w:rsid w:val="00273A58"/>
    <w:rsid w:val="00274CAB"/>
    <w:rsid w:val="00274E8A"/>
    <w:rsid w:val="00275FCE"/>
    <w:rsid w:val="002766B8"/>
    <w:rsid w:val="0027680F"/>
    <w:rsid w:val="00276A66"/>
    <w:rsid w:val="00276D5C"/>
    <w:rsid w:val="00277987"/>
    <w:rsid w:val="00277EAD"/>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1492"/>
    <w:rsid w:val="00291527"/>
    <w:rsid w:val="0029199A"/>
    <w:rsid w:val="00291BBE"/>
    <w:rsid w:val="00291FEB"/>
    <w:rsid w:val="002922BC"/>
    <w:rsid w:val="00293146"/>
    <w:rsid w:val="0029361E"/>
    <w:rsid w:val="00293D68"/>
    <w:rsid w:val="0029408A"/>
    <w:rsid w:val="00294124"/>
    <w:rsid w:val="00294352"/>
    <w:rsid w:val="002944A0"/>
    <w:rsid w:val="002946E4"/>
    <w:rsid w:val="0029495C"/>
    <w:rsid w:val="002957D9"/>
    <w:rsid w:val="00295B52"/>
    <w:rsid w:val="00296024"/>
    <w:rsid w:val="00296293"/>
    <w:rsid w:val="00296896"/>
    <w:rsid w:val="00296AF7"/>
    <w:rsid w:val="002972F9"/>
    <w:rsid w:val="0029739B"/>
    <w:rsid w:val="002977CA"/>
    <w:rsid w:val="00297ED7"/>
    <w:rsid w:val="002A0007"/>
    <w:rsid w:val="002A03AA"/>
    <w:rsid w:val="002A056D"/>
    <w:rsid w:val="002A0626"/>
    <w:rsid w:val="002A07FE"/>
    <w:rsid w:val="002A094D"/>
    <w:rsid w:val="002A0CAF"/>
    <w:rsid w:val="002A1565"/>
    <w:rsid w:val="002A16A9"/>
    <w:rsid w:val="002A2941"/>
    <w:rsid w:val="002A2DC4"/>
    <w:rsid w:val="002A3E69"/>
    <w:rsid w:val="002A44F9"/>
    <w:rsid w:val="002A49EF"/>
    <w:rsid w:val="002A4B8B"/>
    <w:rsid w:val="002A5107"/>
    <w:rsid w:val="002A535E"/>
    <w:rsid w:val="002A5642"/>
    <w:rsid w:val="002A5FB1"/>
    <w:rsid w:val="002A6406"/>
    <w:rsid w:val="002A6CF0"/>
    <w:rsid w:val="002A6FFC"/>
    <w:rsid w:val="002A7010"/>
    <w:rsid w:val="002A70BA"/>
    <w:rsid w:val="002A79D0"/>
    <w:rsid w:val="002A7A57"/>
    <w:rsid w:val="002A7BB2"/>
    <w:rsid w:val="002A7DCB"/>
    <w:rsid w:val="002B0685"/>
    <w:rsid w:val="002B0B53"/>
    <w:rsid w:val="002B0BE0"/>
    <w:rsid w:val="002B1617"/>
    <w:rsid w:val="002B1D11"/>
    <w:rsid w:val="002B2258"/>
    <w:rsid w:val="002B273B"/>
    <w:rsid w:val="002B29AA"/>
    <w:rsid w:val="002B2A7E"/>
    <w:rsid w:val="002B2F1B"/>
    <w:rsid w:val="002B4514"/>
    <w:rsid w:val="002B4748"/>
    <w:rsid w:val="002B5189"/>
    <w:rsid w:val="002B5AFB"/>
    <w:rsid w:val="002B5B1C"/>
    <w:rsid w:val="002B5DB0"/>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65FF"/>
    <w:rsid w:val="002D6D10"/>
    <w:rsid w:val="002D71E2"/>
    <w:rsid w:val="002D72B8"/>
    <w:rsid w:val="002D7B6A"/>
    <w:rsid w:val="002E0026"/>
    <w:rsid w:val="002E0520"/>
    <w:rsid w:val="002E0739"/>
    <w:rsid w:val="002E08E8"/>
    <w:rsid w:val="002E0918"/>
    <w:rsid w:val="002E0BAA"/>
    <w:rsid w:val="002E0D96"/>
    <w:rsid w:val="002E0EA5"/>
    <w:rsid w:val="002E1E19"/>
    <w:rsid w:val="002E1FAC"/>
    <w:rsid w:val="002E283F"/>
    <w:rsid w:val="002E2854"/>
    <w:rsid w:val="002E2E74"/>
    <w:rsid w:val="002E32D2"/>
    <w:rsid w:val="002E361B"/>
    <w:rsid w:val="002E37AB"/>
    <w:rsid w:val="002E3A80"/>
    <w:rsid w:val="002E41C7"/>
    <w:rsid w:val="002E51DF"/>
    <w:rsid w:val="002E5593"/>
    <w:rsid w:val="002E57B9"/>
    <w:rsid w:val="002E6127"/>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E7C"/>
    <w:rsid w:val="002F724B"/>
    <w:rsid w:val="002F72BA"/>
    <w:rsid w:val="00300267"/>
    <w:rsid w:val="003004D2"/>
    <w:rsid w:val="00300D6B"/>
    <w:rsid w:val="00301072"/>
    <w:rsid w:val="00301380"/>
    <w:rsid w:val="003017C5"/>
    <w:rsid w:val="00301E89"/>
    <w:rsid w:val="00302052"/>
    <w:rsid w:val="00302142"/>
    <w:rsid w:val="00302169"/>
    <w:rsid w:val="00302612"/>
    <w:rsid w:val="00303254"/>
    <w:rsid w:val="003044D9"/>
    <w:rsid w:val="00304B91"/>
    <w:rsid w:val="00304D8A"/>
    <w:rsid w:val="00305216"/>
    <w:rsid w:val="0030555B"/>
    <w:rsid w:val="003061F5"/>
    <w:rsid w:val="00306A49"/>
    <w:rsid w:val="00306D27"/>
    <w:rsid w:val="0030739C"/>
    <w:rsid w:val="00310114"/>
    <w:rsid w:val="00310D51"/>
    <w:rsid w:val="00311B36"/>
    <w:rsid w:val="00311C92"/>
    <w:rsid w:val="00312649"/>
    <w:rsid w:val="00313321"/>
    <w:rsid w:val="003133AE"/>
    <w:rsid w:val="0031371B"/>
    <w:rsid w:val="00313A82"/>
    <w:rsid w:val="00314156"/>
    <w:rsid w:val="003146F2"/>
    <w:rsid w:val="0031535B"/>
    <w:rsid w:val="00316F76"/>
    <w:rsid w:val="003170F4"/>
    <w:rsid w:val="0032035D"/>
    <w:rsid w:val="00320474"/>
    <w:rsid w:val="003205E9"/>
    <w:rsid w:val="003207B2"/>
    <w:rsid w:val="00320B28"/>
    <w:rsid w:val="00320BDD"/>
    <w:rsid w:val="0032123E"/>
    <w:rsid w:val="003216D5"/>
    <w:rsid w:val="003216FF"/>
    <w:rsid w:val="00321866"/>
    <w:rsid w:val="00321A83"/>
    <w:rsid w:val="00321C1A"/>
    <w:rsid w:val="00321F6B"/>
    <w:rsid w:val="003222EC"/>
    <w:rsid w:val="00322389"/>
    <w:rsid w:val="0032274F"/>
    <w:rsid w:val="00322BE5"/>
    <w:rsid w:val="00322E87"/>
    <w:rsid w:val="0032312D"/>
    <w:rsid w:val="00323656"/>
    <w:rsid w:val="00323AA5"/>
    <w:rsid w:val="003242E4"/>
    <w:rsid w:val="0032468D"/>
    <w:rsid w:val="00324720"/>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C5C"/>
    <w:rsid w:val="00332EED"/>
    <w:rsid w:val="003334A7"/>
    <w:rsid w:val="003337E8"/>
    <w:rsid w:val="00333A14"/>
    <w:rsid w:val="00333B2A"/>
    <w:rsid w:val="00333FD5"/>
    <w:rsid w:val="003350E9"/>
    <w:rsid w:val="003351BA"/>
    <w:rsid w:val="0033520F"/>
    <w:rsid w:val="0033596B"/>
    <w:rsid w:val="00335A93"/>
    <w:rsid w:val="00336123"/>
    <w:rsid w:val="0033650E"/>
    <w:rsid w:val="00336580"/>
    <w:rsid w:val="00336907"/>
    <w:rsid w:val="003369DF"/>
    <w:rsid w:val="00336C71"/>
    <w:rsid w:val="00336D96"/>
    <w:rsid w:val="00336DFC"/>
    <w:rsid w:val="00336DFE"/>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6C51"/>
    <w:rsid w:val="00347440"/>
    <w:rsid w:val="003474DC"/>
    <w:rsid w:val="003475EA"/>
    <w:rsid w:val="00347A27"/>
    <w:rsid w:val="00347CB5"/>
    <w:rsid w:val="00347CD4"/>
    <w:rsid w:val="00350A55"/>
    <w:rsid w:val="00350DF8"/>
    <w:rsid w:val="0035120E"/>
    <w:rsid w:val="00351A8A"/>
    <w:rsid w:val="0035266A"/>
    <w:rsid w:val="0035279C"/>
    <w:rsid w:val="003535D2"/>
    <w:rsid w:val="0035384D"/>
    <w:rsid w:val="00353C0B"/>
    <w:rsid w:val="003548D9"/>
    <w:rsid w:val="00354AE4"/>
    <w:rsid w:val="00354B0A"/>
    <w:rsid w:val="0035551B"/>
    <w:rsid w:val="003555ED"/>
    <w:rsid w:val="00355911"/>
    <w:rsid w:val="003561AC"/>
    <w:rsid w:val="0035636B"/>
    <w:rsid w:val="00357424"/>
    <w:rsid w:val="0035752A"/>
    <w:rsid w:val="00357A34"/>
    <w:rsid w:val="00357BE9"/>
    <w:rsid w:val="0036003A"/>
    <w:rsid w:val="003601A2"/>
    <w:rsid w:val="00360A2E"/>
    <w:rsid w:val="00360E24"/>
    <w:rsid w:val="00361789"/>
    <w:rsid w:val="0036196D"/>
    <w:rsid w:val="00361A59"/>
    <w:rsid w:val="003627BD"/>
    <w:rsid w:val="00362997"/>
    <w:rsid w:val="00362BB3"/>
    <w:rsid w:val="00362C59"/>
    <w:rsid w:val="00363040"/>
    <w:rsid w:val="003630B7"/>
    <w:rsid w:val="00363786"/>
    <w:rsid w:val="003638A4"/>
    <w:rsid w:val="003639BF"/>
    <w:rsid w:val="00363D2E"/>
    <w:rsid w:val="00363E41"/>
    <w:rsid w:val="00363FD2"/>
    <w:rsid w:val="0036572E"/>
    <w:rsid w:val="003663D9"/>
    <w:rsid w:val="003666BF"/>
    <w:rsid w:val="00366707"/>
    <w:rsid w:val="00366FA9"/>
    <w:rsid w:val="00367E49"/>
    <w:rsid w:val="003700E6"/>
    <w:rsid w:val="00371272"/>
    <w:rsid w:val="00371C86"/>
    <w:rsid w:val="0037236C"/>
    <w:rsid w:val="003729DE"/>
    <w:rsid w:val="003735D3"/>
    <w:rsid w:val="0037386D"/>
    <w:rsid w:val="00373956"/>
    <w:rsid w:val="00374153"/>
    <w:rsid w:val="003750E0"/>
    <w:rsid w:val="00375AF1"/>
    <w:rsid w:val="00375C2F"/>
    <w:rsid w:val="00375FC5"/>
    <w:rsid w:val="003760DF"/>
    <w:rsid w:val="003769BA"/>
    <w:rsid w:val="00377871"/>
    <w:rsid w:val="003778B2"/>
    <w:rsid w:val="00377E58"/>
    <w:rsid w:val="003805E3"/>
    <w:rsid w:val="00380618"/>
    <w:rsid w:val="0038062E"/>
    <w:rsid w:val="003807F7"/>
    <w:rsid w:val="00380BA5"/>
    <w:rsid w:val="00381610"/>
    <w:rsid w:val="003820D8"/>
    <w:rsid w:val="00382106"/>
    <w:rsid w:val="00382657"/>
    <w:rsid w:val="00382B82"/>
    <w:rsid w:val="00382E92"/>
    <w:rsid w:val="003844BF"/>
    <w:rsid w:val="00385194"/>
    <w:rsid w:val="003854D5"/>
    <w:rsid w:val="0038552A"/>
    <w:rsid w:val="003859EA"/>
    <w:rsid w:val="0038709E"/>
    <w:rsid w:val="00387D30"/>
    <w:rsid w:val="003914A9"/>
    <w:rsid w:val="00391753"/>
    <w:rsid w:val="00391C7F"/>
    <w:rsid w:val="00391D55"/>
    <w:rsid w:val="00391F9D"/>
    <w:rsid w:val="00392454"/>
    <w:rsid w:val="00392C85"/>
    <w:rsid w:val="00392FD8"/>
    <w:rsid w:val="00393207"/>
    <w:rsid w:val="00393E11"/>
    <w:rsid w:val="00394475"/>
    <w:rsid w:val="0039517A"/>
    <w:rsid w:val="00395B51"/>
    <w:rsid w:val="00396796"/>
    <w:rsid w:val="00396EC6"/>
    <w:rsid w:val="003970BA"/>
    <w:rsid w:val="0039714D"/>
    <w:rsid w:val="0039746C"/>
    <w:rsid w:val="00397B88"/>
    <w:rsid w:val="00397DC6"/>
    <w:rsid w:val="003A0292"/>
    <w:rsid w:val="003A0E82"/>
    <w:rsid w:val="003A0FAC"/>
    <w:rsid w:val="003A184D"/>
    <w:rsid w:val="003A18E8"/>
    <w:rsid w:val="003A1FB7"/>
    <w:rsid w:val="003A2476"/>
    <w:rsid w:val="003A25B2"/>
    <w:rsid w:val="003A2ED9"/>
    <w:rsid w:val="003A2FA3"/>
    <w:rsid w:val="003A3457"/>
    <w:rsid w:val="003A371E"/>
    <w:rsid w:val="003A462A"/>
    <w:rsid w:val="003A5451"/>
    <w:rsid w:val="003A595F"/>
    <w:rsid w:val="003A5EEC"/>
    <w:rsid w:val="003A64F2"/>
    <w:rsid w:val="003A6622"/>
    <w:rsid w:val="003A6E66"/>
    <w:rsid w:val="003A79AE"/>
    <w:rsid w:val="003A7CA3"/>
    <w:rsid w:val="003B00B6"/>
    <w:rsid w:val="003B01C4"/>
    <w:rsid w:val="003B0BB0"/>
    <w:rsid w:val="003B11EE"/>
    <w:rsid w:val="003B15F8"/>
    <w:rsid w:val="003B168A"/>
    <w:rsid w:val="003B230B"/>
    <w:rsid w:val="003B23BC"/>
    <w:rsid w:val="003B28BA"/>
    <w:rsid w:val="003B2DB5"/>
    <w:rsid w:val="003B2F05"/>
    <w:rsid w:val="003B3966"/>
    <w:rsid w:val="003B39B7"/>
    <w:rsid w:val="003B47CC"/>
    <w:rsid w:val="003B4EB0"/>
    <w:rsid w:val="003B5F6A"/>
    <w:rsid w:val="003B6B7F"/>
    <w:rsid w:val="003B7820"/>
    <w:rsid w:val="003C01A4"/>
    <w:rsid w:val="003C0219"/>
    <w:rsid w:val="003C0C12"/>
    <w:rsid w:val="003C0DCF"/>
    <w:rsid w:val="003C16EE"/>
    <w:rsid w:val="003C1C87"/>
    <w:rsid w:val="003C2402"/>
    <w:rsid w:val="003C2C85"/>
    <w:rsid w:val="003C2F61"/>
    <w:rsid w:val="003C3037"/>
    <w:rsid w:val="003C345E"/>
    <w:rsid w:val="003C3E12"/>
    <w:rsid w:val="003C4409"/>
    <w:rsid w:val="003C4605"/>
    <w:rsid w:val="003C4997"/>
    <w:rsid w:val="003C4DA5"/>
    <w:rsid w:val="003C5666"/>
    <w:rsid w:val="003C5FAE"/>
    <w:rsid w:val="003C60CC"/>
    <w:rsid w:val="003C64F4"/>
    <w:rsid w:val="003C6E4B"/>
    <w:rsid w:val="003C6F5B"/>
    <w:rsid w:val="003C724B"/>
    <w:rsid w:val="003C73DB"/>
    <w:rsid w:val="003C7F81"/>
    <w:rsid w:val="003D0185"/>
    <w:rsid w:val="003D02CB"/>
    <w:rsid w:val="003D0382"/>
    <w:rsid w:val="003D069C"/>
    <w:rsid w:val="003D0C40"/>
    <w:rsid w:val="003D191E"/>
    <w:rsid w:val="003D22A5"/>
    <w:rsid w:val="003D23A4"/>
    <w:rsid w:val="003D3414"/>
    <w:rsid w:val="003D3426"/>
    <w:rsid w:val="003D3654"/>
    <w:rsid w:val="003D3721"/>
    <w:rsid w:val="003D5704"/>
    <w:rsid w:val="003D570E"/>
    <w:rsid w:val="003D63F3"/>
    <w:rsid w:val="003D6722"/>
    <w:rsid w:val="003D7428"/>
    <w:rsid w:val="003D77F2"/>
    <w:rsid w:val="003D78CC"/>
    <w:rsid w:val="003D7D01"/>
    <w:rsid w:val="003D7ED8"/>
    <w:rsid w:val="003E0003"/>
    <w:rsid w:val="003E0099"/>
    <w:rsid w:val="003E08C7"/>
    <w:rsid w:val="003E1A72"/>
    <w:rsid w:val="003E249B"/>
    <w:rsid w:val="003E2880"/>
    <w:rsid w:val="003E28FB"/>
    <w:rsid w:val="003E2A00"/>
    <w:rsid w:val="003E2EFA"/>
    <w:rsid w:val="003E3798"/>
    <w:rsid w:val="003E382C"/>
    <w:rsid w:val="003E3D00"/>
    <w:rsid w:val="003E4531"/>
    <w:rsid w:val="003E4771"/>
    <w:rsid w:val="003E54A8"/>
    <w:rsid w:val="003E5833"/>
    <w:rsid w:val="003E5DA8"/>
    <w:rsid w:val="003E7109"/>
    <w:rsid w:val="003E72DE"/>
    <w:rsid w:val="003E7445"/>
    <w:rsid w:val="003E74F9"/>
    <w:rsid w:val="003E77DC"/>
    <w:rsid w:val="003E7BC1"/>
    <w:rsid w:val="003F0453"/>
    <w:rsid w:val="003F0C9F"/>
    <w:rsid w:val="003F144A"/>
    <w:rsid w:val="003F182A"/>
    <w:rsid w:val="003F1B02"/>
    <w:rsid w:val="003F1EFE"/>
    <w:rsid w:val="003F2240"/>
    <w:rsid w:val="003F2460"/>
    <w:rsid w:val="003F2E7B"/>
    <w:rsid w:val="003F3CD5"/>
    <w:rsid w:val="003F4473"/>
    <w:rsid w:val="003F4CF5"/>
    <w:rsid w:val="003F4E31"/>
    <w:rsid w:val="003F51EE"/>
    <w:rsid w:val="003F574E"/>
    <w:rsid w:val="003F60D6"/>
    <w:rsid w:val="003F68E9"/>
    <w:rsid w:val="003F7E15"/>
    <w:rsid w:val="003F7E62"/>
    <w:rsid w:val="003F7FDA"/>
    <w:rsid w:val="004011F0"/>
    <w:rsid w:val="004013AD"/>
    <w:rsid w:val="004021C0"/>
    <w:rsid w:val="004028CE"/>
    <w:rsid w:val="0040313D"/>
    <w:rsid w:val="004043BD"/>
    <w:rsid w:val="004043FA"/>
    <w:rsid w:val="00404970"/>
    <w:rsid w:val="00404A28"/>
    <w:rsid w:val="00405181"/>
    <w:rsid w:val="0040567F"/>
    <w:rsid w:val="00405873"/>
    <w:rsid w:val="00405A17"/>
    <w:rsid w:val="00405F09"/>
    <w:rsid w:val="004066F4"/>
    <w:rsid w:val="00406A32"/>
    <w:rsid w:val="00407185"/>
    <w:rsid w:val="004075A8"/>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75D"/>
    <w:rsid w:val="00413D45"/>
    <w:rsid w:val="00414197"/>
    <w:rsid w:val="00414D68"/>
    <w:rsid w:val="00414FD9"/>
    <w:rsid w:val="00415773"/>
    <w:rsid w:val="00415CAE"/>
    <w:rsid w:val="00415EE7"/>
    <w:rsid w:val="004160FA"/>
    <w:rsid w:val="0041669E"/>
    <w:rsid w:val="00416ACA"/>
    <w:rsid w:val="00416C56"/>
    <w:rsid w:val="00416D79"/>
    <w:rsid w:val="00417294"/>
    <w:rsid w:val="004176B8"/>
    <w:rsid w:val="00417B99"/>
    <w:rsid w:val="00417CE0"/>
    <w:rsid w:val="004203C9"/>
    <w:rsid w:val="004209D5"/>
    <w:rsid w:val="00420FAF"/>
    <w:rsid w:val="00421184"/>
    <w:rsid w:val="004212C1"/>
    <w:rsid w:val="004214B7"/>
    <w:rsid w:val="00421FB5"/>
    <w:rsid w:val="00422669"/>
    <w:rsid w:val="004226ED"/>
    <w:rsid w:val="00422AF4"/>
    <w:rsid w:val="004235F4"/>
    <w:rsid w:val="004236C9"/>
    <w:rsid w:val="00423CF3"/>
    <w:rsid w:val="00423E18"/>
    <w:rsid w:val="00424B7C"/>
    <w:rsid w:val="0042500C"/>
    <w:rsid w:val="004251B5"/>
    <w:rsid w:val="00425514"/>
    <w:rsid w:val="004256BD"/>
    <w:rsid w:val="00425863"/>
    <w:rsid w:val="00425D02"/>
    <w:rsid w:val="00425EDC"/>
    <w:rsid w:val="00426C3E"/>
    <w:rsid w:val="004275CD"/>
    <w:rsid w:val="00427FEB"/>
    <w:rsid w:val="00427FF2"/>
    <w:rsid w:val="004305C0"/>
    <w:rsid w:val="00430B20"/>
    <w:rsid w:val="00430B6C"/>
    <w:rsid w:val="004314BA"/>
    <w:rsid w:val="0043221A"/>
    <w:rsid w:val="0043227C"/>
    <w:rsid w:val="004335C0"/>
    <w:rsid w:val="00433FDC"/>
    <w:rsid w:val="00435121"/>
    <w:rsid w:val="00435715"/>
    <w:rsid w:val="0043571B"/>
    <w:rsid w:val="00435EE0"/>
    <w:rsid w:val="00435F29"/>
    <w:rsid w:val="0043610C"/>
    <w:rsid w:val="004366FF"/>
    <w:rsid w:val="00437CD1"/>
    <w:rsid w:val="00437D83"/>
    <w:rsid w:val="004401DD"/>
    <w:rsid w:val="00440344"/>
    <w:rsid w:val="00441264"/>
    <w:rsid w:val="00441B0F"/>
    <w:rsid w:val="004425C6"/>
    <w:rsid w:val="00443A11"/>
    <w:rsid w:val="00443D5D"/>
    <w:rsid w:val="00445CBA"/>
    <w:rsid w:val="004463CB"/>
    <w:rsid w:val="004466F7"/>
    <w:rsid w:val="00446858"/>
    <w:rsid w:val="00447304"/>
    <w:rsid w:val="00450127"/>
    <w:rsid w:val="0045075F"/>
    <w:rsid w:val="00450EE2"/>
    <w:rsid w:val="004516AD"/>
    <w:rsid w:val="00451E84"/>
    <w:rsid w:val="00451EA3"/>
    <w:rsid w:val="00451F01"/>
    <w:rsid w:val="004546A7"/>
    <w:rsid w:val="00454831"/>
    <w:rsid w:val="004548DF"/>
    <w:rsid w:val="00456CC0"/>
    <w:rsid w:val="00456EDC"/>
    <w:rsid w:val="00457139"/>
    <w:rsid w:val="00457933"/>
    <w:rsid w:val="00457C78"/>
    <w:rsid w:val="00460735"/>
    <w:rsid w:val="00460AD5"/>
    <w:rsid w:val="00460EB8"/>
    <w:rsid w:val="00461090"/>
    <w:rsid w:val="00461991"/>
    <w:rsid w:val="00461C43"/>
    <w:rsid w:val="00462125"/>
    <w:rsid w:val="00462D58"/>
    <w:rsid w:val="00463216"/>
    <w:rsid w:val="0046334D"/>
    <w:rsid w:val="00463C95"/>
    <w:rsid w:val="00463E1C"/>
    <w:rsid w:val="00464052"/>
    <w:rsid w:val="00465153"/>
    <w:rsid w:val="00465602"/>
    <w:rsid w:val="00466377"/>
    <w:rsid w:val="00466AFD"/>
    <w:rsid w:val="00470696"/>
    <w:rsid w:val="00472177"/>
    <w:rsid w:val="004724C9"/>
    <w:rsid w:val="00472585"/>
    <w:rsid w:val="00474130"/>
    <w:rsid w:val="00474EDD"/>
    <w:rsid w:val="00475A6C"/>
    <w:rsid w:val="004764AF"/>
    <w:rsid w:val="00476D04"/>
    <w:rsid w:val="00477183"/>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630"/>
    <w:rsid w:val="0048423C"/>
    <w:rsid w:val="00484449"/>
    <w:rsid w:val="004852CE"/>
    <w:rsid w:val="0048540C"/>
    <w:rsid w:val="00485F92"/>
    <w:rsid w:val="004860BD"/>
    <w:rsid w:val="004866E1"/>
    <w:rsid w:val="00486C72"/>
    <w:rsid w:val="00487470"/>
    <w:rsid w:val="00490954"/>
    <w:rsid w:val="0049277A"/>
    <w:rsid w:val="00492B38"/>
    <w:rsid w:val="00492FE4"/>
    <w:rsid w:val="00493035"/>
    <w:rsid w:val="00493321"/>
    <w:rsid w:val="004936DE"/>
    <w:rsid w:val="00493707"/>
    <w:rsid w:val="00494060"/>
    <w:rsid w:val="00494F63"/>
    <w:rsid w:val="004950CB"/>
    <w:rsid w:val="0049544E"/>
    <w:rsid w:val="00495670"/>
    <w:rsid w:val="0049604B"/>
    <w:rsid w:val="00496AC9"/>
    <w:rsid w:val="004971ED"/>
    <w:rsid w:val="004A0292"/>
    <w:rsid w:val="004A040E"/>
    <w:rsid w:val="004A042D"/>
    <w:rsid w:val="004A11E0"/>
    <w:rsid w:val="004A1FC5"/>
    <w:rsid w:val="004A2158"/>
    <w:rsid w:val="004A29A5"/>
    <w:rsid w:val="004A3225"/>
    <w:rsid w:val="004A374A"/>
    <w:rsid w:val="004A395B"/>
    <w:rsid w:val="004A3C59"/>
    <w:rsid w:val="004A3FE2"/>
    <w:rsid w:val="004A4195"/>
    <w:rsid w:val="004A421F"/>
    <w:rsid w:val="004A480D"/>
    <w:rsid w:val="004A4D76"/>
    <w:rsid w:val="004A5851"/>
    <w:rsid w:val="004A5A91"/>
    <w:rsid w:val="004A5B0F"/>
    <w:rsid w:val="004A5CF1"/>
    <w:rsid w:val="004A66E0"/>
    <w:rsid w:val="004A7AAE"/>
    <w:rsid w:val="004A7D49"/>
    <w:rsid w:val="004A7F21"/>
    <w:rsid w:val="004B08DB"/>
    <w:rsid w:val="004B096A"/>
    <w:rsid w:val="004B0BEB"/>
    <w:rsid w:val="004B1422"/>
    <w:rsid w:val="004B15B2"/>
    <w:rsid w:val="004B24EB"/>
    <w:rsid w:val="004B29AC"/>
    <w:rsid w:val="004B3C8B"/>
    <w:rsid w:val="004B4017"/>
    <w:rsid w:val="004B44A9"/>
    <w:rsid w:val="004B4509"/>
    <w:rsid w:val="004B452A"/>
    <w:rsid w:val="004B46B4"/>
    <w:rsid w:val="004B4871"/>
    <w:rsid w:val="004B4ADF"/>
    <w:rsid w:val="004B4C00"/>
    <w:rsid w:val="004B4E06"/>
    <w:rsid w:val="004B5493"/>
    <w:rsid w:val="004B5914"/>
    <w:rsid w:val="004B5B6F"/>
    <w:rsid w:val="004B65D7"/>
    <w:rsid w:val="004B6C77"/>
    <w:rsid w:val="004B6D0A"/>
    <w:rsid w:val="004B7995"/>
    <w:rsid w:val="004C02B3"/>
    <w:rsid w:val="004C0859"/>
    <w:rsid w:val="004C098E"/>
    <w:rsid w:val="004C0BBE"/>
    <w:rsid w:val="004C0E2F"/>
    <w:rsid w:val="004C222E"/>
    <w:rsid w:val="004C2561"/>
    <w:rsid w:val="004C2806"/>
    <w:rsid w:val="004C2A38"/>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9C8"/>
    <w:rsid w:val="004D1A0A"/>
    <w:rsid w:val="004D2369"/>
    <w:rsid w:val="004D2485"/>
    <w:rsid w:val="004D3A57"/>
    <w:rsid w:val="004D47FF"/>
    <w:rsid w:val="004D4D35"/>
    <w:rsid w:val="004D518F"/>
    <w:rsid w:val="004D54D7"/>
    <w:rsid w:val="004D5BB7"/>
    <w:rsid w:val="004D6053"/>
    <w:rsid w:val="004D6FA4"/>
    <w:rsid w:val="004D7A03"/>
    <w:rsid w:val="004D7C23"/>
    <w:rsid w:val="004E01C6"/>
    <w:rsid w:val="004E0212"/>
    <w:rsid w:val="004E046B"/>
    <w:rsid w:val="004E0ADC"/>
    <w:rsid w:val="004E0FB1"/>
    <w:rsid w:val="004E1043"/>
    <w:rsid w:val="004E1DCA"/>
    <w:rsid w:val="004E21B4"/>
    <w:rsid w:val="004E252B"/>
    <w:rsid w:val="004E2861"/>
    <w:rsid w:val="004E2A85"/>
    <w:rsid w:val="004E3C60"/>
    <w:rsid w:val="004E3F72"/>
    <w:rsid w:val="004E4A78"/>
    <w:rsid w:val="004E551E"/>
    <w:rsid w:val="004E58F6"/>
    <w:rsid w:val="004E5E37"/>
    <w:rsid w:val="004E5E4C"/>
    <w:rsid w:val="004E623E"/>
    <w:rsid w:val="004E6CF9"/>
    <w:rsid w:val="004E6E83"/>
    <w:rsid w:val="004E734E"/>
    <w:rsid w:val="004E7EC0"/>
    <w:rsid w:val="004E7F48"/>
    <w:rsid w:val="004F014E"/>
    <w:rsid w:val="004F023B"/>
    <w:rsid w:val="004F0BC6"/>
    <w:rsid w:val="004F1123"/>
    <w:rsid w:val="004F1715"/>
    <w:rsid w:val="004F17DA"/>
    <w:rsid w:val="004F2FC3"/>
    <w:rsid w:val="004F3BD2"/>
    <w:rsid w:val="004F4372"/>
    <w:rsid w:val="004F43E0"/>
    <w:rsid w:val="004F45EB"/>
    <w:rsid w:val="004F521B"/>
    <w:rsid w:val="004F52BB"/>
    <w:rsid w:val="004F5582"/>
    <w:rsid w:val="004F59B8"/>
    <w:rsid w:val="004F62A7"/>
    <w:rsid w:val="004F62F9"/>
    <w:rsid w:val="004F66B3"/>
    <w:rsid w:val="004F6723"/>
    <w:rsid w:val="004F6F1F"/>
    <w:rsid w:val="004F7352"/>
    <w:rsid w:val="004F7889"/>
    <w:rsid w:val="0050015C"/>
    <w:rsid w:val="00500418"/>
    <w:rsid w:val="00500926"/>
    <w:rsid w:val="00500CCF"/>
    <w:rsid w:val="00500E62"/>
    <w:rsid w:val="005010DE"/>
    <w:rsid w:val="00501164"/>
    <w:rsid w:val="005011FD"/>
    <w:rsid w:val="0050164B"/>
    <w:rsid w:val="00502958"/>
    <w:rsid w:val="00502BD2"/>
    <w:rsid w:val="00502DA4"/>
    <w:rsid w:val="00502E79"/>
    <w:rsid w:val="00503F83"/>
    <w:rsid w:val="0050421C"/>
    <w:rsid w:val="00504A9B"/>
    <w:rsid w:val="00504E9A"/>
    <w:rsid w:val="00504F83"/>
    <w:rsid w:val="005059B9"/>
    <w:rsid w:val="00505D4F"/>
    <w:rsid w:val="00505F64"/>
    <w:rsid w:val="00506DCD"/>
    <w:rsid w:val="00507325"/>
    <w:rsid w:val="00507C56"/>
    <w:rsid w:val="00507F13"/>
    <w:rsid w:val="00510595"/>
    <w:rsid w:val="005109D4"/>
    <w:rsid w:val="00510CF4"/>
    <w:rsid w:val="0051160A"/>
    <w:rsid w:val="005118BA"/>
    <w:rsid w:val="00512D87"/>
    <w:rsid w:val="005130DA"/>
    <w:rsid w:val="00513DDA"/>
    <w:rsid w:val="00513E19"/>
    <w:rsid w:val="005148B4"/>
    <w:rsid w:val="00514B29"/>
    <w:rsid w:val="005152B1"/>
    <w:rsid w:val="005152F0"/>
    <w:rsid w:val="00515856"/>
    <w:rsid w:val="00515A35"/>
    <w:rsid w:val="005163E6"/>
    <w:rsid w:val="005169BB"/>
    <w:rsid w:val="005172EC"/>
    <w:rsid w:val="0051740D"/>
    <w:rsid w:val="005178C2"/>
    <w:rsid w:val="005178CE"/>
    <w:rsid w:val="00521CAB"/>
    <w:rsid w:val="005224EF"/>
    <w:rsid w:val="00522654"/>
    <w:rsid w:val="00522835"/>
    <w:rsid w:val="0052293D"/>
    <w:rsid w:val="005229E2"/>
    <w:rsid w:val="00522AF4"/>
    <w:rsid w:val="00523499"/>
    <w:rsid w:val="00523BC7"/>
    <w:rsid w:val="00523C08"/>
    <w:rsid w:val="00523C10"/>
    <w:rsid w:val="00523E23"/>
    <w:rsid w:val="005245D5"/>
    <w:rsid w:val="00524889"/>
    <w:rsid w:val="0052506A"/>
    <w:rsid w:val="0052575D"/>
    <w:rsid w:val="00525A53"/>
    <w:rsid w:val="00525C71"/>
    <w:rsid w:val="00526569"/>
    <w:rsid w:val="00526726"/>
    <w:rsid w:val="00527256"/>
    <w:rsid w:val="00527AF7"/>
    <w:rsid w:val="00527B57"/>
    <w:rsid w:val="00527C8D"/>
    <w:rsid w:val="00527C9C"/>
    <w:rsid w:val="00530AC4"/>
    <w:rsid w:val="005319D6"/>
    <w:rsid w:val="00531D7C"/>
    <w:rsid w:val="0053309E"/>
    <w:rsid w:val="00533169"/>
    <w:rsid w:val="00533194"/>
    <w:rsid w:val="005332C8"/>
    <w:rsid w:val="0053464E"/>
    <w:rsid w:val="005352C8"/>
    <w:rsid w:val="005354C1"/>
    <w:rsid w:val="005354FC"/>
    <w:rsid w:val="00535F99"/>
    <w:rsid w:val="00536356"/>
    <w:rsid w:val="00536CBB"/>
    <w:rsid w:val="00536DDD"/>
    <w:rsid w:val="00537033"/>
    <w:rsid w:val="00540A37"/>
    <w:rsid w:val="00540B49"/>
    <w:rsid w:val="005418DB"/>
    <w:rsid w:val="005434EA"/>
    <w:rsid w:val="00543A69"/>
    <w:rsid w:val="00545D55"/>
    <w:rsid w:val="005461AB"/>
    <w:rsid w:val="00546C6A"/>
    <w:rsid w:val="00546FBA"/>
    <w:rsid w:val="00547A4E"/>
    <w:rsid w:val="00547F04"/>
    <w:rsid w:val="00550924"/>
    <w:rsid w:val="00550D63"/>
    <w:rsid w:val="00550EF1"/>
    <w:rsid w:val="00551075"/>
    <w:rsid w:val="005513C8"/>
    <w:rsid w:val="005519BC"/>
    <w:rsid w:val="0055352C"/>
    <w:rsid w:val="005538A6"/>
    <w:rsid w:val="00554F94"/>
    <w:rsid w:val="00555161"/>
    <w:rsid w:val="00555DE6"/>
    <w:rsid w:val="00555EB3"/>
    <w:rsid w:val="005567F6"/>
    <w:rsid w:val="00556E29"/>
    <w:rsid w:val="00557474"/>
    <w:rsid w:val="00557DAA"/>
    <w:rsid w:val="00557DAD"/>
    <w:rsid w:val="00560F9D"/>
    <w:rsid w:val="00561138"/>
    <w:rsid w:val="00561699"/>
    <w:rsid w:val="0056194F"/>
    <w:rsid w:val="005619E1"/>
    <w:rsid w:val="0056219F"/>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08ED"/>
    <w:rsid w:val="005712E6"/>
    <w:rsid w:val="00572942"/>
    <w:rsid w:val="00572F2F"/>
    <w:rsid w:val="005730DB"/>
    <w:rsid w:val="00573251"/>
    <w:rsid w:val="005733A8"/>
    <w:rsid w:val="00573B5B"/>
    <w:rsid w:val="00573F55"/>
    <w:rsid w:val="00574CE3"/>
    <w:rsid w:val="0057540E"/>
    <w:rsid w:val="0057575D"/>
    <w:rsid w:val="005757B6"/>
    <w:rsid w:val="0058000F"/>
    <w:rsid w:val="00580557"/>
    <w:rsid w:val="0058074F"/>
    <w:rsid w:val="00580A76"/>
    <w:rsid w:val="00581042"/>
    <w:rsid w:val="00581703"/>
    <w:rsid w:val="00581B15"/>
    <w:rsid w:val="005821DD"/>
    <w:rsid w:val="00583908"/>
    <w:rsid w:val="00584757"/>
    <w:rsid w:val="00584E21"/>
    <w:rsid w:val="0058608B"/>
    <w:rsid w:val="005863C1"/>
    <w:rsid w:val="0058654D"/>
    <w:rsid w:val="00586786"/>
    <w:rsid w:val="00587123"/>
    <w:rsid w:val="00587729"/>
    <w:rsid w:val="00587886"/>
    <w:rsid w:val="00587A66"/>
    <w:rsid w:val="00590147"/>
    <w:rsid w:val="00590BD1"/>
    <w:rsid w:val="00590D26"/>
    <w:rsid w:val="00590E50"/>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52B"/>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40"/>
    <w:rsid w:val="005A07E7"/>
    <w:rsid w:val="005A0A57"/>
    <w:rsid w:val="005A0B9F"/>
    <w:rsid w:val="005A0DBB"/>
    <w:rsid w:val="005A0EBD"/>
    <w:rsid w:val="005A1270"/>
    <w:rsid w:val="005A1295"/>
    <w:rsid w:val="005A1AF9"/>
    <w:rsid w:val="005A1FBF"/>
    <w:rsid w:val="005A29B1"/>
    <w:rsid w:val="005A2D98"/>
    <w:rsid w:val="005A2EBF"/>
    <w:rsid w:val="005A380B"/>
    <w:rsid w:val="005A4890"/>
    <w:rsid w:val="005A49D4"/>
    <w:rsid w:val="005A4D7C"/>
    <w:rsid w:val="005A50EA"/>
    <w:rsid w:val="005A51C9"/>
    <w:rsid w:val="005A5DC0"/>
    <w:rsid w:val="005A6B6D"/>
    <w:rsid w:val="005A6ED5"/>
    <w:rsid w:val="005A6F0E"/>
    <w:rsid w:val="005A6F57"/>
    <w:rsid w:val="005A7235"/>
    <w:rsid w:val="005A795B"/>
    <w:rsid w:val="005A7BAF"/>
    <w:rsid w:val="005B03B1"/>
    <w:rsid w:val="005B0652"/>
    <w:rsid w:val="005B1213"/>
    <w:rsid w:val="005B173C"/>
    <w:rsid w:val="005B1B55"/>
    <w:rsid w:val="005B1DBD"/>
    <w:rsid w:val="005B26B0"/>
    <w:rsid w:val="005B3EBD"/>
    <w:rsid w:val="005B48E8"/>
    <w:rsid w:val="005B56D9"/>
    <w:rsid w:val="005B5BA3"/>
    <w:rsid w:val="005B5E62"/>
    <w:rsid w:val="005B7E97"/>
    <w:rsid w:val="005B7F46"/>
    <w:rsid w:val="005C09A7"/>
    <w:rsid w:val="005C102D"/>
    <w:rsid w:val="005C1274"/>
    <w:rsid w:val="005C132C"/>
    <w:rsid w:val="005C17FB"/>
    <w:rsid w:val="005C1833"/>
    <w:rsid w:val="005C1838"/>
    <w:rsid w:val="005C18C2"/>
    <w:rsid w:val="005C1A4F"/>
    <w:rsid w:val="005C1C53"/>
    <w:rsid w:val="005C2063"/>
    <w:rsid w:val="005C244F"/>
    <w:rsid w:val="005C2767"/>
    <w:rsid w:val="005C2922"/>
    <w:rsid w:val="005C2F60"/>
    <w:rsid w:val="005C2FB7"/>
    <w:rsid w:val="005C323D"/>
    <w:rsid w:val="005C3772"/>
    <w:rsid w:val="005C39C3"/>
    <w:rsid w:val="005C40CE"/>
    <w:rsid w:val="005C4229"/>
    <w:rsid w:val="005C4580"/>
    <w:rsid w:val="005C5065"/>
    <w:rsid w:val="005C52F3"/>
    <w:rsid w:val="005C564C"/>
    <w:rsid w:val="005C5A98"/>
    <w:rsid w:val="005C5E96"/>
    <w:rsid w:val="005C6234"/>
    <w:rsid w:val="005C6605"/>
    <w:rsid w:val="005C71A0"/>
    <w:rsid w:val="005C7802"/>
    <w:rsid w:val="005C7B50"/>
    <w:rsid w:val="005D029E"/>
    <w:rsid w:val="005D0427"/>
    <w:rsid w:val="005D0776"/>
    <w:rsid w:val="005D07AE"/>
    <w:rsid w:val="005D0B9E"/>
    <w:rsid w:val="005D0C83"/>
    <w:rsid w:val="005D113B"/>
    <w:rsid w:val="005D1732"/>
    <w:rsid w:val="005D1DB3"/>
    <w:rsid w:val="005D2D9A"/>
    <w:rsid w:val="005D2EEA"/>
    <w:rsid w:val="005D3A6E"/>
    <w:rsid w:val="005D3B21"/>
    <w:rsid w:val="005D4019"/>
    <w:rsid w:val="005D41DC"/>
    <w:rsid w:val="005D460F"/>
    <w:rsid w:val="005D477B"/>
    <w:rsid w:val="005D4DC5"/>
    <w:rsid w:val="005D5C22"/>
    <w:rsid w:val="005D5DE7"/>
    <w:rsid w:val="005D5E6C"/>
    <w:rsid w:val="005D63A9"/>
    <w:rsid w:val="005D65D5"/>
    <w:rsid w:val="005D6C56"/>
    <w:rsid w:val="005D6F49"/>
    <w:rsid w:val="005D7E8A"/>
    <w:rsid w:val="005E056F"/>
    <w:rsid w:val="005E06FA"/>
    <w:rsid w:val="005E11A5"/>
    <w:rsid w:val="005E13D4"/>
    <w:rsid w:val="005E1435"/>
    <w:rsid w:val="005E16E6"/>
    <w:rsid w:val="005E21F3"/>
    <w:rsid w:val="005E235C"/>
    <w:rsid w:val="005E3078"/>
    <w:rsid w:val="005E33BE"/>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E7D36"/>
    <w:rsid w:val="005F0A62"/>
    <w:rsid w:val="005F0FA8"/>
    <w:rsid w:val="005F1C5D"/>
    <w:rsid w:val="005F2317"/>
    <w:rsid w:val="005F2550"/>
    <w:rsid w:val="005F268E"/>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9CA"/>
    <w:rsid w:val="005F7A22"/>
    <w:rsid w:val="005F7B9D"/>
    <w:rsid w:val="00600501"/>
    <w:rsid w:val="00600717"/>
    <w:rsid w:val="00600B0C"/>
    <w:rsid w:val="00600FA1"/>
    <w:rsid w:val="00602DFA"/>
    <w:rsid w:val="006031D1"/>
    <w:rsid w:val="006033BF"/>
    <w:rsid w:val="00603702"/>
    <w:rsid w:val="0060381D"/>
    <w:rsid w:val="00603B4B"/>
    <w:rsid w:val="00603F20"/>
    <w:rsid w:val="00604F37"/>
    <w:rsid w:val="0060508A"/>
    <w:rsid w:val="0060541B"/>
    <w:rsid w:val="006055AF"/>
    <w:rsid w:val="00605942"/>
    <w:rsid w:val="006059CD"/>
    <w:rsid w:val="00605C9F"/>
    <w:rsid w:val="006068E8"/>
    <w:rsid w:val="00606ADB"/>
    <w:rsid w:val="00607096"/>
    <w:rsid w:val="006072DE"/>
    <w:rsid w:val="006075F4"/>
    <w:rsid w:val="006078A8"/>
    <w:rsid w:val="00607BAD"/>
    <w:rsid w:val="00607EC7"/>
    <w:rsid w:val="0061020E"/>
    <w:rsid w:val="0061048A"/>
    <w:rsid w:val="00610AE7"/>
    <w:rsid w:val="00611178"/>
    <w:rsid w:val="00611252"/>
    <w:rsid w:val="0061148D"/>
    <w:rsid w:val="00611D01"/>
    <w:rsid w:val="006122EC"/>
    <w:rsid w:val="006124B3"/>
    <w:rsid w:val="00612611"/>
    <w:rsid w:val="0061279A"/>
    <w:rsid w:val="00613009"/>
    <w:rsid w:val="006132EA"/>
    <w:rsid w:val="00613CA5"/>
    <w:rsid w:val="0061401C"/>
    <w:rsid w:val="0061420B"/>
    <w:rsid w:val="00614A99"/>
    <w:rsid w:val="00614D33"/>
    <w:rsid w:val="0061537D"/>
    <w:rsid w:val="0061537F"/>
    <w:rsid w:val="006156D7"/>
    <w:rsid w:val="00615DEA"/>
    <w:rsid w:val="00616A60"/>
    <w:rsid w:val="00616EE6"/>
    <w:rsid w:val="006171FB"/>
    <w:rsid w:val="00617632"/>
    <w:rsid w:val="00617A2A"/>
    <w:rsid w:val="006207F4"/>
    <w:rsid w:val="00620C67"/>
    <w:rsid w:val="00620FE8"/>
    <w:rsid w:val="00621646"/>
    <w:rsid w:val="00621803"/>
    <w:rsid w:val="00622056"/>
    <w:rsid w:val="006220F1"/>
    <w:rsid w:val="00622765"/>
    <w:rsid w:val="00623E46"/>
    <w:rsid w:val="00624604"/>
    <w:rsid w:val="0062462D"/>
    <w:rsid w:val="00624D2C"/>
    <w:rsid w:val="00624F7F"/>
    <w:rsid w:val="00625145"/>
    <w:rsid w:val="00625701"/>
    <w:rsid w:val="006259AB"/>
    <w:rsid w:val="00626768"/>
    <w:rsid w:val="00627402"/>
    <w:rsid w:val="00630480"/>
    <w:rsid w:val="0063058E"/>
    <w:rsid w:val="006305F8"/>
    <w:rsid w:val="00631904"/>
    <w:rsid w:val="00631DA7"/>
    <w:rsid w:val="00631FAE"/>
    <w:rsid w:val="006327BB"/>
    <w:rsid w:val="00632B9C"/>
    <w:rsid w:val="00632F18"/>
    <w:rsid w:val="006332D7"/>
    <w:rsid w:val="0063333D"/>
    <w:rsid w:val="00634225"/>
    <w:rsid w:val="00634913"/>
    <w:rsid w:val="00634D99"/>
    <w:rsid w:val="00635003"/>
    <w:rsid w:val="006351CE"/>
    <w:rsid w:val="006352FD"/>
    <w:rsid w:val="00635978"/>
    <w:rsid w:val="00635B15"/>
    <w:rsid w:val="00636037"/>
    <w:rsid w:val="00636134"/>
    <w:rsid w:val="006362B4"/>
    <w:rsid w:val="006362E1"/>
    <w:rsid w:val="006367DA"/>
    <w:rsid w:val="00636A53"/>
    <w:rsid w:val="006370E1"/>
    <w:rsid w:val="006375B2"/>
    <w:rsid w:val="006375BB"/>
    <w:rsid w:val="006409EE"/>
    <w:rsid w:val="00640BF7"/>
    <w:rsid w:val="00640FFF"/>
    <w:rsid w:val="00641761"/>
    <w:rsid w:val="006425FC"/>
    <w:rsid w:val="00642631"/>
    <w:rsid w:val="00642C5F"/>
    <w:rsid w:val="00642DF5"/>
    <w:rsid w:val="0064304A"/>
    <w:rsid w:val="0064380B"/>
    <w:rsid w:val="00643A4F"/>
    <w:rsid w:val="00643FF5"/>
    <w:rsid w:val="006441FD"/>
    <w:rsid w:val="00644E5A"/>
    <w:rsid w:val="00644F2C"/>
    <w:rsid w:val="00645099"/>
    <w:rsid w:val="00645141"/>
    <w:rsid w:val="00645AEE"/>
    <w:rsid w:val="00646428"/>
    <w:rsid w:val="00646ED8"/>
    <w:rsid w:val="0064707F"/>
    <w:rsid w:val="006471E8"/>
    <w:rsid w:val="00647E90"/>
    <w:rsid w:val="00647FA3"/>
    <w:rsid w:val="006500F7"/>
    <w:rsid w:val="00650769"/>
    <w:rsid w:val="00650BAC"/>
    <w:rsid w:val="006516B7"/>
    <w:rsid w:val="006518E4"/>
    <w:rsid w:val="00651FB8"/>
    <w:rsid w:val="00652BA0"/>
    <w:rsid w:val="00653045"/>
    <w:rsid w:val="006537A3"/>
    <w:rsid w:val="00653A25"/>
    <w:rsid w:val="00653D93"/>
    <w:rsid w:val="00653FDA"/>
    <w:rsid w:val="006541A0"/>
    <w:rsid w:val="00654E99"/>
    <w:rsid w:val="00655104"/>
    <w:rsid w:val="0065548F"/>
    <w:rsid w:val="00655633"/>
    <w:rsid w:val="006559BB"/>
    <w:rsid w:val="00655D93"/>
    <w:rsid w:val="00655E86"/>
    <w:rsid w:val="00656614"/>
    <w:rsid w:val="00656C4D"/>
    <w:rsid w:val="006570E3"/>
    <w:rsid w:val="006577CD"/>
    <w:rsid w:val="00657CCC"/>
    <w:rsid w:val="00660162"/>
    <w:rsid w:val="0066036D"/>
    <w:rsid w:val="006604FA"/>
    <w:rsid w:val="006606A4"/>
    <w:rsid w:val="0066078C"/>
    <w:rsid w:val="00660879"/>
    <w:rsid w:val="00661639"/>
    <w:rsid w:val="00661655"/>
    <w:rsid w:val="0066174D"/>
    <w:rsid w:val="00661E36"/>
    <w:rsid w:val="0066253C"/>
    <w:rsid w:val="006631D3"/>
    <w:rsid w:val="00663D0F"/>
    <w:rsid w:val="00664525"/>
    <w:rsid w:val="0066465B"/>
    <w:rsid w:val="00664C81"/>
    <w:rsid w:val="0066521A"/>
    <w:rsid w:val="0066540C"/>
    <w:rsid w:val="00665EAE"/>
    <w:rsid w:val="006661EA"/>
    <w:rsid w:val="00666909"/>
    <w:rsid w:val="00666EBC"/>
    <w:rsid w:val="00667189"/>
    <w:rsid w:val="0066749E"/>
    <w:rsid w:val="00667CCB"/>
    <w:rsid w:val="00667EFD"/>
    <w:rsid w:val="00670475"/>
    <w:rsid w:val="00670B8C"/>
    <w:rsid w:val="00670C4A"/>
    <w:rsid w:val="00670CF4"/>
    <w:rsid w:val="006716F7"/>
    <w:rsid w:val="00671F3E"/>
    <w:rsid w:val="00672482"/>
    <w:rsid w:val="00672A18"/>
    <w:rsid w:val="00672E93"/>
    <w:rsid w:val="00673032"/>
    <w:rsid w:val="006735D0"/>
    <w:rsid w:val="006739E9"/>
    <w:rsid w:val="00673C8B"/>
    <w:rsid w:val="00673E61"/>
    <w:rsid w:val="00674D52"/>
    <w:rsid w:val="00674F93"/>
    <w:rsid w:val="0067546F"/>
    <w:rsid w:val="00676CE4"/>
    <w:rsid w:val="00676EC2"/>
    <w:rsid w:val="00676FA5"/>
    <w:rsid w:val="006771A4"/>
    <w:rsid w:val="006771AD"/>
    <w:rsid w:val="006774A8"/>
    <w:rsid w:val="00677572"/>
    <w:rsid w:val="00680469"/>
    <w:rsid w:val="00680A5C"/>
    <w:rsid w:val="00681229"/>
    <w:rsid w:val="0068155C"/>
    <w:rsid w:val="0068185E"/>
    <w:rsid w:val="00681BE5"/>
    <w:rsid w:val="00681E30"/>
    <w:rsid w:val="0068379B"/>
    <w:rsid w:val="00683D98"/>
    <w:rsid w:val="00683D99"/>
    <w:rsid w:val="00683E2B"/>
    <w:rsid w:val="00684079"/>
    <w:rsid w:val="0068629B"/>
    <w:rsid w:val="00686C12"/>
    <w:rsid w:val="00686D75"/>
    <w:rsid w:val="00686E5A"/>
    <w:rsid w:val="0068736A"/>
    <w:rsid w:val="00687D17"/>
    <w:rsid w:val="00687D7B"/>
    <w:rsid w:val="00690024"/>
    <w:rsid w:val="006903A4"/>
    <w:rsid w:val="0069055A"/>
    <w:rsid w:val="00690B46"/>
    <w:rsid w:val="00690CAA"/>
    <w:rsid w:val="00690EFB"/>
    <w:rsid w:val="0069137B"/>
    <w:rsid w:val="006913EC"/>
    <w:rsid w:val="006914B7"/>
    <w:rsid w:val="00691742"/>
    <w:rsid w:val="00691DEE"/>
    <w:rsid w:val="00692242"/>
    <w:rsid w:val="0069236E"/>
    <w:rsid w:val="00692704"/>
    <w:rsid w:val="00692E67"/>
    <w:rsid w:val="00693ACF"/>
    <w:rsid w:val="00693EE5"/>
    <w:rsid w:val="0069435E"/>
    <w:rsid w:val="006944C5"/>
    <w:rsid w:val="00694B8D"/>
    <w:rsid w:val="0069561C"/>
    <w:rsid w:val="00695634"/>
    <w:rsid w:val="0069600D"/>
    <w:rsid w:val="006963AE"/>
    <w:rsid w:val="00697053"/>
    <w:rsid w:val="006976A4"/>
    <w:rsid w:val="006A066A"/>
    <w:rsid w:val="006A06CA"/>
    <w:rsid w:val="006A083E"/>
    <w:rsid w:val="006A0FFD"/>
    <w:rsid w:val="006A1170"/>
    <w:rsid w:val="006A14A3"/>
    <w:rsid w:val="006A1516"/>
    <w:rsid w:val="006A159D"/>
    <w:rsid w:val="006A18BF"/>
    <w:rsid w:val="006A1F58"/>
    <w:rsid w:val="006A242E"/>
    <w:rsid w:val="006A26AB"/>
    <w:rsid w:val="006A298D"/>
    <w:rsid w:val="006A2F80"/>
    <w:rsid w:val="006A3A26"/>
    <w:rsid w:val="006A3F98"/>
    <w:rsid w:val="006A3FD6"/>
    <w:rsid w:val="006A4076"/>
    <w:rsid w:val="006A436F"/>
    <w:rsid w:val="006A4E5B"/>
    <w:rsid w:val="006A59D8"/>
    <w:rsid w:val="006A64D3"/>
    <w:rsid w:val="006A6B7B"/>
    <w:rsid w:val="006A78F8"/>
    <w:rsid w:val="006A7C26"/>
    <w:rsid w:val="006A7E27"/>
    <w:rsid w:val="006B010E"/>
    <w:rsid w:val="006B03A3"/>
    <w:rsid w:val="006B091F"/>
    <w:rsid w:val="006B0CAF"/>
    <w:rsid w:val="006B0ED0"/>
    <w:rsid w:val="006B0EED"/>
    <w:rsid w:val="006B147E"/>
    <w:rsid w:val="006B1DF6"/>
    <w:rsid w:val="006B233F"/>
    <w:rsid w:val="006B275E"/>
    <w:rsid w:val="006B28EA"/>
    <w:rsid w:val="006B2DA3"/>
    <w:rsid w:val="006B2FBB"/>
    <w:rsid w:val="006B378A"/>
    <w:rsid w:val="006B3B23"/>
    <w:rsid w:val="006B3BD5"/>
    <w:rsid w:val="006B4185"/>
    <w:rsid w:val="006B4220"/>
    <w:rsid w:val="006B4224"/>
    <w:rsid w:val="006B4493"/>
    <w:rsid w:val="006B4B62"/>
    <w:rsid w:val="006B53DC"/>
    <w:rsid w:val="006B5423"/>
    <w:rsid w:val="006B5855"/>
    <w:rsid w:val="006B58ED"/>
    <w:rsid w:val="006B5AB2"/>
    <w:rsid w:val="006B5C67"/>
    <w:rsid w:val="006B6B5D"/>
    <w:rsid w:val="006B6C0D"/>
    <w:rsid w:val="006C1818"/>
    <w:rsid w:val="006C1F8B"/>
    <w:rsid w:val="006C2721"/>
    <w:rsid w:val="006C3868"/>
    <w:rsid w:val="006C38FF"/>
    <w:rsid w:val="006C393F"/>
    <w:rsid w:val="006C3E6E"/>
    <w:rsid w:val="006C3EEA"/>
    <w:rsid w:val="006C3F92"/>
    <w:rsid w:val="006C43A6"/>
    <w:rsid w:val="006C4A4A"/>
    <w:rsid w:val="006C53EB"/>
    <w:rsid w:val="006C5D29"/>
    <w:rsid w:val="006C650D"/>
    <w:rsid w:val="006C69A5"/>
    <w:rsid w:val="006C6C44"/>
    <w:rsid w:val="006C7740"/>
    <w:rsid w:val="006C7C3A"/>
    <w:rsid w:val="006D0389"/>
    <w:rsid w:val="006D0848"/>
    <w:rsid w:val="006D097E"/>
    <w:rsid w:val="006D0BA5"/>
    <w:rsid w:val="006D0C15"/>
    <w:rsid w:val="006D0D8B"/>
    <w:rsid w:val="006D0FBF"/>
    <w:rsid w:val="006D10DC"/>
    <w:rsid w:val="006D1182"/>
    <w:rsid w:val="006D1547"/>
    <w:rsid w:val="006D1586"/>
    <w:rsid w:val="006D19C1"/>
    <w:rsid w:val="006D2827"/>
    <w:rsid w:val="006D2848"/>
    <w:rsid w:val="006D2867"/>
    <w:rsid w:val="006D2B19"/>
    <w:rsid w:val="006D2EC9"/>
    <w:rsid w:val="006D3071"/>
    <w:rsid w:val="006D3A05"/>
    <w:rsid w:val="006D3B62"/>
    <w:rsid w:val="006D3FDF"/>
    <w:rsid w:val="006D4527"/>
    <w:rsid w:val="006D4B05"/>
    <w:rsid w:val="006D4F86"/>
    <w:rsid w:val="006D5F98"/>
    <w:rsid w:val="006D6665"/>
    <w:rsid w:val="006D7098"/>
    <w:rsid w:val="006D740E"/>
    <w:rsid w:val="006D7F72"/>
    <w:rsid w:val="006E00B7"/>
    <w:rsid w:val="006E0287"/>
    <w:rsid w:val="006E0B17"/>
    <w:rsid w:val="006E0E5B"/>
    <w:rsid w:val="006E3023"/>
    <w:rsid w:val="006E3369"/>
    <w:rsid w:val="006E3D12"/>
    <w:rsid w:val="006E449C"/>
    <w:rsid w:val="006E4726"/>
    <w:rsid w:val="006E489A"/>
    <w:rsid w:val="006E4E72"/>
    <w:rsid w:val="006E50D0"/>
    <w:rsid w:val="006E663E"/>
    <w:rsid w:val="006E6EDF"/>
    <w:rsid w:val="006E73FC"/>
    <w:rsid w:val="006E7BA5"/>
    <w:rsid w:val="006F01E8"/>
    <w:rsid w:val="006F02D7"/>
    <w:rsid w:val="006F08DF"/>
    <w:rsid w:val="006F0EBB"/>
    <w:rsid w:val="006F14AE"/>
    <w:rsid w:val="006F1E96"/>
    <w:rsid w:val="006F2D24"/>
    <w:rsid w:val="006F37F7"/>
    <w:rsid w:val="006F3909"/>
    <w:rsid w:val="006F3D18"/>
    <w:rsid w:val="006F4036"/>
    <w:rsid w:val="006F428E"/>
    <w:rsid w:val="006F48E1"/>
    <w:rsid w:val="006F5160"/>
    <w:rsid w:val="006F5374"/>
    <w:rsid w:val="006F60DF"/>
    <w:rsid w:val="006F68C1"/>
    <w:rsid w:val="006F6CE2"/>
    <w:rsid w:val="006F6E10"/>
    <w:rsid w:val="007014F8"/>
    <w:rsid w:val="0070150D"/>
    <w:rsid w:val="007016D2"/>
    <w:rsid w:val="007018D8"/>
    <w:rsid w:val="00701DF3"/>
    <w:rsid w:val="007029E8"/>
    <w:rsid w:val="00703107"/>
    <w:rsid w:val="00703138"/>
    <w:rsid w:val="00703277"/>
    <w:rsid w:val="0070356D"/>
    <w:rsid w:val="00703981"/>
    <w:rsid w:val="00703D7E"/>
    <w:rsid w:val="00704178"/>
    <w:rsid w:val="0070495F"/>
    <w:rsid w:val="00704B6E"/>
    <w:rsid w:val="00704F73"/>
    <w:rsid w:val="0070508D"/>
    <w:rsid w:val="007051E9"/>
    <w:rsid w:val="0070542E"/>
    <w:rsid w:val="007058C8"/>
    <w:rsid w:val="007060D4"/>
    <w:rsid w:val="0070624C"/>
    <w:rsid w:val="00706451"/>
    <w:rsid w:val="00707E0F"/>
    <w:rsid w:val="0071068A"/>
    <w:rsid w:val="00710E19"/>
    <w:rsid w:val="00710E52"/>
    <w:rsid w:val="0071154B"/>
    <w:rsid w:val="0071174F"/>
    <w:rsid w:val="0071196A"/>
    <w:rsid w:val="007123FD"/>
    <w:rsid w:val="007123FE"/>
    <w:rsid w:val="007131CF"/>
    <w:rsid w:val="007133C0"/>
    <w:rsid w:val="00713613"/>
    <w:rsid w:val="007137C6"/>
    <w:rsid w:val="007138FC"/>
    <w:rsid w:val="0071393D"/>
    <w:rsid w:val="00713E79"/>
    <w:rsid w:val="00714245"/>
    <w:rsid w:val="00715441"/>
    <w:rsid w:val="00715739"/>
    <w:rsid w:val="0071576C"/>
    <w:rsid w:val="00715C94"/>
    <w:rsid w:val="00716A09"/>
    <w:rsid w:val="00716A6C"/>
    <w:rsid w:val="007170DB"/>
    <w:rsid w:val="00717880"/>
    <w:rsid w:val="00717CA8"/>
    <w:rsid w:val="00717FE4"/>
    <w:rsid w:val="007205E7"/>
    <w:rsid w:val="007209C4"/>
    <w:rsid w:val="00721E9E"/>
    <w:rsid w:val="007227FE"/>
    <w:rsid w:val="00722E8C"/>
    <w:rsid w:val="007233C3"/>
    <w:rsid w:val="00723C95"/>
    <w:rsid w:val="007244E7"/>
    <w:rsid w:val="0072505F"/>
    <w:rsid w:val="00725B00"/>
    <w:rsid w:val="0072628B"/>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5728"/>
    <w:rsid w:val="007363EA"/>
    <w:rsid w:val="00736A02"/>
    <w:rsid w:val="00736E06"/>
    <w:rsid w:val="00736E37"/>
    <w:rsid w:val="00737286"/>
    <w:rsid w:val="007373DB"/>
    <w:rsid w:val="00737F27"/>
    <w:rsid w:val="00737FD3"/>
    <w:rsid w:val="007407DB"/>
    <w:rsid w:val="00740BFC"/>
    <w:rsid w:val="00740F76"/>
    <w:rsid w:val="00741037"/>
    <w:rsid w:val="00741969"/>
    <w:rsid w:val="007422B3"/>
    <w:rsid w:val="007424BF"/>
    <w:rsid w:val="007435F1"/>
    <w:rsid w:val="00743DDD"/>
    <w:rsid w:val="00744625"/>
    <w:rsid w:val="007446BB"/>
    <w:rsid w:val="00745882"/>
    <w:rsid w:val="00745A04"/>
    <w:rsid w:val="00745A0F"/>
    <w:rsid w:val="00745DFD"/>
    <w:rsid w:val="00746197"/>
    <w:rsid w:val="0074689C"/>
    <w:rsid w:val="00746B3F"/>
    <w:rsid w:val="00746E05"/>
    <w:rsid w:val="00747117"/>
    <w:rsid w:val="007479C2"/>
    <w:rsid w:val="00747B0D"/>
    <w:rsid w:val="00751452"/>
    <w:rsid w:val="007521A5"/>
    <w:rsid w:val="0075306D"/>
    <w:rsid w:val="00753959"/>
    <w:rsid w:val="00753A83"/>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69F8"/>
    <w:rsid w:val="00767A28"/>
    <w:rsid w:val="00767DD2"/>
    <w:rsid w:val="0077082B"/>
    <w:rsid w:val="00770E60"/>
    <w:rsid w:val="00771B68"/>
    <w:rsid w:val="00771C8F"/>
    <w:rsid w:val="0077266E"/>
    <w:rsid w:val="0077292E"/>
    <w:rsid w:val="007737D8"/>
    <w:rsid w:val="0077391C"/>
    <w:rsid w:val="00773D24"/>
    <w:rsid w:val="00773E46"/>
    <w:rsid w:val="00774576"/>
    <w:rsid w:val="007745DA"/>
    <w:rsid w:val="0077508A"/>
    <w:rsid w:val="00775567"/>
    <w:rsid w:val="00775E0D"/>
    <w:rsid w:val="00776343"/>
    <w:rsid w:val="00776416"/>
    <w:rsid w:val="00776C7B"/>
    <w:rsid w:val="00776CEF"/>
    <w:rsid w:val="0077714A"/>
    <w:rsid w:val="00777E7E"/>
    <w:rsid w:val="007804DD"/>
    <w:rsid w:val="00780F3B"/>
    <w:rsid w:val="007816EE"/>
    <w:rsid w:val="00782071"/>
    <w:rsid w:val="00782946"/>
    <w:rsid w:val="00782ECD"/>
    <w:rsid w:val="0078363B"/>
    <w:rsid w:val="00783CCF"/>
    <w:rsid w:val="00783F5B"/>
    <w:rsid w:val="00784609"/>
    <w:rsid w:val="00784720"/>
    <w:rsid w:val="0078481D"/>
    <w:rsid w:val="007850FA"/>
    <w:rsid w:val="007859FC"/>
    <w:rsid w:val="00785D88"/>
    <w:rsid w:val="00785F4C"/>
    <w:rsid w:val="0078609C"/>
    <w:rsid w:val="00786355"/>
    <w:rsid w:val="00787370"/>
    <w:rsid w:val="007874AE"/>
    <w:rsid w:val="0078750B"/>
    <w:rsid w:val="00787F5E"/>
    <w:rsid w:val="0079024D"/>
    <w:rsid w:val="00790330"/>
    <w:rsid w:val="007909DA"/>
    <w:rsid w:val="00790B01"/>
    <w:rsid w:val="00790BF3"/>
    <w:rsid w:val="007910A6"/>
    <w:rsid w:val="007911B8"/>
    <w:rsid w:val="00791DAE"/>
    <w:rsid w:val="007930E8"/>
    <w:rsid w:val="00793A57"/>
    <w:rsid w:val="00793A9C"/>
    <w:rsid w:val="00793F28"/>
    <w:rsid w:val="007944D2"/>
    <w:rsid w:val="007945A1"/>
    <w:rsid w:val="007947CC"/>
    <w:rsid w:val="00794B19"/>
    <w:rsid w:val="00795B8D"/>
    <w:rsid w:val="00795F0E"/>
    <w:rsid w:val="0079792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5FD6"/>
    <w:rsid w:val="007A629D"/>
    <w:rsid w:val="007A6610"/>
    <w:rsid w:val="007A6DD3"/>
    <w:rsid w:val="007A6FF3"/>
    <w:rsid w:val="007A71DC"/>
    <w:rsid w:val="007A7A04"/>
    <w:rsid w:val="007B04FF"/>
    <w:rsid w:val="007B0976"/>
    <w:rsid w:val="007B0CAC"/>
    <w:rsid w:val="007B15F3"/>
    <w:rsid w:val="007B1701"/>
    <w:rsid w:val="007B1C32"/>
    <w:rsid w:val="007B1DBB"/>
    <w:rsid w:val="007B2319"/>
    <w:rsid w:val="007B2FBF"/>
    <w:rsid w:val="007B370E"/>
    <w:rsid w:val="007B3E13"/>
    <w:rsid w:val="007B4046"/>
    <w:rsid w:val="007B4300"/>
    <w:rsid w:val="007B488F"/>
    <w:rsid w:val="007B4B9A"/>
    <w:rsid w:val="007B565C"/>
    <w:rsid w:val="007B595F"/>
    <w:rsid w:val="007B5D75"/>
    <w:rsid w:val="007B6D5E"/>
    <w:rsid w:val="007B7115"/>
    <w:rsid w:val="007B726E"/>
    <w:rsid w:val="007B736B"/>
    <w:rsid w:val="007C0853"/>
    <w:rsid w:val="007C0C90"/>
    <w:rsid w:val="007C0E07"/>
    <w:rsid w:val="007C0E86"/>
    <w:rsid w:val="007C1562"/>
    <w:rsid w:val="007C20FF"/>
    <w:rsid w:val="007C249E"/>
    <w:rsid w:val="007C26CF"/>
    <w:rsid w:val="007C271B"/>
    <w:rsid w:val="007C2C14"/>
    <w:rsid w:val="007C388A"/>
    <w:rsid w:val="007C3A55"/>
    <w:rsid w:val="007C4166"/>
    <w:rsid w:val="007C44E1"/>
    <w:rsid w:val="007C4763"/>
    <w:rsid w:val="007C48DD"/>
    <w:rsid w:val="007C4A05"/>
    <w:rsid w:val="007C5173"/>
    <w:rsid w:val="007C5711"/>
    <w:rsid w:val="007C57B9"/>
    <w:rsid w:val="007C6325"/>
    <w:rsid w:val="007C73A3"/>
    <w:rsid w:val="007C7975"/>
    <w:rsid w:val="007C7EF5"/>
    <w:rsid w:val="007D0487"/>
    <w:rsid w:val="007D06AC"/>
    <w:rsid w:val="007D0741"/>
    <w:rsid w:val="007D0A53"/>
    <w:rsid w:val="007D0FFC"/>
    <w:rsid w:val="007D1013"/>
    <w:rsid w:val="007D19EC"/>
    <w:rsid w:val="007D1FE0"/>
    <w:rsid w:val="007D2608"/>
    <w:rsid w:val="007D30C3"/>
    <w:rsid w:val="007D35AC"/>
    <w:rsid w:val="007D36B1"/>
    <w:rsid w:val="007D36D7"/>
    <w:rsid w:val="007D3BA1"/>
    <w:rsid w:val="007D3EC8"/>
    <w:rsid w:val="007D40AC"/>
    <w:rsid w:val="007D4317"/>
    <w:rsid w:val="007D4C12"/>
    <w:rsid w:val="007D4FC0"/>
    <w:rsid w:val="007D57E0"/>
    <w:rsid w:val="007D5962"/>
    <w:rsid w:val="007D63B2"/>
    <w:rsid w:val="007D651D"/>
    <w:rsid w:val="007D6754"/>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231"/>
    <w:rsid w:val="007E5DD7"/>
    <w:rsid w:val="007E7139"/>
    <w:rsid w:val="007E7366"/>
    <w:rsid w:val="007E7DA8"/>
    <w:rsid w:val="007E7EA1"/>
    <w:rsid w:val="007E7EA4"/>
    <w:rsid w:val="007F03CE"/>
    <w:rsid w:val="007F04D3"/>
    <w:rsid w:val="007F111D"/>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6D2"/>
    <w:rsid w:val="00800C97"/>
    <w:rsid w:val="00801306"/>
    <w:rsid w:val="008016F2"/>
    <w:rsid w:val="00802047"/>
    <w:rsid w:val="0080220F"/>
    <w:rsid w:val="00802735"/>
    <w:rsid w:val="008028C2"/>
    <w:rsid w:val="00802DDB"/>
    <w:rsid w:val="0080301F"/>
    <w:rsid w:val="00803503"/>
    <w:rsid w:val="008037D8"/>
    <w:rsid w:val="0080398F"/>
    <w:rsid w:val="00803B7E"/>
    <w:rsid w:val="00803DA6"/>
    <w:rsid w:val="008040D9"/>
    <w:rsid w:val="0080436E"/>
    <w:rsid w:val="00804937"/>
    <w:rsid w:val="00804E1E"/>
    <w:rsid w:val="00804E43"/>
    <w:rsid w:val="008050F5"/>
    <w:rsid w:val="0080519C"/>
    <w:rsid w:val="00810BC2"/>
    <w:rsid w:val="00810EA4"/>
    <w:rsid w:val="00811683"/>
    <w:rsid w:val="00811AFF"/>
    <w:rsid w:val="00812373"/>
    <w:rsid w:val="00812BB5"/>
    <w:rsid w:val="00813F3A"/>
    <w:rsid w:val="008140E8"/>
    <w:rsid w:val="00814795"/>
    <w:rsid w:val="00814941"/>
    <w:rsid w:val="00814A65"/>
    <w:rsid w:val="00814BD9"/>
    <w:rsid w:val="008158AC"/>
    <w:rsid w:val="008160AA"/>
    <w:rsid w:val="00816805"/>
    <w:rsid w:val="00816BE8"/>
    <w:rsid w:val="00816CD5"/>
    <w:rsid w:val="00816DBD"/>
    <w:rsid w:val="00816FE2"/>
    <w:rsid w:val="00817062"/>
    <w:rsid w:val="00817978"/>
    <w:rsid w:val="00817991"/>
    <w:rsid w:val="00817F58"/>
    <w:rsid w:val="008203C5"/>
    <w:rsid w:val="00820B84"/>
    <w:rsid w:val="0082145C"/>
    <w:rsid w:val="0082199B"/>
    <w:rsid w:val="00821C2A"/>
    <w:rsid w:val="008227B7"/>
    <w:rsid w:val="00823B31"/>
    <w:rsid w:val="00824124"/>
    <w:rsid w:val="008243A8"/>
    <w:rsid w:val="00824925"/>
    <w:rsid w:val="00824C8B"/>
    <w:rsid w:val="008252E8"/>
    <w:rsid w:val="00825913"/>
    <w:rsid w:val="00825BA8"/>
    <w:rsid w:val="00825C14"/>
    <w:rsid w:val="0082641D"/>
    <w:rsid w:val="008267CA"/>
    <w:rsid w:val="0082722B"/>
    <w:rsid w:val="00827BEE"/>
    <w:rsid w:val="00827C1B"/>
    <w:rsid w:val="0083016B"/>
    <w:rsid w:val="008301F1"/>
    <w:rsid w:val="00830A84"/>
    <w:rsid w:val="00830C0E"/>
    <w:rsid w:val="008313E0"/>
    <w:rsid w:val="008317EC"/>
    <w:rsid w:val="0083195D"/>
    <w:rsid w:val="00831B7B"/>
    <w:rsid w:val="00831D90"/>
    <w:rsid w:val="008324F3"/>
    <w:rsid w:val="00832691"/>
    <w:rsid w:val="008326D3"/>
    <w:rsid w:val="0083296B"/>
    <w:rsid w:val="00833547"/>
    <w:rsid w:val="00833852"/>
    <w:rsid w:val="008339B3"/>
    <w:rsid w:val="00833AB9"/>
    <w:rsid w:val="00834820"/>
    <w:rsid w:val="00834C82"/>
    <w:rsid w:val="00834DB6"/>
    <w:rsid w:val="00834F93"/>
    <w:rsid w:val="00835518"/>
    <w:rsid w:val="00840C4A"/>
    <w:rsid w:val="008411B9"/>
    <w:rsid w:val="00841228"/>
    <w:rsid w:val="0084122F"/>
    <w:rsid w:val="00841573"/>
    <w:rsid w:val="00841D08"/>
    <w:rsid w:val="00842D43"/>
    <w:rsid w:val="0084323E"/>
    <w:rsid w:val="008439E6"/>
    <w:rsid w:val="00843D50"/>
    <w:rsid w:val="0084464E"/>
    <w:rsid w:val="00844C0A"/>
    <w:rsid w:val="008458BF"/>
    <w:rsid w:val="00845D95"/>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B60"/>
    <w:rsid w:val="00852F9E"/>
    <w:rsid w:val="008533F2"/>
    <w:rsid w:val="00854053"/>
    <w:rsid w:val="008543AC"/>
    <w:rsid w:val="008548B8"/>
    <w:rsid w:val="00854965"/>
    <w:rsid w:val="008554D1"/>
    <w:rsid w:val="008558E0"/>
    <w:rsid w:val="00855B64"/>
    <w:rsid w:val="00857AF7"/>
    <w:rsid w:val="00860109"/>
    <w:rsid w:val="008601BD"/>
    <w:rsid w:val="00860359"/>
    <w:rsid w:val="00860E43"/>
    <w:rsid w:val="00861252"/>
    <w:rsid w:val="0086171A"/>
    <w:rsid w:val="0086226C"/>
    <w:rsid w:val="00863C07"/>
    <w:rsid w:val="008644A4"/>
    <w:rsid w:val="00864779"/>
    <w:rsid w:val="00864A6C"/>
    <w:rsid w:val="00864BB1"/>
    <w:rsid w:val="00864DF7"/>
    <w:rsid w:val="00865278"/>
    <w:rsid w:val="008654F9"/>
    <w:rsid w:val="008658C0"/>
    <w:rsid w:val="00866388"/>
    <w:rsid w:val="00866FE3"/>
    <w:rsid w:val="0086722D"/>
    <w:rsid w:val="00867936"/>
    <w:rsid w:val="00867D56"/>
    <w:rsid w:val="00870646"/>
    <w:rsid w:val="00870BAA"/>
    <w:rsid w:val="00870D91"/>
    <w:rsid w:val="008716D1"/>
    <w:rsid w:val="008716ED"/>
    <w:rsid w:val="008718AD"/>
    <w:rsid w:val="0087193F"/>
    <w:rsid w:val="008724E6"/>
    <w:rsid w:val="008728C8"/>
    <w:rsid w:val="00872E1E"/>
    <w:rsid w:val="00873205"/>
    <w:rsid w:val="008735E8"/>
    <w:rsid w:val="008736AF"/>
    <w:rsid w:val="0087377E"/>
    <w:rsid w:val="008744AF"/>
    <w:rsid w:val="00874594"/>
    <w:rsid w:val="00874776"/>
    <w:rsid w:val="0087487C"/>
    <w:rsid w:val="00874A07"/>
    <w:rsid w:val="00874B75"/>
    <w:rsid w:val="00875007"/>
    <w:rsid w:val="008750DB"/>
    <w:rsid w:val="008751B4"/>
    <w:rsid w:val="0087527F"/>
    <w:rsid w:val="008754B5"/>
    <w:rsid w:val="0087572D"/>
    <w:rsid w:val="00875AF3"/>
    <w:rsid w:val="008765E9"/>
    <w:rsid w:val="00876605"/>
    <w:rsid w:val="00876B13"/>
    <w:rsid w:val="0087780A"/>
    <w:rsid w:val="00877C22"/>
    <w:rsid w:val="00880017"/>
    <w:rsid w:val="00880305"/>
    <w:rsid w:val="00880324"/>
    <w:rsid w:val="0088088A"/>
    <w:rsid w:val="00880A3F"/>
    <w:rsid w:val="00880EE2"/>
    <w:rsid w:val="0088115F"/>
    <w:rsid w:val="00881732"/>
    <w:rsid w:val="008818A2"/>
    <w:rsid w:val="008818B2"/>
    <w:rsid w:val="00881FF9"/>
    <w:rsid w:val="0088213D"/>
    <w:rsid w:val="008821C6"/>
    <w:rsid w:val="0088243D"/>
    <w:rsid w:val="0088251A"/>
    <w:rsid w:val="00882D28"/>
    <w:rsid w:val="00883A67"/>
    <w:rsid w:val="008848E9"/>
    <w:rsid w:val="00884FD8"/>
    <w:rsid w:val="00885244"/>
    <w:rsid w:val="008857C7"/>
    <w:rsid w:val="008858B3"/>
    <w:rsid w:val="00885BF6"/>
    <w:rsid w:val="00886183"/>
    <w:rsid w:val="008866CF"/>
    <w:rsid w:val="00886782"/>
    <w:rsid w:val="008869A1"/>
    <w:rsid w:val="00886B3F"/>
    <w:rsid w:val="008872D8"/>
    <w:rsid w:val="0089015D"/>
    <w:rsid w:val="0089021A"/>
    <w:rsid w:val="0089022E"/>
    <w:rsid w:val="00890264"/>
    <w:rsid w:val="00890475"/>
    <w:rsid w:val="00890A7C"/>
    <w:rsid w:val="00890D11"/>
    <w:rsid w:val="008910EE"/>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0FCF"/>
    <w:rsid w:val="008A1163"/>
    <w:rsid w:val="008A1AAC"/>
    <w:rsid w:val="008A20CA"/>
    <w:rsid w:val="008A239B"/>
    <w:rsid w:val="008A2956"/>
    <w:rsid w:val="008A2EA1"/>
    <w:rsid w:val="008A2EF6"/>
    <w:rsid w:val="008A3480"/>
    <w:rsid w:val="008A362B"/>
    <w:rsid w:val="008A384E"/>
    <w:rsid w:val="008A45EA"/>
    <w:rsid w:val="008A4F3C"/>
    <w:rsid w:val="008A51AD"/>
    <w:rsid w:val="008A53BA"/>
    <w:rsid w:val="008A54A2"/>
    <w:rsid w:val="008A551D"/>
    <w:rsid w:val="008A56BA"/>
    <w:rsid w:val="008A570A"/>
    <w:rsid w:val="008A58E4"/>
    <w:rsid w:val="008A58E7"/>
    <w:rsid w:val="008A5C1D"/>
    <w:rsid w:val="008A615A"/>
    <w:rsid w:val="008A61C0"/>
    <w:rsid w:val="008A650C"/>
    <w:rsid w:val="008A6A36"/>
    <w:rsid w:val="008A6CB9"/>
    <w:rsid w:val="008A6DC1"/>
    <w:rsid w:val="008A7100"/>
    <w:rsid w:val="008A7139"/>
    <w:rsid w:val="008A776D"/>
    <w:rsid w:val="008A7C74"/>
    <w:rsid w:val="008A7C80"/>
    <w:rsid w:val="008B04C0"/>
    <w:rsid w:val="008B09E1"/>
    <w:rsid w:val="008B0A83"/>
    <w:rsid w:val="008B0C0C"/>
    <w:rsid w:val="008B0E93"/>
    <w:rsid w:val="008B17DA"/>
    <w:rsid w:val="008B198D"/>
    <w:rsid w:val="008B23A8"/>
    <w:rsid w:val="008B264A"/>
    <w:rsid w:val="008B29A4"/>
    <w:rsid w:val="008B2BB4"/>
    <w:rsid w:val="008B2C30"/>
    <w:rsid w:val="008B3C2B"/>
    <w:rsid w:val="008B4679"/>
    <w:rsid w:val="008B4D00"/>
    <w:rsid w:val="008B4D13"/>
    <w:rsid w:val="008B4E78"/>
    <w:rsid w:val="008B4FE2"/>
    <w:rsid w:val="008B6033"/>
    <w:rsid w:val="008B61A1"/>
    <w:rsid w:val="008B66DC"/>
    <w:rsid w:val="008B66EE"/>
    <w:rsid w:val="008B6793"/>
    <w:rsid w:val="008B6E87"/>
    <w:rsid w:val="008B71FA"/>
    <w:rsid w:val="008B75C2"/>
    <w:rsid w:val="008B787A"/>
    <w:rsid w:val="008C0706"/>
    <w:rsid w:val="008C0A89"/>
    <w:rsid w:val="008C0E71"/>
    <w:rsid w:val="008C1852"/>
    <w:rsid w:val="008C2157"/>
    <w:rsid w:val="008C2B92"/>
    <w:rsid w:val="008C2CFF"/>
    <w:rsid w:val="008C2E1E"/>
    <w:rsid w:val="008C2E1F"/>
    <w:rsid w:val="008C2E22"/>
    <w:rsid w:val="008C2ED2"/>
    <w:rsid w:val="008C3558"/>
    <w:rsid w:val="008C3D4D"/>
    <w:rsid w:val="008C4026"/>
    <w:rsid w:val="008C417E"/>
    <w:rsid w:val="008C5B51"/>
    <w:rsid w:val="008C5F0A"/>
    <w:rsid w:val="008C6105"/>
    <w:rsid w:val="008C6124"/>
    <w:rsid w:val="008C6334"/>
    <w:rsid w:val="008C6347"/>
    <w:rsid w:val="008C66BD"/>
    <w:rsid w:val="008C6968"/>
    <w:rsid w:val="008C6C61"/>
    <w:rsid w:val="008C7323"/>
    <w:rsid w:val="008C742A"/>
    <w:rsid w:val="008C74C7"/>
    <w:rsid w:val="008C7714"/>
    <w:rsid w:val="008C7F4F"/>
    <w:rsid w:val="008D00F3"/>
    <w:rsid w:val="008D0666"/>
    <w:rsid w:val="008D0F27"/>
    <w:rsid w:val="008D0FDC"/>
    <w:rsid w:val="008D11F0"/>
    <w:rsid w:val="008D15A2"/>
    <w:rsid w:val="008D18CD"/>
    <w:rsid w:val="008D1F86"/>
    <w:rsid w:val="008D20E0"/>
    <w:rsid w:val="008D2491"/>
    <w:rsid w:val="008D2B6E"/>
    <w:rsid w:val="008D335C"/>
    <w:rsid w:val="008D35B7"/>
    <w:rsid w:val="008D4007"/>
    <w:rsid w:val="008D436A"/>
    <w:rsid w:val="008D4883"/>
    <w:rsid w:val="008D4C72"/>
    <w:rsid w:val="008D519C"/>
    <w:rsid w:val="008D5368"/>
    <w:rsid w:val="008D561B"/>
    <w:rsid w:val="008D582B"/>
    <w:rsid w:val="008D5CF9"/>
    <w:rsid w:val="008D5D0A"/>
    <w:rsid w:val="008D6794"/>
    <w:rsid w:val="008D7BFC"/>
    <w:rsid w:val="008D7F65"/>
    <w:rsid w:val="008E0178"/>
    <w:rsid w:val="008E02F8"/>
    <w:rsid w:val="008E12AF"/>
    <w:rsid w:val="008E12EE"/>
    <w:rsid w:val="008E1DC9"/>
    <w:rsid w:val="008E211C"/>
    <w:rsid w:val="008E22E6"/>
    <w:rsid w:val="008E258E"/>
    <w:rsid w:val="008E2BB3"/>
    <w:rsid w:val="008E2BC5"/>
    <w:rsid w:val="008E2C79"/>
    <w:rsid w:val="008E3176"/>
    <w:rsid w:val="008E3564"/>
    <w:rsid w:val="008E3A0B"/>
    <w:rsid w:val="008E3A90"/>
    <w:rsid w:val="008E3AAB"/>
    <w:rsid w:val="008E4043"/>
    <w:rsid w:val="008E4520"/>
    <w:rsid w:val="008E546C"/>
    <w:rsid w:val="008E54E8"/>
    <w:rsid w:val="008E5740"/>
    <w:rsid w:val="008E5868"/>
    <w:rsid w:val="008E5DC8"/>
    <w:rsid w:val="008E6465"/>
    <w:rsid w:val="008E6C57"/>
    <w:rsid w:val="008E705B"/>
    <w:rsid w:val="008E7082"/>
    <w:rsid w:val="008E72AF"/>
    <w:rsid w:val="008F0952"/>
    <w:rsid w:val="008F0D30"/>
    <w:rsid w:val="008F0F4C"/>
    <w:rsid w:val="008F0F98"/>
    <w:rsid w:val="008F1154"/>
    <w:rsid w:val="008F1B84"/>
    <w:rsid w:val="008F1B9D"/>
    <w:rsid w:val="008F1DB6"/>
    <w:rsid w:val="008F39C0"/>
    <w:rsid w:val="008F57CD"/>
    <w:rsid w:val="008F5960"/>
    <w:rsid w:val="008F5C87"/>
    <w:rsid w:val="008F5CD0"/>
    <w:rsid w:val="008F6155"/>
    <w:rsid w:val="008F629A"/>
    <w:rsid w:val="008F6A9B"/>
    <w:rsid w:val="008F6F03"/>
    <w:rsid w:val="008F7070"/>
    <w:rsid w:val="008F7603"/>
    <w:rsid w:val="008F769D"/>
    <w:rsid w:val="008F76DC"/>
    <w:rsid w:val="008F7D2F"/>
    <w:rsid w:val="009013C5"/>
    <w:rsid w:val="0090147B"/>
    <w:rsid w:val="00901649"/>
    <w:rsid w:val="009019BB"/>
    <w:rsid w:val="00901CBA"/>
    <w:rsid w:val="00901DC6"/>
    <w:rsid w:val="009021D4"/>
    <w:rsid w:val="009021DC"/>
    <w:rsid w:val="00902867"/>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566"/>
    <w:rsid w:val="009108D2"/>
    <w:rsid w:val="00910C20"/>
    <w:rsid w:val="00910FE1"/>
    <w:rsid w:val="0091106A"/>
    <w:rsid w:val="00911D1C"/>
    <w:rsid w:val="00912F38"/>
    <w:rsid w:val="00913C58"/>
    <w:rsid w:val="009140B4"/>
    <w:rsid w:val="00914174"/>
    <w:rsid w:val="0091428A"/>
    <w:rsid w:val="00914733"/>
    <w:rsid w:val="00914AA5"/>
    <w:rsid w:val="00914ACF"/>
    <w:rsid w:val="00914DFC"/>
    <w:rsid w:val="009157E9"/>
    <w:rsid w:val="009162DD"/>
    <w:rsid w:val="009163E7"/>
    <w:rsid w:val="0091671A"/>
    <w:rsid w:val="009169F6"/>
    <w:rsid w:val="0091719D"/>
    <w:rsid w:val="00917903"/>
    <w:rsid w:val="00917EC6"/>
    <w:rsid w:val="00920189"/>
    <w:rsid w:val="0092073F"/>
    <w:rsid w:val="00920997"/>
    <w:rsid w:val="00920B1E"/>
    <w:rsid w:val="00920DD5"/>
    <w:rsid w:val="00921161"/>
    <w:rsid w:val="009214DB"/>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30632"/>
    <w:rsid w:val="009310BC"/>
    <w:rsid w:val="00931D3F"/>
    <w:rsid w:val="00931EB7"/>
    <w:rsid w:val="009324C4"/>
    <w:rsid w:val="00932671"/>
    <w:rsid w:val="00932A7A"/>
    <w:rsid w:val="009330BF"/>
    <w:rsid w:val="00933817"/>
    <w:rsid w:val="00934510"/>
    <w:rsid w:val="0093476C"/>
    <w:rsid w:val="009354B0"/>
    <w:rsid w:val="00935A1E"/>
    <w:rsid w:val="00935AA3"/>
    <w:rsid w:val="00935B7C"/>
    <w:rsid w:val="00935E3A"/>
    <w:rsid w:val="00936005"/>
    <w:rsid w:val="0093607C"/>
    <w:rsid w:val="00940008"/>
    <w:rsid w:val="00940FFA"/>
    <w:rsid w:val="00941503"/>
    <w:rsid w:val="0094187D"/>
    <w:rsid w:val="009423ED"/>
    <w:rsid w:val="00942C90"/>
    <w:rsid w:val="00942F29"/>
    <w:rsid w:val="00942FB6"/>
    <w:rsid w:val="009434EB"/>
    <w:rsid w:val="009436A2"/>
    <w:rsid w:val="00943EA6"/>
    <w:rsid w:val="009448F2"/>
    <w:rsid w:val="0094524B"/>
    <w:rsid w:val="009456E3"/>
    <w:rsid w:val="00945759"/>
    <w:rsid w:val="009466E9"/>
    <w:rsid w:val="00946CB3"/>
    <w:rsid w:val="00946D20"/>
    <w:rsid w:val="00946E51"/>
    <w:rsid w:val="00946EC7"/>
    <w:rsid w:val="009473F4"/>
    <w:rsid w:val="0094767D"/>
    <w:rsid w:val="00947E10"/>
    <w:rsid w:val="00950231"/>
    <w:rsid w:val="00950794"/>
    <w:rsid w:val="009507AA"/>
    <w:rsid w:val="009509EF"/>
    <w:rsid w:val="009515CA"/>
    <w:rsid w:val="00951691"/>
    <w:rsid w:val="0095195C"/>
    <w:rsid w:val="00951FCE"/>
    <w:rsid w:val="009521CC"/>
    <w:rsid w:val="0095226C"/>
    <w:rsid w:val="00952ADF"/>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17"/>
    <w:rsid w:val="0096023A"/>
    <w:rsid w:val="009607AB"/>
    <w:rsid w:val="009615DB"/>
    <w:rsid w:val="00962683"/>
    <w:rsid w:val="00962E23"/>
    <w:rsid w:val="00962F0C"/>
    <w:rsid w:val="0096487C"/>
    <w:rsid w:val="00964BC2"/>
    <w:rsid w:val="00964D43"/>
    <w:rsid w:val="00964D4A"/>
    <w:rsid w:val="00964EAE"/>
    <w:rsid w:val="00965023"/>
    <w:rsid w:val="009650B7"/>
    <w:rsid w:val="0096514A"/>
    <w:rsid w:val="0096515D"/>
    <w:rsid w:val="009651AA"/>
    <w:rsid w:val="00965841"/>
    <w:rsid w:val="00965F77"/>
    <w:rsid w:val="00966623"/>
    <w:rsid w:val="00967301"/>
    <w:rsid w:val="009678DB"/>
    <w:rsid w:val="0097019D"/>
    <w:rsid w:val="00970728"/>
    <w:rsid w:val="009707C9"/>
    <w:rsid w:val="009710DF"/>
    <w:rsid w:val="00971E0B"/>
    <w:rsid w:val="00972101"/>
    <w:rsid w:val="00972FB5"/>
    <w:rsid w:val="009736FE"/>
    <w:rsid w:val="009737F5"/>
    <w:rsid w:val="00973B96"/>
    <w:rsid w:val="00973E3C"/>
    <w:rsid w:val="00974763"/>
    <w:rsid w:val="00974ACF"/>
    <w:rsid w:val="009757CA"/>
    <w:rsid w:val="0097586D"/>
    <w:rsid w:val="00976E76"/>
    <w:rsid w:val="00977A14"/>
    <w:rsid w:val="00977B14"/>
    <w:rsid w:val="00977E9B"/>
    <w:rsid w:val="009807BF"/>
    <w:rsid w:val="009809CE"/>
    <w:rsid w:val="0098131F"/>
    <w:rsid w:val="00981479"/>
    <w:rsid w:val="00981F74"/>
    <w:rsid w:val="009829B3"/>
    <w:rsid w:val="00982C31"/>
    <w:rsid w:val="00982D45"/>
    <w:rsid w:val="00983165"/>
    <w:rsid w:val="00983343"/>
    <w:rsid w:val="009833C4"/>
    <w:rsid w:val="009834E0"/>
    <w:rsid w:val="009838FF"/>
    <w:rsid w:val="00983EA9"/>
    <w:rsid w:val="00984149"/>
    <w:rsid w:val="00984788"/>
    <w:rsid w:val="00984909"/>
    <w:rsid w:val="00984FF3"/>
    <w:rsid w:val="00984FF9"/>
    <w:rsid w:val="009850C5"/>
    <w:rsid w:val="00985F63"/>
    <w:rsid w:val="00986326"/>
    <w:rsid w:val="00986849"/>
    <w:rsid w:val="00986BB7"/>
    <w:rsid w:val="00986C77"/>
    <w:rsid w:val="00986D4B"/>
    <w:rsid w:val="00986F6D"/>
    <w:rsid w:val="0098727C"/>
    <w:rsid w:val="00987708"/>
    <w:rsid w:val="00987DF0"/>
    <w:rsid w:val="00987E2E"/>
    <w:rsid w:val="0099008B"/>
    <w:rsid w:val="0099177B"/>
    <w:rsid w:val="00991B8C"/>
    <w:rsid w:val="00991C34"/>
    <w:rsid w:val="00991F48"/>
    <w:rsid w:val="0099367E"/>
    <w:rsid w:val="00993FE4"/>
    <w:rsid w:val="0099425E"/>
    <w:rsid w:val="00994CDC"/>
    <w:rsid w:val="00994DFE"/>
    <w:rsid w:val="00995B05"/>
    <w:rsid w:val="009969CD"/>
    <w:rsid w:val="0099770A"/>
    <w:rsid w:val="00997769"/>
    <w:rsid w:val="00997A2E"/>
    <w:rsid w:val="009A048E"/>
    <w:rsid w:val="009A07CF"/>
    <w:rsid w:val="009A119F"/>
    <w:rsid w:val="009A1609"/>
    <w:rsid w:val="009A16A3"/>
    <w:rsid w:val="009A1A7E"/>
    <w:rsid w:val="009A3480"/>
    <w:rsid w:val="009A3DB8"/>
    <w:rsid w:val="009A43B3"/>
    <w:rsid w:val="009A464D"/>
    <w:rsid w:val="009A496F"/>
    <w:rsid w:val="009A4AEC"/>
    <w:rsid w:val="009A4B78"/>
    <w:rsid w:val="009A4D73"/>
    <w:rsid w:val="009A4E41"/>
    <w:rsid w:val="009A5297"/>
    <w:rsid w:val="009A52C5"/>
    <w:rsid w:val="009A5851"/>
    <w:rsid w:val="009A5D40"/>
    <w:rsid w:val="009A5E10"/>
    <w:rsid w:val="009A632E"/>
    <w:rsid w:val="009A6665"/>
    <w:rsid w:val="009A743F"/>
    <w:rsid w:val="009A74F7"/>
    <w:rsid w:val="009B00F2"/>
    <w:rsid w:val="009B06E9"/>
    <w:rsid w:val="009B0FB2"/>
    <w:rsid w:val="009B1113"/>
    <w:rsid w:val="009B139B"/>
    <w:rsid w:val="009B1C34"/>
    <w:rsid w:val="009B1D22"/>
    <w:rsid w:val="009B1E86"/>
    <w:rsid w:val="009B27C4"/>
    <w:rsid w:val="009B2D92"/>
    <w:rsid w:val="009B3181"/>
    <w:rsid w:val="009B31DE"/>
    <w:rsid w:val="009B3250"/>
    <w:rsid w:val="009B3F14"/>
    <w:rsid w:val="009B42D2"/>
    <w:rsid w:val="009B4A06"/>
    <w:rsid w:val="009B5458"/>
    <w:rsid w:val="009B578D"/>
    <w:rsid w:val="009B5C9A"/>
    <w:rsid w:val="009B60EA"/>
    <w:rsid w:val="009B70C8"/>
    <w:rsid w:val="009B737C"/>
    <w:rsid w:val="009B742E"/>
    <w:rsid w:val="009B76BE"/>
    <w:rsid w:val="009C0AC6"/>
    <w:rsid w:val="009C11B2"/>
    <w:rsid w:val="009C1405"/>
    <w:rsid w:val="009C1456"/>
    <w:rsid w:val="009C164F"/>
    <w:rsid w:val="009C1C30"/>
    <w:rsid w:val="009C22DD"/>
    <w:rsid w:val="009C29D5"/>
    <w:rsid w:val="009C30A0"/>
    <w:rsid w:val="009C310E"/>
    <w:rsid w:val="009C359E"/>
    <w:rsid w:val="009C37FE"/>
    <w:rsid w:val="009C4082"/>
    <w:rsid w:val="009C4A38"/>
    <w:rsid w:val="009C4A72"/>
    <w:rsid w:val="009C4AD8"/>
    <w:rsid w:val="009C4D3D"/>
    <w:rsid w:val="009C4E1C"/>
    <w:rsid w:val="009C55E2"/>
    <w:rsid w:val="009C5A4E"/>
    <w:rsid w:val="009C5EE5"/>
    <w:rsid w:val="009C61E3"/>
    <w:rsid w:val="009C6B56"/>
    <w:rsid w:val="009C6C15"/>
    <w:rsid w:val="009C7DB8"/>
    <w:rsid w:val="009C7FF0"/>
    <w:rsid w:val="009D010D"/>
    <w:rsid w:val="009D0244"/>
    <w:rsid w:val="009D089D"/>
    <w:rsid w:val="009D0CE2"/>
    <w:rsid w:val="009D0F71"/>
    <w:rsid w:val="009D111C"/>
    <w:rsid w:val="009D17A0"/>
    <w:rsid w:val="009D1F7A"/>
    <w:rsid w:val="009D204E"/>
    <w:rsid w:val="009D2873"/>
    <w:rsid w:val="009D2942"/>
    <w:rsid w:val="009D3A1A"/>
    <w:rsid w:val="009D426A"/>
    <w:rsid w:val="009D4F30"/>
    <w:rsid w:val="009D5BDB"/>
    <w:rsid w:val="009D6B03"/>
    <w:rsid w:val="009D6B3D"/>
    <w:rsid w:val="009D7422"/>
    <w:rsid w:val="009D76D0"/>
    <w:rsid w:val="009D78E7"/>
    <w:rsid w:val="009E0742"/>
    <w:rsid w:val="009E1291"/>
    <w:rsid w:val="009E12BC"/>
    <w:rsid w:val="009E1F7D"/>
    <w:rsid w:val="009E224D"/>
    <w:rsid w:val="009E26D5"/>
    <w:rsid w:val="009E2A07"/>
    <w:rsid w:val="009E3398"/>
    <w:rsid w:val="009E3577"/>
    <w:rsid w:val="009E3D2B"/>
    <w:rsid w:val="009E3D6F"/>
    <w:rsid w:val="009E3E84"/>
    <w:rsid w:val="009E4097"/>
    <w:rsid w:val="009E4664"/>
    <w:rsid w:val="009E4D8E"/>
    <w:rsid w:val="009E4E90"/>
    <w:rsid w:val="009E4EB7"/>
    <w:rsid w:val="009E57C1"/>
    <w:rsid w:val="009E624A"/>
    <w:rsid w:val="009E6B32"/>
    <w:rsid w:val="009E70F3"/>
    <w:rsid w:val="009E7293"/>
    <w:rsid w:val="009E7DB7"/>
    <w:rsid w:val="009E7E98"/>
    <w:rsid w:val="009F00EE"/>
    <w:rsid w:val="009F0247"/>
    <w:rsid w:val="009F0827"/>
    <w:rsid w:val="009F0BED"/>
    <w:rsid w:val="009F1673"/>
    <w:rsid w:val="009F3255"/>
    <w:rsid w:val="009F34AA"/>
    <w:rsid w:val="009F3DCE"/>
    <w:rsid w:val="009F44FF"/>
    <w:rsid w:val="009F46E8"/>
    <w:rsid w:val="009F472D"/>
    <w:rsid w:val="009F4CF0"/>
    <w:rsid w:val="009F4E88"/>
    <w:rsid w:val="009F4FD5"/>
    <w:rsid w:val="009F50D1"/>
    <w:rsid w:val="009F573B"/>
    <w:rsid w:val="009F5918"/>
    <w:rsid w:val="009F596D"/>
    <w:rsid w:val="009F637C"/>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5CE9"/>
    <w:rsid w:val="00A06286"/>
    <w:rsid w:val="00A06318"/>
    <w:rsid w:val="00A063BC"/>
    <w:rsid w:val="00A068E1"/>
    <w:rsid w:val="00A06A80"/>
    <w:rsid w:val="00A06D8A"/>
    <w:rsid w:val="00A0711F"/>
    <w:rsid w:val="00A07B0B"/>
    <w:rsid w:val="00A1005B"/>
    <w:rsid w:val="00A102A0"/>
    <w:rsid w:val="00A10860"/>
    <w:rsid w:val="00A114FA"/>
    <w:rsid w:val="00A11AF3"/>
    <w:rsid w:val="00A12C09"/>
    <w:rsid w:val="00A13084"/>
    <w:rsid w:val="00A1327F"/>
    <w:rsid w:val="00A13817"/>
    <w:rsid w:val="00A138D3"/>
    <w:rsid w:val="00A13E0F"/>
    <w:rsid w:val="00A1448C"/>
    <w:rsid w:val="00A144B7"/>
    <w:rsid w:val="00A149B4"/>
    <w:rsid w:val="00A150D1"/>
    <w:rsid w:val="00A158AB"/>
    <w:rsid w:val="00A15F4F"/>
    <w:rsid w:val="00A160AB"/>
    <w:rsid w:val="00A16745"/>
    <w:rsid w:val="00A16747"/>
    <w:rsid w:val="00A17E93"/>
    <w:rsid w:val="00A20013"/>
    <w:rsid w:val="00A20582"/>
    <w:rsid w:val="00A20C65"/>
    <w:rsid w:val="00A21293"/>
    <w:rsid w:val="00A21767"/>
    <w:rsid w:val="00A21FD5"/>
    <w:rsid w:val="00A22751"/>
    <w:rsid w:val="00A22940"/>
    <w:rsid w:val="00A23102"/>
    <w:rsid w:val="00A2343F"/>
    <w:rsid w:val="00A23505"/>
    <w:rsid w:val="00A23C4B"/>
    <w:rsid w:val="00A2428B"/>
    <w:rsid w:val="00A24626"/>
    <w:rsid w:val="00A247E5"/>
    <w:rsid w:val="00A248BD"/>
    <w:rsid w:val="00A24D81"/>
    <w:rsid w:val="00A24EA5"/>
    <w:rsid w:val="00A24F88"/>
    <w:rsid w:val="00A25173"/>
    <w:rsid w:val="00A252F0"/>
    <w:rsid w:val="00A259F2"/>
    <w:rsid w:val="00A26463"/>
    <w:rsid w:val="00A2660E"/>
    <w:rsid w:val="00A26916"/>
    <w:rsid w:val="00A26B47"/>
    <w:rsid w:val="00A26FF1"/>
    <w:rsid w:val="00A27806"/>
    <w:rsid w:val="00A27986"/>
    <w:rsid w:val="00A3068C"/>
    <w:rsid w:val="00A3114C"/>
    <w:rsid w:val="00A3127F"/>
    <w:rsid w:val="00A31922"/>
    <w:rsid w:val="00A31BCC"/>
    <w:rsid w:val="00A31C70"/>
    <w:rsid w:val="00A325BB"/>
    <w:rsid w:val="00A3297A"/>
    <w:rsid w:val="00A32A58"/>
    <w:rsid w:val="00A32EEC"/>
    <w:rsid w:val="00A333FC"/>
    <w:rsid w:val="00A336C5"/>
    <w:rsid w:val="00A3510A"/>
    <w:rsid w:val="00A3515F"/>
    <w:rsid w:val="00A35751"/>
    <w:rsid w:val="00A3577F"/>
    <w:rsid w:val="00A35BBC"/>
    <w:rsid w:val="00A35DAB"/>
    <w:rsid w:val="00A36724"/>
    <w:rsid w:val="00A367AF"/>
    <w:rsid w:val="00A36C13"/>
    <w:rsid w:val="00A36DF5"/>
    <w:rsid w:val="00A377C2"/>
    <w:rsid w:val="00A37A31"/>
    <w:rsid w:val="00A37FAB"/>
    <w:rsid w:val="00A40B1F"/>
    <w:rsid w:val="00A40B4D"/>
    <w:rsid w:val="00A411E2"/>
    <w:rsid w:val="00A41355"/>
    <w:rsid w:val="00A41373"/>
    <w:rsid w:val="00A41638"/>
    <w:rsid w:val="00A41B15"/>
    <w:rsid w:val="00A4224E"/>
    <w:rsid w:val="00A4229F"/>
    <w:rsid w:val="00A428A9"/>
    <w:rsid w:val="00A42ACA"/>
    <w:rsid w:val="00A430EB"/>
    <w:rsid w:val="00A43AAB"/>
    <w:rsid w:val="00A43AFE"/>
    <w:rsid w:val="00A447E3"/>
    <w:rsid w:val="00A44AAD"/>
    <w:rsid w:val="00A44D3B"/>
    <w:rsid w:val="00A45280"/>
    <w:rsid w:val="00A458F2"/>
    <w:rsid w:val="00A45BF7"/>
    <w:rsid w:val="00A463B5"/>
    <w:rsid w:val="00A463BA"/>
    <w:rsid w:val="00A463F4"/>
    <w:rsid w:val="00A46675"/>
    <w:rsid w:val="00A471A3"/>
    <w:rsid w:val="00A47597"/>
    <w:rsid w:val="00A47E44"/>
    <w:rsid w:val="00A47F91"/>
    <w:rsid w:val="00A507D7"/>
    <w:rsid w:val="00A50A5C"/>
    <w:rsid w:val="00A50BE2"/>
    <w:rsid w:val="00A50CC6"/>
    <w:rsid w:val="00A50E40"/>
    <w:rsid w:val="00A51462"/>
    <w:rsid w:val="00A51946"/>
    <w:rsid w:val="00A51FF7"/>
    <w:rsid w:val="00A52058"/>
    <w:rsid w:val="00A52079"/>
    <w:rsid w:val="00A52143"/>
    <w:rsid w:val="00A521E9"/>
    <w:rsid w:val="00A5298E"/>
    <w:rsid w:val="00A52B3E"/>
    <w:rsid w:val="00A5313B"/>
    <w:rsid w:val="00A5320E"/>
    <w:rsid w:val="00A53EF9"/>
    <w:rsid w:val="00A53F7B"/>
    <w:rsid w:val="00A54090"/>
    <w:rsid w:val="00A54282"/>
    <w:rsid w:val="00A5449A"/>
    <w:rsid w:val="00A549D3"/>
    <w:rsid w:val="00A54DF0"/>
    <w:rsid w:val="00A55351"/>
    <w:rsid w:val="00A57E98"/>
    <w:rsid w:val="00A60849"/>
    <w:rsid w:val="00A60FF8"/>
    <w:rsid w:val="00A6105B"/>
    <w:rsid w:val="00A61355"/>
    <w:rsid w:val="00A61668"/>
    <w:rsid w:val="00A61DDC"/>
    <w:rsid w:val="00A621D3"/>
    <w:rsid w:val="00A628F8"/>
    <w:rsid w:val="00A62B7A"/>
    <w:rsid w:val="00A632EA"/>
    <w:rsid w:val="00A634BE"/>
    <w:rsid w:val="00A63AD7"/>
    <w:rsid w:val="00A63BFD"/>
    <w:rsid w:val="00A6491F"/>
    <w:rsid w:val="00A64C72"/>
    <w:rsid w:val="00A64D1A"/>
    <w:rsid w:val="00A65320"/>
    <w:rsid w:val="00A65BA5"/>
    <w:rsid w:val="00A66354"/>
    <w:rsid w:val="00A66C02"/>
    <w:rsid w:val="00A66E37"/>
    <w:rsid w:val="00A66ECF"/>
    <w:rsid w:val="00A67E38"/>
    <w:rsid w:val="00A703E4"/>
    <w:rsid w:val="00A70461"/>
    <w:rsid w:val="00A704C9"/>
    <w:rsid w:val="00A70B2B"/>
    <w:rsid w:val="00A70DC6"/>
    <w:rsid w:val="00A71080"/>
    <w:rsid w:val="00A71986"/>
    <w:rsid w:val="00A71E73"/>
    <w:rsid w:val="00A72740"/>
    <w:rsid w:val="00A72F9A"/>
    <w:rsid w:val="00A733B9"/>
    <w:rsid w:val="00A73A64"/>
    <w:rsid w:val="00A742AD"/>
    <w:rsid w:val="00A746D7"/>
    <w:rsid w:val="00A74AB2"/>
    <w:rsid w:val="00A75A27"/>
    <w:rsid w:val="00A75A46"/>
    <w:rsid w:val="00A75B36"/>
    <w:rsid w:val="00A75F7A"/>
    <w:rsid w:val="00A7663A"/>
    <w:rsid w:val="00A7696B"/>
    <w:rsid w:val="00A769D4"/>
    <w:rsid w:val="00A804C7"/>
    <w:rsid w:val="00A80857"/>
    <w:rsid w:val="00A80A39"/>
    <w:rsid w:val="00A80DF0"/>
    <w:rsid w:val="00A80E64"/>
    <w:rsid w:val="00A81A16"/>
    <w:rsid w:val="00A8215F"/>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291"/>
    <w:rsid w:val="00A933AE"/>
    <w:rsid w:val="00A93863"/>
    <w:rsid w:val="00A9415E"/>
    <w:rsid w:val="00A9423F"/>
    <w:rsid w:val="00A94EBD"/>
    <w:rsid w:val="00A9510D"/>
    <w:rsid w:val="00A956AC"/>
    <w:rsid w:val="00A95D2A"/>
    <w:rsid w:val="00A96060"/>
    <w:rsid w:val="00A96214"/>
    <w:rsid w:val="00A9637E"/>
    <w:rsid w:val="00A967E8"/>
    <w:rsid w:val="00A97F4B"/>
    <w:rsid w:val="00AA04C5"/>
    <w:rsid w:val="00AA0728"/>
    <w:rsid w:val="00AA0E42"/>
    <w:rsid w:val="00AA10B1"/>
    <w:rsid w:val="00AA2803"/>
    <w:rsid w:val="00AA2BF2"/>
    <w:rsid w:val="00AA2D68"/>
    <w:rsid w:val="00AA2D6F"/>
    <w:rsid w:val="00AA2E4E"/>
    <w:rsid w:val="00AA3987"/>
    <w:rsid w:val="00AA3B68"/>
    <w:rsid w:val="00AA3E79"/>
    <w:rsid w:val="00AA4FB4"/>
    <w:rsid w:val="00AA5586"/>
    <w:rsid w:val="00AA5C0B"/>
    <w:rsid w:val="00AA5E3B"/>
    <w:rsid w:val="00AA63AD"/>
    <w:rsid w:val="00AA63B8"/>
    <w:rsid w:val="00AA65B4"/>
    <w:rsid w:val="00AA68CD"/>
    <w:rsid w:val="00AA745E"/>
    <w:rsid w:val="00AB04AB"/>
    <w:rsid w:val="00AB0733"/>
    <w:rsid w:val="00AB09D2"/>
    <w:rsid w:val="00AB0B64"/>
    <w:rsid w:val="00AB0C30"/>
    <w:rsid w:val="00AB176B"/>
    <w:rsid w:val="00AB37E6"/>
    <w:rsid w:val="00AB3DBA"/>
    <w:rsid w:val="00AB431C"/>
    <w:rsid w:val="00AB470E"/>
    <w:rsid w:val="00AB5A7E"/>
    <w:rsid w:val="00AB7538"/>
    <w:rsid w:val="00AB77F3"/>
    <w:rsid w:val="00AB7CD3"/>
    <w:rsid w:val="00AC0256"/>
    <w:rsid w:val="00AC0AAD"/>
    <w:rsid w:val="00AC0EEC"/>
    <w:rsid w:val="00AC1231"/>
    <w:rsid w:val="00AC1254"/>
    <w:rsid w:val="00AC1992"/>
    <w:rsid w:val="00AC1E14"/>
    <w:rsid w:val="00AC2CFA"/>
    <w:rsid w:val="00AC3263"/>
    <w:rsid w:val="00AC3E12"/>
    <w:rsid w:val="00AC406E"/>
    <w:rsid w:val="00AC430C"/>
    <w:rsid w:val="00AC4A6B"/>
    <w:rsid w:val="00AC5C19"/>
    <w:rsid w:val="00AC60F0"/>
    <w:rsid w:val="00AC6657"/>
    <w:rsid w:val="00AC6D7A"/>
    <w:rsid w:val="00AC7363"/>
    <w:rsid w:val="00AC7401"/>
    <w:rsid w:val="00AC7901"/>
    <w:rsid w:val="00AC79F3"/>
    <w:rsid w:val="00AC7FDD"/>
    <w:rsid w:val="00AD08A5"/>
    <w:rsid w:val="00AD0949"/>
    <w:rsid w:val="00AD0F1D"/>
    <w:rsid w:val="00AD1179"/>
    <w:rsid w:val="00AD1359"/>
    <w:rsid w:val="00AD19F0"/>
    <w:rsid w:val="00AD1FCE"/>
    <w:rsid w:val="00AD26E1"/>
    <w:rsid w:val="00AD29CC"/>
    <w:rsid w:val="00AD3268"/>
    <w:rsid w:val="00AD3DE2"/>
    <w:rsid w:val="00AD3E46"/>
    <w:rsid w:val="00AD4261"/>
    <w:rsid w:val="00AD46F5"/>
    <w:rsid w:val="00AD51A3"/>
    <w:rsid w:val="00AD598B"/>
    <w:rsid w:val="00AD6013"/>
    <w:rsid w:val="00AD6C9B"/>
    <w:rsid w:val="00AD7154"/>
    <w:rsid w:val="00AD797D"/>
    <w:rsid w:val="00AD7A19"/>
    <w:rsid w:val="00AD7E02"/>
    <w:rsid w:val="00AE0483"/>
    <w:rsid w:val="00AE08DD"/>
    <w:rsid w:val="00AE1269"/>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08C"/>
    <w:rsid w:val="00AF054D"/>
    <w:rsid w:val="00AF0939"/>
    <w:rsid w:val="00AF17E8"/>
    <w:rsid w:val="00AF24E7"/>
    <w:rsid w:val="00AF272B"/>
    <w:rsid w:val="00AF291B"/>
    <w:rsid w:val="00AF2DAA"/>
    <w:rsid w:val="00AF2EBD"/>
    <w:rsid w:val="00AF2FF0"/>
    <w:rsid w:val="00AF33AE"/>
    <w:rsid w:val="00AF37F6"/>
    <w:rsid w:val="00AF44B1"/>
    <w:rsid w:val="00AF4EE0"/>
    <w:rsid w:val="00AF5800"/>
    <w:rsid w:val="00AF63F5"/>
    <w:rsid w:val="00AF6986"/>
    <w:rsid w:val="00AF69FE"/>
    <w:rsid w:val="00AF6D1B"/>
    <w:rsid w:val="00AF73ED"/>
    <w:rsid w:val="00AF7D69"/>
    <w:rsid w:val="00AF7ED2"/>
    <w:rsid w:val="00B004D8"/>
    <w:rsid w:val="00B00830"/>
    <w:rsid w:val="00B00CC5"/>
    <w:rsid w:val="00B016D2"/>
    <w:rsid w:val="00B02091"/>
    <w:rsid w:val="00B02328"/>
    <w:rsid w:val="00B02594"/>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403"/>
    <w:rsid w:val="00B12529"/>
    <w:rsid w:val="00B128C5"/>
    <w:rsid w:val="00B12B11"/>
    <w:rsid w:val="00B12C94"/>
    <w:rsid w:val="00B12D36"/>
    <w:rsid w:val="00B135AB"/>
    <w:rsid w:val="00B137BF"/>
    <w:rsid w:val="00B13A1B"/>
    <w:rsid w:val="00B13A76"/>
    <w:rsid w:val="00B13F4C"/>
    <w:rsid w:val="00B142D9"/>
    <w:rsid w:val="00B14BC4"/>
    <w:rsid w:val="00B14BD8"/>
    <w:rsid w:val="00B14C1C"/>
    <w:rsid w:val="00B14E8C"/>
    <w:rsid w:val="00B1519B"/>
    <w:rsid w:val="00B158A3"/>
    <w:rsid w:val="00B15B25"/>
    <w:rsid w:val="00B15C36"/>
    <w:rsid w:val="00B15EA0"/>
    <w:rsid w:val="00B168B1"/>
    <w:rsid w:val="00B17A4E"/>
    <w:rsid w:val="00B17B30"/>
    <w:rsid w:val="00B17C2F"/>
    <w:rsid w:val="00B20033"/>
    <w:rsid w:val="00B2153E"/>
    <w:rsid w:val="00B21FA7"/>
    <w:rsid w:val="00B22022"/>
    <w:rsid w:val="00B223C9"/>
    <w:rsid w:val="00B225E4"/>
    <w:rsid w:val="00B23F7A"/>
    <w:rsid w:val="00B240B1"/>
    <w:rsid w:val="00B24208"/>
    <w:rsid w:val="00B24728"/>
    <w:rsid w:val="00B248A9"/>
    <w:rsid w:val="00B24D28"/>
    <w:rsid w:val="00B24F1C"/>
    <w:rsid w:val="00B25443"/>
    <w:rsid w:val="00B25D76"/>
    <w:rsid w:val="00B27032"/>
    <w:rsid w:val="00B27441"/>
    <w:rsid w:val="00B30003"/>
    <w:rsid w:val="00B31201"/>
    <w:rsid w:val="00B31B4B"/>
    <w:rsid w:val="00B31E36"/>
    <w:rsid w:val="00B31F31"/>
    <w:rsid w:val="00B3241F"/>
    <w:rsid w:val="00B32E26"/>
    <w:rsid w:val="00B32E32"/>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37DF6"/>
    <w:rsid w:val="00B37EF6"/>
    <w:rsid w:val="00B412FD"/>
    <w:rsid w:val="00B41457"/>
    <w:rsid w:val="00B422BE"/>
    <w:rsid w:val="00B42343"/>
    <w:rsid w:val="00B4241D"/>
    <w:rsid w:val="00B426BB"/>
    <w:rsid w:val="00B42A76"/>
    <w:rsid w:val="00B42EB9"/>
    <w:rsid w:val="00B441FE"/>
    <w:rsid w:val="00B44821"/>
    <w:rsid w:val="00B44AD3"/>
    <w:rsid w:val="00B45152"/>
    <w:rsid w:val="00B45E54"/>
    <w:rsid w:val="00B464E4"/>
    <w:rsid w:val="00B4689A"/>
    <w:rsid w:val="00B46D5F"/>
    <w:rsid w:val="00B46E7B"/>
    <w:rsid w:val="00B47DC5"/>
    <w:rsid w:val="00B505B3"/>
    <w:rsid w:val="00B50882"/>
    <w:rsid w:val="00B50A74"/>
    <w:rsid w:val="00B51AE3"/>
    <w:rsid w:val="00B520A0"/>
    <w:rsid w:val="00B5257E"/>
    <w:rsid w:val="00B525CE"/>
    <w:rsid w:val="00B52CFD"/>
    <w:rsid w:val="00B53353"/>
    <w:rsid w:val="00B545A8"/>
    <w:rsid w:val="00B56527"/>
    <w:rsid w:val="00B576DA"/>
    <w:rsid w:val="00B57710"/>
    <w:rsid w:val="00B601C9"/>
    <w:rsid w:val="00B60856"/>
    <w:rsid w:val="00B60D04"/>
    <w:rsid w:val="00B61EE8"/>
    <w:rsid w:val="00B632A3"/>
    <w:rsid w:val="00B633A3"/>
    <w:rsid w:val="00B63533"/>
    <w:rsid w:val="00B635AF"/>
    <w:rsid w:val="00B63BDB"/>
    <w:rsid w:val="00B64A0E"/>
    <w:rsid w:val="00B64DDF"/>
    <w:rsid w:val="00B6567A"/>
    <w:rsid w:val="00B6601E"/>
    <w:rsid w:val="00B663AA"/>
    <w:rsid w:val="00B66DD5"/>
    <w:rsid w:val="00B67722"/>
    <w:rsid w:val="00B67B97"/>
    <w:rsid w:val="00B67F01"/>
    <w:rsid w:val="00B711AB"/>
    <w:rsid w:val="00B714F0"/>
    <w:rsid w:val="00B7193A"/>
    <w:rsid w:val="00B71A40"/>
    <w:rsid w:val="00B71C8C"/>
    <w:rsid w:val="00B71CB4"/>
    <w:rsid w:val="00B71F65"/>
    <w:rsid w:val="00B71FD7"/>
    <w:rsid w:val="00B725E7"/>
    <w:rsid w:val="00B72C07"/>
    <w:rsid w:val="00B72DF7"/>
    <w:rsid w:val="00B72F42"/>
    <w:rsid w:val="00B732B6"/>
    <w:rsid w:val="00B73E44"/>
    <w:rsid w:val="00B74290"/>
    <w:rsid w:val="00B74510"/>
    <w:rsid w:val="00B74BD4"/>
    <w:rsid w:val="00B74BF7"/>
    <w:rsid w:val="00B74CE1"/>
    <w:rsid w:val="00B751C0"/>
    <w:rsid w:val="00B75B54"/>
    <w:rsid w:val="00B76185"/>
    <w:rsid w:val="00B76714"/>
    <w:rsid w:val="00B76BCD"/>
    <w:rsid w:val="00B779E6"/>
    <w:rsid w:val="00B77D16"/>
    <w:rsid w:val="00B804E2"/>
    <w:rsid w:val="00B80D6C"/>
    <w:rsid w:val="00B811B2"/>
    <w:rsid w:val="00B8276E"/>
    <w:rsid w:val="00B83A62"/>
    <w:rsid w:val="00B83B59"/>
    <w:rsid w:val="00B84252"/>
    <w:rsid w:val="00B8468F"/>
    <w:rsid w:val="00B84FC6"/>
    <w:rsid w:val="00B857F5"/>
    <w:rsid w:val="00B86D6C"/>
    <w:rsid w:val="00B86F47"/>
    <w:rsid w:val="00B874B4"/>
    <w:rsid w:val="00B8787A"/>
    <w:rsid w:val="00B87887"/>
    <w:rsid w:val="00B87E4A"/>
    <w:rsid w:val="00B90123"/>
    <w:rsid w:val="00B90196"/>
    <w:rsid w:val="00B911C1"/>
    <w:rsid w:val="00B922C3"/>
    <w:rsid w:val="00B9272E"/>
    <w:rsid w:val="00B927A7"/>
    <w:rsid w:val="00B92B9E"/>
    <w:rsid w:val="00B92E61"/>
    <w:rsid w:val="00B93311"/>
    <w:rsid w:val="00B93315"/>
    <w:rsid w:val="00B93519"/>
    <w:rsid w:val="00B9372A"/>
    <w:rsid w:val="00B9425C"/>
    <w:rsid w:val="00B94AAF"/>
    <w:rsid w:val="00B953FF"/>
    <w:rsid w:val="00B9622D"/>
    <w:rsid w:val="00B96263"/>
    <w:rsid w:val="00B968A5"/>
    <w:rsid w:val="00B972CD"/>
    <w:rsid w:val="00B973D6"/>
    <w:rsid w:val="00B97999"/>
    <w:rsid w:val="00B97D02"/>
    <w:rsid w:val="00BA01BE"/>
    <w:rsid w:val="00BA0304"/>
    <w:rsid w:val="00BA0557"/>
    <w:rsid w:val="00BA1640"/>
    <w:rsid w:val="00BA1A87"/>
    <w:rsid w:val="00BA3038"/>
    <w:rsid w:val="00BA370A"/>
    <w:rsid w:val="00BA3D61"/>
    <w:rsid w:val="00BA4043"/>
    <w:rsid w:val="00BA4375"/>
    <w:rsid w:val="00BA43CA"/>
    <w:rsid w:val="00BA48BC"/>
    <w:rsid w:val="00BA4A29"/>
    <w:rsid w:val="00BA4BE7"/>
    <w:rsid w:val="00BA50AE"/>
    <w:rsid w:val="00BA5F20"/>
    <w:rsid w:val="00BA68D9"/>
    <w:rsid w:val="00BA7172"/>
    <w:rsid w:val="00BA7B01"/>
    <w:rsid w:val="00BB02D7"/>
    <w:rsid w:val="00BB0D9F"/>
    <w:rsid w:val="00BB0DEE"/>
    <w:rsid w:val="00BB1031"/>
    <w:rsid w:val="00BB19C9"/>
    <w:rsid w:val="00BB1B33"/>
    <w:rsid w:val="00BB2480"/>
    <w:rsid w:val="00BB2C4E"/>
    <w:rsid w:val="00BB2E29"/>
    <w:rsid w:val="00BB2F74"/>
    <w:rsid w:val="00BB3206"/>
    <w:rsid w:val="00BB32C2"/>
    <w:rsid w:val="00BB3B0D"/>
    <w:rsid w:val="00BB4B3E"/>
    <w:rsid w:val="00BB524C"/>
    <w:rsid w:val="00BB5DAB"/>
    <w:rsid w:val="00BB60EB"/>
    <w:rsid w:val="00BB6195"/>
    <w:rsid w:val="00BB61A3"/>
    <w:rsid w:val="00BB707E"/>
    <w:rsid w:val="00BB7568"/>
    <w:rsid w:val="00BC007C"/>
    <w:rsid w:val="00BC0986"/>
    <w:rsid w:val="00BC0AB2"/>
    <w:rsid w:val="00BC1308"/>
    <w:rsid w:val="00BC1BF4"/>
    <w:rsid w:val="00BC2600"/>
    <w:rsid w:val="00BC2F24"/>
    <w:rsid w:val="00BC33BE"/>
    <w:rsid w:val="00BC3745"/>
    <w:rsid w:val="00BC3A47"/>
    <w:rsid w:val="00BC3EEB"/>
    <w:rsid w:val="00BC4780"/>
    <w:rsid w:val="00BC52C8"/>
    <w:rsid w:val="00BC5485"/>
    <w:rsid w:val="00BC549C"/>
    <w:rsid w:val="00BC570E"/>
    <w:rsid w:val="00BC5A6C"/>
    <w:rsid w:val="00BC5AF6"/>
    <w:rsid w:val="00BC5B4B"/>
    <w:rsid w:val="00BC5EDB"/>
    <w:rsid w:val="00BC6914"/>
    <w:rsid w:val="00BC69A2"/>
    <w:rsid w:val="00BC6ED6"/>
    <w:rsid w:val="00BC6F03"/>
    <w:rsid w:val="00BC6FA1"/>
    <w:rsid w:val="00BC7487"/>
    <w:rsid w:val="00BC7C5D"/>
    <w:rsid w:val="00BD0570"/>
    <w:rsid w:val="00BD0853"/>
    <w:rsid w:val="00BD09AC"/>
    <w:rsid w:val="00BD112D"/>
    <w:rsid w:val="00BD214E"/>
    <w:rsid w:val="00BD2236"/>
    <w:rsid w:val="00BD2395"/>
    <w:rsid w:val="00BD25B8"/>
    <w:rsid w:val="00BD2842"/>
    <w:rsid w:val="00BD28CB"/>
    <w:rsid w:val="00BD3120"/>
    <w:rsid w:val="00BD3354"/>
    <w:rsid w:val="00BD384E"/>
    <w:rsid w:val="00BD3E76"/>
    <w:rsid w:val="00BD3EE2"/>
    <w:rsid w:val="00BD3FCF"/>
    <w:rsid w:val="00BD42D2"/>
    <w:rsid w:val="00BD43B4"/>
    <w:rsid w:val="00BD47D7"/>
    <w:rsid w:val="00BD4EFB"/>
    <w:rsid w:val="00BD5076"/>
    <w:rsid w:val="00BD5551"/>
    <w:rsid w:val="00BD6D43"/>
    <w:rsid w:val="00BD6F75"/>
    <w:rsid w:val="00BD7090"/>
    <w:rsid w:val="00BD7490"/>
    <w:rsid w:val="00BD767F"/>
    <w:rsid w:val="00BE09C3"/>
    <w:rsid w:val="00BE0C27"/>
    <w:rsid w:val="00BE15BB"/>
    <w:rsid w:val="00BE198F"/>
    <w:rsid w:val="00BE5078"/>
    <w:rsid w:val="00BE5964"/>
    <w:rsid w:val="00BE660B"/>
    <w:rsid w:val="00BE6AFE"/>
    <w:rsid w:val="00BE6BBE"/>
    <w:rsid w:val="00BE7021"/>
    <w:rsid w:val="00BE7300"/>
    <w:rsid w:val="00BE784F"/>
    <w:rsid w:val="00BF0238"/>
    <w:rsid w:val="00BF0717"/>
    <w:rsid w:val="00BF0727"/>
    <w:rsid w:val="00BF1750"/>
    <w:rsid w:val="00BF178E"/>
    <w:rsid w:val="00BF189F"/>
    <w:rsid w:val="00BF1B44"/>
    <w:rsid w:val="00BF1E83"/>
    <w:rsid w:val="00BF1F01"/>
    <w:rsid w:val="00BF23CC"/>
    <w:rsid w:val="00BF243F"/>
    <w:rsid w:val="00BF2713"/>
    <w:rsid w:val="00BF4C2B"/>
    <w:rsid w:val="00BF507A"/>
    <w:rsid w:val="00BF53F1"/>
    <w:rsid w:val="00BF5717"/>
    <w:rsid w:val="00BF5B9D"/>
    <w:rsid w:val="00BF5FA3"/>
    <w:rsid w:val="00BF62F2"/>
    <w:rsid w:val="00BF63A5"/>
    <w:rsid w:val="00BF72A7"/>
    <w:rsid w:val="00BF7558"/>
    <w:rsid w:val="00C005FA"/>
    <w:rsid w:val="00C0111E"/>
    <w:rsid w:val="00C01F11"/>
    <w:rsid w:val="00C02676"/>
    <w:rsid w:val="00C029AB"/>
    <w:rsid w:val="00C03BD5"/>
    <w:rsid w:val="00C03C8B"/>
    <w:rsid w:val="00C03F3C"/>
    <w:rsid w:val="00C049BE"/>
    <w:rsid w:val="00C04A71"/>
    <w:rsid w:val="00C04DF0"/>
    <w:rsid w:val="00C050EF"/>
    <w:rsid w:val="00C05A4C"/>
    <w:rsid w:val="00C05A67"/>
    <w:rsid w:val="00C0766B"/>
    <w:rsid w:val="00C07E8E"/>
    <w:rsid w:val="00C11113"/>
    <w:rsid w:val="00C111C3"/>
    <w:rsid w:val="00C11687"/>
    <w:rsid w:val="00C1175E"/>
    <w:rsid w:val="00C11E28"/>
    <w:rsid w:val="00C1225B"/>
    <w:rsid w:val="00C122F9"/>
    <w:rsid w:val="00C1253A"/>
    <w:rsid w:val="00C128C9"/>
    <w:rsid w:val="00C12CF3"/>
    <w:rsid w:val="00C12F88"/>
    <w:rsid w:val="00C131A8"/>
    <w:rsid w:val="00C1322D"/>
    <w:rsid w:val="00C135A3"/>
    <w:rsid w:val="00C1477A"/>
    <w:rsid w:val="00C14A62"/>
    <w:rsid w:val="00C14F25"/>
    <w:rsid w:val="00C150DA"/>
    <w:rsid w:val="00C1516F"/>
    <w:rsid w:val="00C154A1"/>
    <w:rsid w:val="00C158EB"/>
    <w:rsid w:val="00C159B1"/>
    <w:rsid w:val="00C15FE5"/>
    <w:rsid w:val="00C161F5"/>
    <w:rsid w:val="00C16C92"/>
    <w:rsid w:val="00C1706B"/>
    <w:rsid w:val="00C17DB7"/>
    <w:rsid w:val="00C17E48"/>
    <w:rsid w:val="00C17F0B"/>
    <w:rsid w:val="00C20136"/>
    <w:rsid w:val="00C201E7"/>
    <w:rsid w:val="00C20AA2"/>
    <w:rsid w:val="00C20B91"/>
    <w:rsid w:val="00C21155"/>
    <w:rsid w:val="00C2146C"/>
    <w:rsid w:val="00C214D7"/>
    <w:rsid w:val="00C21561"/>
    <w:rsid w:val="00C217EE"/>
    <w:rsid w:val="00C22784"/>
    <w:rsid w:val="00C230AB"/>
    <w:rsid w:val="00C23A4C"/>
    <w:rsid w:val="00C23E81"/>
    <w:rsid w:val="00C2419D"/>
    <w:rsid w:val="00C243A4"/>
    <w:rsid w:val="00C24416"/>
    <w:rsid w:val="00C248DB"/>
    <w:rsid w:val="00C25173"/>
    <w:rsid w:val="00C26170"/>
    <w:rsid w:val="00C26B5A"/>
    <w:rsid w:val="00C26D52"/>
    <w:rsid w:val="00C300D1"/>
    <w:rsid w:val="00C303E4"/>
    <w:rsid w:val="00C30775"/>
    <w:rsid w:val="00C30B8D"/>
    <w:rsid w:val="00C3134E"/>
    <w:rsid w:val="00C315D8"/>
    <w:rsid w:val="00C3191B"/>
    <w:rsid w:val="00C31C4A"/>
    <w:rsid w:val="00C31D2D"/>
    <w:rsid w:val="00C32639"/>
    <w:rsid w:val="00C32808"/>
    <w:rsid w:val="00C32AD2"/>
    <w:rsid w:val="00C32B42"/>
    <w:rsid w:val="00C33114"/>
    <w:rsid w:val="00C34193"/>
    <w:rsid w:val="00C347FD"/>
    <w:rsid w:val="00C34DAE"/>
    <w:rsid w:val="00C34E1E"/>
    <w:rsid w:val="00C34E5A"/>
    <w:rsid w:val="00C36219"/>
    <w:rsid w:val="00C363AB"/>
    <w:rsid w:val="00C3698E"/>
    <w:rsid w:val="00C36CCA"/>
    <w:rsid w:val="00C36E1C"/>
    <w:rsid w:val="00C36F42"/>
    <w:rsid w:val="00C3718A"/>
    <w:rsid w:val="00C379C5"/>
    <w:rsid w:val="00C37EEE"/>
    <w:rsid w:val="00C40453"/>
    <w:rsid w:val="00C40E71"/>
    <w:rsid w:val="00C41879"/>
    <w:rsid w:val="00C41A7C"/>
    <w:rsid w:val="00C41D5C"/>
    <w:rsid w:val="00C420A0"/>
    <w:rsid w:val="00C42CEF"/>
    <w:rsid w:val="00C42D55"/>
    <w:rsid w:val="00C43080"/>
    <w:rsid w:val="00C4370E"/>
    <w:rsid w:val="00C43823"/>
    <w:rsid w:val="00C4384B"/>
    <w:rsid w:val="00C4393C"/>
    <w:rsid w:val="00C44068"/>
    <w:rsid w:val="00C442AE"/>
    <w:rsid w:val="00C4501D"/>
    <w:rsid w:val="00C4518B"/>
    <w:rsid w:val="00C45780"/>
    <w:rsid w:val="00C458D6"/>
    <w:rsid w:val="00C4594D"/>
    <w:rsid w:val="00C4655A"/>
    <w:rsid w:val="00C466BF"/>
    <w:rsid w:val="00C46716"/>
    <w:rsid w:val="00C47385"/>
    <w:rsid w:val="00C47555"/>
    <w:rsid w:val="00C476AC"/>
    <w:rsid w:val="00C47E67"/>
    <w:rsid w:val="00C47FD9"/>
    <w:rsid w:val="00C50B6E"/>
    <w:rsid w:val="00C50C1A"/>
    <w:rsid w:val="00C50E1E"/>
    <w:rsid w:val="00C513C6"/>
    <w:rsid w:val="00C51508"/>
    <w:rsid w:val="00C51868"/>
    <w:rsid w:val="00C51D73"/>
    <w:rsid w:val="00C5288F"/>
    <w:rsid w:val="00C52A05"/>
    <w:rsid w:val="00C52E97"/>
    <w:rsid w:val="00C52EAF"/>
    <w:rsid w:val="00C53189"/>
    <w:rsid w:val="00C534E5"/>
    <w:rsid w:val="00C534F4"/>
    <w:rsid w:val="00C53688"/>
    <w:rsid w:val="00C5375B"/>
    <w:rsid w:val="00C5385D"/>
    <w:rsid w:val="00C53B15"/>
    <w:rsid w:val="00C53DA9"/>
    <w:rsid w:val="00C53EF7"/>
    <w:rsid w:val="00C54280"/>
    <w:rsid w:val="00C54929"/>
    <w:rsid w:val="00C54D0B"/>
    <w:rsid w:val="00C551C6"/>
    <w:rsid w:val="00C556B1"/>
    <w:rsid w:val="00C55A05"/>
    <w:rsid w:val="00C55E8C"/>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246"/>
    <w:rsid w:val="00C67B49"/>
    <w:rsid w:val="00C704A2"/>
    <w:rsid w:val="00C70EE6"/>
    <w:rsid w:val="00C711F5"/>
    <w:rsid w:val="00C713A1"/>
    <w:rsid w:val="00C71828"/>
    <w:rsid w:val="00C71857"/>
    <w:rsid w:val="00C72105"/>
    <w:rsid w:val="00C73AC0"/>
    <w:rsid w:val="00C74409"/>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7DF"/>
    <w:rsid w:val="00C82A50"/>
    <w:rsid w:val="00C82C20"/>
    <w:rsid w:val="00C82DBF"/>
    <w:rsid w:val="00C83240"/>
    <w:rsid w:val="00C83381"/>
    <w:rsid w:val="00C83607"/>
    <w:rsid w:val="00C83768"/>
    <w:rsid w:val="00C83B18"/>
    <w:rsid w:val="00C840C3"/>
    <w:rsid w:val="00C841B4"/>
    <w:rsid w:val="00C84266"/>
    <w:rsid w:val="00C849E0"/>
    <w:rsid w:val="00C84B74"/>
    <w:rsid w:val="00C8512A"/>
    <w:rsid w:val="00C85970"/>
    <w:rsid w:val="00C85E9B"/>
    <w:rsid w:val="00C85F74"/>
    <w:rsid w:val="00C874C8"/>
    <w:rsid w:val="00C877E6"/>
    <w:rsid w:val="00C87B25"/>
    <w:rsid w:val="00C90165"/>
    <w:rsid w:val="00C90733"/>
    <w:rsid w:val="00C921C4"/>
    <w:rsid w:val="00C9235F"/>
    <w:rsid w:val="00C9257F"/>
    <w:rsid w:val="00C9319C"/>
    <w:rsid w:val="00C934F6"/>
    <w:rsid w:val="00C93874"/>
    <w:rsid w:val="00C93A4C"/>
    <w:rsid w:val="00C944EB"/>
    <w:rsid w:val="00C94FD2"/>
    <w:rsid w:val="00C95341"/>
    <w:rsid w:val="00C95B76"/>
    <w:rsid w:val="00C96190"/>
    <w:rsid w:val="00C96324"/>
    <w:rsid w:val="00C964C3"/>
    <w:rsid w:val="00C96635"/>
    <w:rsid w:val="00C966B7"/>
    <w:rsid w:val="00C969DB"/>
    <w:rsid w:val="00C97A4A"/>
    <w:rsid w:val="00C97DC9"/>
    <w:rsid w:val="00C97EE3"/>
    <w:rsid w:val="00CA042A"/>
    <w:rsid w:val="00CA0DA1"/>
    <w:rsid w:val="00CA12BA"/>
    <w:rsid w:val="00CA165C"/>
    <w:rsid w:val="00CA1C0D"/>
    <w:rsid w:val="00CA1DAE"/>
    <w:rsid w:val="00CA2267"/>
    <w:rsid w:val="00CA2433"/>
    <w:rsid w:val="00CA34D6"/>
    <w:rsid w:val="00CA38AD"/>
    <w:rsid w:val="00CA3EEE"/>
    <w:rsid w:val="00CA42AF"/>
    <w:rsid w:val="00CA5098"/>
    <w:rsid w:val="00CA5369"/>
    <w:rsid w:val="00CA5503"/>
    <w:rsid w:val="00CA66C3"/>
    <w:rsid w:val="00CA6CAD"/>
    <w:rsid w:val="00CA70A8"/>
    <w:rsid w:val="00CA70D0"/>
    <w:rsid w:val="00CA74A4"/>
    <w:rsid w:val="00CA7683"/>
    <w:rsid w:val="00CA7EA1"/>
    <w:rsid w:val="00CA7EEB"/>
    <w:rsid w:val="00CB002A"/>
    <w:rsid w:val="00CB009B"/>
    <w:rsid w:val="00CB0231"/>
    <w:rsid w:val="00CB0838"/>
    <w:rsid w:val="00CB1282"/>
    <w:rsid w:val="00CB1AFD"/>
    <w:rsid w:val="00CB1EB3"/>
    <w:rsid w:val="00CB2126"/>
    <w:rsid w:val="00CB24AD"/>
    <w:rsid w:val="00CB2C59"/>
    <w:rsid w:val="00CB2D9C"/>
    <w:rsid w:val="00CB34AB"/>
    <w:rsid w:val="00CB3529"/>
    <w:rsid w:val="00CB38A9"/>
    <w:rsid w:val="00CB4728"/>
    <w:rsid w:val="00CB5890"/>
    <w:rsid w:val="00CB59E7"/>
    <w:rsid w:val="00CB5D27"/>
    <w:rsid w:val="00CB5E4A"/>
    <w:rsid w:val="00CB5E7B"/>
    <w:rsid w:val="00CB6FCA"/>
    <w:rsid w:val="00CB7026"/>
    <w:rsid w:val="00CB724D"/>
    <w:rsid w:val="00CB73EA"/>
    <w:rsid w:val="00CB7D4E"/>
    <w:rsid w:val="00CC002B"/>
    <w:rsid w:val="00CC04BF"/>
    <w:rsid w:val="00CC07E5"/>
    <w:rsid w:val="00CC08E6"/>
    <w:rsid w:val="00CC09F0"/>
    <w:rsid w:val="00CC0C11"/>
    <w:rsid w:val="00CC1F52"/>
    <w:rsid w:val="00CC233F"/>
    <w:rsid w:val="00CC27FD"/>
    <w:rsid w:val="00CC31E8"/>
    <w:rsid w:val="00CC321A"/>
    <w:rsid w:val="00CC3AB9"/>
    <w:rsid w:val="00CC3C9E"/>
    <w:rsid w:val="00CC45E0"/>
    <w:rsid w:val="00CC4BBE"/>
    <w:rsid w:val="00CC4BC3"/>
    <w:rsid w:val="00CC50C7"/>
    <w:rsid w:val="00CC55AC"/>
    <w:rsid w:val="00CC5859"/>
    <w:rsid w:val="00CC5DF3"/>
    <w:rsid w:val="00CC6D1C"/>
    <w:rsid w:val="00CC71DD"/>
    <w:rsid w:val="00CC71F3"/>
    <w:rsid w:val="00CC72C0"/>
    <w:rsid w:val="00CC757D"/>
    <w:rsid w:val="00CC7C74"/>
    <w:rsid w:val="00CD00DB"/>
    <w:rsid w:val="00CD0119"/>
    <w:rsid w:val="00CD07FD"/>
    <w:rsid w:val="00CD0866"/>
    <w:rsid w:val="00CD1169"/>
    <w:rsid w:val="00CD16C7"/>
    <w:rsid w:val="00CD1A40"/>
    <w:rsid w:val="00CD1B33"/>
    <w:rsid w:val="00CD25CD"/>
    <w:rsid w:val="00CD25F3"/>
    <w:rsid w:val="00CD27FF"/>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56"/>
    <w:rsid w:val="00CE20E3"/>
    <w:rsid w:val="00CE2141"/>
    <w:rsid w:val="00CE273A"/>
    <w:rsid w:val="00CE321C"/>
    <w:rsid w:val="00CE32E8"/>
    <w:rsid w:val="00CE3700"/>
    <w:rsid w:val="00CE3B69"/>
    <w:rsid w:val="00CE4559"/>
    <w:rsid w:val="00CE5118"/>
    <w:rsid w:val="00CE5487"/>
    <w:rsid w:val="00CE59B5"/>
    <w:rsid w:val="00CE59DB"/>
    <w:rsid w:val="00CE5D3A"/>
    <w:rsid w:val="00CE67D8"/>
    <w:rsid w:val="00CE7381"/>
    <w:rsid w:val="00CE7447"/>
    <w:rsid w:val="00CE74CE"/>
    <w:rsid w:val="00CE7B4B"/>
    <w:rsid w:val="00CF0829"/>
    <w:rsid w:val="00CF0E74"/>
    <w:rsid w:val="00CF1357"/>
    <w:rsid w:val="00CF1833"/>
    <w:rsid w:val="00CF1AEA"/>
    <w:rsid w:val="00CF2091"/>
    <w:rsid w:val="00CF21F6"/>
    <w:rsid w:val="00CF2278"/>
    <w:rsid w:val="00CF2C62"/>
    <w:rsid w:val="00CF2F66"/>
    <w:rsid w:val="00CF317C"/>
    <w:rsid w:val="00CF337B"/>
    <w:rsid w:val="00CF3FE7"/>
    <w:rsid w:val="00CF4416"/>
    <w:rsid w:val="00CF45F2"/>
    <w:rsid w:val="00CF50B8"/>
    <w:rsid w:val="00CF5762"/>
    <w:rsid w:val="00CF5EF9"/>
    <w:rsid w:val="00CF65B4"/>
    <w:rsid w:val="00CF69B0"/>
    <w:rsid w:val="00CF6C05"/>
    <w:rsid w:val="00CF7420"/>
    <w:rsid w:val="00CF7485"/>
    <w:rsid w:val="00CF7B61"/>
    <w:rsid w:val="00CF7E56"/>
    <w:rsid w:val="00D01744"/>
    <w:rsid w:val="00D01C03"/>
    <w:rsid w:val="00D01DE7"/>
    <w:rsid w:val="00D025CE"/>
    <w:rsid w:val="00D02A0F"/>
    <w:rsid w:val="00D02CA6"/>
    <w:rsid w:val="00D02DF3"/>
    <w:rsid w:val="00D03181"/>
    <w:rsid w:val="00D037DC"/>
    <w:rsid w:val="00D0383B"/>
    <w:rsid w:val="00D03A8A"/>
    <w:rsid w:val="00D03AEF"/>
    <w:rsid w:val="00D03DA5"/>
    <w:rsid w:val="00D03F27"/>
    <w:rsid w:val="00D043EE"/>
    <w:rsid w:val="00D0470D"/>
    <w:rsid w:val="00D05249"/>
    <w:rsid w:val="00D055CA"/>
    <w:rsid w:val="00D059FC"/>
    <w:rsid w:val="00D05DEF"/>
    <w:rsid w:val="00D06861"/>
    <w:rsid w:val="00D0688A"/>
    <w:rsid w:val="00D06F22"/>
    <w:rsid w:val="00D075A7"/>
    <w:rsid w:val="00D07A9C"/>
    <w:rsid w:val="00D10076"/>
    <w:rsid w:val="00D1033B"/>
    <w:rsid w:val="00D10477"/>
    <w:rsid w:val="00D107E2"/>
    <w:rsid w:val="00D1095E"/>
    <w:rsid w:val="00D11D76"/>
    <w:rsid w:val="00D121F5"/>
    <w:rsid w:val="00D126E4"/>
    <w:rsid w:val="00D131BF"/>
    <w:rsid w:val="00D13A90"/>
    <w:rsid w:val="00D140E6"/>
    <w:rsid w:val="00D142F6"/>
    <w:rsid w:val="00D158EF"/>
    <w:rsid w:val="00D15C14"/>
    <w:rsid w:val="00D15E74"/>
    <w:rsid w:val="00D15FAA"/>
    <w:rsid w:val="00D16B69"/>
    <w:rsid w:val="00D16ECB"/>
    <w:rsid w:val="00D16EEE"/>
    <w:rsid w:val="00D17167"/>
    <w:rsid w:val="00D17755"/>
    <w:rsid w:val="00D17BA5"/>
    <w:rsid w:val="00D2058D"/>
    <w:rsid w:val="00D2176E"/>
    <w:rsid w:val="00D2182A"/>
    <w:rsid w:val="00D2193D"/>
    <w:rsid w:val="00D22105"/>
    <w:rsid w:val="00D2211C"/>
    <w:rsid w:val="00D22B55"/>
    <w:rsid w:val="00D22E8B"/>
    <w:rsid w:val="00D22F07"/>
    <w:rsid w:val="00D23055"/>
    <w:rsid w:val="00D230AD"/>
    <w:rsid w:val="00D2320E"/>
    <w:rsid w:val="00D23BD4"/>
    <w:rsid w:val="00D251AB"/>
    <w:rsid w:val="00D25239"/>
    <w:rsid w:val="00D25AC6"/>
    <w:rsid w:val="00D261D3"/>
    <w:rsid w:val="00D27B53"/>
    <w:rsid w:val="00D319DF"/>
    <w:rsid w:val="00D31C02"/>
    <w:rsid w:val="00D3225E"/>
    <w:rsid w:val="00D3238E"/>
    <w:rsid w:val="00D324BC"/>
    <w:rsid w:val="00D32625"/>
    <w:rsid w:val="00D33565"/>
    <w:rsid w:val="00D33762"/>
    <w:rsid w:val="00D34BD1"/>
    <w:rsid w:val="00D35177"/>
    <w:rsid w:val="00D356E1"/>
    <w:rsid w:val="00D40609"/>
    <w:rsid w:val="00D40983"/>
    <w:rsid w:val="00D41188"/>
    <w:rsid w:val="00D417D3"/>
    <w:rsid w:val="00D418D5"/>
    <w:rsid w:val="00D41DB1"/>
    <w:rsid w:val="00D4276D"/>
    <w:rsid w:val="00D42798"/>
    <w:rsid w:val="00D42970"/>
    <w:rsid w:val="00D43AED"/>
    <w:rsid w:val="00D44916"/>
    <w:rsid w:val="00D44DD5"/>
    <w:rsid w:val="00D45CA4"/>
    <w:rsid w:val="00D45EA7"/>
    <w:rsid w:val="00D45F22"/>
    <w:rsid w:val="00D47178"/>
    <w:rsid w:val="00D4752E"/>
    <w:rsid w:val="00D47842"/>
    <w:rsid w:val="00D47BEF"/>
    <w:rsid w:val="00D50826"/>
    <w:rsid w:val="00D51675"/>
    <w:rsid w:val="00D51E17"/>
    <w:rsid w:val="00D51F73"/>
    <w:rsid w:val="00D52827"/>
    <w:rsid w:val="00D529BE"/>
    <w:rsid w:val="00D52CF6"/>
    <w:rsid w:val="00D53D3E"/>
    <w:rsid w:val="00D547E0"/>
    <w:rsid w:val="00D54992"/>
    <w:rsid w:val="00D55291"/>
    <w:rsid w:val="00D55C48"/>
    <w:rsid w:val="00D55DE4"/>
    <w:rsid w:val="00D55E47"/>
    <w:rsid w:val="00D56997"/>
    <w:rsid w:val="00D570E6"/>
    <w:rsid w:val="00D5730F"/>
    <w:rsid w:val="00D5774F"/>
    <w:rsid w:val="00D60809"/>
    <w:rsid w:val="00D60D7F"/>
    <w:rsid w:val="00D615CB"/>
    <w:rsid w:val="00D61C9C"/>
    <w:rsid w:val="00D62111"/>
    <w:rsid w:val="00D62229"/>
    <w:rsid w:val="00D625B8"/>
    <w:rsid w:val="00D626F8"/>
    <w:rsid w:val="00D62C3B"/>
    <w:rsid w:val="00D636DC"/>
    <w:rsid w:val="00D63F4C"/>
    <w:rsid w:val="00D64613"/>
    <w:rsid w:val="00D64621"/>
    <w:rsid w:val="00D64702"/>
    <w:rsid w:val="00D66BFD"/>
    <w:rsid w:val="00D66C91"/>
    <w:rsid w:val="00D674EE"/>
    <w:rsid w:val="00D67535"/>
    <w:rsid w:val="00D6782F"/>
    <w:rsid w:val="00D67BC9"/>
    <w:rsid w:val="00D67DBC"/>
    <w:rsid w:val="00D704D9"/>
    <w:rsid w:val="00D70BD2"/>
    <w:rsid w:val="00D713F2"/>
    <w:rsid w:val="00D72705"/>
    <w:rsid w:val="00D729B8"/>
    <w:rsid w:val="00D738BF"/>
    <w:rsid w:val="00D73B93"/>
    <w:rsid w:val="00D73C95"/>
    <w:rsid w:val="00D7427D"/>
    <w:rsid w:val="00D745C1"/>
    <w:rsid w:val="00D756F6"/>
    <w:rsid w:val="00D75731"/>
    <w:rsid w:val="00D75B45"/>
    <w:rsid w:val="00D75B5C"/>
    <w:rsid w:val="00D75F8C"/>
    <w:rsid w:val="00D76050"/>
    <w:rsid w:val="00D76309"/>
    <w:rsid w:val="00D76423"/>
    <w:rsid w:val="00D76710"/>
    <w:rsid w:val="00D767BF"/>
    <w:rsid w:val="00D77278"/>
    <w:rsid w:val="00D775B5"/>
    <w:rsid w:val="00D77961"/>
    <w:rsid w:val="00D77B20"/>
    <w:rsid w:val="00D77B3B"/>
    <w:rsid w:val="00D8007C"/>
    <w:rsid w:val="00D8079F"/>
    <w:rsid w:val="00D8103B"/>
    <w:rsid w:val="00D8110A"/>
    <w:rsid w:val="00D8111B"/>
    <w:rsid w:val="00D81242"/>
    <w:rsid w:val="00D812D2"/>
    <w:rsid w:val="00D82D02"/>
    <w:rsid w:val="00D82D0F"/>
    <w:rsid w:val="00D83A5A"/>
    <w:rsid w:val="00D84157"/>
    <w:rsid w:val="00D84BD7"/>
    <w:rsid w:val="00D84DCA"/>
    <w:rsid w:val="00D85114"/>
    <w:rsid w:val="00D857BC"/>
    <w:rsid w:val="00D85CC6"/>
    <w:rsid w:val="00D86A92"/>
    <w:rsid w:val="00D871B6"/>
    <w:rsid w:val="00D875E1"/>
    <w:rsid w:val="00D87888"/>
    <w:rsid w:val="00D90275"/>
    <w:rsid w:val="00D902F5"/>
    <w:rsid w:val="00D9075D"/>
    <w:rsid w:val="00D90959"/>
    <w:rsid w:val="00D91410"/>
    <w:rsid w:val="00D91438"/>
    <w:rsid w:val="00D91594"/>
    <w:rsid w:val="00D91ABE"/>
    <w:rsid w:val="00D91DFB"/>
    <w:rsid w:val="00D921DA"/>
    <w:rsid w:val="00D92C2F"/>
    <w:rsid w:val="00D92F7F"/>
    <w:rsid w:val="00D9443A"/>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512"/>
    <w:rsid w:val="00DA5572"/>
    <w:rsid w:val="00DA6A15"/>
    <w:rsid w:val="00DA6C80"/>
    <w:rsid w:val="00DA6CC2"/>
    <w:rsid w:val="00DA7029"/>
    <w:rsid w:val="00DA72E7"/>
    <w:rsid w:val="00DA77A0"/>
    <w:rsid w:val="00DB09A2"/>
    <w:rsid w:val="00DB103D"/>
    <w:rsid w:val="00DB1448"/>
    <w:rsid w:val="00DB1998"/>
    <w:rsid w:val="00DB1FC4"/>
    <w:rsid w:val="00DB21F0"/>
    <w:rsid w:val="00DB2C5F"/>
    <w:rsid w:val="00DB3A58"/>
    <w:rsid w:val="00DB3BDF"/>
    <w:rsid w:val="00DB3C58"/>
    <w:rsid w:val="00DB3D46"/>
    <w:rsid w:val="00DB401C"/>
    <w:rsid w:val="00DB4289"/>
    <w:rsid w:val="00DB46C8"/>
    <w:rsid w:val="00DB4F3E"/>
    <w:rsid w:val="00DB540E"/>
    <w:rsid w:val="00DB5969"/>
    <w:rsid w:val="00DB5A63"/>
    <w:rsid w:val="00DB6166"/>
    <w:rsid w:val="00DB656B"/>
    <w:rsid w:val="00DB691E"/>
    <w:rsid w:val="00DB75A3"/>
    <w:rsid w:val="00DC0574"/>
    <w:rsid w:val="00DC0C65"/>
    <w:rsid w:val="00DC1202"/>
    <w:rsid w:val="00DC16BF"/>
    <w:rsid w:val="00DC16E1"/>
    <w:rsid w:val="00DC16FC"/>
    <w:rsid w:val="00DC1881"/>
    <w:rsid w:val="00DC1ED7"/>
    <w:rsid w:val="00DC371B"/>
    <w:rsid w:val="00DC3A6F"/>
    <w:rsid w:val="00DC3D1C"/>
    <w:rsid w:val="00DC43E1"/>
    <w:rsid w:val="00DC5199"/>
    <w:rsid w:val="00DC5A32"/>
    <w:rsid w:val="00DC5E4E"/>
    <w:rsid w:val="00DC651B"/>
    <w:rsid w:val="00DC662F"/>
    <w:rsid w:val="00DC6E78"/>
    <w:rsid w:val="00DC729A"/>
    <w:rsid w:val="00DC73B1"/>
    <w:rsid w:val="00DC7519"/>
    <w:rsid w:val="00DC7630"/>
    <w:rsid w:val="00DC777A"/>
    <w:rsid w:val="00DC77FC"/>
    <w:rsid w:val="00DC7EB5"/>
    <w:rsid w:val="00DD04AC"/>
    <w:rsid w:val="00DD04DD"/>
    <w:rsid w:val="00DD0891"/>
    <w:rsid w:val="00DD0B35"/>
    <w:rsid w:val="00DD0C4D"/>
    <w:rsid w:val="00DD0F9F"/>
    <w:rsid w:val="00DD11A7"/>
    <w:rsid w:val="00DD1298"/>
    <w:rsid w:val="00DD1778"/>
    <w:rsid w:val="00DD2300"/>
    <w:rsid w:val="00DD2309"/>
    <w:rsid w:val="00DD28B3"/>
    <w:rsid w:val="00DD2DE3"/>
    <w:rsid w:val="00DD2DE8"/>
    <w:rsid w:val="00DD316F"/>
    <w:rsid w:val="00DD357C"/>
    <w:rsid w:val="00DD37CA"/>
    <w:rsid w:val="00DD3D55"/>
    <w:rsid w:val="00DD3DF7"/>
    <w:rsid w:val="00DD49B1"/>
    <w:rsid w:val="00DD4AE2"/>
    <w:rsid w:val="00DD4BFA"/>
    <w:rsid w:val="00DD51F8"/>
    <w:rsid w:val="00DD6388"/>
    <w:rsid w:val="00DD65F1"/>
    <w:rsid w:val="00DD6B6D"/>
    <w:rsid w:val="00DD6C53"/>
    <w:rsid w:val="00DD7198"/>
    <w:rsid w:val="00DD7CB6"/>
    <w:rsid w:val="00DE0077"/>
    <w:rsid w:val="00DE0137"/>
    <w:rsid w:val="00DE01BA"/>
    <w:rsid w:val="00DE04A5"/>
    <w:rsid w:val="00DE0DCF"/>
    <w:rsid w:val="00DE137B"/>
    <w:rsid w:val="00DE19D9"/>
    <w:rsid w:val="00DE1DC6"/>
    <w:rsid w:val="00DE1F77"/>
    <w:rsid w:val="00DE21C6"/>
    <w:rsid w:val="00DE22AA"/>
    <w:rsid w:val="00DE288F"/>
    <w:rsid w:val="00DE2D49"/>
    <w:rsid w:val="00DE3536"/>
    <w:rsid w:val="00DE3E66"/>
    <w:rsid w:val="00DE3F75"/>
    <w:rsid w:val="00DE41FC"/>
    <w:rsid w:val="00DE45F5"/>
    <w:rsid w:val="00DE4AAD"/>
    <w:rsid w:val="00DE4C0C"/>
    <w:rsid w:val="00DE4FC8"/>
    <w:rsid w:val="00DE53B5"/>
    <w:rsid w:val="00DE5A50"/>
    <w:rsid w:val="00DE60C5"/>
    <w:rsid w:val="00DE7323"/>
    <w:rsid w:val="00DE75E6"/>
    <w:rsid w:val="00DE75F0"/>
    <w:rsid w:val="00DE77CB"/>
    <w:rsid w:val="00DE7C12"/>
    <w:rsid w:val="00DE7EBA"/>
    <w:rsid w:val="00DF04BD"/>
    <w:rsid w:val="00DF068D"/>
    <w:rsid w:val="00DF0CF7"/>
    <w:rsid w:val="00DF0D3A"/>
    <w:rsid w:val="00DF18FD"/>
    <w:rsid w:val="00DF1A9A"/>
    <w:rsid w:val="00DF1C2D"/>
    <w:rsid w:val="00DF1F8A"/>
    <w:rsid w:val="00DF2302"/>
    <w:rsid w:val="00DF248E"/>
    <w:rsid w:val="00DF2557"/>
    <w:rsid w:val="00DF3577"/>
    <w:rsid w:val="00DF3AA8"/>
    <w:rsid w:val="00DF4063"/>
    <w:rsid w:val="00DF5935"/>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3DC"/>
    <w:rsid w:val="00E13655"/>
    <w:rsid w:val="00E138BF"/>
    <w:rsid w:val="00E14EFA"/>
    <w:rsid w:val="00E151B9"/>
    <w:rsid w:val="00E158C4"/>
    <w:rsid w:val="00E161E6"/>
    <w:rsid w:val="00E164A1"/>
    <w:rsid w:val="00E167C9"/>
    <w:rsid w:val="00E1698C"/>
    <w:rsid w:val="00E16BDB"/>
    <w:rsid w:val="00E172BE"/>
    <w:rsid w:val="00E175F8"/>
    <w:rsid w:val="00E17CF7"/>
    <w:rsid w:val="00E205D6"/>
    <w:rsid w:val="00E216EC"/>
    <w:rsid w:val="00E2189A"/>
    <w:rsid w:val="00E22B5A"/>
    <w:rsid w:val="00E22B68"/>
    <w:rsid w:val="00E231C9"/>
    <w:rsid w:val="00E23252"/>
    <w:rsid w:val="00E23EBF"/>
    <w:rsid w:val="00E23FD5"/>
    <w:rsid w:val="00E24669"/>
    <w:rsid w:val="00E24C48"/>
    <w:rsid w:val="00E25981"/>
    <w:rsid w:val="00E25F4A"/>
    <w:rsid w:val="00E26141"/>
    <w:rsid w:val="00E266F5"/>
    <w:rsid w:val="00E270D3"/>
    <w:rsid w:val="00E27479"/>
    <w:rsid w:val="00E27A6A"/>
    <w:rsid w:val="00E27D78"/>
    <w:rsid w:val="00E27FC7"/>
    <w:rsid w:val="00E30700"/>
    <w:rsid w:val="00E31360"/>
    <w:rsid w:val="00E31D28"/>
    <w:rsid w:val="00E31EC2"/>
    <w:rsid w:val="00E325FF"/>
    <w:rsid w:val="00E328AD"/>
    <w:rsid w:val="00E32CB8"/>
    <w:rsid w:val="00E3440F"/>
    <w:rsid w:val="00E34F3A"/>
    <w:rsid w:val="00E35F99"/>
    <w:rsid w:val="00E35F9A"/>
    <w:rsid w:val="00E3637F"/>
    <w:rsid w:val="00E364B6"/>
    <w:rsid w:val="00E36723"/>
    <w:rsid w:val="00E36A3C"/>
    <w:rsid w:val="00E3713C"/>
    <w:rsid w:val="00E3767B"/>
    <w:rsid w:val="00E37A85"/>
    <w:rsid w:val="00E37E1C"/>
    <w:rsid w:val="00E37FE3"/>
    <w:rsid w:val="00E40126"/>
    <w:rsid w:val="00E4079B"/>
    <w:rsid w:val="00E40CBF"/>
    <w:rsid w:val="00E40E7D"/>
    <w:rsid w:val="00E40EE4"/>
    <w:rsid w:val="00E413C6"/>
    <w:rsid w:val="00E41AC9"/>
    <w:rsid w:val="00E420D5"/>
    <w:rsid w:val="00E42517"/>
    <w:rsid w:val="00E426DF"/>
    <w:rsid w:val="00E42D55"/>
    <w:rsid w:val="00E42FFE"/>
    <w:rsid w:val="00E4316E"/>
    <w:rsid w:val="00E4337D"/>
    <w:rsid w:val="00E435AB"/>
    <w:rsid w:val="00E44275"/>
    <w:rsid w:val="00E44705"/>
    <w:rsid w:val="00E44777"/>
    <w:rsid w:val="00E44C51"/>
    <w:rsid w:val="00E4535F"/>
    <w:rsid w:val="00E463CC"/>
    <w:rsid w:val="00E466BC"/>
    <w:rsid w:val="00E4684D"/>
    <w:rsid w:val="00E4686A"/>
    <w:rsid w:val="00E479FD"/>
    <w:rsid w:val="00E504D6"/>
    <w:rsid w:val="00E50B6F"/>
    <w:rsid w:val="00E50EBE"/>
    <w:rsid w:val="00E50F69"/>
    <w:rsid w:val="00E50FC6"/>
    <w:rsid w:val="00E52372"/>
    <w:rsid w:val="00E52786"/>
    <w:rsid w:val="00E52F05"/>
    <w:rsid w:val="00E540CA"/>
    <w:rsid w:val="00E54F0C"/>
    <w:rsid w:val="00E55B28"/>
    <w:rsid w:val="00E56194"/>
    <w:rsid w:val="00E563EF"/>
    <w:rsid w:val="00E564B7"/>
    <w:rsid w:val="00E56D4A"/>
    <w:rsid w:val="00E57119"/>
    <w:rsid w:val="00E5719E"/>
    <w:rsid w:val="00E57D7B"/>
    <w:rsid w:val="00E57F4B"/>
    <w:rsid w:val="00E602E5"/>
    <w:rsid w:val="00E602F8"/>
    <w:rsid w:val="00E6085B"/>
    <w:rsid w:val="00E60FBA"/>
    <w:rsid w:val="00E60FBF"/>
    <w:rsid w:val="00E611AE"/>
    <w:rsid w:val="00E6159C"/>
    <w:rsid w:val="00E616F9"/>
    <w:rsid w:val="00E61852"/>
    <w:rsid w:val="00E61A0C"/>
    <w:rsid w:val="00E61D22"/>
    <w:rsid w:val="00E61D96"/>
    <w:rsid w:val="00E61E4B"/>
    <w:rsid w:val="00E62201"/>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065A"/>
    <w:rsid w:val="00E71063"/>
    <w:rsid w:val="00E715FC"/>
    <w:rsid w:val="00E71A45"/>
    <w:rsid w:val="00E71C21"/>
    <w:rsid w:val="00E72F23"/>
    <w:rsid w:val="00E730FC"/>
    <w:rsid w:val="00E7385A"/>
    <w:rsid w:val="00E73CE6"/>
    <w:rsid w:val="00E74105"/>
    <w:rsid w:val="00E74780"/>
    <w:rsid w:val="00E74956"/>
    <w:rsid w:val="00E752F7"/>
    <w:rsid w:val="00E75848"/>
    <w:rsid w:val="00E759D4"/>
    <w:rsid w:val="00E75B09"/>
    <w:rsid w:val="00E75B68"/>
    <w:rsid w:val="00E761D0"/>
    <w:rsid w:val="00E7624B"/>
    <w:rsid w:val="00E76A3C"/>
    <w:rsid w:val="00E76C5B"/>
    <w:rsid w:val="00E76F9B"/>
    <w:rsid w:val="00E771FC"/>
    <w:rsid w:val="00E773E5"/>
    <w:rsid w:val="00E77478"/>
    <w:rsid w:val="00E77A47"/>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E4E"/>
    <w:rsid w:val="00E86327"/>
    <w:rsid w:val="00E86DF0"/>
    <w:rsid w:val="00E87BD2"/>
    <w:rsid w:val="00E87CDC"/>
    <w:rsid w:val="00E90B33"/>
    <w:rsid w:val="00E911E0"/>
    <w:rsid w:val="00E918BD"/>
    <w:rsid w:val="00E93407"/>
    <w:rsid w:val="00E93877"/>
    <w:rsid w:val="00E940A8"/>
    <w:rsid w:val="00E947E8"/>
    <w:rsid w:val="00E94AB0"/>
    <w:rsid w:val="00E94B0F"/>
    <w:rsid w:val="00E9503F"/>
    <w:rsid w:val="00E95377"/>
    <w:rsid w:val="00E96E68"/>
    <w:rsid w:val="00E97EA1"/>
    <w:rsid w:val="00EA0BBE"/>
    <w:rsid w:val="00EA1FBC"/>
    <w:rsid w:val="00EA20A1"/>
    <w:rsid w:val="00EA212B"/>
    <w:rsid w:val="00EA2A88"/>
    <w:rsid w:val="00EA2D44"/>
    <w:rsid w:val="00EA2F5F"/>
    <w:rsid w:val="00EA3A1D"/>
    <w:rsid w:val="00EA3CD7"/>
    <w:rsid w:val="00EA3E2D"/>
    <w:rsid w:val="00EA429D"/>
    <w:rsid w:val="00EA43AF"/>
    <w:rsid w:val="00EA4676"/>
    <w:rsid w:val="00EA4C7C"/>
    <w:rsid w:val="00EA4D4C"/>
    <w:rsid w:val="00EA554F"/>
    <w:rsid w:val="00EA6250"/>
    <w:rsid w:val="00EA66A4"/>
    <w:rsid w:val="00EA6819"/>
    <w:rsid w:val="00EA6A1E"/>
    <w:rsid w:val="00EA7412"/>
    <w:rsid w:val="00EA75BD"/>
    <w:rsid w:val="00EA7C47"/>
    <w:rsid w:val="00EB0F0F"/>
    <w:rsid w:val="00EB12A5"/>
    <w:rsid w:val="00EB133D"/>
    <w:rsid w:val="00EB24D8"/>
    <w:rsid w:val="00EB277B"/>
    <w:rsid w:val="00EB2F20"/>
    <w:rsid w:val="00EB2F35"/>
    <w:rsid w:val="00EB31DB"/>
    <w:rsid w:val="00EB3422"/>
    <w:rsid w:val="00EB3A31"/>
    <w:rsid w:val="00EB4EAF"/>
    <w:rsid w:val="00EB51AD"/>
    <w:rsid w:val="00EB548E"/>
    <w:rsid w:val="00EB5C41"/>
    <w:rsid w:val="00EB5F5A"/>
    <w:rsid w:val="00EB657E"/>
    <w:rsid w:val="00EB695E"/>
    <w:rsid w:val="00EB69D1"/>
    <w:rsid w:val="00EB69D4"/>
    <w:rsid w:val="00EB6FE9"/>
    <w:rsid w:val="00EB72FF"/>
    <w:rsid w:val="00EB756F"/>
    <w:rsid w:val="00EB75C1"/>
    <w:rsid w:val="00EB79C8"/>
    <w:rsid w:val="00EB7E78"/>
    <w:rsid w:val="00EC0301"/>
    <w:rsid w:val="00EC09C6"/>
    <w:rsid w:val="00EC0EA5"/>
    <w:rsid w:val="00EC1056"/>
    <w:rsid w:val="00EC1470"/>
    <w:rsid w:val="00EC19B2"/>
    <w:rsid w:val="00EC1D53"/>
    <w:rsid w:val="00EC222E"/>
    <w:rsid w:val="00EC2716"/>
    <w:rsid w:val="00EC2DBB"/>
    <w:rsid w:val="00EC358E"/>
    <w:rsid w:val="00EC3FD2"/>
    <w:rsid w:val="00EC4095"/>
    <w:rsid w:val="00EC43B5"/>
    <w:rsid w:val="00EC4537"/>
    <w:rsid w:val="00EC4960"/>
    <w:rsid w:val="00EC4AE3"/>
    <w:rsid w:val="00EC4F46"/>
    <w:rsid w:val="00EC54EE"/>
    <w:rsid w:val="00EC59B2"/>
    <w:rsid w:val="00EC5A3B"/>
    <w:rsid w:val="00EC786C"/>
    <w:rsid w:val="00EC7ADD"/>
    <w:rsid w:val="00ED04FE"/>
    <w:rsid w:val="00ED07D3"/>
    <w:rsid w:val="00ED0DD0"/>
    <w:rsid w:val="00ED1240"/>
    <w:rsid w:val="00ED1989"/>
    <w:rsid w:val="00ED219A"/>
    <w:rsid w:val="00ED28F2"/>
    <w:rsid w:val="00ED3145"/>
    <w:rsid w:val="00ED3309"/>
    <w:rsid w:val="00ED356E"/>
    <w:rsid w:val="00ED3BDA"/>
    <w:rsid w:val="00ED5A3B"/>
    <w:rsid w:val="00ED5C30"/>
    <w:rsid w:val="00ED5C4F"/>
    <w:rsid w:val="00ED5E02"/>
    <w:rsid w:val="00ED5EED"/>
    <w:rsid w:val="00ED612A"/>
    <w:rsid w:val="00ED6B1C"/>
    <w:rsid w:val="00ED6CF7"/>
    <w:rsid w:val="00ED6F33"/>
    <w:rsid w:val="00ED7716"/>
    <w:rsid w:val="00ED7737"/>
    <w:rsid w:val="00ED7747"/>
    <w:rsid w:val="00ED78CD"/>
    <w:rsid w:val="00ED7CF4"/>
    <w:rsid w:val="00EE1B0E"/>
    <w:rsid w:val="00EE22FB"/>
    <w:rsid w:val="00EE2407"/>
    <w:rsid w:val="00EE26AE"/>
    <w:rsid w:val="00EE29C8"/>
    <w:rsid w:val="00EE2A54"/>
    <w:rsid w:val="00EE2FC2"/>
    <w:rsid w:val="00EE3B88"/>
    <w:rsid w:val="00EE3D01"/>
    <w:rsid w:val="00EE4B75"/>
    <w:rsid w:val="00EE4DBD"/>
    <w:rsid w:val="00EE6AC6"/>
    <w:rsid w:val="00EE6E26"/>
    <w:rsid w:val="00EE784F"/>
    <w:rsid w:val="00EE7A1D"/>
    <w:rsid w:val="00EF0500"/>
    <w:rsid w:val="00EF1002"/>
    <w:rsid w:val="00EF143F"/>
    <w:rsid w:val="00EF1D3B"/>
    <w:rsid w:val="00EF23D8"/>
    <w:rsid w:val="00EF2A5A"/>
    <w:rsid w:val="00EF2A87"/>
    <w:rsid w:val="00EF3A74"/>
    <w:rsid w:val="00EF3AE9"/>
    <w:rsid w:val="00EF3EA5"/>
    <w:rsid w:val="00EF47A0"/>
    <w:rsid w:val="00EF49FB"/>
    <w:rsid w:val="00EF55D6"/>
    <w:rsid w:val="00EF644D"/>
    <w:rsid w:val="00EF6D29"/>
    <w:rsid w:val="00EF6FEC"/>
    <w:rsid w:val="00EF7138"/>
    <w:rsid w:val="00EF7E0B"/>
    <w:rsid w:val="00F00881"/>
    <w:rsid w:val="00F00917"/>
    <w:rsid w:val="00F010BB"/>
    <w:rsid w:val="00F012C1"/>
    <w:rsid w:val="00F0175F"/>
    <w:rsid w:val="00F01BBA"/>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C82"/>
    <w:rsid w:val="00F07F5E"/>
    <w:rsid w:val="00F1001E"/>
    <w:rsid w:val="00F10553"/>
    <w:rsid w:val="00F106BB"/>
    <w:rsid w:val="00F11027"/>
    <w:rsid w:val="00F111BA"/>
    <w:rsid w:val="00F116DD"/>
    <w:rsid w:val="00F11D9F"/>
    <w:rsid w:val="00F11E31"/>
    <w:rsid w:val="00F12584"/>
    <w:rsid w:val="00F12FD9"/>
    <w:rsid w:val="00F13AA1"/>
    <w:rsid w:val="00F13E84"/>
    <w:rsid w:val="00F13F2A"/>
    <w:rsid w:val="00F15097"/>
    <w:rsid w:val="00F15671"/>
    <w:rsid w:val="00F16695"/>
    <w:rsid w:val="00F202E3"/>
    <w:rsid w:val="00F20C6E"/>
    <w:rsid w:val="00F20D6C"/>
    <w:rsid w:val="00F2255F"/>
    <w:rsid w:val="00F225CF"/>
    <w:rsid w:val="00F2285B"/>
    <w:rsid w:val="00F22882"/>
    <w:rsid w:val="00F22985"/>
    <w:rsid w:val="00F229AF"/>
    <w:rsid w:val="00F22AEF"/>
    <w:rsid w:val="00F22F7A"/>
    <w:rsid w:val="00F2343C"/>
    <w:rsid w:val="00F23CFC"/>
    <w:rsid w:val="00F23DB5"/>
    <w:rsid w:val="00F24076"/>
    <w:rsid w:val="00F240CB"/>
    <w:rsid w:val="00F2492F"/>
    <w:rsid w:val="00F2500D"/>
    <w:rsid w:val="00F2596D"/>
    <w:rsid w:val="00F25CAA"/>
    <w:rsid w:val="00F26AD6"/>
    <w:rsid w:val="00F2711C"/>
    <w:rsid w:val="00F277E8"/>
    <w:rsid w:val="00F27B04"/>
    <w:rsid w:val="00F27E3D"/>
    <w:rsid w:val="00F301D0"/>
    <w:rsid w:val="00F305D4"/>
    <w:rsid w:val="00F3069F"/>
    <w:rsid w:val="00F30C3F"/>
    <w:rsid w:val="00F30C60"/>
    <w:rsid w:val="00F30F38"/>
    <w:rsid w:val="00F311D1"/>
    <w:rsid w:val="00F3158A"/>
    <w:rsid w:val="00F318DB"/>
    <w:rsid w:val="00F3199C"/>
    <w:rsid w:val="00F31F7D"/>
    <w:rsid w:val="00F32AFF"/>
    <w:rsid w:val="00F33825"/>
    <w:rsid w:val="00F33A32"/>
    <w:rsid w:val="00F33A8B"/>
    <w:rsid w:val="00F33D3B"/>
    <w:rsid w:val="00F34585"/>
    <w:rsid w:val="00F34A96"/>
    <w:rsid w:val="00F34EBF"/>
    <w:rsid w:val="00F34F05"/>
    <w:rsid w:val="00F356D5"/>
    <w:rsid w:val="00F361AE"/>
    <w:rsid w:val="00F36240"/>
    <w:rsid w:val="00F363EB"/>
    <w:rsid w:val="00F365DE"/>
    <w:rsid w:val="00F367CF"/>
    <w:rsid w:val="00F36D37"/>
    <w:rsid w:val="00F3719A"/>
    <w:rsid w:val="00F374CB"/>
    <w:rsid w:val="00F379BF"/>
    <w:rsid w:val="00F37EA7"/>
    <w:rsid w:val="00F40805"/>
    <w:rsid w:val="00F40C5E"/>
    <w:rsid w:val="00F40E3E"/>
    <w:rsid w:val="00F41590"/>
    <w:rsid w:val="00F4163A"/>
    <w:rsid w:val="00F41873"/>
    <w:rsid w:val="00F419C3"/>
    <w:rsid w:val="00F41D91"/>
    <w:rsid w:val="00F41E2B"/>
    <w:rsid w:val="00F423BE"/>
    <w:rsid w:val="00F424A5"/>
    <w:rsid w:val="00F425EF"/>
    <w:rsid w:val="00F428AC"/>
    <w:rsid w:val="00F42EE3"/>
    <w:rsid w:val="00F43149"/>
    <w:rsid w:val="00F43660"/>
    <w:rsid w:val="00F43859"/>
    <w:rsid w:val="00F44212"/>
    <w:rsid w:val="00F44542"/>
    <w:rsid w:val="00F448DD"/>
    <w:rsid w:val="00F44D6A"/>
    <w:rsid w:val="00F44DB8"/>
    <w:rsid w:val="00F45760"/>
    <w:rsid w:val="00F45925"/>
    <w:rsid w:val="00F45D7D"/>
    <w:rsid w:val="00F46BA6"/>
    <w:rsid w:val="00F46C97"/>
    <w:rsid w:val="00F4703E"/>
    <w:rsid w:val="00F501B0"/>
    <w:rsid w:val="00F50781"/>
    <w:rsid w:val="00F50CA3"/>
    <w:rsid w:val="00F51767"/>
    <w:rsid w:val="00F517ED"/>
    <w:rsid w:val="00F51F3F"/>
    <w:rsid w:val="00F52857"/>
    <w:rsid w:val="00F528B5"/>
    <w:rsid w:val="00F528E7"/>
    <w:rsid w:val="00F52C8A"/>
    <w:rsid w:val="00F5352D"/>
    <w:rsid w:val="00F53615"/>
    <w:rsid w:val="00F53A91"/>
    <w:rsid w:val="00F54783"/>
    <w:rsid w:val="00F547E9"/>
    <w:rsid w:val="00F5494E"/>
    <w:rsid w:val="00F54ABE"/>
    <w:rsid w:val="00F55804"/>
    <w:rsid w:val="00F55F1A"/>
    <w:rsid w:val="00F56310"/>
    <w:rsid w:val="00F563B2"/>
    <w:rsid w:val="00F567A4"/>
    <w:rsid w:val="00F5684C"/>
    <w:rsid w:val="00F57210"/>
    <w:rsid w:val="00F574C8"/>
    <w:rsid w:val="00F577FC"/>
    <w:rsid w:val="00F57E7D"/>
    <w:rsid w:val="00F602F0"/>
    <w:rsid w:val="00F60BEE"/>
    <w:rsid w:val="00F60C90"/>
    <w:rsid w:val="00F619EE"/>
    <w:rsid w:val="00F61CF5"/>
    <w:rsid w:val="00F61FF9"/>
    <w:rsid w:val="00F62069"/>
    <w:rsid w:val="00F62159"/>
    <w:rsid w:val="00F62A7C"/>
    <w:rsid w:val="00F62B93"/>
    <w:rsid w:val="00F6324C"/>
    <w:rsid w:val="00F633E5"/>
    <w:rsid w:val="00F63C89"/>
    <w:rsid w:val="00F63E4C"/>
    <w:rsid w:val="00F6440E"/>
    <w:rsid w:val="00F647EC"/>
    <w:rsid w:val="00F64FAB"/>
    <w:rsid w:val="00F657B8"/>
    <w:rsid w:val="00F65CEA"/>
    <w:rsid w:val="00F65F15"/>
    <w:rsid w:val="00F66443"/>
    <w:rsid w:val="00F66D7B"/>
    <w:rsid w:val="00F675EA"/>
    <w:rsid w:val="00F7074A"/>
    <w:rsid w:val="00F70AD6"/>
    <w:rsid w:val="00F71687"/>
    <w:rsid w:val="00F71708"/>
    <w:rsid w:val="00F717C1"/>
    <w:rsid w:val="00F7186F"/>
    <w:rsid w:val="00F71CDB"/>
    <w:rsid w:val="00F725D3"/>
    <w:rsid w:val="00F72800"/>
    <w:rsid w:val="00F7281E"/>
    <w:rsid w:val="00F72B75"/>
    <w:rsid w:val="00F72C1A"/>
    <w:rsid w:val="00F72C3D"/>
    <w:rsid w:val="00F73006"/>
    <w:rsid w:val="00F730CA"/>
    <w:rsid w:val="00F737AB"/>
    <w:rsid w:val="00F74216"/>
    <w:rsid w:val="00F74F0F"/>
    <w:rsid w:val="00F75731"/>
    <w:rsid w:val="00F75841"/>
    <w:rsid w:val="00F76333"/>
    <w:rsid w:val="00F77100"/>
    <w:rsid w:val="00F8090F"/>
    <w:rsid w:val="00F81380"/>
    <w:rsid w:val="00F8139A"/>
    <w:rsid w:val="00F819EB"/>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1669"/>
    <w:rsid w:val="00F916DE"/>
    <w:rsid w:val="00F9184F"/>
    <w:rsid w:val="00F91943"/>
    <w:rsid w:val="00F92A66"/>
    <w:rsid w:val="00F92DE9"/>
    <w:rsid w:val="00F931CF"/>
    <w:rsid w:val="00F93A31"/>
    <w:rsid w:val="00F93D6E"/>
    <w:rsid w:val="00F9423D"/>
    <w:rsid w:val="00F94609"/>
    <w:rsid w:val="00F95182"/>
    <w:rsid w:val="00F957D2"/>
    <w:rsid w:val="00F95D94"/>
    <w:rsid w:val="00F96F86"/>
    <w:rsid w:val="00FA02B8"/>
    <w:rsid w:val="00FA0980"/>
    <w:rsid w:val="00FA0BFE"/>
    <w:rsid w:val="00FA1028"/>
    <w:rsid w:val="00FA157E"/>
    <w:rsid w:val="00FA181F"/>
    <w:rsid w:val="00FA1C1F"/>
    <w:rsid w:val="00FA1E82"/>
    <w:rsid w:val="00FA2137"/>
    <w:rsid w:val="00FA272D"/>
    <w:rsid w:val="00FA338D"/>
    <w:rsid w:val="00FA34A2"/>
    <w:rsid w:val="00FA3742"/>
    <w:rsid w:val="00FA3837"/>
    <w:rsid w:val="00FA39FC"/>
    <w:rsid w:val="00FA3B6D"/>
    <w:rsid w:val="00FA44B4"/>
    <w:rsid w:val="00FA4538"/>
    <w:rsid w:val="00FA4998"/>
    <w:rsid w:val="00FA4AF9"/>
    <w:rsid w:val="00FA4DC2"/>
    <w:rsid w:val="00FA67E3"/>
    <w:rsid w:val="00FA687F"/>
    <w:rsid w:val="00FA7157"/>
    <w:rsid w:val="00FA73A6"/>
    <w:rsid w:val="00FA7698"/>
    <w:rsid w:val="00FA78C2"/>
    <w:rsid w:val="00FA7A2D"/>
    <w:rsid w:val="00FA7B4F"/>
    <w:rsid w:val="00FA7DA6"/>
    <w:rsid w:val="00FB06E7"/>
    <w:rsid w:val="00FB0822"/>
    <w:rsid w:val="00FB1093"/>
    <w:rsid w:val="00FB13A0"/>
    <w:rsid w:val="00FB227E"/>
    <w:rsid w:val="00FB254E"/>
    <w:rsid w:val="00FB267D"/>
    <w:rsid w:val="00FB2A18"/>
    <w:rsid w:val="00FB2BF4"/>
    <w:rsid w:val="00FB2C8D"/>
    <w:rsid w:val="00FB2DC6"/>
    <w:rsid w:val="00FB2E0C"/>
    <w:rsid w:val="00FB30CA"/>
    <w:rsid w:val="00FB3C08"/>
    <w:rsid w:val="00FB5E81"/>
    <w:rsid w:val="00FB6E6C"/>
    <w:rsid w:val="00FB71B0"/>
    <w:rsid w:val="00FB7ABA"/>
    <w:rsid w:val="00FB7BF9"/>
    <w:rsid w:val="00FB7C21"/>
    <w:rsid w:val="00FB7C46"/>
    <w:rsid w:val="00FC00A0"/>
    <w:rsid w:val="00FC04E0"/>
    <w:rsid w:val="00FC0D98"/>
    <w:rsid w:val="00FC1042"/>
    <w:rsid w:val="00FC11C6"/>
    <w:rsid w:val="00FC1616"/>
    <w:rsid w:val="00FC166F"/>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1D4D"/>
    <w:rsid w:val="00FD2315"/>
    <w:rsid w:val="00FD29A7"/>
    <w:rsid w:val="00FD2B15"/>
    <w:rsid w:val="00FD3092"/>
    <w:rsid w:val="00FD334E"/>
    <w:rsid w:val="00FD412E"/>
    <w:rsid w:val="00FD420F"/>
    <w:rsid w:val="00FD4F2F"/>
    <w:rsid w:val="00FD51F7"/>
    <w:rsid w:val="00FD5258"/>
    <w:rsid w:val="00FD5602"/>
    <w:rsid w:val="00FD5661"/>
    <w:rsid w:val="00FD5A2A"/>
    <w:rsid w:val="00FD5AE2"/>
    <w:rsid w:val="00FD62B4"/>
    <w:rsid w:val="00FD69F5"/>
    <w:rsid w:val="00FD7142"/>
    <w:rsid w:val="00FD7186"/>
    <w:rsid w:val="00FD750F"/>
    <w:rsid w:val="00FE011C"/>
    <w:rsid w:val="00FE07DC"/>
    <w:rsid w:val="00FE1116"/>
    <w:rsid w:val="00FE2075"/>
    <w:rsid w:val="00FE2080"/>
    <w:rsid w:val="00FE27B9"/>
    <w:rsid w:val="00FE2E37"/>
    <w:rsid w:val="00FE3640"/>
    <w:rsid w:val="00FE36EE"/>
    <w:rsid w:val="00FE3780"/>
    <w:rsid w:val="00FE3954"/>
    <w:rsid w:val="00FE3CF7"/>
    <w:rsid w:val="00FE4071"/>
    <w:rsid w:val="00FE42E3"/>
    <w:rsid w:val="00FE4ECD"/>
    <w:rsid w:val="00FE52B7"/>
    <w:rsid w:val="00FE53C5"/>
    <w:rsid w:val="00FE56A8"/>
    <w:rsid w:val="00FE5807"/>
    <w:rsid w:val="00FE5C39"/>
    <w:rsid w:val="00FE5C57"/>
    <w:rsid w:val="00FE5ECF"/>
    <w:rsid w:val="00FE5F8B"/>
    <w:rsid w:val="00FE624E"/>
    <w:rsid w:val="00FE6291"/>
    <w:rsid w:val="00FE6415"/>
    <w:rsid w:val="00FE69E7"/>
    <w:rsid w:val="00FE6BB8"/>
    <w:rsid w:val="00FE6E76"/>
    <w:rsid w:val="00FE7E3E"/>
    <w:rsid w:val="00FF027B"/>
    <w:rsid w:val="00FF1174"/>
    <w:rsid w:val="00FF165A"/>
    <w:rsid w:val="00FF1B72"/>
    <w:rsid w:val="00FF1CF1"/>
    <w:rsid w:val="00FF1F4C"/>
    <w:rsid w:val="00FF35DC"/>
    <w:rsid w:val="00FF3A6A"/>
    <w:rsid w:val="00FF3C7A"/>
    <w:rsid w:val="00FF3E09"/>
    <w:rsid w:val="00FF411C"/>
    <w:rsid w:val="00FF44C6"/>
    <w:rsid w:val="00FF4572"/>
    <w:rsid w:val="00FF4B2E"/>
    <w:rsid w:val="00FF4E4B"/>
    <w:rsid w:val="00FF4E4E"/>
    <w:rsid w:val="00FF5049"/>
    <w:rsid w:val="00FF5D1F"/>
    <w:rsid w:val="00FF5F95"/>
    <w:rsid w:val="00FF6126"/>
    <w:rsid w:val="00FF61F5"/>
    <w:rsid w:val="00FF6264"/>
    <w:rsid w:val="00FF62AA"/>
    <w:rsid w:val="00FF64D7"/>
    <w:rsid w:val="00FF6B6C"/>
    <w:rsid w:val="00FF6DD4"/>
    <w:rsid w:val="01095EED"/>
    <w:rsid w:val="015754F6"/>
    <w:rsid w:val="01AA2C10"/>
    <w:rsid w:val="01B42948"/>
    <w:rsid w:val="01D803E5"/>
    <w:rsid w:val="01D95F0B"/>
    <w:rsid w:val="01DB7ED5"/>
    <w:rsid w:val="021763C7"/>
    <w:rsid w:val="022C0730"/>
    <w:rsid w:val="024C0DD3"/>
    <w:rsid w:val="02502671"/>
    <w:rsid w:val="0256755B"/>
    <w:rsid w:val="025A34EF"/>
    <w:rsid w:val="02982932"/>
    <w:rsid w:val="02A057B0"/>
    <w:rsid w:val="02B01361"/>
    <w:rsid w:val="02FC6355"/>
    <w:rsid w:val="03190CB5"/>
    <w:rsid w:val="031C7E13"/>
    <w:rsid w:val="036130BB"/>
    <w:rsid w:val="037738D8"/>
    <w:rsid w:val="03787625"/>
    <w:rsid w:val="038921D4"/>
    <w:rsid w:val="039E740C"/>
    <w:rsid w:val="03B66504"/>
    <w:rsid w:val="03BB1D6C"/>
    <w:rsid w:val="03C350C4"/>
    <w:rsid w:val="03C9092D"/>
    <w:rsid w:val="03E94B2B"/>
    <w:rsid w:val="03EE7D97"/>
    <w:rsid w:val="03FA5A2E"/>
    <w:rsid w:val="03FA6D38"/>
    <w:rsid w:val="040A2CF3"/>
    <w:rsid w:val="0418562C"/>
    <w:rsid w:val="041E6C29"/>
    <w:rsid w:val="04253689"/>
    <w:rsid w:val="043B319C"/>
    <w:rsid w:val="04670FFA"/>
    <w:rsid w:val="04673CA2"/>
    <w:rsid w:val="04781A0B"/>
    <w:rsid w:val="049E5651"/>
    <w:rsid w:val="04A10F62"/>
    <w:rsid w:val="04E672BC"/>
    <w:rsid w:val="04FC088E"/>
    <w:rsid w:val="04FE63B4"/>
    <w:rsid w:val="0512315E"/>
    <w:rsid w:val="05595CE0"/>
    <w:rsid w:val="05776ABA"/>
    <w:rsid w:val="05B31869"/>
    <w:rsid w:val="05BC76B7"/>
    <w:rsid w:val="05C252A6"/>
    <w:rsid w:val="05EB02A9"/>
    <w:rsid w:val="05EF03F3"/>
    <w:rsid w:val="0639166E"/>
    <w:rsid w:val="064249C6"/>
    <w:rsid w:val="06456265"/>
    <w:rsid w:val="064A5629"/>
    <w:rsid w:val="066E598D"/>
    <w:rsid w:val="06717EB2"/>
    <w:rsid w:val="06826B71"/>
    <w:rsid w:val="068F128E"/>
    <w:rsid w:val="06A411DD"/>
    <w:rsid w:val="06B12A6B"/>
    <w:rsid w:val="06D05B2E"/>
    <w:rsid w:val="06E635A4"/>
    <w:rsid w:val="06EE52F4"/>
    <w:rsid w:val="070E123F"/>
    <w:rsid w:val="072C343E"/>
    <w:rsid w:val="072F33C7"/>
    <w:rsid w:val="075E138C"/>
    <w:rsid w:val="075F0692"/>
    <w:rsid w:val="077248F6"/>
    <w:rsid w:val="078A2181"/>
    <w:rsid w:val="07A64AE1"/>
    <w:rsid w:val="07AC659B"/>
    <w:rsid w:val="07AD40C1"/>
    <w:rsid w:val="07E35D35"/>
    <w:rsid w:val="07F43A9E"/>
    <w:rsid w:val="080B1B6C"/>
    <w:rsid w:val="08442B90"/>
    <w:rsid w:val="086B64B0"/>
    <w:rsid w:val="087150EF"/>
    <w:rsid w:val="089D66E0"/>
    <w:rsid w:val="08B35707"/>
    <w:rsid w:val="08BF22FE"/>
    <w:rsid w:val="08CC0577"/>
    <w:rsid w:val="08F53B23"/>
    <w:rsid w:val="090715AF"/>
    <w:rsid w:val="09205C32"/>
    <w:rsid w:val="09255FC9"/>
    <w:rsid w:val="0928072F"/>
    <w:rsid w:val="098239FB"/>
    <w:rsid w:val="09A45050"/>
    <w:rsid w:val="09B216AF"/>
    <w:rsid w:val="09E6258D"/>
    <w:rsid w:val="0A070656"/>
    <w:rsid w:val="0A0C07C1"/>
    <w:rsid w:val="0A193D3A"/>
    <w:rsid w:val="0A2C751F"/>
    <w:rsid w:val="0A3D1CF3"/>
    <w:rsid w:val="0A4F1460"/>
    <w:rsid w:val="0A6726A0"/>
    <w:rsid w:val="0A7028CB"/>
    <w:rsid w:val="0A913ED8"/>
    <w:rsid w:val="0A99092D"/>
    <w:rsid w:val="0A9F0AA2"/>
    <w:rsid w:val="0AC21C32"/>
    <w:rsid w:val="0AD876A7"/>
    <w:rsid w:val="0AE93662"/>
    <w:rsid w:val="0B101F81"/>
    <w:rsid w:val="0B13248D"/>
    <w:rsid w:val="0B24171E"/>
    <w:rsid w:val="0B372620"/>
    <w:rsid w:val="0B723658"/>
    <w:rsid w:val="0BB84DE3"/>
    <w:rsid w:val="0C1B311F"/>
    <w:rsid w:val="0C466B45"/>
    <w:rsid w:val="0C6242B8"/>
    <w:rsid w:val="0C684A5B"/>
    <w:rsid w:val="0C8406AF"/>
    <w:rsid w:val="0C8F023A"/>
    <w:rsid w:val="0CC872A8"/>
    <w:rsid w:val="0CF12CA2"/>
    <w:rsid w:val="0D026C5D"/>
    <w:rsid w:val="0D0F7D23"/>
    <w:rsid w:val="0D156991"/>
    <w:rsid w:val="0D584403"/>
    <w:rsid w:val="0DAD0977"/>
    <w:rsid w:val="0DE63E89"/>
    <w:rsid w:val="0DEE7765"/>
    <w:rsid w:val="0E40659E"/>
    <w:rsid w:val="0E43308A"/>
    <w:rsid w:val="0E7201B5"/>
    <w:rsid w:val="0E9D6C3E"/>
    <w:rsid w:val="0EAC0C2F"/>
    <w:rsid w:val="0F333B21"/>
    <w:rsid w:val="0F346E76"/>
    <w:rsid w:val="0F482DC1"/>
    <w:rsid w:val="0F9E6D6F"/>
    <w:rsid w:val="0FA929EB"/>
    <w:rsid w:val="0FE51CB9"/>
    <w:rsid w:val="10101691"/>
    <w:rsid w:val="101C0A97"/>
    <w:rsid w:val="10385BF1"/>
    <w:rsid w:val="103A085F"/>
    <w:rsid w:val="10461F9E"/>
    <w:rsid w:val="106E31F9"/>
    <w:rsid w:val="106F0166"/>
    <w:rsid w:val="108C4825"/>
    <w:rsid w:val="10AF0EAA"/>
    <w:rsid w:val="10D41361"/>
    <w:rsid w:val="10D52020"/>
    <w:rsid w:val="10F20D97"/>
    <w:rsid w:val="10F67974"/>
    <w:rsid w:val="111927C8"/>
    <w:rsid w:val="11252F1A"/>
    <w:rsid w:val="114538D5"/>
    <w:rsid w:val="11603F53"/>
    <w:rsid w:val="116041CE"/>
    <w:rsid w:val="11BA7B07"/>
    <w:rsid w:val="11CB1D14"/>
    <w:rsid w:val="11E10E9F"/>
    <w:rsid w:val="11F528ED"/>
    <w:rsid w:val="11F711F9"/>
    <w:rsid w:val="125E38F1"/>
    <w:rsid w:val="1265265D"/>
    <w:rsid w:val="12685FCD"/>
    <w:rsid w:val="127A1044"/>
    <w:rsid w:val="1324792E"/>
    <w:rsid w:val="132F0080"/>
    <w:rsid w:val="13456727"/>
    <w:rsid w:val="135317D3"/>
    <w:rsid w:val="137B05EE"/>
    <w:rsid w:val="138038A5"/>
    <w:rsid w:val="138165B6"/>
    <w:rsid w:val="13B047FD"/>
    <w:rsid w:val="13B51478"/>
    <w:rsid w:val="13BB2232"/>
    <w:rsid w:val="13BF31B2"/>
    <w:rsid w:val="13D562BE"/>
    <w:rsid w:val="14237BE5"/>
    <w:rsid w:val="142B5285"/>
    <w:rsid w:val="14477EDC"/>
    <w:rsid w:val="146F2C7A"/>
    <w:rsid w:val="14832432"/>
    <w:rsid w:val="1491066E"/>
    <w:rsid w:val="149A3C1F"/>
    <w:rsid w:val="149E4992"/>
    <w:rsid w:val="14E244F9"/>
    <w:rsid w:val="14F7697C"/>
    <w:rsid w:val="150A3459"/>
    <w:rsid w:val="150D43F1"/>
    <w:rsid w:val="153B4ABB"/>
    <w:rsid w:val="15431BC1"/>
    <w:rsid w:val="154A50F1"/>
    <w:rsid w:val="155F49FC"/>
    <w:rsid w:val="157E709D"/>
    <w:rsid w:val="158B236D"/>
    <w:rsid w:val="15C23EE7"/>
    <w:rsid w:val="16016670"/>
    <w:rsid w:val="165C118C"/>
    <w:rsid w:val="16D85436"/>
    <w:rsid w:val="16E96798"/>
    <w:rsid w:val="170E5D26"/>
    <w:rsid w:val="170F61FF"/>
    <w:rsid w:val="1740547E"/>
    <w:rsid w:val="177216E1"/>
    <w:rsid w:val="1776627E"/>
    <w:rsid w:val="17CE7E68"/>
    <w:rsid w:val="17EC4792"/>
    <w:rsid w:val="17FF44C5"/>
    <w:rsid w:val="1819102F"/>
    <w:rsid w:val="18636182"/>
    <w:rsid w:val="18C31B16"/>
    <w:rsid w:val="18C950B6"/>
    <w:rsid w:val="18D60A86"/>
    <w:rsid w:val="18F2402A"/>
    <w:rsid w:val="19235F91"/>
    <w:rsid w:val="193866A0"/>
    <w:rsid w:val="19520625"/>
    <w:rsid w:val="1965563C"/>
    <w:rsid w:val="19923117"/>
    <w:rsid w:val="19EF02D8"/>
    <w:rsid w:val="1A09162B"/>
    <w:rsid w:val="1A18361C"/>
    <w:rsid w:val="1A3D7527"/>
    <w:rsid w:val="1A400DC5"/>
    <w:rsid w:val="1A442DE9"/>
    <w:rsid w:val="1A8B228E"/>
    <w:rsid w:val="1A8C1721"/>
    <w:rsid w:val="1A9829AF"/>
    <w:rsid w:val="1AF776D6"/>
    <w:rsid w:val="1B3A3A66"/>
    <w:rsid w:val="1B75304D"/>
    <w:rsid w:val="1B9A4C1E"/>
    <w:rsid w:val="1BE539D2"/>
    <w:rsid w:val="1BF8028F"/>
    <w:rsid w:val="1C071B9A"/>
    <w:rsid w:val="1C0A168B"/>
    <w:rsid w:val="1C1F74AE"/>
    <w:rsid w:val="1C46782F"/>
    <w:rsid w:val="1C471F7E"/>
    <w:rsid w:val="1C755296"/>
    <w:rsid w:val="1C80194D"/>
    <w:rsid w:val="1C890801"/>
    <w:rsid w:val="1CA218C3"/>
    <w:rsid w:val="1CD75683"/>
    <w:rsid w:val="1D0328C7"/>
    <w:rsid w:val="1D0A4EB1"/>
    <w:rsid w:val="1D1F2F14"/>
    <w:rsid w:val="1D321E13"/>
    <w:rsid w:val="1D58096F"/>
    <w:rsid w:val="1D5E4DDE"/>
    <w:rsid w:val="1D7325C2"/>
    <w:rsid w:val="1D9751A0"/>
    <w:rsid w:val="1DBE3AAE"/>
    <w:rsid w:val="1DC55869"/>
    <w:rsid w:val="1DCC0694"/>
    <w:rsid w:val="1DD51E1E"/>
    <w:rsid w:val="1DDB0084"/>
    <w:rsid w:val="1E036392"/>
    <w:rsid w:val="1E071610"/>
    <w:rsid w:val="1E300476"/>
    <w:rsid w:val="1E6432D4"/>
    <w:rsid w:val="1E967206"/>
    <w:rsid w:val="1EA13FD6"/>
    <w:rsid w:val="1F0C1276"/>
    <w:rsid w:val="1F4849CA"/>
    <w:rsid w:val="1F4D1FBA"/>
    <w:rsid w:val="1F5350F7"/>
    <w:rsid w:val="1F604089"/>
    <w:rsid w:val="1F75506D"/>
    <w:rsid w:val="1F7E6617"/>
    <w:rsid w:val="1F873477"/>
    <w:rsid w:val="1F963515"/>
    <w:rsid w:val="1F9F033C"/>
    <w:rsid w:val="1FB2006F"/>
    <w:rsid w:val="1FFE32B4"/>
    <w:rsid w:val="201D3C40"/>
    <w:rsid w:val="204F15CD"/>
    <w:rsid w:val="205C3E01"/>
    <w:rsid w:val="20940EE6"/>
    <w:rsid w:val="20971013"/>
    <w:rsid w:val="209D4E99"/>
    <w:rsid w:val="20C31E08"/>
    <w:rsid w:val="20DC0815"/>
    <w:rsid w:val="210448FA"/>
    <w:rsid w:val="214473ED"/>
    <w:rsid w:val="21455F84"/>
    <w:rsid w:val="214E3C42"/>
    <w:rsid w:val="216655B5"/>
    <w:rsid w:val="216E6218"/>
    <w:rsid w:val="217F0425"/>
    <w:rsid w:val="218617B3"/>
    <w:rsid w:val="219857D3"/>
    <w:rsid w:val="21B50B66"/>
    <w:rsid w:val="21DD6EFA"/>
    <w:rsid w:val="21E11470"/>
    <w:rsid w:val="21EB7868"/>
    <w:rsid w:val="220152DE"/>
    <w:rsid w:val="2202618F"/>
    <w:rsid w:val="220B1CB9"/>
    <w:rsid w:val="227C4964"/>
    <w:rsid w:val="22B8599C"/>
    <w:rsid w:val="22C2681B"/>
    <w:rsid w:val="230140D4"/>
    <w:rsid w:val="2303624D"/>
    <w:rsid w:val="231177A3"/>
    <w:rsid w:val="23324844"/>
    <w:rsid w:val="2369313B"/>
    <w:rsid w:val="23B343B6"/>
    <w:rsid w:val="23C27318"/>
    <w:rsid w:val="243F5C4A"/>
    <w:rsid w:val="244871F4"/>
    <w:rsid w:val="24763D61"/>
    <w:rsid w:val="24805EA3"/>
    <w:rsid w:val="24977600"/>
    <w:rsid w:val="249E5066"/>
    <w:rsid w:val="24B831E2"/>
    <w:rsid w:val="24CD14A7"/>
    <w:rsid w:val="24FC622F"/>
    <w:rsid w:val="25034EC9"/>
    <w:rsid w:val="2507722A"/>
    <w:rsid w:val="253B4469"/>
    <w:rsid w:val="25780DDB"/>
    <w:rsid w:val="257840AF"/>
    <w:rsid w:val="257B0123"/>
    <w:rsid w:val="259255D7"/>
    <w:rsid w:val="259C2031"/>
    <w:rsid w:val="25F56F08"/>
    <w:rsid w:val="260F621B"/>
    <w:rsid w:val="2613738E"/>
    <w:rsid w:val="26337917"/>
    <w:rsid w:val="26445799"/>
    <w:rsid w:val="267802DC"/>
    <w:rsid w:val="26A50560"/>
    <w:rsid w:val="26A5092E"/>
    <w:rsid w:val="26A60202"/>
    <w:rsid w:val="26B20955"/>
    <w:rsid w:val="26C80178"/>
    <w:rsid w:val="270F55EE"/>
    <w:rsid w:val="272F1A96"/>
    <w:rsid w:val="27344752"/>
    <w:rsid w:val="27A91D02"/>
    <w:rsid w:val="27D8394B"/>
    <w:rsid w:val="27DA63B5"/>
    <w:rsid w:val="27F52753"/>
    <w:rsid w:val="280276BA"/>
    <w:rsid w:val="280E2E48"/>
    <w:rsid w:val="28265A10"/>
    <w:rsid w:val="28846321"/>
    <w:rsid w:val="28A864B3"/>
    <w:rsid w:val="28ED036A"/>
    <w:rsid w:val="290B259E"/>
    <w:rsid w:val="292E4C0A"/>
    <w:rsid w:val="29373393"/>
    <w:rsid w:val="294A30C6"/>
    <w:rsid w:val="295943F7"/>
    <w:rsid w:val="29712D49"/>
    <w:rsid w:val="297B0CF7"/>
    <w:rsid w:val="299F78B6"/>
    <w:rsid w:val="29D60DFE"/>
    <w:rsid w:val="29E90B31"/>
    <w:rsid w:val="2A266FAC"/>
    <w:rsid w:val="2A3D2C2B"/>
    <w:rsid w:val="2A6603D4"/>
    <w:rsid w:val="2AA12038"/>
    <w:rsid w:val="2AA44A58"/>
    <w:rsid w:val="2B083239"/>
    <w:rsid w:val="2B3E6C5B"/>
    <w:rsid w:val="2B7D74A0"/>
    <w:rsid w:val="2B822DA1"/>
    <w:rsid w:val="2B942797"/>
    <w:rsid w:val="2B9F7BF0"/>
    <w:rsid w:val="2BD15D21"/>
    <w:rsid w:val="2C0E487F"/>
    <w:rsid w:val="2C230E3E"/>
    <w:rsid w:val="2C3A3A2E"/>
    <w:rsid w:val="2C5F7A30"/>
    <w:rsid w:val="2C9D5C03"/>
    <w:rsid w:val="2CAC2A7B"/>
    <w:rsid w:val="2D3622E0"/>
    <w:rsid w:val="2D630BFB"/>
    <w:rsid w:val="2D71156A"/>
    <w:rsid w:val="2DB806C8"/>
    <w:rsid w:val="2DD35D80"/>
    <w:rsid w:val="2DDB4C35"/>
    <w:rsid w:val="2DF63230"/>
    <w:rsid w:val="2E851F6B"/>
    <w:rsid w:val="2EAB0AAB"/>
    <w:rsid w:val="2ED26038"/>
    <w:rsid w:val="2ED6100A"/>
    <w:rsid w:val="2EDD2DD9"/>
    <w:rsid w:val="2F2A7C22"/>
    <w:rsid w:val="2F723467"/>
    <w:rsid w:val="2F9432ED"/>
    <w:rsid w:val="2FC54D3C"/>
    <w:rsid w:val="2FFA2A67"/>
    <w:rsid w:val="308E78A9"/>
    <w:rsid w:val="30A6152A"/>
    <w:rsid w:val="314F16CB"/>
    <w:rsid w:val="31600A43"/>
    <w:rsid w:val="31603DCF"/>
    <w:rsid w:val="31717D8A"/>
    <w:rsid w:val="31C2303A"/>
    <w:rsid w:val="32191899"/>
    <w:rsid w:val="321F16F1"/>
    <w:rsid w:val="3227607D"/>
    <w:rsid w:val="32470AEB"/>
    <w:rsid w:val="32870EE7"/>
    <w:rsid w:val="32A0292F"/>
    <w:rsid w:val="32A02B99"/>
    <w:rsid w:val="32AF5C16"/>
    <w:rsid w:val="32FC70BF"/>
    <w:rsid w:val="33064502"/>
    <w:rsid w:val="331F7EA8"/>
    <w:rsid w:val="33273DEB"/>
    <w:rsid w:val="332747B4"/>
    <w:rsid w:val="332B3F69"/>
    <w:rsid w:val="332D450E"/>
    <w:rsid w:val="33323549"/>
    <w:rsid w:val="337C2A16"/>
    <w:rsid w:val="338028CA"/>
    <w:rsid w:val="33BC1065"/>
    <w:rsid w:val="33CC4E6A"/>
    <w:rsid w:val="33D414D0"/>
    <w:rsid w:val="33E10ACB"/>
    <w:rsid w:val="33F94067"/>
    <w:rsid w:val="342A2472"/>
    <w:rsid w:val="34345C42"/>
    <w:rsid w:val="34825E0A"/>
    <w:rsid w:val="348E0C53"/>
    <w:rsid w:val="34A51AF9"/>
    <w:rsid w:val="34C226AB"/>
    <w:rsid w:val="351078BA"/>
    <w:rsid w:val="35352F93"/>
    <w:rsid w:val="35392FAE"/>
    <w:rsid w:val="354821AC"/>
    <w:rsid w:val="35497E40"/>
    <w:rsid w:val="354B6B44"/>
    <w:rsid w:val="35574C2D"/>
    <w:rsid w:val="356741EA"/>
    <w:rsid w:val="357C6EC6"/>
    <w:rsid w:val="357F059C"/>
    <w:rsid w:val="35B9585C"/>
    <w:rsid w:val="35CD358A"/>
    <w:rsid w:val="35DB1557"/>
    <w:rsid w:val="36145188"/>
    <w:rsid w:val="3641380D"/>
    <w:rsid w:val="36615BF9"/>
    <w:rsid w:val="36C73025"/>
    <w:rsid w:val="36CA3A99"/>
    <w:rsid w:val="370B0916"/>
    <w:rsid w:val="37307DA0"/>
    <w:rsid w:val="37421F7B"/>
    <w:rsid w:val="374872EB"/>
    <w:rsid w:val="376A1AE2"/>
    <w:rsid w:val="37971BCD"/>
    <w:rsid w:val="37B961D7"/>
    <w:rsid w:val="37CE7F34"/>
    <w:rsid w:val="37E449AE"/>
    <w:rsid w:val="38044D88"/>
    <w:rsid w:val="3819091C"/>
    <w:rsid w:val="381F423E"/>
    <w:rsid w:val="38404012"/>
    <w:rsid w:val="385F359C"/>
    <w:rsid w:val="38C2711D"/>
    <w:rsid w:val="38C60642"/>
    <w:rsid w:val="38F512A1"/>
    <w:rsid w:val="391D7C02"/>
    <w:rsid w:val="39205BBB"/>
    <w:rsid w:val="39292CF8"/>
    <w:rsid w:val="39317DFF"/>
    <w:rsid w:val="397A33BD"/>
    <w:rsid w:val="39931CFE"/>
    <w:rsid w:val="39D0586A"/>
    <w:rsid w:val="39D447D5"/>
    <w:rsid w:val="39D9012F"/>
    <w:rsid w:val="39E15DFE"/>
    <w:rsid w:val="39E43E23"/>
    <w:rsid w:val="3A234232"/>
    <w:rsid w:val="3A2358BF"/>
    <w:rsid w:val="3A454F72"/>
    <w:rsid w:val="3A730980"/>
    <w:rsid w:val="3A7E5753"/>
    <w:rsid w:val="3A865F28"/>
    <w:rsid w:val="3A921B09"/>
    <w:rsid w:val="3ABC08BF"/>
    <w:rsid w:val="3B191DB3"/>
    <w:rsid w:val="3B6224F2"/>
    <w:rsid w:val="3B673E80"/>
    <w:rsid w:val="3B9F54F4"/>
    <w:rsid w:val="3BA80B19"/>
    <w:rsid w:val="3C14798F"/>
    <w:rsid w:val="3C4240EC"/>
    <w:rsid w:val="3C7C75E3"/>
    <w:rsid w:val="3CBA4F66"/>
    <w:rsid w:val="3CC277D9"/>
    <w:rsid w:val="3CC316B2"/>
    <w:rsid w:val="3CDE38DE"/>
    <w:rsid w:val="3D2B1355"/>
    <w:rsid w:val="3D361E88"/>
    <w:rsid w:val="3D585C9C"/>
    <w:rsid w:val="3D6E2ECB"/>
    <w:rsid w:val="3D711B40"/>
    <w:rsid w:val="3D8A3F82"/>
    <w:rsid w:val="3D8D719C"/>
    <w:rsid w:val="3DB80AEF"/>
    <w:rsid w:val="3DC65A10"/>
    <w:rsid w:val="3E135D25"/>
    <w:rsid w:val="3E210442"/>
    <w:rsid w:val="3E36074A"/>
    <w:rsid w:val="3E3839DE"/>
    <w:rsid w:val="3E560726"/>
    <w:rsid w:val="3E800AA6"/>
    <w:rsid w:val="3E8E35FE"/>
    <w:rsid w:val="3EB2553E"/>
    <w:rsid w:val="3EB75130"/>
    <w:rsid w:val="3EC6723B"/>
    <w:rsid w:val="3EC84C65"/>
    <w:rsid w:val="3EF9069B"/>
    <w:rsid w:val="3F2F4DE1"/>
    <w:rsid w:val="3F3A1FEB"/>
    <w:rsid w:val="3F79605C"/>
    <w:rsid w:val="3F7B6278"/>
    <w:rsid w:val="3FBA6DA0"/>
    <w:rsid w:val="3FD15E98"/>
    <w:rsid w:val="3FFB4CC3"/>
    <w:rsid w:val="40363F4D"/>
    <w:rsid w:val="406E36E7"/>
    <w:rsid w:val="40844CB8"/>
    <w:rsid w:val="40A67243"/>
    <w:rsid w:val="40D77348"/>
    <w:rsid w:val="41636F97"/>
    <w:rsid w:val="4185428D"/>
    <w:rsid w:val="41856F3A"/>
    <w:rsid w:val="41AA3791"/>
    <w:rsid w:val="41C677FD"/>
    <w:rsid w:val="41DF489C"/>
    <w:rsid w:val="42033522"/>
    <w:rsid w:val="42044303"/>
    <w:rsid w:val="42116A20"/>
    <w:rsid w:val="42253D73"/>
    <w:rsid w:val="424114EA"/>
    <w:rsid w:val="42425072"/>
    <w:rsid w:val="429E429D"/>
    <w:rsid w:val="42A21897"/>
    <w:rsid w:val="42A81579"/>
    <w:rsid w:val="42B32B7F"/>
    <w:rsid w:val="42D37DB5"/>
    <w:rsid w:val="42DF6B1E"/>
    <w:rsid w:val="42E50435"/>
    <w:rsid w:val="43010842"/>
    <w:rsid w:val="430829A2"/>
    <w:rsid w:val="430D5439"/>
    <w:rsid w:val="4322598C"/>
    <w:rsid w:val="432B34EB"/>
    <w:rsid w:val="433C73E7"/>
    <w:rsid w:val="43503578"/>
    <w:rsid w:val="43866F99"/>
    <w:rsid w:val="439E42E3"/>
    <w:rsid w:val="43B41D58"/>
    <w:rsid w:val="43E837B0"/>
    <w:rsid w:val="442E5667"/>
    <w:rsid w:val="444529B0"/>
    <w:rsid w:val="445C0F91"/>
    <w:rsid w:val="446153CD"/>
    <w:rsid w:val="4476700E"/>
    <w:rsid w:val="44807E8F"/>
    <w:rsid w:val="44BA15F0"/>
    <w:rsid w:val="44CD1324"/>
    <w:rsid w:val="44D75141"/>
    <w:rsid w:val="44DA46CB"/>
    <w:rsid w:val="44E4602A"/>
    <w:rsid w:val="4517434D"/>
    <w:rsid w:val="45806396"/>
    <w:rsid w:val="45B61031"/>
    <w:rsid w:val="45CF4FB9"/>
    <w:rsid w:val="45D60A99"/>
    <w:rsid w:val="45EC538A"/>
    <w:rsid w:val="4609638B"/>
    <w:rsid w:val="46185302"/>
    <w:rsid w:val="467F664E"/>
    <w:rsid w:val="46BB082F"/>
    <w:rsid w:val="46D6435F"/>
    <w:rsid w:val="47022DDB"/>
    <w:rsid w:val="47594D24"/>
    <w:rsid w:val="4763099B"/>
    <w:rsid w:val="47B71E17"/>
    <w:rsid w:val="480706A9"/>
    <w:rsid w:val="48164D90"/>
    <w:rsid w:val="481D611E"/>
    <w:rsid w:val="481D7ECC"/>
    <w:rsid w:val="4839628A"/>
    <w:rsid w:val="483B47F6"/>
    <w:rsid w:val="48613478"/>
    <w:rsid w:val="48BB76D5"/>
    <w:rsid w:val="491A08B0"/>
    <w:rsid w:val="49494CF1"/>
    <w:rsid w:val="49C820BA"/>
    <w:rsid w:val="49D004EA"/>
    <w:rsid w:val="49FE1F7F"/>
    <w:rsid w:val="4A201EF6"/>
    <w:rsid w:val="4A3715F3"/>
    <w:rsid w:val="4ADD3943"/>
    <w:rsid w:val="4AE90539"/>
    <w:rsid w:val="4AF60567"/>
    <w:rsid w:val="4B6D2F19"/>
    <w:rsid w:val="4B9A1834"/>
    <w:rsid w:val="4BEA737D"/>
    <w:rsid w:val="4BF935DC"/>
    <w:rsid w:val="4C001FDF"/>
    <w:rsid w:val="4C080E93"/>
    <w:rsid w:val="4C2304F9"/>
    <w:rsid w:val="4C76404F"/>
    <w:rsid w:val="4CE0771A"/>
    <w:rsid w:val="4D153868"/>
    <w:rsid w:val="4D4F574C"/>
    <w:rsid w:val="4D830972"/>
    <w:rsid w:val="4DCD5EF0"/>
    <w:rsid w:val="4E102281"/>
    <w:rsid w:val="4EAC5711"/>
    <w:rsid w:val="4EC70B92"/>
    <w:rsid w:val="4ECA06EC"/>
    <w:rsid w:val="4ED60DD5"/>
    <w:rsid w:val="4EF94AC3"/>
    <w:rsid w:val="4F0040A4"/>
    <w:rsid w:val="4F0A1E4B"/>
    <w:rsid w:val="4F1A51B5"/>
    <w:rsid w:val="4F217770"/>
    <w:rsid w:val="4F292FE0"/>
    <w:rsid w:val="4F5F0DCA"/>
    <w:rsid w:val="4F7670F4"/>
    <w:rsid w:val="4F8C3B89"/>
    <w:rsid w:val="4F8D5C0A"/>
    <w:rsid w:val="50326E48"/>
    <w:rsid w:val="504F0E3F"/>
    <w:rsid w:val="50503827"/>
    <w:rsid w:val="508A631B"/>
    <w:rsid w:val="51387B25"/>
    <w:rsid w:val="515D0E9F"/>
    <w:rsid w:val="515D3A2F"/>
    <w:rsid w:val="51A74CAA"/>
    <w:rsid w:val="51B2004B"/>
    <w:rsid w:val="520D11E2"/>
    <w:rsid w:val="522B1438"/>
    <w:rsid w:val="525A401C"/>
    <w:rsid w:val="52884ADC"/>
    <w:rsid w:val="53407165"/>
    <w:rsid w:val="5342703B"/>
    <w:rsid w:val="53530C46"/>
    <w:rsid w:val="538928BA"/>
    <w:rsid w:val="53BA53BF"/>
    <w:rsid w:val="53F62AAE"/>
    <w:rsid w:val="54260108"/>
    <w:rsid w:val="54556AEA"/>
    <w:rsid w:val="548117E3"/>
    <w:rsid w:val="54996B2C"/>
    <w:rsid w:val="54B95421"/>
    <w:rsid w:val="54C0055D"/>
    <w:rsid w:val="54E22563"/>
    <w:rsid w:val="55622629"/>
    <w:rsid w:val="5596306C"/>
    <w:rsid w:val="55967510"/>
    <w:rsid w:val="55BD3C3E"/>
    <w:rsid w:val="55C650D5"/>
    <w:rsid w:val="55C903EB"/>
    <w:rsid w:val="55CE0A58"/>
    <w:rsid w:val="55DB3B84"/>
    <w:rsid w:val="560A5CEC"/>
    <w:rsid w:val="561623FF"/>
    <w:rsid w:val="56226FF5"/>
    <w:rsid w:val="567406FB"/>
    <w:rsid w:val="56A90421"/>
    <w:rsid w:val="56EC4DE3"/>
    <w:rsid w:val="57062473"/>
    <w:rsid w:val="571903F8"/>
    <w:rsid w:val="572F5526"/>
    <w:rsid w:val="577C4984"/>
    <w:rsid w:val="57986387"/>
    <w:rsid w:val="579866CA"/>
    <w:rsid w:val="57EA58F1"/>
    <w:rsid w:val="583A4E7E"/>
    <w:rsid w:val="58607961"/>
    <w:rsid w:val="58D8399B"/>
    <w:rsid w:val="58DC348C"/>
    <w:rsid w:val="591550AD"/>
    <w:rsid w:val="59254E33"/>
    <w:rsid w:val="59617E35"/>
    <w:rsid w:val="596D54E4"/>
    <w:rsid w:val="597E4543"/>
    <w:rsid w:val="598853C1"/>
    <w:rsid w:val="59926240"/>
    <w:rsid w:val="59956439"/>
    <w:rsid w:val="59B30690"/>
    <w:rsid w:val="59D93E6F"/>
    <w:rsid w:val="5A3A2DDD"/>
    <w:rsid w:val="5A541C17"/>
    <w:rsid w:val="5A5654C0"/>
    <w:rsid w:val="5A5A6D5E"/>
    <w:rsid w:val="5A7F0572"/>
    <w:rsid w:val="5A9D30EE"/>
    <w:rsid w:val="5AA4447D"/>
    <w:rsid w:val="5AAE2C06"/>
    <w:rsid w:val="5B357F9A"/>
    <w:rsid w:val="5B9E391C"/>
    <w:rsid w:val="5BC85F49"/>
    <w:rsid w:val="5C2E2250"/>
    <w:rsid w:val="5C454EA7"/>
    <w:rsid w:val="5C531CB7"/>
    <w:rsid w:val="5C6043D4"/>
    <w:rsid w:val="5C7B2FBB"/>
    <w:rsid w:val="5CAE15E3"/>
    <w:rsid w:val="5CB07109"/>
    <w:rsid w:val="5CB5624E"/>
    <w:rsid w:val="5CB6089A"/>
    <w:rsid w:val="5CCA2BCC"/>
    <w:rsid w:val="5CF8136F"/>
    <w:rsid w:val="5D02548B"/>
    <w:rsid w:val="5D1B642F"/>
    <w:rsid w:val="5D2C5D00"/>
    <w:rsid w:val="5D2D075A"/>
    <w:rsid w:val="5D681792"/>
    <w:rsid w:val="5D7C6FEB"/>
    <w:rsid w:val="5DB2438E"/>
    <w:rsid w:val="5DEB5F1F"/>
    <w:rsid w:val="5DFE0DD9"/>
    <w:rsid w:val="5E0636B0"/>
    <w:rsid w:val="5E3A7DE3"/>
    <w:rsid w:val="5E5B12F6"/>
    <w:rsid w:val="5E5E1DC1"/>
    <w:rsid w:val="5E7B46E5"/>
    <w:rsid w:val="5EA762EA"/>
    <w:rsid w:val="5EA93430"/>
    <w:rsid w:val="5EBE56EF"/>
    <w:rsid w:val="5EF86B45"/>
    <w:rsid w:val="5F04373C"/>
    <w:rsid w:val="5F781A34"/>
    <w:rsid w:val="5FA016B7"/>
    <w:rsid w:val="5FA24944"/>
    <w:rsid w:val="5FCF4238"/>
    <w:rsid w:val="5FF217E7"/>
    <w:rsid w:val="5FFB2E85"/>
    <w:rsid w:val="6017749F"/>
    <w:rsid w:val="60416DE9"/>
    <w:rsid w:val="605E03A5"/>
    <w:rsid w:val="608A5EC3"/>
    <w:rsid w:val="608D150F"/>
    <w:rsid w:val="60A70823"/>
    <w:rsid w:val="60BF0027"/>
    <w:rsid w:val="60FC123A"/>
    <w:rsid w:val="6110461A"/>
    <w:rsid w:val="611A2DA3"/>
    <w:rsid w:val="613F280A"/>
    <w:rsid w:val="61483DB4"/>
    <w:rsid w:val="615A7643"/>
    <w:rsid w:val="618B3CA1"/>
    <w:rsid w:val="619F69A7"/>
    <w:rsid w:val="61C55405"/>
    <w:rsid w:val="61C8713E"/>
    <w:rsid w:val="61C947C9"/>
    <w:rsid w:val="61D513DC"/>
    <w:rsid w:val="621570F7"/>
    <w:rsid w:val="62330011"/>
    <w:rsid w:val="62333E75"/>
    <w:rsid w:val="628801E0"/>
    <w:rsid w:val="62960B4F"/>
    <w:rsid w:val="62AC7AF3"/>
    <w:rsid w:val="62B37D16"/>
    <w:rsid w:val="62B47227"/>
    <w:rsid w:val="62B8336A"/>
    <w:rsid w:val="62BE1E54"/>
    <w:rsid w:val="62D90A3C"/>
    <w:rsid w:val="63163A3E"/>
    <w:rsid w:val="63304B00"/>
    <w:rsid w:val="63514A76"/>
    <w:rsid w:val="638B442C"/>
    <w:rsid w:val="638D7235"/>
    <w:rsid w:val="639B1F33"/>
    <w:rsid w:val="63AC1FBF"/>
    <w:rsid w:val="63CB70A2"/>
    <w:rsid w:val="63D7141F"/>
    <w:rsid w:val="63E547BF"/>
    <w:rsid w:val="64234664"/>
    <w:rsid w:val="64441196"/>
    <w:rsid w:val="648A46E4"/>
    <w:rsid w:val="648D5F82"/>
    <w:rsid w:val="64C9309E"/>
    <w:rsid w:val="64FF0C2E"/>
    <w:rsid w:val="65091B75"/>
    <w:rsid w:val="650D2C1F"/>
    <w:rsid w:val="651D2E62"/>
    <w:rsid w:val="65220134"/>
    <w:rsid w:val="654A5C21"/>
    <w:rsid w:val="656071F2"/>
    <w:rsid w:val="65750EF0"/>
    <w:rsid w:val="65D21A26"/>
    <w:rsid w:val="663F32AC"/>
    <w:rsid w:val="66522FDF"/>
    <w:rsid w:val="6680765D"/>
    <w:rsid w:val="669036BC"/>
    <w:rsid w:val="66E856F1"/>
    <w:rsid w:val="67096ADC"/>
    <w:rsid w:val="67407F1A"/>
    <w:rsid w:val="67580AAE"/>
    <w:rsid w:val="679A69EC"/>
    <w:rsid w:val="67BD2FB1"/>
    <w:rsid w:val="67D97C5F"/>
    <w:rsid w:val="680A1B81"/>
    <w:rsid w:val="68633EF1"/>
    <w:rsid w:val="6893074E"/>
    <w:rsid w:val="6893346C"/>
    <w:rsid w:val="68C17608"/>
    <w:rsid w:val="69692B1A"/>
    <w:rsid w:val="696A6892"/>
    <w:rsid w:val="69961435"/>
    <w:rsid w:val="69B26F61"/>
    <w:rsid w:val="69FA5E67"/>
    <w:rsid w:val="6A9A4F55"/>
    <w:rsid w:val="6AD20744"/>
    <w:rsid w:val="6B0D180F"/>
    <w:rsid w:val="6B15282D"/>
    <w:rsid w:val="6B241A17"/>
    <w:rsid w:val="6B2F1E97"/>
    <w:rsid w:val="6B5E41D4"/>
    <w:rsid w:val="6BAF4A30"/>
    <w:rsid w:val="6C4C04D0"/>
    <w:rsid w:val="6C8D4D71"/>
    <w:rsid w:val="6CAE6DC1"/>
    <w:rsid w:val="6CED1CB3"/>
    <w:rsid w:val="6CF03552"/>
    <w:rsid w:val="6CFC3CA5"/>
    <w:rsid w:val="6D203E37"/>
    <w:rsid w:val="6D42458D"/>
    <w:rsid w:val="6D4450B6"/>
    <w:rsid w:val="6D6B4986"/>
    <w:rsid w:val="6D737757"/>
    <w:rsid w:val="6D851EEC"/>
    <w:rsid w:val="6DD30EA9"/>
    <w:rsid w:val="6DEF7365"/>
    <w:rsid w:val="6DF41007"/>
    <w:rsid w:val="6E00038E"/>
    <w:rsid w:val="6E201C15"/>
    <w:rsid w:val="6E5F071D"/>
    <w:rsid w:val="6E6164B5"/>
    <w:rsid w:val="6E9115B5"/>
    <w:rsid w:val="6E914282"/>
    <w:rsid w:val="6E9C0F6F"/>
    <w:rsid w:val="6EA00637"/>
    <w:rsid w:val="6EB8009F"/>
    <w:rsid w:val="6EE92007"/>
    <w:rsid w:val="6EEB1B89"/>
    <w:rsid w:val="6F1E7882"/>
    <w:rsid w:val="6F296CF1"/>
    <w:rsid w:val="6F394D3C"/>
    <w:rsid w:val="6F3F3F3D"/>
    <w:rsid w:val="6F631DB9"/>
    <w:rsid w:val="6F7F182F"/>
    <w:rsid w:val="6F8F2BAE"/>
    <w:rsid w:val="6FE16435"/>
    <w:rsid w:val="6FEA2628"/>
    <w:rsid w:val="6FF46EB5"/>
    <w:rsid w:val="7023779A"/>
    <w:rsid w:val="702C2AF3"/>
    <w:rsid w:val="70464A9F"/>
    <w:rsid w:val="70934920"/>
    <w:rsid w:val="70C66AA3"/>
    <w:rsid w:val="70D6480D"/>
    <w:rsid w:val="70ED66C7"/>
    <w:rsid w:val="70F62A2B"/>
    <w:rsid w:val="712E63F7"/>
    <w:rsid w:val="717B5AE0"/>
    <w:rsid w:val="717F6C52"/>
    <w:rsid w:val="719345FD"/>
    <w:rsid w:val="71997D14"/>
    <w:rsid w:val="71A67D2D"/>
    <w:rsid w:val="71AD7318"/>
    <w:rsid w:val="71C74D83"/>
    <w:rsid w:val="720E0702"/>
    <w:rsid w:val="723932A5"/>
    <w:rsid w:val="723D0FE7"/>
    <w:rsid w:val="726D70E7"/>
    <w:rsid w:val="72822E9E"/>
    <w:rsid w:val="72CB7419"/>
    <w:rsid w:val="72DF172F"/>
    <w:rsid w:val="72F07E08"/>
    <w:rsid w:val="72FF004B"/>
    <w:rsid w:val="730C692D"/>
    <w:rsid w:val="73256BA5"/>
    <w:rsid w:val="736C07CC"/>
    <w:rsid w:val="737A3B75"/>
    <w:rsid w:val="73DD166E"/>
    <w:rsid w:val="7407365B"/>
    <w:rsid w:val="742F2BB2"/>
    <w:rsid w:val="74341F76"/>
    <w:rsid w:val="748738BC"/>
    <w:rsid w:val="749B2AEE"/>
    <w:rsid w:val="74B14416"/>
    <w:rsid w:val="750000AA"/>
    <w:rsid w:val="75742F72"/>
    <w:rsid w:val="757A4300"/>
    <w:rsid w:val="75880318"/>
    <w:rsid w:val="758D31B2"/>
    <w:rsid w:val="75AD2E60"/>
    <w:rsid w:val="75AF5D58"/>
    <w:rsid w:val="761B163F"/>
    <w:rsid w:val="762D4ECF"/>
    <w:rsid w:val="76307B82"/>
    <w:rsid w:val="763149BF"/>
    <w:rsid w:val="76335085"/>
    <w:rsid w:val="7637435C"/>
    <w:rsid w:val="763C15B6"/>
    <w:rsid w:val="766C1E9B"/>
    <w:rsid w:val="769B724C"/>
    <w:rsid w:val="76AA29C3"/>
    <w:rsid w:val="76C81C77"/>
    <w:rsid w:val="770450ED"/>
    <w:rsid w:val="770A5210"/>
    <w:rsid w:val="7726227B"/>
    <w:rsid w:val="775841CD"/>
    <w:rsid w:val="77737259"/>
    <w:rsid w:val="77876861"/>
    <w:rsid w:val="77996CC0"/>
    <w:rsid w:val="77AD276B"/>
    <w:rsid w:val="77E67A2B"/>
    <w:rsid w:val="780305DD"/>
    <w:rsid w:val="78265E2F"/>
    <w:rsid w:val="783B7462"/>
    <w:rsid w:val="786866E4"/>
    <w:rsid w:val="78B67A7D"/>
    <w:rsid w:val="78B96C93"/>
    <w:rsid w:val="78EA354B"/>
    <w:rsid w:val="792A573E"/>
    <w:rsid w:val="79426EE3"/>
    <w:rsid w:val="796400CB"/>
    <w:rsid w:val="796C3F60"/>
    <w:rsid w:val="798614D4"/>
    <w:rsid w:val="79B41C03"/>
    <w:rsid w:val="79B86070"/>
    <w:rsid w:val="79C9582B"/>
    <w:rsid w:val="79E47F9A"/>
    <w:rsid w:val="79F301DD"/>
    <w:rsid w:val="79FE105C"/>
    <w:rsid w:val="7A440A39"/>
    <w:rsid w:val="7A477DA9"/>
    <w:rsid w:val="7A4A42A1"/>
    <w:rsid w:val="7A8D23E0"/>
    <w:rsid w:val="7B124FF9"/>
    <w:rsid w:val="7B4820A4"/>
    <w:rsid w:val="7B504DCC"/>
    <w:rsid w:val="7BC73B55"/>
    <w:rsid w:val="7BD302C6"/>
    <w:rsid w:val="7BFF10BB"/>
    <w:rsid w:val="7C030BAC"/>
    <w:rsid w:val="7C145CBC"/>
    <w:rsid w:val="7C2A20EB"/>
    <w:rsid w:val="7C425692"/>
    <w:rsid w:val="7C596A1E"/>
    <w:rsid w:val="7C725D31"/>
    <w:rsid w:val="7C9C4E59"/>
    <w:rsid w:val="7CD85D3A"/>
    <w:rsid w:val="7CF44B80"/>
    <w:rsid w:val="7D1F2F41"/>
    <w:rsid w:val="7D38181B"/>
    <w:rsid w:val="7D6976DF"/>
    <w:rsid w:val="7D7B3E50"/>
    <w:rsid w:val="7DBD3A84"/>
    <w:rsid w:val="7DC1734A"/>
    <w:rsid w:val="7DD00F61"/>
    <w:rsid w:val="7DEC566F"/>
    <w:rsid w:val="7E12079B"/>
    <w:rsid w:val="7E293D71"/>
    <w:rsid w:val="7E2C3CBE"/>
    <w:rsid w:val="7E971A7F"/>
    <w:rsid w:val="7EA17233"/>
    <w:rsid w:val="7EFC18E2"/>
    <w:rsid w:val="7F4172C4"/>
    <w:rsid w:val="7F8518D8"/>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7"/>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59"/>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annotation text"/>
    <w:basedOn w:val="1"/>
    <w:link w:val="62"/>
    <w:unhideWhenUsed/>
    <w:qFormat/>
    <w:uiPriority w:val="0"/>
    <w:pPr>
      <w:jc w:val="left"/>
    </w:pPr>
  </w:style>
  <w:style w:type="paragraph" w:styleId="15">
    <w:name w:val="Body Text 3"/>
    <w:basedOn w:val="1"/>
    <w:link w:val="63"/>
    <w:qFormat/>
    <w:uiPriority w:val="0"/>
    <w:pPr>
      <w:spacing w:line="500" w:lineRule="exact"/>
    </w:pPr>
    <w:rPr>
      <w:b/>
      <w:bCs/>
      <w:kern w:val="0"/>
      <w:sz w:val="24"/>
    </w:rPr>
  </w:style>
  <w:style w:type="paragraph" w:styleId="16">
    <w:name w:val="Body Text"/>
    <w:basedOn w:val="1"/>
    <w:link w:val="64"/>
    <w:qFormat/>
    <w:uiPriority w:val="99"/>
    <w:pPr>
      <w:spacing w:line="380" w:lineRule="exact"/>
    </w:pPr>
    <w:rPr>
      <w:kern w:val="0"/>
      <w:sz w:val="24"/>
    </w:rPr>
  </w:style>
  <w:style w:type="paragraph" w:styleId="17">
    <w:name w:val="Body Text Indent"/>
    <w:basedOn w:val="1"/>
    <w:next w:val="18"/>
    <w:link w:val="65"/>
    <w:qFormat/>
    <w:uiPriority w:val="0"/>
    <w:pPr>
      <w:ind w:firstLine="830" w:firstLineChars="352"/>
    </w:pPr>
    <w:rPr>
      <w:rFonts w:ascii="仿宋_GB2312" w:eastAsia="仿宋_GB2312"/>
      <w:kern w:val="0"/>
      <w:sz w:val="32"/>
      <w:szCs w:val="20"/>
    </w:rPr>
  </w:style>
  <w:style w:type="paragraph" w:customStyle="1" w:styleId="18">
    <w:name w:val="标准正文 Char Char Char Char"/>
    <w:basedOn w:val="1"/>
    <w:next w:val="1"/>
    <w:qFormat/>
    <w:uiPriority w:val="0"/>
    <w:pPr>
      <w:spacing w:after="60"/>
      <w:ind w:firstLine="482"/>
    </w:pPr>
    <w:rPr>
      <w:kern w:val="0"/>
      <w:sz w:val="20"/>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link w:val="66"/>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7"/>
    <w:qFormat/>
    <w:uiPriority w:val="0"/>
    <w:pPr>
      <w:ind w:left="100" w:leftChars="2500"/>
    </w:pPr>
    <w:rPr>
      <w:rFonts w:ascii="宋体" w:hAnsi="Courier New"/>
      <w:kern w:val="0"/>
      <w:sz w:val="20"/>
      <w:szCs w:val="21"/>
    </w:rPr>
  </w:style>
  <w:style w:type="paragraph" w:styleId="26">
    <w:name w:val="Body Text Indent 2"/>
    <w:basedOn w:val="1"/>
    <w:link w:val="68"/>
    <w:qFormat/>
    <w:uiPriority w:val="0"/>
    <w:pPr>
      <w:ind w:firstLine="630"/>
    </w:pPr>
    <w:rPr>
      <w:kern w:val="0"/>
      <w:sz w:val="32"/>
      <w:szCs w:val="20"/>
    </w:rPr>
  </w:style>
  <w:style w:type="paragraph" w:styleId="27">
    <w:name w:val="endnote text"/>
    <w:basedOn w:val="1"/>
    <w:link w:val="69"/>
    <w:unhideWhenUsed/>
    <w:qFormat/>
    <w:uiPriority w:val="99"/>
    <w:pPr>
      <w:snapToGrid w:val="0"/>
      <w:jc w:val="left"/>
    </w:pPr>
  </w:style>
  <w:style w:type="paragraph" w:styleId="28">
    <w:name w:val="Balloon Text"/>
    <w:basedOn w:val="1"/>
    <w:link w:val="70"/>
    <w:semiHidden/>
    <w:qFormat/>
    <w:uiPriority w:val="0"/>
    <w:rPr>
      <w:kern w:val="0"/>
      <w:sz w:val="18"/>
      <w:szCs w:val="18"/>
    </w:rPr>
  </w:style>
  <w:style w:type="paragraph" w:styleId="29">
    <w:name w:val="footer"/>
    <w:basedOn w:val="1"/>
    <w:link w:val="71"/>
    <w:unhideWhenUsed/>
    <w:qFormat/>
    <w:uiPriority w:val="99"/>
    <w:pPr>
      <w:tabs>
        <w:tab w:val="center" w:pos="4153"/>
        <w:tab w:val="right" w:pos="8306"/>
      </w:tabs>
      <w:snapToGrid w:val="0"/>
      <w:jc w:val="left"/>
    </w:pPr>
    <w:rPr>
      <w:kern w:val="0"/>
      <w:sz w:val="18"/>
      <w:szCs w:val="18"/>
    </w:rPr>
  </w:style>
  <w:style w:type="paragraph" w:styleId="30">
    <w:name w:val="header"/>
    <w:basedOn w:val="1"/>
    <w:link w:val="72"/>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3"/>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4"/>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5"/>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6"/>
    <w:qFormat/>
    <w:uiPriority w:val="10"/>
    <w:pPr>
      <w:spacing w:before="240" w:after="60"/>
      <w:jc w:val="center"/>
      <w:outlineLvl w:val="0"/>
    </w:pPr>
    <w:rPr>
      <w:rFonts w:ascii="Cambria" w:hAnsi="Cambria"/>
      <w:b/>
      <w:bCs/>
      <w:sz w:val="32"/>
      <w:szCs w:val="32"/>
    </w:rPr>
  </w:style>
  <w:style w:type="paragraph" w:styleId="43">
    <w:name w:val="annotation subject"/>
    <w:basedOn w:val="14"/>
    <w:next w:val="14"/>
    <w:link w:val="77"/>
    <w:unhideWhenUsed/>
    <w:qFormat/>
    <w:uiPriority w:val="99"/>
    <w:rPr>
      <w:b/>
      <w:bCs/>
    </w:rPr>
  </w:style>
  <w:style w:type="paragraph" w:styleId="44">
    <w:name w:val="Body Text First Indent 2"/>
    <w:basedOn w:val="17"/>
    <w:qFormat/>
    <w:uiPriority w:val="0"/>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endnote reference"/>
    <w:unhideWhenUsed/>
    <w:qFormat/>
    <w:uiPriority w:val="99"/>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styleId="53">
    <w:name w:val="footnote reference"/>
    <w:unhideWhenUsed/>
    <w:qFormat/>
    <w:uiPriority w:val="99"/>
    <w:rPr>
      <w:vertAlign w:val="superscript"/>
    </w:rPr>
  </w:style>
  <w:style w:type="character" w:customStyle="1" w:styleId="54">
    <w:name w:val="标题 1 字符1"/>
    <w:link w:val="2"/>
    <w:qFormat/>
    <w:uiPriority w:val="0"/>
    <w:rPr>
      <w:rFonts w:ascii="Times New Roman" w:hAnsi="Times New Roman" w:eastAsia="宋体" w:cs="Times New Roman"/>
      <w:b/>
      <w:bCs/>
      <w:kern w:val="44"/>
      <w:sz w:val="44"/>
      <w:szCs w:val="44"/>
    </w:rPr>
  </w:style>
  <w:style w:type="character" w:customStyle="1" w:styleId="55">
    <w:name w:val="标题 2 字符"/>
    <w:link w:val="3"/>
    <w:qFormat/>
    <w:uiPriority w:val="0"/>
    <w:rPr>
      <w:rFonts w:ascii="Arial" w:hAnsi="Arial" w:eastAsia="黑体" w:cs="Times New Roman"/>
      <w:b/>
      <w:bCs/>
      <w:sz w:val="32"/>
      <w:szCs w:val="32"/>
    </w:rPr>
  </w:style>
  <w:style w:type="character" w:customStyle="1" w:styleId="56">
    <w:name w:val="标题 3 字符1"/>
    <w:link w:val="4"/>
    <w:qFormat/>
    <w:uiPriority w:val="0"/>
    <w:rPr>
      <w:rFonts w:ascii="Times New Roman" w:hAnsi="Times New Roman" w:eastAsia="宋体" w:cs="Times New Roman"/>
      <w:b/>
      <w:bCs/>
      <w:sz w:val="32"/>
      <w:szCs w:val="32"/>
    </w:rPr>
  </w:style>
  <w:style w:type="character" w:customStyle="1" w:styleId="57">
    <w:name w:val="标题 5 字符1"/>
    <w:link w:val="5"/>
    <w:qFormat/>
    <w:uiPriority w:val="0"/>
    <w:rPr>
      <w:b/>
      <w:kern w:val="2"/>
      <w:sz w:val="28"/>
      <w:szCs w:val="24"/>
    </w:rPr>
  </w:style>
  <w:style w:type="character" w:customStyle="1" w:styleId="58">
    <w:name w:val="标题 6 字符"/>
    <w:link w:val="7"/>
    <w:qFormat/>
    <w:uiPriority w:val="0"/>
    <w:rPr>
      <w:rFonts w:ascii="Arial" w:hAnsi="Arial" w:eastAsia="黑体"/>
      <w:b/>
      <w:kern w:val="2"/>
      <w:sz w:val="24"/>
      <w:szCs w:val="24"/>
    </w:rPr>
  </w:style>
  <w:style w:type="character" w:customStyle="1" w:styleId="59">
    <w:name w:val="标题 7 字符"/>
    <w:link w:val="8"/>
    <w:qFormat/>
    <w:uiPriority w:val="0"/>
    <w:rPr>
      <w:rFonts w:ascii="Times New Roman" w:hAnsi="Times New Roman"/>
      <w:b/>
      <w:kern w:val="2"/>
      <w:sz w:val="24"/>
      <w:szCs w:val="24"/>
    </w:rPr>
  </w:style>
  <w:style w:type="character" w:customStyle="1" w:styleId="60">
    <w:name w:val="标题 8 字符"/>
    <w:link w:val="9"/>
    <w:qFormat/>
    <w:uiPriority w:val="0"/>
    <w:rPr>
      <w:rFonts w:ascii="Arial" w:hAnsi="Arial" w:eastAsia="黑体"/>
      <w:kern w:val="2"/>
      <w:sz w:val="24"/>
      <w:szCs w:val="24"/>
    </w:rPr>
  </w:style>
  <w:style w:type="character" w:customStyle="1" w:styleId="61">
    <w:name w:val="标题 9 字符"/>
    <w:link w:val="10"/>
    <w:qFormat/>
    <w:uiPriority w:val="0"/>
    <w:rPr>
      <w:rFonts w:ascii="Arial" w:hAnsi="Arial" w:eastAsia="黑体"/>
      <w:kern w:val="2"/>
      <w:sz w:val="21"/>
      <w:szCs w:val="24"/>
    </w:rPr>
  </w:style>
  <w:style w:type="character" w:customStyle="1" w:styleId="62">
    <w:name w:val="批注文字 字符4"/>
    <w:link w:val="14"/>
    <w:qFormat/>
    <w:uiPriority w:val="0"/>
    <w:rPr>
      <w:rFonts w:ascii="Times New Roman" w:hAnsi="Times New Roman"/>
      <w:kern w:val="2"/>
      <w:sz w:val="21"/>
      <w:szCs w:val="24"/>
    </w:rPr>
  </w:style>
  <w:style w:type="character" w:customStyle="1" w:styleId="63">
    <w:name w:val="正文文本 3 字符"/>
    <w:link w:val="15"/>
    <w:qFormat/>
    <w:uiPriority w:val="0"/>
    <w:rPr>
      <w:rFonts w:ascii="Times New Roman" w:hAnsi="Times New Roman" w:eastAsia="宋体" w:cs="Times New Roman"/>
      <w:b/>
      <w:bCs/>
      <w:sz w:val="24"/>
      <w:szCs w:val="24"/>
    </w:rPr>
  </w:style>
  <w:style w:type="character" w:customStyle="1" w:styleId="64">
    <w:name w:val="正文文本 字符1"/>
    <w:link w:val="16"/>
    <w:qFormat/>
    <w:uiPriority w:val="99"/>
    <w:rPr>
      <w:rFonts w:ascii="Times New Roman" w:hAnsi="Times New Roman" w:eastAsia="宋体" w:cs="Times New Roman"/>
      <w:sz w:val="24"/>
      <w:szCs w:val="24"/>
    </w:rPr>
  </w:style>
  <w:style w:type="character" w:customStyle="1" w:styleId="65">
    <w:name w:val="正文文本缩进 字符2"/>
    <w:link w:val="17"/>
    <w:qFormat/>
    <w:uiPriority w:val="0"/>
    <w:rPr>
      <w:rFonts w:ascii="仿宋_GB2312" w:hAnsi="Times New Roman" w:eastAsia="仿宋_GB2312" w:cs="Times New Roman"/>
      <w:sz w:val="32"/>
      <w:szCs w:val="20"/>
    </w:rPr>
  </w:style>
  <w:style w:type="character" w:customStyle="1" w:styleId="66">
    <w:name w:val="纯文本 字符3"/>
    <w:link w:val="23"/>
    <w:qFormat/>
    <w:uiPriority w:val="0"/>
    <w:rPr>
      <w:rFonts w:ascii="宋体" w:hAnsi="Courier New" w:eastAsia="宋体" w:cs="Courier New"/>
      <w:szCs w:val="21"/>
    </w:rPr>
  </w:style>
  <w:style w:type="character" w:customStyle="1" w:styleId="67">
    <w:name w:val="日期 字符"/>
    <w:link w:val="25"/>
    <w:qFormat/>
    <w:uiPriority w:val="0"/>
    <w:rPr>
      <w:rFonts w:ascii="宋体" w:hAnsi="Courier New" w:eastAsia="宋体" w:cs="Courier New"/>
      <w:szCs w:val="21"/>
    </w:rPr>
  </w:style>
  <w:style w:type="character" w:customStyle="1" w:styleId="68">
    <w:name w:val="正文文本缩进 2 字符"/>
    <w:link w:val="26"/>
    <w:qFormat/>
    <w:uiPriority w:val="0"/>
    <w:rPr>
      <w:rFonts w:ascii="Times New Roman" w:hAnsi="Times New Roman" w:eastAsia="宋体" w:cs="Times New Roman"/>
      <w:sz w:val="32"/>
      <w:szCs w:val="20"/>
    </w:rPr>
  </w:style>
  <w:style w:type="character" w:customStyle="1" w:styleId="69">
    <w:name w:val="尾注文本 字符"/>
    <w:link w:val="27"/>
    <w:semiHidden/>
    <w:qFormat/>
    <w:uiPriority w:val="99"/>
    <w:rPr>
      <w:rFonts w:ascii="Times New Roman" w:hAnsi="Times New Roman"/>
      <w:kern w:val="2"/>
      <w:sz w:val="21"/>
      <w:szCs w:val="24"/>
    </w:rPr>
  </w:style>
  <w:style w:type="character" w:customStyle="1" w:styleId="70">
    <w:name w:val="批注框文本 字符"/>
    <w:link w:val="28"/>
    <w:semiHidden/>
    <w:qFormat/>
    <w:uiPriority w:val="0"/>
    <w:rPr>
      <w:rFonts w:ascii="Times New Roman" w:hAnsi="Times New Roman" w:eastAsia="宋体" w:cs="Times New Roman"/>
      <w:sz w:val="18"/>
      <w:szCs w:val="18"/>
    </w:rPr>
  </w:style>
  <w:style w:type="character" w:customStyle="1" w:styleId="71">
    <w:name w:val="页脚 字符1"/>
    <w:link w:val="29"/>
    <w:qFormat/>
    <w:uiPriority w:val="99"/>
    <w:rPr>
      <w:sz w:val="18"/>
      <w:szCs w:val="18"/>
    </w:rPr>
  </w:style>
  <w:style w:type="character" w:customStyle="1" w:styleId="72">
    <w:name w:val="页眉 字符"/>
    <w:link w:val="30"/>
    <w:qFormat/>
    <w:uiPriority w:val="99"/>
    <w:rPr>
      <w:rFonts w:ascii="Times New Roman" w:hAnsi="Times New Roman"/>
      <w:kern w:val="2"/>
      <w:sz w:val="18"/>
      <w:szCs w:val="18"/>
    </w:rPr>
  </w:style>
  <w:style w:type="character" w:customStyle="1" w:styleId="73">
    <w:name w:val="脚注文本 字符"/>
    <w:link w:val="34"/>
    <w:semiHidden/>
    <w:qFormat/>
    <w:uiPriority w:val="99"/>
    <w:rPr>
      <w:rFonts w:ascii="Times New Roman" w:hAnsi="Times New Roman"/>
      <w:kern w:val="2"/>
      <w:sz w:val="18"/>
      <w:szCs w:val="18"/>
    </w:rPr>
  </w:style>
  <w:style w:type="character" w:customStyle="1" w:styleId="74">
    <w:name w:val="正文文本缩进 3 字符"/>
    <w:link w:val="36"/>
    <w:qFormat/>
    <w:uiPriority w:val="0"/>
    <w:rPr>
      <w:rFonts w:ascii="Times New Roman" w:hAnsi="Times New Roman" w:eastAsia="宋体" w:cs="Times New Roman"/>
      <w:sz w:val="16"/>
      <w:szCs w:val="16"/>
    </w:rPr>
  </w:style>
  <w:style w:type="character" w:customStyle="1" w:styleId="75">
    <w:name w:val="正文文本 2 字符"/>
    <w:link w:val="39"/>
    <w:qFormat/>
    <w:uiPriority w:val="0"/>
    <w:rPr>
      <w:rFonts w:ascii="Times New Roman" w:hAnsi="Times New Roman" w:eastAsia="宋体" w:cs="Times New Roman"/>
      <w:szCs w:val="24"/>
    </w:rPr>
  </w:style>
  <w:style w:type="character" w:customStyle="1" w:styleId="76">
    <w:name w:val="标题 字符"/>
    <w:link w:val="42"/>
    <w:qFormat/>
    <w:uiPriority w:val="10"/>
    <w:rPr>
      <w:rFonts w:ascii="Cambria" w:hAnsi="Cambria" w:cs="Times New Roman"/>
      <w:b/>
      <w:bCs/>
      <w:kern w:val="2"/>
      <w:sz w:val="32"/>
      <w:szCs w:val="32"/>
    </w:rPr>
  </w:style>
  <w:style w:type="character" w:customStyle="1" w:styleId="77">
    <w:name w:val="批注主题 字符"/>
    <w:link w:val="43"/>
    <w:semiHidden/>
    <w:qFormat/>
    <w:uiPriority w:val="99"/>
    <w:rPr>
      <w:rFonts w:ascii="Times New Roman" w:hAnsi="Times New Roman"/>
      <w:b/>
      <w:bCs/>
      <w:kern w:val="2"/>
      <w:sz w:val="21"/>
      <w:szCs w:val="24"/>
    </w:rPr>
  </w:style>
  <w:style w:type="character" w:customStyle="1" w:styleId="78">
    <w:name w:val="标题 1 字符"/>
    <w:qFormat/>
    <w:uiPriority w:val="9"/>
    <w:rPr>
      <w:rFonts w:ascii="Times New Roman" w:hAnsi="Times New Roman" w:eastAsia="宋体" w:cs="Times New Roman"/>
      <w:b/>
      <w:bCs/>
      <w:kern w:val="44"/>
      <w:sz w:val="44"/>
      <w:szCs w:val="44"/>
    </w:rPr>
  </w:style>
  <w:style w:type="character" w:customStyle="1" w:styleId="79">
    <w:name w:val="纯文本 Char"/>
    <w:qFormat/>
    <w:uiPriority w:val="99"/>
    <w:rPr>
      <w:rFonts w:ascii="宋体" w:hAnsi="Courier New" w:eastAsia="宋体"/>
      <w:kern w:val="2"/>
      <w:sz w:val="21"/>
      <w:lang w:val="en-US" w:eastAsia="zh-CN" w:bidi="ar-SA"/>
    </w:rPr>
  </w:style>
  <w:style w:type="character" w:customStyle="1" w:styleId="80">
    <w:name w:val="纯文本 字符1"/>
    <w:qFormat/>
    <w:uiPriority w:val="0"/>
    <w:rPr>
      <w:rFonts w:ascii="宋体" w:hAnsi="Courier New"/>
    </w:rPr>
  </w:style>
  <w:style w:type="character" w:customStyle="1" w:styleId="81">
    <w:name w:val="批注文字 字符"/>
    <w:qFormat/>
    <w:uiPriority w:val="0"/>
    <w:rPr>
      <w:rFonts w:ascii="Times New Roman" w:hAnsi="Times New Roman"/>
      <w:kern w:val="2"/>
      <w:sz w:val="21"/>
      <w:szCs w:val="24"/>
    </w:rPr>
  </w:style>
  <w:style w:type="character" w:customStyle="1" w:styleId="82">
    <w:name w:val="textcontents"/>
    <w:qFormat/>
    <w:uiPriority w:val="0"/>
  </w:style>
  <w:style w:type="character" w:customStyle="1" w:styleId="83">
    <w:name w:val="case31"/>
    <w:qFormat/>
    <w:uiPriority w:val="0"/>
    <w:rPr>
      <w:rFonts w:hint="default" w:ascii="_x000B__x000C_" w:hAnsi="_x000B__x000C_"/>
      <w:sz w:val="21"/>
      <w:szCs w:val="21"/>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apple-style-span"/>
    <w:qFormat/>
    <w:uiPriority w:val="0"/>
  </w:style>
  <w:style w:type="character" w:customStyle="1" w:styleId="86">
    <w:name w:val="纯文本 字符"/>
    <w:qFormat/>
    <w:uiPriority w:val="0"/>
    <w:rPr>
      <w:rFonts w:ascii="宋体" w:hAnsi="Courier New" w:eastAsia="宋体" w:cs="Courier New"/>
      <w:szCs w:val="21"/>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普通文字 Char Char2"/>
    <w:qFormat/>
    <w:uiPriority w:val="0"/>
    <w:rPr>
      <w:rFonts w:ascii="宋体" w:hAnsi="Courier New" w:eastAsia="宋体"/>
      <w:kern w:val="2"/>
      <w:sz w:val="21"/>
      <w:lang w:val="en-US" w:eastAsia="zh-CN" w:bidi="ar-SA"/>
    </w:rPr>
  </w:style>
  <w:style w:type="character" w:customStyle="1" w:styleId="89">
    <w:name w:val="正文文本缩进 字符"/>
    <w:qFormat/>
    <w:uiPriority w:val="0"/>
    <w:rPr>
      <w:rFonts w:ascii="仿宋_GB2312" w:hAnsi="Times New Roman" w:eastAsia="仿宋_GB2312" w:cs="Times New Roman"/>
      <w:sz w:val="32"/>
      <w:szCs w:val="20"/>
    </w:rPr>
  </w:style>
  <w:style w:type="character" w:customStyle="1" w:styleId="90">
    <w:name w:val="headline-content4"/>
    <w:qFormat/>
    <w:uiPriority w:val="0"/>
  </w:style>
  <w:style w:type="paragraph" w:customStyle="1" w:styleId="91">
    <w:name w:val="表格"/>
    <w:basedOn w:val="1"/>
    <w:qFormat/>
    <w:uiPriority w:val="0"/>
    <w:pPr>
      <w:spacing w:line="400" w:lineRule="exact"/>
    </w:pPr>
    <w:rPr>
      <w:sz w:val="24"/>
    </w:rPr>
  </w:style>
  <w:style w:type="paragraph" w:customStyle="1" w:styleId="9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正文首行缩进两字符"/>
    <w:basedOn w:val="1"/>
    <w:qFormat/>
    <w:uiPriority w:val="0"/>
    <w:pPr>
      <w:spacing w:line="360" w:lineRule="auto"/>
      <w:ind w:firstLine="200" w:firstLineChars="200"/>
    </w:pPr>
  </w:style>
  <w:style w:type="paragraph" w:customStyle="1" w:styleId="96">
    <w:name w:val="样式 首行缩进:  2 字符"/>
    <w:basedOn w:val="1"/>
    <w:qFormat/>
    <w:uiPriority w:val="0"/>
    <w:pPr>
      <w:spacing w:line="400" w:lineRule="exact"/>
      <w:ind w:firstLine="200" w:firstLineChars="200"/>
    </w:pPr>
    <w:rPr>
      <w:rFonts w:cs="宋体"/>
      <w:sz w:val="24"/>
    </w:rPr>
  </w:style>
  <w:style w:type="paragraph" w:customStyle="1" w:styleId="9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9">
    <w:name w:val="正文段"/>
    <w:basedOn w:val="1"/>
    <w:qFormat/>
    <w:uiPriority w:val="0"/>
    <w:pPr>
      <w:widowControl/>
      <w:snapToGrid w:val="0"/>
      <w:spacing w:after="50" w:afterLines="50"/>
      <w:ind w:firstLine="200" w:firstLineChars="200"/>
    </w:pPr>
    <w:rPr>
      <w:kern w:val="0"/>
      <w:sz w:val="24"/>
      <w:szCs w:val="20"/>
    </w:rPr>
  </w:style>
  <w:style w:type="paragraph" w:customStyle="1" w:styleId="100">
    <w:name w:val="纯文本1"/>
    <w:basedOn w:val="1"/>
    <w:qFormat/>
    <w:uiPriority w:val="0"/>
    <w:rPr>
      <w:rFonts w:ascii="宋体" w:hAnsi="Courier New" w:cs="Century"/>
      <w:szCs w:val="21"/>
    </w:rPr>
  </w:style>
  <w:style w:type="paragraph" w:styleId="101">
    <w:name w:val="List Paragraph"/>
    <w:basedOn w:val="1"/>
    <w:qFormat/>
    <w:uiPriority w:val="34"/>
    <w:pPr>
      <w:ind w:firstLine="420" w:firstLineChars="200"/>
    </w:p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Char1"/>
    <w:basedOn w:val="1"/>
    <w:qFormat/>
    <w:uiPriority w:val="0"/>
    <w:rPr>
      <w:szCs w:val="21"/>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批注文字 字符2"/>
    <w:qFormat/>
    <w:uiPriority w:val="99"/>
    <w:rPr>
      <w:kern w:val="2"/>
      <w:sz w:val="21"/>
      <w:szCs w:val="24"/>
    </w:rPr>
  </w:style>
  <w:style w:type="paragraph" w:customStyle="1" w:styleId="106">
    <w:name w:val="_Style 200"/>
    <w:basedOn w:val="1"/>
    <w:next w:val="101"/>
    <w:qFormat/>
    <w:uiPriority w:val="34"/>
    <w:pPr>
      <w:ind w:firstLine="420" w:firstLineChars="200"/>
    </w:pPr>
  </w:style>
  <w:style w:type="character" w:customStyle="1" w:styleId="107">
    <w:name w:val="标题 3 字符"/>
    <w:qFormat/>
    <w:uiPriority w:val="0"/>
    <w:rPr>
      <w:rFonts w:ascii="Times New Roman" w:hAnsi="Times New Roman" w:eastAsia="宋体" w:cs="Times New Roman"/>
      <w:b/>
      <w:bCs/>
      <w:sz w:val="32"/>
      <w:szCs w:val="32"/>
    </w:rPr>
  </w:style>
  <w:style w:type="character" w:customStyle="1" w:styleId="108">
    <w:name w:val="标题 5 字符"/>
    <w:qFormat/>
    <w:uiPriority w:val="0"/>
    <w:rPr>
      <w:b/>
      <w:kern w:val="2"/>
      <w:sz w:val="28"/>
      <w:szCs w:val="24"/>
    </w:rPr>
  </w:style>
  <w:style w:type="character" w:customStyle="1" w:styleId="109">
    <w:name w:val="正文文本 字符"/>
    <w:qFormat/>
    <w:uiPriority w:val="99"/>
    <w:rPr>
      <w:rFonts w:ascii="Times New Roman" w:hAnsi="Times New Roman" w:eastAsia="宋体" w:cs="Times New Roman"/>
      <w:sz w:val="24"/>
      <w:szCs w:val="24"/>
    </w:rPr>
  </w:style>
  <w:style w:type="character" w:customStyle="1" w:styleId="110">
    <w:name w:val="纯文本 字符2"/>
    <w:qFormat/>
    <w:uiPriority w:val="0"/>
    <w:rPr>
      <w:rFonts w:ascii="宋体" w:hAnsi="Courier New" w:eastAsia="宋体" w:cs="Courier New"/>
      <w:szCs w:val="21"/>
    </w:rPr>
  </w:style>
  <w:style w:type="character" w:customStyle="1" w:styleId="111">
    <w:name w:val="页脚 字符"/>
    <w:qFormat/>
    <w:uiPriority w:val="99"/>
    <w:rPr>
      <w:sz w:val="18"/>
      <w:szCs w:val="18"/>
    </w:rPr>
  </w:style>
  <w:style w:type="character" w:customStyle="1" w:styleId="112">
    <w:name w:val="正文文本缩进 字符1"/>
    <w:qFormat/>
    <w:uiPriority w:val="0"/>
    <w:rPr>
      <w:rFonts w:ascii="仿宋_GB2312" w:hAnsi="Times New Roman" w:eastAsia="仿宋_GB2312" w:cs="Times New Roman"/>
      <w:sz w:val="32"/>
      <w:szCs w:val="20"/>
    </w:rPr>
  </w:style>
  <w:style w:type="paragraph" w:customStyle="1" w:styleId="113">
    <w:name w:val="_Style 110"/>
    <w:unhideWhenUsed/>
    <w:qFormat/>
    <w:uiPriority w:val="99"/>
    <w:rPr>
      <w:rFonts w:ascii="Times New Roman" w:hAnsi="Times New Roman" w:eastAsia="宋体" w:cs="Times New Roman"/>
      <w:kern w:val="2"/>
      <w:sz w:val="21"/>
      <w:szCs w:val="24"/>
      <w:lang w:val="en-US" w:eastAsia="zh-CN" w:bidi="ar-SA"/>
    </w:rPr>
  </w:style>
  <w:style w:type="character" w:customStyle="1" w:styleId="114">
    <w:name w:val="ref"/>
    <w:qFormat/>
    <w:uiPriority w:val="0"/>
  </w:style>
  <w:style w:type="character" w:customStyle="1" w:styleId="115">
    <w:name w:val="批注文字 字符3"/>
    <w:qFormat/>
    <w:uiPriority w:val="99"/>
    <w:rPr>
      <w:rFonts w:ascii="Times New Roman" w:hAnsi="Times New Roman"/>
      <w:kern w:val="2"/>
      <w:sz w:val="21"/>
      <w:szCs w:val="24"/>
    </w:rPr>
  </w:style>
  <w:style w:type="paragraph" w:customStyle="1" w:styleId="116">
    <w:name w:val="表格文字"/>
    <w:basedOn w:val="1"/>
    <w:next w:val="16"/>
    <w:qFormat/>
    <w:uiPriority w:val="99"/>
    <w:pPr>
      <w:spacing w:before="25" w:after="25"/>
      <w:jc w:val="left"/>
    </w:pPr>
    <w:rPr>
      <w:bCs/>
      <w:spacing w:val="10"/>
      <w:kern w:val="0"/>
      <w:sz w:val="24"/>
    </w:rPr>
  </w:style>
  <w:style w:type="character" w:customStyle="1" w:styleId="117">
    <w:name w:val="纯文本 Char3"/>
    <w:qFormat/>
    <w:uiPriority w:val="0"/>
    <w:rPr>
      <w:rFonts w:ascii="宋体" w:hAnsi="Courier New" w:eastAsia="宋体" w:cs="Courier New"/>
      <w:szCs w:val="21"/>
    </w:rPr>
  </w:style>
  <w:style w:type="character" w:customStyle="1" w:styleId="118">
    <w:name w:val="标题 5 Char2"/>
    <w:qFormat/>
    <w:uiPriority w:val="0"/>
    <w:rPr>
      <w:b/>
      <w:kern w:val="2"/>
      <w:sz w:val="28"/>
      <w:szCs w:val="24"/>
    </w:rPr>
  </w:style>
  <w:style w:type="character" w:customStyle="1" w:styleId="119">
    <w:name w:val="cf01"/>
    <w:qFormat/>
    <w:uiPriority w:val="0"/>
    <w:rPr>
      <w:rFonts w:hint="eastAsia" w:ascii="Microsoft YaHei UI" w:hAnsi="Microsoft YaHei UI" w:eastAsia="Microsoft YaHei UI"/>
      <w:sz w:val="18"/>
      <w:szCs w:val="18"/>
    </w:rPr>
  </w:style>
  <w:style w:type="character" w:customStyle="1" w:styleId="120">
    <w:name w:val="批注文字 Char3"/>
    <w:qFormat/>
    <w:uiPriority w:val="0"/>
    <w:rPr>
      <w:rFonts w:ascii="Times New Roman" w:hAnsi="Times New Roman"/>
      <w:kern w:val="2"/>
      <w:sz w:val="21"/>
      <w:szCs w:val="24"/>
    </w:rPr>
  </w:style>
  <w:style w:type="character" w:customStyle="1" w:styleId="121">
    <w:name w:val="font101"/>
    <w:qFormat/>
    <w:uiPriority w:val="0"/>
    <w:rPr>
      <w:rFonts w:hint="default" w:ascii="Arial" w:hAnsi="Arial" w:cs="Arial"/>
      <w:color w:val="000000"/>
      <w:sz w:val="22"/>
      <w:szCs w:val="22"/>
      <w:u w:val="none"/>
    </w:rPr>
  </w:style>
  <w:style w:type="character" w:customStyle="1" w:styleId="122">
    <w:name w:val="font81"/>
    <w:qFormat/>
    <w:uiPriority w:val="0"/>
    <w:rPr>
      <w:rFonts w:hint="eastAsia" w:ascii="宋体" w:hAnsi="宋体" w:eastAsia="宋体" w:cs="宋体"/>
      <w:color w:val="000000"/>
      <w:sz w:val="22"/>
      <w:szCs w:val="22"/>
      <w:u w:val="none"/>
    </w:rPr>
  </w:style>
  <w:style w:type="character" w:customStyle="1" w:styleId="123">
    <w:name w:val="font71"/>
    <w:qFormat/>
    <w:uiPriority w:val="0"/>
    <w:rPr>
      <w:rFonts w:hint="default" w:ascii="Arial" w:hAnsi="Arial" w:cs="Arial"/>
      <w:color w:val="000000"/>
      <w:sz w:val="22"/>
      <w:szCs w:val="22"/>
      <w:u w:val="none"/>
    </w:rPr>
  </w:style>
  <w:style w:type="character" w:customStyle="1" w:styleId="124">
    <w:name w:val="font51"/>
    <w:qFormat/>
    <w:uiPriority w:val="0"/>
    <w:rPr>
      <w:rFonts w:hint="eastAsia" w:ascii="宋体" w:hAnsi="宋体" w:eastAsia="宋体" w:cs="宋体"/>
      <w:color w:val="000000"/>
      <w:sz w:val="22"/>
      <w:szCs w:val="22"/>
      <w:u w:val="none"/>
    </w:rPr>
  </w:style>
  <w:style w:type="paragraph" w:customStyle="1" w:styleId="12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26">
    <w:name w:val="Unresolved Mention"/>
    <w:basedOn w:val="47"/>
    <w:semiHidden/>
    <w:unhideWhenUsed/>
    <w:qFormat/>
    <w:uiPriority w:val="99"/>
    <w:rPr>
      <w:color w:val="605E5C"/>
      <w:shd w:val="clear" w:color="auto" w:fill="E1DFDD"/>
    </w:rPr>
  </w:style>
  <w:style w:type="paragraph" w:customStyle="1" w:styleId="127">
    <w:name w:val="Default"/>
    <w:basedOn w:val="42"/>
    <w:next w:val="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5248</Words>
  <Characters>6365</Characters>
  <Lines>1844</Lines>
  <Paragraphs>1757</Paragraphs>
  <TotalTime>29</TotalTime>
  <ScaleCrop>false</ScaleCrop>
  <LinksUpToDate>false</LinksUpToDate>
  <CharactersWithSpaces>6666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2024-07-04T01:28:00Z</dcterms:created>
  <dc:creator>番茄花园</dc:creator>
  <cp:lastModifiedBy>WPS_1618307932</cp:lastModifiedBy>
  <cp:lastPrinted>2025-07-01T06:52:00Z</cp:lastPrinted>
  <dcterms:modified xsi:type="dcterms:W3CDTF">2025-12-09T08:08:39Z</dcterms:modified>
  <dc:title>公开招标采购文件范本</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5A2D8D005F454FC3B175FCF428C619F7_13</vt:lpwstr>
  </property>
  <property fmtid="{D5CDD505-2E9C-101B-9397-08002B2CF9AE}" pid="4" name="KSOTemplateDocerSaveRecord">
    <vt:lpwstr>eyJoZGlkIjoiMTg2NjQ0Y2IyYTZhYWRjODY4N2QxODQ5ZDRlYjc3NDAiLCJ1c2VySWQiOiIxMTk3NjE2MzUwIn0=</vt:lpwstr>
  </property>
</Properties>
</file>